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17"/>
        <w:rPr>
          <w:rFonts w:ascii="宋体" w:hAnsi="宋体"/>
          <w:highlight w:val="none"/>
        </w:rPr>
      </w:pPr>
      <w:r>
        <w:rPr>
          <w:rFonts w:hint="eastAsia" w:ascii="宋体" w:hAnsi="宋体"/>
          <w:highlight w:val="none"/>
        </w:rPr>
        <w:t xml:space="preserve">  </w:t>
      </w:r>
    </w:p>
    <w:p>
      <w:pPr>
        <w:widowControl/>
        <w:shd w:val="clear" w:color="auto" w:fill="FFFFFF"/>
        <w:spacing w:line="360" w:lineRule="atLeast"/>
        <w:ind w:firstLine="540"/>
        <w:jc w:val="center"/>
        <w:rPr>
          <w:rFonts w:ascii="宋体" w:hAnsi="宋体" w:cs="宋体"/>
          <w:bCs/>
          <w:sz w:val="44"/>
          <w:szCs w:val="44"/>
          <w:highlight w:val="none"/>
        </w:rPr>
      </w:pPr>
    </w:p>
    <w:p>
      <w:pPr>
        <w:widowControl/>
        <w:shd w:val="clear" w:color="auto" w:fill="FFFFFF"/>
        <w:spacing w:line="360" w:lineRule="atLeast"/>
        <w:ind w:firstLine="540"/>
        <w:jc w:val="center"/>
        <w:rPr>
          <w:rFonts w:ascii="宋体" w:hAnsi="宋体" w:cs="宋体"/>
          <w:b/>
          <w:kern w:val="0"/>
          <w:sz w:val="72"/>
          <w:szCs w:val="72"/>
          <w:highlight w:val="none"/>
          <w:shd w:val="clear" w:color="auto" w:fill="FFFFFF"/>
        </w:rPr>
      </w:pPr>
    </w:p>
    <w:p>
      <w:pPr>
        <w:snapToGrid w:val="0"/>
        <w:spacing w:line="360" w:lineRule="auto"/>
        <w:ind w:right="17"/>
        <w:jc w:val="center"/>
        <w:rPr>
          <w:rFonts w:ascii="宋体" w:hAnsi="宋体"/>
          <w:b/>
          <w:spacing w:val="60"/>
          <w:sz w:val="84"/>
          <w:szCs w:val="84"/>
          <w:highlight w:val="none"/>
        </w:rPr>
      </w:pPr>
      <w:r>
        <w:rPr>
          <w:rFonts w:hint="eastAsia" w:ascii="宋体" w:hAnsi="宋体"/>
          <w:b/>
          <w:spacing w:val="60"/>
          <w:sz w:val="84"/>
          <w:szCs w:val="84"/>
          <w:highlight w:val="none"/>
        </w:rPr>
        <w:t>竞争性磋商文件</w:t>
      </w:r>
    </w:p>
    <w:p>
      <w:pPr>
        <w:snapToGrid w:val="0"/>
        <w:spacing w:line="360" w:lineRule="auto"/>
        <w:ind w:right="17"/>
        <w:jc w:val="left"/>
        <w:rPr>
          <w:rFonts w:ascii="宋体" w:hAnsi="宋体"/>
          <w:bCs/>
          <w:sz w:val="30"/>
          <w:szCs w:val="30"/>
          <w:highlight w:val="none"/>
        </w:rPr>
      </w:pPr>
    </w:p>
    <w:p>
      <w:pPr>
        <w:snapToGrid w:val="0"/>
        <w:spacing w:line="360" w:lineRule="auto"/>
        <w:ind w:left="1400" w:right="17" w:hanging="1400" w:hangingChars="500"/>
        <w:jc w:val="left"/>
        <w:rPr>
          <w:rFonts w:hint="eastAsia" w:eastAsia="宋体"/>
          <w:bCs/>
          <w:sz w:val="28"/>
          <w:szCs w:val="28"/>
          <w:highlight w:val="none"/>
          <w:lang w:eastAsia="zh-CN"/>
        </w:rPr>
      </w:pPr>
      <w:r>
        <w:rPr>
          <w:rFonts w:hint="eastAsia" w:ascii="宋体" w:hAnsi="宋体"/>
          <w:bCs/>
          <w:sz w:val="28"/>
          <w:szCs w:val="28"/>
          <w:highlight w:val="none"/>
        </w:rPr>
        <w:t>项目名称：</w:t>
      </w:r>
      <w:r>
        <w:rPr>
          <w:rFonts w:hint="eastAsia" w:ascii="宋体" w:hAnsi="宋体"/>
          <w:bCs/>
          <w:sz w:val="28"/>
          <w:szCs w:val="28"/>
          <w:highlight w:val="none"/>
          <w:lang w:eastAsia="zh-CN"/>
        </w:rPr>
        <w:t>新疆高考综合改革配套信息化工程及教育考试信息系统升级建设项目（一期采购）</w:t>
      </w:r>
    </w:p>
    <w:p>
      <w:pPr>
        <w:snapToGrid w:val="0"/>
        <w:spacing w:line="360" w:lineRule="auto"/>
        <w:ind w:right="17"/>
        <w:jc w:val="left"/>
        <w:rPr>
          <w:rFonts w:hint="eastAsia" w:eastAsia="宋体"/>
          <w:bCs/>
          <w:sz w:val="28"/>
          <w:szCs w:val="28"/>
          <w:highlight w:val="none"/>
          <w:lang w:eastAsia="zh-CN"/>
        </w:rPr>
      </w:pPr>
      <w:r>
        <w:rPr>
          <w:rFonts w:hint="eastAsia"/>
          <w:bCs/>
          <w:sz w:val="28"/>
          <w:szCs w:val="28"/>
          <w:highlight w:val="none"/>
        </w:rPr>
        <w:t>采购项目编号：</w:t>
      </w:r>
      <w:r>
        <w:rPr>
          <w:rFonts w:hint="eastAsia"/>
          <w:bCs/>
          <w:sz w:val="28"/>
          <w:szCs w:val="28"/>
          <w:highlight w:val="none"/>
          <w:lang w:eastAsia="zh-CN"/>
        </w:rPr>
        <w:t>XJHS-2023-313</w:t>
      </w:r>
    </w:p>
    <w:p>
      <w:pPr>
        <w:pStyle w:val="20"/>
        <w:tabs>
          <w:tab w:val="left" w:pos="8460"/>
        </w:tabs>
        <w:snapToGrid w:val="0"/>
        <w:spacing w:line="360" w:lineRule="auto"/>
        <w:ind w:right="-334" w:rightChars="-159"/>
        <w:rPr>
          <w:b/>
          <w:bCs/>
          <w:sz w:val="30"/>
          <w:szCs w:val="30"/>
          <w:highlight w:val="none"/>
        </w:rPr>
      </w:pPr>
    </w:p>
    <w:p>
      <w:pPr>
        <w:pStyle w:val="20"/>
        <w:tabs>
          <w:tab w:val="left" w:pos="8460"/>
        </w:tabs>
        <w:snapToGrid w:val="0"/>
        <w:spacing w:line="360" w:lineRule="auto"/>
        <w:ind w:right="-334" w:rightChars="-159"/>
        <w:rPr>
          <w:b/>
          <w:bCs/>
          <w:sz w:val="30"/>
          <w:szCs w:val="30"/>
          <w:highlight w:val="none"/>
        </w:rPr>
      </w:pPr>
    </w:p>
    <w:p>
      <w:pPr>
        <w:snapToGrid w:val="0"/>
        <w:spacing w:line="360" w:lineRule="auto"/>
        <w:jc w:val="left"/>
        <w:rPr>
          <w:rFonts w:ascii="宋体" w:hAnsi="宋体"/>
          <w:sz w:val="28"/>
          <w:szCs w:val="28"/>
          <w:highlight w:val="none"/>
        </w:rPr>
      </w:pPr>
      <w:r>
        <w:rPr>
          <w:rFonts w:hint="eastAsia" w:ascii="宋体" w:hAnsi="宋体"/>
          <w:sz w:val="28"/>
          <w:szCs w:val="28"/>
          <w:highlight w:val="none"/>
        </w:rPr>
        <w:t>采购人：</w:t>
      </w:r>
      <w:r>
        <w:rPr>
          <w:rFonts w:hint="eastAsia" w:ascii="宋体" w:hAnsi="宋体"/>
          <w:bCs/>
          <w:sz w:val="28"/>
          <w:szCs w:val="28"/>
          <w:highlight w:val="none"/>
        </w:rPr>
        <w:t>新疆维吾尔自治区教育考试院</w:t>
      </w:r>
    </w:p>
    <w:p>
      <w:pPr>
        <w:snapToGrid w:val="0"/>
        <w:spacing w:line="360" w:lineRule="auto"/>
        <w:jc w:val="left"/>
        <w:rPr>
          <w:rFonts w:ascii="宋体" w:hAnsi="宋体"/>
          <w:sz w:val="28"/>
          <w:szCs w:val="28"/>
          <w:highlight w:val="none"/>
        </w:rPr>
      </w:pPr>
      <w:r>
        <w:rPr>
          <w:rFonts w:hint="eastAsia" w:ascii="宋体" w:hAnsi="宋体"/>
          <w:sz w:val="28"/>
          <w:szCs w:val="28"/>
          <w:highlight w:val="none"/>
        </w:rPr>
        <w:t>联系人：张珊</w:t>
      </w:r>
    </w:p>
    <w:p>
      <w:pPr>
        <w:snapToGrid w:val="0"/>
        <w:spacing w:line="360" w:lineRule="auto"/>
        <w:jc w:val="left"/>
        <w:rPr>
          <w:rFonts w:hint="eastAsia" w:ascii="宋体" w:hAnsi="宋体" w:eastAsia="宋体"/>
          <w:sz w:val="28"/>
          <w:szCs w:val="28"/>
          <w:highlight w:val="none"/>
          <w:lang w:eastAsia="zh-CN"/>
        </w:rPr>
      </w:pPr>
      <w:r>
        <w:rPr>
          <w:rFonts w:hint="eastAsia" w:ascii="宋体" w:hAnsi="宋体"/>
          <w:sz w:val="28"/>
          <w:szCs w:val="28"/>
          <w:highlight w:val="none"/>
        </w:rPr>
        <w:t>联系电话：</w:t>
      </w:r>
      <w:r>
        <w:rPr>
          <w:rFonts w:hint="eastAsia" w:ascii="宋体" w:hAnsi="宋体"/>
          <w:sz w:val="28"/>
          <w:szCs w:val="28"/>
          <w:highlight w:val="none"/>
          <w:lang w:eastAsia="zh-CN"/>
        </w:rPr>
        <w:t>0991-2800137</w:t>
      </w:r>
    </w:p>
    <w:p>
      <w:pPr>
        <w:snapToGrid w:val="0"/>
        <w:spacing w:line="360" w:lineRule="auto"/>
        <w:jc w:val="left"/>
        <w:rPr>
          <w:rFonts w:ascii="宋体" w:hAnsi="宋体"/>
          <w:sz w:val="28"/>
          <w:szCs w:val="28"/>
          <w:highlight w:val="none"/>
        </w:rPr>
      </w:pPr>
      <w:r>
        <w:rPr>
          <w:rFonts w:hint="eastAsia" w:ascii="宋体" w:hAnsi="宋体"/>
          <w:sz w:val="28"/>
          <w:szCs w:val="28"/>
          <w:highlight w:val="none"/>
        </w:rPr>
        <w:t>地址：乌鲁木齐市沙依巴克区南昌路456号</w:t>
      </w:r>
      <w:bookmarkStart w:id="203" w:name="_GoBack"/>
      <w:bookmarkEnd w:id="203"/>
    </w:p>
    <w:p>
      <w:pPr>
        <w:snapToGrid w:val="0"/>
        <w:spacing w:line="360" w:lineRule="auto"/>
        <w:jc w:val="left"/>
        <w:rPr>
          <w:rFonts w:ascii="宋体" w:hAnsi="宋体"/>
          <w:sz w:val="28"/>
          <w:szCs w:val="28"/>
          <w:highlight w:val="none"/>
        </w:rPr>
      </w:pPr>
    </w:p>
    <w:p>
      <w:pPr>
        <w:snapToGrid w:val="0"/>
        <w:spacing w:line="360" w:lineRule="auto"/>
        <w:jc w:val="left"/>
        <w:rPr>
          <w:rFonts w:ascii="宋体" w:hAnsi="宋体"/>
          <w:sz w:val="28"/>
          <w:szCs w:val="28"/>
          <w:highlight w:val="none"/>
        </w:rPr>
      </w:pPr>
      <w:r>
        <w:rPr>
          <w:rFonts w:hint="eastAsia" w:ascii="宋体" w:hAnsi="宋体"/>
          <w:sz w:val="28"/>
          <w:szCs w:val="28"/>
          <w:highlight w:val="none"/>
        </w:rPr>
        <w:t>代理机构：新疆泓升项目管理有限公司</w:t>
      </w:r>
    </w:p>
    <w:p>
      <w:pPr>
        <w:snapToGrid w:val="0"/>
        <w:spacing w:line="360" w:lineRule="auto"/>
        <w:jc w:val="left"/>
        <w:rPr>
          <w:rFonts w:ascii="宋体" w:hAnsi="宋体"/>
          <w:sz w:val="28"/>
          <w:szCs w:val="28"/>
          <w:highlight w:val="none"/>
        </w:rPr>
      </w:pPr>
      <w:r>
        <w:rPr>
          <w:rFonts w:hint="eastAsia" w:ascii="宋体" w:hAnsi="宋体"/>
          <w:sz w:val="28"/>
          <w:szCs w:val="28"/>
          <w:highlight w:val="none"/>
        </w:rPr>
        <w:t>联系人：李鑫</w:t>
      </w:r>
    </w:p>
    <w:p>
      <w:pPr>
        <w:snapToGrid w:val="0"/>
        <w:spacing w:line="360" w:lineRule="auto"/>
        <w:jc w:val="left"/>
        <w:rPr>
          <w:rFonts w:ascii="宋体" w:hAnsi="宋体"/>
          <w:sz w:val="28"/>
          <w:szCs w:val="28"/>
          <w:highlight w:val="none"/>
        </w:rPr>
      </w:pPr>
      <w:r>
        <w:rPr>
          <w:rFonts w:hint="eastAsia" w:ascii="宋体" w:hAnsi="宋体"/>
          <w:sz w:val="28"/>
          <w:szCs w:val="28"/>
          <w:highlight w:val="none"/>
        </w:rPr>
        <w:t>联系电话：18119118883</w:t>
      </w:r>
    </w:p>
    <w:p>
      <w:pPr>
        <w:snapToGrid w:val="0"/>
        <w:spacing w:line="360" w:lineRule="auto"/>
        <w:jc w:val="left"/>
        <w:rPr>
          <w:rFonts w:ascii="宋体" w:hAnsi="宋体"/>
          <w:sz w:val="28"/>
          <w:szCs w:val="28"/>
          <w:highlight w:val="none"/>
        </w:rPr>
      </w:pPr>
      <w:r>
        <w:rPr>
          <w:rFonts w:hint="eastAsia" w:ascii="宋体" w:hAnsi="宋体"/>
          <w:sz w:val="28"/>
          <w:szCs w:val="28"/>
          <w:highlight w:val="none"/>
        </w:rPr>
        <w:t xml:space="preserve">地址：乌鲁木齐市德汇万达广场E2写字楼1802室 </w:t>
      </w:r>
    </w:p>
    <w:p>
      <w:pPr>
        <w:snapToGrid w:val="0"/>
        <w:spacing w:line="360" w:lineRule="auto"/>
        <w:ind w:right="17" w:firstLine="980" w:firstLineChars="350"/>
        <w:jc w:val="left"/>
        <w:rPr>
          <w:rFonts w:ascii="宋体" w:hAnsi="宋体"/>
          <w:sz w:val="28"/>
          <w:szCs w:val="28"/>
          <w:highlight w:val="none"/>
        </w:rPr>
      </w:pPr>
    </w:p>
    <w:p>
      <w:pPr>
        <w:pStyle w:val="13"/>
        <w:snapToGrid w:val="0"/>
        <w:spacing w:line="360" w:lineRule="auto"/>
        <w:jc w:val="center"/>
        <w:rPr>
          <w:rFonts w:hAnsi="宋体"/>
          <w:sz w:val="30"/>
          <w:szCs w:val="30"/>
          <w:highlight w:val="none"/>
        </w:rPr>
      </w:pPr>
    </w:p>
    <w:p>
      <w:pPr>
        <w:pStyle w:val="13"/>
        <w:snapToGrid w:val="0"/>
        <w:spacing w:line="360" w:lineRule="auto"/>
        <w:jc w:val="center"/>
        <w:rPr>
          <w:rFonts w:hAnsi="宋体"/>
          <w:b/>
          <w:sz w:val="32"/>
          <w:szCs w:val="32"/>
          <w:highlight w:val="none"/>
        </w:rPr>
      </w:pPr>
      <w:r>
        <w:rPr>
          <w:rFonts w:hint="eastAsia" w:hAnsi="宋体"/>
          <w:sz w:val="30"/>
          <w:szCs w:val="30"/>
          <w:highlight w:val="none"/>
        </w:rPr>
        <w:t>二〇二三年十一月</w:t>
      </w:r>
    </w:p>
    <w:p>
      <w:pPr>
        <w:snapToGrid w:val="0"/>
        <w:spacing w:line="360" w:lineRule="auto"/>
        <w:jc w:val="center"/>
        <w:rPr>
          <w:rFonts w:ascii="宋体" w:hAnsi="宋体"/>
          <w:b/>
          <w:sz w:val="32"/>
          <w:szCs w:val="32"/>
          <w:highlight w:val="none"/>
        </w:rPr>
        <w:sectPr>
          <w:footerReference r:id="rId3" w:type="default"/>
          <w:pgSz w:w="11911" w:h="16838"/>
          <w:pgMar w:top="1440" w:right="1633" w:bottom="1440" w:left="1633" w:header="0" w:footer="879" w:gutter="0"/>
          <w:cols w:space="720" w:num="1"/>
        </w:sectPr>
      </w:pPr>
    </w:p>
    <w:p>
      <w:pPr>
        <w:rPr>
          <w:highlight w:val="none"/>
        </w:rPr>
      </w:pPr>
    </w:p>
    <w:p>
      <w:pPr>
        <w:snapToGrid w:val="0"/>
        <w:spacing w:line="360" w:lineRule="auto"/>
        <w:jc w:val="center"/>
        <w:outlineLvl w:val="0"/>
        <w:rPr>
          <w:rFonts w:ascii="宋体" w:hAnsi="宋体"/>
          <w:bCs/>
          <w:sz w:val="30"/>
          <w:szCs w:val="30"/>
          <w:highlight w:val="none"/>
        </w:rPr>
      </w:pPr>
      <w:r>
        <w:rPr>
          <w:rFonts w:hint="eastAsia" w:ascii="宋体" w:hAnsi="宋体"/>
          <w:bCs/>
          <w:sz w:val="30"/>
          <w:szCs w:val="30"/>
          <w:highlight w:val="none"/>
        </w:rPr>
        <w:t>目 录</w:t>
      </w:r>
    </w:p>
    <w:p>
      <w:pPr>
        <w:pStyle w:val="7"/>
        <w:ind w:firstLine="0"/>
        <w:rPr>
          <w:color w:val="auto"/>
          <w:highlight w:val="none"/>
        </w:rPr>
      </w:pPr>
    </w:p>
    <w:p>
      <w:pPr>
        <w:pStyle w:val="90"/>
        <w:tabs>
          <w:tab w:val="right" w:leader="dot" w:pos="8305"/>
        </w:tabs>
        <w:rPr>
          <w:highlight w:val="none"/>
        </w:rPr>
      </w:pPr>
      <w:r>
        <w:rPr>
          <w:rFonts w:ascii="Calibri" w:hAnsi="Calibri"/>
          <w:szCs w:val="24"/>
          <w:highlight w:val="none"/>
        </w:rPr>
        <w:fldChar w:fldCharType="begin"/>
      </w:r>
      <w:r>
        <w:rPr>
          <w:rFonts w:ascii="Calibri" w:hAnsi="Calibri"/>
          <w:szCs w:val="24"/>
          <w:highlight w:val="none"/>
        </w:rPr>
        <w:instrText xml:space="preserve">TOC \o "1-1" \h \u </w:instrText>
      </w:r>
      <w:r>
        <w:rPr>
          <w:rFonts w:ascii="Calibri" w:hAnsi="Calibri"/>
          <w:szCs w:val="24"/>
          <w:highlight w:val="none"/>
        </w:rPr>
        <w:fldChar w:fldCharType="separate"/>
      </w:r>
    </w:p>
    <w:p>
      <w:pPr>
        <w:pStyle w:val="90"/>
        <w:tabs>
          <w:tab w:val="right" w:leader="dot" w:pos="8305"/>
        </w:tabs>
        <w:spacing w:line="480" w:lineRule="auto"/>
        <w:rPr>
          <w:rFonts w:ascii="宋体" w:hAnsi="宋体" w:cs="宋体"/>
          <w:sz w:val="28"/>
          <w:szCs w:val="28"/>
          <w:highlight w:val="none"/>
        </w:rPr>
      </w:pPr>
      <w:r>
        <w:rPr>
          <w:highlight w:val="none"/>
        </w:rPr>
        <w:fldChar w:fldCharType="begin"/>
      </w:r>
      <w:r>
        <w:rPr>
          <w:highlight w:val="none"/>
        </w:rPr>
        <w:instrText xml:space="preserve"> HYPERLINK \l "_Toc22261" </w:instrText>
      </w:r>
      <w:r>
        <w:rPr>
          <w:highlight w:val="none"/>
        </w:rPr>
        <w:fldChar w:fldCharType="separate"/>
      </w:r>
      <w:r>
        <w:rPr>
          <w:rFonts w:hint="eastAsia" w:ascii="宋体" w:hAnsi="宋体" w:cs="宋体"/>
          <w:sz w:val="28"/>
          <w:szCs w:val="28"/>
          <w:highlight w:val="none"/>
        </w:rPr>
        <w:t>第一部分  竞争性磋商公告</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_Toc22261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- 1 -</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90"/>
        <w:tabs>
          <w:tab w:val="right" w:leader="dot" w:pos="8305"/>
        </w:tabs>
        <w:spacing w:line="480" w:lineRule="auto"/>
        <w:rPr>
          <w:rFonts w:ascii="宋体" w:hAnsi="宋体" w:cs="宋体"/>
          <w:sz w:val="28"/>
          <w:szCs w:val="28"/>
          <w:highlight w:val="none"/>
        </w:rPr>
      </w:pPr>
      <w:r>
        <w:rPr>
          <w:highlight w:val="none"/>
        </w:rPr>
        <w:fldChar w:fldCharType="begin"/>
      </w:r>
      <w:r>
        <w:rPr>
          <w:highlight w:val="none"/>
        </w:rPr>
        <w:instrText xml:space="preserve"> HYPERLINK \l "_Toc24415" </w:instrText>
      </w:r>
      <w:r>
        <w:rPr>
          <w:highlight w:val="none"/>
        </w:rPr>
        <w:fldChar w:fldCharType="separate"/>
      </w:r>
      <w:r>
        <w:rPr>
          <w:rFonts w:hint="eastAsia" w:ascii="宋体" w:hAnsi="宋体" w:cs="宋体"/>
          <w:sz w:val="28"/>
          <w:szCs w:val="28"/>
          <w:highlight w:val="none"/>
        </w:rPr>
        <w:t>第二部分  供应商须知前附表</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_Toc24415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- 4 -</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90"/>
        <w:tabs>
          <w:tab w:val="right" w:leader="dot" w:pos="8305"/>
        </w:tabs>
        <w:spacing w:line="480" w:lineRule="auto"/>
        <w:rPr>
          <w:rFonts w:ascii="宋体" w:hAnsi="宋体" w:cs="宋体"/>
          <w:sz w:val="28"/>
          <w:szCs w:val="28"/>
          <w:highlight w:val="none"/>
        </w:rPr>
      </w:pPr>
      <w:r>
        <w:rPr>
          <w:highlight w:val="none"/>
        </w:rPr>
        <w:fldChar w:fldCharType="begin"/>
      </w:r>
      <w:r>
        <w:rPr>
          <w:highlight w:val="none"/>
        </w:rPr>
        <w:instrText xml:space="preserve"> HYPERLINK \l "_Toc3729" </w:instrText>
      </w:r>
      <w:r>
        <w:rPr>
          <w:highlight w:val="none"/>
        </w:rPr>
        <w:fldChar w:fldCharType="separate"/>
      </w:r>
      <w:r>
        <w:rPr>
          <w:rFonts w:hint="eastAsia" w:ascii="宋体" w:hAnsi="宋体" w:cs="宋体"/>
          <w:sz w:val="28"/>
          <w:szCs w:val="28"/>
          <w:highlight w:val="none"/>
        </w:rPr>
        <w:t>第三部分  服务合同（参考格式）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_Toc3729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- 30 -</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90"/>
        <w:tabs>
          <w:tab w:val="right" w:leader="dot" w:pos="8305"/>
        </w:tabs>
        <w:spacing w:line="480" w:lineRule="auto"/>
        <w:rPr>
          <w:rFonts w:ascii="宋体" w:hAnsi="宋体" w:cs="宋体"/>
          <w:sz w:val="28"/>
          <w:szCs w:val="28"/>
          <w:highlight w:val="none"/>
        </w:rPr>
      </w:pPr>
      <w:r>
        <w:rPr>
          <w:highlight w:val="none"/>
        </w:rPr>
        <w:fldChar w:fldCharType="begin"/>
      </w:r>
      <w:r>
        <w:rPr>
          <w:highlight w:val="none"/>
        </w:rPr>
        <w:instrText xml:space="preserve"> HYPERLINK \l "_Toc9739" </w:instrText>
      </w:r>
      <w:r>
        <w:rPr>
          <w:highlight w:val="none"/>
        </w:rPr>
        <w:fldChar w:fldCharType="separate"/>
      </w:r>
      <w:r>
        <w:rPr>
          <w:rFonts w:hint="eastAsia" w:ascii="宋体" w:hAnsi="宋体" w:cs="宋体"/>
          <w:sz w:val="28"/>
          <w:szCs w:val="28"/>
          <w:highlight w:val="none"/>
        </w:rPr>
        <w:t>第四部分  采购需求</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_Toc9739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- 34 -</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90"/>
        <w:tabs>
          <w:tab w:val="right" w:leader="dot" w:pos="8305"/>
        </w:tabs>
        <w:spacing w:line="480" w:lineRule="auto"/>
        <w:rPr>
          <w:rFonts w:ascii="宋体" w:hAnsi="宋体" w:cs="宋体"/>
          <w:b/>
          <w:bCs/>
          <w:sz w:val="28"/>
          <w:szCs w:val="28"/>
          <w:highlight w:val="none"/>
        </w:rPr>
      </w:pPr>
      <w:r>
        <w:rPr>
          <w:highlight w:val="none"/>
        </w:rPr>
        <w:fldChar w:fldCharType="begin"/>
      </w:r>
      <w:r>
        <w:rPr>
          <w:highlight w:val="none"/>
        </w:rPr>
        <w:instrText xml:space="preserve"> HYPERLINK \l "_Toc20810" </w:instrText>
      </w:r>
      <w:r>
        <w:rPr>
          <w:highlight w:val="none"/>
        </w:rPr>
        <w:fldChar w:fldCharType="separate"/>
      </w:r>
      <w:r>
        <w:rPr>
          <w:rFonts w:hint="eastAsia" w:ascii="宋体" w:hAnsi="宋体" w:cs="宋体"/>
          <w:sz w:val="28"/>
          <w:szCs w:val="28"/>
          <w:highlight w:val="none"/>
        </w:rPr>
        <w:t>第五部分  磋商响应文件格式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_Toc20810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- 38 -</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90"/>
        <w:tabs>
          <w:tab w:val="right" w:leader="dot" w:pos="8305"/>
        </w:tabs>
        <w:rPr>
          <w:highlight w:val="none"/>
        </w:rPr>
      </w:pPr>
    </w:p>
    <w:p>
      <w:pPr>
        <w:pStyle w:val="90"/>
        <w:tabs>
          <w:tab w:val="right" w:leader="dot" w:pos="8305"/>
        </w:tabs>
        <w:rPr>
          <w:highlight w:val="none"/>
        </w:rPr>
      </w:pPr>
    </w:p>
    <w:p>
      <w:pPr>
        <w:rPr>
          <w:rFonts w:ascii="Calibri" w:hAnsi="Calibri"/>
          <w:szCs w:val="24"/>
          <w:highlight w:val="none"/>
        </w:rPr>
      </w:pPr>
      <w:r>
        <w:rPr>
          <w:rFonts w:ascii="Calibri" w:hAnsi="Calibri"/>
          <w:szCs w:val="24"/>
          <w:highlight w:val="none"/>
        </w:rPr>
        <w:fldChar w:fldCharType="end"/>
      </w:r>
    </w:p>
    <w:p>
      <w:pPr>
        <w:rPr>
          <w:highlight w:val="none"/>
        </w:rPr>
      </w:pPr>
    </w:p>
    <w:p>
      <w:pPr>
        <w:rPr>
          <w:highlight w:val="none"/>
        </w:rPr>
      </w:pPr>
    </w:p>
    <w:p>
      <w:pPr>
        <w:snapToGrid w:val="0"/>
        <w:spacing w:line="360" w:lineRule="auto"/>
        <w:jc w:val="center"/>
        <w:rPr>
          <w:highlight w:val="none"/>
        </w:rPr>
      </w:pPr>
      <w:r>
        <w:rPr>
          <w:rFonts w:hint="eastAsia"/>
          <w:highlight w:val="none"/>
        </w:rPr>
        <w:tab/>
      </w:r>
    </w:p>
    <w:p>
      <w:pPr>
        <w:snapToGrid w:val="0"/>
        <w:spacing w:line="360" w:lineRule="auto"/>
        <w:rPr>
          <w:rFonts w:ascii="宋体" w:hAnsi="宋体"/>
          <w:bCs/>
          <w:sz w:val="36"/>
          <w:szCs w:val="36"/>
          <w:highlight w:val="none"/>
        </w:rPr>
      </w:pPr>
    </w:p>
    <w:p>
      <w:pPr>
        <w:snapToGrid w:val="0"/>
        <w:spacing w:line="360" w:lineRule="auto"/>
        <w:rPr>
          <w:rFonts w:ascii="宋体" w:hAnsi="宋体"/>
          <w:bCs/>
          <w:sz w:val="36"/>
          <w:szCs w:val="36"/>
          <w:highlight w:val="none"/>
        </w:rPr>
      </w:pPr>
    </w:p>
    <w:p>
      <w:pPr>
        <w:snapToGrid w:val="0"/>
        <w:spacing w:line="360" w:lineRule="auto"/>
        <w:rPr>
          <w:rFonts w:ascii="宋体" w:hAnsi="宋体"/>
          <w:bCs/>
          <w:sz w:val="36"/>
          <w:szCs w:val="36"/>
          <w:highlight w:val="none"/>
        </w:rPr>
      </w:pPr>
    </w:p>
    <w:p>
      <w:pPr>
        <w:snapToGrid w:val="0"/>
        <w:spacing w:line="360" w:lineRule="auto"/>
        <w:jc w:val="center"/>
        <w:outlineLvl w:val="0"/>
        <w:rPr>
          <w:rFonts w:ascii="宋体" w:hAnsi="宋体"/>
          <w:b/>
          <w:sz w:val="30"/>
          <w:szCs w:val="30"/>
          <w:highlight w:val="none"/>
        </w:rPr>
        <w:sectPr>
          <w:headerReference r:id="rId5" w:type="first"/>
          <w:footerReference r:id="rId7" w:type="first"/>
          <w:headerReference r:id="rId4" w:type="default"/>
          <w:footerReference r:id="rId6" w:type="default"/>
          <w:pgSz w:w="11911" w:h="16838"/>
          <w:pgMar w:top="1440" w:right="1633" w:bottom="1440" w:left="1633" w:header="0" w:footer="879" w:gutter="0"/>
          <w:pgNumType w:fmt="numberInDash" w:start="1"/>
          <w:cols w:space="720" w:num="1"/>
          <w:docGrid w:linePitch="312" w:charSpace="0"/>
        </w:sectPr>
      </w:pPr>
      <w:bookmarkStart w:id="0" w:name="_Toc21101"/>
      <w:bookmarkStart w:id="1" w:name="_Toc22261"/>
    </w:p>
    <w:p>
      <w:pPr>
        <w:snapToGrid w:val="0"/>
        <w:spacing w:line="360" w:lineRule="auto"/>
        <w:jc w:val="center"/>
        <w:outlineLvl w:val="0"/>
        <w:rPr>
          <w:rFonts w:ascii="宋体" w:hAnsi="宋体"/>
          <w:b/>
          <w:sz w:val="24"/>
          <w:szCs w:val="24"/>
          <w:highlight w:val="none"/>
        </w:rPr>
      </w:pPr>
      <w:r>
        <w:rPr>
          <w:rFonts w:hint="eastAsia" w:ascii="宋体" w:hAnsi="宋体"/>
          <w:b/>
          <w:sz w:val="30"/>
          <w:szCs w:val="30"/>
          <w:highlight w:val="none"/>
        </w:rPr>
        <w:t>第一部分   竞争性磋商公告</w:t>
      </w:r>
      <w:bookmarkEnd w:id="0"/>
      <w:bookmarkEnd w:id="1"/>
    </w:p>
    <w:p>
      <w:pPr>
        <w:pStyle w:val="4"/>
        <w:widowControl/>
        <w:jc w:val="center"/>
        <w:rPr>
          <w:rFonts w:ascii="宋体" w:hAnsi="宋体" w:cs="宋体"/>
          <w:sz w:val="32"/>
          <w:szCs w:val="32"/>
          <w:highlight w:val="none"/>
        </w:rPr>
      </w:pPr>
      <w:r>
        <w:rPr>
          <w:rFonts w:hint="eastAsia" w:ascii="宋体" w:hAnsi="宋体" w:cs="宋体"/>
          <w:sz w:val="32"/>
          <w:szCs w:val="32"/>
          <w:highlight w:val="none"/>
          <w:lang w:eastAsia="zh-CN"/>
        </w:rPr>
        <w:t>新疆高考综合改革配套信息化工程及教育考试信息系统升级建设项目（一期采购）</w:t>
      </w:r>
      <w:r>
        <w:rPr>
          <w:rFonts w:hint="eastAsia" w:ascii="宋体" w:hAnsi="宋体" w:cs="宋体"/>
          <w:sz w:val="32"/>
          <w:szCs w:val="32"/>
          <w:highlight w:val="none"/>
        </w:rPr>
        <w:t>竞争性磋商公告</w:t>
      </w:r>
    </w:p>
    <w:p>
      <w:pPr>
        <w:widowControl/>
        <w:tabs>
          <w:tab w:val="left" w:pos="8620"/>
        </w:tabs>
        <w:spacing w:before="100" w:beforeAutospacing="1" w:after="100" w:afterAutospacing="1"/>
        <w:ind w:right="720"/>
        <w:jc w:val="left"/>
        <w:rPr>
          <w:rFonts w:ascii="宋体" w:hAnsi="宋体" w:cs="宋体"/>
          <w:b/>
          <w:bCs/>
          <w:kern w:val="0"/>
          <w:sz w:val="24"/>
          <w:szCs w:val="24"/>
          <w:highlight w:val="none"/>
        </w:rPr>
      </w:pPr>
      <w:r>
        <w:rPr>
          <w:rFonts w:hint="eastAsia" w:ascii="宋体" w:hAnsi="宋体" w:cs="宋体"/>
          <w:b/>
          <w:bCs/>
          <w:kern w:val="0"/>
          <w:sz w:val="24"/>
          <w:szCs w:val="24"/>
          <w:highlight w:val="none"/>
        </w:rPr>
        <w:t>项目概况</w:t>
      </w:r>
    </w:p>
    <w:p>
      <w:pPr>
        <w:widowControl/>
        <w:tabs>
          <w:tab w:val="left" w:pos="8620"/>
        </w:tabs>
        <w:spacing w:before="100" w:beforeAutospacing="1" w:after="100" w:afterAutospacing="1" w:line="360" w:lineRule="auto"/>
        <w:ind w:right="25"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lang w:eastAsia="zh-CN"/>
        </w:rPr>
        <w:t>新疆高考综合改革配套信息化工程及教育考试信息系统升级建设项目（一期采购）</w:t>
      </w:r>
      <w:r>
        <w:rPr>
          <w:rFonts w:hint="eastAsia" w:ascii="宋体" w:hAnsi="宋体" w:cs="宋体"/>
          <w:kern w:val="0"/>
          <w:sz w:val="24"/>
          <w:szCs w:val="24"/>
          <w:highlight w:val="none"/>
        </w:rPr>
        <w:t xml:space="preserve"> 采购项目的潜在供应商应在政采云平台获取采购文件，并于</w:t>
      </w:r>
      <w:r>
        <w:rPr>
          <w:rFonts w:hint="eastAsia" w:ascii="宋体" w:hAnsi="宋体" w:cs="宋体"/>
          <w:kern w:val="0"/>
          <w:sz w:val="24"/>
          <w:szCs w:val="24"/>
          <w:highlight w:val="none"/>
        </w:rPr>
        <w:t>2023年</w:t>
      </w:r>
      <w:r>
        <w:rPr>
          <w:rFonts w:hint="eastAsia" w:ascii="宋体" w:hAnsi="宋体" w:cs="宋体"/>
          <w:kern w:val="0"/>
          <w:sz w:val="24"/>
          <w:szCs w:val="24"/>
          <w:highlight w:val="none"/>
          <w:lang w:val="en-US" w:eastAsia="zh-CN"/>
        </w:rPr>
        <w:t>12</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25</w:t>
      </w:r>
      <w:r>
        <w:rPr>
          <w:rFonts w:hint="eastAsia" w:ascii="宋体" w:hAnsi="宋体" w:cs="宋体"/>
          <w:kern w:val="0"/>
          <w:sz w:val="24"/>
          <w:szCs w:val="24"/>
          <w:highlight w:val="none"/>
        </w:rPr>
        <w:t>日11点00分（北京时间</w:t>
      </w:r>
      <w:r>
        <w:rPr>
          <w:rFonts w:hint="eastAsia" w:ascii="宋体" w:hAnsi="宋体" w:cs="宋体"/>
          <w:kern w:val="0"/>
          <w:sz w:val="24"/>
          <w:szCs w:val="24"/>
          <w:highlight w:val="none"/>
        </w:rPr>
        <w:t>）前提交响应文件。</w:t>
      </w:r>
    </w:p>
    <w:p>
      <w:pPr>
        <w:widowControl/>
        <w:spacing w:before="100" w:beforeAutospacing="1" w:after="100" w:afterAutospacing="1"/>
        <w:jc w:val="left"/>
        <w:rPr>
          <w:rFonts w:ascii="宋体" w:hAnsi="宋体" w:cs="宋体"/>
          <w:kern w:val="0"/>
          <w:sz w:val="24"/>
          <w:szCs w:val="24"/>
          <w:highlight w:val="none"/>
        </w:rPr>
      </w:pPr>
      <w:r>
        <w:rPr>
          <w:rFonts w:hint="eastAsia" w:ascii="宋体" w:hAnsi="宋体" w:cs="宋体"/>
          <w:b/>
          <w:bCs/>
          <w:kern w:val="0"/>
          <w:sz w:val="24"/>
          <w:szCs w:val="24"/>
          <w:highlight w:val="none"/>
        </w:rPr>
        <w:t>一、项目基本情况</w:t>
      </w:r>
    </w:p>
    <w:p>
      <w:pPr>
        <w:widowControl/>
        <w:spacing w:before="100" w:beforeAutospacing="1" w:after="100" w:afterAutospacing="1"/>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项目编号：</w:t>
      </w:r>
      <w:r>
        <w:rPr>
          <w:rFonts w:hint="eastAsia" w:ascii="宋体" w:hAnsi="宋体" w:cs="宋体"/>
          <w:kern w:val="0"/>
          <w:sz w:val="24"/>
          <w:szCs w:val="24"/>
          <w:highlight w:val="none"/>
          <w:lang w:eastAsia="zh-CN"/>
        </w:rPr>
        <w:t>XJHS-2023-313</w:t>
      </w:r>
    </w:p>
    <w:p>
      <w:pPr>
        <w:widowControl/>
        <w:spacing w:before="100" w:beforeAutospacing="1" w:after="100" w:afterAutospacing="1"/>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项目名称：</w:t>
      </w:r>
      <w:r>
        <w:rPr>
          <w:rFonts w:hint="eastAsia" w:ascii="宋体" w:hAnsi="宋体" w:cs="宋体"/>
          <w:kern w:val="0"/>
          <w:sz w:val="24"/>
          <w:szCs w:val="24"/>
          <w:highlight w:val="none"/>
          <w:lang w:eastAsia="zh-CN"/>
        </w:rPr>
        <w:t>新疆高考综合改革配套信息化工程及教育考试信息系统升级建设项目（一期采购）</w:t>
      </w:r>
    </w:p>
    <w:p>
      <w:pPr>
        <w:widowControl/>
        <w:spacing w:before="100" w:beforeAutospacing="1" w:after="100" w:afterAutospacing="1"/>
        <w:jc w:val="left"/>
        <w:rPr>
          <w:rFonts w:ascii="宋体" w:hAnsi="宋体" w:cs="宋体"/>
          <w:kern w:val="0"/>
          <w:sz w:val="24"/>
          <w:szCs w:val="24"/>
          <w:highlight w:val="none"/>
        </w:rPr>
      </w:pPr>
      <w:r>
        <w:rPr>
          <w:rFonts w:hint="eastAsia" w:ascii="宋体" w:hAnsi="宋体" w:cs="宋体"/>
          <w:kern w:val="0"/>
          <w:sz w:val="24"/>
          <w:szCs w:val="24"/>
          <w:highlight w:val="none"/>
        </w:rPr>
        <w:t>采购方式：竞争性磋商</w:t>
      </w:r>
    </w:p>
    <w:p>
      <w:pPr>
        <w:widowControl/>
        <w:spacing w:before="100" w:beforeAutospacing="1" w:after="100" w:afterAutospacing="1"/>
        <w:jc w:val="left"/>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预算金额（元）：</w:t>
      </w:r>
      <w:r>
        <w:rPr>
          <w:rFonts w:hint="eastAsia" w:ascii="宋体" w:hAnsi="宋体" w:cs="宋体"/>
          <w:kern w:val="0"/>
          <w:sz w:val="24"/>
          <w:szCs w:val="24"/>
          <w:highlight w:val="none"/>
          <w:lang w:val="en-US" w:eastAsia="zh-CN"/>
        </w:rPr>
        <w:t>1100000.00</w:t>
      </w:r>
    </w:p>
    <w:p>
      <w:pPr>
        <w:widowControl/>
        <w:spacing w:before="100" w:beforeAutospacing="1" w:after="100" w:afterAutospacing="1"/>
        <w:jc w:val="left"/>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最高限价（元）：</w:t>
      </w:r>
      <w:r>
        <w:rPr>
          <w:rFonts w:hint="eastAsia" w:ascii="宋体" w:hAnsi="宋体" w:cs="宋体"/>
          <w:kern w:val="0"/>
          <w:sz w:val="24"/>
          <w:szCs w:val="24"/>
          <w:highlight w:val="none"/>
          <w:lang w:val="en-US" w:eastAsia="zh-CN"/>
        </w:rPr>
        <w:t>1100000.00</w:t>
      </w:r>
    </w:p>
    <w:p>
      <w:pPr>
        <w:widowControl/>
        <w:spacing w:before="100" w:beforeAutospacing="1" w:after="100" w:afterAutospacing="1"/>
        <w:jc w:val="left"/>
        <w:rPr>
          <w:rFonts w:ascii="宋体" w:hAnsi="宋体" w:cs="宋体"/>
          <w:kern w:val="0"/>
          <w:sz w:val="24"/>
          <w:szCs w:val="24"/>
          <w:highlight w:val="none"/>
        </w:rPr>
      </w:pPr>
      <w:r>
        <w:rPr>
          <w:rFonts w:hint="eastAsia" w:ascii="宋体" w:hAnsi="宋体" w:cs="宋体"/>
          <w:kern w:val="0"/>
          <w:sz w:val="24"/>
          <w:szCs w:val="24"/>
          <w:highlight w:val="none"/>
        </w:rPr>
        <w:t>采购需求：详见磋商文件</w:t>
      </w:r>
    </w:p>
    <w:p>
      <w:pPr>
        <w:widowControl/>
        <w:spacing w:before="100" w:beforeAutospacing="1" w:after="100" w:afterAutospacing="1"/>
        <w:jc w:val="left"/>
        <w:rPr>
          <w:rFonts w:ascii="宋体" w:hAnsi="宋体" w:cs="宋体"/>
          <w:kern w:val="0"/>
          <w:sz w:val="24"/>
          <w:szCs w:val="24"/>
          <w:highlight w:val="none"/>
        </w:rPr>
      </w:pPr>
      <w:r>
        <w:rPr>
          <w:rFonts w:hint="eastAsia" w:ascii="宋体" w:hAnsi="宋体" w:cs="宋体"/>
          <w:kern w:val="0"/>
          <w:sz w:val="24"/>
          <w:szCs w:val="24"/>
          <w:highlight w:val="none"/>
        </w:rPr>
        <w:t>合同履行期限：详见磋商文件</w:t>
      </w:r>
    </w:p>
    <w:p>
      <w:pPr>
        <w:widowControl/>
        <w:spacing w:before="100" w:beforeAutospacing="1" w:after="100" w:afterAutospacing="1"/>
        <w:jc w:val="left"/>
        <w:rPr>
          <w:rFonts w:ascii="宋体" w:hAnsi="宋体" w:cs="宋体"/>
          <w:kern w:val="0"/>
          <w:sz w:val="24"/>
          <w:szCs w:val="24"/>
          <w:highlight w:val="none"/>
        </w:rPr>
      </w:pPr>
      <w:r>
        <w:rPr>
          <w:rFonts w:hint="eastAsia" w:ascii="宋体" w:hAnsi="宋体" w:cs="宋体"/>
          <w:kern w:val="0"/>
          <w:sz w:val="24"/>
          <w:szCs w:val="24"/>
          <w:highlight w:val="none"/>
        </w:rPr>
        <w:t>本项目(不接受)联合体投标。</w:t>
      </w:r>
    </w:p>
    <w:p>
      <w:pPr>
        <w:widowControl/>
        <w:spacing w:before="100" w:beforeAutospacing="1" w:after="100" w:afterAutospacing="1"/>
        <w:jc w:val="left"/>
        <w:rPr>
          <w:rFonts w:ascii="宋体" w:hAnsi="宋体" w:cs="宋体"/>
          <w:kern w:val="0"/>
          <w:sz w:val="24"/>
          <w:szCs w:val="24"/>
          <w:highlight w:val="none"/>
        </w:rPr>
      </w:pPr>
      <w:r>
        <w:rPr>
          <w:rFonts w:hint="eastAsia" w:ascii="宋体" w:hAnsi="宋体" w:cs="宋体"/>
          <w:b/>
          <w:bCs/>
          <w:kern w:val="0"/>
          <w:sz w:val="24"/>
          <w:szCs w:val="24"/>
          <w:highlight w:val="none"/>
        </w:rPr>
        <w:t>二、申请人的资格要求：</w:t>
      </w:r>
    </w:p>
    <w:p>
      <w:pPr>
        <w:spacing w:line="360" w:lineRule="auto"/>
        <w:rPr>
          <w:rFonts w:ascii="宋体" w:hAnsi="宋体" w:cs="宋体"/>
          <w:sz w:val="24"/>
          <w:szCs w:val="24"/>
          <w:highlight w:val="none"/>
        </w:rPr>
      </w:pPr>
      <w:r>
        <w:rPr>
          <w:rFonts w:hint="eastAsia" w:ascii="宋体" w:hAnsi="宋体" w:cs="宋体"/>
          <w:sz w:val="24"/>
          <w:szCs w:val="24"/>
          <w:highlight w:val="none"/>
        </w:rPr>
        <w:t>1.满足《中华人民共和国政府采购法》第二十二条规定；</w:t>
      </w:r>
    </w:p>
    <w:p>
      <w:pPr>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2.落实政府采购政策需满足的资格要求：</w:t>
      </w:r>
      <w:r>
        <w:rPr>
          <w:rFonts w:hint="eastAsia" w:ascii="宋体" w:hAnsi="宋体" w:cs="宋体"/>
          <w:sz w:val="24"/>
          <w:szCs w:val="24"/>
          <w:highlight w:val="none"/>
          <w:lang w:val="en-US" w:eastAsia="zh-CN"/>
        </w:rPr>
        <w:t>本项目非专门面向中小企业</w:t>
      </w:r>
    </w:p>
    <w:p>
      <w:pPr>
        <w:numPr>
          <w:ilvl w:val="0"/>
          <w:numId w:val="1"/>
        </w:numPr>
        <w:spacing w:line="360" w:lineRule="auto"/>
        <w:rPr>
          <w:rFonts w:ascii="宋体" w:hAnsi="宋体" w:cs="宋体"/>
          <w:sz w:val="24"/>
          <w:szCs w:val="24"/>
          <w:highlight w:val="none"/>
        </w:rPr>
      </w:pPr>
      <w:r>
        <w:rPr>
          <w:rFonts w:hint="eastAsia" w:ascii="宋体" w:hAnsi="宋体" w:cs="宋体"/>
          <w:sz w:val="24"/>
          <w:szCs w:val="24"/>
          <w:highlight w:val="none"/>
        </w:rPr>
        <w:t>本项目的特定资格要求：</w:t>
      </w:r>
    </w:p>
    <w:p>
      <w:pPr>
        <w:spacing w:line="360" w:lineRule="auto"/>
        <w:rPr>
          <w:rFonts w:ascii="宋体" w:hAnsi="宋体" w:cs="宋体"/>
          <w:sz w:val="24"/>
          <w:szCs w:val="24"/>
          <w:highlight w:val="none"/>
        </w:rPr>
      </w:pPr>
      <w:r>
        <w:rPr>
          <w:rFonts w:hint="eastAsia" w:ascii="宋体" w:hAnsi="宋体" w:cs="宋体"/>
          <w:sz w:val="24"/>
          <w:szCs w:val="24"/>
          <w:highlight w:val="none"/>
        </w:rPr>
        <w:t>（1）、投标人须是中华人民共和国境内注册的，具有有效的营业执照；</w:t>
      </w:r>
    </w:p>
    <w:p>
      <w:pPr>
        <w:spacing w:line="360" w:lineRule="auto"/>
        <w:rPr>
          <w:rFonts w:ascii="宋体" w:hAnsi="宋体" w:cs="宋体"/>
          <w:sz w:val="24"/>
          <w:szCs w:val="24"/>
          <w:highlight w:val="none"/>
        </w:rPr>
      </w:pPr>
      <w:r>
        <w:rPr>
          <w:rFonts w:hint="eastAsia" w:ascii="宋体" w:hAnsi="宋体" w:cs="宋体"/>
          <w:sz w:val="24"/>
          <w:szCs w:val="24"/>
          <w:highlight w:val="none"/>
        </w:rPr>
        <w:t>（2）、投标人不得为“信用中国网站（www.creditchina.gov.cn）中列入失信被执行人和税收违法黑名单的供应商，不得为中国政府采购网（www.ccgp.gov.cn）政府采购严重违法失信行为记录名单中被财政部门禁止参加政府采购活动的供应商。</w:t>
      </w:r>
    </w:p>
    <w:p>
      <w:pPr>
        <w:widowControl/>
        <w:spacing w:before="100" w:beforeAutospacing="1" w:after="100" w:afterAutospacing="1"/>
        <w:jc w:val="left"/>
        <w:rPr>
          <w:rFonts w:ascii="宋体" w:hAnsi="宋体" w:cs="宋体"/>
          <w:kern w:val="0"/>
          <w:sz w:val="24"/>
          <w:szCs w:val="24"/>
          <w:highlight w:val="none"/>
        </w:rPr>
      </w:pPr>
      <w:r>
        <w:rPr>
          <w:rFonts w:hint="eastAsia" w:ascii="宋体" w:hAnsi="宋体" w:cs="宋体"/>
          <w:b/>
          <w:bCs/>
          <w:kern w:val="0"/>
          <w:sz w:val="24"/>
          <w:szCs w:val="24"/>
          <w:highlight w:val="none"/>
        </w:rPr>
        <w:t>三、获取招标文件</w:t>
      </w:r>
    </w:p>
    <w:p>
      <w:pPr>
        <w:widowControl/>
        <w:spacing w:before="100" w:beforeAutospacing="1" w:after="100" w:afterAutospacing="1"/>
        <w:jc w:val="left"/>
        <w:rPr>
          <w:rFonts w:ascii="宋体" w:hAnsi="宋体" w:cs="宋体"/>
          <w:kern w:val="0"/>
          <w:sz w:val="24"/>
          <w:szCs w:val="24"/>
          <w:highlight w:val="none"/>
        </w:rPr>
      </w:pPr>
      <w:r>
        <w:rPr>
          <w:rFonts w:hint="eastAsia" w:ascii="宋体" w:hAnsi="宋体" w:cs="宋体"/>
          <w:kern w:val="0"/>
          <w:sz w:val="24"/>
          <w:szCs w:val="24"/>
          <w:highlight w:val="none"/>
        </w:rPr>
        <w:t>时间：2023年</w:t>
      </w:r>
      <w:r>
        <w:rPr>
          <w:rFonts w:hint="eastAsia" w:ascii="宋体" w:hAnsi="宋体" w:cs="宋体"/>
          <w:kern w:val="0"/>
          <w:sz w:val="24"/>
          <w:szCs w:val="24"/>
          <w:highlight w:val="none"/>
          <w:lang w:val="en-US" w:eastAsia="zh-CN"/>
        </w:rPr>
        <w:t>12</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14</w:t>
      </w:r>
      <w:r>
        <w:rPr>
          <w:rFonts w:hint="eastAsia" w:ascii="宋体" w:hAnsi="宋体" w:cs="宋体"/>
          <w:kern w:val="0"/>
          <w:sz w:val="24"/>
          <w:szCs w:val="24"/>
          <w:highlight w:val="none"/>
        </w:rPr>
        <w:t>日至2023年</w:t>
      </w:r>
      <w:r>
        <w:rPr>
          <w:rFonts w:hint="eastAsia" w:ascii="宋体" w:hAnsi="宋体" w:cs="宋体"/>
          <w:kern w:val="0"/>
          <w:sz w:val="24"/>
          <w:szCs w:val="24"/>
          <w:highlight w:val="none"/>
          <w:lang w:val="en-US" w:eastAsia="zh-CN"/>
        </w:rPr>
        <w:t>12</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21</w:t>
      </w:r>
      <w:r>
        <w:rPr>
          <w:rFonts w:hint="eastAsia" w:ascii="宋体" w:hAnsi="宋体" w:cs="宋体"/>
          <w:kern w:val="0"/>
          <w:sz w:val="24"/>
          <w:szCs w:val="24"/>
          <w:highlight w:val="none"/>
        </w:rPr>
        <w:t>日，每天上午10:00至14:00，下午15:00至19:00。（北京时间，法定节假日除外）</w:t>
      </w:r>
    </w:p>
    <w:p>
      <w:pPr>
        <w:widowControl/>
        <w:spacing w:before="100" w:beforeAutospacing="1" w:after="100" w:afterAutospacing="1"/>
        <w:jc w:val="left"/>
        <w:rPr>
          <w:rFonts w:ascii="宋体" w:hAnsi="宋体" w:cs="宋体"/>
          <w:kern w:val="0"/>
          <w:sz w:val="24"/>
          <w:szCs w:val="24"/>
          <w:highlight w:val="none"/>
        </w:rPr>
      </w:pPr>
      <w:r>
        <w:rPr>
          <w:rFonts w:hint="eastAsia" w:ascii="宋体" w:hAnsi="宋体" w:cs="宋体"/>
          <w:kern w:val="0"/>
          <w:sz w:val="24"/>
          <w:szCs w:val="24"/>
          <w:highlight w:val="none"/>
        </w:rPr>
        <w:t>地点：政采云平台（https://www.zcygov.cn/）</w:t>
      </w:r>
    </w:p>
    <w:p>
      <w:pPr>
        <w:widowControl/>
        <w:spacing w:before="100" w:beforeAutospacing="1" w:after="100" w:afterAutospacing="1"/>
        <w:jc w:val="left"/>
        <w:rPr>
          <w:rFonts w:ascii="宋体" w:hAnsi="宋体" w:cs="宋体"/>
          <w:kern w:val="0"/>
          <w:sz w:val="24"/>
          <w:szCs w:val="24"/>
          <w:highlight w:val="none"/>
        </w:rPr>
      </w:pPr>
      <w:r>
        <w:rPr>
          <w:rFonts w:hint="eastAsia" w:ascii="宋体" w:hAnsi="宋体" w:cs="宋体"/>
          <w:kern w:val="0"/>
          <w:sz w:val="24"/>
          <w:szCs w:val="24"/>
          <w:highlight w:val="none"/>
        </w:rPr>
        <w:t>方式：供应商登陆政采云平台 https://www.zcygov.cn/进入“项目采购”栏目，在获取磋商文件菜单中选择所要投标的项目，申请获取磋商文件。</w:t>
      </w:r>
    </w:p>
    <w:p>
      <w:pPr>
        <w:widowControl/>
        <w:spacing w:before="100" w:beforeAutospacing="1" w:after="100" w:afterAutospacing="1"/>
        <w:jc w:val="left"/>
        <w:rPr>
          <w:rFonts w:ascii="宋体" w:hAnsi="宋体" w:cs="宋体"/>
          <w:kern w:val="0"/>
          <w:sz w:val="24"/>
          <w:szCs w:val="24"/>
          <w:highlight w:val="none"/>
        </w:rPr>
      </w:pPr>
      <w:r>
        <w:rPr>
          <w:rFonts w:hint="eastAsia" w:ascii="宋体" w:hAnsi="宋体" w:cs="宋体"/>
          <w:kern w:val="0"/>
          <w:sz w:val="24"/>
          <w:szCs w:val="24"/>
          <w:highlight w:val="none"/>
        </w:rPr>
        <w:t>售价：0</w:t>
      </w:r>
    </w:p>
    <w:p>
      <w:pPr>
        <w:widowControl/>
        <w:spacing w:before="100" w:beforeAutospacing="1" w:after="100" w:afterAutospacing="1"/>
        <w:jc w:val="left"/>
        <w:rPr>
          <w:rFonts w:ascii="宋体" w:hAnsi="宋体" w:cs="宋体"/>
          <w:kern w:val="0"/>
          <w:sz w:val="24"/>
          <w:szCs w:val="24"/>
          <w:highlight w:val="none"/>
        </w:rPr>
      </w:pPr>
      <w:r>
        <w:rPr>
          <w:rFonts w:hint="eastAsia" w:ascii="宋体" w:hAnsi="宋体" w:cs="宋体"/>
          <w:b/>
          <w:bCs/>
          <w:kern w:val="0"/>
          <w:sz w:val="24"/>
          <w:szCs w:val="24"/>
          <w:highlight w:val="none"/>
        </w:rPr>
        <w:t>四、响应文件提交</w:t>
      </w:r>
    </w:p>
    <w:p>
      <w:pPr>
        <w:widowControl/>
        <w:spacing w:before="100" w:beforeAutospacing="1" w:after="100" w:afterAutospacing="1"/>
        <w:jc w:val="left"/>
        <w:rPr>
          <w:rFonts w:ascii="宋体" w:hAnsi="宋体" w:cs="宋体"/>
          <w:kern w:val="0"/>
          <w:sz w:val="24"/>
          <w:szCs w:val="24"/>
          <w:highlight w:val="none"/>
        </w:rPr>
      </w:pPr>
      <w:r>
        <w:rPr>
          <w:rFonts w:hint="eastAsia" w:ascii="宋体" w:hAnsi="宋体" w:cs="宋体"/>
          <w:kern w:val="0"/>
          <w:sz w:val="24"/>
          <w:szCs w:val="24"/>
          <w:highlight w:val="none"/>
        </w:rPr>
        <w:t>截止时间：2023年</w:t>
      </w:r>
      <w:r>
        <w:rPr>
          <w:rFonts w:hint="eastAsia" w:ascii="宋体" w:hAnsi="宋体" w:cs="宋体"/>
          <w:kern w:val="0"/>
          <w:sz w:val="24"/>
          <w:szCs w:val="24"/>
          <w:highlight w:val="none"/>
          <w:lang w:val="en-US" w:eastAsia="zh-CN"/>
        </w:rPr>
        <w:t>12</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25</w:t>
      </w:r>
      <w:r>
        <w:rPr>
          <w:rFonts w:hint="eastAsia" w:ascii="宋体" w:hAnsi="宋体" w:cs="宋体"/>
          <w:kern w:val="0"/>
          <w:sz w:val="24"/>
          <w:szCs w:val="24"/>
          <w:highlight w:val="none"/>
        </w:rPr>
        <w:t>日11点00分（北京时间）</w:t>
      </w:r>
    </w:p>
    <w:p>
      <w:pPr>
        <w:widowControl/>
        <w:spacing w:before="100" w:beforeAutospacing="1" w:after="100" w:afterAutospacing="1"/>
        <w:jc w:val="left"/>
        <w:rPr>
          <w:rFonts w:ascii="宋体" w:hAnsi="宋体" w:cs="宋体"/>
          <w:kern w:val="0"/>
          <w:sz w:val="24"/>
          <w:szCs w:val="24"/>
          <w:highlight w:val="none"/>
        </w:rPr>
      </w:pPr>
      <w:r>
        <w:rPr>
          <w:rFonts w:hint="eastAsia" w:ascii="宋体" w:hAnsi="宋体" w:cs="宋体"/>
          <w:kern w:val="0"/>
          <w:sz w:val="24"/>
          <w:szCs w:val="24"/>
          <w:highlight w:val="none"/>
        </w:rPr>
        <w:t>地点：政采云平台（https://www.zcygov.cn/）</w:t>
      </w:r>
    </w:p>
    <w:p>
      <w:pPr>
        <w:widowControl/>
        <w:numPr>
          <w:ilvl w:val="0"/>
          <w:numId w:val="2"/>
        </w:numPr>
        <w:spacing w:before="100" w:beforeAutospacing="1" w:after="100" w:afterAutospacing="1"/>
        <w:jc w:val="left"/>
        <w:rPr>
          <w:rFonts w:ascii="宋体" w:hAnsi="宋体" w:cs="宋体"/>
          <w:kern w:val="0"/>
          <w:sz w:val="24"/>
          <w:szCs w:val="24"/>
          <w:highlight w:val="none"/>
        </w:rPr>
      </w:pPr>
      <w:r>
        <w:rPr>
          <w:rFonts w:hint="eastAsia" w:ascii="宋体" w:hAnsi="宋体" w:cs="宋体"/>
          <w:b/>
          <w:bCs/>
          <w:kern w:val="0"/>
          <w:sz w:val="24"/>
          <w:szCs w:val="24"/>
          <w:highlight w:val="none"/>
        </w:rPr>
        <w:t>响应文件开启</w:t>
      </w:r>
    </w:p>
    <w:p>
      <w:pPr>
        <w:widowControl/>
        <w:spacing w:before="100" w:beforeAutospacing="1" w:after="100" w:afterAutospacing="1"/>
        <w:jc w:val="left"/>
        <w:rPr>
          <w:rFonts w:ascii="宋体" w:hAnsi="宋体" w:cs="宋体"/>
          <w:kern w:val="0"/>
          <w:sz w:val="24"/>
          <w:szCs w:val="24"/>
          <w:highlight w:val="none"/>
        </w:rPr>
      </w:pPr>
      <w:r>
        <w:rPr>
          <w:rFonts w:hint="eastAsia" w:ascii="宋体" w:hAnsi="宋体" w:cs="宋体"/>
          <w:kern w:val="0"/>
          <w:sz w:val="24"/>
          <w:szCs w:val="24"/>
          <w:highlight w:val="none"/>
        </w:rPr>
        <w:t>开启时间：2023年</w:t>
      </w:r>
      <w:r>
        <w:rPr>
          <w:rFonts w:hint="eastAsia" w:ascii="宋体" w:hAnsi="宋体" w:cs="宋体"/>
          <w:kern w:val="0"/>
          <w:sz w:val="24"/>
          <w:szCs w:val="24"/>
          <w:highlight w:val="none"/>
          <w:lang w:val="en-US" w:eastAsia="zh-CN"/>
        </w:rPr>
        <w:t>12</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25</w:t>
      </w:r>
      <w:r>
        <w:rPr>
          <w:rFonts w:hint="eastAsia" w:ascii="宋体" w:hAnsi="宋体" w:cs="宋体"/>
          <w:kern w:val="0"/>
          <w:sz w:val="24"/>
          <w:szCs w:val="24"/>
          <w:highlight w:val="none"/>
        </w:rPr>
        <w:t>日11点00分（北京时间）</w:t>
      </w:r>
    </w:p>
    <w:p>
      <w:pPr>
        <w:widowControl/>
        <w:spacing w:before="100" w:beforeAutospacing="1" w:after="100" w:afterAutospacing="1"/>
        <w:jc w:val="left"/>
        <w:rPr>
          <w:rFonts w:ascii="宋体" w:hAnsi="宋体" w:cs="宋体"/>
          <w:kern w:val="0"/>
          <w:sz w:val="24"/>
          <w:szCs w:val="24"/>
          <w:highlight w:val="none"/>
        </w:rPr>
      </w:pPr>
      <w:r>
        <w:rPr>
          <w:rFonts w:hint="eastAsia" w:ascii="宋体" w:hAnsi="宋体" w:cs="宋体"/>
          <w:kern w:val="0"/>
          <w:sz w:val="24"/>
          <w:szCs w:val="24"/>
          <w:highlight w:val="none"/>
        </w:rPr>
        <w:t>地点：政采云平台（https://www.zcygov.cn/）</w:t>
      </w:r>
    </w:p>
    <w:p>
      <w:pPr>
        <w:widowControl/>
        <w:spacing w:before="100" w:beforeAutospacing="1" w:after="100" w:afterAutospacing="1"/>
        <w:jc w:val="left"/>
        <w:rPr>
          <w:rFonts w:ascii="宋体" w:hAnsi="宋体" w:cs="宋体"/>
          <w:kern w:val="0"/>
          <w:sz w:val="24"/>
          <w:szCs w:val="24"/>
          <w:highlight w:val="none"/>
        </w:rPr>
      </w:pPr>
      <w:r>
        <w:rPr>
          <w:rFonts w:hint="eastAsia" w:ascii="宋体" w:hAnsi="宋体" w:cs="宋体"/>
          <w:b/>
          <w:bCs/>
          <w:kern w:val="0"/>
          <w:sz w:val="24"/>
          <w:szCs w:val="24"/>
          <w:highlight w:val="none"/>
        </w:rPr>
        <w:t>六、公告期限</w:t>
      </w:r>
    </w:p>
    <w:p>
      <w:pPr>
        <w:widowControl/>
        <w:spacing w:before="100" w:beforeAutospacing="1" w:after="100" w:afterAutospacing="1"/>
        <w:jc w:val="left"/>
        <w:rPr>
          <w:rFonts w:ascii="宋体" w:hAnsi="宋体" w:cs="宋体"/>
          <w:kern w:val="0"/>
          <w:sz w:val="24"/>
          <w:szCs w:val="24"/>
          <w:highlight w:val="none"/>
        </w:rPr>
      </w:pPr>
      <w:r>
        <w:rPr>
          <w:rFonts w:hint="eastAsia" w:ascii="宋体" w:hAnsi="宋体" w:cs="宋体"/>
          <w:kern w:val="0"/>
          <w:sz w:val="24"/>
          <w:szCs w:val="24"/>
          <w:highlight w:val="none"/>
        </w:rPr>
        <w:t>自本公告发布之日起5个工作日</w:t>
      </w:r>
    </w:p>
    <w:p>
      <w:pPr>
        <w:widowControl/>
        <w:spacing w:before="100" w:beforeAutospacing="1" w:after="100" w:afterAutospacing="1"/>
        <w:jc w:val="left"/>
        <w:rPr>
          <w:rFonts w:ascii="宋体" w:hAnsi="宋体" w:cs="宋体"/>
          <w:kern w:val="0"/>
          <w:sz w:val="24"/>
          <w:szCs w:val="24"/>
          <w:highlight w:val="none"/>
        </w:rPr>
      </w:pPr>
      <w:r>
        <w:rPr>
          <w:rFonts w:hint="eastAsia" w:ascii="宋体" w:hAnsi="宋体" w:cs="宋体"/>
          <w:b/>
          <w:bCs/>
          <w:kern w:val="0"/>
          <w:sz w:val="24"/>
          <w:szCs w:val="24"/>
          <w:highlight w:val="none"/>
        </w:rPr>
        <w:t>七、其他补充事宜</w:t>
      </w:r>
    </w:p>
    <w:p>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1、请投标单位随时关注本项目的澄清、答疑、变更事项。</w:t>
      </w:r>
    </w:p>
    <w:p>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2、本项目实行电子招投标，供应商须登录政采云平台申请获取招标文件，并通过政采云电子投标客户端制作投标文件，同时自行承担与投标有关的一切费用。</w:t>
      </w:r>
    </w:p>
    <w:p>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3、各供应商应在开标前应确保成为政采云平台供应商，并完成 CA 数字证书(符合国密标准) 申领。因未注册入库、未办理CA数字证书等原因造成无法投标或投标失败等后果由供应商自行承担。</w:t>
      </w:r>
    </w:p>
    <w:p>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4、供应商可前往新疆政府采购网(http://www.ccgp-xinjiang.gov.cn/)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 0991-2819290。</w:t>
      </w:r>
    </w:p>
    <w:p>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5、本项目采用不见面开标，供应商须在投标截止时间前通过CA在政采云平台上传加密的电子响应文件。供应商对不见面开评标系统的技术操作咨询，可通过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pPr>
        <w:widowControl/>
        <w:spacing w:before="100" w:beforeAutospacing="1" w:after="100" w:afterAutospacing="1"/>
        <w:jc w:val="left"/>
        <w:rPr>
          <w:rFonts w:ascii="宋体" w:hAnsi="宋体" w:cs="宋体"/>
          <w:kern w:val="0"/>
          <w:sz w:val="24"/>
          <w:szCs w:val="24"/>
          <w:highlight w:val="none"/>
        </w:rPr>
      </w:pPr>
      <w:r>
        <w:rPr>
          <w:rFonts w:hint="eastAsia" w:ascii="宋体" w:hAnsi="宋体" w:cs="宋体"/>
          <w:b/>
          <w:bCs/>
          <w:kern w:val="0"/>
          <w:sz w:val="24"/>
          <w:szCs w:val="24"/>
          <w:highlight w:val="none"/>
        </w:rPr>
        <w:t>八、凡对本次采购提出询问，请按以下方式联系。</w:t>
      </w:r>
    </w:p>
    <w:p>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1.采购人信息</w:t>
      </w:r>
    </w:p>
    <w:p>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名 称：新疆维吾尔自治区教育考试院</w:t>
      </w:r>
    </w:p>
    <w:p>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地 址：乌鲁木齐市沙依巴克区南昌路456号</w:t>
      </w:r>
    </w:p>
    <w:p>
      <w:pPr>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rPr>
        <w:t xml:space="preserve">联系方式：张珊 </w:t>
      </w:r>
      <w:r>
        <w:rPr>
          <w:rFonts w:hint="eastAsia" w:ascii="宋体" w:hAnsi="宋体" w:cs="宋体"/>
          <w:sz w:val="24"/>
          <w:szCs w:val="24"/>
          <w:highlight w:val="none"/>
          <w:lang w:eastAsia="zh-CN"/>
        </w:rPr>
        <w:t>0991-2800137</w:t>
      </w:r>
    </w:p>
    <w:p>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2.采购代理机构信息</w:t>
      </w:r>
    </w:p>
    <w:p>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名 称：新疆泓升项目管理有限公司</w:t>
      </w:r>
    </w:p>
    <w:p>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地 址：乌鲁木齐市德汇万达广场E2写字楼1802室</w:t>
      </w:r>
    </w:p>
    <w:p>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3.项目联系方式</w:t>
      </w:r>
    </w:p>
    <w:p>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项目联系人：李鑫</w:t>
      </w:r>
    </w:p>
    <w:p>
      <w:pPr>
        <w:spacing w:line="360" w:lineRule="auto"/>
        <w:ind w:firstLine="240" w:firstLineChars="100"/>
        <w:rPr>
          <w:highlight w:val="none"/>
        </w:rPr>
      </w:pPr>
      <w:r>
        <w:rPr>
          <w:rFonts w:hint="eastAsia" w:ascii="宋体" w:hAnsi="宋体" w:cs="宋体"/>
          <w:sz w:val="24"/>
          <w:szCs w:val="24"/>
          <w:highlight w:val="none"/>
        </w:rPr>
        <w:t>电 话：18119118883</w:t>
      </w:r>
    </w:p>
    <w:p>
      <w:pPr>
        <w:snapToGrid w:val="0"/>
        <w:spacing w:line="360" w:lineRule="auto"/>
        <w:jc w:val="center"/>
        <w:outlineLvl w:val="0"/>
        <w:rPr>
          <w:rFonts w:ascii="宋体" w:hAnsi="宋体"/>
          <w:b/>
          <w:sz w:val="30"/>
          <w:szCs w:val="30"/>
          <w:highlight w:val="none"/>
        </w:rPr>
      </w:pPr>
      <w:r>
        <w:rPr>
          <w:rFonts w:hint="eastAsia" w:ascii="宋体" w:hAnsi="宋体" w:cs="宋体"/>
          <w:b/>
          <w:bCs/>
          <w:sz w:val="24"/>
          <w:szCs w:val="24"/>
          <w:highlight w:val="none"/>
        </w:rPr>
        <w:br w:type="page"/>
      </w:r>
      <w:bookmarkStart w:id="2" w:name="_Toc24415"/>
      <w:bookmarkStart w:id="3" w:name="_Toc9179"/>
      <w:r>
        <w:rPr>
          <w:rFonts w:hint="eastAsia" w:ascii="宋体" w:hAnsi="宋体"/>
          <w:b/>
          <w:sz w:val="30"/>
          <w:szCs w:val="30"/>
          <w:highlight w:val="none"/>
        </w:rPr>
        <w:t>第二部分   供应商须知前附表</w:t>
      </w:r>
      <w:bookmarkEnd w:id="2"/>
      <w:bookmarkEnd w:id="3"/>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51" w:type="dxa"/>
            <w:vAlign w:val="center"/>
          </w:tcPr>
          <w:p>
            <w:pPr>
              <w:snapToGrid w:val="0"/>
              <w:spacing w:line="360" w:lineRule="auto"/>
              <w:ind w:right="105" w:rightChars="50"/>
              <w:rPr>
                <w:rFonts w:ascii="宋体" w:hAnsi="宋体"/>
                <w:b/>
                <w:bCs/>
                <w:sz w:val="24"/>
                <w:szCs w:val="24"/>
                <w:highlight w:val="none"/>
              </w:rPr>
            </w:pPr>
            <w:r>
              <w:rPr>
                <w:rFonts w:hint="eastAsia" w:ascii="宋体" w:hAnsi="宋体"/>
                <w:b/>
                <w:bCs/>
                <w:sz w:val="24"/>
                <w:szCs w:val="24"/>
                <w:highlight w:val="none"/>
              </w:rPr>
              <w:t>项目</w:t>
            </w:r>
          </w:p>
        </w:tc>
        <w:tc>
          <w:tcPr>
            <w:tcW w:w="9245" w:type="dxa"/>
            <w:vAlign w:val="center"/>
          </w:tcPr>
          <w:p>
            <w:pPr>
              <w:snapToGrid w:val="0"/>
              <w:spacing w:line="360" w:lineRule="auto"/>
              <w:ind w:right="105" w:rightChars="50"/>
              <w:jc w:val="center"/>
              <w:rPr>
                <w:rFonts w:ascii="宋体" w:hAnsi="宋体"/>
                <w:b/>
                <w:bCs/>
                <w:sz w:val="24"/>
                <w:szCs w:val="24"/>
                <w:highlight w:val="none"/>
              </w:rPr>
            </w:pPr>
            <w:r>
              <w:rPr>
                <w:rFonts w:hint="eastAsia" w:ascii="宋体" w:hAnsi="宋体"/>
                <w:b/>
                <w:bCs/>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1</w:t>
            </w:r>
          </w:p>
        </w:tc>
        <w:tc>
          <w:tcPr>
            <w:tcW w:w="9245" w:type="dxa"/>
            <w:vAlign w:val="center"/>
          </w:tcPr>
          <w:p>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项目名称：</w:t>
            </w:r>
            <w:r>
              <w:rPr>
                <w:rFonts w:hint="eastAsia" w:ascii="宋体" w:hAnsi="宋体" w:cs="宋体"/>
                <w:sz w:val="24"/>
                <w:szCs w:val="24"/>
                <w:highlight w:val="none"/>
                <w:lang w:eastAsia="zh-CN"/>
              </w:rPr>
              <w:t>新疆高考综合改革配套信息化工程及教育考试信息系统升级建设项目（一期采购）</w:t>
            </w:r>
          </w:p>
          <w:p>
            <w:pPr>
              <w:autoSpaceDE w:val="0"/>
              <w:autoSpaceDN w:val="0"/>
              <w:adjustRightInd w:val="0"/>
              <w:spacing w:line="360" w:lineRule="auto"/>
              <w:rPr>
                <w:rFonts w:hint="eastAsia" w:eastAsia="宋体"/>
                <w:highlight w:val="none"/>
                <w:lang w:eastAsia="zh-CN"/>
              </w:rPr>
            </w:pPr>
            <w:r>
              <w:rPr>
                <w:rFonts w:hint="eastAsia" w:ascii="宋体" w:hAnsi="宋体" w:cs="宋体"/>
                <w:sz w:val="24"/>
                <w:szCs w:val="24"/>
                <w:highlight w:val="none"/>
              </w:rPr>
              <w:t>采购项目编号：</w:t>
            </w:r>
            <w:r>
              <w:rPr>
                <w:rFonts w:hint="eastAsia" w:ascii="宋体" w:hAnsi="宋体" w:cs="宋体"/>
                <w:sz w:val="24"/>
                <w:szCs w:val="24"/>
                <w:highlight w:val="none"/>
                <w:lang w:eastAsia="zh-CN"/>
              </w:rPr>
              <w:t>XJHS-2023-313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2</w:t>
            </w:r>
          </w:p>
        </w:tc>
        <w:tc>
          <w:tcPr>
            <w:tcW w:w="9245" w:type="dxa"/>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磋商内容：包含磋商文件、补充答疑文件、采购需求等全部采购及服务内容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3</w:t>
            </w:r>
          </w:p>
        </w:tc>
        <w:tc>
          <w:tcPr>
            <w:tcW w:w="9245" w:type="dxa"/>
            <w:vAlign w:val="center"/>
          </w:tcPr>
          <w:p>
            <w:pPr>
              <w:pStyle w:val="20"/>
              <w:spacing w:before="75" w:after="75" w:line="400" w:lineRule="exact"/>
              <w:jc w:val="both"/>
              <w:rPr>
                <w:highlight w:val="none"/>
              </w:rPr>
            </w:pPr>
            <w:r>
              <w:rPr>
                <w:rFonts w:hint="eastAsia"/>
                <w:highlight w:val="none"/>
              </w:rPr>
              <w:t>磋商供应商资格要求：</w:t>
            </w:r>
          </w:p>
          <w:p>
            <w:pPr>
              <w:pStyle w:val="20"/>
              <w:spacing w:before="75" w:after="75" w:line="400" w:lineRule="exact"/>
              <w:jc w:val="both"/>
              <w:rPr>
                <w:highlight w:val="none"/>
              </w:rPr>
            </w:pPr>
            <w:r>
              <w:rPr>
                <w:rFonts w:hint="eastAsia"/>
                <w:highlight w:val="none"/>
              </w:rPr>
              <w:t>1.满足《中华人民共和国政府采购法》第二十二条规定；</w:t>
            </w:r>
          </w:p>
          <w:p>
            <w:pPr>
              <w:pStyle w:val="20"/>
              <w:spacing w:before="75" w:after="75" w:line="400" w:lineRule="exact"/>
              <w:jc w:val="both"/>
              <w:rPr>
                <w:highlight w:val="none"/>
              </w:rPr>
            </w:pPr>
            <w:r>
              <w:rPr>
                <w:rFonts w:hint="eastAsia"/>
                <w:highlight w:val="none"/>
              </w:rPr>
              <w:t>2.落实政府采购政策需满足的资格要求：</w:t>
            </w:r>
            <w:r>
              <w:rPr>
                <w:rFonts w:hint="eastAsia"/>
                <w:highlight w:val="none"/>
                <w:lang w:val="en-US" w:eastAsia="zh-CN"/>
              </w:rPr>
              <w:t>本项目非专门面向中小企业</w:t>
            </w:r>
          </w:p>
          <w:p>
            <w:pPr>
              <w:pStyle w:val="20"/>
              <w:spacing w:before="75" w:after="75" w:line="400" w:lineRule="exact"/>
              <w:jc w:val="both"/>
              <w:rPr>
                <w:highlight w:val="none"/>
              </w:rPr>
            </w:pPr>
            <w:r>
              <w:rPr>
                <w:rFonts w:hint="eastAsia"/>
                <w:highlight w:val="none"/>
              </w:rPr>
              <w:t>3.本项目的特定资格要求：</w:t>
            </w:r>
          </w:p>
          <w:p>
            <w:pPr>
              <w:pStyle w:val="20"/>
              <w:spacing w:before="75" w:after="75" w:line="400" w:lineRule="exact"/>
              <w:jc w:val="both"/>
              <w:rPr>
                <w:highlight w:val="none"/>
              </w:rPr>
            </w:pPr>
            <w:r>
              <w:rPr>
                <w:rFonts w:hint="eastAsia"/>
                <w:highlight w:val="none"/>
              </w:rPr>
              <w:t>（1）、投标人须是中华人民共和国境内注册的，具有有效的营业执照；</w:t>
            </w:r>
          </w:p>
          <w:p>
            <w:pPr>
              <w:pStyle w:val="20"/>
              <w:spacing w:before="75" w:after="75" w:line="400" w:lineRule="exact"/>
              <w:jc w:val="both"/>
              <w:rPr>
                <w:highlight w:val="none"/>
              </w:rPr>
            </w:pPr>
            <w:r>
              <w:rPr>
                <w:rFonts w:hint="eastAsia"/>
                <w:highlight w:val="none"/>
              </w:rPr>
              <w:t>（2）、投标人不得为“信用中国网站（www.creditchina.gov.cn）中列入失信被执行人和税收违法黑名单的供应商，不得为中国政府采购网（www.ccgp.gov.cn）政府采购严重违法失信行为记录名单中被财政部门禁止参加政府采购活动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4</w:t>
            </w:r>
          </w:p>
        </w:tc>
        <w:tc>
          <w:tcPr>
            <w:tcW w:w="9245" w:type="dxa"/>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信用查询时间:磋商响应文件提交截止时间前一天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5</w:t>
            </w:r>
          </w:p>
        </w:tc>
        <w:tc>
          <w:tcPr>
            <w:tcW w:w="9245" w:type="dxa"/>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竞争性磋商文件费用：0元。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6</w:t>
            </w:r>
          </w:p>
        </w:tc>
        <w:tc>
          <w:tcPr>
            <w:tcW w:w="9245" w:type="dxa"/>
            <w:vAlign w:val="center"/>
          </w:tcPr>
          <w:p>
            <w:pPr>
              <w:spacing w:line="360" w:lineRule="auto"/>
              <w:jc w:val="left"/>
              <w:rPr>
                <w:rFonts w:ascii="宋体" w:hAnsi="宋体" w:cs="宋体"/>
                <w:bCs/>
                <w:sz w:val="24"/>
                <w:szCs w:val="24"/>
                <w:highlight w:val="none"/>
              </w:rPr>
            </w:pPr>
            <w:r>
              <w:rPr>
                <w:rFonts w:hint="eastAsia" w:ascii="宋体" w:hAnsi="宋体" w:cs="宋体"/>
                <w:bCs/>
                <w:sz w:val="24"/>
                <w:szCs w:val="24"/>
                <w:highlight w:val="none"/>
              </w:rPr>
              <w:t>投标保证金的金额：人民币</w:t>
            </w:r>
            <w:r>
              <w:rPr>
                <w:rFonts w:hint="eastAsia" w:ascii="宋体" w:hAnsi="宋体" w:cs="宋体"/>
                <w:bCs/>
                <w:sz w:val="24"/>
                <w:szCs w:val="24"/>
                <w:highlight w:val="none"/>
                <w:lang w:val="en-US" w:eastAsia="zh-CN"/>
              </w:rPr>
              <w:t>11000</w:t>
            </w:r>
            <w:r>
              <w:rPr>
                <w:rFonts w:hint="eastAsia" w:ascii="宋体" w:hAnsi="宋体" w:cs="宋体"/>
                <w:bCs/>
                <w:sz w:val="24"/>
                <w:szCs w:val="24"/>
                <w:highlight w:val="none"/>
              </w:rPr>
              <w:t>元</w:t>
            </w:r>
          </w:p>
          <w:p>
            <w:pPr>
              <w:spacing w:line="360" w:lineRule="auto"/>
              <w:jc w:val="left"/>
              <w:rPr>
                <w:rFonts w:ascii="宋体" w:hAnsi="宋体" w:cs="宋体"/>
                <w:bCs/>
                <w:sz w:val="24"/>
                <w:szCs w:val="24"/>
                <w:highlight w:val="none"/>
              </w:rPr>
            </w:pPr>
            <w:r>
              <w:rPr>
                <w:rFonts w:hint="eastAsia" w:ascii="宋体" w:hAnsi="宋体" w:cs="宋体"/>
                <w:bCs/>
                <w:sz w:val="24"/>
                <w:szCs w:val="24"/>
                <w:highlight w:val="none"/>
              </w:rPr>
              <w:t>于</w:t>
            </w:r>
            <w:r>
              <w:rPr>
                <w:rFonts w:hint="eastAsia" w:ascii="宋体" w:hAnsi="宋体" w:cs="宋体"/>
                <w:bCs/>
                <w:sz w:val="24"/>
                <w:szCs w:val="24"/>
                <w:highlight w:val="none"/>
              </w:rPr>
              <w:t>2023年</w:t>
            </w:r>
            <w:r>
              <w:rPr>
                <w:rFonts w:hint="eastAsia" w:ascii="宋体" w:hAnsi="宋体" w:cs="宋体"/>
                <w:bCs/>
                <w:sz w:val="24"/>
                <w:szCs w:val="24"/>
                <w:highlight w:val="none"/>
                <w:lang w:val="en-US" w:eastAsia="zh-CN"/>
              </w:rPr>
              <w:t>12</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25</w:t>
            </w:r>
            <w:r>
              <w:rPr>
                <w:rFonts w:hint="eastAsia" w:ascii="宋体" w:hAnsi="宋体" w:cs="宋体"/>
                <w:bCs/>
                <w:sz w:val="24"/>
                <w:szCs w:val="24"/>
                <w:highlight w:val="none"/>
              </w:rPr>
              <w:t>日11时00分前</w:t>
            </w:r>
            <w:r>
              <w:rPr>
                <w:rFonts w:hint="eastAsia" w:ascii="宋体" w:hAnsi="宋体" w:cs="宋体"/>
                <w:bCs/>
                <w:sz w:val="24"/>
                <w:szCs w:val="24"/>
                <w:highlight w:val="none"/>
              </w:rPr>
              <w:t>（北京时间，以到账时间为准)从投标人基本账户以银行电汇、网银形式汇至指定账户，投标人递交投标保证金应充分考虑资金在途时间。</w:t>
            </w:r>
          </w:p>
          <w:p>
            <w:pPr>
              <w:spacing w:line="360" w:lineRule="auto"/>
              <w:jc w:val="left"/>
              <w:rPr>
                <w:rFonts w:ascii="宋体" w:hAnsi="宋体" w:cs="宋体"/>
                <w:bCs/>
                <w:sz w:val="24"/>
                <w:szCs w:val="24"/>
                <w:highlight w:val="none"/>
              </w:rPr>
            </w:pPr>
            <w:r>
              <w:rPr>
                <w:rFonts w:hint="eastAsia" w:ascii="宋体" w:hAnsi="宋体" w:cs="宋体"/>
                <w:bCs/>
                <w:sz w:val="24"/>
                <w:szCs w:val="24"/>
                <w:highlight w:val="none"/>
              </w:rPr>
              <w:t>开户单位名称：新疆泓升项目管理有限公司</w:t>
            </w:r>
          </w:p>
          <w:p>
            <w:pPr>
              <w:spacing w:line="360" w:lineRule="auto"/>
              <w:jc w:val="left"/>
              <w:rPr>
                <w:rFonts w:ascii="宋体" w:hAnsi="宋体" w:cs="宋体"/>
                <w:bCs/>
                <w:sz w:val="24"/>
                <w:szCs w:val="24"/>
                <w:highlight w:val="none"/>
              </w:rPr>
            </w:pPr>
            <w:r>
              <w:rPr>
                <w:rFonts w:hint="eastAsia" w:ascii="宋体" w:hAnsi="宋体" w:cs="宋体"/>
                <w:bCs/>
                <w:sz w:val="24"/>
                <w:szCs w:val="24"/>
                <w:highlight w:val="none"/>
              </w:rPr>
              <w:t>开户银行：中国农业银行股份有限公司乌鲁木齐长江路支行</w:t>
            </w:r>
          </w:p>
          <w:p>
            <w:pPr>
              <w:spacing w:line="360" w:lineRule="auto"/>
              <w:jc w:val="left"/>
              <w:rPr>
                <w:rFonts w:ascii="宋体" w:hAnsi="宋体" w:cs="宋体"/>
                <w:bCs/>
                <w:sz w:val="24"/>
                <w:szCs w:val="24"/>
                <w:highlight w:val="none"/>
              </w:rPr>
            </w:pPr>
            <w:r>
              <w:rPr>
                <w:rFonts w:hint="eastAsia" w:ascii="宋体" w:hAnsi="宋体" w:cs="宋体"/>
                <w:bCs/>
                <w:sz w:val="24"/>
                <w:szCs w:val="24"/>
                <w:highlight w:val="none"/>
              </w:rPr>
              <w:t>账户账号：30002401040008748</w:t>
            </w:r>
          </w:p>
          <w:p>
            <w:pPr>
              <w:spacing w:line="360" w:lineRule="auto"/>
              <w:jc w:val="left"/>
              <w:rPr>
                <w:rFonts w:ascii="宋体" w:hAnsi="宋体" w:cs="宋体"/>
                <w:bCs/>
                <w:sz w:val="24"/>
                <w:szCs w:val="24"/>
                <w:highlight w:val="none"/>
              </w:rPr>
            </w:pPr>
            <w:r>
              <w:rPr>
                <w:rFonts w:hint="eastAsia" w:ascii="宋体" w:hAnsi="宋体" w:cs="宋体"/>
                <w:bCs/>
                <w:sz w:val="24"/>
                <w:szCs w:val="24"/>
                <w:highlight w:val="none"/>
              </w:rPr>
              <w:t>开户行行号：103881000244</w:t>
            </w:r>
          </w:p>
          <w:p>
            <w:pPr>
              <w:spacing w:line="360" w:lineRule="auto"/>
              <w:jc w:val="left"/>
              <w:rPr>
                <w:rFonts w:ascii="宋体" w:hAnsi="宋体" w:cs="宋体"/>
                <w:bCs/>
                <w:sz w:val="24"/>
                <w:szCs w:val="24"/>
                <w:highlight w:val="none"/>
              </w:rPr>
            </w:pPr>
            <w:r>
              <w:rPr>
                <w:rFonts w:hint="eastAsia" w:ascii="宋体" w:hAnsi="宋体" w:cs="宋体"/>
                <w:bCs/>
                <w:sz w:val="24"/>
                <w:szCs w:val="24"/>
                <w:highlight w:val="none"/>
              </w:rPr>
              <w:t>投标保证金的形式：银行电汇、网银</w:t>
            </w:r>
          </w:p>
          <w:p>
            <w:pPr>
              <w:spacing w:line="360" w:lineRule="auto"/>
              <w:jc w:val="left"/>
              <w:rPr>
                <w:rFonts w:ascii="宋体" w:hAnsi="宋体" w:cs="宋体"/>
                <w:bCs/>
                <w:sz w:val="24"/>
                <w:szCs w:val="24"/>
                <w:highlight w:val="none"/>
              </w:rPr>
            </w:pPr>
            <w:r>
              <w:rPr>
                <w:rFonts w:hint="eastAsia" w:ascii="宋体" w:hAnsi="宋体" w:cs="宋体"/>
                <w:bCs/>
                <w:sz w:val="24"/>
                <w:szCs w:val="24"/>
                <w:highlight w:val="none"/>
              </w:rPr>
              <w:t>汇款后请把汇款凭证复印件放在投标文件中，无需到公司换取收据。</w:t>
            </w:r>
          </w:p>
          <w:p>
            <w:pPr>
              <w:spacing w:line="360" w:lineRule="auto"/>
              <w:jc w:val="left"/>
              <w:rPr>
                <w:rFonts w:ascii="宋体" w:hAnsi="宋体" w:cs="宋体"/>
                <w:bCs/>
                <w:sz w:val="24"/>
                <w:szCs w:val="24"/>
                <w:highlight w:val="none"/>
              </w:rPr>
            </w:pPr>
            <w:r>
              <w:rPr>
                <w:rFonts w:hint="eastAsia" w:ascii="宋体" w:hAnsi="宋体" w:cs="宋体"/>
                <w:bCs/>
                <w:sz w:val="24"/>
                <w:szCs w:val="24"/>
                <w:highlight w:val="none"/>
              </w:rPr>
              <w:t>退还投标保证金找招标文件中的项目负责人办理。</w:t>
            </w:r>
          </w:p>
          <w:p>
            <w:pPr>
              <w:spacing w:line="360" w:lineRule="auto"/>
              <w:jc w:val="left"/>
              <w:rPr>
                <w:rFonts w:ascii="宋体" w:hAnsi="宋体" w:cs="宋体"/>
                <w:b/>
                <w:sz w:val="24"/>
                <w:szCs w:val="24"/>
                <w:highlight w:val="none"/>
              </w:rPr>
            </w:pPr>
            <w:r>
              <w:rPr>
                <w:rFonts w:hint="eastAsia" w:ascii="宋体" w:hAnsi="宋体" w:cs="宋体"/>
                <w:b/>
                <w:sz w:val="24"/>
                <w:szCs w:val="24"/>
                <w:highlight w:val="none"/>
              </w:rPr>
              <w:t>注：供应商递交磋商保证金时，须注明所投项目名称及采购项目编号。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7</w:t>
            </w:r>
          </w:p>
        </w:tc>
        <w:tc>
          <w:tcPr>
            <w:tcW w:w="9245" w:type="dxa"/>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lang w:val="en-US" w:eastAsia="zh-CN"/>
              </w:rPr>
              <w:t>最高限价</w:t>
            </w:r>
            <w:r>
              <w:rPr>
                <w:rFonts w:hint="eastAsia" w:ascii="宋体" w:hAnsi="宋体" w:cs="宋体"/>
                <w:sz w:val="24"/>
                <w:szCs w:val="24"/>
                <w:highlight w:val="none"/>
              </w:rPr>
              <w:t>：</w:t>
            </w:r>
            <w:r>
              <w:rPr>
                <w:rFonts w:hint="eastAsia" w:ascii="宋体" w:hAnsi="宋体" w:cs="宋体"/>
                <w:sz w:val="24"/>
                <w:szCs w:val="24"/>
                <w:highlight w:val="none"/>
                <w:lang w:val="en-US" w:eastAsia="zh-CN"/>
              </w:rPr>
              <w:t>1100000.00</w:t>
            </w:r>
            <w:r>
              <w:rPr>
                <w:rFonts w:hint="eastAsia"/>
                <w:sz w:val="24"/>
                <w:szCs w:val="24"/>
                <w:highlight w:val="none"/>
              </w:rPr>
              <w:t>元（大写：</w:t>
            </w:r>
            <w:r>
              <w:rPr>
                <w:rFonts w:hint="eastAsia"/>
                <w:sz w:val="24"/>
                <w:szCs w:val="24"/>
                <w:highlight w:val="none"/>
                <w:lang w:val="en-US" w:eastAsia="zh-CN"/>
              </w:rPr>
              <w:t>壹佰壹拾万元整</w:t>
            </w:r>
            <w:r>
              <w:rPr>
                <w:rFonts w:hint="eastAsia"/>
                <w:sz w:val="24"/>
                <w:szCs w:val="24"/>
                <w:highlight w:val="none"/>
              </w:rPr>
              <w:t>）超出此限价按无效投标处理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8</w:t>
            </w:r>
          </w:p>
        </w:tc>
        <w:tc>
          <w:tcPr>
            <w:tcW w:w="9245" w:type="dxa"/>
            <w:vAlign w:val="center"/>
          </w:tcPr>
          <w:p>
            <w:pPr>
              <w:numPr>
                <w:ilvl w:val="0"/>
                <w:numId w:val="3"/>
              </w:numPr>
              <w:spacing w:line="360" w:lineRule="auto"/>
              <w:jc w:val="left"/>
              <w:rPr>
                <w:rFonts w:ascii="宋体" w:hAnsi="宋体" w:cs="宋体"/>
                <w:bCs/>
                <w:sz w:val="24"/>
                <w:szCs w:val="24"/>
                <w:highlight w:val="none"/>
              </w:rPr>
            </w:pPr>
            <w:r>
              <w:rPr>
                <w:rFonts w:hint="eastAsia" w:ascii="宋体" w:hAnsi="宋体" w:cs="宋体"/>
                <w:bCs/>
                <w:sz w:val="24"/>
                <w:szCs w:val="24"/>
                <w:highlight w:val="none"/>
              </w:rPr>
              <w:t>电子投标文件递交：供应商应于</w:t>
            </w:r>
            <w:r>
              <w:rPr>
                <w:rFonts w:hint="eastAsia" w:ascii="宋体" w:hAnsi="宋体" w:cs="宋体"/>
                <w:bCs/>
                <w:sz w:val="24"/>
                <w:szCs w:val="24"/>
                <w:highlight w:val="none"/>
              </w:rPr>
              <w:t>2023年</w:t>
            </w:r>
            <w:r>
              <w:rPr>
                <w:rFonts w:hint="eastAsia" w:ascii="宋体" w:hAnsi="宋体" w:cs="宋体"/>
                <w:bCs/>
                <w:sz w:val="24"/>
                <w:szCs w:val="24"/>
                <w:highlight w:val="none"/>
                <w:lang w:val="en-US" w:eastAsia="zh-CN"/>
              </w:rPr>
              <w:t>12</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25</w:t>
            </w:r>
            <w:r>
              <w:rPr>
                <w:rFonts w:hint="eastAsia" w:ascii="宋体" w:hAnsi="宋体" w:cs="宋体"/>
                <w:bCs/>
                <w:sz w:val="24"/>
                <w:szCs w:val="24"/>
                <w:highlight w:val="none"/>
              </w:rPr>
              <w:t>日11:00时</w:t>
            </w:r>
            <w:r>
              <w:rPr>
                <w:rFonts w:hint="eastAsia" w:ascii="宋体" w:hAnsi="宋体" w:cs="宋体"/>
                <w:bCs/>
                <w:sz w:val="24"/>
                <w:szCs w:val="24"/>
                <w:highlight w:val="none"/>
              </w:rPr>
              <w:t>之前将电子投标文件上传到“政采云”平台。应按照本项目招标文件和政采云平台的要求编制、加密传输投标文件。供应商对不见面开评标系统的技术操作咨询，可通过https://edu.zcygov.cn/luban/xinjiang-e-biding 自助查询，也可在政采云帮助中心常见问题解答和操作流程讲解视频中自助查询，网址为：  https://service.zcygov.cn/#/help，“项目采购”—“操作流程-电子 招投标”—“政府采购项目电子交易管理操作指南-供应商”版面获取操 作指南，同时对自助查询无法解决的问题可通过钉钉群及政采云在线客服获取服务支持。</w:t>
            </w:r>
          </w:p>
          <w:p>
            <w:pPr>
              <w:spacing w:line="360" w:lineRule="auto"/>
              <w:jc w:val="left"/>
              <w:rPr>
                <w:rFonts w:ascii="宋体" w:hAnsi="宋体" w:cs="宋体"/>
                <w:bCs/>
                <w:sz w:val="24"/>
                <w:szCs w:val="24"/>
                <w:highlight w:val="none"/>
              </w:rPr>
            </w:pPr>
            <w:r>
              <w:rPr>
                <w:rFonts w:hint="eastAsia" w:ascii="宋体" w:hAnsi="宋体" w:cs="宋体"/>
                <w:bCs/>
                <w:sz w:val="24"/>
                <w:szCs w:val="24"/>
                <w:highlight w:val="none"/>
              </w:rPr>
              <w:t>（2）投标现场无需递交投标文件，中标单位公示完之后需提供：</w:t>
            </w:r>
          </w:p>
          <w:p>
            <w:pPr>
              <w:spacing w:line="360" w:lineRule="auto"/>
              <w:jc w:val="left"/>
              <w:rPr>
                <w:rFonts w:ascii="宋体" w:hAnsi="宋体" w:cs="宋体"/>
                <w:bCs/>
                <w:sz w:val="24"/>
                <w:szCs w:val="24"/>
                <w:highlight w:val="none"/>
              </w:rPr>
            </w:pPr>
            <w:r>
              <w:rPr>
                <w:rFonts w:hint="eastAsia" w:ascii="宋体" w:hAnsi="宋体" w:cs="宋体"/>
                <w:bCs/>
                <w:sz w:val="24"/>
                <w:szCs w:val="24"/>
                <w:highlight w:val="none"/>
              </w:rPr>
              <w:t>纸质版投标文件：正本一份、副本四份。</w:t>
            </w:r>
          </w:p>
          <w:p>
            <w:pPr>
              <w:spacing w:line="360" w:lineRule="auto"/>
              <w:jc w:val="left"/>
              <w:rPr>
                <w:rFonts w:ascii="宋体" w:hAnsi="宋体" w:cs="宋体"/>
                <w:sz w:val="24"/>
                <w:szCs w:val="24"/>
                <w:highlight w:val="none"/>
              </w:rPr>
            </w:pPr>
            <w:r>
              <w:rPr>
                <w:rFonts w:hint="eastAsia" w:ascii="宋体" w:hAnsi="宋体" w:cs="宋体"/>
                <w:bCs/>
                <w:sz w:val="24"/>
                <w:szCs w:val="24"/>
                <w:highlight w:val="none"/>
              </w:rPr>
              <w:t>投标文件电子版：以u盘为介质的投标文件电子版一份。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9</w:t>
            </w:r>
          </w:p>
        </w:tc>
        <w:tc>
          <w:tcPr>
            <w:tcW w:w="9245" w:type="dxa"/>
            <w:vAlign w:val="center"/>
          </w:tcPr>
          <w:p>
            <w:pPr>
              <w:spacing w:line="440" w:lineRule="exact"/>
              <w:rPr>
                <w:rFonts w:ascii="宋体" w:hAnsi="宋体" w:cs="宋体"/>
                <w:bCs/>
                <w:sz w:val="24"/>
                <w:szCs w:val="24"/>
                <w:highlight w:val="none"/>
              </w:rPr>
            </w:pPr>
            <w:r>
              <w:rPr>
                <w:rFonts w:hint="eastAsia" w:ascii="宋体" w:hAnsi="宋体" w:cs="宋体"/>
                <w:bCs/>
                <w:sz w:val="24"/>
                <w:szCs w:val="24"/>
                <w:highlight w:val="none"/>
              </w:rPr>
              <w:t>本项目实行网上投标，采用电子投标文件。若供应商参与投标，自行承担投标一切费用。</w:t>
            </w:r>
          </w:p>
          <w:p>
            <w:pPr>
              <w:spacing w:line="440" w:lineRule="exact"/>
              <w:rPr>
                <w:rFonts w:ascii="宋体" w:hAnsi="宋体" w:cs="宋体"/>
                <w:bCs/>
                <w:sz w:val="24"/>
                <w:szCs w:val="24"/>
                <w:highlight w:val="none"/>
              </w:rPr>
            </w:pPr>
            <w:r>
              <w:rPr>
                <w:rFonts w:hint="eastAsia" w:ascii="宋体" w:hAnsi="宋体" w:cs="宋体"/>
                <w:bCs/>
                <w:sz w:val="24"/>
                <w:szCs w:val="24"/>
                <w:highlight w:val="none"/>
              </w:rPr>
              <w:t>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440" w:lineRule="exact"/>
              <w:rPr>
                <w:rFonts w:ascii="宋体" w:hAnsi="宋体" w:cs="宋体"/>
                <w:b/>
                <w:sz w:val="24"/>
                <w:szCs w:val="24"/>
                <w:highlight w:val="none"/>
              </w:rPr>
            </w:pPr>
            <w:r>
              <w:rPr>
                <w:rFonts w:hint="eastAsia" w:ascii="宋体" w:hAnsi="宋体" w:cs="宋体"/>
                <w:bCs/>
                <w:sz w:val="24"/>
                <w:szCs w:val="24"/>
                <w:highlight w:val="none"/>
              </w:rPr>
              <w:t>投标供应商应当在投标截止时间前，将生成的“电子加密投标文件”上传递交至“政府采购云平台”。投标截止时间以后上传递交的投标文件将被“政府采购云平台”拒收。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10</w:t>
            </w:r>
          </w:p>
        </w:tc>
        <w:tc>
          <w:tcPr>
            <w:tcW w:w="9245" w:type="dxa"/>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磋商报价：供应商的报价应为所确定的招标范围内的全部工作内容的价格体现。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1"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11</w:t>
            </w:r>
          </w:p>
        </w:tc>
        <w:tc>
          <w:tcPr>
            <w:tcW w:w="9245" w:type="dxa"/>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投标文件解密时间为30分钟，供应商可以登录“政采云”平台，用“项目采购-开标评标”功能进行解密投标文件。若供应商在招标代理现场规定的时间内未按时解密的，视为投标文件撤回。因网上招标系统故障导致所有供应商均解密失败， 由采购人或采 购代理机构现场请示项目主管部门处理。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12</w:t>
            </w:r>
          </w:p>
        </w:tc>
        <w:tc>
          <w:tcPr>
            <w:tcW w:w="9245" w:type="dxa"/>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磋商响应文件的递交截止时间：</w:t>
            </w:r>
            <w:r>
              <w:rPr>
                <w:rFonts w:hint="eastAsia" w:ascii="宋体" w:hAnsi="宋体" w:cs="宋体"/>
                <w:sz w:val="24"/>
                <w:szCs w:val="24"/>
                <w:highlight w:val="none"/>
              </w:rPr>
              <w:t>2023年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25</w:t>
            </w:r>
            <w:r>
              <w:rPr>
                <w:rFonts w:hint="eastAsia" w:ascii="宋体" w:hAnsi="宋体" w:cs="宋体"/>
                <w:sz w:val="24"/>
                <w:szCs w:val="24"/>
                <w:highlight w:val="none"/>
              </w:rPr>
              <w:t>日11:00（北京时间）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13</w:t>
            </w:r>
          </w:p>
        </w:tc>
        <w:tc>
          <w:tcPr>
            <w:tcW w:w="9245" w:type="dxa"/>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磋商响应文件递交地点：</w:t>
            </w:r>
            <w:r>
              <w:rPr>
                <w:rFonts w:hint="eastAsia" w:ascii="宋体" w:hAnsi="宋体" w:cs="宋体"/>
                <w:kern w:val="0"/>
                <w:sz w:val="24"/>
                <w:szCs w:val="24"/>
                <w:highlight w:val="none"/>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14</w:t>
            </w:r>
          </w:p>
        </w:tc>
        <w:tc>
          <w:tcPr>
            <w:tcW w:w="9245" w:type="dxa"/>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磋商响应时间</w:t>
            </w:r>
            <w:r>
              <w:rPr>
                <w:rFonts w:hint="eastAsia" w:ascii="宋体" w:hAnsi="宋体" w:cs="宋体"/>
                <w:sz w:val="24"/>
                <w:szCs w:val="24"/>
                <w:highlight w:val="none"/>
              </w:rPr>
              <w:t>：2023年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25</w:t>
            </w:r>
            <w:r>
              <w:rPr>
                <w:rFonts w:hint="eastAsia" w:ascii="宋体" w:hAnsi="宋体" w:cs="宋体"/>
                <w:sz w:val="24"/>
                <w:szCs w:val="24"/>
                <w:highlight w:val="none"/>
              </w:rPr>
              <w:t>日11:00（北京时间）</w:t>
            </w:r>
          </w:p>
          <w:p>
            <w:pPr>
              <w:spacing w:line="360" w:lineRule="auto"/>
              <w:jc w:val="left"/>
              <w:rPr>
                <w:rFonts w:ascii="宋体" w:hAnsi="宋体" w:cs="宋体"/>
                <w:sz w:val="24"/>
                <w:szCs w:val="24"/>
                <w:highlight w:val="none"/>
              </w:rPr>
            </w:pPr>
            <w:r>
              <w:rPr>
                <w:rFonts w:hint="eastAsia" w:ascii="宋体" w:hAnsi="宋体" w:cs="宋体"/>
                <w:sz w:val="24"/>
                <w:szCs w:val="24"/>
                <w:highlight w:val="none"/>
              </w:rPr>
              <w:t>磋商地点：</w:t>
            </w:r>
            <w:r>
              <w:rPr>
                <w:rFonts w:hint="eastAsia" w:ascii="宋体" w:hAnsi="宋体" w:cs="宋体"/>
                <w:kern w:val="0"/>
                <w:sz w:val="24"/>
                <w:szCs w:val="24"/>
                <w:highlight w:val="none"/>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15</w:t>
            </w:r>
          </w:p>
        </w:tc>
        <w:tc>
          <w:tcPr>
            <w:tcW w:w="9245" w:type="dxa"/>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成交原则：依据提交最后报价的供应商，由磋商小组采用综合评分法对提交最后报价的供应商的磋商响应文件和最后报价进行综合评分。</w:t>
            </w:r>
          </w:p>
          <w:p>
            <w:pPr>
              <w:spacing w:line="360" w:lineRule="auto"/>
              <w:jc w:val="left"/>
              <w:rPr>
                <w:rFonts w:ascii="宋体" w:hAnsi="宋体" w:cs="宋体"/>
                <w:sz w:val="24"/>
                <w:szCs w:val="24"/>
                <w:highlight w:val="none"/>
              </w:rPr>
            </w:pPr>
            <w:r>
              <w:rPr>
                <w:rFonts w:hint="eastAsia" w:ascii="宋体" w:hAnsi="宋体" w:cs="宋体"/>
                <w:sz w:val="24"/>
                <w:szCs w:val="24"/>
                <w:highlight w:val="none"/>
              </w:rPr>
              <w:t>综合评分法，是指磋商响应文件满足磋商文件全部实质性要求且按评审因素的量化指标评审得分最高的供应商为成交候选供应商的评审方法。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6</w:t>
            </w:r>
          </w:p>
        </w:tc>
        <w:tc>
          <w:tcPr>
            <w:tcW w:w="9245" w:type="dxa"/>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磋商小组的组建：由采购人代表和评审专家共3人以上单数组成，其中评审专家人数不得少于磋商小组成员总数的2/3。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17</w:t>
            </w:r>
          </w:p>
        </w:tc>
        <w:tc>
          <w:tcPr>
            <w:tcW w:w="92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rPr>
              <w:t>政府采购政策支持：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highlight w:val="none"/>
              </w:rPr>
            </w:pPr>
            <w:r>
              <w:rPr>
                <w:rFonts w:hint="eastAsia" w:ascii="宋体" w:hAnsi="宋体" w:cs="宋体"/>
                <w:sz w:val="24"/>
                <w:szCs w:val="24"/>
                <w:highlight w:val="none"/>
              </w:rPr>
              <w:t>（1）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w:t>
            </w:r>
            <w:r>
              <w:rPr>
                <w:rFonts w:hint="eastAsia" w:ascii="宋体" w:hAnsi="宋体" w:cs="宋体"/>
                <w:sz w:val="24"/>
                <w:szCs w:val="24"/>
                <w:highlight w:val="none"/>
                <w:lang w:eastAsia="zh-CN"/>
              </w:rPr>
              <w:t>采购文件</w:t>
            </w:r>
            <w:r>
              <w:rPr>
                <w:rFonts w:hint="eastAsia" w:ascii="宋体" w:hAnsi="宋体" w:cs="宋体"/>
                <w:sz w:val="24"/>
                <w:szCs w:val="24"/>
                <w:highlight w:val="none"/>
              </w:rPr>
              <w:t>格式提供《中小企业声明函》。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highlight w:val="none"/>
              </w:rPr>
            </w:pPr>
            <w:r>
              <w:rPr>
                <w:rFonts w:hint="eastAsia" w:ascii="宋体" w:hAnsi="宋体" w:cs="宋体"/>
                <w:sz w:val="24"/>
                <w:szCs w:val="24"/>
                <w:highlight w:val="none"/>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highlight w:val="none"/>
              </w:rPr>
            </w:pPr>
            <w:r>
              <w:rPr>
                <w:rFonts w:hint="eastAsia" w:ascii="宋体" w:hAnsi="宋体" w:cs="宋体"/>
                <w:sz w:val="24"/>
                <w:szCs w:val="24"/>
                <w:highlight w:val="none"/>
              </w:rPr>
              <w:t>（3）根据财政部、民政部、中国残疾人联合会《关于促进残疾人就业政府采购政策的通知》（财库[2017]141号），在政府采购活动中，残疾人福利性单位视同小型、微型企业。投标人属于残疾人福利性单位的，按照</w:t>
            </w:r>
            <w:r>
              <w:rPr>
                <w:rFonts w:hint="eastAsia" w:ascii="宋体" w:hAnsi="宋体" w:cs="宋体"/>
                <w:sz w:val="24"/>
                <w:szCs w:val="24"/>
                <w:highlight w:val="none"/>
                <w:lang w:eastAsia="zh-CN"/>
              </w:rPr>
              <w:t>采购文件</w:t>
            </w:r>
            <w:r>
              <w:rPr>
                <w:rFonts w:hint="eastAsia" w:ascii="宋体" w:hAnsi="宋体" w:cs="宋体"/>
                <w:sz w:val="24"/>
                <w:szCs w:val="24"/>
                <w:highlight w:val="none"/>
              </w:rPr>
              <w:t>格式提供残疾人福利性单位声明函。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备注：（1）本项目所属行业</w:t>
            </w:r>
            <w:r>
              <w:rPr>
                <w:rFonts w:hint="eastAsia" w:ascii="宋体" w:hAnsi="宋体" w:cs="宋体"/>
                <w:sz w:val="24"/>
                <w:szCs w:val="24"/>
                <w:highlight w:val="none"/>
                <w:lang w:val="en-US" w:eastAsia="zh-CN"/>
              </w:rPr>
              <w:t>为</w:t>
            </w:r>
            <w:r>
              <w:rPr>
                <w:rFonts w:hint="eastAsia" w:ascii="宋体" w:hAnsi="宋体" w:cs="宋体"/>
                <w:sz w:val="24"/>
                <w:szCs w:val="24"/>
                <w:highlight w:val="none"/>
                <w:u w:val="single"/>
                <w:lang w:val="en-US" w:eastAsia="zh-CN"/>
              </w:rPr>
              <w:t xml:space="preserve"> 软件和信息技术服务业 </w:t>
            </w:r>
            <w:r>
              <w:rPr>
                <w:rFonts w:hint="eastAsia" w:ascii="宋体" w:hAnsi="宋体" w:cs="宋体"/>
                <w:sz w:val="24"/>
                <w:szCs w:val="24"/>
                <w:highlight w:val="none"/>
                <w:lang w:val="en-US" w:eastAsia="zh-CN"/>
              </w:rPr>
              <w:t>行业</w:t>
            </w:r>
            <w:r>
              <w:rPr>
                <w:rFonts w:hint="eastAsia" w:ascii="宋体" w:hAnsi="宋体" w:cs="宋体"/>
                <w:sz w:val="24"/>
                <w:szCs w:val="24"/>
                <w:highlight w:val="none"/>
                <w:lang w:val="en-US" w:eastAsia="zh-CN"/>
              </w:rPr>
              <w:t>，对属于中小型和微型企业的投标人的投标报价给予10%的扣除，用扣除后的价格参与评审。残疾人福利性单位视同小型、微型企业，享受同等价格扣除，但同时属于残疾人福利性单位和小微企业的，不重复价格扣除。</w:t>
            </w: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（2）不符合上述适用情形的投标人无需提供上述声明函件。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18</w:t>
            </w:r>
          </w:p>
        </w:tc>
        <w:tc>
          <w:tcPr>
            <w:tcW w:w="9245" w:type="dxa"/>
            <w:vAlign w:val="center"/>
          </w:tcPr>
          <w:p>
            <w:pPr>
              <w:spacing w:line="360" w:lineRule="auto"/>
              <w:jc w:val="left"/>
              <w:rPr>
                <w:rFonts w:ascii="宋体" w:hAnsi="宋体"/>
                <w:sz w:val="24"/>
                <w:highlight w:val="none"/>
              </w:rPr>
            </w:pPr>
            <w:r>
              <w:rPr>
                <w:rFonts w:hint="eastAsia" w:ascii="宋体" w:hAnsi="宋体"/>
                <w:sz w:val="24"/>
                <w:highlight w:val="none"/>
              </w:rPr>
              <w:t>服务期：验收合格之日起二年</w:t>
            </w:r>
          </w:p>
          <w:p>
            <w:pPr>
              <w:spacing w:line="360" w:lineRule="auto"/>
              <w:jc w:val="left"/>
              <w:rPr>
                <w:rFonts w:hint="eastAsia" w:ascii="宋体" w:hAnsi="宋体" w:eastAsia="宋体"/>
                <w:sz w:val="24"/>
                <w:highlight w:val="none"/>
                <w:lang w:val="en-US" w:eastAsia="zh-CN"/>
              </w:rPr>
            </w:pPr>
            <w:r>
              <w:rPr>
                <w:rFonts w:hint="eastAsia" w:ascii="宋体" w:hAnsi="宋体"/>
                <w:sz w:val="24"/>
                <w:highlight w:val="none"/>
                <w:lang w:val="en-US" w:eastAsia="zh-CN"/>
              </w:rPr>
              <w:t>保修期：验收合格之日起二年</w:t>
            </w:r>
          </w:p>
          <w:p>
            <w:pPr>
              <w:spacing w:line="360" w:lineRule="auto"/>
              <w:jc w:val="left"/>
              <w:rPr>
                <w:rFonts w:ascii="宋体" w:hAnsi="宋体"/>
                <w:sz w:val="24"/>
                <w:highlight w:val="none"/>
              </w:rPr>
            </w:pPr>
            <w:r>
              <w:rPr>
                <w:rFonts w:hint="eastAsia" w:ascii="宋体" w:hAnsi="宋体"/>
                <w:sz w:val="24"/>
                <w:highlight w:val="none"/>
              </w:rPr>
              <w:t>服务地点：采购人指定地点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19</w:t>
            </w:r>
          </w:p>
        </w:tc>
        <w:tc>
          <w:tcPr>
            <w:tcW w:w="9245" w:type="dxa"/>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付款方式：在签订合同后</w:t>
            </w:r>
            <w:r>
              <w:rPr>
                <w:rFonts w:hint="eastAsia" w:ascii="宋体" w:hAnsi="宋体" w:cs="宋体"/>
                <w:sz w:val="24"/>
                <w:szCs w:val="24"/>
                <w:highlight w:val="none"/>
                <w:lang w:val="en-US" w:eastAsia="zh-CN"/>
              </w:rPr>
              <w:t>30</w:t>
            </w:r>
            <w:r>
              <w:rPr>
                <w:rFonts w:hint="eastAsia" w:ascii="宋体" w:hAnsi="宋体" w:cs="宋体"/>
                <w:sz w:val="24"/>
                <w:szCs w:val="24"/>
                <w:highlight w:val="none"/>
              </w:rPr>
              <w:t>日内甲方向乙方支付合同总金额的30%作为预付款，通过甲方验收后向乙方支付合同总金额的60%，运维期结束后向乙方支付合同总金额的10%。乙方给甲方提供6%的增值税专用发票，甲方收到发票后付款。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20</w:t>
            </w:r>
          </w:p>
        </w:tc>
        <w:tc>
          <w:tcPr>
            <w:tcW w:w="9245" w:type="dxa"/>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是否允许提交备选方案：不允许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21</w:t>
            </w:r>
          </w:p>
        </w:tc>
        <w:tc>
          <w:tcPr>
            <w:tcW w:w="9245" w:type="dxa"/>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踏勘现场：采购人不组织踏勘现场。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22</w:t>
            </w:r>
          </w:p>
        </w:tc>
        <w:tc>
          <w:tcPr>
            <w:tcW w:w="9245" w:type="dxa"/>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公告发布媒体：新疆政府采购网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23</w:t>
            </w:r>
          </w:p>
        </w:tc>
        <w:tc>
          <w:tcPr>
            <w:tcW w:w="9245" w:type="dxa"/>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磋商文件的澄清和修改：</w:t>
            </w: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提交首次磋商响应文件截止之日前，采购人、采购代理机构或者磋商小组可以对已发出的磋商文件进行必要的澄清或者修改，澄清或者修改的内容作为磋商文件的组成部分。澄清或者修改的内容可能影响磋商响应文件编制的，采购人、采购代理机构应当在提交首次磋商响应文件截止时间至少5日前，以书面形式通知所有获取磋商文件的供应商；不足5日的，采购人、采购代理机构应当顺延提交首次磋商响应文件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1" w:type="dxa"/>
            <w:vAlign w:val="center"/>
          </w:tcPr>
          <w:p>
            <w:pPr>
              <w:snapToGrid w:val="0"/>
              <w:spacing w:line="360" w:lineRule="auto"/>
              <w:ind w:right="105" w:rightChars="50"/>
              <w:jc w:val="center"/>
              <w:rPr>
                <w:highlight w:val="none"/>
              </w:rPr>
            </w:pPr>
            <w:r>
              <w:rPr>
                <w:rFonts w:hint="eastAsia"/>
                <w:highlight w:val="none"/>
              </w:rPr>
              <w:t>24</w:t>
            </w:r>
          </w:p>
        </w:tc>
        <w:tc>
          <w:tcPr>
            <w:tcW w:w="9245" w:type="dxa"/>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采购代理服务费：成交供应商应向政府采购代理机构缴纳代理服务费，</w:t>
            </w:r>
            <w:r>
              <w:rPr>
                <w:rFonts w:hint="eastAsia" w:ascii="宋体" w:hAnsi="宋体" w:cs="宋体"/>
                <w:bCs/>
                <w:sz w:val="24"/>
                <w:szCs w:val="24"/>
                <w:highlight w:val="none"/>
              </w:rPr>
              <w:t>政府采购代理服务费按</w:t>
            </w:r>
            <w:r>
              <w:rPr>
                <w:rFonts w:hint="eastAsia" w:ascii="宋体" w:hAnsi="宋体" w:cs="宋体"/>
                <w:sz w:val="24"/>
                <w:szCs w:val="24"/>
                <w:highlight w:val="none"/>
              </w:rPr>
              <w:t>国家发改委计价格[</w:t>
            </w:r>
            <w:r>
              <w:rPr>
                <w:rFonts w:ascii="宋体" w:hAnsi="宋体" w:cs="宋体"/>
                <w:sz w:val="24"/>
                <w:szCs w:val="24"/>
                <w:highlight w:val="none"/>
              </w:rPr>
              <w:t>2002</w:t>
            </w:r>
            <w:r>
              <w:rPr>
                <w:rFonts w:hint="eastAsia" w:ascii="宋体" w:hAnsi="宋体" w:cs="宋体"/>
                <w:sz w:val="24"/>
                <w:szCs w:val="24"/>
                <w:highlight w:val="none"/>
              </w:rPr>
              <w:t>]</w:t>
            </w:r>
            <w:r>
              <w:rPr>
                <w:rFonts w:ascii="宋体" w:hAnsi="宋体" w:cs="宋体"/>
                <w:sz w:val="24"/>
                <w:szCs w:val="24"/>
                <w:highlight w:val="none"/>
              </w:rPr>
              <w:t>1980号文</w:t>
            </w:r>
            <w:r>
              <w:rPr>
                <w:rFonts w:hint="eastAsia" w:ascii="宋体" w:hAnsi="宋体" w:cs="宋体"/>
                <w:sz w:val="24"/>
                <w:szCs w:val="24"/>
                <w:highlight w:val="none"/>
              </w:rPr>
              <w:t>、</w:t>
            </w:r>
            <w:r>
              <w:rPr>
                <w:rFonts w:hint="eastAsia" w:ascii="宋体" w:hAnsi="宋体" w:cs="宋体"/>
                <w:sz w:val="24"/>
                <w:highlight w:val="none"/>
              </w:rPr>
              <w:t>发改办价格[2003]857号文计取</w:t>
            </w:r>
            <w:r>
              <w:rPr>
                <w:rFonts w:hint="eastAsia" w:ascii="宋体" w:hAnsi="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25</w:t>
            </w:r>
          </w:p>
        </w:tc>
        <w:tc>
          <w:tcPr>
            <w:tcW w:w="9245" w:type="dxa"/>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无论竞标结果如何，供应商均应自行承担竞标所需一切费用。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26</w:t>
            </w:r>
          </w:p>
        </w:tc>
        <w:tc>
          <w:tcPr>
            <w:tcW w:w="9245" w:type="dxa"/>
            <w:vAlign w:val="center"/>
          </w:tcPr>
          <w:p>
            <w:pPr>
              <w:spacing w:line="360" w:lineRule="auto"/>
              <w:jc w:val="left"/>
              <w:rPr>
                <w:rFonts w:ascii="宋体" w:hAnsi="宋体" w:cs="宋体"/>
                <w:sz w:val="24"/>
                <w:szCs w:val="24"/>
                <w:highlight w:val="none"/>
              </w:rPr>
            </w:pPr>
            <w:r>
              <w:rPr>
                <w:rFonts w:hint="eastAsia" w:ascii="宋体" w:hAnsi="宋体" w:cs="宋体"/>
                <w:sz w:val="24"/>
                <w:szCs w:val="24"/>
                <w:highlight w:val="none"/>
              </w:rPr>
              <w:t>磋商有效期：</w:t>
            </w:r>
            <w:r>
              <w:rPr>
                <w:rFonts w:hint="eastAsia" w:ascii="宋体" w:hAnsi="宋体"/>
                <w:sz w:val="24"/>
                <w:szCs w:val="24"/>
                <w:highlight w:val="none"/>
              </w:rPr>
              <w:t>磋商响应文件截止之日起</w:t>
            </w:r>
            <w:r>
              <w:rPr>
                <w:rFonts w:ascii="宋体" w:hAnsi="宋体"/>
                <w:sz w:val="24"/>
                <w:szCs w:val="24"/>
                <w:highlight w:val="none"/>
              </w:rPr>
              <w:t>9</w:t>
            </w:r>
            <w:r>
              <w:rPr>
                <w:rFonts w:hint="eastAsia" w:ascii="宋体" w:hAnsi="宋体"/>
                <w:sz w:val="24"/>
                <w:szCs w:val="24"/>
                <w:highlight w:val="none"/>
              </w:rPr>
              <w:t>0天</w:t>
            </w:r>
            <w:r>
              <w:rPr>
                <w:rFonts w:hint="eastAsia" w:ascii="宋体" w:hAnsi="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napToGrid w:val="0"/>
              <w:spacing w:line="360" w:lineRule="auto"/>
              <w:ind w:right="105" w:rightChars="50"/>
              <w:jc w:val="center"/>
              <w:rPr>
                <w:rFonts w:ascii="宋体" w:hAnsi="宋体" w:cs="宋体"/>
                <w:sz w:val="24"/>
                <w:szCs w:val="24"/>
                <w:highlight w:val="none"/>
              </w:rPr>
            </w:pPr>
            <w:r>
              <w:rPr>
                <w:rFonts w:hint="eastAsia" w:ascii="宋体" w:hAnsi="宋体" w:cs="宋体"/>
                <w:sz w:val="24"/>
                <w:szCs w:val="24"/>
                <w:highlight w:val="none"/>
              </w:rPr>
              <w:t>27</w:t>
            </w:r>
          </w:p>
        </w:tc>
        <w:tc>
          <w:tcPr>
            <w:tcW w:w="9245" w:type="dxa"/>
            <w:vAlign w:val="center"/>
          </w:tcPr>
          <w:p>
            <w:pPr>
              <w:spacing w:line="360" w:lineRule="auto"/>
              <w:jc w:val="left"/>
              <w:rPr>
                <w:rFonts w:ascii="宋体" w:hAnsi="宋体" w:cs="宋体"/>
                <w:sz w:val="24"/>
                <w:szCs w:val="24"/>
                <w:highlight w:val="none"/>
              </w:rPr>
            </w:pPr>
            <w:r>
              <w:rPr>
                <w:rFonts w:hint="eastAsia" w:ascii="宋体" w:hAnsi="宋体"/>
                <w:b/>
                <w:sz w:val="24"/>
                <w:highlight w:val="none"/>
              </w:rPr>
              <w:t>备注：</w:t>
            </w:r>
            <w:r>
              <w:rPr>
                <w:rFonts w:hint="eastAsia" w:ascii="宋体" w:hAnsi="宋体" w:cs="宋体"/>
                <w:sz w:val="24"/>
                <w:szCs w:val="24"/>
                <w:highlight w:val="none"/>
              </w:rPr>
              <w:t>（1）供应商所报服务等同或不得低于磋商文件要求的服务要求。任何对磋商文件的忽略或误解不能作为响应文件存在缺陷或瑕疵的理由，其风险由供应商承担。（2）供应商应保证，在中华人民共和国境内使用投标成果、服务或其任何一部分时，不会产生因第三方提出侵犯其专利权或其它知识产权而引起的法律和经济纠纷。</w:t>
            </w:r>
          </w:p>
        </w:tc>
      </w:tr>
    </w:tbl>
    <w:p>
      <w:pPr>
        <w:snapToGrid w:val="0"/>
        <w:spacing w:line="500" w:lineRule="exact"/>
        <w:jc w:val="left"/>
        <w:outlineLvl w:val="1"/>
        <w:rPr>
          <w:rFonts w:ascii="宋体" w:hAnsi="宋体"/>
          <w:b/>
          <w:sz w:val="24"/>
          <w:szCs w:val="24"/>
          <w:highlight w:val="none"/>
        </w:rPr>
      </w:pPr>
      <w:bookmarkStart w:id="4" w:name="_Toc27351"/>
      <w:r>
        <w:rPr>
          <w:rFonts w:hint="eastAsia" w:ascii="宋体" w:hAnsi="宋体"/>
          <w:b/>
          <w:sz w:val="24"/>
          <w:szCs w:val="24"/>
          <w:highlight w:val="none"/>
        </w:rPr>
        <w:t>说明:当正文中的内容与前附表规定的内容不一致时，以前附表的规定为准。</w:t>
      </w:r>
    </w:p>
    <w:p>
      <w:pPr>
        <w:pageBreakBefore/>
        <w:snapToGrid w:val="0"/>
        <w:spacing w:line="500" w:lineRule="exact"/>
        <w:jc w:val="center"/>
        <w:outlineLvl w:val="1"/>
        <w:rPr>
          <w:rFonts w:ascii="宋体" w:hAnsi="宋体" w:cs="Arial"/>
          <w:sz w:val="24"/>
          <w:szCs w:val="24"/>
          <w:highlight w:val="none"/>
        </w:rPr>
      </w:pPr>
      <w:r>
        <w:rPr>
          <w:rFonts w:hint="eastAsia" w:ascii="宋体" w:hAnsi="宋体"/>
          <w:b/>
          <w:sz w:val="24"/>
          <w:szCs w:val="24"/>
          <w:highlight w:val="none"/>
        </w:rPr>
        <w:t>一、总则</w:t>
      </w:r>
      <w:bookmarkEnd w:id="4"/>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（一）总则</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1.  项目说明</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1.1 本项目的说明详见供应商须知前附表（以下简称“前附表”）所述。</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1.2 本招标项目已经批准，采购单位为</w:t>
      </w:r>
      <w:r>
        <w:rPr>
          <w:rFonts w:hint="eastAsia" w:ascii="宋体" w:hAnsi="宋体"/>
          <w:sz w:val="24"/>
          <w:szCs w:val="24"/>
          <w:highlight w:val="none"/>
          <w:u w:val="single"/>
        </w:rPr>
        <w:t>新疆维吾尔自治区教育考试院</w:t>
      </w:r>
      <w:r>
        <w:rPr>
          <w:rFonts w:hint="eastAsia" w:ascii="宋体" w:hAnsi="宋体"/>
          <w:sz w:val="24"/>
          <w:szCs w:val="24"/>
          <w:highlight w:val="none"/>
        </w:rPr>
        <w:t>，该项目已具备招标条件。</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1.3参加竞标的供应商必须符合供应商须知前附表说明，通过资格后审的供应商为合格的供应商。合格的供应商必须符合磋商文件中对供应商的规定，且具备独立完成本项目的能力，</w:t>
      </w:r>
      <w:r>
        <w:rPr>
          <w:rFonts w:hint="eastAsia" w:ascii="宋体" w:hAnsi="宋体"/>
          <w:b/>
          <w:sz w:val="24"/>
          <w:szCs w:val="24"/>
          <w:highlight w:val="none"/>
        </w:rPr>
        <w:t>成交后不允许转包、违法分包</w:t>
      </w:r>
      <w:r>
        <w:rPr>
          <w:rFonts w:hint="eastAsia" w:ascii="宋体" w:hAnsi="宋体"/>
          <w:sz w:val="24"/>
          <w:szCs w:val="24"/>
          <w:highlight w:val="none"/>
        </w:rPr>
        <w:t>。</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1.4 资格后审包括下列的内容</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1.4.1 供应商须满足“前附表”规定的资格要求 ；</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1.4.2 磋商响应文件有要求供应商法定代表人或其授权代表签字或盖章和加盖供应商公章要求的，供应商须按要求盖章或签字；</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1.4.3供货期、质保期符合磋商文件要求；</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1.4.4 磋商地点符合磋商文件规定；</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1.4.5 磋商内容、质量满足磋商文件要求；</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1.4.6 磋商响应文件中所提条件均符合采购人的要求；</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1.4.7 符合磋商文件中规定的其他实质性要求；</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1.4.8 无法律、法规和规章禁止的其他情况。</w:t>
      </w:r>
    </w:p>
    <w:p>
      <w:pPr>
        <w:snapToGrid w:val="0"/>
        <w:spacing w:line="500" w:lineRule="exact"/>
        <w:ind w:firstLine="482" w:firstLineChars="200"/>
        <w:jc w:val="left"/>
        <w:rPr>
          <w:rFonts w:ascii="宋体" w:hAnsi="宋体"/>
          <w:sz w:val="24"/>
          <w:szCs w:val="24"/>
          <w:highlight w:val="none"/>
        </w:rPr>
      </w:pPr>
      <w:r>
        <w:rPr>
          <w:rFonts w:hint="eastAsia" w:ascii="宋体" w:hAnsi="宋体"/>
          <w:b/>
          <w:bCs/>
          <w:sz w:val="24"/>
          <w:szCs w:val="24"/>
          <w:highlight w:val="none"/>
        </w:rPr>
        <w:t>（二）采购方式</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2.1</w:t>
      </w:r>
      <w:r>
        <w:rPr>
          <w:rFonts w:ascii="宋体" w:hAnsi="宋体"/>
          <w:sz w:val="24"/>
          <w:szCs w:val="24"/>
          <w:highlight w:val="none"/>
        </w:rPr>
        <w:t xml:space="preserve"> </w:t>
      </w:r>
      <w:r>
        <w:rPr>
          <w:rFonts w:hint="eastAsia" w:ascii="宋体" w:hAnsi="宋体"/>
          <w:sz w:val="24"/>
          <w:szCs w:val="24"/>
          <w:highlight w:val="none"/>
        </w:rPr>
        <w:t>本项目采取</w:t>
      </w:r>
      <w:r>
        <w:rPr>
          <w:rFonts w:hint="eastAsia" w:ascii="宋体" w:hAnsi="宋体"/>
          <w:sz w:val="24"/>
          <w:szCs w:val="24"/>
          <w:highlight w:val="none"/>
          <w:u w:val="single"/>
        </w:rPr>
        <w:t>竞争性磋商方式</w:t>
      </w:r>
      <w:r>
        <w:rPr>
          <w:rFonts w:hint="eastAsia" w:ascii="宋体" w:hAnsi="宋体"/>
          <w:sz w:val="24"/>
          <w:szCs w:val="24"/>
          <w:highlight w:val="none"/>
        </w:rPr>
        <w:t>采购。</w:t>
      </w:r>
    </w:p>
    <w:p>
      <w:pPr>
        <w:snapToGrid w:val="0"/>
        <w:spacing w:line="500" w:lineRule="exact"/>
        <w:ind w:firstLine="482" w:firstLineChars="200"/>
        <w:jc w:val="left"/>
        <w:rPr>
          <w:rFonts w:ascii="宋体" w:hAnsi="宋体"/>
          <w:b/>
          <w:bCs/>
          <w:sz w:val="24"/>
          <w:szCs w:val="24"/>
          <w:highlight w:val="none"/>
        </w:rPr>
      </w:pPr>
      <w:r>
        <w:rPr>
          <w:rFonts w:hint="eastAsia" w:ascii="宋体" w:hAnsi="宋体"/>
          <w:b/>
          <w:bCs/>
          <w:sz w:val="24"/>
          <w:szCs w:val="24"/>
          <w:highlight w:val="none"/>
        </w:rPr>
        <w:t>（三）合格的供应商</w:t>
      </w:r>
    </w:p>
    <w:p>
      <w:pPr>
        <w:snapToGrid w:val="0"/>
        <w:spacing w:line="50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1 合格的供应商必须是有能力按照本竞争性磋商文件规定的要求提供服务 ，且具有独立承担民事等法律责任的法人或其它经济组织，本次磋商不接受联合体投标。</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3.2 供应商应按照磋商文件的要求编制磋商响应文件。磋商响应文件应当对磋商文件提出的要求和条件做出实质性响应。</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3.3已按规定交纳磋商保证金。</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3.4单位负责人为同一人或者存在直接控股、管理关系的不同供应商，不得参加同一合同项下的政府采购活动。</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3.5 为采购项目提供整体设计、规范编制或者项目管理、监理、检测等服务的供应商，不得再参加本项目的采购活动。</w:t>
      </w:r>
    </w:p>
    <w:p>
      <w:pPr>
        <w:snapToGrid w:val="0"/>
        <w:spacing w:line="500" w:lineRule="exact"/>
        <w:ind w:firstLine="482" w:firstLineChars="200"/>
        <w:jc w:val="left"/>
        <w:rPr>
          <w:rFonts w:ascii="宋体" w:hAnsi="宋体"/>
          <w:sz w:val="24"/>
          <w:szCs w:val="24"/>
          <w:highlight w:val="none"/>
        </w:rPr>
      </w:pPr>
      <w:r>
        <w:rPr>
          <w:rFonts w:hint="eastAsia" w:ascii="宋体" w:hAnsi="宋体"/>
          <w:b/>
          <w:bCs/>
          <w:sz w:val="24"/>
          <w:szCs w:val="24"/>
          <w:highlight w:val="none"/>
        </w:rPr>
        <w:t>（四）适用法律</w:t>
      </w:r>
    </w:p>
    <w:p>
      <w:pPr>
        <w:pStyle w:val="2"/>
        <w:snapToGrid w:val="0"/>
        <w:spacing w:line="500" w:lineRule="exact"/>
        <w:ind w:left="0" w:leftChars="0" w:firstLine="240" w:firstLineChars="100"/>
        <w:rPr>
          <w:rFonts w:ascii="宋体" w:hAnsi="宋体"/>
          <w:szCs w:val="24"/>
          <w:highlight w:val="none"/>
        </w:rPr>
      </w:pPr>
      <w:r>
        <w:rPr>
          <w:rFonts w:hint="eastAsia" w:ascii="宋体" w:hAnsi="宋体"/>
          <w:b w:val="0"/>
          <w:szCs w:val="24"/>
          <w:highlight w:val="none"/>
          <w:u w:val="none"/>
        </w:rPr>
        <w:t>4.1</w:t>
      </w:r>
      <w:r>
        <w:rPr>
          <w:rFonts w:hint="eastAsia" w:ascii="宋体" w:hAnsi="宋体"/>
          <w:szCs w:val="24"/>
          <w:highlight w:val="none"/>
          <w:u w:val="none"/>
        </w:rPr>
        <w:t xml:space="preserve"> </w:t>
      </w:r>
      <w:r>
        <w:rPr>
          <w:rFonts w:hint="eastAsia" w:ascii="宋体" w:hAnsi="宋体"/>
          <w:szCs w:val="24"/>
          <w:highlight w:val="none"/>
        </w:rPr>
        <w:t>本次磋商及由本次磋商产生的合同受中华人民共和国的相关法律、法规制约和保护。</w:t>
      </w:r>
    </w:p>
    <w:p>
      <w:pPr>
        <w:snapToGrid w:val="0"/>
        <w:spacing w:line="500" w:lineRule="exact"/>
        <w:ind w:firstLine="482" w:firstLineChars="200"/>
        <w:jc w:val="left"/>
        <w:rPr>
          <w:rFonts w:ascii="宋体" w:hAnsi="宋体"/>
          <w:sz w:val="24"/>
          <w:szCs w:val="24"/>
          <w:highlight w:val="none"/>
        </w:rPr>
      </w:pPr>
      <w:r>
        <w:rPr>
          <w:rFonts w:hint="eastAsia" w:ascii="宋体" w:hAnsi="宋体"/>
          <w:b/>
          <w:bCs/>
          <w:sz w:val="24"/>
          <w:szCs w:val="24"/>
          <w:highlight w:val="none"/>
        </w:rPr>
        <w:t>（五）竞争性磋商费用</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5.1 供应商应自行承担所有参加磋商有关的费用。</w:t>
      </w:r>
    </w:p>
    <w:p>
      <w:pPr>
        <w:snapToGrid w:val="0"/>
        <w:spacing w:line="500" w:lineRule="exact"/>
        <w:ind w:firstLine="482" w:firstLineChars="200"/>
        <w:jc w:val="left"/>
        <w:rPr>
          <w:rFonts w:ascii="宋体" w:hAnsi="宋体"/>
          <w:sz w:val="24"/>
          <w:szCs w:val="24"/>
          <w:highlight w:val="none"/>
        </w:rPr>
      </w:pPr>
      <w:r>
        <w:rPr>
          <w:rFonts w:hint="eastAsia" w:ascii="宋体" w:hAnsi="宋体"/>
          <w:b/>
          <w:bCs/>
          <w:sz w:val="24"/>
          <w:szCs w:val="24"/>
          <w:highlight w:val="none"/>
        </w:rPr>
        <w:t>（六）竞争性磋商文件的约束力</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6.1 供应商一旦报名参加本项目竞标，即被认为接受了本竞争性磋商文件中的所有条件和规定。</w:t>
      </w:r>
    </w:p>
    <w:p>
      <w:pPr>
        <w:snapToGrid w:val="0"/>
        <w:spacing w:line="500" w:lineRule="exact"/>
        <w:ind w:firstLine="200"/>
        <w:jc w:val="center"/>
        <w:outlineLvl w:val="1"/>
        <w:rPr>
          <w:rFonts w:ascii="宋体" w:hAnsi="宋体"/>
          <w:b/>
          <w:sz w:val="24"/>
          <w:szCs w:val="24"/>
          <w:highlight w:val="none"/>
        </w:rPr>
      </w:pPr>
      <w:bookmarkStart w:id="5" w:name="_Toc31468"/>
      <w:r>
        <w:rPr>
          <w:rFonts w:hint="eastAsia" w:ascii="宋体" w:hAnsi="宋体"/>
          <w:b/>
          <w:sz w:val="24"/>
          <w:szCs w:val="24"/>
          <w:highlight w:val="none"/>
        </w:rPr>
        <w:t>二、竞争性磋商文件</w:t>
      </w:r>
      <w:bookmarkEnd w:id="5"/>
    </w:p>
    <w:p>
      <w:pPr>
        <w:snapToGrid w:val="0"/>
        <w:spacing w:line="500" w:lineRule="exact"/>
        <w:ind w:firstLine="482" w:firstLineChars="200"/>
        <w:jc w:val="left"/>
        <w:rPr>
          <w:rFonts w:ascii="宋体" w:hAnsi="宋体"/>
          <w:b/>
          <w:bCs/>
          <w:sz w:val="24"/>
          <w:szCs w:val="24"/>
          <w:highlight w:val="none"/>
        </w:rPr>
      </w:pPr>
      <w:r>
        <w:rPr>
          <w:rFonts w:hint="eastAsia" w:ascii="宋体" w:hAnsi="宋体"/>
          <w:b/>
          <w:bCs/>
          <w:sz w:val="24"/>
          <w:szCs w:val="24"/>
          <w:highlight w:val="none"/>
        </w:rPr>
        <w:t>（七）竞争性磋商文件构成</w:t>
      </w:r>
    </w:p>
    <w:p>
      <w:pPr>
        <w:snapToGrid w:val="0"/>
        <w:spacing w:line="500" w:lineRule="exact"/>
        <w:ind w:firstLine="480" w:firstLineChars="200"/>
        <w:jc w:val="left"/>
        <w:rPr>
          <w:rFonts w:ascii="宋体" w:hAnsi="宋体"/>
          <w:sz w:val="24"/>
          <w:szCs w:val="24"/>
          <w:highlight w:val="none"/>
        </w:rPr>
      </w:pPr>
      <w:r>
        <w:rPr>
          <w:rFonts w:hint="eastAsia" w:ascii="宋体" w:hAnsi="宋体"/>
          <w:bCs/>
          <w:sz w:val="24"/>
          <w:szCs w:val="24"/>
          <w:highlight w:val="none"/>
        </w:rPr>
        <w:t>7.1</w:t>
      </w:r>
      <w:r>
        <w:rPr>
          <w:rFonts w:ascii="宋体" w:hAnsi="宋体"/>
          <w:bCs/>
          <w:sz w:val="24"/>
          <w:szCs w:val="24"/>
          <w:highlight w:val="none"/>
        </w:rPr>
        <w:t xml:space="preserve"> </w:t>
      </w:r>
      <w:r>
        <w:rPr>
          <w:rFonts w:hint="eastAsia" w:ascii="宋体" w:hAnsi="宋体"/>
          <w:bCs/>
          <w:sz w:val="24"/>
          <w:szCs w:val="24"/>
          <w:highlight w:val="none"/>
        </w:rPr>
        <w:t>竞争性磋商文件包括内容：</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7.1.1竞争性磋商公告；</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7.1.2供应商须知前附表及须知；</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7.1.3服务合同格式（参考）；</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7.1.4采购需求 ；</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7.1.5磋商响应文件格式。</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7.2 供应商获取竞争性磋商文件后，应仔细检查竞争性磋商文件页数和附件数量，如发现有缺漏，请即时与采购代理机构联系补全。如果供应商不按上述要求操作而造成不良后果，采购人及采购代理机构不承担责任。</w:t>
      </w:r>
    </w:p>
    <w:p>
      <w:pPr>
        <w:snapToGrid w:val="0"/>
        <w:spacing w:line="500" w:lineRule="exact"/>
        <w:ind w:firstLine="482" w:firstLineChars="200"/>
        <w:rPr>
          <w:rFonts w:ascii="宋体" w:hAnsi="宋体"/>
          <w:sz w:val="24"/>
          <w:szCs w:val="24"/>
          <w:highlight w:val="none"/>
        </w:rPr>
      </w:pPr>
      <w:r>
        <w:rPr>
          <w:rFonts w:hint="eastAsia" w:ascii="宋体" w:hAnsi="宋体"/>
          <w:b/>
          <w:bCs/>
          <w:sz w:val="24"/>
          <w:szCs w:val="24"/>
          <w:highlight w:val="none"/>
        </w:rPr>
        <w:t>（八）竞争性磋商文件的澄清</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8.1 任何要求对竞争性磋商文件澄清的供应商，均应当在提交首次响应文件截止时间5日前按公告中的通讯地址，以书面形式（加盖公章）递交给采购代理机构，采购代理机构对规定时间内收到的澄清要求以书面形式予以答复，答复不包括问题的来源。</w:t>
      </w:r>
    </w:p>
    <w:p>
      <w:pPr>
        <w:snapToGrid w:val="0"/>
        <w:spacing w:line="500" w:lineRule="exact"/>
        <w:ind w:firstLine="482" w:firstLineChars="200"/>
        <w:jc w:val="left"/>
        <w:rPr>
          <w:rFonts w:ascii="宋体" w:hAnsi="宋体"/>
          <w:b/>
          <w:bCs/>
          <w:sz w:val="24"/>
          <w:szCs w:val="24"/>
          <w:highlight w:val="none"/>
        </w:rPr>
      </w:pPr>
      <w:r>
        <w:rPr>
          <w:rFonts w:hint="eastAsia" w:ascii="宋体" w:hAnsi="宋体"/>
          <w:b/>
          <w:bCs/>
          <w:sz w:val="24"/>
          <w:szCs w:val="24"/>
          <w:highlight w:val="none"/>
        </w:rPr>
        <w:t>（九）竞争性磋商文件的修改</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 xml:space="preserve">9.1 </w:t>
      </w:r>
      <w:r>
        <w:rPr>
          <w:rFonts w:hint="eastAsia" w:ascii="宋体" w:hAnsi="宋体"/>
          <w:bCs/>
          <w:sz w:val="24"/>
          <w:szCs w:val="24"/>
          <w:highlight w:val="none"/>
        </w:rPr>
        <w:t>提交首次磋商响应文件截止之日前，采购人、采购代理机构或者磋商小组可以对已发出的磋商文件进行必要的澄清或者修改，澄清或者修改的内容作为磋商文件的组成部分。澄清或者修改的内容可能影响磋商响应文件编制的，采购人、采购代理机构应当在提交首次磋商响应文件截止时间至少5日前，以书面形式通知所有获取磋商文件的供应商；不足5日的，采购人、采购代理机构应当顺延提交首次磋商响应文件截止时间。</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 xml:space="preserve">9.2 </w:t>
      </w:r>
      <w:r>
        <w:rPr>
          <w:rFonts w:hint="eastAsia" w:ascii="宋体" w:hAnsi="宋体"/>
          <w:sz w:val="24"/>
          <w:szCs w:val="24"/>
          <w:highlight w:val="none"/>
        </w:rPr>
        <w:t>竞争性磋商文件的修改将以书面形式通知所有已报名供应商，并对竞标供应商具有约束力。</w:t>
      </w:r>
      <w:r>
        <w:rPr>
          <w:rFonts w:hint="eastAsia" w:ascii="宋体" w:hAnsi="宋体"/>
          <w:b/>
          <w:sz w:val="24"/>
          <w:szCs w:val="24"/>
          <w:highlight w:val="none"/>
          <w:u w:val="single"/>
        </w:rPr>
        <w:t>供应商收到修改文件后，应于1日内回复采购人，逾期不回的，视同已收。</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 xml:space="preserve">9.3 </w:t>
      </w:r>
      <w:r>
        <w:rPr>
          <w:rFonts w:hint="eastAsia" w:ascii="宋体" w:hAnsi="宋体"/>
          <w:sz w:val="24"/>
          <w:szCs w:val="24"/>
          <w:highlight w:val="none"/>
        </w:rPr>
        <w:t>为使供应商有充分的时间对竞争性磋商文件的修改部分进行分析、研究，采购人有权推迟磋商响应文件接收截止日期和磋商时间，并将此变更书面通知所有购买竞争性磋商文件的供应商。</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 xml:space="preserve">9.4 </w:t>
      </w:r>
      <w:r>
        <w:rPr>
          <w:rFonts w:hint="eastAsia" w:ascii="宋体" w:hAnsi="宋体"/>
          <w:sz w:val="24"/>
          <w:szCs w:val="24"/>
          <w:highlight w:val="none"/>
        </w:rPr>
        <w:t>采购人发出的所有补充、修改和变更文件均作为竞争性磋商文件的组成部分，与竞争性磋商文件具有同等法律效力。</w:t>
      </w:r>
    </w:p>
    <w:p>
      <w:pPr>
        <w:snapToGrid w:val="0"/>
        <w:spacing w:line="500" w:lineRule="exact"/>
        <w:ind w:firstLine="480" w:firstLineChars="200"/>
        <w:jc w:val="left"/>
        <w:rPr>
          <w:rFonts w:ascii="宋体" w:hAnsi="宋体"/>
          <w:sz w:val="24"/>
          <w:szCs w:val="24"/>
          <w:highlight w:val="none"/>
        </w:rPr>
      </w:pPr>
    </w:p>
    <w:p>
      <w:pPr>
        <w:snapToGrid w:val="0"/>
        <w:spacing w:line="500" w:lineRule="exact"/>
        <w:ind w:firstLine="200"/>
        <w:jc w:val="center"/>
        <w:outlineLvl w:val="1"/>
        <w:rPr>
          <w:rFonts w:ascii="宋体" w:hAnsi="宋体"/>
          <w:b/>
          <w:sz w:val="24"/>
          <w:szCs w:val="24"/>
          <w:highlight w:val="none"/>
        </w:rPr>
      </w:pPr>
      <w:bookmarkStart w:id="6" w:name="_Toc1863"/>
      <w:r>
        <w:rPr>
          <w:rFonts w:hint="eastAsia" w:ascii="宋体" w:hAnsi="宋体"/>
          <w:b/>
          <w:sz w:val="24"/>
          <w:szCs w:val="24"/>
          <w:highlight w:val="none"/>
        </w:rPr>
        <w:t>三、磋商响应文件的编制</w:t>
      </w:r>
      <w:bookmarkEnd w:id="6"/>
    </w:p>
    <w:p>
      <w:pPr>
        <w:snapToGrid w:val="0"/>
        <w:spacing w:line="500" w:lineRule="exact"/>
        <w:ind w:firstLine="482" w:firstLineChars="200"/>
        <w:jc w:val="left"/>
        <w:rPr>
          <w:rFonts w:ascii="宋体" w:hAnsi="宋体"/>
          <w:b/>
          <w:bCs/>
          <w:sz w:val="24"/>
          <w:szCs w:val="24"/>
          <w:highlight w:val="none"/>
        </w:rPr>
      </w:pPr>
      <w:r>
        <w:rPr>
          <w:rFonts w:hint="eastAsia" w:ascii="宋体" w:hAnsi="宋体"/>
          <w:b/>
          <w:bCs/>
          <w:sz w:val="24"/>
          <w:szCs w:val="24"/>
          <w:highlight w:val="none"/>
        </w:rPr>
        <w:t>（十）磋商响应文件的编制要求</w:t>
      </w:r>
    </w:p>
    <w:p>
      <w:pPr>
        <w:snapToGrid w:val="0"/>
        <w:spacing w:line="500" w:lineRule="exact"/>
        <w:ind w:firstLine="480" w:firstLineChars="200"/>
        <w:rPr>
          <w:rFonts w:ascii="宋体" w:hAnsi="宋体" w:cs="Arial"/>
          <w:sz w:val="24"/>
          <w:szCs w:val="24"/>
          <w:highlight w:val="none"/>
        </w:rPr>
      </w:pPr>
      <w:r>
        <w:rPr>
          <w:rFonts w:hint="eastAsia" w:ascii="宋体" w:hAnsi="宋体" w:cs="Arial"/>
          <w:sz w:val="24"/>
          <w:szCs w:val="24"/>
          <w:highlight w:val="none"/>
        </w:rPr>
        <w:t>10.1 供应商应仔细阅读“竞争性磋商文件”的所有内容，按“竞争性磋商文件”的要求编制“磋商响应文件”，并保证所提供的全部资料的真实性、完整性及有效性，并对“竞争性磋商文件”做出实质性响应。否则，可能被拒绝。</w:t>
      </w:r>
    </w:p>
    <w:p>
      <w:pPr>
        <w:snapToGrid w:val="0"/>
        <w:spacing w:line="500" w:lineRule="exact"/>
        <w:ind w:firstLine="482" w:firstLineChars="200"/>
        <w:jc w:val="left"/>
        <w:rPr>
          <w:rFonts w:ascii="宋体" w:hAnsi="宋体"/>
          <w:b/>
          <w:bCs/>
          <w:sz w:val="24"/>
          <w:szCs w:val="24"/>
          <w:highlight w:val="none"/>
        </w:rPr>
      </w:pPr>
      <w:r>
        <w:rPr>
          <w:rFonts w:hint="eastAsia" w:ascii="宋体" w:hAnsi="宋体"/>
          <w:b/>
          <w:bCs/>
          <w:sz w:val="24"/>
          <w:szCs w:val="24"/>
          <w:highlight w:val="none"/>
        </w:rPr>
        <w:t>（十一）磋商响应文件构成</w:t>
      </w:r>
    </w:p>
    <w:p>
      <w:pPr>
        <w:spacing w:line="500" w:lineRule="exact"/>
        <w:ind w:firstLine="480" w:firstLineChars="200"/>
        <w:rPr>
          <w:rFonts w:ascii="宋体" w:hAnsi="宋体"/>
          <w:bCs/>
          <w:kern w:val="0"/>
          <w:sz w:val="24"/>
          <w:szCs w:val="24"/>
          <w:highlight w:val="none"/>
        </w:rPr>
      </w:pPr>
      <w:r>
        <w:rPr>
          <w:rFonts w:hint="eastAsia" w:ascii="宋体" w:hAnsi="宋体"/>
          <w:bCs/>
          <w:kern w:val="0"/>
          <w:sz w:val="24"/>
          <w:szCs w:val="24"/>
          <w:highlight w:val="none"/>
        </w:rPr>
        <w:t>11.1</w:t>
      </w:r>
      <w:r>
        <w:rPr>
          <w:rFonts w:hint="eastAsia" w:ascii="宋体" w:hAnsi="宋体"/>
          <w:sz w:val="24"/>
          <w:szCs w:val="24"/>
          <w:highlight w:val="none"/>
        </w:rPr>
        <w:t>磋商响应书</w:t>
      </w:r>
    </w:p>
    <w:p>
      <w:pPr>
        <w:spacing w:line="500" w:lineRule="exact"/>
        <w:ind w:firstLine="480" w:firstLineChars="200"/>
        <w:rPr>
          <w:rFonts w:ascii="宋体" w:hAnsi="宋体"/>
          <w:bCs/>
          <w:kern w:val="0"/>
          <w:sz w:val="24"/>
          <w:szCs w:val="24"/>
          <w:highlight w:val="none"/>
        </w:rPr>
      </w:pPr>
      <w:r>
        <w:rPr>
          <w:rFonts w:hint="eastAsia" w:ascii="宋体" w:hAnsi="宋体"/>
          <w:bCs/>
          <w:kern w:val="0"/>
          <w:sz w:val="24"/>
          <w:szCs w:val="24"/>
          <w:highlight w:val="none"/>
        </w:rPr>
        <w:t>11.2开标一览表</w:t>
      </w:r>
    </w:p>
    <w:p>
      <w:pPr>
        <w:autoSpaceDE w:val="0"/>
        <w:autoSpaceDN w:val="0"/>
        <w:adjustRightIn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11.3政策适用性说明（符合要求填写）</w:t>
      </w:r>
    </w:p>
    <w:p>
      <w:pPr>
        <w:autoSpaceDE w:val="0"/>
        <w:autoSpaceDN w:val="0"/>
        <w:adjustRightIn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11.4供应商基本情况表</w:t>
      </w:r>
    </w:p>
    <w:p>
      <w:pPr>
        <w:autoSpaceDE w:val="0"/>
        <w:autoSpaceDN w:val="0"/>
        <w:adjustRightIn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11.5法定代表人身份证明书</w:t>
      </w:r>
    </w:p>
    <w:p>
      <w:pPr>
        <w:autoSpaceDE w:val="0"/>
        <w:autoSpaceDN w:val="0"/>
        <w:adjustRightIn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11.6法定代表人授权委托书</w:t>
      </w:r>
    </w:p>
    <w:p>
      <w:pPr>
        <w:autoSpaceDE w:val="0"/>
        <w:autoSpaceDN w:val="0"/>
        <w:adjustRightIn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11.7关于《中华人民共和国政府采购法》第二十二条的承诺书</w:t>
      </w:r>
    </w:p>
    <w:p>
      <w:pPr>
        <w:autoSpaceDE w:val="0"/>
        <w:autoSpaceDN w:val="0"/>
        <w:adjustRightIn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11.8供应商的资格声明</w:t>
      </w:r>
    </w:p>
    <w:p>
      <w:pPr>
        <w:autoSpaceDE w:val="0"/>
        <w:autoSpaceDN w:val="0"/>
        <w:adjustRightIn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11.9供应商资格要求</w:t>
      </w:r>
    </w:p>
    <w:p>
      <w:pPr>
        <w:autoSpaceDE w:val="0"/>
        <w:autoSpaceDN w:val="0"/>
        <w:adjustRightIn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11.10采购需求响应偏离表</w:t>
      </w:r>
    </w:p>
    <w:p>
      <w:pPr>
        <w:autoSpaceDE w:val="0"/>
        <w:autoSpaceDN w:val="0"/>
        <w:adjustRightIn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11.11供应商类似项目业绩表</w:t>
      </w:r>
    </w:p>
    <w:p>
      <w:pPr>
        <w:autoSpaceDE w:val="0"/>
        <w:autoSpaceDN w:val="0"/>
        <w:adjustRightIn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11.13节能、环境标志产品优惠明细表(若有，请如实填写)</w:t>
      </w:r>
    </w:p>
    <w:p>
      <w:pPr>
        <w:autoSpaceDE w:val="0"/>
        <w:autoSpaceDN w:val="0"/>
        <w:adjustRightIn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11.13节能、环境标志产品证明材料(若有，请如实填写)</w:t>
      </w:r>
    </w:p>
    <w:p>
      <w:pPr>
        <w:autoSpaceDE w:val="0"/>
        <w:autoSpaceDN w:val="0"/>
        <w:adjustRightIn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11.14小微企业生产或销售的产品优惠明细表(若有，请如实填写)</w:t>
      </w:r>
    </w:p>
    <w:p>
      <w:pPr>
        <w:autoSpaceDE w:val="0"/>
        <w:autoSpaceDN w:val="0"/>
        <w:adjustRightIn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11.15中小微企业声明函（符合本声明函填写）</w:t>
      </w:r>
    </w:p>
    <w:p>
      <w:pPr>
        <w:autoSpaceDE w:val="0"/>
        <w:autoSpaceDN w:val="0"/>
        <w:adjustRightIn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11.16监狱企业声明函（符合本声明函填写）</w:t>
      </w:r>
    </w:p>
    <w:p>
      <w:pPr>
        <w:autoSpaceDE w:val="0"/>
        <w:autoSpaceDN w:val="0"/>
        <w:adjustRightIn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11.17残疾人福利性单位声明函（符合本声明函填写）</w:t>
      </w:r>
    </w:p>
    <w:p>
      <w:pPr>
        <w:autoSpaceDE w:val="0"/>
        <w:autoSpaceDN w:val="0"/>
        <w:adjustRightIn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11.18评审中所需资料</w:t>
      </w:r>
    </w:p>
    <w:p>
      <w:pPr>
        <w:autoSpaceDE w:val="0"/>
        <w:autoSpaceDN w:val="0"/>
        <w:adjustRightIn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11.19供应商认为有必要提供的其他资料</w:t>
      </w:r>
    </w:p>
    <w:p>
      <w:pPr>
        <w:snapToGrid w:val="0"/>
        <w:spacing w:line="500" w:lineRule="exact"/>
        <w:ind w:firstLine="482" w:firstLineChars="200"/>
        <w:jc w:val="left"/>
        <w:rPr>
          <w:rFonts w:ascii="宋体" w:hAnsi="宋体"/>
          <w:sz w:val="24"/>
          <w:szCs w:val="24"/>
          <w:highlight w:val="none"/>
        </w:rPr>
      </w:pPr>
      <w:r>
        <w:rPr>
          <w:rFonts w:hint="eastAsia" w:ascii="宋体" w:hAnsi="宋体"/>
          <w:b/>
          <w:bCs/>
          <w:sz w:val="24"/>
          <w:szCs w:val="24"/>
          <w:highlight w:val="none"/>
        </w:rPr>
        <w:t>（十二）磋商响应文件格式</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12.1 供应商需按照上述磋商响应文件构成顺序编制磋商响应文件，并编制目录、页码，并按竞争性磋商文件中提供的格式填写、签署。措施文件未提供格式的，供应商可自行拓展。</w:t>
      </w:r>
    </w:p>
    <w:p>
      <w:pPr>
        <w:snapToGrid w:val="0"/>
        <w:spacing w:line="500" w:lineRule="exact"/>
        <w:ind w:firstLine="482" w:firstLineChars="200"/>
        <w:jc w:val="left"/>
        <w:rPr>
          <w:rFonts w:ascii="宋体" w:hAnsi="宋体"/>
          <w:sz w:val="24"/>
          <w:szCs w:val="24"/>
          <w:highlight w:val="none"/>
        </w:rPr>
      </w:pPr>
      <w:r>
        <w:rPr>
          <w:rFonts w:hint="eastAsia" w:ascii="宋体" w:hAnsi="宋体"/>
          <w:b/>
          <w:bCs/>
          <w:sz w:val="24"/>
          <w:szCs w:val="24"/>
          <w:highlight w:val="none"/>
        </w:rPr>
        <w:t>（十三）竞标报价</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 xml:space="preserve">13.1 </w:t>
      </w:r>
      <w:r>
        <w:rPr>
          <w:rFonts w:hint="eastAsia" w:ascii="宋体" w:hAnsi="宋体"/>
          <w:sz w:val="24"/>
          <w:szCs w:val="24"/>
          <w:highlight w:val="none"/>
        </w:rPr>
        <w:t>本招标项目使用的货币为</w:t>
      </w:r>
      <w:r>
        <w:rPr>
          <w:rFonts w:hint="eastAsia" w:ascii="宋体" w:hAnsi="宋体"/>
          <w:sz w:val="24"/>
          <w:szCs w:val="24"/>
          <w:highlight w:val="none"/>
          <w:u w:val="single"/>
        </w:rPr>
        <w:t xml:space="preserve"> 人民币 </w:t>
      </w:r>
      <w:r>
        <w:rPr>
          <w:rFonts w:hint="eastAsia" w:ascii="宋体" w:hAnsi="宋体"/>
          <w:sz w:val="24"/>
          <w:szCs w:val="24"/>
          <w:highlight w:val="none"/>
        </w:rPr>
        <w:t xml:space="preserve">，实施时亦以 </w:t>
      </w:r>
      <w:r>
        <w:rPr>
          <w:rFonts w:hint="eastAsia" w:ascii="宋体" w:hAnsi="宋体"/>
          <w:sz w:val="24"/>
          <w:szCs w:val="24"/>
          <w:highlight w:val="none"/>
          <w:u w:val="single"/>
        </w:rPr>
        <w:t xml:space="preserve">人民币 </w:t>
      </w:r>
      <w:r>
        <w:rPr>
          <w:rFonts w:hint="eastAsia" w:ascii="宋体" w:hAnsi="宋体"/>
          <w:sz w:val="24"/>
          <w:szCs w:val="24"/>
          <w:highlight w:val="none"/>
        </w:rPr>
        <w:t>支付。</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 xml:space="preserve">13.2 </w:t>
      </w:r>
      <w:r>
        <w:rPr>
          <w:rFonts w:hint="eastAsia" w:ascii="宋体" w:hAnsi="宋体"/>
          <w:sz w:val="24"/>
          <w:szCs w:val="24"/>
          <w:highlight w:val="none"/>
        </w:rPr>
        <w:t>竞标报价为</w:t>
      </w:r>
      <w:r>
        <w:rPr>
          <w:rFonts w:hint="eastAsia" w:ascii="宋体" w:hAnsi="宋体" w:cs="宋体"/>
          <w:sz w:val="24"/>
          <w:szCs w:val="24"/>
          <w:highlight w:val="none"/>
        </w:rPr>
        <w:t>供应商的报价应为所确定的招标范围内的全部工作内容的价格体现。</w:t>
      </w:r>
      <w:r>
        <w:rPr>
          <w:rFonts w:hint="eastAsia" w:ascii="宋体" w:hAnsi="宋体"/>
          <w:sz w:val="24"/>
          <w:szCs w:val="24"/>
          <w:highlight w:val="none"/>
        </w:rPr>
        <w:t>任何有选择的报价将不予接受（除非采购人另有约定），否则，在评标时将其视为无效投标。</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13.3 开标一览表（报价表）标明的价格在签订合同及合同执行过程中是固定不变的，不得以任何理由予以变更（除非采购人另有约定）。</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 xml:space="preserve">13.4 </w:t>
      </w:r>
      <w:r>
        <w:rPr>
          <w:rFonts w:hint="eastAsia" w:ascii="宋体" w:hAnsi="宋体"/>
          <w:sz w:val="24"/>
          <w:szCs w:val="24"/>
          <w:highlight w:val="none"/>
        </w:rPr>
        <w:t>开标时，磋商响应文件中开标一览表（报价表）内容与磋商响应文件中分项报价表内容不一致的，以开标一览表（报价表）为准。磋商响应文件的大小写金额不一致的，以大写金额为准；总价金额与按单价金额汇总金额不一致的，以单价金额计算结果为准；单价金额小数点有明显错位的，以总价为准，并修改单价；对不同文字文本磋商响应文件的解释发生异议的，以中文文本为准。若供应商拒不接受前述修正，将有可能导致投标无效。</w:t>
      </w:r>
    </w:p>
    <w:p>
      <w:pPr>
        <w:snapToGrid w:val="0"/>
        <w:spacing w:line="500" w:lineRule="exact"/>
        <w:ind w:firstLine="482" w:firstLineChars="200"/>
        <w:rPr>
          <w:rFonts w:ascii="宋体" w:hAnsi="宋体"/>
          <w:sz w:val="24"/>
          <w:szCs w:val="24"/>
          <w:highlight w:val="none"/>
        </w:rPr>
      </w:pPr>
      <w:r>
        <w:rPr>
          <w:rFonts w:hint="eastAsia" w:ascii="宋体" w:hAnsi="宋体"/>
          <w:b/>
          <w:bCs/>
          <w:sz w:val="24"/>
          <w:szCs w:val="24"/>
          <w:highlight w:val="none"/>
        </w:rPr>
        <w:t>（十四）磋商保证金</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 xml:space="preserve">14.1 </w:t>
      </w:r>
      <w:r>
        <w:rPr>
          <w:rFonts w:hint="eastAsia" w:ascii="宋体" w:hAnsi="宋体"/>
          <w:sz w:val="24"/>
          <w:szCs w:val="24"/>
          <w:highlight w:val="none"/>
        </w:rPr>
        <w:t>磋商保证金是为了保护采购人和招标机构免遭因供应商的违规、违约行为而引起的风险，采购人/招标机构在受到损害时可根据本须知的有关规定没收供应商的磋商保证金。成交供应商如未能按磋商文件要求与采购人签署项目合同并提交履约担保的，视为成交供应商违约，则采购人有权提取成交供应商磋商保证金。</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 xml:space="preserve">14.2 </w:t>
      </w:r>
      <w:r>
        <w:rPr>
          <w:rFonts w:hint="eastAsia" w:ascii="宋体" w:hAnsi="宋体"/>
          <w:sz w:val="24"/>
          <w:szCs w:val="24"/>
          <w:highlight w:val="none"/>
        </w:rPr>
        <w:t>供应商应提交磋商保证金，并作为其竞标的一部分。磋商文件前附表规定交纳磋商保证金的，供应商应按磋商文件前附表规定的要求提交保证金，磋商保证金有效期应与磋商文件规定的磋商有效期一致。供应商未按照磋商文件要求提交磋商保证金的，政府采购代理机构应当拒绝接收供应商的磋商响应文件或磋商小组在评标时将其视为无效竞标。</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 xml:space="preserve">14.3 </w:t>
      </w:r>
      <w:r>
        <w:rPr>
          <w:rFonts w:hint="eastAsia" w:ascii="宋体" w:hAnsi="宋体"/>
          <w:sz w:val="24"/>
          <w:szCs w:val="24"/>
          <w:highlight w:val="none"/>
        </w:rPr>
        <w:t>磋商保证金不接受银行保函。凡未提交磋商保证金的投标，将被视为非实质性响应性投标而被拒绝。</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 xml:space="preserve">14.4 </w:t>
      </w:r>
      <w:r>
        <w:rPr>
          <w:rFonts w:hint="eastAsia" w:ascii="宋体" w:hAnsi="宋体"/>
          <w:sz w:val="24"/>
          <w:szCs w:val="24"/>
          <w:highlight w:val="none"/>
        </w:rPr>
        <w:t>联合体投标的，可以由联合体中的一方或者共同提交磋商保证金。以一方名义提交磋商保证金的，对联合体各方均具有约束力。</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 xml:space="preserve">14.5 </w:t>
      </w:r>
      <w:r>
        <w:rPr>
          <w:rFonts w:hint="eastAsia" w:ascii="宋体" w:hAnsi="宋体"/>
          <w:sz w:val="24"/>
          <w:szCs w:val="24"/>
          <w:highlight w:val="none"/>
        </w:rPr>
        <w:t>未成交供应商的磋商保证金，将在成交通知书发出5个工作日内退还。因违反规定被没收的磋商保证金不予退回。</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 xml:space="preserve">14.6 </w:t>
      </w:r>
      <w:r>
        <w:rPr>
          <w:rFonts w:hint="eastAsia" w:ascii="宋体" w:hAnsi="宋体"/>
          <w:sz w:val="24"/>
          <w:szCs w:val="24"/>
          <w:highlight w:val="none"/>
        </w:rPr>
        <w:t>成交供应商的磋商保证金，须按磋商要求与采购人签订合同并缴纳履约担保，提供与采购签署的合同复印件（须加盖成交供应商公章）、及按磋商要求向采购人提交履约担保证明资料（加盖成交供应商公章），向招标机构付清政府采购代理服务费后5个工作日内予以退还。</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 xml:space="preserve">14.7 </w:t>
      </w:r>
      <w:r>
        <w:rPr>
          <w:rFonts w:hint="eastAsia" w:ascii="宋体" w:hAnsi="宋体"/>
          <w:sz w:val="24"/>
          <w:szCs w:val="24"/>
          <w:highlight w:val="none"/>
        </w:rPr>
        <w:t>下列任何情况发生时，磋商保证金将可能被没收：</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14.</w:t>
      </w:r>
      <w:r>
        <w:rPr>
          <w:rFonts w:hint="eastAsia" w:ascii="宋体" w:hAnsi="宋体"/>
          <w:sz w:val="24"/>
          <w:szCs w:val="24"/>
          <w:highlight w:val="none"/>
        </w:rPr>
        <w:t>7.1 供应商在规定的磋商有效期内撤回其投标；</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14.</w:t>
      </w:r>
      <w:r>
        <w:rPr>
          <w:rFonts w:hint="eastAsia" w:ascii="宋体" w:hAnsi="宋体"/>
          <w:sz w:val="24"/>
          <w:szCs w:val="24"/>
          <w:highlight w:val="none"/>
        </w:rPr>
        <w:t>7.2 成交供应商无正当理由拒绝按规定与采购人签订合同或未能在规定期限内签署合同的或未按采购文件要求提交履约保证金的；</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 xml:space="preserve">14.8 </w:t>
      </w:r>
      <w:r>
        <w:rPr>
          <w:rFonts w:hint="eastAsia" w:ascii="宋体" w:hAnsi="宋体"/>
          <w:sz w:val="24"/>
          <w:szCs w:val="24"/>
          <w:highlight w:val="none"/>
        </w:rPr>
        <w:t>供应商办理磋商保证金退款申请手续须提供以下资料：</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14.8.1 供应商给代理机构开具的收款收据（收款单位开具并加盖收款单位财务章）；同时须提供清晰的开户银行名称、银行账号及收款单位名称。</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14.</w:t>
      </w:r>
      <w:r>
        <w:rPr>
          <w:rFonts w:hint="eastAsia" w:ascii="宋体" w:hAnsi="宋体"/>
          <w:sz w:val="24"/>
          <w:szCs w:val="24"/>
          <w:highlight w:val="none"/>
        </w:rPr>
        <w:t>8.2 退还成交供应商方磋商保证金时，成交供应商方还须提供与采购人签订的合同原件一份（原件核查无误后退还）和已加盖成交方公章的合同全本复印件一份（代理机构存档备查）。</w:t>
      </w:r>
    </w:p>
    <w:p>
      <w:pPr>
        <w:snapToGrid w:val="0"/>
        <w:spacing w:line="500" w:lineRule="exact"/>
        <w:ind w:firstLine="482" w:firstLineChars="200"/>
        <w:jc w:val="left"/>
        <w:rPr>
          <w:rFonts w:ascii="宋体" w:hAnsi="宋体"/>
          <w:sz w:val="24"/>
          <w:szCs w:val="24"/>
          <w:highlight w:val="none"/>
        </w:rPr>
      </w:pPr>
      <w:r>
        <w:rPr>
          <w:rFonts w:hint="eastAsia" w:ascii="宋体" w:hAnsi="宋体"/>
          <w:b/>
          <w:bCs/>
          <w:sz w:val="24"/>
          <w:szCs w:val="24"/>
          <w:highlight w:val="none"/>
        </w:rPr>
        <w:t>（十五）磋商有效期</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15.</w:t>
      </w:r>
      <w:r>
        <w:rPr>
          <w:rFonts w:hint="eastAsia" w:ascii="宋体" w:hAnsi="宋体"/>
          <w:sz w:val="24"/>
          <w:szCs w:val="24"/>
          <w:highlight w:val="none"/>
        </w:rPr>
        <w:t>1 磋商有效期为竞争性磋商文件规定的供应商提交磋商响应文件截止之日起</w:t>
      </w:r>
      <w:r>
        <w:rPr>
          <w:rFonts w:ascii="宋体" w:hAnsi="宋体"/>
          <w:sz w:val="24"/>
          <w:szCs w:val="24"/>
          <w:highlight w:val="none"/>
          <w:u w:val="single"/>
        </w:rPr>
        <w:t>9</w:t>
      </w:r>
      <w:r>
        <w:rPr>
          <w:rFonts w:hint="eastAsia" w:ascii="宋体" w:hAnsi="宋体"/>
          <w:sz w:val="24"/>
          <w:szCs w:val="24"/>
          <w:highlight w:val="none"/>
          <w:u w:val="single"/>
        </w:rPr>
        <w:t>0</w:t>
      </w:r>
      <w:r>
        <w:rPr>
          <w:rFonts w:hint="eastAsia" w:ascii="宋体" w:hAnsi="宋体"/>
          <w:sz w:val="24"/>
          <w:szCs w:val="24"/>
          <w:highlight w:val="none"/>
        </w:rPr>
        <w:t>天。磋商有效期不满足竞争性磋商文件要求的将视为非响应性文件而予以拒绝。</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 xml:space="preserve">15.2 </w:t>
      </w:r>
      <w:r>
        <w:rPr>
          <w:rFonts w:hint="eastAsia" w:ascii="宋体" w:hAnsi="宋体"/>
          <w:sz w:val="24"/>
          <w:szCs w:val="24"/>
          <w:highlight w:val="none"/>
        </w:rPr>
        <w:t>在特殊情况下，采购人于原磋商有效期满之前，可向供应商提出延长磋商有效期的要求，这种要求与答复均应采用书面形式（如信件、传真或电报等），供应商可以拒绝采购人的这一要求而放弃参与磋商，磋商保证金予以退回；同意延长的供应商既不能要求也不允许修改其磋商响应文件。第十四条有关磋商保证金的没收和退还的规定在延长期内继续有效。</w:t>
      </w:r>
    </w:p>
    <w:p>
      <w:pPr>
        <w:snapToGrid w:val="0"/>
        <w:spacing w:line="500" w:lineRule="exact"/>
        <w:ind w:firstLine="482" w:firstLineChars="200"/>
        <w:jc w:val="left"/>
        <w:rPr>
          <w:rFonts w:ascii="宋体" w:hAnsi="宋体"/>
          <w:b/>
          <w:bCs/>
          <w:sz w:val="24"/>
          <w:szCs w:val="24"/>
          <w:highlight w:val="none"/>
        </w:rPr>
      </w:pPr>
      <w:r>
        <w:rPr>
          <w:rFonts w:hint="eastAsia" w:ascii="宋体" w:hAnsi="宋体"/>
          <w:b/>
          <w:bCs/>
          <w:sz w:val="24"/>
          <w:szCs w:val="24"/>
          <w:highlight w:val="none"/>
        </w:rPr>
        <w:t>（十六）磋商响应文件份数</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16.1 响应文件的组成（投标现场无需递交投标文件，中标单位公示完之后需提供）:</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纸质版投标文件：一式四份，其中正本一份，副本三份，需编制目录及页码，在每一份响应文件上要明确注明“正本”或“副本”字样，如正、副本之间有差异，以正本为准。</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投标文件电子版：以u盘为介质投标文件的电子版一份。</w:t>
      </w:r>
    </w:p>
    <w:p>
      <w:pPr>
        <w:snapToGrid w:val="0"/>
        <w:spacing w:line="500" w:lineRule="exact"/>
        <w:ind w:firstLine="480" w:firstLineChars="200"/>
        <w:jc w:val="left"/>
        <w:rPr>
          <w:rFonts w:ascii="宋体" w:hAnsi="宋体" w:cs="宋体"/>
          <w:b/>
          <w:sz w:val="24"/>
          <w:szCs w:val="24"/>
          <w:highlight w:val="none"/>
        </w:rPr>
      </w:pPr>
      <w:r>
        <w:rPr>
          <w:rFonts w:hint="eastAsia" w:ascii="宋体" w:hAnsi="宋体"/>
          <w:sz w:val="24"/>
          <w:szCs w:val="24"/>
          <w:highlight w:val="none"/>
        </w:rPr>
        <w:t>15、</w:t>
      </w:r>
      <w:r>
        <w:rPr>
          <w:rFonts w:hint="eastAsia" w:ascii="宋体" w:hAnsi="宋体" w:cs="宋体"/>
          <w:b/>
          <w:sz w:val="24"/>
          <w:szCs w:val="24"/>
          <w:highlight w:val="none"/>
        </w:rPr>
        <w:t>说明：上传证件、证书等资料须是原件的扫描件，供应商应如实提供资料，并保证真实可靠，不得弄虚作假。如供应商隐瞒事实真相、弄虚作假，一经查实，取消该供应商的磋商资格，若成交的，取消其成交资格。</w:t>
      </w:r>
    </w:p>
    <w:p>
      <w:pPr>
        <w:snapToGrid w:val="0"/>
        <w:spacing w:line="500" w:lineRule="exact"/>
        <w:ind w:firstLine="480" w:firstLineChars="200"/>
        <w:jc w:val="left"/>
        <w:rPr>
          <w:rFonts w:ascii="宋体" w:hAnsi="宋体"/>
          <w:sz w:val="24"/>
          <w:szCs w:val="24"/>
          <w:highlight w:val="none"/>
        </w:rPr>
      </w:pPr>
    </w:p>
    <w:p>
      <w:pPr>
        <w:snapToGrid w:val="0"/>
        <w:spacing w:line="500" w:lineRule="exact"/>
        <w:ind w:firstLine="482" w:firstLineChars="200"/>
        <w:jc w:val="left"/>
        <w:rPr>
          <w:rFonts w:ascii="宋体" w:hAnsi="宋体"/>
          <w:b/>
          <w:bCs/>
          <w:sz w:val="24"/>
          <w:szCs w:val="24"/>
          <w:highlight w:val="none"/>
        </w:rPr>
      </w:pPr>
      <w:r>
        <w:rPr>
          <w:rFonts w:hint="eastAsia" w:ascii="宋体" w:hAnsi="宋体"/>
          <w:b/>
          <w:bCs/>
          <w:sz w:val="24"/>
          <w:szCs w:val="24"/>
          <w:highlight w:val="none"/>
        </w:rPr>
        <w:t>（十七）磋商响应文件格式</w:t>
      </w:r>
    </w:p>
    <w:p>
      <w:pPr>
        <w:snapToGrid w:val="0"/>
        <w:spacing w:line="500" w:lineRule="exact"/>
        <w:ind w:firstLine="480" w:firstLineChars="200"/>
        <w:rPr>
          <w:rFonts w:ascii="宋体" w:hAnsi="宋体" w:cs="Arial"/>
          <w:b/>
          <w:sz w:val="24"/>
          <w:szCs w:val="24"/>
          <w:highlight w:val="none"/>
        </w:rPr>
      </w:pPr>
      <w:r>
        <w:rPr>
          <w:rFonts w:ascii="宋体" w:hAnsi="宋体" w:cs="Arial"/>
          <w:sz w:val="24"/>
          <w:szCs w:val="24"/>
          <w:highlight w:val="none"/>
        </w:rPr>
        <w:t xml:space="preserve">17.1 </w:t>
      </w:r>
      <w:r>
        <w:rPr>
          <w:rFonts w:hint="eastAsia" w:ascii="宋体" w:hAnsi="宋体" w:cs="宋体"/>
          <w:sz w:val="24"/>
          <w:szCs w:val="24"/>
          <w:highlight w:val="none"/>
        </w:rPr>
        <w:t>供应商应按磋商文件提供的格式编写。</w:t>
      </w:r>
    </w:p>
    <w:p>
      <w:pPr>
        <w:snapToGrid w:val="0"/>
        <w:spacing w:line="500" w:lineRule="exact"/>
        <w:ind w:firstLine="482" w:firstLineChars="200"/>
        <w:rPr>
          <w:rFonts w:ascii="宋体" w:hAnsi="宋体"/>
          <w:b/>
          <w:sz w:val="24"/>
          <w:szCs w:val="24"/>
          <w:highlight w:val="none"/>
        </w:rPr>
      </w:pPr>
    </w:p>
    <w:p>
      <w:pPr>
        <w:snapToGrid w:val="0"/>
        <w:spacing w:line="500" w:lineRule="exact"/>
        <w:ind w:firstLine="200"/>
        <w:jc w:val="center"/>
        <w:outlineLvl w:val="1"/>
        <w:rPr>
          <w:rFonts w:ascii="宋体" w:hAnsi="宋体"/>
          <w:b/>
          <w:sz w:val="24"/>
          <w:szCs w:val="24"/>
          <w:highlight w:val="none"/>
        </w:rPr>
      </w:pPr>
      <w:bookmarkStart w:id="7" w:name="_Toc10581"/>
      <w:r>
        <w:rPr>
          <w:rFonts w:hint="eastAsia" w:ascii="宋体" w:hAnsi="宋体"/>
          <w:b/>
          <w:sz w:val="24"/>
          <w:szCs w:val="24"/>
          <w:highlight w:val="none"/>
        </w:rPr>
        <w:t>四、磋商响应文件的递交</w:t>
      </w:r>
      <w:bookmarkEnd w:id="7"/>
    </w:p>
    <w:p>
      <w:pPr>
        <w:snapToGrid w:val="0"/>
        <w:spacing w:line="500" w:lineRule="exact"/>
        <w:ind w:firstLine="482" w:firstLineChars="200"/>
        <w:jc w:val="left"/>
        <w:rPr>
          <w:rFonts w:ascii="宋体" w:hAnsi="宋体"/>
          <w:b/>
          <w:bCs/>
          <w:sz w:val="24"/>
          <w:szCs w:val="24"/>
          <w:highlight w:val="none"/>
        </w:rPr>
      </w:pPr>
      <w:r>
        <w:rPr>
          <w:rFonts w:hint="eastAsia" w:ascii="宋体" w:hAnsi="宋体"/>
          <w:b/>
          <w:bCs/>
          <w:sz w:val="24"/>
          <w:szCs w:val="24"/>
          <w:highlight w:val="none"/>
        </w:rPr>
        <w:t>（十八）磋商响应文件递交截止日期及方式</w:t>
      </w:r>
    </w:p>
    <w:p>
      <w:pPr>
        <w:snapToGrid w:val="0"/>
        <w:spacing w:line="500" w:lineRule="exact"/>
        <w:ind w:firstLine="480" w:firstLineChars="200"/>
        <w:rPr>
          <w:rFonts w:ascii="宋体" w:hAnsi="宋体" w:cs="Arial"/>
          <w:sz w:val="24"/>
          <w:szCs w:val="24"/>
          <w:highlight w:val="none"/>
        </w:rPr>
      </w:pPr>
      <w:r>
        <w:rPr>
          <w:rFonts w:ascii="宋体" w:hAnsi="宋体" w:cs="Arial"/>
          <w:sz w:val="24"/>
          <w:szCs w:val="24"/>
          <w:highlight w:val="none"/>
        </w:rPr>
        <w:t xml:space="preserve">18.1 </w:t>
      </w:r>
      <w:r>
        <w:rPr>
          <w:rFonts w:hint="eastAsia" w:ascii="宋体" w:hAnsi="宋体" w:cs="Arial"/>
          <w:sz w:val="24"/>
          <w:szCs w:val="24"/>
          <w:highlight w:val="none"/>
        </w:rPr>
        <w:t>所有磋商响应文件都必须在竞争性磋商文件规定的递交截止时间前上传政采云平台</w:t>
      </w:r>
      <w:r>
        <w:rPr>
          <w:rFonts w:hint="eastAsia" w:ascii="宋体" w:hAnsi="宋体"/>
          <w:sz w:val="24"/>
          <w:szCs w:val="24"/>
          <w:highlight w:val="none"/>
        </w:rPr>
        <w:t>。</w:t>
      </w:r>
    </w:p>
    <w:p>
      <w:pPr>
        <w:snapToGrid w:val="0"/>
        <w:spacing w:line="500" w:lineRule="exact"/>
        <w:ind w:firstLine="480" w:firstLineChars="200"/>
        <w:rPr>
          <w:rFonts w:ascii="宋体" w:hAnsi="宋体" w:cs="Arial"/>
          <w:b/>
          <w:sz w:val="24"/>
          <w:szCs w:val="24"/>
          <w:highlight w:val="none"/>
        </w:rPr>
      </w:pPr>
      <w:r>
        <w:rPr>
          <w:rFonts w:ascii="宋体" w:hAnsi="宋体" w:cs="Arial"/>
          <w:sz w:val="24"/>
          <w:szCs w:val="24"/>
          <w:highlight w:val="none"/>
        </w:rPr>
        <w:t xml:space="preserve">18.2 </w:t>
      </w:r>
      <w:r>
        <w:rPr>
          <w:rFonts w:hint="eastAsia" w:ascii="宋体" w:hAnsi="宋体"/>
          <w:sz w:val="24"/>
          <w:szCs w:val="24"/>
          <w:highlight w:val="none"/>
        </w:rPr>
        <w:t>采购代理机构将</w:t>
      </w:r>
      <w:r>
        <w:rPr>
          <w:rFonts w:hint="eastAsia" w:ascii="宋体" w:hAnsi="宋体" w:cs="Arial"/>
          <w:sz w:val="24"/>
          <w:szCs w:val="24"/>
          <w:highlight w:val="none"/>
        </w:rPr>
        <w:t>在竞争性磋商文件规定的时间和地点组织磋商会议</w:t>
      </w:r>
      <w:r>
        <w:rPr>
          <w:rFonts w:hint="eastAsia" w:ascii="宋体" w:hAnsi="宋体" w:cs="Arial"/>
          <w:b/>
          <w:sz w:val="24"/>
          <w:szCs w:val="24"/>
          <w:highlight w:val="none"/>
        </w:rPr>
        <w:t>。</w:t>
      </w:r>
    </w:p>
    <w:p>
      <w:pPr>
        <w:snapToGrid w:val="0"/>
        <w:spacing w:line="500" w:lineRule="exact"/>
        <w:ind w:firstLine="482" w:firstLineChars="200"/>
        <w:jc w:val="left"/>
        <w:rPr>
          <w:rFonts w:ascii="宋体" w:hAnsi="宋体"/>
          <w:sz w:val="24"/>
          <w:szCs w:val="24"/>
          <w:highlight w:val="none"/>
        </w:rPr>
      </w:pPr>
      <w:r>
        <w:rPr>
          <w:rFonts w:hint="eastAsia" w:ascii="宋体" w:hAnsi="宋体"/>
          <w:b/>
          <w:bCs/>
          <w:sz w:val="24"/>
          <w:szCs w:val="24"/>
          <w:highlight w:val="none"/>
        </w:rPr>
        <w:t>（十九）迟交的磋商响应文件</w:t>
      </w:r>
    </w:p>
    <w:p>
      <w:pPr>
        <w:snapToGrid w:val="0"/>
        <w:spacing w:line="500" w:lineRule="exact"/>
        <w:ind w:firstLine="480" w:firstLineChars="200"/>
        <w:rPr>
          <w:rFonts w:ascii="宋体" w:hAnsi="宋体" w:cs="Arial"/>
          <w:sz w:val="24"/>
          <w:szCs w:val="24"/>
          <w:highlight w:val="none"/>
        </w:rPr>
      </w:pPr>
      <w:r>
        <w:rPr>
          <w:rFonts w:ascii="宋体" w:hAnsi="宋体" w:cs="Arial"/>
          <w:sz w:val="24"/>
          <w:szCs w:val="24"/>
          <w:highlight w:val="none"/>
        </w:rPr>
        <w:t xml:space="preserve">19.1 </w:t>
      </w:r>
      <w:r>
        <w:rPr>
          <w:rFonts w:hint="eastAsia" w:ascii="宋体" w:hAnsi="宋体" w:cs="Arial"/>
          <w:sz w:val="24"/>
          <w:szCs w:val="24"/>
          <w:highlight w:val="none"/>
        </w:rPr>
        <w:t>采购人将拒绝接收在规定的截止日期后递交的任何磋商响应文件。</w:t>
      </w:r>
      <w:bookmarkStart w:id="8" w:name="_Toc213839733"/>
    </w:p>
    <w:p>
      <w:pPr>
        <w:snapToGrid w:val="0"/>
        <w:spacing w:line="500" w:lineRule="exact"/>
        <w:ind w:firstLine="482" w:firstLineChars="200"/>
        <w:rPr>
          <w:rFonts w:ascii="宋体" w:hAnsi="宋体" w:cs="Arial"/>
          <w:b/>
          <w:sz w:val="24"/>
          <w:szCs w:val="24"/>
          <w:highlight w:val="none"/>
        </w:rPr>
      </w:pPr>
      <w:r>
        <w:rPr>
          <w:rFonts w:hint="eastAsia" w:ascii="宋体" w:hAnsi="宋体" w:cs="Arial"/>
          <w:b/>
          <w:sz w:val="24"/>
          <w:szCs w:val="24"/>
          <w:highlight w:val="none"/>
        </w:rPr>
        <w:t>（二十）磋商响应文件的修改</w:t>
      </w:r>
      <w:bookmarkEnd w:id="8"/>
    </w:p>
    <w:p>
      <w:pPr>
        <w:snapToGrid w:val="0"/>
        <w:spacing w:line="500" w:lineRule="exact"/>
        <w:ind w:firstLine="480" w:firstLineChars="200"/>
        <w:rPr>
          <w:rFonts w:ascii="宋体" w:hAnsi="宋体" w:cs="Arial"/>
          <w:sz w:val="24"/>
          <w:szCs w:val="24"/>
          <w:highlight w:val="none"/>
        </w:rPr>
      </w:pPr>
      <w:r>
        <w:rPr>
          <w:rFonts w:hint="eastAsia" w:ascii="宋体" w:hAnsi="宋体" w:cs="Arial"/>
          <w:sz w:val="24"/>
          <w:szCs w:val="24"/>
          <w:highlight w:val="none"/>
        </w:rPr>
        <w:t>20.1 供应商在递交磋商响应文件截止时间之前，对所递交的磋商响应文件可以以书面形式补充、修改或撤回已提交的磋商响应文件，补充、修改的内容为磋商响应文件的组成部分，对供应商具有约束力。</w:t>
      </w:r>
      <w:bookmarkStart w:id="9" w:name="_Toc213839734"/>
    </w:p>
    <w:p>
      <w:pPr>
        <w:snapToGrid w:val="0"/>
        <w:spacing w:line="500" w:lineRule="exact"/>
        <w:ind w:firstLine="480" w:firstLineChars="200"/>
        <w:rPr>
          <w:rFonts w:ascii="宋体" w:hAnsi="宋体" w:cs="Arial"/>
          <w:sz w:val="24"/>
          <w:szCs w:val="24"/>
          <w:highlight w:val="none"/>
        </w:rPr>
      </w:pPr>
      <w:r>
        <w:rPr>
          <w:rFonts w:hint="eastAsia" w:ascii="宋体" w:hAnsi="宋体" w:cs="Arial"/>
          <w:sz w:val="24"/>
          <w:szCs w:val="24"/>
          <w:highlight w:val="none"/>
        </w:rPr>
        <w:t>20.2供应商对磋商响应文件的补充、修改或撤回，应按本磋商文件的规定编制、标识和提交。</w:t>
      </w:r>
    </w:p>
    <w:p>
      <w:pPr>
        <w:snapToGrid w:val="0"/>
        <w:spacing w:line="500" w:lineRule="exact"/>
        <w:ind w:firstLine="200"/>
        <w:jc w:val="center"/>
        <w:outlineLvl w:val="1"/>
        <w:rPr>
          <w:rFonts w:ascii="宋体" w:hAnsi="宋体"/>
          <w:b/>
          <w:sz w:val="24"/>
          <w:szCs w:val="24"/>
          <w:highlight w:val="none"/>
        </w:rPr>
      </w:pPr>
      <w:bookmarkStart w:id="10" w:name="_Toc14072"/>
      <w:r>
        <w:rPr>
          <w:rFonts w:hint="eastAsia" w:ascii="宋体" w:hAnsi="宋体"/>
          <w:b/>
          <w:sz w:val="24"/>
          <w:szCs w:val="24"/>
          <w:highlight w:val="none"/>
        </w:rPr>
        <w:t>五、无效标、废标条款</w:t>
      </w:r>
      <w:bookmarkEnd w:id="10"/>
    </w:p>
    <w:p>
      <w:pPr>
        <w:snapToGrid w:val="0"/>
        <w:spacing w:line="500" w:lineRule="exact"/>
        <w:ind w:firstLine="482" w:firstLineChars="200"/>
        <w:jc w:val="left"/>
        <w:rPr>
          <w:rFonts w:ascii="宋体" w:hAnsi="宋体"/>
          <w:b/>
          <w:bCs/>
          <w:sz w:val="24"/>
          <w:szCs w:val="24"/>
          <w:highlight w:val="none"/>
        </w:rPr>
      </w:pPr>
      <w:r>
        <w:rPr>
          <w:rFonts w:hint="eastAsia" w:ascii="宋体" w:hAnsi="宋体"/>
          <w:b/>
          <w:bCs/>
          <w:sz w:val="24"/>
          <w:szCs w:val="24"/>
          <w:highlight w:val="none"/>
        </w:rPr>
        <w:t>（二十一）无效竞标条款</w:t>
      </w:r>
    </w:p>
    <w:p>
      <w:pPr>
        <w:snapToGrid w:val="0"/>
        <w:spacing w:line="500" w:lineRule="exact"/>
        <w:ind w:firstLine="480" w:firstLineChars="200"/>
        <w:jc w:val="left"/>
        <w:rPr>
          <w:rFonts w:ascii="宋体" w:hAnsi="宋体"/>
          <w:sz w:val="24"/>
          <w:szCs w:val="24"/>
          <w:highlight w:val="none"/>
          <w:lang w:val="zh-CN"/>
        </w:rPr>
      </w:pPr>
      <w:bookmarkStart w:id="11" w:name="_Toc520282245"/>
      <w:r>
        <w:rPr>
          <w:rFonts w:hint="eastAsia" w:ascii="宋体" w:hAnsi="宋体"/>
          <w:sz w:val="24"/>
          <w:szCs w:val="24"/>
          <w:highlight w:val="none"/>
        </w:rPr>
        <w:t>21.1</w:t>
      </w:r>
      <w:r>
        <w:rPr>
          <w:rFonts w:hint="eastAsia" w:ascii="宋体" w:hAnsi="宋体"/>
          <w:sz w:val="24"/>
          <w:szCs w:val="24"/>
          <w:highlight w:val="none"/>
          <w:lang w:val="zh-CN"/>
        </w:rPr>
        <w:t>未按竞争性磋商文件规定的形式和金额交纳磋商保证金的；</w:t>
      </w:r>
      <w:bookmarkEnd w:id="11"/>
    </w:p>
    <w:p>
      <w:pPr>
        <w:snapToGrid w:val="0"/>
        <w:spacing w:line="500" w:lineRule="exact"/>
        <w:ind w:firstLine="480" w:firstLineChars="200"/>
        <w:jc w:val="left"/>
        <w:rPr>
          <w:rFonts w:ascii="宋体" w:hAnsi="宋体"/>
          <w:sz w:val="24"/>
          <w:szCs w:val="24"/>
          <w:highlight w:val="none"/>
          <w:lang w:val="zh-CN"/>
        </w:rPr>
      </w:pPr>
      <w:bookmarkStart w:id="12" w:name="_Toc520282246"/>
      <w:r>
        <w:rPr>
          <w:rFonts w:hint="eastAsia" w:ascii="宋体" w:hAnsi="宋体"/>
          <w:sz w:val="24"/>
          <w:szCs w:val="24"/>
          <w:highlight w:val="none"/>
        </w:rPr>
        <w:t>21.2</w:t>
      </w:r>
      <w:r>
        <w:rPr>
          <w:rFonts w:hint="eastAsia" w:ascii="宋体" w:hAnsi="宋体"/>
          <w:sz w:val="24"/>
          <w:szCs w:val="24"/>
          <w:highlight w:val="none"/>
          <w:lang w:val="zh-CN"/>
        </w:rPr>
        <w:t>未按照竞争性磋商文件规定要求签署、盖章的；</w:t>
      </w:r>
      <w:bookmarkEnd w:id="12"/>
    </w:p>
    <w:p>
      <w:pPr>
        <w:snapToGrid w:val="0"/>
        <w:spacing w:line="500" w:lineRule="exact"/>
        <w:ind w:firstLine="480" w:firstLineChars="200"/>
        <w:jc w:val="left"/>
        <w:rPr>
          <w:rFonts w:ascii="宋体" w:hAnsi="宋体"/>
          <w:sz w:val="24"/>
          <w:szCs w:val="24"/>
          <w:highlight w:val="none"/>
        </w:rPr>
      </w:pPr>
      <w:bookmarkStart w:id="13" w:name="_Toc520282247"/>
      <w:r>
        <w:rPr>
          <w:rFonts w:hint="eastAsia" w:ascii="宋体" w:hAnsi="宋体"/>
          <w:sz w:val="24"/>
          <w:szCs w:val="24"/>
          <w:highlight w:val="none"/>
        </w:rPr>
        <w:t>21.3</w:t>
      </w:r>
      <w:r>
        <w:rPr>
          <w:rFonts w:hint="eastAsia" w:ascii="宋体" w:hAnsi="宋体"/>
          <w:sz w:val="24"/>
          <w:szCs w:val="24"/>
          <w:highlight w:val="none"/>
          <w:lang w:val="zh-CN"/>
        </w:rPr>
        <w:t>未满足</w:t>
      </w:r>
      <w:r>
        <w:rPr>
          <w:rFonts w:hint="eastAsia" w:ascii="宋体" w:hAnsi="宋体"/>
          <w:sz w:val="24"/>
          <w:szCs w:val="24"/>
          <w:highlight w:val="none"/>
        </w:rPr>
        <w:t>竞争性磋商文件规定资格要求的；</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21.4未满足“投标须知”规定的实质性要求的；</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21.5同一供应商提交两个以上不同的磋商响应文件或者竞标报价的（竞争性磋商文件要求允许提交备选方案的除外）；</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21.6磋商响应文件载明的磋商响应内容小于竞争性磋商文件规定的采购内容的(缺漏竞争性磋商文件所要求的内容)；</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21.7磋商有效期</w:t>
      </w:r>
      <w:r>
        <w:rPr>
          <w:rFonts w:hint="eastAsia" w:ascii="宋体" w:hAnsi="宋体"/>
          <w:sz w:val="24"/>
          <w:szCs w:val="24"/>
          <w:highlight w:val="none"/>
          <w:lang w:val="zh-CN"/>
        </w:rPr>
        <w:t>不满足要求</w:t>
      </w:r>
      <w:r>
        <w:rPr>
          <w:rFonts w:hint="eastAsia" w:ascii="宋体" w:hAnsi="宋体"/>
          <w:sz w:val="24"/>
          <w:szCs w:val="24"/>
          <w:highlight w:val="none"/>
        </w:rPr>
        <w:t>的；</w:t>
      </w:r>
    </w:p>
    <w:p>
      <w:pPr>
        <w:snapToGrid w:val="0"/>
        <w:spacing w:line="500" w:lineRule="exact"/>
        <w:ind w:firstLine="480" w:firstLineChars="200"/>
        <w:jc w:val="left"/>
        <w:rPr>
          <w:rFonts w:ascii="宋体" w:hAnsi="宋体"/>
          <w:sz w:val="24"/>
          <w:szCs w:val="24"/>
          <w:highlight w:val="none"/>
          <w:lang w:val="zh-CN"/>
        </w:rPr>
      </w:pPr>
      <w:r>
        <w:rPr>
          <w:rFonts w:hint="eastAsia" w:ascii="宋体" w:hAnsi="宋体"/>
          <w:sz w:val="24"/>
          <w:szCs w:val="24"/>
          <w:highlight w:val="none"/>
        </w:rPr>
        <w:t>21.8</w:t>
      </w:r>
      <w:r>
        <w:rPr>
          <w:rFonts w:hint="eastAsia" w:ascii="宋体" w:hAnsi="宋体"/>
          <w:sz w:val="24"/>
          <w:szCs w:val="24"/>
          <w:highlight w:val="none"/>
          <w:lang w:val="zh-CN"/>
        </w:rPr>
        <w:t>未满足竞争性磋商文件中商务及技术条款的实质性要求；</w:t>
      </w:r>
      <w:bookmarkEnd w:id="13"/>
    </w:p>
    <w:p>
      <w:pPr>
        <w:snapToGrid w:val="0"/>
        <w:spacing w:line="500" w:lineRule="exact"/>
        <w:ind w:firstLine="480" w:firstLineChars="200"/>
        <w:jc w:val="left"/>
        <w:rPr>
          <w:rFonts w:ascii="宋体" w:hAnsi="宋体"/>
          <w:sz w:val="24"/>
          <w:szCs w:val="24"/>
          <w:highlight w:val="none"/>
          <w:lang w:val="zh-CN"/>
        </w:rPr>
      </w:pPr>
      <w:bookmarkStart w:id="14" w:name="_Toc520282248"/>
      <w:r>
        <w:rPr>
          <w:rFonts w:hint="eastAsia" w:ascii="宋体" w:hAnsi="宋体"/>
          <w:sz w:val="24"/>
          <w:szCs w:val="24"/>
          <w:highlight w:val="none"/>
        </w:rPr>
        <w:t>21.9</w:t>
      </w:r>
      <w:r>
        <w:rPr>
          <w:rFonts w:hint="eastAsia" w:ascii="宋体" w:hAnsi="宋体"/>
          <w:sz w:val="24"/>
          <w:szCs w:val="24"/>
          <w:highlight w:val="none"/>
          <w:lang w:val="zh-CN"/>
        </w:rPr>
        <w:t>与其他供应商串通投标，或者与采购人串通投标妨碍其他供应商竞争行为，损害采购人或者其他供应商合法权益的；</w:t>
      </w:r>
      <w:bookmarkEnd w:id="14"/>
    </w:p>
    <w:p>
      <w:pPr>
        <w:snapToGrid w:val="0"/>
        <w:spacing w:line="500" w:lineRule="exact"/>
        <w:ind w:firstLine="480" w:firstLineChars="200"/>
        <w:jc w:val="left"/>
        <w:rPr>
          <w:rFonts w:ascii="宋体" w:hAnsi="宋体"/>
          <w:sz w:val="24"/>
          <w:szCs w:val="24"/>
          <w:highlight w:val="none"/>
          <w:lang w:val="zh-CN"/>
        </w:rPr>
      </w:pPr>
      <w:bookmarkStart w:id="15" w:name="_Toc520282249"/>
      <w:r>
        <w:rPr>
          <w:rFonts w:hint="eastAsia" w:ascii="宋体" w:hAnsi="宋体"/>
          <w:sz w:val="24"/>
          <w:szCs w:val="24"/>
          <w:highlight w:val="none"/>
        </w:rPr>
        <w:t>21.10</w:t>
      </w:r>
      <w:r>
        <w:rPr>
          <w:rFonts w:hint="eastAsia" w:ascii="宋体" w:hAnsi="宋体"/>
          <w:sz w:val="24"/>
          <w:szCs w:val="24"/>
          <w:highlight w:val="none"/>
          <w:lang w:val="zh-CN"/>
        </w:rPr>
        <w:t>属于竞争性磋商文件规定的其他无效投标情形；</w:t>
      </w:r>
      <w:bookmarkEnd w:id="15"/>
    </w:p>
    <w:p>
      <w:pPr>
        <w:snapToGrid w:val="0"/>
        <w:spacing w:line="500" w:lineRule="exact"/>
        <w:ind w:firstLine="480" w:firstLineChars="200"/>
        <w:jc w:val="left"/>
        <w:rPr>
          <w:rFonts w:ascii="宋体" w:hAnsi="宋体"/>
          <w:sz w:val="24"/>
          <w:szCs w:val="24"/>
          <w:highlight w:val="none"/>
          <w:lang w:val="zh-CN"/>
        </w:rPr>
      </w:pPr>
      <w:bookmarkStart w:id="16" w:name="_Toc520282250"/>
      <w:r>
        <w:rPr>
          <w:rFonts w:hint="eastAsia" w:ascii="宋体" w:hAnsi="宋体"/>
          <w:sz w:val="24"/>
          <w:szCs w:val="24"/>
          <w:highlight w:val="none"/>
        </w:rPr>
        <w:t>21.11</w:t>
      </w:r>
      <w:r>
        <w:rPr>
          <w:rFonts w:hint="eastAsia" w:ascii="宋体" w:hAnsi="宋体"/>
          <w:sz w:val="24"/>
          <w:szCs w:val="24"/>
          <w:highlight w:val="none"/>
          <w:lang w:val="zh-CN"/>
        </w:rPr>
        <w:t>评标委员会认为供应商的价格明显低于其他通过符合性检查供应商的按价格，有可能影响履约的，且供应商未按照规定证明其报价合理性的；</w:t>
      </w:r>
      <w:bookmarkEnd w:id="16"/>
    </w:p>
    <w:p>
      <w:pPr>
        <w:snapToGrid w:val="0"/>
        <w:spacing w:line="500" w:lineRule="exact"/>
        <w:ind w:firstLine="480" w:firstLineChars="200"/>
        <w:jc w:val="left"/>
        <w:rPr>
          <w:rFonts w:ascii="宋体" w:hAnsi="宋体"/>
          <w:sz w:val="24"/>
          <w:szCs w:val="24"/>
          <w:highlight w:val="none"/>
          <w:lang w:val="zh-CN"/>
        </w:rPr>
      </w:pPr>
      <w:bookmarkStart w:id="17" w:name="_Toc520282251"/>
      <w:r>
        <w:rPr>
          <w:rFonts w:hint="eastAsia" w:ascii="宋体" w:hAnsi="宋体"/>
          <w:sz w:val="24"/>
          <w:szCs w:val="24"/>
          <w:highlight w:val="none"/>
        </w:rPr>
        <w:t>21.12</w:t>
      </w:r>
      <w:r>
        <w:rPr>
          <w:rFonts w:hint="eastAsia" w:ascii="宋体" w:hAnsi="宋体"/>
          <w:sz w:val="24"/>
          <w:szCs w:val="24"/>
          <w:highlight w:val="none"/>
          <w:lang w:val="zh-CN"/>
        </w:rPr>
        <w:t>磋商响应文件含有采购人不能接受的附加条件的；</w:t>
      </w:r>
      <w:bookmarkEnd w:id="17"/>
    </w:p>
    <w:p>
      <w:pPr>
        <w:snapToGrid w:val="0"/>
        <w:spacing w:line="500" w:lineRule="exact"/>
        <w:ind w:firstLine="480" w:firstLineChars="200"/>
        <w:jc w:val="left"/>
        <w:rPr>
          <w:rFonts w:ascii="宋体" w:hAnsi="宋体"/>
          <w:sz w:val="24"/>
          <w:szCs w:val="24"/>
          <w:highlight w:val="none"/>
        </w:rPr>
      </w:pPr>
      <w:bookmarkStart w:id="18" w:name="_Toc520282252"/>
      <w:r>
        <w:rPr>
          <w:rFonts w:hint="eastAsia" w:ascii="宋体" w:hAnsi="宋体"/>
          <w:sz w:val="24"/>
          <w:szCs w:val="24"/>
          <w:highlight w:val="none"/>
        </w:rPr>
        <w:t>21.13</w:t>
      </w:r>
      <w:r>
        <w:rPr>
          <w:rFonts w:hint="eastAsia" w:ascii="宋体" w:hAnsi="宋体"/>
          <w:sz w:val="24"/>
          <w:szCs w:val="24"/>
          <w:highlight w:val="none"/>
          <w:lang w:val="zh-CN"/>
        </w:rPr>
        <w:t>不符合法规和竞争性磋商文件中规定的其他实质性要求的。</w:t>
      </w:r>
      <w:bookmarkEnd w:id="18"/>
    </w:p>
    <w:p>
      <w:pPr>
        <w:snapToGrid w:val="0"/>
        <w:spacing w:line="500" w:lineRule="exact"/>
        <w:ind w:firstLine="482" w:firstLineChars="200"/>
        <w:rPr>
          <w:rFonts w:ascii="宋体" w:hAnsi="宋体"/>
          <w:b/>
          <w:sz w:val="24"/>
          <w:szCs w:val="24"/>
          <w:highlight w:val="none"/>
        </w:rPr>
      </w:pPr>
      <w:r>
        <w:rPr>
          <w:rFonts w:hint="eastAsia" w:ascii="宋体" w:hAnsi="宋体"/>
          <w:b/>
          <w:sz w:val="24"/>
          <w:szCs w:val="24"/>
          <w:highlight w:val="none"/>
        </w:rPr>
        <w:t>（二十二）废标条款</w:t>
      </w:r>
    </w:p>
    <w:p>
      <w:pPr>
        <w:snapToGrid w:val="0"/>
        <w:spacing w:line="500" w:lineRule="exact"/>
        <w:ind w:firstLine="480" w:firstLineChars="200"/>
        <w:jc w:val="left"/>
        <w:rPr>
          <w:rFonts w:ascii="宋体" w:hAnsi="宋体"/>
          <w:bCs/>
          <w:sz w:val="24"/>
          <w:szCs w:val="24"/>
          <w:highlight w:val="none"/>
        </w:rPr>
      </w:pPr>
      <w:r>
        <w:rPr>
          <w:rFonts w:ascii="宋体" w:hAnsi="宋体"/>
          <w:bCs/>
          <w:sz w:val="24"/>
          <w:szCs w:val="24"/>
          <w:highlight w:val="none"/>
        </w:rPr>
        <w:t xml:space="preserve">22.1 </w:t>
      </w:r>
      <w:r>
        <w:rPr>
          <w:rFonts w:hint="eastAsia" w:ascii="宋体" w:hAnsi="宋体"/>
          <w:bCs/>
          <w:sz w:val="24"/>
          <w:szCs w:val="24"/>
          <w:highlight w:val="none"/>
        </w:rPr>
        <w:t>开标后，符合专业条件的供应商或者对竞争性磋商文件作实质响应的供应商不足三家的；</w:t>
      </w:r>
    </w:p>
    <w:p>
      <w:pPr>
        <w:snapToGrid w:val="0"/>
        <w:spacing w:line="500" w:lineRule="exact"/>
        <w:ind w:firstLine="480" w:firstLineChars="200"/>
        <w:rPr>
          <w:rFonts w:ascii="宋体" w:hAnsi="宋体"/>
          <w:sz w:val="24"/>
          <w:szCs w:val="24"/>
          <w:highlight w:val="none"/>
        </w:rPr>
      </w:pPr>
      <w:r>
        <w:rPr>
          <w:rFonts w:ascii="宋体" w:hAnsi="宋体"/>
          <w:sz w:val="24"/>
          <w:szCs w:val="24"/>
          <w:highlight w:val="none"/>
        </w:rPr>
        <w:t xml:space="preserve">22.2 </w:t>
      </w:r>
      <w:r>
        <w:rPr>
          <w:rFonts w:hint="eastAsia" w:ascii="宋体" w:hAnsi="宋体"/>
          <w:sz w:val="24"/>
          <w:szCs w:val="24"/>
          <w:highlight w:val="none"/>
        </w:rPr>
        <w:t>出现影响采购公正的违法、违规行为的；</w:t>
      </w:r>
    </w:p>
    <w:p>
      <w:pPr>
        <w:snapToGrid w:val="0"/>
        <w:spacing w:line="500" w:lineRule="exact"/>
        <w:ind w:firstLine="480" w:firstLineChars="200"/>
        <w:rPr>
          <w:rFonts w:ascii="宋体" w:hAnsi="宋体"/>
          <w:sz w:val="24"/>
          <w:szCs w:val="24"/>
          <w:highlight w:val="none"/>
        </w:rPr>
      </w:pPr>
      <w:r>
        <w:rPr>
          <w:rFonts w:ascii="宋体" w:hAnsi="宋体"/>
          <w:sz w:val="24"/>
          <w:szCs w:val="24"/>
          <w:highlight w:val="none"/>
        </w:rPr>
        <w:t xml:space="preserve">22.3 </w:t>
      </w:r>
      <w:r>
        <w:rPr>
          <w:rFonts w:hint="eastAsia" w:ascii="宋体" w:hAnsi="宋体"/>
          <w:sz w:val="24"/>
          <w:szCs w:val="24"/>
          <w:highlight w:val="none"/>
        </w:rPr>
        <w:t>供应商的报价均超过了采购预算，采购人不能支付的；</w:t>
      </w:r>
    </w:p>
    <w:p>
      <w:pPr>
        <w:snapToGrid w:val="0"/>
        <w:spacing w:line="500" w:lineRule="exact"/>
        <w:ind w:firstLine="480" w:firstLineChars="200"/>
        <w:rPr>
          <w:rFonts w:ascii="宋体" w:hAnsi="宋体"/>
          <w:sz w:val="24"/>
          <w:szCs w:val="24"/>
          <w:highlight w:val="none"/>
        </w:rPr>
      </w:pPr>
      <w:r>
        <w:rPr>
          <w:rFonts w:ascii="宋体" w:hAnsi="宋体"/>
          <w:sz w:val="24"/>
          <w:szCs w:val="24"/>
          <w:highlight w:val="none"/>
        </w:rPr>
        <w:t xml:space="preserve">22.4 </w:t>
      </w:r>
      <w:r>
        <w:rPr>
          <w:rFonts w:hint="eastAsia" w:ascii="宋体" w:hAnsi="宋体"/>
          <w:sz w:val="24"/>
          <w:szCs w:val="24"/>
          <w:highlight w:val="none"/>
        </w:rPr>
        <w:t>因重大变故，采购任务取消的。</w:t>
      </w:r>
    </w:p>
    <w:p>
      <w:pPr>
        <w:snapToGrid w:val="0"/>
        <w:spacing w:line="500" w:lineRule="exact"/>
        <w:ind w:firstLine="482" w:firstLineChars="200"/>
        <w:jc w:val="left"/>
        <w:rPr>
          <w:rFonts w:ascii="宋体" w:hAnsi="宋体"/>
          <w:b/>
          <w:bCs/>
          <w:sz w:val="24"/>
          <w:szCs w:val="24"/>
          <w:highlight w:val="none"/>
        </w:rPr>
      </w:pPr>
      <w:r>
        <w:rPr>
          <w:rFonts w:hint="eastAsia" w:ascii="宋体" w:hAnsi="宋体"/>
          <w:b/>
          <w:bCs/>
          <w:sz w:val="24"/>
          <w:szCs w:val="24"/>
          <w:highlight w:val="none"/>
        </w:rPr>
        <w:t>（二十三）参与供应商不得少于三家</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23.1 根据《政府采购竞争性磋商采购方式管理暂行办法》的规定，参与项目的供应商不得少于三家。</w:t>
      </w:r>
    </w:p>
    <w:p>
      <w:pPr>
        <w:snapToGrid w:val="0"/>
        <w:spacing w:line="500" w:lineRule="exact"/>
        <w:ind w:firstLine="482" w:firstLineChars="200"/>
        <w:rPr>
          <w:rFonts w:ascii="宋体" w:hAnsi="宋体"/>
          <w:sz w:val="24"/>
          <w:szCs w:val="24"/>
          <w:highlight w:val="none"/>
        </w:rPr>
      </w:pPr>
      <w:r>
        <w:rPr>
          <w:rFonts w:hint="eastAsia" w:ascii="宋体" w:hAnsi="宋体"/>
          <w:b/>
          <w:bCs/>
          <w:sz w:val="24"/>
          <w:szCs w:val="24"/>
          <w:highlight w:val="none"/>
        </w:rPr>
        <w:t>（二十四）取消成交候选人资格条款</w:t>
      </w:r>
    </w:p>
    <w:p>
      <w:pPr>
        <w:snapToGrid w:val="0"/>
        <w:spacing w:line="500" w:lineRule="exact"/>
        <w:ind w:firstLine="480" w:firstLineChars="200"/>
        <w:rPr>
          <w:rFonts w:ascii="宋体" w:hAnsi="宋体"/>
          <w:sz w:val="24"/>
          <w:szCs w:val="24"/>
          <w:highlight w:val="none"/>
        </w:rPr>
      </w:pPr>
      <w:r>
        <w:rPr>
          <w:rFonts w:ascii="宋体" w:hAnsi="宋体"/>
          <w:sz w:val="24"/>
          <w:szCs w:val="24"/>
          <w:highlight w:val="none"/>
        </w:rPr>
        <w:t xml:space="preserve">24.1 </w:t>
      </w:r>
      <w:r>
        <w:rPr>
          <w:rFonts w:hint="eastAsia" w:ascii="宋体" w:hAnsi="宋体"/>
          <w:sz w:val="24"/>
          <w:szCs w:val="24"/>
          <w:highlight w:val="none"/>
        </w:rPr>
        <w:t>提供虚假材料谋取成交的；</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24</w:t>
      </w:r>
      <w:r>
        <w:rPr>
          <w:rFonts w:ascii="宋体" w:hAnsi="宋体"/>
          <w:sz w:val="24"/>
          <w:szCs w:val="24"/>
          <w:highlight w:val="none"/>
        </w:rPr>
        <w:t xml:space="preserve">.2 </w:t>
      </w:r>
      <w:r>
        <w:rPr>
          <w:rFonts w:hint="eastAsia" w:ascii="宋体" w:hAnsi="宋体"/>
          <w:sz w:val="24"/>
          <w:szCs w:val="24"/>
          <w:highlight w:val="none"/>
        </w:rPr>
        <w:t>采取不正当手段诋毁、排挤其他供应商的；</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24.3 与采购人、其他供应商或者采购代理机构恶意串通的；</w:t>
      </w:r>
    </w:p>
    <w:p>
      <w:pPr>
        <w:snapToGrid w:val="0"/>
        <w:spacing w:line="500" w:lineRule="exact"/>
        <w:ind w:firstLine="480" w:firstLineChars="200"/>
        <w:rPr>
          <w:rFonts w:ascii="宋体" w:hAnsi="宋体"/>
          <w:sz w:val="24"/>
          <w:szCs w:val="24"/>
          <w:highlight w:val="none"/>
        </w:rPr>
      </w:pPr>
      <w:r>
        <w:rPr>
          <w:rFonts w:ascii="宋体" w:hAnsi="宋体"/>
          <w:sz w:val="24"/>
          <w:szCs w:val="24"/>
          <w:highlight w:val="none"/>
        </w:rPr>
        <w:t xml:space="preserve">24.4 </w:t>
      </w:r>
      <w:r>
        <w:rPr>
          <w:rFonts w:hint="eastAsia" w:ascii="宋体" w:hAnsi="宋体"/>
          <w:sz w:val="24"/>
          <w:szCs w:val="24"/>
          <w:highlight w:val="none"/>
        </w:rPr>
        <w:t>向采购人、采购代理机构行贿或者提供其他不正当利益的；</w:t>
      </w:r>
    </w:p>
    <w:p>
      <w:pPr>
        <w:snapToGrid w:val="0"/>
        <w:spacing w:line="500" w:lineRule="exact"/>
        <w:ind w:firstLine="480" w:firstLineChars="200"/>
        <w:rPr>
          <w:rFonts w:ascii="宋体" w:hAnsi="宋体"/>
          <w:sz w:val="24"/>
          <w:szCs w:val="24"/>
          <w:highlight w:val="none"/>
        </w:rPr>
      </w:pPr>
      <w:r>
        <w:rPr>
          <w:rFonts w:ascii="宋体" w:hAnsi="宋体"/>
          <w:sz w:val="24"/>
          <w:szCs w:val="24"/>
          <w:highlight w:val="none"/>
        </w:rPr>
        <w:t xml:space="preserve">24.5 </w:t>
      </w:r>
      <w:r>
        <w:rPr>
          <w:rFonts w:hint="eastAsia" w:ascii="宋体" w:hAnsi="宋体"/>
          <w:sz w:val="24"/>
          <w:szCs w:val="24"/>
          <w:highlight w:val="none"/>
        </w:rPr>
        <w:t>在规定的时间内未按磋商要求与采购人签订采购合同或未按采购文件要求提交履约担保的；</w:t>
      </w:r>
    </w:p>
    <w:p>
      <w:pPr>
        <w:snapToGrid w:val="0"/>
        <w:spacing w:line="500" w:lineRule="exact"/>
        <w:ind w:firstLine="480" w:firstLineChars="200"/>
        <w:rPr>
          <w:rFonts w:ascii="宋体" w:hAnsi="宋体"/>
          <w:sz w:val="24"/>
          <w:szCs w:val="24"/>
          <w:highlight w:val="none"/>
        </w:rPr>
      </w:pPr>
      <w:r>
        <w:rPr>
          <w:rFonts w:ascii="宋体" w:hAnsi="宋体"/>
          <w:sz w:val="24"/>
          <w:szCs w:val="24"/>
          <w:highlight w:val="none"/>
        </w:rPr>
        <w:t xml:space="preserve">24.6 </w:t>
      </w:r>
      <w:r>
        <w:rPr>
          <w:rFonts w:hint="eastAsia" w:ascii="宋体" w:hAnsi="宋体"/>
          <w:sz w:val="24"/>
          <w:szCs w:val="24"/>
          <w:highlight w:val="none"/>
        </w:rPr>
        <w:t>法律、法规规定的其他情况。</w:t>
      </w:r>
    </w:p>
    <w:p>
      <w:pPr>
        <w:snapToGrid w:val="0"/>
        <w:spacing w:line="500" w:lineRule="exact"/>
        <w:ind w:firstLine="200"/>
        <w:jc w:val="center"/>
        <w:outlineLvl w:val="1"/>
        <w:rPr>
          <w:rFonts w:ascii="宋体" w:hAnsi="宋体"/>
          <w:b/>
          <w:sz w:val="24"/>
          <w:szCs w:val="24"/>
          <w:highlight w:val="none"/>
        </w:rPr>
      </w:pPr>
      <w:bookmarkStart w:id="19" w:name="_Toc5909"/>
      <w:r>
        <w:rPr>
          <w:rFonts w:hint="eastAsia" w:ascii="宋体" w:hAnsi="宋体"/>
          <w:b/>
          <w:sz w:val="24"/>
          <w:szCs w:val="24"/>
          <w:highlight w:val="none"/>
        </w:rPr>
        <w:t>六、磋商程序及最终报价</w:t>
      </w:r>
      <w:bookmarkEnd w:id="9"/>
      <w:bookmarkEnd w:id="19"/>
    </w:p>
    <w:p>
      <w:pPr>
        <w:snapToGrid w:val="0"/>
        <w:spacing w:line="500" w:lineRule="exact"/>
        <w:ind w:firstLine="472" w:firstLineChars="196"/>
        <w:rPr>
          <w:rFonts w:ascii="宋体" w:hAnsi="宋体"/>
          <w:b/>
          <w:bCs/>
          <w:sz w:val="24"/>
          <w:szCs w:val="24"/>
          <w:highlight w:val="none"/>
        </w:rPr>
      </w:pPr>
      <w:r>
        <w:rPr>
          <w:rFonts w:hint="eastAsia" w:ascii="宋体" w:hAnsi="宋体"/>
          <w:b/>
          <w:bCs/>
          <w:sz w:val="24"/>
          <w:szCs w:val="24"/>
          <w:highlight w:val="none"/>
        </w:rPr>
        <w:t>（二十五）磋商原则</w:t>
      </w:r>
    </w:p>
    <w:p>
      <w:pPr>
        <w:adjustRightInd w:val="0"/>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评、定标依据《中华人民共和国政府采购法》、《政府采购竞争性磋商采购方式管理暂行办法》等相关规定，遵循公开、公平、公正、竞争的原则。</w:t>
      </w:r>
    </w:p>
    <w:p>
      <w:pPr>
        <w:adjustRightInd w:val="0"/>
        <w:snapToGrid w:val="0"/>
        <w:spacing w:line="500" w:lineRule="exact"/>
        <w:ind w:firstLine="480" w:firstLineChars="200"/>
        <w:rPr>
          <w:rFonts w:ascii="宋体" w:hAnsi="宋体"/>
          <w:sz w:val="24"/>
          <w:szCs w:val="24"/>
          <w:highlight w:val="none"/>
        </w:rPr>
      </w:pPr>
      <w:r>
        <w:rPr>
          <w:rFonts w:ascii="宋体" w:hAnsi="宋体"/>
          <w:sz w:val="24"/>
          <w:szCs w:val="24"/>
          <w:highlight w:val="none"/>
        </w:rPr>
        <w:t xml:space="preserve">25.1 </w:t>
      </w:r>
      <w:r>
        <w:rPr>
          <w:rFonts w:hint="eastAsia" w:ascii="宋体" w:hAnsi="宋体"/>
          <w:sz w:val="24"/>
          <w:szCs w:val="24"/>
          <w:highlight w:val="none"/>
        </w:rPr>
        <w:t>严格执行《中华人民共和国政府采购法》及自治区有关法规、政策、维护采购人、供应商的合法权益，选择对采购人最为有利的供应商或候选供应商。</w:t>
      </w:r>
    </w:p>
    <w:p>
      <w:pPr>
        <w:adjustRightInd w:val="0"/>
        <w:snapToGrid w:val="0"/>
        <w:spacing w:line="500" w:lineRule="exact"/>
        <w:ind w:firstLine="480" w:firstLineChars="200"/>
        <w:rPr>
          <w:rFonts w:ascii="宋体" w:hAnsi="宋体"/>
          <w:sz w:val="24"/>
          <w:szCs w:val="24"/>
          <w:highlight w:val="none"/>
        </w:rPr>
      </w:pPr>
      <w:r>
        <w:rPr>
          <w:rFonts w:ascii="宋体" w:hAnsi="宋体"/>
          <w:sz w:val="24"/>
          <w:szCs w:val="24"/>
          <w:highlight w:val="none"/>
        </w:rPr>
        <w:t xml:space="preserve">25.2 </w:t>
      </w:r>
      <w:r>
        <w:rPr>
          <w:rFonts w:hint="eastAsia" w:ascii="宋体" w:hAnsi="宋体"/>
          <w:sz w:val="24"/>
          <w:szCs w:val="24"/>
          <w:highlight w:val="none"/>
        </w:rPr>
        <w:t>磋商小组所有成员应当集中与单一供应商分别进行磋商，并给予所有参加磋商的供应商平等的磋商机会。不应谈及与供应商所提供的服务质量、技术、价格等无关的话题。</w:t>
      </w:r>
    </w:p>
    <w:p>
      <w:pPr>
        <w:adjustRightInd w:val="0"/>
        <w:snapToGrid w:val="0"/>
        <w:spacing w:line="500" w:lineRule="exact"/>
        <w:ind w:firstLine="480" w:firstLineChars="200"/>
        <w:rPr>
          <w:rFonts w:ascii="宋体" w:hAnsi="宋体"/>
          <w:sz w:val="24"/>
          <w:szCs w:val="24"/>
          <w:highlight w:val="none"/>
        </w:rPr>
      </w:pPr>
      <w:r>
        <w:rPr>
          <w:rFonts w:ascii="宋体" w:hAnsi="宋体"/>
          <w:sz w:val="24"/>
          <w:szCs w:val="24"/>
          <w:highlight w:val="none"/>
        </w:rPr>
        <w:t xml:space="preserve">25.3 </w:t>
      </w:r>
      <w:r>
        <w:rPr>
          <w:rFonts w:hint="eastAsia" w:ascii="宋体" w:hAnsi="宋体"/>
          <w:sz w:val="24"/>
          <w:szCs w:val="24"/>
          <w:highlight w:val="none"/>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pPr>
        <w:adjustRightInd w:val="0"/>
        <w:snapToGrid w:val="0"/>
        <w:spacing w:line="500" w:lineRule="exact"/>
        <w:ind w:firstLine="480" w:firstLineChars="200"/>
        <w:rPr>
          <w:rFonts w:ascii="宋体" w:hAnsi="宋体"/>
          <w:sz w:val="24"/>
          <w:szCs w:val="24"/>
          <w:highlight w:val="none"/>
        </w:rPr>
      </w:pPr>
      <w:r>
        <w:rPr>
          <w:rFonts w:ascii="宋体" w:hAnsi="宋体"/>
          <w:sz w:val="24"/>
          <w:szCs w:val="24"/>
          <w:highlight w:val="none"/>
        </w:rPr>
        <w:t xml:space="preserve">25.4 </w:t>
      </w:r>
      <w:r>
        <w:rPr>
          <w:rFonts w:hint="eastAsia" w:ascii="宋体" w:hAnsi="宋体"/>
          <w:sz w:val="24"/>
          <w:szCs w:val="24"/>
          <w:highlight w:val="none"/>
        </w:rPr>
        <w:t>坚持价格合理、综合评优的原则，不以最低报价作为中标唯一标准。</w:t>
      </w:r>
    </w:p>
    <w:p>
      <w:pPr>
        <w:adjustRightInd w:val="0"/>
        <w:snapToGrid w:val="0"/>
        <w:spacing w:line="500" w:lineRule="exact"/>
        <w:ind w:firstLine="482" w:firstLineChars="200"/>
        <w:rPr>
          <w:rFonts w:ascii="宋体" w:hAnsi="宋体"/>
          <w:b/>
          <w:sz w:val="24"/>
          <w:szCs w:val="24"/>
          <w:highlight w:val="none"/>
        </w:rPr>
      </w:pPr>
      <w:r>
        <w:rPr>
          <w:rFonts w:hint="eastAsia" w:ascii="宋体" w:hAnsi="宋体"/>
          <w:b/>
          <w:bCs/>
          <w:sz w:val="24"/>
          <w:szCs w:val="24"/>
          <w:highlight w:val="none"/>
        </w:rPr>
        <w:t>（二十六）</w:t>
      </w:r>
      <w:r>
        <w:rPr>
          <w:rFonts w:hint="eastAsia" w:ascii="宋体" w:hAnsi="宋体"/>
          <w:b/>
          <w:sz w:val="24"/>
          <w:szCs w:val="24"/>
          <w:highlight w:val="none"/>
        </w:rPr>
        <w:t>磋商小组</w:t>
      </w:r>
    </w:p>
    <w:p>
      <w:pPr>
        <w:snapToGrid w:val="0"/>
        <w:spacing w:line="500" w:lineRule="exact"/>
        <w:ind w:firstLine="480" w:firstLineChars="200"/>
        <w:rPr>
          <w:rFonts w:ascii="宋体" w:hAnsi="宋体" w:cs="宋体"/>
          <w:sz w:val="24"/>
          <w:szCs w:val="24"/>
          <w:highlight w:val="none"/>
        </w:rPr>
      </w:pPr>
      <w:r>
        <w:rPr>
          <w:rFonts w:hint="eastAsia" w:ascii="宋体" w:hAnsi="宋体"/>
          <w:sz w:val="24"/>
          <w:szCs w:val="24"/>
          <w:highlight w:val="none"/>
        </w:rPr>
        <w:t>26.1 采购人根据本项目的特点，于开标前</w:t>
      </w:r>
      <w:r>
        <w:rPr>
          <w:rFonts w:ascii="宋体" w:hAnsi="宋体"/>
          <w:sz w:val="24"/>
          <w:szCs w:val="24"/>
          <w:highlight w:val="none"/>
        </w:rPr>
        <w:t>48</w:t>
      </w:r>
      <w:r>
        <w:rPr>
          <w:rFonts w:hint="eastAsia" w:ascii="宋体" w:hAnsi="宋体"/>
          <w:sz w:val="24"/>
          <w:szCs w:val="24"/>
          <w:highlight w:val="none"/>
        </w:rPr>
        <w:t>小时内，从新疆政府采购网政采云评审专家库中随机抽取组建磋商小组，</w:t>
      </w:r>
      <w:r>
        <w:rPr>
          <w:rFonts w:hint="eastAsia" w:ascii="宋体" w:hAnsi="宋体" w:cs="宋体"/>
          <w:sz w:val="24"/>
          <w:szCs w:val="24"/>
          <w:highlight w:val="none"/>
        </w:rPr>
        <w:t>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snapToGrid w:val="0"/>
        <w:spacing w:line="500" w:lineRule="exact"/>
        <w:ind w:firstLine="480" w:firstLineChars="200"/>
        <w:rPr>
          <w:rFonts w:ascii="宋体" w:hAnsi="宋体"/>
          <w:sz w:val="24"/>
          <w:szCs w:val="24"/>
          <w:highlight w:val="none"/>
        </w:rPr>
      </w:pPr>
      <w:r>
        <w:rPr>
          <w:rFonts w:ascii="宋体" w:hAnsi="宋体"/>
          <w:sz w:val="24"/>
          <w:szCs w:val="24"/>
          <w:highlight w:val="none"/>
        </w:rPr>
        <w:t xml:space="preserve">26.2 </w:t>
      </w:r>
      <w:r>
        <w:rPr>
          <w:rFonts w:hint="eastAsia" w:ascii="宋体" w:hAnsi="宋体"/>
          <w:sz w:val="24"/>
          <w:szCs w:val="24"/>
          <w:highlight w:val="none"/>
        </w:rPr>
        <w:t>磋商小组在监督部门的监督下独立完成磋商工作，负责对磋商响应文件进行审查、质询、评审、推选成交候选供应商。</w:t>
      </w:r>
    </w:p>
    <w:p>
      <w:pPr>
        <w:tabs>
          <w:tab w:val="left" w:pos="5744"/>
        </w:tabs>
        <w:snapToGrid w:val="0"/>
        <w:spacing w:line="500" w:lineRule="exact"/>
        <w:ind w:firstLine="482" w:firstLineChars="200"/>
        <w:rPr>
          <w:rFonts w:ascii="宋体" w:hAnsi="宋体"/>
          <w:b/>
          <w:bCs/>
          <w:sz w:val="24"/>
          <w:szCs w:val="24"/>
          <w:highlight w:val="none"/>
        </w:rPr>
      </w:pPr>
      <w:r>
        <w:rPr>
          <w:rFonts w:hint="eastAsia" w:ascii="宋体" w:hAnsi="宋体"/>
          <w:b/>
          <w:bCs/>
          <w:sz w:val="24"/>
          <w:szCs w:val="24"/>
          <w:highlight w:val="none"/>
        </w:rPr>
        <w:t>（二十七）磋商程序</w:t>
      </w:r>
      <w:r>
        <w:rPr>
          <w:rFonts w:hint="eastAsia" w:ascii="宋体" w:hAnsi="宋体"/>
          <w:b/>
          <w:bCs/>
          <w:sz w:val="24"/>
          <w:szCs w:val="24"/>
          <w:highlight w:val="none"/>
        </w:rPr>
        <w:tab/>
      </w:r>
    </w:p>
    <w:p>
      <w:pPr>
        <w:widowControl/>
        <w:snapToGrid w:val="0"/>
        <w:spacing w:line="500" w:lineRule="exact"/>
        <w:ind w:firstLine="480" w:firstLineChars="200"/>
        <w:rPr>
          <w:rFonts w:ascii="宋体" w:hAnsi="宋体"/>
          <w:sz w:val="24"/>
          <w:szCs w:val="24"/>
          <w:highlight w:val="none"/>
        </w:rPr>
      </w:pPr>
      <w:r>
        <w:rPr>
          <w:rFonts w:ascii="宋体" w:hAnsi="宋体"/>
          <w:sz w:val="24"/>
          <w:szCs w:val="24"/>
          <w:highlight w:val="none"/>
        </w:rPr>
        <w:t xml:space="preserve">27.1 </w:t>
      </w:r>
      <w:r>
        <w:rPr>
          <w:rFonts w:hint="eastAsia" w:ascii="宋体" w:hAnsi="宋体"/>
          <w:sz w:val="24"/>
          <w:szCs w:val="24"/>
          <w:highlight w:val="none"/>
        </w:rPr>
        <w:t>代理机构按竞争性磋商文件规定的时间、地点组织开标、磋商。采购单位代表及有关工作人员参加，政府采购监管部门视情况参与。</w:t>
      </w:r>
    </w:p>
    <w:p>
      <w:pPr>
        <w:widowControl/>
        <w:snapToGrid w:val="0"/>
        <w:spacing w:line="500" w:lineRule="exact"/>
        <w:ind w:firstLine="480" w:firstLineChars="200"/>
        <w:rPr>
          <w:rFonts w:ascii="宋体" w:hAnsi="宋体"/>
          <w:b/>
          <w:sz w:val="24"/>
          <w:szCs w:val="24"/>
          <w:highlight w:val="none"/>
          <w:u w:val="single"/>
        </w:rPr>
      </w:pPr>
      <w:r>
        <w:rPr>
          <w:rFonts w:ascii="宋体" w:hAnsi="宋体"/>
          <w:sz w:val="24"/>
          <w:szCs w:val="24"/>
          <w:highlight w:val="none"/>
        </w:rPr>
        <w:t xml:space="preserve">27.2 </w:t>
      </w:r>
      <w:r>
        <w:rPr>
          <w:rFonts w:hint="eastAsia" w:ascii="宋体" w:hAnsi="宋体"/>
          <w:sz w:val="24"/>
          <w:szCs w:val="24"/>
          <w:highlight w:val="none"/>
        </w:rPr>
        <w:t>招标会将于供应商须知前附表规定的时间和地点召开，邀请供应商参加。磋商小组成员不得参加开标活动。</w:t>
      </w:r>
      <w:r>
        <w:rPr>
          <w:rFonts w:hint="eastAsia" w:ascii="宋体" w:hAnsi="宋体"/>
          <w:b/>
          <w:sz w:val="24"/>
          <w:szCs w:val="24"/>
          <w:highlight w:val="none"/>
        </w:rPr>
        <w:t>在开标截止时间前不得解密磋商响应文件。</w:t>
      </w:r>
    </w:p>
    <w:p>
      <w:pPr>
        <w:snapToGrid w:val="0"/>
        <w:spacing w:line="500" w:lineRule="exact"/>
        <w:ind w:firstLine="480" w:firstLineChars="200"/>
        <w:rPr>
          <w:rFonts w:ascii="宋体" w:hAnsi="宋体"/>
          <w:sz w:val="24"/>
          <w:szCs w:val="24"/>
          <w:highlight w:val="none"/>
        </w:rPr>
      </w:pPr>
      <w:r>
        <w:rPr>
          <w:rFonts w:ascii="宋体" w:hAnsi="宋体"/>
          <w:sz w:val="24"/>
          <w:szCs w:val="24"/>
          <w:highlight w:val="none"/>
        </w:rPr>
        <w:t xml:space="preserve">27.3 </w:t>
      </w:r>
      <w:r>
        <w:rPr>
          <w:rFonts w:hint="eastAsia" w:ascii="宋体" w:hAnsi="宋体"/>
          <w:sz w:val="24"/>
          <w:szCs w:val="24"/>
          <w:highlight w:val="none"/>
        </w:rPr>
        <w:t>开标会议由代理机构主持。合格供应商不足3家的，不得评标。对检查未通过的，采购人将拒绝并原封退回其磋商响应文件。</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27.4. 在本项目竞争性磋商文件规定的查询时间之外，网站信息发生的任何变更均不作为资格审查依据。</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27.5</w:t>
      </w:r>
      <w:r>
        <w:rPr>
          <w:rFonts w:ascii="宋体" w:hAnsi="宋体"/>
          <w:sz w:val="24"/>
          <w:szCs w:val="24"/>
          <w:highlight w:val="none"/>
        </w:rPr>
        <w:t xml:space="preserve"> </w:t>
      </w:r>
      <w:r>
        <w:rPr>
          <w:rFonts w:hint="eastAsia" w:ascii="宋体" w:hAnsi="宋体"/>
          <w:sz w:val="24"/>
          <w:szCs w:val="24"/>
          <w:highlight w:val="none"/>
        </w:rPr>
        <w:t>供应商代表对开标过程和开标记录有疑义，以及认为采购人、采购代理机构相关工作人员有需要回避的情形的，应当场提出询问或者回避申请。供应商未参加开标的，视同认可开标结果。</w:t>
      </w:r>
    </w:p>
    <w:p>
      <w:pPr>
        <w:snapToGrid w:val="0"/>
        <w:spacing w:line="500" w:lineRule="exact"/>
        <w:ind w:firstLine="480" w:firstLineChars="200"/>
        <w:rPr>
          <w:rFonts w:ascii="宋体" w:hAnsi="宋体"/>
          <w:sz w:val="24"/>
          <w:szCs w:val="24"/>
          <w:highlight w:val="none"/>
        </w:rPr>
      </w:pPr>
      <w:r>
        <w:rPr>
          <w:rFonts w:ascii="宋体" w:hAnsi="宋体"/>
          <w:sz w:val="24"/>
          <w:szCs w:val="24"/>
          <w:highlight w:val="none"/>
        </w:rPr>
        <w:t>27.</w:t>
      </w:r>
      <w:r>
        <w:rPr>
          <w:rFonts w:hint="eastAsia" w:ascii="宋体" w:hAnsi="宋体"/>
          <w:sz w:val="24"/>
          <w:szCs w:val="24"/>
          <w:highlight w:val="none"/>
        </w:rPr>
        <w:t>6</w:t>
      </w:r>
      <w:r>
        <w:rPr>
          <w:rFonts w:ascii="宋体" w:hAnsi="宋体"/>
          <w:sz w:val="24"/>
          <w:szCs w:val="24"/>
          <w:highlight w:val="none"/>
        </w:rPr>
        <w:t xml:space="preserve"> </w:t>
      </w:r>
      <w:r>
        <w:rPr>
          <w:rFonts w:hint="eastAsia" w:ascii="宋体" w:hAnsi="宋体"/>
          <w:sz w:val="24"/>
          <w:szCs w:val="24"/>
          <w:highlight w:val="none"/>
        </w:rPr>
        <w:t>磋商会议由磋商小组组长主持。磋商小组首先对各磋商响应文件进行初步审查，初步审查包括资格性审查和符合性审查，未通过审查的为无效标。</w:t>
      </w:r>
    </w:p>
    <w:p>
      <w:pPr>
        <w:snapToGrid w:val="0"/>
        <w:spacing w:line="500" w:lineRule="exact"/>
        <w:ind w:firstLine="480" w:firstLineChars="200"/>
        <w:rPr>
          <w:rFonts w:ascii="宋体" w:hAnsi="宋体" w:cs="Arial"/>
          <w:sz w:val="24"/>
          <w:szCs w:val="24"/>
          <w:highlight w:val="none"/>
        </w:rPr>
      </w:pPr>
      <w:r>
        <w:rPr>
          <w:rFonts w:hint="eastAsia" w:ascii="宋体" w:hAnsi="宋体" w:cs="Arial"/>
          <w:sz w:val="24"/>
          <w:szCs w:val="24"/>
          <w:highlight w:val="none"/>
        </w:rPr>
        <w:t>⑴资格性检查：磋商小组将根据法律法规和竞争性磋商文件的规定，对磋商响应文件的资格证明文件、磋商保证金等进行审查，以确定供应商是否具备竞争性磋商资格。</w:t>
      </w:r>
    </w:p>
    <w:p>
      <w:pPr>
        <w:widowControl/>
        <w:tabs>
          <w:tab w:val="left" w:pos="540"/>
        </w:tabs>
        <w:snapToGrid w:val="0"/>
        <w:spacing w:line="500" w:lineRule="exact"/>
        <w:ind w:firstLine="480" w:firstLineChars="200"/>
        <w:rPr>
          <w:rFonts w:ascii="宋体" w:hAnsi="宋体" w:cs="Arial"/>
          <w:sz w:val="24"/>
          <w:szCs w:val="24"/>
          <w:highlight w:val="none"/>
        </w:rPr>
      </w:pPr>
      <w:r>
        <w:rPr>
          <w:rFonts w:hint="eastAsia" w:ascii="宋体" w:hAnsi="宋体" w:cs="Arial"/>
          <w:sz w:val="24"/>
          <w:szCs w:val="24"/>
          <w:highlight w:val="none"/>
        </w:rPr>
        <w:t>⑵符合性检查：依据竞争性磋商文件的规定，从磋商响应文件的有效性、完整性和对竞争性磋商文件的响应程度进行审查，以确定是否对竞争性磋商文件的要求做出了实质性的响应，</w:t>
      </w:r>
      <w:r>
        <w:rPr>
          <w:rFonts w:hint="eastAsia" w:ascii="宋体" w:hAnsi="宋体"/>
          <w:sz w:val="24"/>
          <w:szCs w:val="24"/>
          <w:highlight w:val="none"/>
        </w:rPr>
        <w:t>存在重大偏离的磋商响应文件为无效标。所谓重大偏离是指供应商磋商响应文件中所述服务质量、技术、规格、数量、服务期等和服务明显不能满足竞争性磋商文件要求。</w:t>
      </w:r>
      <w:r>
        <w:rPr>
          <w:rFonts w:hint="eastAsia" w:ascii="宋体" w:hAnsi="宋体"/>
          <w:sz w:val="24"/>
          <w:szCs w:val="24"/>
          <w:highlight w:val="none"/>
          <w:u w:val="single"/>
        </w:rPr>
        <w:t>磋商小组成员对需要共同认定的事项存在争议的，应当按照少数服从多数的原则作出结论。持不同意见的磋商小组成员应当在评标报告上签署不同意见及理由，否则视为同意评标报告。</w:t>
      </w:r>
    </w:p>
    <w:p>
      <w:pPr>
        <w:snapToGrid w:val="0"/>
        <w:spacing w:line="500" w:lineRule="exact"/>
        <w:ind w:firstLine="480" w:firstLineChars="200"/>
        <w:rPr>
          <w:rFonts w:ascii="宋体" w:hAnsi="宋体" w:cs="Arial"/>
          <w:sz w:val="24"/>
          <w:szCs w:val="24"/>
          <w:highlight w:val="none"/>
        </w:rPr>
      </w:pPr>
      <w:r>
        <w:rPr>
          <w:rFonts w:ascii="宋体" w:hAnsi="宋体" w:cs="Arial"/>
          <w:sz w:val="24"/>
          <w:szCs w:val="24"/>
          <w:highlight w:val="none"/>
        </w:rPr>
        <w:t>27.</w:t>
      </w:r>
      <w:r>
        <w:rPr>
          <w:rFonts w:hint="eastAsia" w:ascii="宋体" w:hAnsi="宋体" w:cs="Arial"/>
          <w:sz w:val="24"/>
          <w:szCs w:val="24"/>
          <w:highlight w:val="none"/>
        </w:rPr>
        <w:t>7</w:t>
      </w:r>
      <w:r>
        <w:rPr>
          <w:rFonts w:ascii="宋体" w:hAnsi="宋体" w:cs="Arial"/>
          <w:sz w:val="24"/>
          <w:szCs w:val="24"/>
          <w:highlight w:val="none"/>
        </w:rPr>
        <w:t xml:space="preserve"> </w:t>
      </w:r>
      <w:r>
        <w:rPr>
          <w:rFonts w:hint="eastAsia" w:ascii="宋体" w:hAnsi="宋体" w:cs="Arial"/>
          <w:sz w:val="24"/>
          <w:szCs w:val="24"/>
          <w:highlight w:val="none"/>
        </w:rPr>
        <w:t>磋商小组判断“磋商响应文件”的响应性，仅基于“磋商响应文件”本身而不靠外部证据。对非实质性响应的磋商响应文件，供应商不能通过修正或撤销不符之处，而使其成为实质性响应。</w:t>
      </w:r>
    </w:p>
    <w:p>
      <w:pPr>
        <w:pStyle w:val="13"/>
        <w:tabs>
          <w:tab w:val="left" w:pos="1260"/>
        </w:tabs>
        <w:snapToGrid w:val="0"/>
        <w:spacing w:line="500" w:lineRule="exact"/>
        <w:ind w:firstLine="480" w:firstLineChars="200"/>
        <w:rPr>
          <w:rFonts w:hAnsi="宋体"/>
          <w:sz w:val="24"/>
          <w:szCs w:val="24"/>
          <w:highlight w:val="none"/>
        </w:rPr>
      </w:pPr>
      <w:r>
        <w:rPr>
          <w:rFonts w:hAnsi="宋体"/>
          <w:sz w:val="24"/>
          <w:szCs w:val="24"/>
          <w:highlight w:val="none"/>
        </w:rPr>
        <w:t>27.</w:t>
      </w:r>
      <w:r>
        <w:rPr>
          <w:rFonts w:hint="eastAsia" w:hAnsi="宋体"/>
          <w:sz w:val="24"/>
          <w:szCs w:val="24"/>
          <w:highlight w:val="none"/>
        </w:rPr>
        <w:t>8</w:t>
      </w:r>
      <w:r>
        <w:rPr>
          <w:rFonts w:hAnsi="宋体"/>
          <w:sz w:val="24"/>
          <w:szCs w:val="24"/>
          <w:highlight w:val="none"/>
        </w:rPr>
        <w:t xml:space="preserve"> </w:t>
      </w:r>
      <w:r>
        <w:rPr>
          <w:rFonts w:hint="eastAsia" w:hAnsi="宋体"/>
          <w:sz w:val="24"/>
          <w:szCs w:val="24"/>
          <w:highlight w:val="none"/>
        </w:rPr>
        <w:t>磋商小组根据竞争性磋商文件要求，讨论、通过磋商工作流程和磋商要点。</w:t>
      </w:r>
    </w:p>
    <w:p>
      <w:pPr>
        <w:pStyle w:val="13"/>
        <w:snapToGrid w:val="0"/>
        <w:spacing w:line="500" w:lineRule="exact"/>
        <w:ind w:firstLine="480" w:firstLineChars="200"/>
        <w:rPr>
          <w:rFonts w:hAnsi="宋体"/>
          <w:sz w:val="24"/>
          <w:szCs w:val="24"/>
          <w:highlight w:val="none"/>
        </w:rPr>
      </w:pPr>
      <w:r>
        <w:rPr>
          <w:rFonts w:hAnsi="宋体"/>
          <w:sz w:val="24"/>
          <w:szCs w:val="24"/>
          <w:highlight w:val="none"/>
        </w:rPr>
        <w:t>27.</w:t>
      </w:r>
      <w:r>
        <w:rPr>
          <w:rFonts w:hint="eastAsia" w:hAnsi="宋体"/>
          <w:sz w:val="24"/>
          <w:szCs w:val="24"/>
          <w:highlight w:val="none"/>
        </w:rPr>
        <w:t>9</w:t>
      </w:r>
      <w:r>
        <w:rPr>
          <w:rFonts w:hAnsi="宋体"/>
          <w:sz w:val="24"/>
          <w:szCs w:val="24"/>
          <w:highlight w:val="none"/>
        </w:rPr>
        <w:t xml:space="preserve"> </w:t>
      </w:r>
      <w:r>
        <w:rPr>
          <w:rFonts w:hint="eastAsia" w:hAnsi="宋体"/>
          <w:sz w:val="24"/>
          <w:szCs w:val="24"/>
          <w:highlight w:val="none"/>
        </w:rPr>
        <w:t>采购人按照供应商签到时间顺序通知有效供应商磋商。</w:t>
      </w:r>
    </w:p>
    <w:p>
      <w:pPr>
        <w:pStyle w:val="13"/>
        <w:snapToGrid w:val="0"/>
        <w:spacing w:line="500" w:lineRule="exact"/>
        <w:ind w:firstLine="480" w:firstLineChars="200"/>
        <w:rPr>
          <w:rFonts w:hAnsi="宋体"/>
          <w:sz w:val="24"/>
          <w:szCs w:val="24"/>
          <w:highlight w:val="none"/>
        </w:rPr>
      </w:pPr>
      <w:r>
        <w:rPr>
          <w:rFonts w:hint="eastAsia" w:hAnsi="宋体"/>
          <w:sz w:val="24"/>
          <w:szCs w:val="24"/>
          <w:highlight w:val="none"/>
          <w:u w:val="single"/>
        </w:rPr>
        <w:t>参与二次及多次报价及服务承诺的人员须是供应商法定代表人或其授权代表人。供应商未及时参与磋商或多次报价的，视为自动放弃参与磋商的资格。</w:t>
      </w:r>
    </w:p>
    <w:p>
      <w:pPr>
        <w:pStyle w:val="13"/>
        <w:tabs>
          <w:tab w:val="left" w:pos="1260"/>
        </w:tabs>
        <w:snapToGrid w:val="0"/>
        <w:spacing w:line="500" w:lineRule="exact"/>
        <w:ind w:firstLine="480" w:firstLineChars="200"/>
        <w:rPr>
          <w:rFonts w:hAnsi="宋体"/>
          <w:sz w:val="24"/>
          <w:szCs w:val="24"/>
          <w:highlight w:val="none"/>
        </w:rPr>
      </w:pPr>
      <w:r>
        <w:rPr>
          <w:rFonts w:hint="eastAsia" w:hAnsi="宋体"/>
          <w:sz w:val="24"/>
          <w:szCs w:val="24"/>
          <w:highlight w:val="none"/>
        </w:rPr>
        <w:t>27.10</w:t>
      </w:r>
      <w:r>
        <w:rPr>
          <w:rFonts w:hint="eastAsia" w:hAnsi="宋体"/>
          <w:b/>
          <w:bCs/>
          <w:sz w:val="24"/>
          <w:szCs w:val="24"/>
          <w:highlight w:val="none"/>
        </w:rPr>
        <w:t>第一轮磋商：</w:t>
      </w:r>
      <w:r>
        <w:rPr>
          <w:rFonts w:hint="eastAsia" w:hAnsi="宋体"/>
          <w:sz w:val="24"/>
          <w:szCs w:val="24"/>
          <w:highlight w:val="none"/>
        </w:rPr>
        <w:t>磋商小组所有成员集中按已确定的磋商顺序，与单一供应商分别就符合采购需求、质量、服务等进行磋商，并了解其报价组成情况，磋商结束后，磋商小组进行合议。</w:t>
      </w:r>
    </w:p>
    <w:p>
      <w:pPr>
        <w:pStyle w:val="13"/>
        <w:tabs>
          <w:tab w:val="left" w:pos="1260"/>
        </w:tabs>
        <w:snapToGrid w:val="0"/>
        <w:spacing w:line="500" w:lineRule="exact"/>
        <w:ind w:firstLine="480" w:firstLineChars="200"/>
        <w:rPr>
          <w:rFonts w:hAnsi="宋体"/>
          <w:sz w:val="24"/>
          <w:szCs w:val="24"/>
          <w:highlight w:val="none"/>
        </w:rPr>
      </w:pPr>
      <w:r>
        <w:rPr>
          <w:rFonts w:hint="eastAsia" w:hAnsi="宋体"/>
          <w:sz w:val="24"/>
          <w:szCs w:val="24"/>
          <w:highlight w:val="none"/>
        </w:rPr>
        <w:t>27.11</w:t>
      </w:r>
      <w:r>
        <w:rPr>
          <w:rFonts w:hint="eastAsia" w:hAnsi="宋体"/>
          <w:b/>
          <w:bCs/>
          <w:sz w:val="24"/>
          <w:szCs w:val="24"/>
          <w:highlight w:val="none"/>
        </w:rPr>
        <w:t>磋商文件修正：</w:t>
      </w:r>
      <w:r>
        <w:rPr>
          <w:rFonts w:hint="eastAsia" w:hAnsi="宋体"/>
          <w:sz w:val="24"/>
          <w:szCs w:val="24"/>
          <w:highlight w:val="none"/>
        </w:rPr>
        <w:t>根据磋商掌握的情况，磋商小组可以根据磋商文件和磋商情况实质性变动采购需求中的技术、服务要求以及合同草案条款，但不得变动磋商文件中的其他内容。实质性变动的内容，须经磋商小组及采购人代表签字确认。采购代理机构通知磋商响应供应商集中，磋商小组强调调整后的采购要求，将磋商文件的修改结果以书面形式通知磋商响应供应商。</w:t>
      </w:r>
    </w:p>
    <w:p>
      <w:pPr>
        <w:pStyle w:val="13"/>
        <w:tabs>
          <w:tab w:val="left" w:pos="1260"/>
        </w:tabs>
        <w:snapToGrid w:val="0"/>
        <w:spacing w:line="500" w:lineRule="exact"/>
        <w:ind w:firstLine="480" w:firstLineChars="200"/>
        <w:rPr>
          <w:rFonts w:hAnsi="宋体"/>
          <w:sz w:val="24"/>
          <w:szCs w:val="24"/>
          <w:highlight w:val="none"/>
        </w:rPr>
      </w:pPr>
      <w:r>
        <w:rPr>
          <w:rFonts w:hint="eastAsia" w:hAnsi="宋体"/>
          <w:sz w:val="24"/>
          <w:szCs w:val="24"/>
          <w:highlight w:val="none"/>
        </w:rPr>
        <w:t>供应商根据磋商情况和磋商文件修改书面通知，对原磋商响应文件进行修正，并在规定时间内将修正文件由供应商或其授权委托人签字或盖章后上传至系统。逾时未交的，视同放弃磋商。修正文件与磋商响应文件同具法律效力。</w:t>
      </w:r>
    </w:p>
    <w:p>
      <w:pPr>
        <w:pStyle w:val="13"/>
        <w:tabs>
          <w:tab w:val="left" w:pos="1260"/>
        </w:tabs>
        <w:snapToGrid w:val="0"/>
        <w:spacing w:line="500" w:lineRule="exact"/>
        <w:ind w:firstLine="482" w:firstLineChars="200"/>
        <w:rPr>
          <w:rFonts w:hAnsi="宋体"/>
          <w:sz w:val="24"/>
          <w:szCs w:val="24"/>
          <w:highlight w:val="none"/>
        </w:rPr>
      </w:pPr>
      <w:r>
        <w:rPr>
          <w:rFonts w:hint="eastAsia" w:hAnsi="宋体"/>
          <w:b/>
          <w:bCs/>
          <w:sz w:val="24"/>
          <w:szCs w:val="24"/>
          <w:highlight w:val="none"/>
        </w:rPr>
        <w:t>27.12第二轮磋商：</w:t>
      </w:r>
      <w:r>
        <w:rPr>
          <w:rFonts w:hint="eastAsia" w:hAnsi="宋体"/>
          <w:sz w:val="24"/>
          <w:szCs w:val="24"/>
          <w:highlight w:val="none"/>
        </w:rPr>
        <w:t>磋商小组就修正后的磋商响应文件与磋商响应供应商分别进行磋商。如未实质性提高采购需求中的技术、服务要求以及合同草案条款情况下，供应商第二轮磋商总报价及分项报价均不得超过第一轮报价，否则其本次报价无效并以其前一轮的报价为有效报价。采购代理机构对磋商过程和磋商内容进行记录，磋商小组和磋商响应供应商在记录上签字确认。</w:t>
      </w:r>
    </w:p>
    <w:p>
      <w:pPr>
        <w:pStyle w:val="13"/>
        <w:tabs>
          <w:tab w:val="left" w:pos="1260"/>
        </w:tabs>
        <w:snapToGrid w:val="0"/>
        <w:spacing w:line="500" w:lineRule="exact"/>
        <w:ind w:firstLine="480" w:firstLineChars="200"/>
        <w:rPr>
          <w:rFonts w:hAnsi="宋体"/>
          <w:sz w:val="24"/>
          <w:szCs w:val="24"/>
          <w:highlight w:val="none"/>
        </w:rPr>
      </w:pPr>
      <w:r>
        <w:rPr>
          <w:rFonts w:hint="eastAsia" w:hAnsi="宋体"/>
          <w:sz w:val="24"/>
          <w:szCs w:val="24"/>
          <w:highlight w:val="none"/>
        </w:rPr>
        <w:t>第二轮磋商后磋商小组未能确定成交候选人的，按27.11磋商文件修正的要求，对磋商文件修正后进行第三轮磋商。</w:t>
      </w:r>
    </w:p>
    <w:p>
      <w:pPr>
        <w:pStyle w:val="13"/>
        <w:tabs>
          <w:tab w:val="left" w:pos="1260"/>
        </w:tabs>
        <w:snapToGrid w:val="0"/>
        <w:spacing w:line="500" w:lineRule="exact"/>
        <w:ind w:firstLine="480" w:firstLineChars="200"/>
        <w:rPr>
          <w:rFonts w:hAnsi="宋体"/>
          <w:sz w:val="24"/>
          <w:szCs w:val="24"/>
          <w:highlight w:val="none"/>
        </w:rPr>
      </w:pPr>
      <w:r>
        <w:rPr>
          <w:rFonts w:hint="eastAsia" w:hAnsi="宋体"/>
          <w:sz w:val="24"/>
          <w:szCs w:val="24"/>
          <w:highlight w:val="none"/>
        </w:rPr>
        <w:t>27.13</w:t>
      </w:r>
      <w:r>
        <w:rPr>
          <w:rFonts w:hint="eastAsia" w:hAnsi="宋体"/>
          <w:b/>
          <w:bCs/>
          <w:sz w:val="24"/>
          <w:szCs w:val="24"/>
          <w:highlight w:val="none"/>
        </w:rPr>
        <w:t>最终报价：</w:t>
      </w:r>
      <w:r>
        <w:rPr>
          <w:rFonts w:hint="eastAsia" w:hAnsi="宋体"/>
          <w:sz w:val="24"/>
          <w:szCs w:val="24"/>
          <w:highlight w:val="none"/>
        </w:rPr>
        <w:t>最终的磋商结束后，所有磋商响应供应商作最终报价，在规定时间内递交磋商小组，最终报价是供应商磋商响应文件的有效组成部分。由磋商小组采用综合评分法对提交最后报价的供应商的响应文件和最后报价进行综合评分。</w:t>
      </w:r>
    </w:p>
    <w:p>
      <w:pPr>
        <w:pStyle w:val="13"/>
        <w:tabs>
          <w:tab w:val="left" w:pos="1260"/>
        </w:tabs>
        <w:snapToGrid w:val="0"/>
        <w:spacing w:line="500" w:lineRule="exact"/>
        <w:ind w:firstLine="480" w:firstLineChars="200"/>
        <w:rPr>
          <w:rFonts w:hAnsi="宋体"/>
          <w:sz w:val="24"/>
          <w:szCs w:val="24"/>
          <w:highlight w:val="none"/>
        </w:rPr>
      </w:pPr>
      <w:r>
        <w:rPr>
          <w:rFonts w:hint="eastAsia" w:hAnsi="宋体"/>
          <w:sz w:val="24"/>
          <w:szCs w:val="24"/>
          <w:highlight w:val="none"/>
        </w:rPr>
        <w:t>27.14磋商文件能够详细列明采购标的的技术、服务要求的，磋商结束后，磋商小组应当要求所有实质性响应的供应商在规定时间内提交最后报价，提交最后报价的供应商不得少于3家。</w:t>
      </w:r>
    </w:p>
    <w:p>
      <w:pPr>
        <w:pStyle w:val="13"/>
        <w:tabs>
          <w:tab w:val="left" w:pos="1260"/>
        </w:tabs>
        <w:snapToGrid w:val="0"/>
        <w:spacing w:line="500" w:lineRule="exact"/>
        <w:ind w:firstLine="480" w:firstLineChars="200"/>
        <w:rPr>
          <w:rFonts w:hAnsi="宋体"/>
          <w:sz w:val="24"/>
          <w:szCs w:val="24"/>
          <w:highlight w:val="none"/>
        </w:rPr>
      </w:pPr>
      <w:r>
        <w:rPr>
          <w:rFonts w:hint="eastAsia" w:hAnsi="宋体"/>
          <w:sz w:val="24"/>
          <w:szCs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3"/>
        <w:tabs>
          <w:tab w:val="left" w:pos="1260"/>
        </w:tabs>
        <w:snapToGrid w:val="0"/>
        <w:spacing w:line="500" w:lineRule="exact"/>
        <w:ind w:firstLine="480" w:firstLineChars="200"/>
        <w:rPr>
          <w:rFonts w:hAnsi="宋体"/>
          <w:sz w:val="24"/>
          <w:szCs w:val="24"/>
          <w:highlight w:val="none"/>
        </w:rPr>
      </w:pPr>
      <w:r>
        <w:rPr>
          <w:rFonts w:hint="eastAsia" w:hAnsi="宋体"/>
          <w:sz w:val="24"/>
          <w:szCs w:val="24"/>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w:t>
      </w:r>
    </w:p>
    <w:p>
      <w:pPr>
        <w:pStyle w:val="13"/>
        <w:tabs>
          <w:tab w:val="left" w:pos="1260"/>
        </w:tabs>
        <w:snapToGrid w:val="0"/>
        <w:spacing w:line="500" w:lineRule="exact"/>
        <w:ind w:firstLine="480" w:firstLineChars="200"/>
        <w:rPr>
          <w:rFonts w:hAnsi="宋体"/>
          <w:sz w:val="24"/>
          <w:szCs w:val="24"/>
          <w:highlight w:val="none"/>
        </w:rPr>
      </w:pPr>
      <w:r>
        <w:rPr>
          <w:rFonts w:hint="eastAsia" w:hAnsi="宋体"/>
          <w:sz w:val="24"/>
          <w:szCs w:val="24"/>
          <w:highlight w:val="none"/>
        </w:rPr>
        <w:t xml:space="preserve">27.15已提交响应文件的供应商，在提交最后报价之前，可以根据磋商情况退出磋商。采购人、采购代理机构应当退还退出磋商的供应商的磋商保证金。   </w:t>
      </w:r>
    </w:p>
    <w:p>
      <w:pPr>
        <w:snapToGrid w:val="0"/>
        <w:spacing w:line="500" w:lineRule="exact"/>
        <w:ind w:firstLine="472" w:firstLineChars="197"/>
        <w:rPr>
          <w:rFonts w:ascii="宋体" w:hAnsi="宋体"/>
          <w:bCs/>
          <w:sz w:val="24"/>
          <w:szCs w:val="24"/>
          <w:highlight w:val="none"/>
        </w:rPr>
      </w:pPr>
      <w:r>
        <w:rPr>
          <w:rFonts w:hint="eastAsia" w:ascii="宋体" w:hAnsi="宋体"/>
          <w:bCs/>
          <w:sz w:val="24"/>
          <w:szCs w:val="24"/>
          <w:highlight w:val="none"/>
        </w:rPr>
        <w:t>27.16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snapToGrid w:val="0"/>
        <w:spacing w:line="500" w:lineRule="exact"/>
        <w:ind w:firstLine="472" w:firstLineChars="197"/>
        <w:rPr>
          <w:rFonts w:ascii="宋体" w:hAnsi="宋体"/>
          <w:bCs/>
          <w:sz w:val="24"/>
          <w:szCs w:val="24"/>
          <w:highlight w:val="none"/>
        </w:rPr>
      </w:pPr>
      <w:r>
        <w:rPr>
          <w:rFonts w:ascii="宋体" w:hAnsi="宋体"/>
          <w:bCs/>
          <w:sz w:val="24"/>
          <w:szCs w:val="24"/>
          <w:highlight w:val="none"/>
        </w:rPr>
        <w:t>27.1</w:t>
      </w:r>
      <w:r>
        <w:rPr>
          <w:rFonts w:hint="eastAsia" w:ascii="宋体" w:hAnsi="宋体"/>
          <w:bCs/>
          <w:sz w:val="24"/>
          <w:szCs w:val="24"/>
          <w:highlight w:val="none"/>
        </w:rPr>
        <w:t>7</w:t>
      </w:r>
      <w:r>
        <w:rPr>
          <w:rFonts w:ascii="宋体" w:hAnsi="宋体"/>
          <w:bCs/>
          <w:sz w:val="24"/>
          <w:szCs w:val="24"/>
          <w:highlight w:val="none"/>
        </w:rPr>
        <w:t xml:space="preserve"> </w:t>
      </w:r>
      <w:r>
        <w:rPr>
          <w:rFonts w:hint="eastAsia" w:ascii="宋体" w:hAnsi="宋体"/>
          <w:bCs/>
          <w:sz w:val="24"/>
          <w:szCs w:val="24"/>
          <w:highlight w:val="none"/>
        </w:rPr>
        <w:t>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pPr>
        <w:pStyle w:val="13"/>
        <w:snapToGrid w:val="0"/>
        <w:spacing w:line="500" w:lineRule="exact"/>
        <w:ind w:firstLine="354" w:firstLineChars="147"/>
        <w:rPr>
          <w:rFonts w:hAnsi="宋体"/>
          <w:b/>
          <w:sz w:val="24"/>
          <w:szCs w:val="24"/>
          <w:highlight w:val="none"/>
        </w:rPr>
      </w:pPr>
      <w:bookmarkStart w:id="20" w:name="_Toc213839741"/>
      <w:r>
        <w:rPr>
          <w:rFonts w:hint="eastAsia" w:hAnsi="宋体"/>
          <w:b/>
          <w:sz w:val="24"/>
          <w:szCs w:val="24"/>
          <w:highlight w:val="none"/>
        </w:rPr>
        <w:t>（二十八）最终报价</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28.1 磋商结束后，磋商小组将要求所有有效供应商在规定时间内提交最终报价及服务承诺。</w:t>
      </w:r>
    </w:p>
    <w:p>
      <w:pPr>
        <w:snapToGrid w:val="0"/>
        <w:spacing w:line="500" w:lineRule="exact"/>
        <w:ind w:firstLine="354" w:firstLineChars="147"/>
        <w:rPr>
          <w:rFonts w:ascii="宋体" w:hAnsi="宋体"/>
          <w:b/>
          <w:sz w:val="24"/>
          <w:szCs w:val="24"/>
          <w:highlight w:val="none"/>
        </w:rPr>
      </w:pPr>
      <w:r>
        <w:rPr>
          <w:rFonts w:hint="eastAsia" w:ascii="宋体" w:hAnsi="宋体"/>
          <w:b/>
          <w:sz w:val="24"/>
          <w:szCs w:val="24"/>
          <w:highlight w:val="none"/>
        </w:rPr>
        <w:t>（二十九）确定成交候选供应商</w:t>
      </w:r>
    </w:p>
    <w:p>
      <w:pPr>
        <w:snapToGrid w:val="0"/>
        <w:spacing w:line="500" w:lineRule="exact"/>
        <w:ind w:firstLine="472" w:firstLineChars="197"/>
        <w:rPr>
          <w:rFonts w:ascii="宋体" w:hAnsi="宋体"/>
          <w:sz w:val="24"/>
          <w:szCs w:val="24"/>
          <w:highlight w:val="none"/>
        </w:rPr>
      </w:pPr>
      <w:r>
        <w:rPr>
          <w:rFonts w:hint="eastAsia" w:ascii="宋体" w:hAnsi="宋体"/>
          <w:sz w:val="24"/>
          <w:szCs w:val="24"/>
          <w:highlight w:val="none"/>
        </w:rPr>
        <w:t>29.1 经磋商确定最终采购需求和提交最后报价的供应商后，由磋商小组采用综合评分法对提交最后报价的供应商的磋商响应文件和最后报价进行综合评分。</w:t>
      </w:r>
    </w:p>
    <w:p>
      <w:pPr>
        <w:snapToGrid w:val="0"/>
        <w:spacing w:line="500" w:lineRule="exact"/>
        <w:ind w:firstLine="472" w:firstLineChars="197"/>
        <w:rPr>
          <w:rFonts w:ascii="宋体" w:hAnsi="宋体"/>
          <w:bCs/>
          <w:sz w:val="24"/>
          <w:szCs w:val="24"/>
          <w:highlight w:val="none"/>
        </w:rPr>
      </w:pPr>
      <w:r>
        <w:rPr>
          <w:rFonts w:hint="eastAsia" w:ascii="宋体" w:hAnsi="宋体"/>
          <w:bCs/>
          <w:sz w:val="24"/>
          <w:szCs w:val="24"/>
          <w:highlight w:val="none"/>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pPr>
        <w:snapToGrid w:val="0"/>
        <w:spacing w:line="500" w:lineRule="exact"/>
        <w:ind w:firstLine="482" w:firstLineChars="200"/>
        <w:rPr>
          <w:rFonts w:ascii="宋体" w:hAnsi="宋体"/>
          <w:b/>
          <w:sz w:val="24"/>
          <w:szCs w:val="24"/>
          <w:highlight w:val="none"/>
        </w:rPr>
      </w:pPr>
      <w:r>
        <w:rPr>
          <w:rFonts w:hint="eastAsia" w:ascii="宋体" w:hAnsi="宋体"/>
          <w:b/>
          <w:sz w:val="24"/>
          <w:szCs w:val="24"/>
          <w:highlight w:val="none"/>
        </w:rPr>
        <w:t>（三十）磋商过程</w:t>
      </w:r>
      <w:bookmarkEnd w:id="20"/>
      <w:r>
        <w:rPr>
          <w:rFonts w:hint="eastAsia" w:ascii="宋体" w:hAnsi="宋体"/>
          <w:b/>
          <w:sz w:val="24"/>
          <w:szCs w:val="24"/>
          <w:highlight w:val="none"/>
        </w:rPr>
        <w:t>保密</w:t>
      </w:r>
    </w:p>
    <w:p>
      <w:pPr>
        <w:snapToGrid w:val="0"/>
        <w:spacing w:line="500" w:lineRule="exact"/>
        <w:ind w:firstLine="480" w:firstLineChars="200"/>
        <w:rPr>
          <w:rFonts w:ascii="宋体" w:hAnsi="宋体"/>
          <w:sz w:val="24"/>
          <w:szCs w:val="24"/>
          <w:highlight w:val="none"/>
        </w:rPr>
      </w:pPr>
      <w:r>
        <w:rPr>
          <w:rFonts w:ascii="宋体" w:hAnsi="宋体"/>
          <w:sz w:val="24"/>
          <w:szCs w:val="24"/>
          <w:highlight w:val="none"/>
        </w:rPr>
        <w:t xml:space="preserve">30.1 </w:t>
      </w:r>
      <w:r>
        <w:rPr>
          <w:rFonts w:hint="eastAsia" w:ascii="宋体" w:hAnsi="宋体"/>
          <w:sz w:val="24"/>
          <w:szCs w:val="24"/>
          <w:highlight w:val="none"/>
        </w:rPr>
        <w:t>在宣布成交结果之前，凡属于审查、澄清、评价、比较竞争性磋商文件等有关信息，相关当事人均不得泄露给任何磋商供应商或与磋商工作无关的人员。</w:t>
      </w:r>
    </w:p>
    <w:p>
      <w:pPr>
        <w:snapToGrid w:val="0"/>
        <w:spacing w:line="500" w:lineRule="exact"/>
        <w:ind w:firstLine="480" w:firstLineChars="200"/>
        <w:rPr>
          <w:rFonts w:ascii="宋体" w:hAnsi="宋体"/>
          <w:sz w:val="24"/>
          <w:szCs w:val="24"/>
          <w:highlight w:val="none"/>
        </w:rPr>
      </w:pPr>
      <w:r>
        <w:rPr>
          <w:rFonts w:ascii="宋体" w:hAnsi="宋体"/>
          <w:sz w:val="24"/>
          <w:szCs w:val="24"/>
          <w:highlight w:val="none"/>
        </w:rPr>
        <w:t xml:space="preserve">30.2 </w:t>
      </w:r>
      <w:r>
        <w:rPr>
          <w:rFonts w:hint="eastAsia" w:ascii="宋体" w:hAnsi="宋体"/>
          <w:sz w:val="24"/>
          <w:szCs w:val="24"/>
          <w:highlight w:val="none"/>
        </w:rPr>
        <w:t>供应商不得探听上述信息，不得以任何行为影响磋商过程，否则其磋商响应文件将被作为无效磋商响应文件。</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30.3 在磋商期间，代理机构有专门工作人员与供应商进行联络。</w:t>
      </w:r>
    </w:p>
    <w:p>
      <w:pPr>
        <w:snapToGrid w:val="0"/>
        <w:spacing w:line="500" w:lineRule="exact"/>
        <w:ind w:firstLine="480" w:firstLineChars="200"/>
        <w:rPr>
          <w:rFonts w:ascii="宋体" w:hAnsi="宋体"/>
          <w:sz w:val="24"/>
          <w:szCs w:val="24"/>
          <w:highlight w:val="none"/>
        </w:rPr>
      </w:pPr>
      <w:r>
        <w:rPr>
          <w:rFonts w:ascii="宋体" w:hAnsi="宋体"/>
          <w:sz w:val="24"/>
          <w:szCs w:val="24"/>
          <w:highlight w:val="none"/>
        </w:rPr>
        <w:t xml:space="preserve">30.4 </w:t>
      </w:r>
      <w:r>
        <w:rPr>
          <w:rFonts w:hint="eastAsia" w:ascii="宋体" w:hAnsi="宋体"/>
          <w:sz w:val="24"/>
          <w:szCs w:val="24"/>
          <w:highlight w:val="none"/>
        </w:rPr>
        <w:t>采购人和磋商小组不向未成交的供应商解释未成交原因，也不对磋商过程中的细节问题进行公布。</w:t>
      </w:r>
    </w:p>
    <w:p>
      <w:pPr>
        <w:snapToGrid w:val="0"/>
        <w:spacing w:line="500" w:lineRule="exact"/>
        <w:ind w:firstLine="200"/>
        <w:jc w:val="center"/>
        <w:outlineLvl w:val="1"/>
        <w:rPr>
          <w:rFonts w:ascii="宋体" w:hAnsi="宋体"/>
          <w:b/>
          <w:sz w:val="24"/>
          <w:szCs w:val="24"/>
          <w:highlight w:val="none"/>
        </w:rPr>
      </w:pPr>
      <w:r>
        <w:rPr>
          <w:rFonts w:hint="eastAsia" w:ascii="宋体" w:hAnsi="宋体"/>
          <w:b/>
          <w:sz w:val="24"/>
          <w:szCs w:val="24"/>
          <w:highlight w:val="none"/>
        </w:rPr>
        <w:br w:type="page"/>
      </w:r>
      <w:bookmarkStart w:id="21" w:name="_Toc28256"/>
      <w:r>
        <w:rPr>
          <w:rFonts w:hint="eastAsia" w:ascii="宋体" w:hAnsi="宋体"/>
          <w:b/>
          <w:sz w:val="24"/>
          <w:szCs w:val="24"/>
          <w:highlight w:val="none"/>
        </w:rPr>
        <w:t>七、评标办法</w:t>
      </w:r>
      <w:bookmarkEnd w:id="21"/>
    </w:p>
    <w:p>
      <w:pPr>
        <w:snapToGrid w:val="0"/>
        <w:spacing w:line="440" w:lineRule="exact"/>
        <w:rPr>
          <w:rFonts w:ascii="宋体" w:hAnsi="宋体"/>
          <w:b/>
          <w:bCs/>
          <w:sz w:val="24"/>
          <w:szCs w:val="24"/>
          <w:highlight w:val="none"/>
        </w:rPr>
      </w:pPr>
      <w:r>
        <w:rPr>
          <w:rFonts w:hint="eastAsia" w:ascii="宋体" w:hAnsi="宋体"/>
          <w:b/>
          <w:sz w:val="24"/>
          <w:szCs w:val="24"/>
          <w:highlight w:val="none"/>
        </w:rPr>
        <w:t>（三十一）</w:t>
      </w:r>
      <w:r>
        <w:rPr>
          <w:rFonts w:hint="eastAsia" w:ascii="宋体" w:hAnsi="宋体"/>
          <w:b/>
          <w:bCs/>
          <w:sz w:val="24"/>
          <w:szCs w:val="24"/>
          <w:highlight w:val="none"/>
        </w:rPr>
        <w:t>初步</w:t>
      </w:r>
      <w:r>
        <w:rPr>
          <w:rFonts w:hint="eastAsia" w:ascii="宋体" w:hAnsi="宋体"/>
          <w:b/>
          <w:sz w:val="24"/>
          <w:szCs w:val="24"/>
          <w:highlight w:val="none"/>
        </w:rPr>
        <w:t>评审</w:t>
      </w:r>
    </w:p>
    <w:p>
      <w:pPr>
        <w:snapToGrid w:val="0"/>
        <w:spacing w:line="440" w:lineRule="exact"/>
        <w:jc w:val="center"/>
        <w:rPr>
          <w:rFonts w:ascii="宋体" w:hAnsi="宋体"/>
          <w:b/>
          <w:sz w:val="24"/>
          <w:szCs w:val="24"/>
          <w:highlight w:val="none"/>
        </w:rPr>
      </w:pPr>
      <w:r>
        <w:rPr>
          <w:rFonts w:hint="eastAsia" w:ascii="宋体" w:hAnsi="宋体"/>
          <w:b/>
          <w:bCs/>
          <w:sz w:val="24"/>
          <w:szCs w:val="24"/>
          <w:highlight w:val="none"/>
        </w:rPr>
        <w:t>初步评审（资格审查标准）</w:t>
      </w:r>
    </w:p>
    <w:tbl>
      <w:tblPr>
        <w:tblStyle w:val="23"/>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780"/>
        <w:gridCol w:w="854"/>
        <w:gridCol w:w="852"/>
        <w:gridCol w:w="851"/>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8" w:hRule="atLeast"/>
        </w:trPr>
        <w:tc>
          <w:tcPr>
            <w:tcW w:w="702" w:type="dxa"/>
            <w:tcBorders>
              <w:bottom w:val="single" w:color="auto" w:sz="4" w:space="0"/>
            </w:tcBorders>
            <w:vAlign w:val="center"/>
          </w:tcPr>
          <w:p>
            <w:pPr>
              <w:shd w:val="clear" w:color="auto" w:fill="FFFFFF"/>
              <w:spacing w:line="340" w:lineRule="exact"/>
              <w:jc w:val="center"/>
              <w:rPr>
                <w:rFonts w:ascii="宋体" w:hAnsi="宋体"/>
                <w:bCs/>
                <w:sz w:val="24"/>
                <w:szCs w:val="24"/>
                <w:highlight w:val="none"/>
              </w:rPr>
            </w:pPr>
            <w:r>
              <w:rPr>
                <w:rFonts w:hint="eastAsia" w:ascii="宋体" w:hAnsi="宋体"/>
                <w:bCs/>
                <w:sz w:val="24"/>
                <w:szCs w:val="24"/>
                <w:highlight w:val="none"/>
              </w:rPr>
              <w:t>序号</w:t>
            </w:r>
          </w:p>
        </w:tc>
        <w:tc>
          <w:tcPr>
            <w:tcW w:w="5780" w:type="dxa"/>
            <w:tcBorders>
              <w:bottom w:val="single" w:color="auto" w:sz="4" w:space="0"/>
            </w:tcBorders>
            <w:vAlign w:val="center"/>
          </w:tcPr>
          <w:p>
            <w:pPr>
              <w:shd w:val="clear" w:color="auto" w:fill="FFFFFF"/>
              <w:spacing w:line="340" w:lineRule="exact"/>
              <w:jc w:val="center"/>
              <w:rPr>
                <w:rFonts w:ascii="宋体" w:hAnsi="宋体"/>
                <w:b/>
                <w:sz w:val="24"/>
                <w:szCs w:val="24"/>
                <w:highlight w:val="none"/>
              </w:rPr>
            </w:pPr>
            <w:r>
              <w:rPr>
                <w:rFonts w:hint="eastAsia" w:ascii="宋体" w:hAnsi="宋体"/>
                <w:bCs/>
                <w:sz w:val="24"/>
                <w:szCs w:val="24"/>
                <w:highlight w:val="none"/>
              </w:rPr>
              <w:t>评审内容及标准</w:t>
            </w:r>
          </w:p>
        </w:tc>
        <w:tc>
          <w:tcPr>
            <w:tcW w:w="854" w:type="dxa"/>
            <w:tcBorders>
              <w:bottom w:val="single" w:color="auto" w:sz="4" w:space="0"/>
            </w:tcBorders>
            <w:vAlign w:val="center"/>
          </w:tcPr>
          <w:p>
            <w:pPr>
              <w:shd w:val="clear" w:color="auto" w:fill="FFFFFF"/>
              <w:spacing w:line="340" w:lineRule="exact"/>
              <w:jc w:val="center"/>
              <w:rPr>
                <w:rFonts w:ascii="宋体" w:hAnsi="宋体"/>
                <w:sz w:val="24"/>
                <w:szCs w:val="24"/>
                <w:highlight w:val="none"/>
              </w:rPr>
            </w:pPr>
            <w:r>
              <w:rPr>
                <w:rFonts w:hint="eastAsia" w:ascii="宋体" w:hAnsi="宋体"/>
                <w:sz w:val="24"/>
                <w:szCs w:val="24"/>
                <w:highlight w:val="none"/>
              </w:rPr>
              <w:t>供应商1</w:t>
            </w:r>
          </w:p>
        </w:tc>
        <w:tc>
          <w:tcPr>
            <w:tcW w:w="852" w:type="dxa"/>
            <w:tcBorders>
              <w:bottom w:val="single" w:color="auto" w:sz="4" w:space="0"/>
            </w:tcBorders>
            <w:vAlign w:val="center"/>
          </w:tcPr>
          <w:p>
            <w:pPr>
              <w:shd w:val="clear" w:color="auto" w:fill="FFFFFF"/>
              <w:spacing w:line="340" w:lineRule="exact"/>
              <w:jc w:val="center"/>
              <w:rPr>
                <w:rFonts w:ascii="宋体" w:hAnsi="宋体"/>
                <w:sz w:val="24"/>
                <w:szCs w:val="24"/>
                <w:highlight w:val="none"/>
              </w:rPr>
            </w:pPr>
            <w:r>
              <w:rPr>
                <w:rFonts w:hint="eastAsia" w:ascii="宋体" w:hAnsi="宋体"/>
                <w:sz w:val="24"/>
                <w:szCs w:val="24"/>
                <w:highlight w:val="none"/>
              </w:rPr>
              <w:t>供应商2</w:t>
            </w:r>
          </w:p>
        </w:tc>
        <w:tc>
          <w:tcPr>
            <w:tcW w:w="851" w:type="dxa"/>
            <w:tcBorders>
              <w:bottom w:val="single" w:color="auto" w:sz="4" w:space="0"/>
            </w:tcBorders>
            <w:vAlign w:val="center"/>
          </w:tcPr>
          <w:p>
            <w:pPr>
              <w:shd w:val="clear" w:color="auto" w:fill="FFFFFF"/>
              <w:spacing w:line="340" w:lineRule="exact"/>
              <w:jc w:val="center"/>
              <w:rPr>
                <w:rFonts w:ascii="宋体" w:hAnsi="宋体"/>
                <w:sz w:val="24"/>
                <w:szCs w:val="24"/>
                <w:highlight w:val="none"/>
              </w:rPr>
            </w:pPr>
            <w:r>
              <w:rPr>
                <w:rFonts w:hint="eastAsia" w:ascii="宋体" w:hAnsi="宋体"/>
                <w:sz w:val="24"/>
                <w:szCs w:val="24"/>
                <w:highlight w:val="none"/>
              </w:rPr>
              <w:t>供应商3</w:t>
            </w:r>
          </w:p>
        </w:tc>
        <w:tc>
          <w:tcPr>
            <w:tcW w:w="792" w:type="dxa"/>
            <w:tcBorders>
              <w:bottom w:val="single" w:color="auto" w:sz="4" w:space="0"/>
            </w:tcBorders>
            <w:vAlign w:val="center"/>
          </w:tcPr>
          <w:p>
            <w:pPr>
              <w:shd w:val="clear" w:color="auto" w:fill="FFFFFF"/>
              <w:spacing w:line="340" w:lineRule="exact"/>
              <w:jc w:val="center"/>
              <w:rPr>
                <w:rFonts w:ascii="宋体" w:hAnsi="宋体"/>
                <w:sz w:val="24"/>
                <w:szCs w:val="24"/>
                <w:highlight w:val="none"/>
              </w:rPr>
            </w:pPr>
            <w:r>
              <w:rPr>
                <w:rFonts w:hint="eastAsia" w:ascii="宋体" w:hAnsi="宋体"/>
                <w:sz w:val="24"/>
                <w:szCs w:val="24"/>
                <w:highlight w:val="none"/>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vAlign w:val="center"/>
          </w:tcPr>
          <w:p>
            <w:pPr>
              <w:shd w:val="clear" w:color="auto" w:fill="FFFFFF"/>
              <w:spacing w:line="340" w:lineRule="exact"/>
              <w:jc w:val="center"/>
              <w:rPr>
                <w:rFonts w:ascii="宋体" w:hAnsi="宋体"/>
                <w:sz w:val="24"/>
                <w:szCs w:val="24"/>
                <w:highlight w:val="none"/>
              </w:rPr>
            </w:pPr>
            <w:r>
              <w:rPr>
                <w:rFonts w:hint="eastAsia" w:ascii="宋体" w:hAnsi="宋体"/>
                <w:sz w:val="24"/>
                <w:szCs w:val="24"/>
                <w:highlight w:val="none"/>
              </w:rPr>
              <w:t>1</w:t>
            </w:r>
          </w:p>
        </w:tc>
        <w:tc>
          <w:tcPr>
            <w:tcW w:w="5780" w:type="dxa"/>
            <w:vAlign w:val="center"/>
          </w:tcPr>
          <w:p>
            <w:pPr>
              <w:shd w:val="clear" w:color="auto" w:fill="FFFFFF"/>
              <w:spacing w:line="340" w:lineRule="exact"/>
              <w:rPr>
                <w:rFonts w:ascii="宋体" w:hAnsi="宋体"/>
                <w:bCs/>
                <w:sz w:val="24"/>
                <w:szCs w:val="24"/>
                <w:highlight w:val="none"/>
              </w:rPr>
            </w:pPr>
            <w:r>
              <w:rPr>
                <w:rFonts w:hint="eastAsia" w:ascii="宋体" w:hAnsi="宋体"/>
                <w:bCs/>
                <w:sz w:val="24"/>
                <w:szCs w:val="24"/>
                <w:highlight w:val="none"/>
              </w:rPr>
              <w:t>满足《中华人民共和国政府采购法》第二十二条规定；</w:t>
            </w:r>
          </w:p>
        </w:tc>
        <w:tc>
          <w:tcPr>
            <w:tcW w:w="854" w:type="dxa"/>
            <w:vAlign w:val="center"/>
          </w:tcPr>
          <w:p>
            <w:pPr>
              <w:shd w:val="clear" w:color="auto" w:fill="FFFFFF"/>
              <w:spacing w:line="340" w:lineRule="exact"/>
              <w:rPr>
                <w:rFonts w:ascii="宋体" w:hAnsi="宋体"/>
                <w:sz w:val="24"/>
                <w:szCs w:val="24"/>
                <w:highlight w:val="none"/>
              </w:rPr>
            </w:pPr>
          </w:p>
        </w:tc>
        <w:tc>
          <w:tcPr>
            <w:tcW w:w="852" w:type="dxa"/>
            <w:vAlign w:val="center"/>
          </w:tcPr>
          <w:p>
            <w:pPr>
              <w:shd w:val="clear" w:color="auto" w:fill="FFFFFF"/>
              <w:spacing w:line="340" w:lineRule="exact"/>
              <w:rPr>
                <w:rFonts w:ascii="宋体" w:hAnsi="宋体"/>
                <w:sz w:val="24"/>
                <w:szCs w:val="24"/>
                <w:highlight w:val="none"/>
              </w:rPr>
            </w:pPr>
          </w:p>
        </w:tc>
        <w:tc>
          <w:tcPr>
            <w:tcW w:w="851" w:type="dxa"/>
            <w:vAlign w:val="center"/>
          </w:tcPr>
          <w:p>
            <w:pPr>
              <w:shd w:val="clear" w:color="auto" w:fill="FFFFFF"/>
              <w:spacing w:line="340" w:lineRule="exact"/>
              <w:rPr>
                <w:rFonts w:ascii="宋体" w:hAnsi="宋体"/>
                <w:sz w:val="24"/>
                <w:szCs w:val="24"/>
                <w:highlight w:val="none"/>
              </w:rPr>
            </w:pPr>
          </w:p>
        </w:tc>
        <w:tc>
          <w:tcPr>
            <w:tcW w:w="792" w:type="dxa"/>
            <w:vAlign w:val="center"/>
          </w:tcPr>
          <w:p>
            <w:pPr>
              <w:shd w:val="clear" w:color="auto" w:fill="FFFFFF"/>
              <w:spacing w:line="3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vAlign w:val="center"/>
          </w:tcPr>
          <w:p>
            <w:pPr>
              <w:shd w:val="clear" w:color="auto" w:fill="FFFFFF"/>
              <w:spacing w:line="340" w:lineRule="exact"/>
              <w:jc w:val="center"/>
              <w:rPr>
                <w:rFonts w:ascii="宋体" w:hAnsi="宋体"/>
                <w:sz w:val="24"/>
                <w:szCs w:val="24"/>
                <w:highlight w:val="none"/>
              </w:rPr>
            </w:pPr>
            <w:r>
              <w:rPr>
                <w:rFonts w:hint="eastAsia" w:ascii="宋体" w:hAnsi="宋体"/>
                <w:sz w:val="24"/>
                <w:szCs w:val="24"/>
                <w:highlight w:val="none"/>
              </w:rPr>
              <w:t>2</w:t>
            </w:r>
          </w:p>
        </w:tc>
        <w:tc>
          <w:tcPr>
            <w:tcW w:w="5780" w:type="dxa"/>
            <w:vAlign w:val="center"/>
          </w:tcPr>
          <w:p>
            <w:pPr>
              <w:shd w:val="clear" w:color="auto" w:fill="FFFFFF"/>
              <w:spacing w:line="340" w:lineRule="exact"/>
              <w:rPr>
                <w:rFonts w:ascii="宋体" w:hAnsi="宋体"/>
                <w:bCs/>
                <w:sz w:val="24"/>
                <w:szCs w:val="24"/>
                <w:highlight w:val="none"/>
              </w:rPr>
            </w:pPr>
            <w:r>
              <w:rPr>
                <w:rFonts w:hint="eastAsia" w:ascii="宋体" w:hAnsi="宋体" w:cs="宋体"/>
                <w:sz w:val="24"/>
                <w:szCs w:val="24"/>
                <w:highlight w:val="none"/>
              </w:rPr>
              <w:t>投标人须是中华人民共和国境内注册的，具有有效的营业执照；</w:t>
            </w:r>
          </w:p>
        </w:tc>
        <w:tc>
          <w:tcPr>
            <w:tcW w:w="854" w:type="dxa"/>
            <w:vAlign w:val="center"/>
          </w:tcPr>
          <w:p>
            <w:pPr>
              <w:shd w:val="clear" w:color="auto" w:fill="FFFFFF"/>
              <w:spacing w:line="340" w:lineRule="exact"/>
              <w:rPr>
                <w:rFonts w:ascii="宋体" w:hAnsi="宋体"/>
                <w:sz w:val="24"/>
                <w:szCs w:val="24"/>
                <w:highlight w:val="none"/>
              </w:rPr>
            </w:pPr>
          </w:p>
        </w:tc>
        <w:tc>
          <w:tcPr>
            <w:tcW w:w="852" w:type="dxa"/>
            <w:vAlign w:val="center"/>
          </w:tcPr>
          <w:p>
            <w:pPr>
              <w:shd w:val="clear" w:color="auto" w:fill="FFFFFF"/>
              <w:spacing w:line="340" w:lineRule="exact"/>
              <w:rPr>
                <w:rFonts w:ascii="宋体" w:hAnsi="宋体"/>
                <w:sz w:val="24"/>
                <w:szCs w:val="24"/>
                <w:highlight w:val="none"/>
              </w:rPr>
            </w:pPr>
          </w:p>
        </w:tc>
        <w:tc>
          <w:tcPr>
            <w:tcW w:w="851" w:type="dxa"/>
            <w:vAlign w:val="center"/>
          </w:tcPr>
          <w:p>
            <w:pPr>
              <w:shd w:val="clear" w:color="auto" w:fill="FFFFFF"/>
              <w:spacing w:line="340" w:lineRule="exact"/>
              <w:rPr>
                <w:rFonts w:ascii="宋体" w:hAnsi="宋体"/>
                <w:sz w:val="24"/>
                <w:szCs w:val="24"/>
                <w:highlight w:val="none"/>
              </w:rPr>
            </w:pPr>
          </w:p>
        </w:tc>
        <w:tc>
          <w:tcPr>
            <w:tcW w:w="792" w:type="dxa"/>
            <w:vAlign w:val="center"/>
          </w:tcPr>
          <w:p>
            <w:pPr>
              <w:shd w:val="clear" w:color="auto" w:fill="FFFFFF"/>
              <w:spacing w:line="3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vAlign w:val="center"/>
          </w:tcPr>
          <w:p>
            <w:pPr>
              <w:shd w:val="clear" w:color="auto" w:fill="FFFFFF"/>
              <w:spacing w:line="340" w:lineRule="exact"/>
              <w:jc w:val="center"/>
              <w:rPr>
                <w:rFonts w:ascii="宋体" w:hAnsi="宋体"/>
                <w:sz w:val="24"/>
                <w:szCs w:val="24"/>
                <w:highlight w:val="none"/>
              </w:rPr>
            </w:pPr>
            <w:r>
              <w:rPr>
                <w:rFonts w:hint="eastAsia" w:ascii="宋体" w:hAnsi="宋体"/>
                <w:sz w:val="24"/>
                <w:szCs w:val="24"/>
                <w:highlight w:val="none"/>
              </w:rPr>
              <w:t>3</w:t>
            </w:r>
          </w:p>
        </w:tc>
        <w:tc>
          <w:tcPr>
            <w:tcW w:w="5780" w:type="dxa"/>
            <w:vAlign w:val="center"/>
          </w:tcPr>
          <w:p>
            <w:pPr>
              <w:shd w:val="clear" w:color="auto" w:fill="FFFFFF"/>
              <w:spacing w:line="340" w:lineRule="exact"/>
              <w:rPr>
                <w:rFonts w:ascii="宋体" w:hAnsi="宋体"/>
                <w:bCs/>
                <w:sz w:val="24"/>
                <w:szCs w:val="24"/>
                <w:highlight w:val="none"/>
              </w:rPr>
            </w:pPr>
            <w:r>
              <w:rPr>
                <w:rFonts w:hint="eastAsia" w:ascii="宋体" w:hAnsi="宋体" w:cs="宋体"/>
                <w:sz w:val="24"/>
                <w:szCs w:val="24"/>
                <w:highlight w:val="none"/>
              </w:rPr>
              <w:t>投标人不得为“信用中国网站（www.creditchina.gov.cn）中列入失信被执行人和税收违法黑名单的供应商，不得为中国政府采购网（www.ccgp.gov.cn）政府采购严重违法失信行为记录名单中被财政部门禁止参加政府采购活动的供应商</w:t>
            </w:r>
            <w:r>
              <w:rPr>
                <w:rFonts w:hint="eastAsia" w:ascii="宋体" w:hAnsi="宋体"/>
                <w:bCs/>
                <w:sz w:val="24"/>
                <w:szCs w:val="24"/>
                <w:highlight w:val="none"/>
              </w:rPr>
              <w:t>。</w:t>
            </w:r>
          </w:p>
        </w:tc>
        <w:tc>
          <w:tcPr>
            <w:tcW w:w="854" w:type="dxa"/>
            <w:vAlign w:val="center"/>
          </w:tcPr>
          <w:p>
            <w:pPr>
              <w:shd w:val="clear" w:color="auto" w:fill="FFFFFF"/>
              <w:spacing w:line="340" w:lineRule="exact"/>
              <w:rPr>
                <w:rFonts w:ascii="宋体" w:hAnsi="宋体"/>
                <w:sz w:val="24"/>
                <w:szCs w:val="24"/>
                <w:highlight w:val="none"/>
              </w:rPr>
            </w:pPr>
          </w:p>
        </w:tc>
        <w:tc>
          <w:tcPr>
            <w:tcW w:w="852" w:type="dxa"/>
            <w:vAlign w:val="center"/>
          </w:tcPr>
          <w:p>
            <w:pPr>
              <w:shd w:val="clear" w:color="auto" w:fill="FFFFFF"/>
              <w:spacing w:line="340" w:lineRule="exact"/>
              <w:rPr>
                <w:rFonts w:ascii="宋体" w:hAnsi="宋体"/>
                <w:sz w:val="24"/>
                <w:szCs w:val="24"/>
                <w:highlight w:val="none"/>
              </w:rPr>
            </w:pPr>
          </w:p>
        </w:tc>
        <w:tc>
          <w:tcPr>
            <w:tcW w:w="851" w:type="dxa"/>
            <w:vAlign w:val="center"/>
          </w:tcPr>
          <w:p>
            <w:pPr>
              <w:shd w:val="clear" w:color="auto" w:fill="FFFFFF"/>
              <w:spacing w:line="340" w:lineRule="exact"/>
              <w:rPr>
                <w:rFonts w:ascii="宋体" w:hAnsi="宋体"/>
                <w:sz w:val="24"/>
                <w:szCs w:val="24"/>
                <w:highlight w:val="none"/>
              </w:rPr>
            </w:pPr>
          </w:p>
        </w:tc>
        <w:tc>
          <w:tcPr>
            <w:tcW w:w="792" w:type="dxa"/>
            <w:vAlign w:val="center"/>
          </w:tcPr>
          <w:p>
            <w:pPr>
              <w:shd w:val="clear" w:color="auto" w:fill="FFFFFF"/>
              <w:spacing w:line="3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vAlign w:val="center"/>
          </w:tcPr>
          <w:p>
            <w:pPr>
              <w:shd w:val="clear" w:color="auto" w:fill="FFFFFF"/>
              <w:spacing w:line="340" w:lineRule="exact"/>
              <w:jc w:val="center"/>
              <w:rPr>
                <w:rFonts w:ascii="宋体" w:hAnsi="宋体"/>
                <w:sz w:val="24"/>
                <w:szCs w:val="24"/>
                <w:highlight w:val="none"/>
              </w:rPr>
            </w:pPr>
            <w:r>
              <w:rPr>
                <w:rFonts w:hint="eastAsia" w:ascii="宋体" w:hAnsi="宋体"/>
                <w:sz w:val="24"/>
                <w:szCs w:val="24"/>
                <w:highlight w:val="none"/>
              </w:rPr>
              <w:t>4</w:t>
            </w:r>
          </w:p>
        </w:tc>
        <w:tc>
          <w:tcPr>
            <w:tcW w:w="5780" w:type="dxa"/>
            <w:vAlign w:val="center"/>
          </w:tcPr>
          <w:p>
            <w:pPr>
              <w:shd w:val="clear" w:color="auto" w:fill="FFFFFF"/>
              <w:spacing w:line="340" w:lineRule="exac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本项目非专门面向中小企业</w:t>
            </w:r>
          </w:p>
        </w:tc>
        <w:tc>
          <w:tcPr>
            <w:tcW w:w="854" w:type="dxa"/>
            <w:vAlign w:val="center"/>
          </w:tcPr>
          <w:p>
            <w:pPr>
              <w:shd w:val="clear" w:color="auto" w:fill="FFFFFF"/>
              <w:spacing w:line="340" w:lineRule="exact"/>
              <w:rPr>
                <w:rFonts w:ascii="宋体" w:hAnsi="宋体"/>
                <w:sz w:val="24"/>
                <w:szCs w:val="24"/>
                <w:highlight w:val="none"/>
              </w:rPr>
            </w:pPr>
          </w:p>
        </w:tc>
        <w:tc>
          <w:tcPr>
            <w:tcW w:w="852" w:type="dxa"/>
            <w:vAlign w:val="center"/>
          </w:tcPr>
          <w:p>
            <w:pPr>
              <w:shd w:val="clear" w:color="auto" w:fill="FFFFFF"/>
              <w:spacing w:line="340" w:lineRule="exact"/>
              <w:rPr>
                <w:rFonts w:ascii="宋体" w:hAnsi="宋体"/>
                <w:sz w:val="24"/>
                <w:szCs w:val="24"/>
                <w:highlight w:val="none"/>
              </w:rPr>
            </w:pPr>
          </w:p>
        </w:tc>
        <w:tc>
          <w:tcPr>
            <w:tcW w:w="851" w:type="dxa"/>
            <w:vAlign w:val="center"/>
          </w:tcPr>
          <w:p>
            <w:pPr>
              <w:shd w:val="clear" w:color="auto" w:fill="FFFFFF"/>
              <w:spacing w:line="340" w:lineRule="exact"/>
              <w:rPr>
                <w:rFonts w:ascii="宋体" w:hAnsi="宋体"/>
                <w:sz w:val="24"/>
                <w:szCs w:val="24"/>
                <w:highlight w:val="none"/>
              </w:rPr>
            </w:pPr>
          </w:p>
        </w:tc>
        <w:tc>
          <w:tcPr>
            <w:tcW w:w="792" w:type="dxa"/>
            <w:vAlign w:val="center"/>
          </w:tcPr>
          <w:p>
            <w:pPr>
              <w:shd w:val="clear" w:color="auto" w:fill="FFFFFF"/>
              <w:spacing w:line="3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6482" w:type="dxa"/>
            <w:gridSpan w:val="2"/>
            <w:vAlign w:val="center"/>
          </w:tcPr>
          <w:p>
            <w:pPr>
              <w:shd w:val="clear" w:color="auto" w:fill="FFFFFF"/>
              <w:spacing w:line="340" w:lineRule="exact"/>
              <w:rPr>
                <w:rFonts w:ascii="宋体" w:hAnsi="宋体"/>
                <w:b/>
                <w:sz w:val="24"/>
                <w:szCs w:val="24"/>
                <w:highlight w:val="none"/>
              </w:rPr>
            </w:pPr>
            <w:r>
              <w:rPr>
                <w:rFonts w:hint="eastAsia" w:ascii="宋体" w:hAnsi="宋体"/>
                <w:sz w:val="24"/>
                <w:szCs w:val="24"/>
                <w:highlight w:val="none"/>
              </w:rPr>
              <w:t>结论：是否通过</w:t>
            </w:r>
            <w:r>
              <w:rPr>
                <w:rFonts w:hint="eastAsia" w:ascii="宋体" w:hAnsi="宋体"/>
                <w:b/>
                <w:sz w:val="24"/>
                <w:szCs w:val="24"/>
                <w:highlight w:val="none"/>
              </w:rPr>
              <w:t>（</w:t>
            </w:r>
            <w:r>
              <w:rPr>
                <w:rFonts w:hint="eastAsia" w:ascii="宋体" w:hAnsi="宋体"/>
                <w:bCs/>
                <w:sz w:val="24"/>
                <w:szCs w:val="24"/>
                <w:highlight w:val="none"/>
              </w:rPr>
              <w:t>资格审查</w:t>
            </w:r>
            <w:r>
              <w:rPr>
                <w:rFonts w:hint="eastAsia" w:ascii="宋体" w:hAnsi="宋体"/>
                <w:sz w:val="24"/>
                <w:szCs w:val="24"/>
                <w:highlight w:val="none"/>
              </w:rPr>
              <w:t>合格后方可进入符合性审查阶段</w:t>
            </w:r>
            <w:r>
              <w:rPr>
                <w:rFonts w:hint="eastAsia" w:ascii="宋体" w:hAnsi="宋体"/>
                <w:b/>
                <w:sz w:val="24"/>
                <w:szCs w:val="24"/>
                <w:highlight w:val="none"/>
              </w:rPr>
              <w:t>）</w:t>
            </w:r>
          </w:p>
        </w:tc>
        <w:tc>
          <w:tcPr>
            <w:tcW w:w="854" w:type="dxa"/>
            <w:vAlign w:val="center"/>
          </w:tcPr>
          <w:p>
            <w:pPr>
              <w:shd w:val="clear" w:color="auto" w:fill="FFFFFF"/>
              <w:spacing w:line="340" w:lineRule="exact"/>
              <w:rPr>
                <w:rFonts w:ascii="宋体" w:hAnsi="宋体"/>
                <w:sz w:val="24"/>
                <w:szCs w:val="24"/>
                <w:highlight w:val="none"/>
              </w:rPr>
            </w:pPr>
          </w:p>
        </w:tc>
        <w:tc>
          <w:tcPr>
            <w:tcW w:w="852" w:type="dxa"/>
            <w:vAlign w:val="center"/>
          </w:tcPr>
          <w:p>
            <w:pPr>
              <w:shd w:val="clear" w:color="auto" w:fill="FFFFFF"/>
              <w:spacing w:line="340" w:lineRule="exact"/>
              <w:rPr>
                <w:rFonts w:ascii="宋体" w:hAnsi="宋体"/>
                <w:sz w:val="24"/>
                <w:szCs w:val="24"/>
                <w:highlight w:val="none"/>
              </w:rPr>
            </w:pPr>
          </w:p>
        </w:tc>
        <w:tc>
          <w:tcPr>
            <w:tcW w:w="851" w:type="dxa"/>
            <w:vAlign w:val="center"/>
          </w:tcPr>
          <w:p>
            <w:pPr>
              <w:shd w:val="clear" w:color="auto" w:fill="FFFFFF"/>
              <w:spacing w:line="340" w:lineRule="exact"/>
              <w:rPr>
                <w:rFonts w:ascii="宋体" w:hAnsi="宋体"/>
                <w:sz w:val="24"/>
                <w:szCs w:val="24"/>
                <w:highlight w:val="none"/>
              </w:rPr>
            </w:pPr>
          </w:p>
        </w:tc>
        <w:tc>
          <w:tcPr>
            <w:tcW w:w="792" w:type="dxa"/>
            <w:vAlign w:val="center"/>
          </w:tcPr>
          <w:p>
            <w:pPr>
              <w:shd w:val="clear" w:color="auto" w:fill="FFFFFF"/>
              <w:spacing w:line="3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trPr>
        <w:tc>
          <w:tcPr>
            <w:tcW w:w="9831" w:type="dxa"/>
            <w:gridSpan w:val="6"/>
            <w:vAlign w:val="center"/>
          </w:tcPr>
          <w:p>
            <w:pPr>
              <w:shd w:val="clear" w:color="auto" w:fill="FFFFFF"/>
              <w:spacing w:line="340" w:lineRule="exact"/>
              <w:rPr>
                <w:rFonts w:ascii="宋体" w:hAnsi="宋体"/>
                <w:b/>
                <w:sz w:val="24"/>
                <w:szCs w:val="24"/>
                <w:highlight w:val="none"/>
              </w:rPr>
            </w:pPr>
            <w:r>
              <w:rPr>
                <w:rFonts w:hint="eastAsia" w:ascii="宋体" w:hAnsi="宋体"/>
                <w:sz w:val="24"/>
                <w:szCs w:val="24"/>
                <w:highlight w:val="none"/>
              </w:rPr>
              <w:t>备注：如果投标文件中有一项未通过上述审查标准，评标委员会将认定整个投标文件不响应招标文件而予以投标无效，并且不允许供应商通过修改或撤销其不符合要求的差异或保留，使之成为具有响应性的投标。通过审核的以“√”标记；未通过的以“×”标记，并予以说明。</w:t>
            </w:r>
          </w:p>
        </w:tc>
      </w:tr>
    </w:tbl>
    <w:p>
      <w:pPr>
        <w:pageBreakBefore/>
        <w:snapToGrid w:val="0"/>
        <w:spacing w:line="440" w:lineRule="exact"/>
        <w:jc w:val="center"/>
        <w:rPr>
          <w:rFonts w:ascii="宋体" w:hAnsi="宋体"/>
          <w:b/>
          <w:bCs/>
          <w:sz w:val="24"/>
          <w:szCs w:val="24"/>
          <w:highlight w:val="none"/>
        </w:rPr>
      </w:pPr>
      <w:r>
        <w:rPr>
          <w:rFonts w:hint="eastAsia" w:ascii="宋体" w:hAnsi="宋体"/>
          <w:b/>
          <w:bCs/>
          <w:sz w:val="24"/>
          <w:szCs w:val="24"/>
          <w:highlight w:val="none"/>
        </w:rPr>
        <w:t>初步评审（符合性审查）</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545"/>
        <w:gridCol w:w="4163"/>
        <w:gridCol w:w="806"/>
        <w:gridCol w:w="806"/>
        <w:gridCol w:w="806"/>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0" w:type="auto"/>
            <w:tcBorders>
              <w:bottom w:val="single" w:color="auto" w:sz="4" w:space="0"/>
            </w:tcBorders>
            <w:vAlign w:val="center"/>
          </w:tcPr>
          <w:p>
            <w:pPr>
              <w:shd w:val="clear" w:color="auto" w:fill="FFFFFF"/>
              <w:spacing w:line="440" w:lineRule="exact"/>
              <w:jc w:val="center"/>
              <w:rPr>
                <w:rFonts w:ascii="宋体" w:hAnsi="宋体"/>
                <w:b/>
                <w:sz w:val="24"/>
                <w:szCs w:val="24"/>
                <w:highlight w:val="none"/>
              </w:rPr>
            </w:pPr>
            <w:r>
              <w:rPr>
                <w:rFonts w:hint="eastAsia" w:ascii="宋体" w:hAnsi="宋体"/>
                <w:b/>
                <w:sz w:val="24"/>
                <w:szCs w:val="24"/>
                <w:highlight w:val="none"/>
              </w:rPr>
              <w:t>项目</w:t>
            </w:r>
          </w:p>
        </w:tc>
        <w:tc>
          <w:tcPr>
            <w:tcW w:w="0" w:type="auto"/>
            <w:gridSpan w:val="2"/>
            <w:tcBorders>
              <w:bottom w:val="single" w:color="auto" w:sz="4" w:space="0"/>
            </w:tcBorders>
            <w:vAlign w:val="center"/>
          </w:tcPr>
          <w:p>
            <w:pPr>
              <w:shd w:val="clear" w:color="auto" w:fill="FFFFFF"/>
              <w:spacing w:line="440" w:lineRule="exact"/>
              <w:jc w:val="center"/>
              <w:rPr>
                <w:rFonts w:ascii="宋体" w:hAnsi="宋体"/>
                <w:b/>
                <w:sz w:val="24"/>
                <w:szCs w:val="24"/>
                <w:highlight w:val="none"/>
              </w:rPr>
            </w:pPr>
            <w:r>
              <w:rPr>
                <w:rFonts w:hint="eastAsia" w:ascii="宋体" w:hAnsi="宋体"/>
                <w:b/>
                <w:sz w:val="24"/>
                <w:szCs w:val="24"/>
                <w:highlight w:val="none"/>
              </w:rPr>
              <w:t>评  审  内  容</w:t>
            </w:r>
          </w:p>
        </w:tc>
        <w:tc>
          <w:tcPr>
            <w:tcW w:w="0" w:type="auto"/>
            <w:tcBorders>
              <w:bottom w:val="single" w:color="auto" w:sz="4" w:space="0"/>
            </w:tcBorders>
            <w:vAlign w:val="center"/>
          </w:tcPr>
          <w:p>
            <w:pPr>
              <w:shd w:val="clear" w:color="auto" w:fill="FFFFFF"/>
              <w:spacing w:line="440" w:lineRule="exact"/>
              <w:jc w:val="center"/>
              <w:rPr>
                <w:rFonts w:ascii="宋体" w:hAnsi="宋体"/>
                <w:sz w:val="24"/>
                <w:szCs w:val="24"/>
                <w:highlight w:val="none"/>
              </w:rPr>
            </w:pPr>
            <w:r>
              <w:rPr>
                <w:rFonts w:hint="eastAsia" w:ascii="宋体" w:hAnsi="宋体"/>
                <w:sz w:val="24"/>
                <w:szCs w:val="24"/>
                <w:highlight w:val="none"/>
              </w:rPr>
              <w:t>供应商1</w:t>
            </w:r>
          </w:p>
        </w:tc>
        <w:tc>
          <w:tcPr>
            <w:tcW w:w="0" w:type="auto"/>
            <w:tcBorders>
              <w:bottom w:val="single" w:color="auto" w:sz="4" w:space="0"/>
            </w:tcBorders>
            <w:vAlign w:val="center"/>
          </w:tcPr>
          <w:p>
            <w:pPr>
              <w:shd w:val="clear" w:color="auto" w:fill="FFFFFF"/>
              <w:spacing w:line="440" w:lineRule="exact"/>
              <w:jc w:val="center"/>
              <w:rPr>
                <w:rFonts w:ascii="宋体" w:hAnsi="宋体"/>
                <w:sz w:val="24"/>
                <w:szCs w:val="24"/>
                <w:highlight w:val="none"/>
              </w:rPr>
            </w:pPr>
            <w:r>
              <w:rPr>
                <w:rFonts w:hint="eastAsia" w:ascii="宋体" w:hAnsi="宋体"/>
                <w:sz w:val="24"/>
                <w:szCs w:val="24"/>
                <w:highlight w:val="none"/>
              </w:rPr>
              <w:t>供应商2</w:t>
            </w:r>
          </w:p>
        </w:tc>
        <w:tc>
          <w:tcPr>
            <w:tcW w:w="0" w:type="auto"/>
            <w:tcBorders>
              <w:bottom w:val="single" w:color="auto" w:sz="4" w:space="0"/>
            </w:tcBorders>
            <w:vAlign w:val="center"/>
          </w:tcPr>
          <w:p>
            <w:pPr>
              <w:shd w:val="clear" w:color="auto" w:fill="FFFFFF"/>
              <w:spacing w:line="440" w:lineRule="exact"/>
              <w:jc w:val="center"/>
              <w:rPr>
                <w:rFonts w:ascii="宋体" w:hAnsi="宋体"/>
                <w:sz w:val="24"/>
                <w:szCs w:val="24"/>
                <w:highlight w:val="none"/>
              </w:rPr>
            </w:pPr>
            <w:r>
              <w:rPr>
                <w:rFonts w:hint="eastAsia" w:ascii="宋体" w:hAnsi="宋体"/>
                <w:sz w:val="24"/>
                <w:szCs w:val="24"/>
                <w:highlight w:val="none"/>
              </w:rPr>
              <w:t>供应商3</w:t>
            </w:r>
          </w:p>
        </w:tc>
        <w:tc>
          <w:tcPr>
            <w:tcW w:w="0" w:type="auto"/>
            <w:tcBorders>
              <w:bottom w:val="single" w:color="auto" w:sz="4" w:space="0"/>
            </w:tcBorders>
            <w:vAlign w:val="center"/>
          </w:tcPr>
          <w:p>
            <w:pPr>
              <w:shd w:val="clear" w:color="auto" w:fill="FFFFFF"/>
              <w:spacing w:line="440" w:lineRule="exact"/>
              <w:jc w:val="center"/>
              <w:rPr>
                <w:rFonts w:ascii="宋体" w:hAnsi="宋体"/>
                <w:sz w:val="24"/>
                <w:szCs w:val="24"/>
                <w:highlight w:val="none"/>
              </w:rPr>
            </w:pPr>
            <w:r>
              <w:rPr>
                <w:rFonts w:hint="eastAsia" w:ascii="宋体" w:hAnsi="宋体"/>
                <w:sz w:val="24"/>
                <w:szCs w:val="24"/>
                <w:highlight w:val="none"/>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0" w:type="auto"/>
            <w:vMerge w:val="restart"/>
            <w:vAlign w:val="center"/>
          </w:tcPr>
          <w:p>
            <w:pPr>
              <w:shd w:val="clear" w:color="auto" w:fill="FFFFFF"/>
              <w:spacing w:line="440" w:lineRule="exact"/>
              <w:jc w:val="center"/>
              <w:rPr>
                <w:rFonts w:ascii="宋体" w:hAnsi="宋体"/>
                <w:b/>
                <w:sz w:val="24"/>
                <w:szCs w:val="24"/>
                <w:highlight w:val="none"/>
              </w:rPr>
            </w:pPr>
            <w:r>
              <w:rPr>
                <w:rFonts w:hint="eastAsia" w:ascii="宋体" w:hAnsi="宋体"/>
                <w:b/>
                <w:sz w:val="24"/>
                <w:szCs w:val="24"/>
                <w:highlight w:val="none"/>
              </w:rPr>
              <w:t>初</w:t>
            </w:r>
          </w:p>
          <w:p>
            <w:pPr>
              <w:shd w:val="clear" w:color="auto" w:fill="FFFFFF"/>
              <w:spacing w:line="440" w:lineRule="exact"/>
              <w:jc w:val="center"/>
              <w:rPr>
                <w:rFonts w:ascii="宋体" w:hAnsi="宋体"/>
                <w:b/>
                <w:sz w:val="24"/>
                <w:szCs w:val="24"/>
                <w:highlight w:val="none"/>
              </w:rPr>
            </w:pPr>
            <w:r>
              <w:rPr>
                <w:rFonts w:hint="eastAsia" w:ascii="宋体" w:hAnsi="宋体"/>
                <w:b/>
                <w:sz w:val="24"/>
                <w:szCs w:val="24"/>
                <w:highlight w:val="none"/>
              </w:rPr>
              <w:t>步</w:t>
            </w:r>
          </w:p>
          <w:p>
            <w:pPr>
              <w:shd w:val="clear" w:color="auto" w:fill="FFFFFF"/>
              <w:spacing w:line="440" w:lineRule="exact"/>
              <w:jc w:val="center"/>
              <w:rPr>
                <w:rFonts w:ascii="宋体" w:hAnsi="宋体"/>
                <w:b/>
                <w:sz w:val="24"/>
                <w:szCs w:val="24"/>
                <w:highlight w:val="none"/>
              </w:rPr>
            </w:pPr>
            <w:r>
              <w:rPr>
                <w:rFonts w:hint="eastAsia" w:ascii="宋体" w:hAnsi="宋体"/>
                <w:b/>
                <w:sz w:val="24"/>
                <w:szCs w:val="24"/>
                <w:highlight w:val="none"/>
              </w:rPr>
              <w:t>评</w:t>
            </w:r>
          </w:p>
          <w:p>
            <w:pPr>
              <w:shd w:val="clear" w:color="auto" w:fill="FFFFFF"/>
              <w:spacing w:line="440" w:lineRule="exact"/>
              <w:jc w:val="center"/>
              <w:rPr>
                <w:rFonts w:ascii="宋体" w:hAnsi="宋体"/>
                <w:b/>
                <w:sz w:val="24"/>
                <w:szCs w:val="24"/>
                <w:highlight w:val="none"/>
              </w:rPr>
            </w:pPr>
            <w:r>
              <w:rPr>
                <w:rFonts w:hint="eastAsia" w:ascii="宋体" w:hAnsi="宋体"/>
                <w:b/>
                <w:sz w:val="24"/>
                <w:szCs w:val="24"/>
                <w:highlight w:val="none"/>
              </w:rPr>
              <w:t>审</w:t>
            </w:r>
          </w:p>
          <w:p>
            <w:pPr>
              <w:shd w:val="clear" w:color="auto" w:fill="FFFFFF"/>
              <w:spacing w:line="440" w:lineRule="exact"/>
              <w:jc w:val="center"/>
              <w:rPr>
                <w:rFonts w:ascii="宋体" w:hAnsi="宋体"/>
                <w:b/>
                <w:sz w:val="24"/>
                <w:szCs w:val="24"/>
                <w:highlight w:val="none"/>
              </w:rPr>
            </w:pPr>
            <w:r>
              <w:rPr>
                <w:rFonts w:hint="eastAsia" w:ascii="宋体" w:hAnsi="宋体"/>
                <w:b/>
                <w:sz w:val="24"/>
                <w:szCs w:val="24"/>
                <w:highlight w:val="none"/>
              </w:rPr>
              <w:t>︹</w:t>
            </w:r>
          </w:p>
          <w:p>
            <w:pPr>
              <w:shd w:val="clear" w:color="auto" w:fill="FFFFFF"/>
              <w:spacing w:line="440" w:lineRule="exact"/>
              <w:jc w:val="center"/>
              <w:rPr>
                <w:rFonts w:ascii="宋体" w:hAnsi="宋体"/>
                <w:b/>
                <w:sz w:val="24"/>
                <w:szCs w:val="24"/>
                <w:highlight w:val="none"/>
              </w:rPr>
            </w:pPr>
            <w:r>
              <w:rPr>
                <w:rFonts w:hint="eastAsia" w:ascii="宋体" w:hAnsi="宋体"/>
                <w:b/>
                <w:sz w:val="24"/>
                <w:szCs w:val="24"/>
                <w:highlight w:val="none"/>
              </w:rPr>
              <w:t>符合性审查</w:t>
            </w:r>
          </w:p>
          <w:p>
            <w:pPr>
              <w:shd w:val="clear" w:color="auto" w:fill="FFFFFF"/>
              <w:spacing w:line="440" w:lineRule="exact"/>
              <w:jc w:val="center"/>
              <w:rPr>
                <w:rFonts w:ascii="宋体" w:hAnsi="宋体"/>
                <w:sz w:val="24"/>
                <w:szCs w:val="24"/>
                <w:highlight w:val="none"/>
              </w:rPr>
            </w:pPr>
            <w:r>
              <w:rPr>
                <w:rFonts w:hint="eastAsia" w:ascii="宋体" w:hAnsi="宋体"/>
                <w:b/>
                <w:sz w:val="24"/>
                <w:szCs w:val="24"/>
                <w:highlight w:val="none"/>
              </w:rPr>
              <w:t>︺</w:t>
            </w:r>
          </w:p>
        </w:tc>
        <w:tc>
          <w:tcPr>
            <w:tcW w:w="0" w:type="auto"/>
            <w:vAlign w:val="center"/>
          </w:tcPr>
          <w:p>
            <w:pPr>
              <w:shd w:val="clear" w:color="auto" w:fill="FFFFFF"/>
              <w:jc w:val="center"/>
              <w:rPr>
                <w:rFonts w:ascii="宋体" w:hAnsi="宋体"/>
                <w:sz w:val="24"/>
                <w:szCs w:val="24"/>
                <w:highlight w:val="none"/>
              </w:rPr>
            </w:pPr>
            <w:r>
              <w:rPr>
                <w:rFonts w:hint="eastAsia" w:ascii="宋体" w:hAnsi="宋体"/>
                <w:sz w:val="24"/>
                <w:szCs w:val="24"/>
                <w:highlight w:val="none"/>
              </w:rPr>
              <w:t>1</w:t>
            </w:r>
          </w:p>
        </w:tc>
        <w:tc>
          <w:tcPr>
            <w:tcW w:w="0" w:type="auto"/>
            <w:vAlign w:val="center"/>
          </w:tcPr>
          <w:p>
            <w:pPr>
              <w:shd w:val="clear" w:color="auto" w:fill="FFFFFF"/>
              <w:rPr>
                <w:rFonts w:ascii="宋体" w:hAnsi="宋体"/>
                <w:sz w:val="24"/>
                <w:szCs w:val="24"/>
                <w:highlight w:val="none"/>
              </w:rPr>
            </w:pPr>
            <w:r>
              <w:rPr>
                <w:rFonts w:hint="eastAsia" w:ascii="宋体" w:hAnsi="宋体"/>
                <w:sz w:val="24"/>
                <w:szCs w:val="24"/>
                <w:highlight w:val="none"/>
              </w:rPr>
              <w:t>投标报价是否按照招标文件格式填写，投标报价是否唯一；</w:t>
            </w: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0" w:type="auto"/>
            <w:vMerge w:val="continue"/>
            <w:vAlign w:val="center"/>
          </w:tcPr>
          <w:p>
            <w:pPr>
              <w:shd w:val="clear" w:color="auto" w:fill="FFFFFF"/>
              <w:spacing w:line="440" w:lineRule="exact"/>
              <w:jc w:val="center"/>
              <w:rPr>
                <w:rFonts w:ascii="宋体" w:hAnsi="宋体"/>
                <w:sz w:val="24"/>
                <w:szCs w:val="24"/>
                <w:highlight w:val="none"/>
              </w:rPr>
            </w:pPr>
          </w:p>
        </w:tc>
        <w:tc>
          <w:tcPr>
            <w:tcW w:w="0" w:type="auto"/>
            <w:vAlign w:val="center"/>
          </w:tcPr>
          <w:p>
            <w:pPr>
              <w:shd w:val="clear" w:color="auto" w:fill="FFFFFF"/>
              <w:jc w:val="center"/>
              <w:rPr>
                <w:rFonts w:ascii="宋体" w:hAnsi="宋体"/>
                <w:szCs w:val="21"/>
                <w:highlight w:val="none"/>
              </w:rPr>
            </w:pPr>
            <w:r>
              <w:rPr>
                <w:rFonts w:hint="eastAsia" w:ascii="宋体" w:hAnsi="宋体"/>
                <w:sz w:val="24"/>
                <w:szCs w:val="24"/>
                <w:highlight w:val="none"/>
              </w:rPr>
              <w:t>2</w:t>
            </w:r>
          </w:p>
        </w:tc>
        <w:tc>
          <w:tcPr>
            <w:tcW w:w="0" w:type="auto"/>
            <w:vAlign w:val="center"/>
          </w:tcPr>
          <w:p>
            <w:pPr>
              <w:shd w:val="clear" w:color="auto" w:fill="FFFFFF"/>
              <w:rPr>
                <w:rFonts w:ascii="宋体" w:hAnsi="宋体"/>
                <w:szCs w:val="21"/>
                <w:highlight w:val="none"/>
              </w:rPr>
            </w:pPr>
            <w:r>
              <w:rPr>
                <w:rFonts w:hint="eastAsia" w:ascii="宋体" w:hAnsi="宋体"/>
                <w:sz w:val="24"/>
                <w:szCs w:val="24"/>
                <w:highlight w:val="none"/>
              </w:rPr>
              <w:t>是否提供磋商响应书且</w:t>
            </w:r>
            <w:r>
              <w:rPr>
                <w:rFonts w:hint="eastAsia" w:ascii="宋体" w:hAnsi="宋体"/>
                <w:sz w:val="24"/>
                <w:szCs w:val="24"/>
                <w:highlight w:val="none"/>
                <w:lang w:val="zh-CN"/>
              </w:rPr>
              <w:t>按照竞争性磋商文件规定格式完整提供</w:t>
            </w:r>
            <w:r>
              <w:rPr>
                <w:rFonts w:hint="eastAsia" w:ascii="宋体" w:hAnsi="宋体"/>
                <w:sz w:val="24"/>
                <w:szCs w:val="24"/>
                <w:highlight w:val="none"/>
              </w:rPr>
              <w:t>；</w:t>
            </w: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0" w:type="auto"/>
            <w:vMerge w:val="continue"/>
            <w:vAlign w:val="center"/>
          </w:tcPr>
          <w:p>
            <w:pPr>
              <w:shd w:val="clear" w:color="auto" w:fill="FFFFFF"/>
              <w:spacing w:line="440" w:lineRule="exact"/>
              <w:jc w:val="center"/>
              <w:rPr>
                <w:rFonts w:ascii="宋体" w:hAnsi="宋体"/>
                <w:sz w:val="24"/>
                <w:szCs w:val="24"/>
                <w:highlight w:val="none"/>
              </w:rPr>
            </w:pPr>
          </w:p>
        </w:tc>
        <w:tc>
          <w:tcPr>
            <w:tcW w:w="0" w:type="auto"/>
            <w:vAlign w:val="center"/>
          </w:tcPr>
          <w:p>
            <w:pPr>
              <w:shd w:val="clear" w:color="auto" w:fill="FFFFFF"/>
              <w:jc w:val="center"/>
              <w:rPr>
                <w:rFonts w:ascii="宋体" w:hAnsi="宋体"/>
                <w:sz w:val="24"/>
                <w:szCs w:val="24"/>
                <w:highlight w:val="none"/>
              </w:rPr>
            </w:pPr>
            <w:r>
              <w:rPr>
                <w:rFonts w:hint="eastAsia" w:ascii="宋体" w:hAnsi="宋体"/>
                <w:sz w:val="24"/>
                <w:szCs w:val="24"/>
                <w:highlight w:val="none"/>
              </w:rPr>
              <w:t>3</w:t>
            </w:r>
          </w:p>
        </w:tc>
        <w:tc>
          <w:tcPr>
            <w:tcW w:w="0" w:type="auto"/>
            <w:vAlign w:val="center"/>
          </w:tcPr>
          <w:p>
            <w:pPr>
              <w:shd w:val="clear" w:color="auto" w:fill="FFFFFF"/>
              <w:rPr>
                <w:rFonts w:ascii="宋体" w:hAnsi="宋体"/>
                <w:szCs w:val="21"/>
                <w:highlight w:val="none"/>
              </w:rPr>
            </w:pPr>
            <w:r>
              <w:rPr>
                <w:rFonts w:hint="eastAsia" w:ascii="宋体" w:hAnsi="宋体"/>
                <w:sz w:val="24"/>
                <w:szCs w:val="24"/>
                <w:highlight w:val="none"/>
                <w:lang w:val="zh-CN"/>
              </w:rPr>
              <w:t>磋商响应文件中法定代表人身份证明书是否按竞争性磋商文件规定格式完整提供</w:t>
            </w:r>
            <w:r>
              <w:rPr>
                <w:rFonts w:hint="eastAsia" w:ascii="宋体" w:hAnsi="宋体"/>
                <w:sz w:val="24"/>
                <w:szCs w:val="24"/>
                <w:highlight w:val="none"/>
              </w:rPr>
              <w:t>；</w:t>
            </w: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Merge w:val="continue"/>
            <w:vAlign w:val="center"/>
          </w:tcPr>
          <w:p>
            <w:pPr>
              <w:shd w:val="clear" w:color="auto" w:fill="FFFFFF"/>
              <w:spacing w:line="440" w:lineRule="exact"/>
              <w:jc w:val="center"/>
              <w:rPr>
                <w:rFonts w:ascii="宋体" w:hAnsi="宋体"/>
                <w:sz w:val="24"/>
                <w:szCs w:val="24"/>
                <w:highlight w:val="none"/>
              </w:rPr>
            </w:pPr>
          </w:p>
        </w:tc>
        <w:tc>
          <w:tcPr>
            <w:tcW w:w="0" w:type="auto"/>
            <w:vAlign w:val="center"/>
          </w:tcPr>
          <w:p>
            <w:pPr>
              <w:shd w:val="clear" w:color="auto" w:fill="FFFFFF"/>
              <w:jc w:val="center"/>
              <w:rPr>
                <w:rFonts w:ascii="宋体" w:hAnsi="宋体"/>
                <w:sz w:val="24"/>
                <w:szCs w:val="24"/>
                <w:highlight w:val="none"/>
              </w:rPr>
            </w:pPr>
            <w:r>
              <w:rPr>
                <w:rFonts w:hint="eastAsia" w:ascii="宋体" w:hAnsi="宋体"/>
                <w:sz w:val="24"/>
                <w:szCs w:val="24"/>
                <w:highlight w:val="none"/>
              </w:rPr>
              <w:t>4</w:t>
            </w:r>
          </w:p>
        </w:tc>
        <w:tc>
          <w:tcPr>
            <w:tcW w:w="0" w:type="auto"/>
            <w:vAlign w:val="center"/>
          </w:tcPr>
          <w:p>
            <w:pPr>
              <w:shd w:val="clear" w:color="auto" w:fill="FFFFFF"/>
              <w:rPr>
                <w:rFonts w:ascii="宋体" w:hAnsi="宋体"/>
                <w:szCs w:val="21"/>
                <w:highlight w:val="none"/>
              </w:rPr>
            </w:pPr>
            <w:r>
              <w:rPr>
                <w:rFonts w:hint="eastAsia" w:ascii="宋体" w:hAnsi="宋体"/>
                <w:sz w:val="24"/>
                <w:szCs w:val="24"/>
                <w:highlight w:val="none"/>
                <w:lang w:val="zh-CN"/>
              </w:rPr>
              <w:t>磋商响应文件中法定代表人授权委托书是否按竞争性磋商文件规定格式完整提供</w:t>
            </w:r>
            <w:r>
              <w:rPr>
                <w:rFonts w:hint="eastAsia" w:ascii="宋体" w:hAnsi="宋体"/>
                <w:sz w:val="24"/>
                <w:szCs w:val="24"/>
                <w:highlight w:val="none"/>
              </w:rPr>
              <w:t>；</w:t>
            </w: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0" w:type="auto"/>
            <w:vMerge w:val="continue"/>
            <w:vAlign w:val="center"/>
          </w:tcPr>
          <w:p>
            <w:pPr>
              <w:shd w:val="clear" w:color="auto" w:fill="FFFFFF"/>
              <w:spacing w:line="440" w:lineRule="exact"/>
              <w:jc w:val="center"/>
              <w:rPr>
                <w:rFonts w:ascii="宋体" w:hAnsi="宋体"/>
                <w:sz w:val="24"/>
                <w:szCs w:val="24"/>
                <w:highlight w:val="none"/>
              </w:rPr>
            </w:pPr>
          </w:p>
        </w:tc>
        <w:tc>
          <w:tcPr>
            <w:tcW w:w="0" w:type="auto"/>
            <w:vAlign w:val="center"/>
          </w:tcPr>
          <w:p>
            <w:pPr>
              <w:shd w:val="clear" w:color="auto" w:fill="FFFFFF"/>
              <w:jc w:val="center"/>
              <w:rPr>
                <w:rFonts w:ascii="宋体" w:hAnsi="宋体"/>
                <w:sz w:val="24"/>
                <w:szCs w:val="24"/>
                <w:highlight w:val="none"/>
              </w:rPr>
            </w:pPr>
            <w:r>
              <w:rPr>
                <w:rFonts w:hint="eastAsia" w:ascii="宋体" w:hAnsi="宋体"/>
                <w:sz w:val="24"/>
                <w:szCs w:val="24"/>
                <w:highlight w:val="none"/>
              </w:rPr>
              <w:t>5</w:t>
            </w:r>
          </w:p>
        </w:tc>
        <w:tc>
          <w:tcPr>
            <w:tcW w:w="0" w:type="auto"/>
            <w:vAlign w:val="center"/>
          </w:tcPr>
          <w:p>
            <w:pPr>
              <w:shd w:val="clear" w:color="auto" w:fill="FFFFFF"/>
              <w:rPr>
                <w:rFonts w:ascii="宋体" w:hAnsi="宋体"/>
                <w:szCs w:val="21"/>
                <w:highlight w:val="none"/>
              </w:rPr>
            </w:pPr>
            <w:r>
              <w:rPr>
                <w:rFonts w:hint="eastAsia" w:ascii="宋体" w:hAnsi="宋体"/>
                <w:sz w:val="24"/>
                <w:szCs w:val="24"/>
                <w:highlight w:val="none"/>
              </w:rPr>
              <w:t>磋商响应文件是否按竞争性磋商文件要求盖章或签字；</w:t>
            </w: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0" w:type="auto"/>
            <w:vMerge w:val="continue"/>
            <w:vAlign w:val="center"/>
          </w:tcPr>
          <w:p>
            <w:pPr>
              <w:shd w:val="clear" w:color="auto" w:fill="FFFFFF"/>
              <w:spacing w:line="440" w:lineRule="exact"/>
              <w:jc w:val="center"/>
              <w:rPr>
                <w:rFonts w:ascii="宋体" w:hAnsi="宋体"/>
                <w:sz w:val="24"/>
                <w:szCs w:val="24"/>
                <w:highlight w:val="none"/>
              </w:rPr>
            </w:pPr>
          </w:p>
        </w:tc>
        <w:tc>
          <w:tcPr>
            <w:tcW w:w="0" w:type="auto"/>
            <w:vAlign w:val="center"/>
          </w:tcPr>
          <w:p>
            <w:pPr>
              <w:shd w:val="clear" w:color="auto" w:fill="FFFFFF"/>
              <w:jc w:val="center"/>
              <w:rPr>
                <w:rFonts w:ascii="宋体" w:hAnsi="宋体"/>
                <w:sz w:val="24"/>
                <w:szCs w:val="24"/>
                <w:highlight w:val="none"/>
              </w:rPr>
            </w:pPr>
            <w:r>
              <w:rPr>
                <w:rFonts w:hint="eastAsia" w:ascii="宋体" w:hAnsi="宋体"/>
                <w:sz w:val="24"/>
                <w:szCs w:val="24"/>
                <w:highlight w:val="none"/>
              </w:rPr>
              <w:t>6</w:t>
            </w:r>
          </w:p>
        </w:tc>
        <w:tc>
          <w:tcPr>
            <w:tcW w:w="0" w:type="auto"/>
            <w:vAlign w:val="center"/>
          </w:tcPr>
          <w:p>
            <w:pPr>
              <w:shd w:val="clear" w:color="auto" w:fill="FFFFFF"/>
              <w:rPr>
                <w:rFonts w:ascii="宋体" w:hAnsi="宋体"/>
                <w:szCs w:val="21"/>
                <w:highlight w:val="none"/>
              </w:rPr>
            </w:pPr>
            <w:r>
              <w:rPr>
                <w:rFonts w:hint="eastAsia" w:ascii="宋体" w:hAnsi="宋体"/>
                <w:sz w:val="24"/>
                <w:szCs w:val="24"/>
                <w:highlight w:val="none"/>
              </w:rPr>
              <w:t>磋商保证金的缴纳主体是否与供应商一致、提供投标担保符合竞争性磋商文件要求；</w:t>
            </w: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0" w:type="auto"/>
            <w:vMerge w:val="continue"/>
            <w:vAlign w:val="center"/>
          </w:tcPr>
          <w:p>
            <w:pPr>
              <w:shd w:val="clear" w:color="auto" w:fill="FFFFFF"/>
              <w:spacing w:line="440" w:lineRule="exact"/>
              <w:jc w:val="center"/>
              <w:rPr>
                <w:rFonts w:ascii="宋体" w:hAnsi="宋体"/>
                <w:sz w:val="24"/>
                <w:szCs w:val="24"/>
                <w:highlight w:val="none"/>
              </w:rPr>
            </w:pPr>
          </w:p>
        </w:tc>
        <w:tc>
          <w:tcPr>
            <w:tcW w:w="0" w:type="auto"/>
            <w:vAlign w:val="center"/>
          </w:tcPr>
          <w:p>
            <w:pPr>
              <w:shd w:val="clear" w:color="auto" w:fill="FFFFFF"/>
              <w:jc w:val="center"/>
              <w:rPr>
                <w:rFonts w:ascii="宋体" w:hAnsi="宋体"/>
                <w:sz w:val="24"/>
                <w:szCs w:val="24"/>
                <w:highlight w:val="none"/>
              </w:rPr>
            </w:pPr>
            <w:r>
              <w:rPr>
                <w:rFonts w:hint="eastAsia" w:ascii="宋体" w:hAnsi="宋体"/>
                <w:sz w:val="24"/>
                <w:szCs w:val="24"/>
                <w:highlight w:val="none"/>
              </w:rPr>
              <w:t>7</w:t>
            </w:r>
          </w:p>
        </w:tc>
        <w:tc>
          <w:tcPr>
            <w:tcW w:w="0" w:type="auto"/>
            <w:vAlign w:val="center"/>
          </w:tcPr>
          <w:p>
            <w:pPr>
              <w:shd w:val="clear" w:color="auto" w:fill="FFFFFF"/>
              <w:rPr>
                <w:rFonts w:ascii="宋体" w:hAnsi="宋体"/>
                <w:szCs w:val="21"/>
                <w:highlight w:val="none"/>
              </w:rPr>
            </w:pPr>
            <w:r>
              <w:rPr>
                <w:rFonts w:hint="eastAsia" w:ascii="宋体" w:hAnsi="宋体"/>
                <w:sz w:val="24"/>
                <w:szCs w:val="24"/>
                <w:highlight w:val="none"/>
              </w:rPr>
              <w:t>磋商响应文件的供货期、质保期是否满足竞争性磋商文件规定期限；</w:t>
            </w: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0" w:type="auto"/>
            <w:vMerge w:val="continue"/>
            <w:vAlign w:val="center"/>
          </w:tcPr>
          <w:p>
            <w:pPr>
              <w:shd w:val="clear" w:color="auto" w:fill="FFFFFF"/>
              <w:spacing w:line="440" w:lineRule="exact"/>
              <w:jc w:val="center"/>
              <w:rPr>
                <w:rFonts w:ascii="宋体" w:hAnsi="宋体"/>
                <w:sz w:val="24"/>
                <w:szCs w:val="24"/>
                <w:highlight w:val="none"/>
              </w:rPr>
            </w:pPr>
          </w:p>
        </w:tc>
        <w:tc>
          <w:tcPr>
            <w:tcW w:w="0" w:type="auto"/>
            <w:vAlign w:val="center"/>
          </w:tcPr>
          <w:p>
            <w:pPr>
              <w:shd w:val="clear" w:color="auto" w:fill="FFFFFF"/>
              <w:jc w:val="center"/>
              <w:rPr>
                <w:rFonts w:ascii="宋体" w:hAnsi="宋体"/>
                <w:sz w:val="24"/>
                <w:szCs w:val="24"/>
                <w:highlight w:val="none"/>
              </w:rPr>
            </w:pPr>
            <w:r>
              <w:rPr>
                <w:rFonts w:hint="eastAsia" w:ascii="宋体" w:hAnsi="宋体"/>
                <w:sz w:val="24"/>
                <w:szCs w:val="24"/>
                <w:highlight w:val="none"/>
              </w:rPr>
              <w:t>8</w:t>
            </w:r>
          </w:p>
        </w:tc>
        <w:tc>
          <w:tcPr>
            <w:tcW w:w="0" w:type="auto"/>
            <w:vAlign w:val="center"/>
          </w:tcPr>
          <w:p>
            <w:pPr>
              <w:shd w:val="clear" w:color="auto" w:fill="FFFFFF"/>
              <w:rPr>
                <w:rFonts w:ascii="宋体" w:hAnsi="宋体"/>
                <w:szCs w:val="21"/>
                <w:highlight w:val="none"/>
              </w:rPr>
            </w:pPr>
            <w:r>
              <w:rPr>
                <w:rFonts w:hint="eastAsia" w:ascii="宋体" w:hAnsi="宋体"/>
                <w:sz w:val="24"/>
                <w:szCs w:val="24"/>
                <w:highlight w:val="none"/>
              </w:rPr>
              <w:t>磋商有效期是否满足竞争性磋商文件要求的；</w:t>
            </w: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0" w:type="auto"/>
            <w:vMerge w:val="continue"/>
            <w:vAlign w:val="center"/>
          </w:tcPr>
          <w:p>
            <w:pPr>
              <w:shd w:val="clear" w:color="auto" w:fill="FFFFFF"/>
              <w:spacing w:line="440" w:lineRule="exact"/>
              <w:jc w:val="center"/>
              <w:rPr>
                <w:rFonts w:ascii="宋体" w:hAnsi="宋体"/>
                <w:sz w:val="24"/>
                <w:szCs w:val="24"/>
                <w:highlight w:val="none"/>
              </w:rPr>
            </w:pPr>
          </w:p>
        </w:tc>
        <w:tc>
          <w:tcPr>
            <w:tcW w:w="0" w:type="auto"/>
            <w:vAlign w:val="center"/>
          </w:tcPr>
          <w:p>
            <w:pPr>
              <w:shd w:val="clear" w:color="auto" w:fill="FFFFFF"/>
              <w:jc w:val="center"/>
              <w:rPr>
                <w:rFonts w:ascii="宋体" w:hAnsi="宋体"/>
                <w:sz w:val="24"/>
                <w:szCs w:val="24"/>
                <w:highlight w:val="none"/>
              </w:rPr>
            </w:pPr>
            <w:r>
              <w:rPr>
                <w:rFonts w:hint="eastAsia" w:ascii="宋体" w:hAnsi="宋体"/>
                <w:sz w:val="24"/>
                <w:szCs w:val="24"/>
                <w:highlight w:val="none"/>
              </w:rPr>
              <w:t>9</w:t>
            </w:r>
          </w:p>
        </w:tc>
        <w:tc>
          <w:tcPr>
            <w:tcW w:w="0" w:type="auto"/>
            <w:vAlign w:val="center"/>
          </w:tcPr>
          <w:p>
            <w:pPr>
              <w:shd w:val="clear" w:color="auto" w:fill="FFFFFF"/>
              <w:rPr>
                <w:rFonts w:ascii="宋体" w:hAnsi="宋体"/>
                <w:szCs w:val="21"/>
                <w:highlight w:val="none"/>
              </w:rPr>
            </w:pPr>
            <w:r>
              <w:rPr>
                <w:rFonts w:hint="eastAsia" w:ascii="宋体" w:hAnsi="宋体"/>
                <w:sz w:val="24"/>
                <w:szCs w:val="24"/>
                <w:highlight w:val="none"/>
              </w:rPr>
              <w:t>磋商响应文件是否附有采购人不能接受的条件；</w:t>
            </w: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0" w:type="auto"/>
            <w:vMerge w:val="continue"/>
            <w:vAlign w:val="center"/>
          </w:tcPr>
          <w:p>
            <w:pPr>
              <w:shd w:val="clear" w:color="auto" w:fill="FFFFFF"/>
              <w:spacing w:line="440" w:lineRule="exact"/>
              <w:jc w:val="center"/>
              <w:rPr>
                <w:rFonts w:ascii="宋体" w:hAnsi="宋体"/>
                <w:sz w:val="24"/>
                <w:szCs w:val="24"/>
                <w:highlight w:val="none"/>
              </w:rPr>
            </w:pPr>
          </w:p>
        </w:tc>
        <w:tc>
          <w:tcPr>
            <w:tcW w:w="0" w:type="auto"/>
            <w:vAlign w:val="center"/>
          </w:tcPr>
          <w:p>
            <w:pPr>
              <w:shd w:val="clear" w:color="auto" w:fill="FFFFFF"/>
              <w:jc w:val="center"/>
              <w:rPr>
                <w:rFonts w:ascii="宋体" w:hAnsi="宋体"/>
                <w:sz w:val="24"/>
                <w:szCs w:val="24"/>
                <w:highlight w:val="none"/>
              </w:rPr>
            </w:pPr>
            <w:r>
              <w:rPr>
                <w:rFonts w:hint="eastAsia" w:ascii="宋体" w:hAnsi="宋体"/>
                <w:sz w:val="24"/>
                <w:szCs w:val="24"/>
                <w:highlight w:val="none"/>
              </w:rPr>
              <w:t>10</w:t>
            </w:r>
          </w:p>
        </w:tc>
        <w:tc>
          <w:tcPr>
            <w:tcW w:w="0" w:type="auto"/>
            <w:vAlign w:val="center"/>
          </w:tcPr>
          <w:p>
            <w:pPr>
              <w:shd w:val="clear" w:color="auto" w:fill="FFFFFF"/>
              <w:rPr>
                <w:rFonts w:ascii="宋体" w:hAnsi="宋体"/>
                <w:szCs w:val="21"/>
                <w:highlight w:val="none"/>
              </w:rPr>
            </w:pPr>
            <w:r>
              <w:rPr>
                <w:rFonts w:hint="eastAsia" w:ascii="宋体" w:hAnsi="宋体"/>
                <w:sz w:val="24"/>
                <w:szCs w:val="24"/>
                <w:highlight w:val="none"/>
              </w:rPr>
              <w:t>是否满足竞争性磋商文件实质性要求的其他情形。</w:t>
            </w: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c>
          <w:tcPr>
            <w:tcW w:w="0" w:type="auto"/>
            <w:vAlign w:val="center"/>
          </w:tcPr>
          <w:p>
            <w:pPr>
              <w:shd w:val="clear" w:color="auto" w:fill="FFFFFF"/>
              <w:spacing w:line="4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trPr>
        <w:tc>
          <w:tcPr>
            <w:tcW w:w="0" w:type="auto"/>
            <w:gridSpan w:val="7"/>
            <w:vAlign w:val="center"/>
          </w:tcPr>
          <w:p>
            <w:pPr>
              <w:shd w:val="clear" w:color="auto" w:fill="FFFFFF"/>
              <w:spacing w:line="440" w:lineRule="exact"/>
              <w:rPr>
                <w:rFonts w:ascii="宋体" w:hAnsi="宋体"/>
                <w:b/>
                <w:sz w:val="24"/>
                <w:szCs w:val="24"/>
                <w:highlight w:val="none"/>
              </w:rPr>
            </w:pPr>
            <w:r>
              <w:rPr>
                <w:rFonts w:hint="eastAsia" w:ascii="宋体" w:hAnsi="宋体"/>
                <w:sz w:val="24"/>
                <w:szCs w:val="24"/>
                <w:highlight w:val="none"/>
              </w:rPr>
              <w:t>结论：是否通过初步评审</w:t>
            </w:r>
            <w:r>
              <w:rPr>
                <w:rFonts w:hint="eastAsia" w:ascii="宋体" w:hAnsi="宋体"/>
                <w:b/>
                <w:sz w:val="24"/>
                <w:szCs w:val="24"/>
                <w:highlight w:val="none"/>
              </w:rPr>
              <w:t>（</w:t>
            </w:r>
            <w:r>
              <w:rPr>
                <w:rFonts w:hint="eastAsia" w:ascii="宋体" w:hAnsi="宋体"/>
                <w:sz w:val="24"/>
                <w:szCs w:val="24"/>
                <w:highlight w:val="none"/>
              </w:rPr>
              <w:t>初步评审合格后方可进入详细评审阶段</w:t>
            </w:r>
            <w:r>
              <w:rPr>
                <w:rFonts w:hint="eastAsia" w:ascii="宋体" w:hAnsi="宋体"/>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0" w:type="auto"/>
            <w:gridSpan w:val="7"/>
            <w:vAlign w:val="center"/>
          </w:tcPr>
          <w:p>
            <w:pPr>
              <w:shd w:val="clear" w:color="auto" w:fill="FFFFFF"/>
              <w:spacing w:line="440" w:lineRule="exact"/>
              <w:rPr>
                <w:rFonts w:ascii="宋体" w:hAnsi="宋体"/>
                <w:b/>
                <w:sz w:val="24"/>
                <w:szCs w:val="24"/>
                <w:highlight w:val="none"/>
              </w:rPr>
            </w:pPr>
            <w:r>
              <w:rPr>
                <w:rFonts w:hint="eastAsia" w:ascii="宋体" w:hAnsi="宋体"/>
                <w:sz w:val="24"/>
                <w:szCs w:val="24"/>
                <w:highlight w:val="none"/>
              </w:rPr>
              <w:t>备注：如果磋商响应文件中有一项未通过上述审查标准，磋商小组将认定整个磋商响应文件不响应竞磋文件而予以投标无效，并且不允许供应商通过修改或撤销其不符合要求的差异或保留，使之成为具有响应性的投标。通过审核的以“√”标记；未通过的以“×”标记，并予以说明。</w:t>
            </w:r>
          </w:p>
        </w:tc>
      </w:tr>
    </w:tbl>
    <w:p>
      <w:pPr>
        <w:pStyle w:val="87"/>
        <w:numPr>
          <w:ilvl w:val="0"/>
          <w:numId w:val="4"/>
        </w:numPr>
        <w:shd w:val="clear" w:color="auto" w:fill="FFFFFF"/>
        <w:spacing w:line="440" w:lineRule="exact"/>
        <w:ind w:firstLine="482" w:firstLineChars="200"/>
        <w:rPr>
          <w:rFonts w:ascii="宋体" w:hAnsi="宋体"/>
          <w:b/>
          <w:sz w:val="24"/>
          <w:szCs w:val="24"/>
          <w:highlight w:val="none"/>
        </w:rPr>
      </w:pPr>
      <w:r>
        <w:rPr>
          <w:rFonts w:hint="eastAsia" w:ascii="宋体" w:hAnsi="宋体"/>
          <w:b/>
          <w:sz w:val="24"/>
          <w:szCs w:val="24"/>
          <w:highlight w:val="none"/>
        </w:rPr>
        <w:br w:type="page"/>
      </w:r>
      <w:bookmarkStart w:id="22" w:name="_Hlk521877884"/>
      <w:r>
        <w:rPr>
          <w:rFonts w:hint="eastAsia" w:ascii="宋体" w:hAnsi="宋体"/>
          <w:b/>
          <w:sz w:val="24"/>
          <w:szCs w:val="24"/>
          <w:highlight w:val="none"/>
        </w:rPr>
        <w:t>详细评审</w:t>
      </w:r>
      <w:bookmarkEnd w:id="22"/>
      <w:r>
        <w:rPr>
          <w:rFonts w:hint="eastAsia" w:ascii="宋体" w:hAnsi="宋体"/>
          <w:b/>
          <w:sz w:val="24"/>
          <w:szCs w:val="24"/>
          <w:highlight w:val="none"/>
        </w:rPr>
        <w:t xml:space="preserve">  </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145"/>
        <w:gridCol w:w="5992"/>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3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rFonts w:ascii="宋体" w:hAnsi="宋体" w:eastAsia="宋体"/>
                <w:sz w:val="24"/>
                <w:highlight w:val="none"/>
              </w:rPr>
            </w:pPr>
            <w:r>
              <w:rPr>
                <w:rFonts w:hint="eastAsia" w:ascii="宋体" w:hAnsi="宋体" w:eastAsia="宋体"/>
                <w:sz w:val="24"/>
                <w:highlight w:val="none"/>
              </w:rPr>
              <w:t>类别</w:t>
            </w:r>
          </w:p>
        </w:tc>
        <w:tc>
          <w:tcPr>
            <w:tcW w:w="653"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 w:val="24"/>
                <w:highlight w:val="none"/>
              </w:rPr>
            </w:pPr>
            <w:r>
              <w:rPr>
                <w:rFonts w:hint="eastAsia" w:ascii="宋体" w:hAnsi="宋体" w:eastAsia="宋体"/>
                <w:sz w:val="24"/>
                <w:highlight w:val="none"/>
              </w:rPr>
              <w:t>内容</w:t>
            </w:r>
          </w:p>
        </w:tc>
        <w:tc>
          <w:tcPr>
            <w:tcW w:w="3417"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rFonts w:ascii="宋体" w:hAnsi="宋体" w:eastAsia="宋体"/>
                <w:sz w:val="24"/>
                <w:highlight w:val="none"/>
              </w:rPr>
            </w:pPr>
            <w:r>
              <w:rPr>
                <w:rFonts w:hint="eastAsia" w:ascii="宋体" w:hAnsi="宋体" w:eastAsia="宋体"/>
                <w:sz w:val="24"/>
                <w:highlight w:val="none"/>
              </w:rPr>
              <w:t>评分细则</w:t>
            </w:r>
          </w:p>
        </w:tc>
        <w:tc>
          <w:tcPr>
            <w:tcW w:w="392"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 w:val="24"/>
                <w:highlight w:val="none"/>
              </w:rPr>
            </w:pPr>
            <w:r>
              <w:rPr>
                <w:rFonts w:hint="eastAsia" w:ascii="宋体" w:hAnsi="宋体" w:eastAsia="宋体"/>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jc w:val="center"/>
        </w:trPr>
        <w:tc>
          <w:tcPr>
            <w:tcW w:w="53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rFonts w:ascii="宋体" w:hAnsi="宋体" w:eastAsia="宋体"/>
                <w:sz w:val="24"/>
                <w:highlight w:val="none"/>
              </w:rPr>
            </w:pPr>
            <w:r>
              <w:rPr>
                <w:rFonts w:hint="eastAsia" w:ascii="宋体" w:hAnsi="宋体" w:eastAsia="宋体"/>
                <w:sz w:val="24"/>
                <w:highlight w:val="none"/>
              </w:rPr>
              <w:t>价格分</w:t>
            </w:r>
          </w:p>
        </w:tc>
        <w:tc>
          <w:tcPr>
            <w:tcW w:w="653"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 w:val="24"/>
                <w:highlight w:val="none"/>
              </w:rPr>
            </w:pPr>
            <w:r>
              <w:rPr>
                <w:rFonts w:hint="eastAsia" w:ascii="宋体" w:hAnsi="宋体" w:eastAsia="宋体"/>
                <w:sz w:val="24"/>
                <w:highlight w:val="none"/>
              </w:rPr>
              <w:t>价格</w:t>
            </w:r>
          </w:p>
        </w:tc>
        <w:tc>
          <w:tcPr>
            <w:tcW w:w="3417"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投标报价得分=(评标基准价/投标报价)×1</w:t>
            </w:r>
            <w:r>
              <w:rPr>
                <w:rFonts w:ascii="宋体" w:hAnsi="宋体" w:eastAsia="宋体" w:cs="宋体"/>
                <w:kern w:val="0"/>
                <w:sz w:val="24"/>
                <w:highlight w:val="none"/>
              </w:rPr>
              <w:t>0</w:t>
            </w:r>
            <w:r>
              <w:rPr>
                <w:rFonts w:hint="eastAsia" w:ascii="宋体" w:hAnsi="宋体" w:eastAsia="宋体" w:cs="宋体"/>
                <w:kern w:val="0"/>
                <w:sz w:val="24"/>
                <w:highlight w:val="none"/>
              </w:rPr>
              <w:t>%×100</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备注：</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1.投标价格评分采用低价优先法计算；</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2.评标基准价：满足招标文件要求的最低报价为评标基准价；</w:t>
            </w:r>
          </w:p>
          <w:p>
            <w:pPr>
              <w:spacing w:line="360" w:lineRule="auto"/>
              <w:rPr>
                <w:rFonts w:ascii="宋体" w:hAnsi="宋体" w:eastAsia="宋体"/>
                <w:sz w:val="24"/>
                <w:highlight w:val="none"/>
              </w:rPr>
            </w:pPr>
            <w:r>
              <w:rPr>
                <w:rFonts w:hint="eastAsia" w:ascii="宋体" w:hAnsi="宋体" w:eastAsia="宋体" w:cs="宋体"/>
                <w:kern w:val="0"/>
                <w:sz w:val="24"/>
                <w:highlight w:val="none"/>
              </w:rPr>
              <w:t>3.投标人不得低于成本或市场价恶意竞标，评标委员会认为投标人的报价明显低于其他通过符合性审查投标人的报价，有可能影响项目质量或者不能诚信履约的，评标委员会有权要求其在评标现场合理的时间内提供书面说明，必要时提交相关证明材料；投标人如不能证明其报价合理性的，评标委员会应当将其作为无效投标处理。</w:t>
            </w:r>
          </w:p>
        </w:tc>
        <w:tc>
          <w:tcPr>
            <w:tcW w:w="392"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 w:val="24"/>
                <w:highlight w:val="none"/>
              </w:rPr>
            </w:pPr>
            <w:r>
              <w:rPr>
                <w:rFonts w:ascii="宋体" w:hAnsi="宋体" w:eastAsia="宋体"/>
                <w:sz w:val="24"/>
                <w:highlight w:val="none"/>
              </w:rPr>
              <w:t>10</w:t>
            </w:r>
            <w:r>
              <w:rPr>
                <w:rFonts w:hint="eastAsia" w:ascii="宋体" w:hAnsi="宋体" w:eastAsia="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536" w:type="pct"/>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pPr>
              <w:spacing w:line="360" w:lineRule="auto"/>
              <w:jc w:val="center"/>
              <w:rPr>
                <w:rFonts w:ascii="宋体" w:hAnsi="宋体" w:eastAsia="宋体"/>
                <w:sz w:val="24"/>
                <w:highlight w:val="none"/>
              </w:rPr>
            </w:pPr>
            <w:r>
              <w:rPr>
                <w:rFonts w:hint="eastAsia" w:ascii="宋体" w:hAnsi="宋体" w:eastAsia="宋体"/>
                <w:sz w:val="24"/>
                <w:highlight w:val="none"/>
              </w:rPr>
              <w:t>技术分</w:t>
            </w:r>
          </w:p>
        </w:tc>
        <w:tc>
          <w:tcPr>
            <w:tcW w:w="653"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 w:val="24"/>
                <w:highlight w:val="none"/>
              </w:rPr>
            </w:pPr>
            <w:r>
              <w:rPr>
                <w:rFonts w:hint="eastAsia" w:ascii="宋体" w:hAnsi="宋体" w:eastAsia="宋体"/>
                <w:sz w:val="24"/>
                <w:highlight w:val="none"/>
              </w:rPr>
              <w:t>参数响应情况</w:t>
            </w:r>
          </w:p>
        </w:tc>
        <w:tc>
          <w:tcPr>
            <w:tcW w:w="3417"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rPr>
                <w:rFonts w:ascii="宋体" w:hAnsi="宋体" w:eastAsia="宋体"/>
                <w:sz w:val="24"/>
                <w:highlight w:val="none"/>
              </w:rPr>
            </w:pPr>
            <w:r>
              <w:rPr>
                <w:rFonts w:hint="eastAsia" w:ascii="宋体" w:hAnsi="宋体" w:eastAsia="宋体"/>
                <w:sz w:val="24"/>
                <w:highlight w:val="none"/>
              </w:rPr>
              <w:t>完全满足本项目招标需求，没有负偏离的得</w:t>
            </w:r>
            <w:r>
              <w:rPr>
                <w:rFonts w:ascii="宋体" w:hAnsi="宋体" w:eastAsia="宋体"/>
                <w:sz w:val="24"/>
                <w:highlight w:val="none"/>
              </w:rPr>
              <w:t>20分，对“非▲技术条款”做出一项“负偏离”响应或不作出响应，扣1分，扣完即止；对“▲技术条款”做出一项“负偏离”响应或不作出响应，扣2分，扣完即止。</w:t>
            </w:r>
          </w:p>
        </w:tc>
        <w:tc>
          <w:tcPr>
            <w:tcW w:w="392"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 w:val="24"/>
                <w:highlight w:val="none"/>
              </w:rPr>
            </w:pPr>
            <w:r>
              <w:rPr>
                <w:rFonts w:ascii="宋体" w:hAnsi="宋体" w:eastAsia="宋体"/>
                <w:sz w:val="24"/>
                <w:highlight w:val="none"/>
              </w:rPr>
              <w:t>20</w:t>
            </w:r>
            <w:r>
              <w:rPr>
                <w:rFonts w:hint="eastAsia" w:ascii="宋体" w:hAnsi="宋体" w:eastAsia="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jc w:val="center"/>
        </w:trPr>
        <w:tc>
          <w:tcPr>
            <w:tcW w:w="536" w:type="pct"/>
            <w:vMerge w:val="continue"/>
            <w:tcBorders>
              <w:left w:val="single" w:color="000000" w:sz="4" w:space="0"/>
              <w:right w:val="single" w:color="000000" w:sz="4" w:space="0"/>
            </w:tcBorders>
            <w:tcMar>
              <w:top w:w="15" w:type="dxa"/>
              <w:left w:w="15" w:type="dxa"/>
              <w:bottom w:w="15" w:type="dxa"/>
              <w:right w:w="15" w:type="dxa"/>
            </w:tcMar>
            <w:vAlign w:val="center"/>
          </w:tcPr>
          <w:p>
            <w:pPr>
              <w:spacing w:line="360" w:lineRule="auto"/>
              <w:jc w:val="center"/>
              <w:rPr>
                <w:rFonts w:ascii="宋体" w:hAnsi="宋体" w:eastAsia="宋体"/>
                <w:sz w:val="24"/>
                <w:highlight w:val="none"/>
              </w:rPr>
            </w:pPr>
          </w:p>
        </w:tc>
        <w:tc>
          <w:tcPr>
            <w:tcW w:w="653"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 w:val="24"/>
                <w:highlight w:val="none"/>
              </w:rPr>
            </w:pPr>
            <w:r>
              <w:rPr>
                <w:rFonts w:hint="eastAsia" w:ascii="宋体" w:hAnsi="宋体" w:eastAsia="宋体"/>
                <w:sz w:val="24"/>
                <w:highlight w:val="none"/>
              </w:rPr>
              <w:t>建设内容理解</w:t>
            </w:r>
          </w:p>
        </w:tc>
        <w:tc>
          <w:tcPr>
            <w:tcW w:w="3417"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rPr>
                <w:rFonts w:ascii="宋体" w:hAnsi="宋体" w:eastAsia="宋体"/>
                <w:sz w:val="24"/>
                <w:highlight w:val="none"/>
              </w:rPr>
            </w:pPr>
            <w:r>
              <w:rPr>
                <w:rFonts w:hint="eastAsia" w:ascii="宋体" w:hAnsi="宋体" w:eastAsia="宋体"/>
                <w:sz w:val="24"/>
                <w:highlight w:val="none"/>
              </w:rPr>
              <w:t>1、投标人提供建设内容理解方案，根据本项目需求，对项目背景、行业特点、项目建设重难点理解、业界技术分析、成功案例参考等进行阐述，满足各业务开展的部署要求等方面进行评审：</w:t>
            </w:r>
          </w:p>
          <w:p>
            <w:pPr>
              <w:spacing w:line="360" w:lineRule="auto"/>
              <w:rPr>
                <w:rFonts w:ascii="宋体" w:hAnsi="宋体" w:eastAsia="宋体"/>
                <w:sz w:val="24"/>
                <w:highlight w:val="none"/>
              </w:rPr>
            </w:pPr>
            <w:r>
              <w:rPr>
                <w:rFonts w:hint="eastAsia" w:ascii="宋体" w:hAnsi="宋体" w:eastAsia="宋体"/>
                <w:sz w:val="24"/>
                <w:highlight w:val="none"/>
              </w:rPr>
              <w:t>（1）方案内容完整、思路清晰，理解具体合理，切实可行得</w:t>
            </w:r>
            <w:r>
              <w:rPr>
                <w:rFonts w:ascii="宋体" w:hAnsi="宋体" w:eastAsia="宋体"/>
                <w:sz w:val="24"/>
                <w:highlight w:val="none"/>
              </w:rPr>
              <w:t>6</w:t>
            </w:r>
            <w:r>
              <w:rPr>
                <w:rFonts w:hint="eastAsia" w:ascii="宋体" w:hAnsi="宋体" w:eastAsia="宋体"/>
                <w:sz w:val="24"/>
                <w:highlight w:val="none"/>
              </w:rPr>
              <w:t>分；</w:t>
            </w:r>
          </w:p>
          <w:p>
            <w:pPr>
              <w:spacing w:line="360" w:lineRule="auto"/>
              <w:rPr>
                <w:rFonts w:ascii="宋体" w:hAnsi="宋体" w:eastAsia="宋体"/>
                <w:sz w:val="24"/>
                <w:highlight w:val="none"/>
              </w:rPr>
            </w:pPr>
            <w:r>
              <w:rPr>
                <w:rFonts w:hint="eastAsia" w:ascii="宋体" w:hAnsi="宋体" w:eastAsia="宋体"/>
                <w:sz w:val="24"/>
                <w:highlight w:val="none"/>
              </w:rPr>
              <w:t>（2）方案内容基本完整、思路基本清晰，理解基本具体合理，基本可行得</w:t>
            </w:r>
            <w:r>
              <w:rPr>
                <w:rFonts w:ascii="宋体" w:hAnsi="宋体" w:eastAsia="宋体"/>
                <w:sz w:val="24"/>
                <w:highlight w:val="none"/>
              </w:rPr>
              <w:t>3</w:t>
            </w:r>
            <w:r>
              <w:rPr>
                <w:rFonts w:hint="eastAsia" w:ascii="宋体" w:hAnsi="宋体" w:eastAsia="宋体"/>
                <w:sz w:val="24"/>
                <w:highlight w:val="none"/>
              </w:rPr>
              <w:t>分；</w:t>
            </w:r>
          </w:p>
          <w:p>
            <w:pPr>
              <w:spacing w:line="360" w:lineRule="auto"/>
              <w:rPr>
                <w:rFonts w:ascii="宋体" w:hAnsi="宋体" w:eastAsia="宋体"/>
                <w:sz w:val="24"/>
                <w:highlight w:val="none"/>
              </w:rPr>
            </w:pPr>
            <w:r>
              <w:rPr>
                <w:rFonts w:hint="eastAsia" w:ascii="宋体" w:hAnsi="宋体" w:eastAsia="宋体"/>
                <w:sz w:val="24"/>
                <w:highlight w:val="none"/>
              </w:rPr>
              <w:t>（3）方案内容有缺项、思路不够清晰，理解空泛、合理性可行性差得</w:t>
            </w:r>
            <w:r>
              <w:rPr>
                <w:rFonts w:ascii="宋体" w:hAnsi="宋体" w:eastAsia="宋体"/>
                <w:sz w:val="24"/>
                <w:highlight w:val="none"/>
              </w:rPr>
              <w:t>1</w:t>
            </w:r>
            <w:r>
              <w:rPr>
                <w:rFonts w:hint="eastAsia" w:ascii="宋体" w:hAnsi="宋体" w:eastAsia="宋体"/>
                <w:sz w:val="24"/>
                <w:highlight w:val="none"/>
              </w:rPr>
              <w:t>分；</w:t>
            </w:r>
          </w:p>
          <w:p>
            <w:pPr>
              <w:spacing w:line="360" w:lineRule="auto"/>
              <w:rPr>
                <w:rFonts w:ascii="宋体" w:hAnsi="宋体" w:eastAsia="宋体"/>
                <w:sz w:val="24"/>
                <w:highlight w:val="none"/>
              </w:rPr>
            </w:pPr>
            <w:r>
              <w:rPr>
                <w:rFonts w:hint="eastAsia" w:ascii="宋体" w:hAnsi="宋体" w:eastAsia="宋体"/>
                <w:sz w:val="24"/>
                <w:highlight w:val="none"/>
              </w:rPr>
              <w:t>（4）不提供方案不得分。</w:t>
            </w:r>
          </w:p>
        </w:tc>
        <w:tc>
          <w:tcPr>
            <w:tcW w:w="392"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 w:val="24"/>
                <w:highlight w:val="none"/>
              </w:rPr>
            </w:pPr>
            <w:r>
              <w:rPr>
                <w:rFonts w:ascii="宋体" w:hAnsi="宋体" w:eastAsia="宋体"/>
                <w:sz w:val="24"/>
                <w:highlight w:val="none"/>
              </w:rPr>
              <w:t>6</w:t>
            </w:r>
            <w:r>
              <w:rPr>
                <w:rFonts w:hint="eastAsia" w:ascii="宋体" w:hAnsi="宋体" w:eastAsia="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36" w:type="pct"/>
            <w:vMerge w:val="continue"/>
            <w:tcBorders>
              <w:left w:val="single" w:color="000000" w:sz="4" w:space="0"/>
              <w:right w:val="single" w:color="000000" w:sz="4" w:space="0"/>
            </w:tcBorders>
            <w:tcMar>
              <w:top w:w="15" w:type="dxa"/>
              <w:left w:w="15" w:type="dxa"/>
              <w:bottom w:w="15" w:type="dxa"/>
              <w:right w:w="15" w:type="dxa"/>
            </w:tcMar>
            <w:vAlign w:val="center"/>
          </w:tcPr>
          <w:p>
            <w:pPr>
              <w:spacing w:line="360" w:lineRule="auto"/>
              <w:jc w:val="center"/>
              <w:rPr>
                <w:rFonts w:ascii="宋体" w:hAnsi="宋体" w:eastAsia="宋体"/>
                <w:sz w:val="24"/>
                <w:highlight w:val="none"/>
              </w:rPr>
            </w:pPr>
          </w:p>
        </w:tc>
        <w:tc>
          <w:tcPr>
            <w:tcW w:w="653"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 w:val="24"/>
                <w:highlight w:val="none"/>
              </w:rPr>
            </w:pPr>
            <w:r>
              <w:rPr>
                <w:rFonts w:ascii="宋体" w:hAnsi="宋体" w:eastAsia="宋体" w:cs="宋体"/>
                <w:sz w:val="24"/>
                <w:highlight w:val="none"/>
              </w:rPr>
              <w:t>技术解决方案</w:t>
            </w:r>
          </w:p>
        </w:tc>
        <w:tc>
          <w:tcPr>
            <w:tcW w:w="3417"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rPr>
                <w:rFonts w:ascii="宋体" w:hAnsi="宋体" w:eastAsia="宋体"/>
                <w:sz w:val="24"/>
                <w:highlight w:val="none"/>
              </w:rPr>
            </w:pPr>
            <w:r>
              <w:rPr>
                <w:rFonts w:hint="eastAsia" w:ascii="宋体" w:hAnsi="宋体" w:eastAsia="宋体"/>
                <w:sz w:val="24"/>
                <w:highlight w:val="none"/>
              </w:rPr>
              <w:t>1、投标人根据本项目的建设内容编写建设方案，主要从招标功能需求深化方面进行评审：</w:t>
            </w:r>
          </w:p>
          <w:p>
            <w:pPr>
              <w:spacing w:line="360" w:lineRule="auto"/>
              <w:rPr>
                <w:rFonts w:ascii="宋体" w:hAnsi="宋体" w:eastAsia="宋体"/>
                <w:sz w:val="24"/>
                <w:highlight w:val="none"/>
              </w:rPr>
            </w:pPr>
            <w:r>
              <w:rPr>
                <w:rFonts w:ascii="宋体" w:hAnsi="宋体" w:eastAsia="宋体"/>
                <w:sz w:val="24"/>
                <w:highlight w:val="none"/>
              </w:rPr>
              <w:t>（1）项目建设内容各功能模块基于招标需求深化设计得当、功能描述</w:t>
            </w:r>
            <w:r>
              <w:rPr>
                <w:rFonts w:hint="eastAsia" w:ascii="宋体" w:hAnsi="宋体" w:eastAsia="宋体"/>
                <w:sz w:val="24"/>
                <w:highlight w:val="none"/>
              </w:rPr>
              <w:t>与业务流程</w:t>
            </w:r>
            <w:r>
              <w:rPr>
                <w:rFonts w:ascii="宋体" w:hAnsi="宋体" w:eastAsia="宋体"/>
                <w:sz w:val="24"/>
                <w:highlight w:val="none"/>
              </w:rPr>
              <w:t>全面详细</w:t>
            </w:r>
            <w:r>
              <w:rPr>
                <w:rFonts w:hint="eastAsia" w:ascii="宋体" w:hAnsi="宋体" w:eastAsia="宋体"/>
                <w:sz w:val="24"/>
                <w:highlight w:val="none"/>
              </w:rPr>
              <w:t>、图文并茂</w:t>
            </w:r>
            <w:r>
              <w:rPr>
                <w:rFonts w:ascii="宋体" w:hAnsi="宋体" w:eastAsia="宋体"/>
                <w:sz w:val="24"/>
                <w:highlight w:val="none"/>
              </w:rPr>
              <w:t>，</w:t>
            </w:r>
            <w:r>
              <w:rPr>
                <w:rFonts w:hint="eastAsia" w:ascii="宋体" w:hAnsi="宋体" w:eastAsia="宋体"/>
                <w:sz w:val="24"/>
                <w:highlight w:val="none"/>
              </w:rPr>
              <w:t>得</w:t>
            </w:r>
            <w:r>
              <w:rPr>
                <w:rFonts w:ascii="宋体" w:hAnsi="宋体" w:eastAsia="宋体"/>
                <w:sz w:val="24"/>
                <w:highlight w:val="none"/>
              </w:rPr>
              <w:t>15分；</w:t>
            </w:r>
          </w:p>
          <w:p>
            <w:pPr>
              <w:spacing w:line="360" w:lineRule="auto"/>
              <w:rPr>
                <w:rFonts w:ascii="宋体" w:hAnsi="宋体" w:eastAsia="宋体"/>
                <w:sz w:val="24"/>
                <w:highlight w:val="none"/>
              </w:rPr>
            </w:pPr>
            <w:r>
              <w:rPr>
                <w:rFonts w:ascii="宋体" w:hAnsi="宋体" w:eastAsia="宋体"/>
                <w:sz w:val="24"/>
                <w:highlight w:val="none"/>
              </w:rPr>
              <w:t>（2）项目建设内容各功能模块基于招标需求深化设计较为得当、功能描述较为详细，</w:t>
            </w:r>
            <w:r>
              <w:rPr>
                <w:rFonts w:hint="eastAsia" w:ascii="宋体" w:hAnsi="宋体" w:eastAsia="宋体"/>
                <w:sz w:val="24"/>
                <w:highlight w:val="none"/>
              </w:rPr>
              <w:t>得</w:t>
            </w:r>
            <w:r>
              <w:rPr>
                <w:rFonts w:ascii="宋体" w:hAnsi="宋体" w:eastAsia="宋体"/>
                <w:sz w:val="24"/>
                <w:highlight w:val="none"/>
              </w:rPr>
              <w:t>10分；</w:t>
            </w:r>
          </w:p>
          <w:p>
            <w:pPr>
              <w:spacing w:line="360" w:lineRule="auto"/>
              <w:rPr>
                <w:rFonts w:ascii="宋体" w:hAnsi="宋体" w:eastAsia="宋体"/>
                <w:sz w:val="24"/>
                <w:highlight w:val="none"/>
              </w:rPr>
            </w:pPr>
            <w:r>
              <w:rPr>
                <w:rFonts w:ascii="宋体" w:hAnsi="宋体" w:eastAsia="宋体"/>
                <w:sz w:val="24"/>
                <w:highlight w:val="none"/>
              </w:rPr>
              <w:t>（3）项目建设内容各功能模块基于招标需求深化设计</w:t>
            </w:r>
            <w:r>
              <w:rPr>
                <w:rFonts w:hint="eastAsia" w:ascii="宋体" w:hAnsi="宋体" w:eastAsia="宋体"/>
                <w:sz w:val="24"/>
                <w:highlight w:val="none"/>
              </w:rPr>
              <w:t>有缺项、</w:t>
            </w:r>
            <w:r>
              <w:rPr>
                <w:rFonts w:ascii="宋体" w:hAnsi="宋体" w:eastAsia="宋体"/>
                <w:sz w:val="24"/>
                <w:highlight w:val="none"/>
              </w:rPr>
              <w:t>欠得当、功能描述简单，</w:t>
            </w:r>
            <w:r>
              <w:rPr>
                <w:rFonts w:hint="eastAsia" w:ascii="宋体" w:hAnsi="宋体" w:eastAsia="宋体"/>
                <w:sz w:val="24"/>
                <w:highlight w:val="none"/>
              </w:rPr>
              <w:t>得</w:t>
            </w:r>
            <w:r>
              <w:rPr>
                <w:rFonts w:ascii="宋体" w:hAnsi="宋体" w:eastAsia="宋体"/>
                <w:sz w:val="24"/>
                <w:highlight w:val="none"/>
              </w:rPr>
              <w:t>5分；</w:t>
            </w:r>
          </w:p>
          <w:p>
            <w:pPr>
              <w:spacing w:line="360" w:lineRule="auto"/>
              <w:rPr>
                <w:rFonts w:ascii="宋体" w:hAnsi="宋体" w:eastAsia="宋体"/>
                <w:sz w:val="24"/>
                <w:highlight w:val="none"/>
              </w:rPr>
            </w:pPr>
            <w:r>
              <w:rPr>
                <w:rFonts w:ascii="宋体" w:hAnsi="宋体" w:eastAsia="宋体"/>
                <w:sz w:val="24"/>
                <w:highlight w:val="none"/>
              </w:rPr>
              <w:t>（4）未提供不</w:t>
            </w:r>
            <w:r>
              <w:rPr>
                <w:rFonts w:hint="eastAsia" w:ascii="宋体" w:hAnsi="宋体" w:eastAsia="宋体"/>
                <w:sz w:val="24"/>
                <w:highlight w:val="none"/>
              </w:rPr>
              <w:t>得</w:t>
            </w:r>
            <w:r>
              <w:rPr>
                <w:rFonts w:ascii="宋体" w:hAnsi="宋体" w:eastAsia="宋体"/>
                <w:sz w:val="24"/>
                <w:highlight w:val="none"/>
              </w:rPr>
              <w:t>分。</w:t>
            </w:r>
          </w:p>
          <w:p>
            <w:pPr>
              <w:spacing w:line="360" w:lineRule="auto"/>
              <w:rPr>
                <w:rFonts w:ascii="宋体" w:hAnsi="宋体" w:eastAsia="宋体"/>
                <w:sz w:val="24"/>
                <w:highlight w:val="none"/>
              </w:rPr>
            </w:pPr>
            <w:r>
              <w:rPr>
                <w:rFonts w:ascii="宋体" w:hAnsi="宋体" w:eastAsia="宋体"/>
                <w:sz w:val="24"/>
                <w:highlight w:val="none"/>
              </w:rPr>
              <w:t>2</w:t>
            </w:r>
            <w:r>
              <w:rPr>
                <w:rFonts w:hint="eastAsia" w:ascii="宋体" w:hAnsi="宋体" w:eastAsia="宋体"/>
                <w:sz w:val="24"/>
                <w:highlight w:val="none"/>
              </w:rPr>
              <w:t>、根据投标人提供的报考高并发解决方案进行评分：</w:t>
            </w:r>
          </w:p>
          <w:p>
            <w:pPr>
              <w:spacing w:line="360" w:lineRule="auto"/>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支持硬件横向扩展或资源池延展，同时具备容器化实例扩展能力提升平台业务应用高并发访问性能，满足10万人同时在线，提供方案和证明材料的，</w:t>
            </w:r>
            <w:r>
              <w:rPr>
                <w:rFonts w:hint="eastAsia" w:ascii="宋体" w:hAnsi="宋体" w:eastAsia="宋体"/>
                <w:sz w:val="24"/>
                <w:highlight w:val="none"/>
              </w:rPr>
              <w:t>得</w:t>
            </w:r>
            <w:r>
              <w:rPr>
                <w:rFonts w:ascii="宋体" w:hAnsi="宋体" w:eastAsia="宋体"/>
                <w:sz w:val="24"/>
                <w:highlight w:val="none"/>
              </w:rPr>
              <w:t>5分，否则不</w:t>
            </w:r>
            <w:r>
              <w:rPr>
                <w:rFonts w:hint="eastAsia" w:ascii="宋体" w:hAnsi="宋体" w:eastAsia="宋体"/>
                <w:sz w:val="24"/>
                <w:highlight w:val="none"/>
              </w:rPr>
              <w:t>得</w:t>
            </w:r>
            <w:r>
              <w:rPr>
                <w:rFonts w:ascii="宋体" w:hAnsi="宋体" w:eastAsia="宋体"/>
                <w:sz w:val="24"/>
                <w:highlight w:val="none"/>
              </w:rPr>
              <w:t>分；</w:t>
            </w:r>
          </w:p>
          <w:p>
            <w:pPr>
              <w:spacing w:line="360" w:lineRule="auto"/>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仅具备容器实例扩展提升平台业务应用高并发访问性能，满足10万人同时在线，提供方案和证明材料的，</w:t>
            </w:r>
            <w:r>
              <w:rPr>
                <w:rFonts w:hint="eastAsia" w:ascii="宋体" w:hAnsi="宋体" w:eastAsia="宋体"/>
                <w:sz w:val="24"/>
                <w:highlight w:val="none"/>
              </w:rPr>
              <w:t>得</w:t>
            </w:r>
            <w:r>
              <w:rPr>
                <w:rFonts w:ascii="宋体" w:hAnsi="宋体" w:eastAsia="宋体"/>
                <w:sz w:val="24"/>
                <w:highlight w:val="none"/>
              </w:rPr>
              <w:t>3分，否则不</w:t>
            </w:r>
            <w:r>
              <w:rPr>
                <w:rFonts w:hint="eastAsia" w:ascii="宋体" w:hAnsi="宋体" w:eastAsia="宋体"/>
                <w:sz w:val="24"/>
                <w:highlight w:val="none"/>
              </w:rPr>
              <w:t>得</w:t>
            </w:r>
            <w:r>
              <w:rPr>
                <w:rFonts w:ascii="宋体" w:hAnsi="宋体" w:eastAsia="宋体"/>
                <w:sz w:val="24"/>
                <w:highlight w:val="none"/>
              </w:rPr>
              <w:t>分；</w:t>
            </w:r>
          </w:p>
          <w:p>
            <w:pPr>
              <w:spacing w:line="360" w:lineRule="auto"/>
              <w:rPr>
                <w:rFonts w:ascii="宋体" w:hAnsi="宋体" w:eastAsia="宋体"/>
                <w:sz w:val="24"/>
                <w:highlight w:val="none"/>
              </w:rPr>
            </w:pPr>
            <w:r>
              <w:rPr>
                <w:rFonts w:hint="eastAsia" w:ascii="宋体" w:hAnsi="宋体" w:eastAsia="宋体"/>
                <w:sz w:val="24"/>
                <w:highlight w:val="none"/>
              </w:rPr>
              <w:t>（3）</w:t>
            </w:r>
            <w:r>
              <w:rPr>
                <w:rFonts w:ascii="宋体" w:hAnsi="宋体" w:eastAsia="宋体"/>
                <w:sz w:val="24"/>
                <w:highlight w:val="none"/>
              </w:rPr>
              <w:t>仅具备硬件资源扩展提升平台业务应用高并发访问性能，满足10万人同时在线，提供方案和证明材料的，</w:t>
            </w:r>
            <w:r>
              <w:rPr>
                <w:rFonts w:hint="eastAsia" w:ascii="宋体" w:hAnsi="宋体" w:eastAsia="宋体"/>
                <w:sz w:val="24"/>
                <w:highlight w:val="none"/>
              </w:rPr>
              <w:t>得</w:t>
            </w:r>
            <w:r>
              <w:rPr>
                <w:rFonts w:ascii="宋体" w:hAnsi="宋体" w:eastAsia="宋体"/>
                <w:sz w:val="24"/>
                <w:highlight w:val="none"/>
              </w:rPr>
              <w:t>1分；否则不</w:t>
            </w:r>
            <w:r>
              <w:rPr>
                <w:rFonts w:hint="eastAsia" w:ascii="宋体" w:hAnsi="宋体" w:eastAsia="宋体"/>
                <w:sz w:val="24"/>
                <w:highlight w:val="none"/>
              </w:rPr>
              <w:t>得</w:t>
            </w:r>
            <w:r>
              <w:rPr>
                <w:rFonts w:ascii="宋体" w:hAnsi="宋体" w:eastAsia="宋体"/>
                <w:sz w:val="24"/>
                <w:highlight w:val="none"/>
              </w:rPr>
              <w:t>分；</w:t>
            </w:r>
          </w:p>
          <w:p>
            <w:pPr>
              <w:spacing w:line="360" w:lineRule="auto"/>
              <w:rPr>
                <w:rFonts w:ascii="宋体" w:hAnsi="宋体" w:eastAsia="宋体"/>
                <w:sz w:val="24"/>
                <w:highlight w:val="none"/>
              </w:rPr>
            </w:pPr>
            <w:r>
              <w:rPr>
                <w:rFonts w:hint="eastAsia" w:ascii="宋体" w:hAnsi="宋体" w:eastAsia="宋体"/>
                <w:sz w:val="24"/>
                <w:highlight w:val="none"/>
              </w:rPr>
              <w:t>（4）</w:t>
            </w:r>
            <w:r>
              <w:rPr>
                <w:rFonts w:ascii="宋体" w:hAnsi="宋体" w:eastAsia="宋体"/>
                <w:sz w:val="24"/>
                <w:highlight w:val="none"/>
              </w:rPr>
              <w:t>未提供方案的，不</w:t>
            </w:r>
            <w:r>
              <w:rPr>
                <w:rFonts w:hint="eastAsia" w:ascii="宋体" w:hAnsi="宋体" w:eastAsia="宋体"/>
                <w:sz w:val="24"/>
                <w:highlight w:val="none"/>
              </w:rPr>
              <w:t>得</w:t>
            </w:r>
            <w:r>
              <w:rPr>
                <w:rFonts w:ascii="宋体" w:hAnsi="宋体" w:eastAsia="宋体"/>
                <w:sz w:val="24"/>
                <w:highlight w:val="none"/>
              </w:rPr>
              <w:t>分。</w:t>
            </w:r>
          </w:p>
        </w:tc>
        <w:tc>
          <w:tcPr>
            <w:tcW w:w="392"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 w:val="24"/>
                <w:highlight w:val="none"/>
              </w:rPr>
            </w:pPr>
            <w:r>
              <w:rPr>
                <w:rFonts w:ascii="宋体" w:hAnsi="宋体" w:eastAsia="宋体"/>
                <w:sz w:val="24"/>
                <w:highlight w:val="none"/>
              </w:rPr>
              <w:t>20</w:t>
            </w:r>
            <w:r>
              <w:rPr>
                <w:rFonts w:hint="eastAsia" w:ascii="宋体" w:hAnsi="宋体" w:eastAsia="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36" w:type="pct"/>
            <w:vMerge w:val="continue"/>
            <w:tcBorders>
              <w:left w:val="single" w:color="000000" w:sz="4" w:space="0"/>
              <w:right w:val="single" w:color="000000" w:sz="4" w:space="0"/>
            </w:tcBorders>
            <w:tcMar>
              <w:top w:w="15" w:type="dxa"/>
              <w:left w:w="15" w:type="dxa"/>
              <w:bottom w:w="15" w:type="dxa"/>
              <w:right w:w="15" w:type="dxa"/>
            </w:tcMar>
            <w:vAlign w:val="center"/>
          </w:tcPr>
          <w:p>
            <w:pPr>
              <w:spacing w:line="360" w:lineRule="auto"/>
              <w:jc w:val="center"/>
              <w:rPr>
                <w:rFonts w:ascii="宋体" w:hAnsi="宋体" w:eastAsia="宋体"/>
                <w:sz w:val="24"/>
                <w:highlight w:val="none"/>
              </w:rPr>
            </w:pPr>
          </w:p>
        </w:tc>
        <w:tc>
          <w:tcPr>
            <w:tcW w:w="653"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 w:val="24"/>
                <w:highlight w:val="none"/>
              </w:rPr>
            </w:pPr>
            <w:r>
              <w:rPr>
                <w:rFonts w:hint="eastAsia" w:ascii="宋体" w:hAnsi="宋体" w:eastAsia="宋体"/>
                <w:sz w:val="24"/>
                <w:highlight w:val="none"/>
              </w:rPr>
              <w:t>项目实施及售后方案</w:t>
            </w:r>
          </w:p>
        </w:tc>
        <w:tc>
          <w:tcPr>
            <w:tcW w:w="3417"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rPr>
                <w:rFonts w:ascii="宋体" w:hAnsi="宋体" w:eastAsia="宋体"/>
                <w:sz w:val="24"/>
                <w:highlight w:val="none"/>
              </w:rPr>
            </w:pPr>
            <w:r>
              <w:rPr>
                <w:rFonts w:hint="eastAsia" w:ascii="宋体" w:hAnsi="宋体" w:eastAsia="宋体"/>
                <w:sz w:val="24"/>
                <w:highlight w:val="none"/>
              </w:rPr>
              <w:t>1、投标人根据本项目的特点编写具有针对性的项目实施方案，主要从进度安排、实施项目组织、管理方案、项目实施体制、项目进度及保障、试运行及验收方案进行评审：</w:t>
            </w:r>
          </w:p>
          <w:p>
            <w:pPr>
              <w:spacing w:line="360" w:lineRule="auto"/>
              <w:rPr>
                <w:rFonts w:ascii="宋体" w:hAnsi="宋体" w:eastAsia="宋体"/>
                <w:sz w:val="24"/>
                <w:highlight w:val="none"/>
              </w:rPr>
            </w:pPr>
            <w:r>
              <w:rPr>
                <w:rFonts w:hint="eastAsia" w:ascii="宋体" w:hAnsi="宋体" w:eastAsia="宋体"/>
                <w:sz w:val="24"/>
                <w:highlight w:val="none"/>
              </w:rPr>
              <w:t>（1）进度安排合理，能充分保证项目工期和质量；有详实的实施项目组织、管理方案、项目实施体制、项目进度及保障、试运行及验收方案，项目小组成员分工详实、人员配置清晰的得</w:t>
            </w:r>
            <w:r>
              <w:rPr>
                <w:rFonts w:ascii="宋体" w:hAnsi="宋体" w:eastAsia="宋体"/>
                <w:sz w:val="24"/>
                <w:highlight w:val="none"/>
              </w:rPr>
              <w:t>5分</w:t>
            </w:r>
            <w:r>
              <w:rPr>
                <w:rFonts w:hint="eastAsia" w:ascii="宋体" w:hAnsi="宋体" w:eastAsia="宋体"/>
                <w:sz w:val="24"/>
                <w:highlight w:val="none"/>
              </w:rPr>
              <w:t>；</w:t>
            </w:r>
          </w:p>
          <w:p>
            <w:pPr>
              <w:spacing w:line="360" w:lineRule="auto"/>
              <w:rPr>
                <w:rFonts w:ascii="宋体" w:hAnsi="宋体" w:eastAsia="宋体"/>
                <w:sz w:val="24"/>
                <w:highlight w:val="none"/>
              </w:rPr>
            </w:pPr>
            <w:r>
              <w:rPr>
                <w:rFonts w:hint="eastAsia" w:ascii="宋体" w:hAnsi="宋体" w:eastAsia="宋体"/>
                <w:sz w:val="24"/>
                <w:highlight w:val="none"/>
              </w:rPr>
              <w:t>（2）进度安排基本合理，基本能保证项目工期和质量；有基本完整的实施项目组织、管理方案、项目实施体制、项目进度及保障、试运行及验收方案，项目小组成员分工基本完整、人员配置基本清晰的得</w:t>
            </w:r>
            <w:r>
              <w:rPr>
                <w:rFonts w:ascii="宋体" w:hAnsi="宋体" w:eastAsia="宋体"/>
                <w:sz w:val="24"/>
                <w:highlight w:val="none"/>
              </w:rPr>
              <w:t>2</w:t>
            </w:r>
            <w:r>
              <w:rPr>
                <w:rFonts w:hint="eastAsia" w:ascii="宋体" w:hAnsi="宋体" w:eastAsia="宋体"/>
                <w:sz w:val="24"/>
                <w:highlight w:val="none"/>
              </w:rPr>
              <w:t>分；</w:t>
            </w:r>
          </w:p>
          <w:p>
            <w:pPr>
              <w:spacing w:line="360" w:lineRule="auto"/>
              <w:rPr>
                <w:rFonts w:ascii="宋体" w:hAnsi="宋体" w:eastAsia="宋体"/>
                <w:sz w:val="24"/>
                <w:highlight w:val="none"/>
              </w:rPr>
            </w:pPr>
            <w:r>
              <w:rPr>
                <w:rFonts w:hint="eastAsia" w:ascii="宋体" w:hAnsi="宋体" w:eastAsia="宋体"/>
                <w:sz w:val="24"/>
                <w:highlight w:val="none"/>
              </w:rPr>
              <w:t>（3）内容不够详细或欠合理或缺漏项得1分；</w:t>
            </w:r>
          </w:p>
          <w:p>
            <w:pPr>
              <w:spacing w:line="360" w:lineRule="auto"/>
              <w:rPr>
                <w:rFonts w:ascii="宋体" w:hAnsi="宋体" w:eastAsia="宋体"/>
                <w:sz w:val="24"/>
                <w:highlight w:val="none"/>
              </w:rPr>
            </w:pPr>
            <w:r>
              <w:rPr>
                <w:rFonts w:hint="eastAsia" w:ascii="宋体" w:hAnsi="宋体" w:eastAsia="宋体"/>
                <w:sz w:val="24"/>
                <w:highlight w:val="none"/>
              </w:rPr>
              <w:t>（4）不提供方案不得分。</w:t>
            </w:r>
          </w:p>
          <w:p>
            <w:pPr>
              <w:spacing w:line="360" w:lineRule="auto"/>
              <w:rPr>
                <w:rFonts w:ascii="宋体" w:hAnsi="宋体" w:eastAsia="宋体"/>
                <w:sz w:val="24"/>
                <w:highlight w:val="none"/>
              </w:rPr>
            </w:pPr>
            <w:r>
              <w:rPr>
                <w:rFonts w:hint="eastAsia" w:ascii="宋体" w:hAnsi="宋体" w:eastAsia="宋体"/>
                <w:sz w:val="24"/>
                <w:highlight w:val="none"/>
              </w:rPr>
              <w:t>2、投标人根据本项目特点编写具有针对性的售后服务方案，方案内容包含但不限于运维服务体系、服务流程、故障响应安排，应急保障措施：</w:t>
            </w:r>
          </w:p>
          <w:p>
            <w:pPr>
              <w:spacing w:line="360" w:lineRule="auto"/>
              <w:rPr>
                <w:rFonts w:ascii="宋体" w:hAnsi="宋体" w:eastAsia="宋体"/>
                <w:sz w:val="24"/>
                <w:highlight w:val="none"/>
              </w:rPr>
            </w:pPr>
            <w:r>
              <w:rPr>
                <w:rFonts w:hint="eastAsia" w:ascii="宋体" w:hAnsi="宋体" w:eastAsia="宋体"/>
                <w:sz w:val="24"/>
                <w:highlight w:val="none"/>
              </w:rPr>
              <w:t>（1）服务流程完善、故障响应安排合理，应急保障措施可行度高的得</w:t>
            </w:r>
            <w:r>
              <w:rPr>
                <w:rFonts w:ascii="宋体" w:hAnsi="宋体" w:eastAsia="宋体"/>
                <w:sz w:val="24"/>
                <w:highlight w:val="none"/>
              </w:rPr>
              <w:t>4分；</w:t>
            </w:r>
          </w:p>
          <w:p>
            <w:pPr>
              <w:spacing w:line="360" w:lineRule="auto"/>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服务流程较完善、故障响应安排较合理，应急保障措施可行度较高的得2分；</w:t>
            </w:r>
          </w:p>
          <w:p>
            <w:pPr>
              <w:spacing w:line="360" w:lineRule="auto"/>
              <w:rPr>
                <w:rFonts w:ascii="宋体" w:hAnsi="宋体" w:eastAsia="宋体"/>
                <w:sz w:val="24"/>
                <w:highlight w:val="none"/>
              </w:rPr>
            </w:pPr>
            <w:r>
              <w:rPr>
                <w:rFonts w:hint="eastAsia" w:ascii="宋体" w:hAnsi="宋体" w:eastAsia="宋体"/>
                <w:sz w:val="24"/>
                <w:highlight w:val="none"/>
              </w:rPr>
              <w:t>（3）</w:t>
            </w:r>
            <w:r>
              <w:rPr>
                <w:rFonts w:ascii="宋体" w:hAnsi="宋体" w:eastAsia="宋体"/>
                <w:sz w:val="24"/>
                <w:highlight w:val="none"/>
              </w:rPr>
              <w:t>方案有缺项，内容与项目切合度一般的得1分；</w:t>
            </w:r>
          </w:p>
          <w:p>
            <w:pPr>
              <w:spacing w:line="360" w:lineRule="auto"/>
              <w:rPr>
                <w:rFonts w:ascii="宋体" w:hAnsi="宋体" w:eastAsia="宋体"/>
                <w:sz w:val="24"/>
                <w:highlight w:val="none"/>
              </w:rPr>
            </w:pPr>
            <w:r>
              <w:rPr>
                <w:rFonts w:hint="eastAsia" w:ascii="宋体" w:hAnsi="宋体" w:eastAsia="宋体"/>
                <w:sz w:val="24"/>
                <w:highlight w:val="none"/>
              </w:rPr>
              <w:t>（4）不</w:t>
            </w:r>
            <w:r>
              <w:rPr>
                <w:rFonts w:ascii="宋体" w:hAnsi="宋体" w:eastAsia="宋体"/>
                <w:sz w:val="24"/>
                <w:highlight w:val="none"/>
              </w:rPr>
              <w:t>提供的不得分。</w:t>
            </w:r>
          </w:p>
        </w:tc>
        <w:tc>
          <w:tcPr>
            <w:tcW w:w="392"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 w:val="24"/>
                <w:highlight w:val="none"/>
              </w:rPr>
            </w:pPr>
            <w:r>
              <w:rPr>
                <w:rFonts w:ascii="宋体" w:hAnsi="宋体" w:eastAsia="宋体"/>
                <w:sz w:val="24"/>
                <w:highlight w:val="none"/>
              </w:rPr>
              <w:t>9</w:t>
            </w:r>
            <w:r>
              <w:rPr>
                <w:rFonts w:hint="eastAsia" w:ascii="宋体" w:hAnsi="宋体" w:eastAsia="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536" w:type="pct"/>
            <w:vMerge w:val="restart"/>
            <w:tcBorders>
              <w:left w:val="single" w:color="000000" w:sz="4" w:space="0"/>
              <w:right w:val="single" w:color="000000" w:sz="4" w:space="0"/>
            </w:tcBorders>
            <w:tcMar>
              <w:top w:w="15" w:type="dxa"/>
              <w:left w:w="15" w:type="dxa"/>
              <w:bottom w:w="15" w:type="dxa"/>
              <w:right w:w="15" w:type="dxa"/>
            </w:tcMar>
            <w:vAlign w:val="center"/>
          </w:tcPr>
          <w:p>
            <w:pPr>
              <w:spacing w:line="360" w:lineRule="auto"/>
              <w:jc w:val="center"/>
              <w:rPr>
                <w:rFonts w:ascii="宋体" w:hAnsi="宋体" w:eastAsia="宋体"/>
                <w:sz w:val="24"/>
                <w:highlight w:val="none"/>
              </w:rPr>
            </w:pPr>
            <w:r>
              <w:rPr>
                <w:rFonts w:hint="eastAsia" w:ascii="宋体" w:hAnsi="宋体" w:eastAsia="宋体"/>
                <w:sz w:val="24"/>
                <w:highlight w:val="none"/>
              </w:rPr>
              <w:t>商务分</w:t>
            </w:r>
          </w:p>
        </w:tc>
        <w:tc>
          <w:tcPr>
            <w:tcW w:w="653"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 w:val="24"/>
                <w:highlight w:val="none"/>
              </w:rPr>
            </w:pPr>
            <w:r>
              <w:rPr>
                <w:rFonts w:hint="eastAsia" w:ascii="宋体" w:hAnsi="宋体" w:eastAsia="宋体"/>
                <w:sz w:val="24"/>
                <w:highlight w:val="none"/>
              </w:rPr>
              <w:t>综合实力</w:t>
            </w:r>
          </w:p>
        </w:tc>
        <w:tc>
          <w:tcPr>
            <w:tcW w:w="3417"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rPr>
                <w:rFonts w:ascii="宋体" w:hAnsi="宋体" w:eastAsia="宋体"/>
                <w:sz w:val="24"/>
                <w:highlight w:val="none"/>
              </w:rPr>
            </w:pPr>
            <w:r>
              <w:rPr>
                <w:rFonts w:hint="eastAsia" w:ascii="宋体" w:hAnsi="宋体" w:eastAsia="宋体"/>
                <w:sz w:val="24"/>
                <w:highlight w:val="none"/>
              </w:rPr>
              <w:t>1、投标人具有与行业相符的质量管理体系、</w:t>
            </w:r>
            <w:r>
              <w:rPr>
                <w:rFonts w:ascii="宋体" w:hAnsi="宋体" w:eastAsia="宋体"/>
                <w:sz w:val="24"/>
                <w:highlight w:val="none"/>
              </w:rPr>
              <w:t>信息安全管理体系认证证书、业务连续性管理体系证书，每提供一个</w:t>
            </w:r>
            <w:r>
              <w:rPr>
                <w:rFonts w:hint="eastAsia" w:ascii="宋体" w:hAnsi="宋体" w:eastAsia="宋体"/>
                <w:sz w:val="24"/>
                <w:highlight w:val="none"/>
              </w:rPr>
              <w:t>得</w:t>
            </w:r>
            <w:r>
              <w:rPr>
                <w:rFonts w:ascii="宋体" w:hAnsi="宋体" w:eastAsia="宋体"/>
                <w:sz w:val="24"/>
                <w:highlight w:val="none"/>
              </w:rPr>
              <w:t>1分，最多</w:t>
            </w:r>
            <w:r>
              <w:rPr>
                <w:rFonts w:hint="eastAsia" w:ascii="宋体" w:hAnsi="宋体" w:eastAsia="宋体"/>
                <w:sz w:val="24"/>
                <w:highlight w:val="none"/>
              </w:rPr>
              <w:t>得</w:t>
            </w:r>
            <w:r>
              <w:rPr>
                <w:rFonts w:ascii="宋体" w:hAnsi="宋体" w:eastAsia="宋体"/>
                <w:sz w:val="24"/>
                <w:highlight w:val="none"/>
              </w:rPr>
              <w:t>3分。（提供证书复印件加盖公章证明</w:t>
            </w:r>
            <w:r>
              <w:rPr>
                <w:rFonts w:hint="eastAsia" w:ascii="宋体" w:hAnsi="宋体" w:eastAsia="宋体"/>
                <w:sz w:val="24"/>
                <w:highlight w:val="none"/>
              </w:rPr>
              <w:t>。）</w:t>
            </w:r>
          </w:p>
          <w:p>
            <w:pPr>
              <w:spacing w:line="360" w:lineRule="auto"/>
              <w:rPr>
                <w:rFonts w:ascii="宋体" w:hAnsi="宋体" w:eastAsia="宋体"/>
                <w:sz w:val="24"/>
                <w:highlight w:val="none"/>
              </w:rPr>
            </w:pPr>
            <w:r>
              <w:rPr>
                <w:rFonts w:ascii="宋体" w:hAnsi="宋体" w:eastAsia="宋体"/>
                <w:sz w:val="24"/>
                <w:highlight w:val="none"/>
              </w:rPr>
              <w:t>2、投标人具有软件能力成熟度模型CMMI5认证证书得3分，CMMI4 以下认证证书得1分，未提供不得分。（提供证书复印件加盖公章证明</w:t>
            </w:r>
            <w:r>
              <w:rPr>
                <w:rFonts w:hint="eastAsia" w:ascii="宋体" w:hAnsi="宋体" w:eastAsia="宋体"/>
                <w:sz w:val="24"/>
                <w:highlight w:val="none"/>
              </w:rPr>
              <w:t>。）</w:t>
            </w:r>
          </w:p>
          <w:p>
            <w:pPr>
              <w:spacing w:line="360" w:lineRule="auto"/>
              <w:rPr>
                <w:rFonts w:ascii="宋体" w:hAnsi="宋体" w:eastAsia="宋体"/>
                <w:sz w:val="24"/>
                <w:highlight w:val="none"/>
              </w:rPr>
            </w:pPr>
            <w:r>
              <w:rPr>
                <w:rFonts w:ascii="宋体" w:hAnsi="宋体" w:eastAsia="宋体"/>
                <w:sz w:val="24"/>
                <w:highlight w:val="none"/>
              </w:rPr>
              <w:t>3、投标人具有软件服务商交付能力一级证书得3分，二级以下证书得1分，未提供不得分。（提供证书复印件加盖公章证明</w:t>
            </w:r>
            <w:r>
              <w:rPr>
                <w:rFonts w:hint="eastAsia" w:ascii="宋体" w:hAnsi="宋体" w:eastAsia="宋体"/>
                <w:sz w:val="24"/>
                <w:highlight w:val="none"/>
              </w:rPr>
              <w:t>。</w:t>
            </w:r>
            <w:r>
              <w:rPr>
                <w:rFonts w:ascii="宋体" w:hAnsi="宋体" w:eastAsia="宋体"/>
                <w:sz w:val="24"/>
                <w:highlight w:val="none"/>
              </w:rPr>
              <w:t>）</w:t>
            </w:r>
          </w:p>
        </w:tc>
        <w:tc>
          <w:tcPr>
            <w:tcW w:w="392"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 w:val="24"/>
                <w:highlight w:val="none"/>
              </w:rPr>
            </w:pPr>
            <w:r>
              <w:rPr>
                <w:rFonts w:ascii="宋体" w:hAnsi="宋体" w:eastAsia="宋体"/>
                <w:sz w:val="24"/>
                <w:highlight w:val="none"/>
              </w:rPr>
              <w:t>9</w:t>
            </w:r>
            <w:r>
              <w:rPr>
                <w:rFonts w:hint="eastAsia" w:ascii="宋体" w:hAnsi="宋体" w:eastAsia="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536" w:type="pct"/>
            <w:vMerge w:val="continue"/>
            <w:tcBorders>
              <w:left w:val="single" w:color="000000" w:sz="4" w:space="0"/>
              <w:right w:val="single" w:color="000000" w:sz="4" w:space="0"/>
            </w:tcBorders>
            <w:tcMar>
              <w:top w:w="15" w:type="dxa"/>
              <w:left w:w="15" w:type="dxa"/>
              <w:bottom w:w="15" w:type="dxa"/>
              <w:right w:w="15" w:type="dxa"/>
            </w:tcMar>
            <w:vAlign w:val="center"/>
          </w:tcPr>
          <w:p>
            <w:pPr>
              <w:spacing w:line="360" w:lineRule="auto"/>
              <w:jc w:val="center"/>
              <w:rPr>
                <w:rFonts w:ascii="宋体" w:hAnsi="宋体" w:eastAsia="宋体"/>
                <w:sz w:val="24"/>
                <w:highlight w:val="none"/>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99"/>
              <w:ind w:firstLine="0"/>
              <w:jc w:val="center"/>
              <w:rPr>
                <w:rFonts w:ascii="宋体" w:hAnsi="宋体" w:eastAsia="宋体"/>
                <w:sz w:val="24"/>
                <w:szCs w:val="24"/>
                <w:highlight w:val="none"/>
              </w:rPr>
            </w:pPr>
            <w:r>
              <w:rPr>
                <w:rFonts w:hint="eastAsia" w:ascii="宋体" w:hAnsi="宋体" w:eastAsia="宋体"/>
                <w:sz w:val="24"/>
                <w:szCs w:val="24"/>
                <w:highlight w:val="none"/>
              </w:rPr>
              <w:t>安全能力</w:t>
            </w:r>
          </w:p>
        </w:tc>
        <w:tc>
          <w:tcPr>
            <w:tcW w:w="3417"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rPr>
                <w:rFonts w:ascii="宋体" w:hAnsi="宋体" w:eastAsia="宋体"/>
                <w:sz w:val="24"/>
                <w:highlight w:val="none"/>
              </w:rPr>
            </w:pPr>
            <w:r>
              <w:rPr>
                <w:rFonts w:hint="eastAsia" w:ascii="宋体" w:hAnsi="宋体" w:eastAsia="宋体"/>
                <w:sz w:val="24"/>
                <w:highlight w:val="none"/>
              </w:rPr>
              <w:t>1、投标人具有</w:t>
            </w:r>
            <w:r>
              <w:rPr>
                <w:rFonts w:ascii="宋体" w:hAnsi="宋体" w:eastAsia="宋体"/>
                <w:sz w:val="24"/>
                <w:highlight w:val="none"/>
              </w:rPr>
              <w:t>CCRC信息安全服务资质认证证书（信息系统安全集成、软件安全开发、信息系统安全运维），每项一级资质得3分，每项二级以下资质得1分，本项最高得9分，未提供不得分。（提供证书复印件加盖公章证明</w:t>
            </w:r>
            <w:r>
              <w:rPr>
                <w:rFonts w:hint="eastAsia" w:ascii="宋体" w:hAnsi="宋体" w:eastAsia="宋体"/>
                <w:sz w:val="24"/>
                <w:highlight w:val="none"/>
              </w:rPr>
              <w:t>。</w:t>
            </w:r>
            <w:r>
              <w:rPr>
                <w:rFonts w:ascii="宋体" w:hAnsi="宋体" w:eastAsia="宋体"/>
                <w:sz w:val="24"/>
                <w:highlight w:val="none"/>
              </w:rPr>
              <w:t>）</w:t>
            </w:r>
          </w:p>
          <w:p>
            <w:pPr>
              <w:spacing w:line="360" w:lineRule="auto"/>
              <w:rPr>
                <w:rFonts w:ascii="宋体" w:hAnsi="宋体" w:eastAsia="宋体"/>
                <w:sz w:val="24"/>
                <w:highlight w:val="none"/>
              </w:rPr>
            </w:pPr>
            <w:r>
              <w:rPr>
                <w:rFonts w:hint="eastAsia" w:ascii="宋体" w:hAnsi="宋体" w:eastAsia="宋体" w:cs="宋体"/>
                <w:sz w:val="24"/>
                <w:highlight w:val="none"/>
              </w:rPr>
              <w:t>2、投标人曾开发类似信息化项目具备信息系统安全等级保护（网络安全等级保护）三级备案证明及等保测评报告得</w:t>
            </w:r>
            <w:r>
              <w:rPr>
                <w:rFonts w:ascii="宋体" w:hAnsi="宋体" w:eastAsia="宋体" w:cs="宋体"/>
                <w:sz w:val="24"/>
                <w:highlight w:val="none"/>
              </w:rPr>
              <w:t>3分。</w:t>
            </w:r>
            <w:r>
              <w:rPr>
                <w:rFonts w:ascii="宋体" w:hAnsi="宋体" w:eastAsia="宋体"/>
                <w:sz w:val="24"/>
                <w:highlight w:val="none"/>
              </w:rPr>
              <w:t>（提供</w:t>
            </w:r>
            <w:r>
              <w:rPr>
                <w:rFonts w:hint="eastAsia" w:ascii="宋体" w:hAnsi="宋体" w:eastAsia="宋体"/>
                <w:sz w:val="24"/>
                <w:highlight w:val="none"/>
              </w:rPr>
              <w:t>合同复印件、等级保护三级备案证明复印件及等保测评报告复印件</w:t>
            </w:r>
            <w:r>
              <w:rPr>
                <w:rFonts w:ascii="宋体" w:hAnsi="宋体" w:eastAsia="宋体"/>
                <w:sz w:val="24"/>
                <w:highlight w:val="none"/>
              </w:rPr>
              <w:t>加盖公章证明</w:t>
            </w:r>
            <w:r>
              <w:rPr>
                <w:rFonts w:hint="eastAsia" w:ascii="宋体" w:hAnsi="宋体" w:eastAsia="宋体"/>
                <w:sz w:val="24"/>
                <w:highlight w:val="none"/>
              </w:rPr>
              <w:t>。</w:t>
            </w:r>
            <w:r>
              <w:rPr>
                <w:rFonts w:ascii="宋体" w:hAnsi="宋体" w:eastAsia="宋体"/>
                <w:sz w:val="24"/>
                <w:highlight w:val="none"/>
              </w:rPr>
              <w:t>）</w:t>
            </w:r>
          </w:p>
        </w:tc>
        <w:tc>
          <w:tcPr>
            <w:tcW w:w="392" w:type="pct"/>
            <w:tcBorders>
              <w:top w:val="single" w:color="000000" w:sz="4" w:space="0"/>
              <w:left w:val="single" w:color="000000" w:sz="4" w:space="0"/>
              <w:bottom w:val="single" w:color="000000" w:sz="4" w:space="0"/>
              <w:right w:val="single" w:color="000000" w:sz="4" w:space="0"/>
            </w:tcBorders>
            <w:vAlign w:val="center"/>
          </w:tcPr>
          <w:p>
            <w:pPr>
              <w:pStyle w:val="99"/>
              <w:ind w:firstLine="0"/>
              <w:jc w:val="center"/>
              <w:rPr>
                <w:rFonts w:ascii="宋体" w:hAnsi="宋体" w:eastAsia="宋体"/>
                <w:sz w:val="24"/>
                <w:szCs w:val="24"/>
                <w:highlight w:val="none"/>
              </w:rPr>
            </w:pPr>
            <w:r>
              <w:rPr>
                <w:rFonts w:ascii="宋体" w:hAnsi="宋体" w:eastAsia="宋体"/>
                <w:sz w:val="24"/>
                <w:szCs w:val="24"/>
                <w:highlight w:val="none"/>
              </w:rPr>
              <w:t>12</w:t>
            </w:r>
            <w:r>
              <w:rPr>
                <w:rFonts w:hint="eastAsia" w:ascii="宋体" w:hAnsi="宋体" w:eastAsia="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536" w:type="pct"/>
            <w:vMerge w:val="continue"/>
            <w:tcBorders>
              <w:left w:val="single" w:color="000000" w:sz="4" w:space="0"/>
              <w:right w:val="single" w:color="000000" w:sz="4" w:space="0"/>
            </w:tcBorders>
            <w:tcMar>
              <w:top w:w="15" w:type="dxa"/>
              <w:left w:w="15" w:type="dxa"/>
              <w:bottom w:w="15" w:type="dxa"/>
              <w:right w:w="15" w:type="dxa"/>
            </w:tcMar>
            <w:vAlign w:val="center"/>
          </w:tcPr>
          <w:p>
            <w:pPr>
              <w:spacing w:line="360" w:lineRule="auto"/>
              <w:jc w:val="center"/>
              <w:rPr>
                <w:rFonts w:ascii="宋体" w:hAnsi="宋体" w:eastAsia="宋体"/>
                <w:sz w:val="24"/>
                <w:highlight w:val="none"/>
              </w:rPr>
            </w:pPr>
          </w:p>
        </w:tc>
        <w:tc>
          <w:tcPr>
            <w:tcW w:w="653" w:type="pct"/>
            <w:tcBorders>
              <w:top w:val="single" w:color="000000" w:sz="4" w:space="0"/>
              <w:left w:val="single" w:color="000000" w:sz="4" w:space="0"/>
              <w:bottom w:val="single" w:color="000000" w:sz="4" w:space="0"/>
              <w:right w:val="single" w:color="000000" w:sz="4" w:space="0"/>
            </w:tcBorders>
            <w:vAlign w:val="center"/>
          </w:tcPr>
          <w:p>
            <w:pPr>
              <w:pStyle w:val="99"/>
              <w:ind w:firstLine="0"/>
              <w:jc w:val="center"/>
              <w:rPr>
                <w:rFonts w:ascii="宋体" w:hAnsi="宋体" w:eastAsia="宋体"/>
                <w:sz w:val="24"/>
                <w:szCs w:val="24"/>
                <w:highlight w:val="none"/>
              </w:rPr>
            </w:pPr>
            <w:r>
              <w:rPr>
                <w:rFonts w:hint="eastAsia" w:ascii="宋体" w:hAnsi="宋体" w:eastAsia="宋体"/>
                <w:sz w:val="24"/>
                <w:szCs w:val="24"/>
                <w:highlight w:val="none"/>
              </w:rPr>
              <w:t>业绩案例</w:t>
            </w:r>
          </w:p>
        </w:tc>
        <w:tc>
          <w:tcPr>
            <w:tcW w:w="3417"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rPr>
                <w:rFonts w:ascii="宋体" w:hAnsi="宋体" w:eastAsia="宋体"/>
                <w:sz w:val="24"/>
                <w:highlight w:val="none"/>
              </w:rPr>
            </w:pPr>
            <w:r>
              <w:rPr>
                <w:rFonts w:ascii="宋体" w:hAnsi="宋体" w:eastAsia="宋体"/>
                <w:sz w:val="24"/>
                <w:highlight w:val="none"/>
              </w:rPr>
              <w:t>根据项目采购需求，投标人提供2020年1月1日以来（以合同日期为准）承担过与本项目类似考生规模</w:t>
            </w:r>
            <w:r>
              <w:rPr>
                <w:rFonts w:hint="eastAsia" w:ascii="宋体" w:hAnsi="宋体" w:eastAsia="宋体"/>
                <w:sz w:val="24"/>
                <w:highlight w:val="none"/>
              </w:rPr>
              <w:t>大于5</w:t>
            </w:r>
            <w:r>
              <w:rPr>
                <w:rFonts w:ascii="宋体" w:hAnsi="宋体" w:eastAsia="宋体"/>
                <w:sz w:val="24"/>
                <w:highlight w:val="none"/>
              </w:rPr>
              <w:t>0</w:t>
            </w:r>
            <w:r>
              <w:rPr>
                <w:rFonts w:hint="eastAsia" w:ascii="宋体" w:hAnsi="宋体" w:eastAsia="宋体"/>
                <w:sz w:val="24"/>
                <w:highlight w:val="none"/>
              </w:rPr>
              <w:t>万以上</w:t>
            </w:r>
            <w:r>
              <w:rPr>
                <w:rFonts w:ascii="宋体" w:hAnsi="宋体" w:eastAsia="宋体"/>
                <w:sz w:val="24"/>
                <w:highlight w:val="none"/>
              </w:rPr>
              <w:t>的考试信息系统开发项目的，每项</w:t>
            </w:r>
            <w:r>
              <w:rPr>
                <w:rFonts w:hint="eastAsia" w:ascii="宋体" w:hAnsi="宋体" w:eastAsia="宋体"/>
                <w:sz w:val="24"/>
                <w:highlight w:val="none"/>
              </w:rPr>
              <w:t>得</w:t>
            </w:r>
            <w:r>
              <w:rPr>
                <w:rFonts w:ascii="宋体" w:hAnsi="宋体" w:eastAsia="宋体"/>
                <w:sz w:val="24"/>
                <w:highlight w:val="none"/>
              </w:rPr>
              <w:t>3分，最高</w:t>
            </w:r>
            <w:r>
              <w:rPr>
                <w:rFonts w:hint="eastAsia" w:ascii="宋体" w:hAnsi="宋体" w:eastAsia="宋体"/>
                <w:sz w:val="24"/>
                <w:highlight w:val="none"/>
              </w:rPr>
              <w:t>得</w:t>
            </w:r>
            <w:r>
              <w:rPr>
                <w:rFonts w:ascii="宋体" w:hAnsi="宋体" w:eastAsia="宋体"/>
                <w:sz w:val="24"/>
                <w:highlight w:val="none"/>
              </w:rPr>
              <w:t>6分。</w:t>
            </w:r>
            <w:r>
              <w:rPr>
                <w:rFonts w:hint="eastAsia" w:ascii="宋体" w:hAnsi="宋体" w:eastAsia="宋体"/>
                <w:sz w:val="24"/>
                <w:highlight w:val="none"/>
              </w:rPr>
              <w:t>（类似项目不限定特定行政区域和行业。类似考生规模指类似项目每次考试考生人数与科次大于或约等于本项目，包括但不限于普通高等学校招生考试、研究生招生考试、高等教育自学考试、成人高等学校招生考试、国家教师资格考试等考试的省级信息管理系统。响应文件提供上述业绩的合同复印件，加盖供应商公章，否则不得分。）</w:t>
            </w:r>
          </w:p>
        </w:tc>
        <w:tc>
          <w:tcPr>
            <w:tcW w:w="392" w:type="pct"/>
            <w:tcBorders>
              <w:top w:val="single" w:color="000000" w:sz="4" w:space="0"/>
              <w:left w:val="single" w:color="000000" w:sz="4" w:space="0"/>
              <w:bottom w:val="single" w:color="000000" w:sz="4" w:space="0"/>
              <w:right w:val="single" w:color="000000" w:sz="4" w:space="0"/>
            </w:tcBorders>
            <w:vAlign w:val="center"/>
          </w:tcPr>
          <w:p>
            <w:pPr>
              <w:pStyle w:val="99"/>
              <w:ind w:firstLine="0"/>
              <w:jc w:val="center"/>
              <w:rPr>
                <w:rFonts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536" w:type="pct"/>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rFonts w:ascii="宋体" w:hAnsi="宋体" w:eastAsia="宋体"/>
                <w:sz w:val="24"/>
                <w:highlight w:val="none"/>
              </w:rPr>
            </w:pPr>
          </w:p>
        </w:tc>
        <w:tc>
          <w:tcPr>
            <w:tcW w:w="653"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 w:val="24"/>
                <w:highlight w:val="none"/>
              </w:rPr>
            </w:pPr>
            <w:r>
              <w:rPr>
                <w:rFonts w:hint="eastAsia" w:ascii="宋体" w:hAnsi="宋体" w:eastAsia="宋体"/>
                <w:sz w:val="24"/>
                <w:highlight w:val="none"/>
              </w:rPr>
              <w:t>团队配置</w:t>
            </w:r>
          </w:p>
        </w:tc>
        <w:tc>
          <w:tcPr>
            <w:tcW w:w="3417"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rPr>
                <w:rFonts w:ascii="宋体" w:hAnsi="宋体" w:eastAsia="宋体"/>
                <w:sz w:val="24"/>
                <w:highlight w:val="none"/>
              </w:rPr>
            </w:pPr>
            <w:r>
              <w:rPr>
                <w:rFonts w:hint="eastAsia" w:ascii="宋体" w:hAnsi="宋体" w:eastAsia="宋体"/>
                <w:sz w:val="24"/>
                <w:highlight w:val="none"/>
              </w:rPr>
              <w:t>1、投标人拟投入项目经理（1人）具有信息系统项目管理师或系统分析师或系统架构设计师的两个及以上证书得</w:t>
            </w:r>
            <w:r>
              <w:rPr>
                <w:rFonts w:ascii="宋体" w:hAnsi="宋体" w:eastAsia="宋体"/>
                <w:sz w:val="24"/>
                <w:highlight w:val="none"/>
              </w:rPr>
              <w:t>3</w:t>
            </w:r>
            <w:r>
              <w:rPr>
                <w:rFonts w:hint="eastAsia" w:ascii="宋体" w:hAnsi="宋体" w:eastAsia="宋体"/>
                <w:sz w:val="24"/>
                <w:highlight w:val="none"/>
              </w:rPr>
              <w:t>分，具有一个证书得</w:t>
            </w:r>
            <w:r>
              <w:rPr>
                <w:rFonts w:ascii="宋体" w:hAnsi="宋体" w:eastAsia="宋体"/>
                <w:sz w:val="24"/>
                <w:highlight w:val="none"/>
              </w:rPr>
              <w:t>1</w:t>
            </w:r>
            <w:r>
              <w:rPr>
                <w:rFonts w:hint="eastAsia" w:ascii="宋体" w:hAnsi="宋体" w:eastAsia="宋体"/>
                <w:sz w:val="24"/>
                <w:highlight w:val="none"/>
              </w:rPr>
              <w:t>分，没有不得分。</w:t>
            </w:r>
            <w:r>
              <w:rPr>
                <w:rFonts w:ascii="宋体" w:hAnsi="宋体" w:eastAsia="宋体"/>
                <w:sz w:val="24"/>
                <w:highlight w:val="none"/>
              </w:rPr>
              <w:t>须提供证明材料（认证证书及最近6个月的社保证明</w:t>
            </w:r>
            <w:r>
              <w:rPr>
                <w:rFonts w:hint="eastAsia" w:ascii="宋体" w:hAnsi="宋体" w:eastAsia="宋体"/>
                <w:sz w:val="24"/>
                <w:highlight w:val="none"/>
              </w:rPr>
              <w:t>。</w:t>
            </w:r>
            <w:r>
              <w:rPr>
                <w:rFonts w:ascii="宋体" w:hAnsi="宋体" w:eastAsia="宋体"/>
                <w:sz w:val="24"/>
                <w:highlight w:val="none"/>
              </w:rPr>
              <w:t>）</w:t>
            </w:r>
          </w:p>
          <w:p>
            <w:pPr>
              <w:spacing w:line="360" w:lineRule="auto"/>
              <w:rPr>
                <w:rFonts w:ascii="宋体" w:hAnsi="宋体" w:eastAsia="宋体"/>
                <w:sz w:val="24"/>
                <w:highlight w:val="none"/>
              </w:rPr>
            </w:pPr>
            <w:r>
              <w:rPr>
                <w:rFonts w:ascii="宋体" w:hAnsi="宋体" w:eastAsia="宋体"/>
                <w:sz w:val="24"/>
                <w:highlight w:val="none"/>
              </w:rPr>
              <w:t>2、投标人拟投入项目团队人员（项目经理除外）具有数据库</w:t>
            </w:r>
            <w:r>
              <w:rPr>
                <w:rFonts w:hint="eastAsia" w:ascii="宋体" w:hAnsi="宋体" w:eastAsia="宋体"/>
                <w:sz w:val="24"/>
                <w:highlight w:val="none"/>
              </w:rPr>
              <w:t>系统</w:t>
            </w:r>
            <w:r>
              <w:rPr>
                <w:rFonts w:ascii="宋体" w:hAnsi="宋体" w:eastAsia="宋体"/>
                <w:sz w:val="24"/>
                <w:highlight w:val="none"/>
              </w:rPr>
              <w:t>工程师、系统规划与管理师、软件</w:t>
            </w:r>
            <w:r>
              <w:rPr>
                <w:rFonts w:hint="eastAsia" w:ascii="宋体" w:hAnsi="宋体" w:eastAsia="宋体"/>
                <w:sz w:val="24"/>
                <w:highlight w:val="none"/>
              </w:rPr>
              <w:t>测评</w:t>
            </w:r>
            <w:r>
              <w:rPr>
                <w:rFonts w:ascii="宋体" w:hAnsi="宋体" w:eastAsia="宋体"/>
                <w:sz w:val="24"/>
                <w:highlight w:val="none"/>
              </w:rPr>
              <w:t>师、</w:t>
            </w:r>
            <w:r>
              <w:rPr>
                <w:rFonts w:hint="eastAsia" w:ascii="宋体" w:hAnsi="宋体" w:eastAsia="宋体"/>
                <w:sz w:val="24"/>
                <w:highlight w:val="none"/>
              </w:rPr>
              <w:t>注册</w:t>
            </w:r>
            <w:r>
              <w:rPr>
                <w:rFonts w:ascii="宋体" w:hAnsi="宋体" w:eastAsia="宋体"/>
                <w:sz w:val="24"/>
                <w:highlight w:val="none"/>
              </w:rPr>
              <w:t>信息安全工程师(CISE)、</w:t>
            </w:r>
            <w:r>
              <w:rPr>
                <w:rFonts w:hint="eastAsia" w:ascii="宋体" w:hAnsi="宋体" w:eastAsia="宋体"/>
                <w:sz w:val="24"/>
                <w:highlight w:val="none"/>
              </w:rPr>
              <w:t>ITIL 4运维管理证书</w:t>
            </w:r>
            <w:r>
              <w:rPr>
                <w:rFonts w:ascii="宋体" w:hAnsi="宋体" w:eastAsia="宋体"/>
                <w:sz w:val="24"/>
                <w:highlight w:val="none"/>
              </w:rPr>
              <w:t>的，每个</w:t>
            </w:r>
            <w:r>
              <w:rPr>
                <w:rFonts w:hint="eastAsia" w:ascii="宋体" w:hAnsi="宋体" w:eastAsia="宋体"/>
                <w:sz w:val="24"/>
                <w:highlight w:val="none"/>
              </w:rPr>
              <w:t>驻场</w:t>
            </w:r>
            <w:r>
              <w:rPr>
                <w:rFonts w:ascii="宋体" w:hAnsi="宋体" w:eastAsia="宋体"/>
                <w:sz w:val="24"/>
                <w:highlight w:val="none"/>
              </w:rPr>
              <w:t>人员证书</w:t>
            </w:r>
            <w:r>
              <w:rPr>
                <w:rFonts w:hint="eastAsia" w:ascii="宋体" w:hAnsi="宋体" w:eastAsia="宋体"/>
                <w:sz w:val="24"/>
                <w:highlight w:val="none"/>
              </w:rPr>
              <w:t>得</w:t>
            </w:r>
            <w:r>
              <w:rPr>
                <w:rFonts w:ascii="宋体" w:hAnsi="宋体" w:eastAsia="宋体"/>
                <w:sz w:val="24"/>
                <w:highlight w:val="none"/>
              </w:rPr>
              <w:t>1分，此项最多得5分。须提供证明材料（认证证书及最近6个月的社保证明</w:t>
            </w:r>
            <w:r>
              <w:rPr>
                <w:rFonts w:hint="eastAsia" w:ascii="宋体" w:hAnsi="宋体" w:eastAsia="宋体"/>
                <w:sz w:val="24"/>
                <w:highlight w:val="none"/>
              </w:rPr>
              <w:t>。</w:t>
            </w:r>
            <w:r>
              <w:rPr>
                <w:rFonts w:ascii="宋体" w:hAnsi="宋体" w:eastAsia="宋体"/>
                <w:sz w:val="24"/>
                <w:highlight w:val="none"/>
              </w:rPr>
              <w:t>）</w:t>
            </w:r>
          </w:p>
        </w:tc>
        <w:tc>
          <w:tcPr>
            <w:tcW w:w="392"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 w:val="24"/>
                <w:highlight w:val="none"/>
              </w:rPr>
            </w:pPr>
            <w:r>
              <w:rPr>
                <w:rFonts w:ascii="宋体" w:hAnsi="宋体" w:eastAsia="宋体"/>
                <w:sz w:val="24"/>
                <w:highlight w:val="none"/>
              </w:rPr>
              <w:t>8</w:t>
            </w:r>
            <w:r>
              <w:rPr>
                <w:rFonts w:hint="eastAsia" w:ascii="宋体" w:hAnsi="宋体" w:eastAsia="宋体"/>
                <w:sz w:val="24"/>
                <w:highlight w:val="none"/>
              </w:rPr>
              <w:t>分</w:t>
            </w:r>
          </w:p>
        </w:tc>
      </w:tr>
    </w:tbl>
    <w:p>
      <w:pPr>
        <w:pStyle w:val="7"/>
        <w:ind w:firstLine="0"/>
        <w:rPr>
          <w:rFonts w:ascii="宋体" w:hAnsi="宋体" w:cs="宋体"/>
          <w:b/>
          <w:bCs/>
          <w:color w:val="auto"/>
          <w:sz w:val="18"/>
          <w:szCs w:val="18"/>
          <w:highlight w:val="none"/>
        </w:rPr>
      </w:pPr>
    </w:p>
    <w:p>
      <w:pPr>
        <w:snapToGrid w:val="0"/>
        <w:spacing w:line="500" w:lineRule="exact"/>
        <w:jc w:val="left"/>
        <w:rPr>
          <w:rFonts w:ascii="宋体" w:hAnsi="宋体"/>
          <w:sz w:val="24"/>
          <w:szCs w:val="24"/>
          <w:highlight w:val="none"/>
        </w:rPr>
      </w:pPr>
      <w:r>
        <w:rPr>
          <w:rFonts w:hint="eastAsia" w:ascii="宋体" w:hAnsi="宋体"/>
          <w:b/>
          <w:bCs/>
          <w:sz w:val="24"/>
          <w:szCs w:val="24"/>
          <w:highlight w:val="none"/>
        </w:rPr>
        <w:t>特别提醒：</w:t>
      </w:r>
      <w:r>
        <w:rPr>
          <w:rFonts w:hint="eastAsia" w:ascii="宋体" w:hAnsi="宋体"/>
          <w:sz w:val="24"/>
          <w:szCs w:val="24"/>
          <w:highlight w:val="none"/>
        </w:rPr>
        <w:t>因落实政府采购政策进行价格调整的，以调整后的价格计算磋商基准价和磋商报价。磋商小组将根据政府采购政策支持对最后报价进行价格折扣，折扣的价格将作为评审价格。</w:t>
      </w:r>
      <w:r>
        <w:rPr>
          <w:rFonts w:hint="eastAsia" w:ascii="宋体" w:hAnsi="宋体"/>
          <w:sz w:val="24"/>
          <w:szCs w:val="24"/>
          <w:highlight w:val="none"/>
          <w:lang w:val="zh-CN"/>
        </w:rPr>
        <w:t>供应商的评审</w:t>
      </w:r>
      <w:r>
        <w:rPr>
          <w:rFonts w:hint="eastAsia" w:ascii="宋体" w:hAnsi="宋体"/>
          <w:sz w:val="24"/>
          <w:szCs w:val="24"/>
          <w:highlight w:val="none"/>
        </w:rPr>
        <w:t>价格由供应商代表签字确认。</w:t>
      </w:r>
    </w:p>
    <w:tbl>
      <w:tblPr>
        <w:tblStyle w:val="23"/>
        <w:tblpPr w:leftFromText="180" w:rightFromText="180" w:vertAnchor="text" w:horzAnchor="page" w:tblpX="1674" w:tblpY="44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0" w:type="auto"/>
            <w:tcBorders>
              <w:top w:val="single" w:color="auto" w:sz="4" w:space="0"/>
              <w:bottom w:val="single" w:color="auto" w:sz="4" w:space="0"/>
            </w:tcBorders>
            <w:vAlign w:val="center"/>
          </w:tcPr>
          <w:p>
            <w:pPr>
              <w:snapToGrid w:val="0"/>
              <w:spacing w:line="440" w:lineRule="exact"/>
              <w:ind w:firstLine="360" w:firstLineChars="150"/>
              <w:rPr>
                <w:rFonts w:ascii="宋体" w:hAnsi="宋体"/>
                <w:sz w:val="24"/>
                <w:szCs w:val="24"/>
                <w:highlight w:val="none"/>
              </w:rPr>
            </w:pPr>
            <w:r>
              <w:rPr>
                <w:rFonts w:hint="eastAsia" w:ascii="宋体" w:hAnsi="宋体"/>
                <w:sz w:val="24"/>
                <w:szCs w:val="24"/>
                <w:highlight w:val="none"/>
              </w:rPr>
              <w:t>根据中华人民共和国财政部、中华人民共和国工业和信息化部《政府采购促进中小企业发展暂行办法》（财库</w:t>
            </w:r>
            <w:r>
              <w:rPr>
                <w:rFonts w:ascii="宋体" w:hAnsi="宋体"/>
                <w:sz w:val="24"/>
                <w:szCs w:val="24"/>
                <w:highlight w:val="none"/>
              </w:rPr>
              <w:t>[2011]181</w:t>
            </w:r>
            <w:r>
              <w:rPr>
                <w:rFonts w:hint="eastAsia" w:ascii="宋体" w:hAnsi="宋体"/>
                <w:sz w:val="24"/>
                <w:szCs w:val="24"/>
                <w:highlight w:val="none"/>
              </w:rPr>
              <w:t>号）文件的规定，</w:t>
            </w:r>
            <w:r>
              <w:rPr>
                <w:rFonts w:hint="eastAsia" w:ascii="宋体" w:hAnsi="宋体"/>
                <w:bCs/>
                <w:sz w:val="24"/>
                <w:szCs w:val="24"/>
                <w:highlight w:val="none"/>
              </w:rPr>
              <w:t>属于中小企业</w:t>
            </w:r>
            <w:r>
              <w:rPr>
                <w:rFonts w:hint="eastAsia" w:ascii="宋体" w:hAnsi="宋体"/>
                <w:sz w:val="24"/>
                <w:szCs w:val="24"/>
                <w:highlight w:val="none"/>
              </w:rPr>
              <w:t>评审优惠内容及幅度如下：</w:t>
            </w:r>
          </w:p>
          <w:p>
            <w:pPr>
              <w:snapToGrid w:val="0"/>
              <w:spacing w:line="440" w:lineRule="exact"/>
              <w:ind w:firstLine="241" w:firstLineChars="100"/>
              <w:rPr>
                <w:rFonts w:ascii="宋体" w:hAnsi="宋体"/>
                <w:sz w:val="24"/>
                <w:szCs w:val="24"/>
                <w:highlight w:val="none"/>
              </w:rPr>
            </w:pPr>
            <w:r>
              <w:rPr>
                <w:rFonts w:hint="eastAsia" w:ascii="宋体" w:hAnsi="宋体"/>
                <w:b/>
                <w:sz w:val="24"/>
                <w:szCs w:val="24"/>
                <w:highlight w:val="none"/>
              </w:rPr>
              <w:t>（一）</w:t>
            </w:r>
            <w:r>
              <w:rPr>
                <w:rFonts w:hint="eastAsia" w:ascii="宋体" w:hAnsi="宋体"/>
                <w:sz w:val="24"/>
                <w:szCs w:val="24"/>
                <w:highlight w:val="none"/>
              </w:rPr>
              <w:t>中小企业（含中型、小型、微型企业）应当</w:t>
            </w:r>
            <w:r>
              <w:rPr>
                <w:rFonts w:hint="eastAsia" w:ascii="宋体" w:hAnsi="宋体"/>
                <w:b/>
                <w:sz w:val="24"/>
                <w:szCs w:val="24"/>
                <w:highlight w:val="none"/>
              </w:rPr>
              <w:t>同时符合</w:t>
            </w:r>
            <w:r>
              <w:rPr>
                <w:rFonts w:hint="eastAsia" w:ascii="宋体" w:hAnsi="宋体"/>
                <w:sz w:val="24"/>
                <w:szCs w:val="24"/>
                <w:highlight w:val="none"/>
              </w:rPr>
              <w:t>以下条件：</w:t>
            </w:r>
          </w:p>
          <w:p>
            <w:pPr>
              <w:pStyle w:val="93"/>
              <w:spacing w:line="440" w:lineRule="exact"/>
              <w:ind w:left="846" w:leftChars="403"/>
              <w:rPr>
                <w:rFonts w:ascii="宋体" w:hAnsi="宋体"/>
                <w:sz w:val="24"/>
                <w:highlight w:val="none"/>
              </w:rPr>
            </w:pPr>
            <w:r>
              <w:rPr>
                <w:rFonts w:hint="eastAsia" w:ascii="宋体" w:hAnsi="宋体"/>
                <w:sz w:val="24"/>
                <w:highlight w:val="none"/>
              </w:rPr>
              <w:t>①符合中小企业划分标准（按《关于印发中小企业划型标准规定的通知》（工信部联企业〔</w:t>
            </w:r>
            <w:r>
              <w:rPr>
                <w:rFonts w:ascii="宋体" w:hAnsi="宋体"/>
                <w:sz w:val="24"/>
                <w:highlight w:val="none"/>
              </w:rPr>
              <w:t>2011</w:t>
            </w:r>
            <w:r>
              <w:rPr>
                <w:rFonts w:hint="eastAsia" w:ascii="宋体" w:hAnsi="宋体"/>
                <w:sz w:val="24"/>
                <w:highlight w:val="none"/>
              </w:rPr>
              <w:t>〕</w:t>
            </w:r>
            <w:r>
              <w:rPr>
                <w:rFonts w:ascii="宋体" w:hAnsi="宋体"/>
                <w:sz w:val="24"/>
                <w:highlight w:val="none"/>
              </w:rPr>
              <w:t>300</w:t>
            </w:r>
            <w:r>
              <w:rPr>
                <w:rFonts w:hint="eastAsia" w:ascii="宋体" w:hAnsi="宋体"/>
                <w:sz w:val="24"/>
                <w:highlight w:val="none"/>
              </w:rPr>
              <w:t>号）执行）；</w:t>
            </w:r>
          </w:p>
          <w:p>
            <w:pPr>
              <w:pStyle w:val="93"/>
              <w:spacing w:line="440" w:lineRule="exact"/>
              <w:ind w:left="846" w:leftChars="403"/>
              <w:rPr>
                <w:rFonts w:ascii="宋体" w:hAnsi="宋体"/>
                <w:sz w:val="24"/>
                <w:highlight w:val="none"/>
              </w:rPr>
            </w:pPr>
            <w:r>
              <w:rPr>
                <w:rFonts w:hint="eastAsia" w:ascii="宋体" w:hAnsi="宋体"/>
                <w:sz w:val="24"/>
                <w:highlight w:val="none"/>
              </w:rPr>
              <w:t>②提供本企业制造的货物、承担的项目或者服务，或者提供其他中小企业制造的货物。本项所称货物不包括使用大型企业注册商标的货物；</w:t>
            </w:r>
          </w:p>
          <w:p>
            <w:pPr>
              <w:pStyle w:val="93"/>
              <w:spacing w:line="440" w:lineRule="exact"/>
              <w:ind w:left="846" w:leftChars="403"/>
              <w:rPr>
                <w:rFonts w:ascii="宋体" w:hAnsi="宋体"/>
                <w:sz w:val="24"/>
                <w:highlight w:val="none"/>
              </w:rPr>
            </w:pPr>
            <w:r>
              <w:rPr>
                <w:rFonts w:hint="eastAsia" w:ascii="宋体" w:hAnsi="宋体"/>
                <w:sz w:val="24"/>
                <w:highlight w:val="none"/>
              </w:rPr>
              <w:t>③小型、微型企业提供中型企业制造的货物的，视同为中型企业。</w:t>
            </w:r>
          </w:p>
          <w:p>
            <w:pPr>
              <w:snapToGrid w:val="0"/>
              <w:spacing w:line="440" w:lineRule="exact"/>
              <w:ind w:firstLine="361" w:firstLineChars="150"/>
              <w:rPr>
                <w:rFonts w:ascii="宋体" w:hAnsi="宋体"/>
                <w:sz w:val="24"/>
                <w:szCs w:val="24"/>
                <w:highlight w:val="none"/>
              </w:rPr>
            </w:pPr>
            <w:r>
              <w:rPr>
                <w:rFonts w:hint="eastAsia" w:ascii="宋体" w:hAnsi="宋体"/>
                <w:b/>
                <w:sz w:val="24"/>
                <w:szCs w:val="24"/>
                <w:highlight w:val="none"/>
              </w:rPr>
              <w:t>（二）</w:t>
            </w:r>
            <w:r>
              <w:rPr>
                <w:rFonts w:hint="eastAsia" w:ascii="宋体" w:hAnsi="宋体"/>
                <w:sz w:val="24"/>
                <w:szCs w:val="24"/>
                <w:highlight w:val="none"/>
              </w:rPr>
              <w:t>价格扣除办法：</w:t>
            </w:r>
          </w:p>
          <w:p>
            <w:pPr>
              <w:pStyle w:val="93"/>
              <w:spacing w:line="440" w:lineRule="exact"/>
              <w:ind w:left="412" w:leftChars="196" w:firstLine="518" w:firstLineChars="216"/>
              <w:rPr>
                <w:rFonts w:ascii="宋体" w:hAnsi="宋体"/>
                <w:sz w:val="24"/>
                <w:highlight w:val="none"/>
              </w:rPr>
            </w:pPr>
            <w:r>
              <w:rPr>
                <w:rFonts w:ascii="宋体" w:hAnsi="宋体"/>
                <w:sz w:val="24"/>
                <w:highlight w:val="none"/>
              </w:rPr>
              <w:fldChar w:fldCharType="begin"/>
            </w:r>
            <w:r>
              <w:rPr>
                <w:rFonts w:ascii="宋体" w:hAnsi="宋体"/>
                <w:sz w:val="24"/>
                <w:highlight w:val="none"/>
              </w:rPr>
              <w:instrText xml:space="preserve"> = 1 \* GB3 </w:instrText>
            </w:r>
            <w:r>
              <w:rPr>
                <w:rFonts w:ascii="宋体" w:hAnsi="宋体"/>
                <w:sz w:val="24"/>
                <w:highlight w:val="none"/>
              </w:rPr>
              <w:fldChar w:fldCharType="separate"/>
            </w:r>
            <w:r>
              <w:rPr>
                <w:rFonts w:hint="eastAsia" w:ascii="宋体" w:hAnsi="宋体"/>
                <w:sz w:val="24"/>
                <w:highlight w:val="none"/>
              </w:rPr>
              <w:t>①</w:t>
            </w:r>
            <w:r>
              <w:rPr>
                <w:rFonts w:ascii="宋体" w:hAnsi="宋体"/>
                <w:sz w:val="24"/>
                <w:highlight w:val="none"/>
              </w:rPr>
              <w:fldChar w:fldCharType="end"/>
            </w:r>
            <w:r>
              <w:rPr>
                <w:rFonts w:hint="eastAsia" w:ascii="宋体" w:hAnsi="宋体"/>
                <w:sz w:val="24"/>
                <w:highlight w:val="none"/>
              </w:rPr>
              <w:t>对于非专门面向中小企业的项目，对小型和微型企业（或联合体各方均为小型、微型企业的，残疾人福利性单位、监狱企业视为小微企业）产品的价格给予10</w:t>
            </w:r>
            <w:r>
              <w:rPr>
                <w:rFonts w:ascii="宋体" w:hAnsi="宋体"/>
                <w:sz w:val="24"/>
                <w:highlight w:val="none"/>
              </w:rPr>
              <w:t>%</w:t>
            </w:r>
            <w:r>
              <w:rPr>
                <w:rFonts w:hint="eastAsia" w:ascii="宋体" w:hAnsi="宋体"/>
                <w:sz w:val="24"/>
                <w:highlight w:val="none"/>
              </w:rPr>
              <w:t>的扣除，用扣除后的价格参与价格的评审。</w:t>
            </w:r>
          </w:p>
          <w:p>
            <w:pPr>
              <w:snapToGrid w:val="0"/>
              <w:spacing w:line="440" w:lineRule="exact"/>
              <w:ind w:firstLine="361" w:firstLineChars="150"/>
              <w:rPr>
                <w:rFonts w:ascii="宋体" w:hAnsi="宋体"/>
                <w:sz w:val="24"/>
                <w:szCs w:val="24"/>
                <w:highlight w:val="none"/>
              </w:rPr>
            </w:pPr>
            <w:r>
              <w:rPr>
                <w:rFonts w:hint="eastAsia" w:ascii="宋体" w:hAnsi="宋体"/>
                <w:b/>
                <w:sz w:val="24"/>
                <w:szCs w:val="24"/>
                <w:highlight w:val="none"/>
              </w:rPr>
              <w:t>（三）</w:t>
            </w:r>
            <w:r>
              <w:rPr>
                <w:rFonts w:hint="eastAsia" w:ascii="宋体" w:hAnsi="宋体"/>
                <w:sz w:val="24"/>
                <w:szCs w:val="24"/>
                <w:highlight w:val="none"/>
              </w:rPr>
              <w:t>小型和微型企业适用价格扣除办法时应提供的相关资料：</w:t>
            </w:r>
          </w:p>
          <w:p>
            <w:pPr>
              <w:pStyle w:val="93"/>
              <w:spacing w:line="440" w:lineRule="exact"/>
              <w:ind w:left="840"/>
              <w:rPr>
                <w:rFonts w:ascii="宋体" w:hAnsi="宋体"/>
                <w:sz w:val="24"/>
                <w:highlight w:val="none"/>
              </w:rPr>
            </w:pPr>
            <w:r>
              <w:rPr>
                <w:rFonts w:ascii="宋体" w:hAnsi="宋体"/>
                <w:sz w:val="24"/>
                <w:highlight w:val="none"/>
              </w:rPr>
              <w:fldChar w:fldCharType="begin"/>
            </w:r>
            <w:r>
              <w:rPr>
                <w:rFonts w:ascii="宋体" w:hAnsi="宋体"/>
                <w:sz w:val="24"/>
                <w:highlight w:val="none"/>
              </w:rPr>
              <w:instrText xml:space="preserve"> = 1 \* GB3 </w:instrText>
            </w:r>
            <w:r>
              <w:rPr>
                <w:rFonts w:ascii="宋体" w:hAnsi="宋体"/>
                <w:sz w:val="24"/>
                <w:highlight w:val="none"/>
              </w:rPr>
              <w:fldChar w:fldCharType="separate"/>
            </w:r>
            <w:r>
              <w:rPr>
                <w:rFonts w:hint="eastAsia" w:ascii="宋体" w:hAnsi="宋体"/>
                <w:sz w:val="24"/>
                <w:highlight w:val="none"/>
              </w:rPr>
              <w:t>①</w:t>
            </w:r>
            <w:r>
              <w:rPr>
                <w:rFonts w:ascii="宋体" w:hAnsi="宋体"/>
                <w:sz w:val="24"/>
                <w:highlight w:val="none"/>
              </w:rPr>
              <w:fldChar w:fldCharType="end"/>
            </w:r>
            <w:r>
              <w:rPr>
                <w:rFonts w:hint="eastAsia" w:ascii="宋体" w:hAnsi="宋体"/>
                <w:sz w:val="24"/>
                <w:highlight w:val="none"/>
              </w:rPr>
              <w:t>供应商《中小企业声明函》或残疾人福利性单位声明函；</w:t>
            </w:r>
          </w:p>
          <w:p>
            <w:pPr>
              <w:pStyle w:val="93"/>
              <w:spacing w:line="440" w:lineRule="exact"/>
              <w:ind w:left="420" w:leftChars="200" w:firstLine="60" w:firstLineChars="25"/>
              <w:rPr>
                <w:rFonts w:ascii="宋体" w:hAnsi="宋体"/>
                <w:b/>
                <w:sz w:val="24"/>
                <w:highlight w:val="none"/>
              </w:rPr>
            </w:pPr>
            <w:r>
              <w:rPr>
                <w:rFonts w:hint="eastAsia" w:ascii="宋体" w:hAnsi="宋体"/>
                <w:sz w:val="24"/>
                <w:highlight w:val="none"/>
              </w:rPr>
              <w:t>供应商应同时提供以上材料，否则将不给予价格扣除。若所供应产品为进口产品的，不适用《政府采购促进中小企业发展暂行办法》。残疾人福利性单位仅需提供声明函，不须要提供其他证明材料。</w:t>
            </w:r>
          </w:p>
        </w:tc>
      </w:tr>
    </w:tbl>
    <w:p>
      <w:pPr>
        <w:tabs>
          <w:tab w:val="left" w:pos="0"/>
        </w:tabs>
        <w:adjustRightInd w:val="0"/>
        <w:snapToGrid w:val="0"/>
        <w:spacing w:line="440" w:lineRule="exact"/>
        <w:rPr>
          <w:rFonts w:ascii="宋体" w:hAnsi="宋体"/>
          <w:b/>
          <w:bCs/>
          <w:kern w:val="0"/>
          <w:sz w:val="24"/>
          <w:szCs w:val="24"/>
          <w:highlight w:val="none"/>
        </w:rPr>
      </w:pPr>
      <w:r>
        <w:rPr>
          <w:rFonts w:hint="eastAsia" w:ascii="宋体" w:hAnsi="宋体"/>
          <w:b/>
          <w:bCs/>
          <w:kern w:val="0"/>
          <w:sz w:val="24"/>
          <w:szCs w:val="24"/>
          <w:highlight w:val="none"/>
        </w:rPr>
        <w:t>中小企业价格折扣比例及方法</w:t>
      </w:r>
    </w:p>
    <w:p>
      <w:pPr>
        <w:pStyle w:val="87"/>
        <w:shd w:val="clear" w:color="auto" w:fill="FFFFFF"/>
        <w:spacing w:line="440" w:lineRule="exact"/>
        <w:rPr>
          <w:rFonts w:ascii="宋体" w:hAnsi="宋体"/>
          <w:sz w:val="24"/>
          <w:szCs w:val="24"/>
          <w:highlight w:val="none"/>
        </w:rPr>
      </w:pPr>
    </w:p>
    <w:p>
      <w:pPr>
        <w:snapToGrid w:val="0"/>
        <w:spacing w:line="500" w:lineRule="exact"/>
        <w:ind w:firstLine="200"/>
        <w:jc w:val="center"/>
        <w:outlineLvl w:val="1"/>
        <w:rPr>
          <w:rFonts w:ascii="宋体" w:hAnsi="宋体"/>
          <w:b/>
          <w:sz w:val="24"/>
          <w:szCs w:val="24"/>
          <w:highlight w:val="none"/>
        </w:rPr>
      </w:pPr>
      <w:bookmarkStart w:id="23" w:name="_Toc32023"/>
      <w:r>
        <w:rPr>
          <w:rFonts w:hint="eastAsia" w:ascii="宋体" w:hAnsi="宋体"/>
          <w:b/>
          <w:sz w:val="24"/>
          <w:szCs w:val="24"/>
          <w:highlight w:val="none"/>
        </w:rPr>
        <w:t>八、成交及合同签订</w:t>
      </w:r>
      <w:bookmarkEnd w:id="23"/>
    </w:p>
    <w:p>
      <w:pPr>
        <w:snapToGrid w:val="0"/>
        <w:spacing w:line="500" w:lineRule="exact"/>
        <w:ind w:firstLine="482" w:firstLineChars="200"/>
        <w:jc w:val="left"/>
        <w:rPr>
          <w:rFonts w:ascii="宋体" w:hAnsi="宋体"/>
          <w:sz w:val="24"/>
          <w:szCs w:val="24"/>
          <w:highlight w:val="none"/>
        </w:rPr>
      </w:pPr>
      <w:r>
        <w:rPr>
          <w:rFonts w:hint="eastAsia" w:ascii="宋体" w:hAnsi="宋体"/>
          <w:b/>
          <w:bCs/>
          <w:sz w:val="24"/>
          <w:szCs w:val="24"/>
          <w:highlight w:val="none"/>
        </w:rPr>
        <w:t>（三十二）成交供应商</w:t>
      </w:r>
    </w:p>
    <w:p>
      <w:pPr>
        <w:snapToGrid w:val="0"/>
        <w:spacing w:line="500" w:lineRule="exact"/>
        <w:ind w:firstLine="480" w:firstLineChars="200"/>
        <w:rPr>
          <w:rFonts w:ascii="宋体" w:hAnsi="宋体"/>
          <w:sz w:val="24"/>
          <w:szCs w:val="24"/>
          <w:highlight w:val="none"/>
        </w:rPr>
      </w:pPr>
      <w:r>
        <w:rPr>
          <w:rFonts w:hint="eastAsia" w:ascii="宋体" w:hAnsi="宋体"/>
          <w:sz w:val="24"/>
          <w:szCs w:val="24"/>
          <w:highlight w:val="none"/>
        </w:rPr>
        <w:t>32.1 根据磋商小组对各供应商满足竞争性磋商文件实质性响应（所谓实质性响应，是指文件应与竞争性磋商文件的所有实质性条款、条件和要求相符，无显著差异或保留（由磋商小组确定）；经磋商确定最终采购需求和提交最后报价的供应商中由磋商小组采用综合评分法对提交最后报价的供应商的磋商响应文件和最后报价进行综合评分，并以综合评分由高到低选取三名成交候选人推荐给采购人（评分相同时，按最后报价由低到高的顺序推荐；评审得分和最后报价相同的，按照技术指标优劣顺序推荐）。</w:t>
      </w:r>
    </w:p>
    <w:p>
      <w:pPr>
        <w:snapToGrid w:val="0"/>
        <w:spacing w:line="500" w:lineRule="exact"/>
        <w:ind w:firstLine="482" w:firstLineChars="200"/>
        <w:rPr>
          <w:rFonts w:ascii="宋体" w:hAnsi="宋体" w:cs="Arial"/>
          <w:sz w:val="24"/>
          <w:szCs w:val="24"/>
          <w:highlight w:val="none"/>
        </w:rPr>
      </w:pPr>
      <w:r>
        <w:rPr>
          <w:rFonts w:hint="eastAsia" w:ascii="宋体" w:hAnsi="宋体"/>
          <w:b/>
          <w:bCs/>
          <w:sz w:val="24"/>
          <w:szCs w:val="24"/>
          <w:highlight w:val="none"/>
        </w:rPr>
        <w:t>（三十三）资格条件</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 xml:space="preserve">33.1 </w:t>
      </w:r>
      <w:r>
        <w:rPr>
          <w:rFonts w:hint="eastAsia" w:ascii="宋体" w:hAnsi="宋体"/>
          <w:sz w:val="24"/>
          <w:szCs w:val="24"/>
          <w:highlight w:val="none"/>
        </w:rPr>
        <w:t>采购人将在签订合同前对成交候选供应商是否能圆满地履行合同进行审查。审查包括成交候选供应商磋商响应文件中提供的所有资格证明材料原件，成交候选供应商磋商响应文件及补充承诺中涉及的其他相关资料原件，以及对本项目实施可能存在风险的其他因素。</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 xml:space="preserve">33.2 </w:t>
      </w:r>
      <w:r>
        <w:rPr>
          <w:rFonts w:hint="eastAsia" w:ascii="宋体" w:hAnsi="宋体"/>
          <w:sz w:val="24"/>
          <w:szCs w:val="24"/>
          <w:highlight w:val="none"/>
        </w:rPr>
        <w:t>采购人若发现成交候选供应商在竞标过程中提供虚假证明文件，故意隐瞒公司不良信誉和财务状况，以及存在可能对合同圆满履行造成风险的其他因素等，则按规定取消其成交资格，监管部门依法进行处理。</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 xml:space="preserve">33.3 </w:t>
      </w:r>
      <w:r>
        <w:rPr>
          <w:rFonts w:hint="eastAsia" w:ascii="宋体" w:hAnsi="宋体"/>
          <w:sz w:val="24"/>
          <w:szCs w:val="24"/>
          <w:highlight w:val="none"/>
        </w:rPr>
        <w:t>如果成交候选供应商被确认为不具备执行合同的能力，采购人将考虑按同样的程序审查下一个成交候选供应商。</w:t>
      </w:r>
    </w:p>
    <w:p>
      <w:pPr>
        <w:snapToGrid w:val="0"/>
        <w:spacing w:line="500" w:lineRule="exact"/>
        <w:ind w:firstLine="482" w:firstLineChars="200"/>
        <w:jc w:val="left"/>
        <w:rPr>
          <w:rFonts w:ascii="宋体" w:hAnsi="宋体"/>
          <w:sz w:val="24"/>
          <w:szCs w:val="24"/>
          <w:highlight w:val="none"/>
        </w:rPr>
      </w:pPr>
      <w:r>
        <w:rPr>
          <w:rFonts w:hint="eastAsia" w:ascii="宋体" w:hAnsi="宋体"/>
          <w:b/>
          <w:bCs/>
          <w:sz w:val="24"/>
          <w:szCs w:val="24"/>
          <w:highlight w:val="none"/>
        </w:rPr>
        <w:t>（三十四）成交通知书</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 xml:space="preserve">34.1 </w:t>
      </w:r>
      <w:r>
        <w:rPr>
          <w:rFonts w:hint="eastAsia" w:ascii="宋体" w:hAnsi="宋体"/>
          <w:sz w:val="24"/>
          <w:szCs w:val="24"/>
          <w:highlight w:val="none"/>
        </w:rPr>
        <w:t>成交结果在原磋商公告发布媒体上发布后，公示期1个工作日，采购人将同时向成交供应商发出成交通知书。</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 xml:space="preserve">34.2 </w:t>
      </w:r>
      <w:r>
        <w:rPr>
          <w:rFonts w:hint="eastAsia" w:ascii="宋体" w:hAnsi="宋体"/>
          <w:sz w:val="24"/>
          <w:szCs w:val="24"/>
          <w:highlight w:val="none"/>
        </w:rPr>
        <w:t>成交人应及时到政府采购人领取成交通知书，成交通知书是签订合同的依据和组成部分。</w:t>
      </w:r>
    </w:p>
    <w:p>
      <w:pPr>
        <w:snapToGrid w:val="0"/>
        <w:spacing w:line="500" w:lineRule="exact"/>
        <w:ind w:firstLine="482" w:firstLineChars="200"/>
        <w:jc w:val="left"/>
        <w:rPr>
          <w:rFonts w:ascii="宋体" w:hAnsi="宋体"/>
          <w:sz w:val="24"/>
          <w:szCs w:val="24"/>
          <w:highlight w:val="none"/>
        </w:rPr>
      </w:pPr>
      <w:r>
        <w:rPr>
          <w:rFonts w:hint="eastAsia" w:ascii="宋体" w:hAnsi="宋体"/>
          <w:b/>
          <w:bCs/>
          <w:sz w:val="24"/>
          <w:szCs w:val="24"/>
          <w:highlight w:val="none"/>
        </w:rPr>
        <w:t>（三十五）签订合同</w:t>
      </w:r>
    </w:p>
    <w:p>
      <w:pPr>
        <w:snapToGrid w:val="0"/>
        <w:spacing w:line="500" w:lineRule="exact"/>
        <w:ind w:firstLine="480" w:firstLineChars="200"/>
        <w:jc w:val="left"/>
        <w:rPr>
          <w:rFonts w:ascii="宋体" w:hAnsi="宋体"/>
          <w:b/>
          <w:sz w:val="24"/>
          <w:szCs w:val="24"/>
          <w:highlight w:val="none"/>
        </w:rPr>
      </w:pPr>
      <w:r>
        <w:rPr>
          <w:rFonts w:hint="eastAsia" w:ascii="宋体" w:hAnsi="宋体"/>
          <w:sz w:val="24"/>
          <w:szCs w:val="24"/>
          <w:highlight w:val="none"/>
        </w:rPr>
        <w:t>35.1 成交供应商应在规定的时间、地点与采购人签订合同，竞争性磋商文件、成交人的磋商响应文件、分次报价及服务承诺文件以及评标过程中有关澄清文件均作为合同附件，</w:t>
      </w:r>
      <w:r>
        <w:rPr>
          <w:rFonts w:hint="eastAsia" w:ascii="宋体" w:hAnsi="宋体"/>
          <w:bCs/>
          <w:sz w:val="24"/>
          <w:szCs w:val="24"/>
          <w:highlight w:val="none"/>
        </w:rPr>
        <w:t>合同经采购人、成交供应商双方审核盖章后实施。</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35.2 成交供应商无正当理由未在规定时间内与采购人签订合同的或未按磋商文件要求提交履约担保的，采购人有权建议取消其成交资格，并报请监管部门将对其依法处理。</w:t>
      </w:r>
    </w:p>
    <w:p>
      <w:pPr>
        <w:snapToGrid w:val="0"/>
        <w:spacing w:line="500" w:lineRule="exact"/>
        <w:ind w:firstLine="482" w:firstLineChars="200"/>
        <w:jc w:val="left"/>
        <w:rPr>
          <w:rFonts w:ascii="宋体" w:hAnsi="宋体"/>
          <w:b/>
          <w:bCs/>
          <w:sz w:val="24"/>
          <w:szCs w:val="24"/>
          <w:highlight w:val="none"/>
        </w:rPr>
      </w:pPr>
      <w:r>
        <w:rPr>
          <w:rFonts w:hint="eastAsia" w:ascii="宋体" w:hAnsi="宋体"/>
          <w:b/>
          <w:bCs/>
          <w:sz w:val="24"/>
          <w:szCs w:val="24"/>
          <w:highlight w:val="none"/>
        </w:rPr>
        <w:t>（三十六）政府采购代理服务费和履约保证金</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36.1</w:t>
      </w:r>
      <w:r>
        <w:rPr>
          <w:rFonts w:hint="eastAsia" w:ascii="宋体" w:hAnsi="宋体" w:cs="宋体"/>
          <w:sz w:val="24"/>
          <w:szCs w:val="24"/>
          <w:highlight w:val="none"/>
        </w:rPr>
        <w:t>成交供应商应向政府采购代理机构缴纳代理服务费，</w:t>
      </w:r>
      <w:r>
        <w:rPr>
          <w:rFonts w:hint="eastAsia" w:ascii="宋体" w:hAnsi="宋体" w:cs="宋体"/>
          <w:bCs/>
          <w:sz w:val="24"/>
          <w:szCs w:val="24"/>
          <w:highlight w:val="none"/>
        </w:rPr>
        <w:t>政府采购代理服务费按</w:t>
      </w:r>
      <w:r>
        <w:rPr>
          <w:rFonts w:hint="eastAsia" w:ascii="宋体" w:hAnsi="宋体" w:cs="宋体"/>
          <w:sz w:val="24"/>
          <w:szCs w:val="24"/>
          <w:highlight w:val="none"/>
        </w:rPr>
        <w:t>国家发改委计价格[</w:t>
      </w:r>
      <w:r>
        <w:rPr>
          <w:rFonts w:ascii="宋体" w:hAnsi="宋体" w:cs="宋体"/>
          <w:sz w:val="24"/>
          <w:szCs w:val="24"/>
          <w:highlight w:val="none"/>
        </w:rPr>
        <w:t>2002</w:t>
      </w:r>
      <w:r>
        <w:rPr>
          <w:rFonts w:hint="eastAsia" w:ascii="宋体" w:hAnsi="宋体" w:cs="宋体"/>
          <w:sz w:val="24"/>
          <w:szCs w:val="24"/>
          <w:highlight w:val="none"/>
        </w:rPr>
        <w:t>]</w:t>
      </w:r>
      <w:r>
        <w:rPr>
          <w:rFonts w:ascii="宋体" w:hAnsi="宋体" w:cs="宋体"/>
          <w:sz w:val="24"/>
          <w:szCs w:val="24"/>
          <w:highlight w:val="none"/>
        </w:rPr>
        <w:t>1980号文</w:t>
      </w:r>
      <w:r>
        <w:rPr>
          <w:rFonts w:hint="eastAsia" w:ascii="宋体" w:hAnsi="宋体" w:cs="宋体"/>
          <w:sz w:val="24"/>
          <w:szCs w:val="24"/>
          <w:highlight w:val="none"/>
        </w:rPr>
        <w:t>、</w:t>
      </w:r>
      <w:r>
        <w:rPr>
          <w:rFonts w:hint="eastAsia" w:ascii="宋体" w:hAnsi="宋体" w:cs="宋体"/>
          <w:sz w:val="24"/>
          <w:highlight w:val="none"/>
        </w:rPr>
        <w:t>发改办价格[2003]857号文计取。</w:t>
      </w:r>
    </w:p>
    <w:p>
      <w:pPr>
        <w:snapToGrid w:val="0"/>
        <w:spacing w:line="500" w:lineRule="exact"/>
        <w:ind w:left="359" w:leftChars="171"/>
        <w:jc w:val="left"/>
        <w:rPr>
          <w:rFonts w:ascii="宋体" w:hAnsi="宋体"/>
          <w:sz w:val="24"/>
          <w:szCs w:val="24"/>
          <w:highlight w:val="none"/>
        </w:rPr>
      </w:pPr>
      <w:r>
        <w:rPr>
          <w:rFonts w:ascii="宋体" w:hAnsi="宋体"/>
          <w:sz w:val="24"/>
          <w:szCs w:val="24"/>
          <w:highlight w:val="none"/>
        </w:rPr>
        <w:t xml:space="preserve">36.2 </w:t>
      </w:r>
      <w:r>
        <w:rPr>
          <w:rFonts w:hint="eastAsia" w:ascii="宋体" w:hAnsi="宋体"/>
          <w:sz w:val="24"/>
          <w:szCs w:val="24"/>
          <w:highlight w:val="none"/>
        </w:rPr>
        <w:t>成交供应商需在签订合同时需按磋商文件要求向采购人提交履约担保。</w:t>
      </w:r>
    </w:p>
    <w:p>
      <w:pPr>
        <w:snapToGrid w:val="0"/>
        <w:spacing w:line="500" w:lineRule="exact"/>
        <w:ind w:firstLine="200"/>
        <w:jc w:val="center"/>
        <w:outlineLvl w:val="1"/>
        <w:rPr>
          <w:rFonts w:ascii="宋体" w:hAnsi="宋体"/>
          <w:b/>
          <w:sz w:val="24"/>
          <w:szCs w:val="24"/>
          <w:highlight w:val="none"/>
        </w:rPr>
      </w:pPr>
      <w:bookmarkStart w:id="24" w:name="_Toc6848"/>
      <w:r>
        <w:rPr>
          <w:rFonts w:hint="eastAsia" w:ascii="宋体" w:hAnsi="宋体"/>
          <w:b/>
          <w:sz w:val="24"/>
          <w:szCs w:val="24"/>
          <w:highlight w:val="none"/>
        </w:rPr>
        <w:t>九、验收及付款</w:t>
      </w:r>
      <w:bookmarkEnd w:id="24"/>
    </w:p>
    <w:p>
      <w:pPr>
        <w:snapToGrid w:val="0"/>
        <w:spacing w:line="500" w:lineRule="exact"/>
        <w:ind w:firstLine="482" w:firstLineChars="200"/>
        <w:jc w:val="left"/>
        <w:rPr>
          <w:rFonts w:ascii="宋体" w:hAnsi="宋体"/>
          <w:b/>
          <w:bCs/>
          <w:sz w:val="24"/>
          <w:szCs w:val="24"/>
          <w:highlight w:val="none"/>
        </w:rPr>
      </w:pPr>
      <w:r>
        <w:rPr>
          <w:rFonts w:hint="eastAsia" w:ascii="宋体" w:hAnsi="宋体"/>
          <w:b/>
          <w:bCs/>
          <w:sz w:val="24"/>
          <w:szCs w:val="24"/>
          <w:highlight w:val="none"/>
        </w:rPr>
        <w:t>（三十七）验收</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 xml:space="preserve">37.1 </w:t>
      </w:r>
      <w:r>
        <w:rPr>
          <w:rFonts w:hint="eastAsia" w:ascii="宋体" w:hAnsi="宋体"/>
          <w:sz w:val="24"/>
          <w:szCs w:val="24"/>
          <w:highlight w:val="none"/>
        </w:rPr>
        <w:t>采购单位组建验收小组，验收小组由采购单位三人以上组成，按</w:t>
      </w:r>
      <w:r>
        <w:rPr>
          <w:rFonts w:hint="eastAsia" w:ascii="宋体" w:hAnsi="宋体"/>
          <w:bCs/>
          <w:sz w:val="24"/>
          <w:szCs w:val="24"/>
          <w:highlight w:val="none"/>
        </w:rPr>
        <w:t>采购合同约定的时间组织验收。</w:t>
      </w:r>
    </w:p>
    <w:p>
      <w:pPr>
        <w:snapToGrid w:val="0"/>
        <w:spacing w:line="500" w:lineRule="exact"/>
        <w:ind w:firstLine="482" w:firstLineChars="200"/>
        <w:jc w:val="left"/>
        <w:rPr>
          <w:rFonts w:ascii="宋体" w:hAnsi="宋体"/>
          <w:b/>
          <w:bCs/>
          <w:sz w:val="24"/>
          <w:szCs w:val="24"/>
          <w:highlight w:val="none"/>
        </w:rPr>
      </w:pPr>
      <w:r>
        <w:rPr>
          <w:rFonts w:hint="eastAsia" w:ascii="宋体" w:hAnsi="宋体"/>
          <w:b/>
          <w:bCs/>
          <w:sz w:val="24"/>
          <w:szCs w:val="24"/>
          <w:highlight w:val="none"/>
        </w:rPr>
        <w:t>（三十八）项目办结及付款</w:t>
      </w:r>
    </w:p>
    <w:p>
      <w:pPr>
        <w:snapToGrid w:val="0"/>
        <w:spacing w:line="500" w:lineRule="exact"/>
        <w:ind w:firstLine="480" w:firstLineChars="200"/>
        <w:jc w:val="left"/>
        <w:rPr>
          <w:rFonts w:ascii="宋体" w:hAnsi="宋体"/>
          <w:b/>
          <w:bCs/>
          <w:sz w:val="24"/>
          <w:szCs w:val="24"/>
          <w:highlight w:val="none"/>
        </w:rPr>
      </w:pPr>
      <w:r>
        <w:rPr>
          <w:rFonts w:hint="eastAsia" w:ascii="宋体" w:hAnsi="宋体"/>
          <w:sz w:val="24"/>
          <w:szCs w:val="24"/>
          <w:highlight w:val="none"/>
        </w:rPr>
        <w:t>38.1 采购人凭项目合同、验收报告和提供采购人要求的发票原件后，在合同约定的时间内办理采购款支付手续。</w:t>
      </w:r>
    </w:p>
    <w:p>
      <w:pPr>
        <w:snapToGrid w:val="0"/>
        <w:spacing w:line="500" w:lineRule="exact"/>
        <w:ind w:firstLine="200"/>
        <w:jc w:val="center"/>
        <w:outlineLvl w:val="1"/>
        <w:rPr>
          <w:rFonts w:ascii="宋体" w:hAnsi="宋体"/>
          <w:b/>
          <w:sz w:val="24"/>
          <w:szCs w:val="24"/>
          <w:highlight w:val="none"/>
        </w:rPr>
      </w:pPr>
      <w:bookmarkStart w:id="25" w:name="_Toc17033"/>
      <w:r>
        <w:rPr>
          <w:rFonts w:hint="eastAsia" w:ascii="宋体" w:hAnsi="宋体"/>
          <w:b/>
          <w:sz w:val="24"/>
          <w:szCs w:val="24"/>
          <w:highlight w:val="none"/>
        </w:rPr>
        <w:t>十、质疑与投诉</w:t>
      </w:r>
      <w:bookmarkEnd w:id="25"/>
    </w:p>
    <w:p>
      <w:pPr>
        <w:snapToGrid w:val="0"/>
        <w:spacing w:line="500" w:lineRule="exact"/>
        <w:ind w:firstLine="472" w:firstLineChars="196"/>
        <w:outlineLvl w:val="0"/>
        <w:rPr>
          <w:rFonts w:ascii="宋体" w:hAnsi="宋体"/>
          <w:b/>
          <w:bCs/>
          <w:sz w:val="24"/>
          <w:szCs w:val="24"/>
          <w:highlight w:val="none"/>
        </w:rPr>
      </w:pPr>
      <w:bookmarkStart w:id="26" w:name="_Toc8717"/>
      <w:bookmarkStart w:id="27" w:name="_Toc19410"/>
      <w:r>
        <w:rPr>
          <w:rFonts w:hint="eastAsia" w:ascii="宋体" w:hAnsi="宋体"/>
          <w:b/>
          <w:bCs/>
          <w:sz w:val="24"/>
          <w:szCs w:val="24"/>
          <w:highlight w:val="none"/>
        </w:rPr>
        <w:t>（三十九）质疑与投诉</w:t>
      </w:r>
      <w:bookmarkEnd w:id="26"/>
      <w:bookmarkEnd w:id="27"/>
    </w:p>
    <w:p>
      <w:pPr>
        <w:snapToGrid w:val="0"/>
        <w:spacing w:line="500" w:lineRule="exact"/>
        <w:ind w:firstLine="482" w:firstLineChars="200"/>
        <w:outlineLvl w:val="0"/>
        <w:rPr>
          <w:rFonts w:ascii="宋体" w:hAnsi="宋体"/>
          <w:sz w:val="24"/>
          <w:szCs w:val="24"/>
          <w:highlight w:val="none"/>
        </w:rPr>
      </w:pPr>
      <w:bookmarkStart w:id="28" w:name="_Toc25914"/>
      <w:bookmarkStart w:id="29" w:name="_Toc30957"/>
      <w:r>
        <w:rPr>
          <w:rFonts w:ascii="宋体" w:hAnsi="宋体"/>
          <w:b/>
          <w:bCs/>
          <w:sz w:val="24"/>
          <w:szCs w:val="24"/>
          <w:highlight w:val="none"/>
        </w:rPr>
        <w:t xml:space="preserve">39.1 </w:t>
      </w:r>
      <w:r>
        <w:rPr>
          <w:rFonts w:hint="eastAsia" w:ascii="宋体" w:hAnsi="宋体"/>
          <w:b/>
          <w:bCs/>
          <w:sz w:val="24"/>
          <w:szCs w:val="24"/>
          <w:highlight w:val="none"/>
        </w:rPr>
        <w:t>质疑的提出</w:t>
      </w:r>
      <w:bookmarkEnd w:id="28"/>
      <w:bookmarkEnd w:id="29"/>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1）供应商认为竞磋文件、招标过程和中标、成交结果使自己的权益受到损害的，可以在知道或者应知其权益受到损害之日起七个工作日内，以书面形式向采购人提出质疑。</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2）质疑函的必备内容</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①供应商提交的质疑函必须注明单位名称、详细地址、可供查询的单位和法定代表人的电话号码；</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②所参加项目的具体质疑事项及事实依据；</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③提起质疑的日期；</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④质疑函须加盖单位公章和法定代表人签章。</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⑤委托代理人递交质疑函的，还须提交委托质疑事项的委托授权书（附法定代表人和被授权人身份证正反面），加盖单位公章和法定代表人签章和被授权人签字，并出示被授权人身份证。</w:t>
      </w:r>
    </w:p>
    <w:p>
      <w:pPr>
        <w:snapToGrid w:val="0"/>
        <w:spacing w:line="500" w:lineRule="exact"/>
        <w:ind w:firstLine="480" w:firstLineChars="200"/>
        <w:jc w:val="left"/>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）质疑应符合下列条件：</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①质疑人是参与所质疑项目的招标活动供应商；</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②质疑函内容符合相关的规定；</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③在规定的有效期限内提起质疑；</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④招投标监管部门规定的其他条件。</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4）采购人在收到供应商的书面质疑后七个工作日内作出答复，并以书面形式通知质疑供应商和其他有关供应商，但答复的内容不涉及商业秘密。</w:t>
      </w:r>
    </w:p>
    <w:p>
      <w:pPr>
        <w:snapToGri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5）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snapToGrid w:val="0"/>
        <w:spacing w:line="500" w:lineRule="exact"/>
        <w:jc w:val="left"/>
        <w:rPr>
          <w:rFonts w:ascii="宋体" w:hAnsi="宋体" w:cs="宋体"/>
          <w:b/>
          <w:sz w:val="24"/>
          <w:szCs w:val="24"/>
          <w:highlight w:val="none"/>
        </w:rPr>
      </w:pPr>
      <w:r>
        <w:rPr>
          <w:rFonts w:hint="eastAsia" w:ascii="宋体" w:hAnsi="宋体" w:cs="宋体"/>
          <w:b/>
          <w:sz w:val="24"/>
          <w:szCs w:val="24"/>
          <w:highlight w:val="none"/>
        </w:rPr>
        <w:t>附表一</w:t>
      </w:r>
    </w:p>
    <w:p>
      <w:pPr>
        <w:snapToGrid w:val="0"/>
        <w:spacing w:line="440" w:lineRule="exact"/>
        <w:jc w:val="center"/>
        <w:rPr>
          <w:rFonts w:ascii="宋体" w:hAnsi="宋体"/>
          <w:b/>
          <w:bCs/>
          <w:sz w:val="24"/>
          <w:szCs w:val="24"/>
          <w:highlight w:val="none"/>
        </w:rPr>
      </w:pPr>
      <w:r>
        <w:rPr>
          <w:rFonts w:hint="eastAsia" w:ascii="宋体" w:hAnsi="宋体"/>
          <w:b/>
          <w:bCs/>
          <w:sz w:val="24"/>
          <w:szCs w:val="24"/>
          <w:highlight w:val="none"/>
        </w:rPr>
        <w:t>质 疑 书</w:t>
      </w:r>
    </w:p>
    <w:p>
      <w:pPr>
        <w:snapToGrid w:val="0"/>
        <w:spacing w:line="440" w:lineRule="exact"/>
        <w:rPr>
          <w:rFonts w:ascii="宋体" w:hAnsi="宋体"/>
          <w:bCs/>
          <w:sz w:val="24"/>
          <w:szCs w:val="24"/>
          <w:highlight w:val="none"/>
        </w:rPr>
      </w:pPr>
      <w:r>
        <w:rPr>
          <w:rFonts w:hint="eastAsia" w:ascii="宋体" w:hAnsi="宋体"/>
          <w:bCs/>
          <w:sz w:val="24"/>
          <w:szCs w:val="24"/>
          <w:highlight w:val="none"/>
          <w:u w:val="single"/>
        </w:rPr>
        <w:t xml:space="preserve">               </w:t>
      </w:r>
      <w:r>
        <w:rPr>
          <w:rFonts w:hint="eastAsia" w:ascii="宋体" w:hAnsi="宋体"/>
          <w:bCs/>
          <w:sz w:val="24"/>
          <w:szCs w:val="24"/>
          <w:highlight w:val="none"/>
        </w:rPr>
        <w:t>(政府采购代理机构名称)：</w:t>
      </w:r>
    </w:p>
    <w:p>
      <w:pPr>
        <w:snapToGrid w:val="0"/>
        <w:spacing w:line="440" w:lineRule="exact"/>
        <w:rPr>
          <w:rFonts w:ascii="宋体" w:hAnsi="宋体"/>
          <w:bCs/>
          <w:sz w:val="24"/>
          <w:szCs w:val="24"/>
          <w:highlight w:val="none"/>
        </w:rPr>
      </w:pPr>
      <w:r>
        <w:rPr>
          <w:rFonts w:hint="eastAsia" w:ascii="宋体" w:hAnsi="宋体"/>
          <w:bCs/>
          <w:sz w:val="24"/>
          <w:szCs w:val="24"/>
          <w:highlight w:val="none"/>
        </w:rPr>
        <w:t>依据《中华人民共和国政府采购法》第五十二条规定，认为</w:t>
      </w:r>
      <w:r>
        <w:rPr>
          <w:rFonts w:hint="eastAsia" w:ascii="宋体" w:hAnsi="宋体"/>
          <w:bCs/>
          <w:sz w:val="24"/>
          <w:szCs w:val="24"/>
          <w:highlight w:val="none"/>
          <w:u w:val="single"/>
        </w:rPr>
        <w:t xml:space="preserve">          </w:t>
      </w:r>
      <w:r>
        <w:rPr>
          <w:rFonts w:hint="eastAsia" w:ascii="宋体" w:hAnsi="宋体"/>
          <w:bCs/>
          <w:sz w:val="24"/>
          <w:szCs w:val="24"/>
          <w:highlight w:val="none"/>
        </w:rPr>
        <w:t>项目的采购活动中有几个内容损害了我公司的权益，现以书面原件形式提出质疑。并根据《中华人民共和国政府采购法实施条例》第五十五条规定，提出以下请求和提供必要的证明材料。质疑的事实和理由：</w:t>
      </w:r>
    </w:p>
    <w:p>
      <w:pPr>
        <w:snapToGrid w:val="0"/>
        <w:spacing w:line="440" w:lineRule="exact"/>
        <w:rPr>
          <w:rFonts w:ascii="宋体" w:hAnsi="宋体"/>
          <w:bCs/>
          <w:sz w:val="24"/>
          <w:szCs w:val="24"/>
          <w:highlight w:val="none"/>
        </w:rPr>
      </w:pPr>
      <w:r>
        <w:rPr>
          <w:rFonts w:hint="eastAsia" w:ascii="宋体" w:hAnsi="宋体"/>
          <w:bCs/>
          <w:sz w:val="24"/>
          <w:szCs w:val="24"/>
          <w:highlight w:val="none"/>
        </w:rPr>
        <w:t>1、</w:t>
      </w:r>
      <w:r>
        <w:rPr>
          <w:rFonts w:hint="eastAsia" w:ascii="宋体" w:hAnsi="宋体"/>
          <w:bCs/>
          <w:sz w:val="24"/>
          <w:szCs w:val="24"/>
          <w:highlight w:val="none"/>
          <w:u w:val="single"/>
        </w:rPr>
        <w:t xml:space="preserve">  (事宜经过)            </w:t>
      </w:r>
      <w:r>
        <w:rPr>
          <w:rFonts w:hint="eastAsia" w:ascii="宋体" w:hAnsi="宋体"/>
          <w:bCs/>
          <w:sz w:val="24"/>
          <w:szCs w:val="24"/>
          <w:highlight w:val="none"/>
        </w:rPr>
        <w:t>；2、</w:t>
      </w:r>
      <w:r>
        <w:rPr>
          <w:rFonts w:hint="eastAsia" w:ascii="宋体" w:hAnsi="宋体"/>
          <w:bCs/>
          <w:sz w:val="24"/>
          <w:szCs w:val="24"/>
          <w:highlight w:val="none"/>
          <w:u w:val="single"/>
        </w:rPr>
        <w:t xml:space="preserve">  (事宜经过)            </w:t>
      </w:r>
      <w:r>
        <w:rPr>
          <w:rFonts w:hint="eastAsia" w:ascii="宋体" w:hAnsi="宋体"/>
          <w:bCs/>
          <w:sz w:val="24"/>
          <w:szCs w:val="24"/>
          <w:highlight w:val="none"/>
        </w:rPr>
        <w:t>；……</w:t>
      </w:r>
    </w:p>
    <w:p>
      <w:pPr>
        <w:snapToGrid w:val="0"/>
        <w:spacing w:line="440" w:lineRule="exact"/>
        <w:rPr>
          <w:rFonts w:ascii="宋体" w:hAnsi="宋体"/>
          <w:bCs/>
          <w:sz w:val="24"/>
          <w:szCs w:val="24"/>
          <w:highlight w:val="none"/>
        </w:rPr>
      </w:pPr>
      <w:r>
        <w:rPr>
          <w:rFonts w:hint="eastAsia" w:ascii="宋体" w:hAnsi="宋体"/>
          <w:bCs/>
          <w:sz w:val="24"/>
          <w:szCs w:val="24"/>
          <w:highlight w:val="none"/>
        </w:rPr>
        <w:t>我们认为，以上几项，违背了政府采购法规的有关规定，其中第1项</w:t>
      </w:r>
      <w:r>
        <w:rPr>
          <w:rFonts w:hint="eastAsia" w:ascii="宋体" w:hAnsi="宋体"/>
          <w:bCs/>
          <w:sz w:val="24"/>
          <w:szCs w:val="24"/>
          <w:highlight w:val="none"/>
          <w:u w:val="single"/>
        </w:rPr>
        <w:t xml:space="preserve">            </w:t>
      </w:r>
      <w:r>
        <w:rPr>
          <w:rFonts w:hint="eastAsia" w:ascii="宋体" w:hAnsi="宋体"/>
          <w:bCs/>
          <w:sz w:val="24"/>
          <w:szCs w:val="24"/>
          <w:highlight w:val="none"/>
        </w:rPr>
        <w:t>违背《</w:t>
      </w:r>
      <w:r>
        <w:rPr>
          <w:rFonts w:hint="eastAsia" w:ascii="宋体" w:hAnsi="宋体"/>
          <w:bCs/>
          <w:sz w:val="24"/>
          <w:szCs w:val="24"/>
          <w:highlight w:val="none"/>
          <w:u w:val="single"/>
        </w:rPr>
        <w:t xml:space="preserve">           法</w:t>
      </w:r>
      <w:r>
        <w:rPr>
          <w:rFonts w:hint="eastAsia" w:ascii="宋体" w:hAnsi="宋体"/>
          <w:bCs/>
          <w:sz w:val="24"/>
          <w:szCs w:val="24"/>
          <w:highlight w:val="none"/>
        </w:rPr>
        <w:t>》第</w:t>
      </w:r>
      <w:r>
        <w:rPr>
          <w:rFonts w:hint="eastAsia" w:ascii="宋体" w:hAnsi="宋体"/>
          <w:bCs/>
          <w:sz w:val="24"/>
          <w:szCs w:val="24"/>
          <w:highlight w:val="none"/>
          <w:u w:val="single"/>
        </w:rPr>
        <w:t xml:space="preserve">      </w:t>
      </w:r>
      <w:r>
        <w:rPr>
          <w:rFonts w:hint="eastAsia" w:ascii="宋体" w:hAnsi="宋体"/>
          <w:bCs/>
          <w:sz w:val="24"/>
          <w:szCs w:val="24"/>
          <w:highlight w:val="none"/>
        </w:rPr>
        <w:t>条的“</w:t>
      </w:r>
      <w:r>
        <w:rPr>
          <w:rFonts w:hint="eastAsia" w:ascii="宋体" w:hAnsi="宋体"/>
          <w:bCs/>
          <w:sz w:val="24"/>
          <w:szCs w:val="24"/>
          <w:highlight w:val="none"/>
          <w:u w:val="single"/>
        </w:rPr>
        <w:t xml:space="preserve">                      </w:t>
      </w:r>
      <w:r>
        <w:rPr>
          <w:rFonts w:hint="eastAsia" w:ascii="宋体" w:hAnsi="宋体"/>
          <w:bCs/>
          <w:sz w:val="24"/>
          <w:szCs w:val="24"/>
          <w:highlight w:val="none"/>
        </w:rPr>
        <w:t>”规定，第2项</w:t>
      </w:r>
      <w:r>
        <w:rPr>
          <w:rFonts w:hint="eastAsia" w:ascii="宋体" w:hAnsi="宋体"/>
          <w:bCs/>
          <w:sz w:val="24"/>
          <w:szCs w:val="24"/>
          <w:highlight w:val="none"/>
          <w:u w:val="single"/>
        </w:rPr>
        <w:t xml:space="preserve">          </w:t>
      </w:r>
      <w:r>
        <w:rPr>
          <w:rFonts w:hint="eastAsia" w:ascii="宋体" w:hAnsi="宋体"/>
          <w:bCs/>
          <w:sz w:val="24"/>
          <w:szCs w:val="24"/>
          <w:highlight w:val="none"/>
        </w:rPr>
        <w:t>违背《</w:t>
      </w:r>
      <w:r>
        <w:rPr>
          <w:rFonts w:hint="eastAsia" w:ascii="宋体" w:hAnsi="宋体"/>
          <w:bCs/>
          <w:sz w:val="24"/>
          <w:szCs w:val="24"/>
          <w:highlight w:val="none"/>
          <w:u w:val="single"/>
        </w:rPr>
        <w:t xml:space="preserve">              法</w:t>
      </w:r>
      <w:r>
        <w:rPr>
          <w:rFonts w:hint="eastAsia" w:ascii="宋体" w:hAnsi="宋体"/>
          <w:bCs/>
          <w:sz w:val="24"/>
          <w:szCs w:val="24"/>
          <w:highlight w:val="none"/>
        </w:rPr>
        <w:t>》第</w:t>
      </w:r>
      <w:r>
        <w:rPr>
          <w:rFonts w:hint="eastAsia" w:ascii="宋体" w:hAnsi="宋体"/>
          <w:bCs/>
          <w:sz w:val="24"/>
          <w:szCs w:val="24"/>
          <w:highlight w:val="none"/>
          <w:u w:val="single"/>
        </w:rPr>
        <w:t xml:space="preserve">   </w:t>
      </w:r>
      <w:r>
        <w:rPr>
          <w:rFonts w:hint="eastAsia" w:ascii="宋体" w:hAnsi="宋体"/>
          <w:bCs/>
          <w:sz w:val="24"/>
          <w:szCs w:val="24"/>
          <w:highlight w:val="none"/>
        </w:rPr>
        <w:t>条的规定，请予审查纠正为盼。</w:t>
      </w:r>
    </w:p>
    <w:p>
      <w:pPr>
        <w:snapToGrid w:val="0"/>
        <w:spacing w:line="440" w:lineRule="exact"/>
        <w:rPr>
          <w:rFonts w:ascii="宋体" w:hAnsi="宋体"/>
          <w:bCs/>
          <w:sz w:val="24"/>
          <w:szCs w:val="24"/>
          <w:highlight w:val="none"/>
        </w:rPr>
      </w:pPr>
      <w:r>
        <w:rPr>
          <w:rFonts w:hint="eastAsia" w:ascii="宋体" w:hAnsi="宋体"/>
          <w:bCs/>
          <w:sz w:val="24"/>
          <w:szCs w:val="24"/>
          <w:highlight w:val="none"/>
        </w:rPr>
        <w:t xml:space="preserve">                             质疑人(全称并加</w:t>
      </w:r>
      <w:r>
        <w:rPr>
          <w:rFonts w:hint="eastAsia" w:ascii="宋体" w:hAnsi="宋体"/>
          <w:bCs/>
          <w:sz w:val="24"/>
          <w:szCs w:val="24"/>
          <w:highlight w:val="none"/>
          <w:u w:val="single"/>
        </w:rPr>
        <w:t>盖</w:t>
      </w:r>
      <w:r>
        <w:rPr>
          <w:rFonts w:hint="eastAsia" w:ascii="宋体" w:hAnsi="宋体"/>
          <w:bCs/>
          <w:sz w:val="24"/>
          <w:szCs w:val="24"/>
          <w:highlight w:val="none"/>
        </w:rPr>
        <w:t>公章)：</w:t>
      </w:r>
      <w:r>
        <w:rPr>
          <w:rFonts w:hint="eastAsia" w:ascii="宋体" w:hAnsi="宋体"/>
          <w:bCs/>
          <w:sz w:val="24"/>
          <w:szCs w:val="24"/>
          <w:highlight w:val="none"/>
          <w:u w:val="single"/>
        </w:rPr>
        <w:t xml:space="preserve">          </w:t>
      </w:r>
    </w:p>
    <w:p>
      <w:pPr>
        <w:snapToGrid w:val="0"/>
        <w:spacing w:line="440" w:lineRule="exact"/>
        <w:rPr>
          <w:rFonts w:ascii="宋体" w:hAnsi="宋体"/>
          <w:bCs/>
          <w:sz w:val="24"/>
          <w:szCs w:val="24"/>
          <w:highlight w:val="none"/>
        </w:rPr>
      </w:pPr>
      <w:r>
        <w:rPr>
          <w:rFonts w:hint="eastAsia" w:ascii="宋体" w:hAnsi="宋体"/>
          <w:bCs/>
          <w:sz w:val="24"/>
          <w:szCs w:val="24"/>
          <w:highlight w:val="none"/>
        </w:rPr>
        <w:t xml:space="preserve">                             法定代表人签字：</w:t>
      </w:r>
      <w:r>
        <w:rPr>
          <w:rFonts w:hint="eastAsia" w:ascii="宋体" w:hAnsi="宋体"/>
          <w:bCs/>
          <w:sz w:val="24"/>
          <w:szCs w:val="24"/>
          <w:highlight w:val="none"/>
          <w:u w:val="single"/>
        </w:rPr>
        <w:t xml:space="preserve">          </w:t>
      </w:r>
    </w:p>
    <w:p>
      <w:pPr>
        <w:snapToGrid w:val="0"/>
        <w:spacing w:line="440" w:lineRule="exact"/>
        <w:rPr>
          <w:rFonts w:ascii="宋体" w:hAnsi="宋体"/>
          <w:bCs/>
          <w:sz w:val="24"/>
          <w:szCs w:val="24"/>
          <w:highlight w:val="none"/>
        </w:rPr>
      </w:pPr>
      <w:r>
        <w:rPr>
          <w:rFonts w:hint="eastAsia" w:ascii="宋体" w:hAnsi="宋体"/>
          <w:bCs/>
          <w:sz w:val="24"/>
          <w:szCs w:val="24"/>
          <w:highlight w:val="none"/>
        </w:rPr>
        <w:t xml:space="preserve">                             委托人签字：</w:t>
      </w:r>
      <w:r>
        <w:rPr>
          <w:rFonts w:hint="eastAsia" w:ascii="宋体" w:hAnsi="宋体"/>
          <w:bCs/>
          <w:sz w:val="24"/>
          <w:szCs w:val="24"/>
          <w:highlight w:val="none"/>
          <w:u w:val="single"/>
        </w:rPr>
        <w:t xml:space="preserve">          </w:t>
      </w:r>
    </w:p>
    <w:p>
      <w:pPr>
        <w:snapToGrid w:val="0"/>
        <w:spacing w:line="440" w:lineRule="exact"/>
        <w:rPr>
          <w:rFonts w:ascii="宋体" w:hAnsi="宋体"/>
          <w:bCs/>
          <w:sz w:val="24"/>
          <w:szCs w:val="24"/>
          <w:highlight w:val="none"/>
          <w:u w:val="single"/>
        </w:rPr>
      </w:pPr>
      <w:r>
        <w:rPr>
          <w:rFonts w:hint="eastAsia" w:ascii="宋体" w:hAnsi="宋体"/>
          <w:bCs/>
          <w:sz w:val="24"/>
          <w:szCs w:val="24"/>
          <w:highlight w:val="none"/>
        </w:rPr>
        <w:t xml:space="preserve">                             地址：</w:t>
      </w:r>
      <w:r>
        <w:rPr>
          <w:rFonts w:hint="eastAsia" w:ascii="宋体" w:hAnsi="宋体"/>
          <w:bCs/>
          <w:sz w:val="24"/>
          <w:szCs w:val="24"/>
          <w:highlight w:val="none"/>
          <w:u w:val="single"/>
        </w:rPr>
        <w:t xml:space="preserve">      </w:t>
      </w:r>
      <w:r>
        <w:rPr>
          <w:rFonts w:hint="eastAsia" w:ascii="宋体" w:hAnsi="宋体"/>
          <w:bCs/>
          <w:sz w:val="24"/>
          <w:szCs w:val="24"/>
          <w:highlight w:val="none"/>
        </w:rPr>
        <w:t>联系电话：</w:t>
      </w:r>
      <w:r>
        <w:rPr>
          <w:rFonts w:hint="eastAsia" w:ascii="宋体" w:hAnsi="宋体"/>
          <w:bCs/>
          <w:sz w:val="24"/>
          <w:szCs w:val="24"/>
          <w:highlight w:val="none"/>
          <w:u w:val="single"/>
        </w:rPr>
        <w:t xml:space="preserve">     </w:t>
      </w:r>
    </w:p>
    <w:p>
      <w:pPr>
        <w:snapToGrid w:val="0"/>
        <w:spacing w:line="440" w:lineRule="exact"/>
        <w:rPr>
          <w:rFonts w:ascii="宋体" w:hAnsi="宋体"/>
          <w:bCs/>
          <w:sz w:val="24"/>
          <w:szCs w:val="24"/>
          <w:highlight w:val="none"/>
          <w:u w:val="single"/>
        </w:rPr>
      </w:pPr>
      <w:r>
        <w:rPr>
          <w:rFonts w:hint="eastAsia" w:ascii="宋体" w:hAnsi="宋体"/>
          <w:bCs/>
          <w:sz w:val="24"/>
          <w:szCs w:val="24"/>
          <w:highlight w:val="none"/>
        </w:rPr>
        <w:t xml:space="preserve">                             邮编：</w:t>
      </w:r>
      <w:r>
        <w:rPr>
          <w:rFonts w:hint="eastAsia" w:ascii="宋体" w:hAnsi="宋体"/>
          <w:bCs/>
          <w:sz w:val="24"/>
          <w:szCs w:val="24"/>
          <w:highlight w:val="none"/>
          <w:u w:val="single"/>
        </w:rPr>
        <w:t xml:space="preserve">      </w:t>
      </w:r>
      <w:r>
        <w:rPr>
          <w:rFonts w:hint="eastAsia" w:ascii="宋体" w:hAnsi="宋体"/>
          <w:bCs/>
          <w:sz w:val="24"/>
          <w:szCs w:val="24"/>
          <w:highlight w:val="none"/>
        </w:rPr>
        <w:t>传真：</w:t>
      </w:r>
      <w:r>
        <w:rPr>
          <w:rFonts w:hint="eastAsia" w:ascii="宋体" w:hAnsi="宋体"/>
          <w:bCs/>
          <w:sz w:val="24"/>
          <w:szCs w:val="24"/>
          <w:highlight w:val="none"/>
          <w:u w:val="single"/>
        </w:rPr>
        <w:t xml:space="preserve">         </w:t>
      </w:r>
    </w:p>
    <w:p>
      <w:pPr>
        <w:snapToGrid w:val="0"/>
        <w:spacing w:line="440" w:lineRule="exact"/>
        <w:rPr>
          <w:rFonts w:ascii="宋体" w:hAnsi="宋体"/>
          <w:bCs/>
          <w:sz w:val="24"/>
          <w:szCs w:val="24"/>
          <w:highlight w:val="none"/>
          <w:u w:val="single"/>
        </w:rPr>
      </w:pPr>
      <w:r>
        <w:rPr>
          <w:rFonts w:hint="eastAsia" w:ascii="宋体" w:hAnsi="宋体"/>
          <w:bCs/>
          <w:sz w:val="24"/>
          <w:szCs w:val="24"/>
          <w:highlight w:val="none"/>
        </w:rPr>
        <w:t xml:space="preserve">                             日期：</w:t>
      </w:r>
      <w:r>
        <w:rPr>
          <w:rFonts w:hint="eastAsia" w:ascii="宋体" w:hAnsi="宋体"/>
          <w:bCs/>
          <w:sz w:val="24"/>
          <w:szCs w:val="24"/>
          <w:highlight w:val="none"/>
          <w:u w:val="single"/>
        </w:rPr>
        <w:t xml:space="preserve">                     </w:t>
      </w:r>
    </w:p>
    <w:p>
      <w:pPr>
        <w:snapToGrid w:val="0"/>
        <w:spacing w:line="440" w:lineRule="exact"/>
        <w:rPr>
          <w:rFonts w:ascii="宋体" w:hAnsi="宋体"/>
          <w:bCs/>
          <w:sz w:val="24"/>
          <w:szCs w:val="24"/>
          <w:highlight w:val="none"/>
        </w:rPr>
      </w:pPr>
      <w:r>
        <w:rPr>
          <w:rFonts w:hint="eastAsia" w:ascii="宋体" w:hAnsi="宋体"/>
          <w:bCs/>
          <w:sz w:val="24"/>
          <w:szCs w:val="24"/>
          <w:highlight w:val="none"/>
        </w:rPr>
        <w:t>注：质疑人提供的资料应包括但不限于以下内容：</w:t>
      </w:r>
    </w:p>
    <w:p>
      <w:pPr>
        <w:snapToGrid w:val="0"/>
        <w:spacing w:line="440" w:lineRule="exact"/>
        <w:rPr>
          <w:rFonts w:ascii="宋体" w:hAnsi="宋体"/>
          <w:bCs/>
          <w:sz w:val="24"/>
          <w:szCs w:val="24"/>
          <w:highlight w:val="none"/>
        </w:rPr>
      </w:pPr>
      <w:r>
        <w:rPr>
          <w:rFonts w:hint="eastAsia" w:ascii="宋体" w:hAnsi="宋体"/>
          <w:bCs/>
          <w:sz w:val="24"/>
          <w:szCs w:val="24"/>
          <w:highlight w:val="none"/>
        </w:rPr>
        <w:t>1、加盖供应商单位公章法定代表人授权书；</w:t>
      </w:r>
    </w:p>
    <w:p>
      <w:pPr>
        <w:snapToGrid w:val="0"/>
        <w:spacing w:line="440" w:lineRule="exact"/>
        <w:rPr>
          <w:rFonts w:ascii="宋体" w:hAnsi="宋体" w:cs="宋体"/>
          <w:sz w:val="24"/>
          <w:szCs w:val="24"/>
          <w:highlight w:val="none"/>
        </w:rPr>
      </w:pPr>
      <w:r>
        <w:rPr>
          <w:rFonts w:hint="eastAsia" w:ascii="宋体" w:hAnsi="宋体"/>
          <w:bCs/>
          <w:sz w:val="24"/>
          <w:szCs w:val="24"/>
          <w:highlight w:val="none"/>
        </w:rPr>
        <w:t>2、明确的请求和供应商单位加盖公章证明材料。</w:t>
      </w:r>
    </w:p>
    <w:p>
      <w:pPr>
        <w:snapToGrid w:val="0"/>
        <w:spacing w:line="440" w:lineRule="exact"/>
        <w:rPr>
          <w:rFonts w:ascii="宋体" w:hAnsi="宋体" w:cs="宋体"/>
          <w:sz w:val="24"/>
          <w:szCs w:val="24"/>
          <w:highlight w:val="none"/>
        </w:rPr>
      </w:pPr>
    </w:p>
    <w:p>
      <w:pPr>
        <w:snapToGrid w:val="0"/>
        <w:spacing w:line="440" w:lineRule="exact"/>
        <w:rPr>
          <w:rFonts w:ascii="宋体" w:hAnsi="宋体" w:cs="宋体"/>
          <w:b/>
          <w:sz w:val="24"/>
          <w:szCs w:val="24"/>
          <w:highlight w:val="none"/>
        </w:rPr>
      </w:pPr>
    </w:p>
    <w:p>
      <w:pPr>
        <w:snapToGrid w:val="0"/>
        <w:spacing w:line="440" w:lineRule="exact"/>
        <w:rPr>
          <w:rFonts w:ascii="宋体" w:hAnsi="宋体" w:cs="宋体"/>
          <w:b/>
          <w:sz w:val="24"/>
          <w:szCs w:val="24"/>
          <w:highlight w:val="none"/>
        </w:rPr>
      </w:pPr>
    </w:p>
    <w:p>
      <w:pPr>
        <w:snapToGrid w:val="0"/>
        <w:spacing w:line="440" w:lineRule="exact"/>
        <w:rPr>
          <w:rFonts w:ascii="宋体" w:hAnsi="宋体" w:cs="宋体"/>
          <w:b/>
          <w:sz w:val="24"/>
          <w:szCs w:val="24"/>
          <w:highlight w:val="none"/>
        </w:rPr>
      </w:pPr>
    </w:p>
    <w:p>
      <w:pPr>
        <w:snapToGrid w:val="0"/>
        <w:spacing w:line="440" w:lineRule="exact"/>
        <w:rPr>
          <w:rFonts w:ascii="宋体" w:hAnsi="宋体" w:cs="宋体"/>
          <w:b/>
          <w:sz w:val="24"/>
          <w:szCs w:val="24"/>
          <w:highlight w:val="none"/>
        </w:rPr>
      </w:pPr>
      <w:r>
        <w:rPr>
          <w:rFonts w:ascii="宋体" w:hAnsi="宋体" w:cs="宋体"/>
          <w:b/>
          <w:sz w:val="24"/>
          <w:szCs w:val="24"/>
          <w:highlight w:val="none"/>
        </w:rPr>
        <w:br w:type="page"/>
      </w:r>
      <w:r>
        <w:rPr>
          <w:rFonts w:hint="eastAsia" w:ascii="宋体" w:hAnsi="宋体" w:cs="宋体"/>
          <w:b/>
          <w:sz w:val="24"/>
          <w:szCs w:val="24"/>
          <w:highlight w:val="none"/>
        </w:rPr>
        <w:t>附表二</w:t>
      </w:r>
    </w:p>
    <w:p>
      <w:pPr>
        <w:snapToGrid w:val="0"/>
        <w:spacing w:line="440" w:lineRule="exact"/>
        <w:ind w:firstLine="482" w:firstLineChars="200"/>
        <w:jc w:val="center"/>
        <w:outlineLvl w:val="0"/>
        <w:rPr>
          <w:rFonts w:ascii="宋体" w:hAnsi="宋体"/>
          <w:sz w:val="24"/>
          <w:szCs w:val="24"/>
          <w:highlight w:val="none"/>
        </w:rPr>
      </w:pPr>
      <w:bookmarkStart w:id="30" w:name="_Toc5031"/>
      <w:bookmarkStart w:id="31" w:name="_Toc16258"/>
      <w:r>
        <w:rPr>
          <w:rFonts w:hint="eastAsia" w:ascii="宋体" w:hAnsi="宋体"/>
          <w:b/>
          <w:bCs/>
          <w:sz w:val="24"/>
          <w:szCs w:val="24"/>
          <w:highlight w:val="none"/>
        </w:rPr>
        <w:t>质疑内容</w:t>
      </w:r>
      <w:bookmarkEnd w:id="30"/>
      <w:bookmarkEnd w:id="31"/>
    </w:p>
    <w:tbl>
      <w:tblPr>
        <w:tblStyle w:val="23"/>
        <w:tblW w:w="0" w:type="auto"/>
        <w:jc w:val="center"/>
        <w:tblLayout w:type="fixed"/>
        <w:tblCellMar>
          <w:top w:w="0" w:type="dxa"/>
          <w:left w:w="0" w:type="dxa"/>
          <w:bottom w:w="0" w:type="dxa"/>
          <w:right w:w="0" w:type="dxa"/>
        </w:tblCellMar>
      </w:tblPr>
      <w:tblGrid>
        <w:gridCol w:w="936"/>
        <w:gridCol w:w="905"/>
        <w:gridCol w:w="6806"/>
      </w:tblGrid>
      <w:tr>
        <w:tblPrEx>
          <w:tblCellMar>
            <w:top w:w="0" w:type="dxa"/>
            <w:left w:w="0" w:type="dxa"/>
            <w:bottom w:w="0" w:type="dxa"/>
            <w:right w:w="0" w:type="dxa"/>
          </w:tblCellMar>
        </w:tblPrEx>
        <w:trPr>
          <w:trHeight w:val="567" w:hRule="atLeast"/>
          <w:jc w:val="center"/>
        </w:trPr>
        <w:tc>
          <w:tcPr>
            <w:tcW w:w="184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440" w:lineRule="exact"/>
              <w:ind w:firstLine="480" w:firstLineChars="200"/>
              <w:outlineLvl w:val="0"/>
              <w:rPr>
                <w:rFonts w:ascii="宋体" w:hAnsi="宋体"/>
                <w:sz w:val="24"/>
                <w:szCs w:val="24"/>
                <w:highlight w:val="none"/>
              </w:rPr>
            </w:pPr>
            <w:bookmarkStart w:id="32" w:name="_Toc21078"/>
            <w:bookmarkStart w:id="33" w:name="_Toc2338"/>
            <w:r>
              <w:rPr>
                <w:rFonts w:hint="eastAsia" w:ascii="宋体" w:hAnsi="宋体"/>
                <w:sz w:val="24"/>
                <w:szCs w:val="24"/>
                <w:highlight w:val="none"/>
              </w:rPr>
              <w:t>项目名称</w:t>
            </w:r>
            <w:bookmarkEnd w:id="32"/>
            <w:bookmarkEnd w:id="33"/>
          </w:p>
        </w:tc>
        <w:tc>
          <w:tcPr>
            <w:tcW w:w="68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napToGrid w:val="0"/>
              <w:spacing w:line="440" w:lineRule="exact"/>
              <w:ind w:firstLine="480" w:firstLineChars="200"/>
              <w:rPr>
                <w:rFonts w:ascii="宋体" w:hAnsi="宋体"/>
                <w:sz w:val="24"/>
                <w:szCs w:val="24"/>
                <w:highlight w:val="none"/>
              </w:rPr>
            </w:pPr>
            <w:r>
              <w:rPr>
                <w:rFonts w:hint="eastAsia" w:ascii="宋体" w:hAnsi="宋体"/>
                <w:sz w:val="24"/>
                <w:szCs w:val="24"/>
                <w:highlight w:val="none"/>
              </w:rPr>
              <w:t> </w:t>
            </w:r>
          </w:p>
        </w:tc>
      </w:tr>
      <w:tr>
        <w:tblPrEx>
          <w:tblCellMar>
            <w:top w:w="0" w:type="dxa"/>
            <w:left w:w="0" w:type="dxa"/>
            <w:bottom w:w="0" w:type="dxa"/>
            <w:right w:w="0" w:type="dxa"/>
          </w:tblCellMar>
        </w:tblPrEx>
        <w:trPr>
          <w:trHeight w:val="567" w:hRule="atLeast"/>
          <w:jc w:val="center"/>
        </w:trPr>
        <w:tc>
          <w:tcPr>
            <w:tcW w:w="184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440" w:lineRule="exact"/>
              <w:ind w:firstLine="480" w:firstLineChars="200"/>
              <w:outlineLvl w:val="0"/>
              <w:rPr>
                <w:rFonts w:ascii="宋体" w:hAnsi="宋体"/>
                <w:sz w:val="24"/>
                <w:szCs w:val="24"/>
                <w:highlight w:val="none"/>
              </w:rPr>
            </w:pPr>
            <w:bookmarkStart w:id="34" w:name="_Toc5211"/>
            <w:bookmarkStart w:id="35" w:name="_Toc19856"/>
            <w:r>
              <w:rPr>
                <w:rFonts w:hint="eastAsia" w:ascii="宋体" w:hAnsi="宋体"/>
                <w:sz w:val="24"/>
                <w:szCs w:val="24"/>
                <w:highlight w:val="none"/>
              </w:rPr>
              <w:t>采购项目编号</w:t>
            </w:r>
            <w:bookmarkEnd w:id="34"/>
            <w:bookmarkEnd w:id="35"/>
          </w:p>
        </w:tc>
        <w:tc>
          <w:tcPr>
            <w:tcW w:w="6806"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440" w:lineRule="exact"/>
              <w:ind w:firstLine="480" w:firstLineChars="200"/>
              <w:rPr>
                <w:rFonts w:ascii="宋体" w:hAnsi="宋体"/>
                <w:sz w:val="24"/>
                <w:szCs w:val="24"/>
                <w:highlight w:val="none"/>
              </w:rPr>
            </w:pPr>
            <w:r>
              <w:rPr>
                <w:rFonts w:hint="eastAsia" w:ascii="宋体" w:hAnsi="宋体"/>
                <w:sz w:val="24"/>
                <w:szCs w:val="24"/>
                <w:highlight w:val="none"/>
              </w:rPr>
              <w:t> </w:t>
            </w:r>
          </w:p>
        </w:tc>
      </w:tr>
      <w:tr>
        <w:tblPrEx>
          <w:tblCellMar>
            <w:top w:w="0" w:type="dxa"/>
            <w:left w:w="0" w:type="dxa"/>
            <w:bottom w:w="0" w:type="dxa"/>
            <w:right w:w="0" w:type="dxa"/>
          </w:tblCellMar>
        </w:tblPrEx>
        <w:trPr>
          <w:cantSplit/>
          <w:trHeight w:val="3879" w:hRule="atLeast"/>
          <w:jc w:val="center"/>
        </w:trPr>
        <w:tc>
          <w:tcPr>
            <w:tcW w:w="9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440" w:lineRule="exact"/>
              <w:ind w:firstLine="480" w:firstLineChars="200"/>
              <w:outlineLvl w:val="0"/>
              <w:rPr>
                <w:rFonts w:ascii="宋体" w:hAnsi="宋体"/>
                <w:sz w:val="24"/>
                <w:szCs w:val="24"/>
                <w:highlight w:val="none"/>
              </w:rPr>
            </w:pPr>
            <w:bookmarkStart w:id="36" w:name="_Toc9705"/>
            <w:bookmarkStart w:id="37" w:name="_Toc19055"/>
            <w:r>
              <w:rPr>
                <w:rFonts w:hint="eastAsia" w:ascii="宋体" w:hAnsi="宋体"/>
                <w:sz w:val="24"/>
                <w:szCs w:val="24"/>
                <w:highlight w:val="none"/>
              </w:rPr>
              <w:t>具体的质疑事项及事实依据</w:t>
            </w:r>
            <w:bookmarkEnd w:id="36"/>
            <w:bookmarkEnd w:id="37"/>
          </w:p>
        </w:tc>
        <w:tc>
          <w:tcPr>
            <w:tcW w:w="7711" w:type="dxa"/>
            <w:gridSpan w:val="2"/>
            <w:tcBorders>
              <w:top w:val="nil"/>
              <w:left w:val="nil"/>
              <w:bottom w:val="single" w:color="auto" w:sz="8" w:space="0"/>
              <w:right w:val="single" w:color="auto" w:sz="8" w:space="0"/>
            </w:tcBorders>
            <w:tcMar>
              <w:top w:w="0" w:type="dxa"/>
              <w:left w:w="108" w:type="dxa"/>
              <w:bottom w:w="0" w:type="dxa"/>
              <w:right w:w="108" w:type="dxa"/>
            </w:tcMar>
          </w:tcPr>
          <w:p>
            <w:pPr>
              <w:snapToGrid w:val="0"/>
              <w:spacing w:line="276" w:lineRule="auto"/>
              <w:ind w:firstLine="482" w:firstLineChars="200"/>
              <w:outlineLvl w:val="0"/>
              <w:rPr>
                <w:rFonts w:ascii="宋体" w:hAnsi="宋体"/>
                <w:sz w:val="24"/>
                <w:szCs w:val="24"/>
                <w:highlight w:val="none"/>
              </w:rPr>
            </w:pPr>
            <w:bookmarkStart w:id="38" w:name="_Toc11039"/>
            <w:bookmarkStart w:id="39" w:name="_Toc13573"/>
            <w:r>
              <w:rPr>
                <w:rFonts w:hint="eastAsia" w:ascii="宋体" w:hAnsi="宋体"/>
                <w:b/>
                <w:bCs/>
                <w:sz w:val="24"/>
                <w:szCs w:val="24"/>
                <w:highlight w:val="none"/>
              </w:rPr>
              <w:t>一、质疑事项1：</w:t>
            </w:r>
            <w:bookmarkEnd w:id="38"/>
            <w:bookmarkEnd w:id="39"/>
          </w:p>
          <w:p>
            <w:pPr>
              <w:snapToGrid w:val="0"/>
              <w:spacing w:line="276" w:lineRule="auto"/>
              <w:ind w:firstLine="480" w:firstLineChars="200"/>
              <w:outlineLvl w:val="0"/>
              <w:rPr>
                <w:rFonts w:ascii="宋体" w:hAnsi="宋体"/>
                <w:sz w:val="24"/>
                <w:szCs w:val="24"/>
                <w:highlight w:val="none"/>
              </w:rPr>
            </w:pPr>
            <w:bookmarkStart w:id="40" w:name="_Toc25614"/>
            <w:bookmarkStart w:id="41" w:name="_Toc23129"/>
            <w:r>
              <w:rPr>
                <w:rFonts w:hint="eastAsia" w:ascii="宋体" w:hAnsi="宋体"/>
                <w:sz w:val="24"/>
                <w:szCs w:val="24"/>
                <w:highlight w:val="none"/>
              </w:rPr>
              <w:t>主要内容：</w:t>
            </w:r>
            <w:bookmarkEnd w:id="40"/>
            <w:bookmarkEnd w:id="41"/>
          </w:p>
          <w:p>
            <w:pPr>
              <w:snapToGrid w:val="0"/>
              <w:spacing w:line="276" w:lineRule="auto"/>
              <w:ind w:firstLine="480" w:firstLineChars="200"/>
              <w:outlineLvl w:val="0"/>
              <w:rPr>
                <w:rFonts w:ascii="宋体" w:hAnsi="宋体"/>
                <w:sz w:val="24"/>
                <w:szCs w:val="24"/>
                <w:highlight w:val="none"/>
              </w:rPr>
            </w:pPr>
            <w:bookmarkStart w:id="42" w:name="_Toc4921"/>
            <w:bookmarkStart w:id="43" w:name="_Toc2762"/>
            <w:r>
              <w:rPr>
                <w:rFonts w:hint="eastAsia" w:ascii="宋体" w:hAnsi="宋体"/>
                <w:sz w:val="24"/>
                <w:szCs w:val="24"/>
                <w:highlight w:val="none"/>
              </w:rPr>
              <w:t>事实依据：</w:t>
            </w:r>
            <w:bookmarkEnd w:id="42"/>
            <w:bookmarkEnd w:id="43"/>
          </w:p>
          <w:p>
            <w:pPr>
              <w:snapToGrid w:val="0"/>
              <w:spacing w:line="276" w:lineRule="auto"/>
              <w:ind w:firstLine="480" w:firstLineChars="200"/>
              <w:outlineLvl w:val="0"/>
              <w:rPr>
                <w:rFonts w:ascii="宋体" w:hAnsi="宋体"/>
                <w:sz w:val="24"/>
                <w:szCs w:val="24"/>
                <w:highlight w:val="none"/>
              </w:rPr>
            </w:pPr>
            <w:bookmarkStart w:id="44" w:name="_Toc24639"/>
            <w:bookmarkStart w:id="45" w:name="_Toc9636"/>
            <w:r>
              <w:rPr>
                <w:rFonts w:hint="eastAsia" w:ascii="宋体" w:hAnsi="宋体"/>
                <w:sz w:val="24"/>
                <w:szCs w:val="24"/>
                <w:highlight w:val="none"/>
              </w:rPr>
              <w:t>适应法规条款：</w:t>
            </w:r>
            <w:bookmarkEnd w:id="44"/>
            <w:bookmarkEnd w:id="45"/>
          </w:p>
          <w:p>
            <w:pPr>
              <w:snapToGrid w:val="0"/>
              <w:spacing w:line="276" w:lineRule="auto"/>
              <w:ind w:firstLine="480" w:firstLineChars="200"/>
              <w:outlineLvl w:val="0"/>
              <w:rPr>
                <w:rFonts w:ascii="宋体" w:hAnsi="宋体"/>
                <w:sz w:val="24"/>
                <w:szCs w:val="24"/>
                <w:highlight w:val="none"/>
              </w:rPr>
            </w:pPr>
            <w:bookmarkStart w:id="46" w:name="_Toc17715"/>
            <w:bookmarkStart w:id="47" w:name="_Toc4949"/>
            <w:r>
              <w:rPr>
                <w:rFonts w:hint="eastAsia" w:ascii="宋体" w:hAnsi="宋体"/>
                <w:sz w:val="24"/>
                <w:szCs w:val="24"/>
                <w:highlight w:val="none"/>
              </w:rPr>
              <w:t>佐证材料：</w:t>
            </w:r>
            <w:bookmarkEnd w:id="46"/>
            <w:bookmarkEnd w:id="47"/>
          </w:p>
          <w:p>
            <w:pPr>
              <w:snapToGrid w:val="0"/>
              <w:spacing w:line="276" w:lineRule="auto"/>
              <w:ind w:firstLine="482" w:firstLineChars="200"/>
              <w:outlineLvl w:val="0"/>
              <w:rPr>
                <w:rFonts w:ascii="宋体" w:hAnsi="宋体"/>
                <w:sz w:val="24"/>
                <w:szCs w:val="24"/>
                <w:highlight w:val="none"/>
              </w:rPr>
            </w:pPr>
            <w:bookmarkStart w:id="48" w:name="_Toc30791"/>
            <w:bookmarkStart w:id="49" w:name="_Toc28263"/>
            <w:r>
              <w:rPr>
                <w:rFonts w:hint="eastAsia" w:ascii="宋体" w:hAnsi="宋体"/>
                <w:b/>
                <w:bCs/>
                <w:sz w:val="24"/>
                <w:szCs w:val="24"/>
                <w:highlight w:val="none"/>
              </w:rPr>
              <w:t>二、质疑事项2：</w:t>
            </w:r>
            <w:bookmarkEnd w:id="48"/>
            <w:bookmarkEnd w:id="49"/>
          </w:p>
          <w:p>
            <w:pPr>
              <w:snapToGrid w:val="0"/>
              <w:spacing w:line="276" w:lineRule="auto"/>
              <w:ind w:firstLine="480" w:firstLineChars="200"/>
              <w:outlineLvl w:val="0"/>
              <w:rPr>
                <w:rFonts w:ascii="宋体" w:hAnsi="宋体"/>
                <w:sz w:val="24"/>
                <w:szCs w:val="24"/>
                <w:highlight w:val="none"/>
              </w:rPr>
            </w:pPr>
            <w:bookmarkStart w:id="50" w:name="_Toc10041"/>
            <w:bookmarkStart w:id="51" w:name="_Toc5157"/>
            <w:r>
              <w:rPr>
                <w:rFonts w:hint="eastAsia" w:ascii="宋体" w:hAnsi="宋体"/>
                <w:sz w:val="24"/>
                <w:szCs w:val="24"/>
                <w:highlight w:val="none"/>
              </w:rPr>
              <w:t>主要内容：</w:t>
            </w:r>
            <w:bookmarkEnd w:id="50"/>
            <w:bookmarkEnd w:id="51"/>
          </w:p>
          <w:p>
            <w:pPr>
              <w:snapToGrid w:val="0"/>
              <w:spacing w:line="276" w:lineRule="auto"/>
              <w:ind w:firstLine="480" w:firstLineChars="200"/>
              <w:outlineLvl w:val="0"/>
              <w:rPr>
                <w:rFonts w:ascii="宋体" w:hAnsi="宋体"/>
                <w:sz w:val="24"/>
                <w:szCs w:val="24"/>
                <w:highlight w:val="none"/>
              </w:rPr>
            </w:pPr>
            <w:bookmarkStart w:id="52" w:name="_Toc2440"/>
            <w:bookmarkStart w:id="53" w:name="_Toc576"/>
            <w:r>
              <w:rPr>
                <w:rFonts w:hint="eastAsia" w:ascii="宋体" w:hAnsi="宋体"/>
                <w:sz w:val="24"/>
                <w:szCs w:val="24"/>
                <w:highlight w:val="none"/>
              </w:rPr>
              <w:t>事实依据：</w:t>
            </w:r>
            <w:bookmarkEnd w:id="52"/>
            <w:bookmarkEnd w:id="53"/>
          </w:p>
          <w:p>
            <w:pPr>
              <w:snapToGrid w:val="0"/>
              <w:spacing w:line="276" w:lineRule="auto"/>
              <w:ind w:firstLine="480" w:firstLineChars="200"/>
              <w:outlineLvl w:val="0"/>
              <w:rPr>
                <w:rFonts w:ascii="宋体" w:hAnsi="宋体"/>
                <w:sz w:val="24"/>
                <w:szCs w:val="24"/>
                <w:highlight w:val="none"/>
              </w:rPr>
            </w:pPr>
            <w:bookmarkStart w:id="54" w:name="_Toc32283"/>
            <w:bookmarkStart w:id="55" w:name="_Toc19804"/>
            <w:r>
              <w:rPr>
                <w:rFonts w:hint="eastAsia" w:ascii="宋体" w:hAnsi="宋体"/>
                <w:sz w:val="24"/>
                <w:szCs w:val="24"/>
                <w:highlight w:val="none"/>
              </w:rPr>
              <w:t>适应法规条款：</w:t>
            </w:r>
            <w:bookmarkEnd w:id="54"/>
            <w:bookmarkEnd w:id="55"/>
          </w:p>
          <w:p>
            <w:pPr>
              <w:snapToGrid w:val="0"/>
              <w:spacing w:line="276" w:lineRule="auto"/>
              <w:ind w:firstLine="480" w:firstLineChars="200"/>
              <w:outlineLvl w:val="0"/>
              <w:rPr>
                <w:rFonts w:ascii="宋体" w:hAnsi="宋体"/>
                <w:sz w:val="24"/>
                <w:szCs w:val="24"/>
                <w:highlight w:val="none"/>
              </w:rPr>
            </w:pPr>
            <w:bookmarkStart w:id="56" w:name="_Toc21267"/>
            <w:bookmarkStart w:id="57" w:name="_Toc20847"/>
            <w:r>
              <w:rPr>
                <w:rFonts w:hint="eastAsia" w:ascii="宋体" w:hAnsi="宋体"/>
                <w:sz w:val="24"/>
                <w:szCs w:val="24"/>
                <w:highlight w:val="none"/>
              </w:rPr>
              <w:t>佐证材料： </w:t>
            </w:r>
            <w:bookmarkEnd w:id="56"/>
            <w:bookmarkEnd w:id="57"/>
          </w:p>
          <w:p>
            <w:pPr>
              <w:snapToGrid w:val="0"/>
              <w:spacing w:line="276" w:lineRule="auto"/>
              <w:ind w:firstLine="482" w:firstLineChars="200"/>
              <w:outlineLvl w:val="0"/>
              <w:rPr>
                <w:rFonts w:ascii="宋体" w:hAnsi="宋体"/>
                <w:sz w:val="24"/>
                <w:szCs w:val="24"/>
                <w:highlight w:val="none"/>
              </w:rPr>
            </w:pPr>
            <w:bookmarkStart w:id="58" w:name="_Toc25584"/>
            <w:bookmarkStart w:id="59" w:name="_Toc27781"/>
            <w:r>
              <w:rPr>
                <w:rFonts w:hint="eastAsia" w:ascii="宋体" w:hAnsi="宋体"/>
                <w:b/>
                <w:bCs/>
                <w:sz w:val="24"/>
                <w:szCs w:val="24"/>
                <w:highlight w:val="none"/>
              </w:rPr>
              <w:t>三、同上</w:t>
            </w:r>
            <w:bookmarkEnd w:id="58"/>
            <w:bookmarkEnd w:id="59"/>
          </w:p>
        </w:tc>
      </w:tr>
    </w:tbl>
    <w:p>
      <w:pPr>
        <w:snapToGrid w:val="0"/>
        <w:spacing w:line="440" w:lineRule="exact"/>
        <w:ind w:firstLine="482" w:firstLineChars="200"/>
        <w:outlineLvl w:val="0"/>
        <w:rPr>
          <w:rFonts w:ascii="宋体" w:hAnsi="宋体"/>
          <w:b/>
          <w:bCs/>
          <w:sz w:val="24"/>
          <w:szCs w:val="24"/>
          <w:highlight w:val="none"/>
        </w:rPr>
      </w:pPr>
      <w:bookmarkStart w:id="60" w:name="_Toc1484"/>
      <w:bookmarkStart w:id="61" w:name="_Toc9069"/>
      <w:r>
        <w:rPr>
          <w:rFonts w:ascii="宋体" w:hAnsi="宋体"/>
          <w:b/>
          <w:bCs/>
          <w:sz w:val="24"/>
          <w:szCs w:val="24"/>
          <w:highlight w:val="none"/>
        </w:rPr>
        <w:t>质疑人</w:t>
      </w:r>
      <w:r>
        <w:rPr>
          <w:rFonts w:hint="eastAsia" w:ascii="宋体" w:hAnsi="宋体"/>
          <w:b/>
          <w:bCs/>
          <w:sz w:val="24"/>
          <w:szCs w:val="24"/>
          <w:highlight w:val="none"/>
        </w:rPr>
        <w:t>（盖公章）：</w:t>
      </w:r>
      <w:bookmarkEnd w:id="60"/>
      <w:bookmarkEnd w:id="61"/>
    </w:p>
    <w:p>
      <w:pPr>
        <w:snapToGrid w:val="0"/>
        <w:spacing w:line="440" w:lineRule="exact"/>
        <w:ind w:firstLine="482" w:firstLineChars="200"/>
        <w:outlineLvl w:val="0"/>
        <w:rPr>
          <w:rFonts w:ascii="宋体" w:hAnsi="宋体"/>
          <w:b/>
          <w:bCs/>
          <w:sz w:val="24"/>
          <w:szCs w:val="24"/>
          <w:highlight w:val="none"/>
        </w:rPr>
      </w:pPr>
      <w:bookmarkStart w:id="62" w:name="_Toc15635"/>
      <w:bookmarkStart w:id="63" w:name="_Toc18025"/>
      <w:r>
        <w:rPr>
          <w:rFonts w:ascii="宋体" w:hAnsi="宋体"/>
          <w:b/>
          <w:bCs/>
          <w:sz w:val="24"/>
          <w:szCs w:val="24"/>
          <w:highlight w:val="none"/>
        </w:rPr>
        <w:t>法定发表人</w:t>
      </w:r>
      <w:r>
        <w:rPr>
          <w:rFonts w:hint="eastAsia" w:ascii="宋体" w:hAnsi="宋体"/>
          <w:b/>
          <w:bCs/>
          <w:sz w:val="24"/>
          <w:szCs w:val="24"/>
          <w:highlight w:val="none"/>
        </w:rPr>
        <w:t>（签字、盖章）：</w:t>
      </w:r>
      <w:bookmarkEnd w:id="62"/>
      <w:bookmarkEnd w:id="63"/>
    </w:p>
    <w:p>
      <w:pPr>
        <w:snapToGrid w:val="0"/>
        <w:spacing w:line="440" w:lineRule="exact"/>
        <w:ind w:firstLine="482" w:firstLineChars="200"/>
        <w:outlineLvl w:val="0"/>
        <w:rPr>
          <w:rFonts w:ascii="宋体" w:hAnsi="宋体"/>
          <w:b/>
          <w:bCs/>
          <w:sz w:val="24"/>
          <w:szCs w:val="24"/>
          <w:highlight w:val="none"/>
        </w:rPr>
      </w:pPr>
      <w:bookmarkStart w:id="64" w:name="_Toc9674"/>
      <w:bookmarkStart w:id="65" w:name="_Toc12827"/>
      <w:r>
        <w:rPr>
          <w:rFonts w:ascii="宋体" w:hAnsi="宋体"/>
          <w:b/>
          <w:bCs/>
          <w:sz w:val="24"/>
          <w:szCs w:val="24"/>
          <w:highlight w:val="none"/>
        </w:rPr>
        <w:t>授权代理人</w:t>
      </w:r>
      <w:r>
        <w:rPr>
          <w:rFonts w:hint="eastAsia" w:ascii="宋体" w:hAnsi="宋体"/>
          <w:b/>
          <w:bCs/>
          <w:sz w:val="24"/>
          <w:szCs w:val="24"/>
          <w:highlight w:val="none"/>
        </w:rPr>
        <w:t>（签字）：</w:t>
      </w:r>
      <w:bookmarkEnd w:id="64"/>
      <w:bookmarkEnd w:id="65"/>
    </w:p>
    <w:p>
      <w:pPr>
        <w:snapToGrid w:val="0"/>
        <w:spacing w:line="440" w:lineRule="exact"/>
        <w:ind w:firstLine="482" w:firstLineChars="200"/>
        <w:outlineLvl w:val="0"/>
        <w:rPr>
          <w:rFonts w:ascii="宋体" w:hAnsi="宋体"/>
          <w:b/>
          <w:bCs/>
          <w:sz w:val="24"/>
          <w:szCs w:val="24"/>
          <w:highlight w:val="none"/>
        </w:rPr>
      </w:pPr>
      <w:bookmarkStart w:id="66" w:name="_Toc10390"/>
      <w:bookmarkStart w:id="67" w:name="_Toc21978"/>
      <w:r>
        <w:rPr>
          <w:rFonts w:ascii="宋体" w:hAnsi="宋体"/>
          <w:b/>
          <w:bCs/>
          <w:sz w:val="24"/>
          <w:szCs w:val="24"/>
          <w:highlight w:val="none"/>
        </w:rPr>
        <w:t>日期</w:t>
      </w:r>
      <w:r>
        <w:rPr>
          <w:rFonts w:hint="eastAsia" w:ascii="宋体" w:hAnsi="宋体"/>
          <w:b/>
          <w:bCs/>
          <w:sz w:val="24"/>
          <w:szCs w:val="24"/>
          <w:highlight w:val="none"/>
        </w:rPr>
        <w:t>：</w:t>
      </w:r>
      <w:r>
        <w:rPr>
          <w:rFonts w:ascii="宋体" w:hAnsi="宋体"/>
          <w:b/>
          <w:bCs/>
          <w:sz w:val="24"/>
          <w:szCs w:val="24"/>
          <w:highlight w:val="none"/>
        </w:rPr>
        <w:t>年</w:t>
      </w:r>
      <w:r>
        <w:rPr>
          <w:rFonts w:hint="eastAsia" w:ascii="宋体" w:hAnsi="宋体"/>
          <w:b/>
          <w:bCs/>
          <w:sz w:val="24"/>
          <w:szCs w:val="24"/>
          <w:highlight w:val="none"/>
        </w:rPr>
        <w:t xml:space="preserve">  月 日</w:t>
      </w:r>
      <w:bookmarkEnd w:id="66"/>
      <w:bookmarkEnd w:id="67"/>
    </w:p>
    <w:p>
      <w:pPr>
        <w:snapToGrid w:val="0"/>
        <w:spacing w:line="440" w:lineRule="exact"/>
        <w:ind w:firstLine="482" w:firstLineChars="200"/>
        <w:outlineLvl w:val="0"/>
        <w:rPr>
          <w:rFonts w:ascii="宋体" w:hAnsi="宋体"/>
          <w:sz w:val="24"/>
          <w:szCs w:val="24"/>
          <w:highlight w:val="none"/>
        </w:rPr>
      </w:pPr>
      <w:bookmarkStart w:id="68" w:name="_Toc3990"/>
      <w:bookmarkStart w:id="69" w:name="_Toc10187"/>
      <w:r>
        <w:rPr>
          <w:rFonts w:hint="eastAsia" w:ascii="宋体" w:hAnsi="宋体"/>
          <w:b/>
          <w:bCs/>
          <w:sz w:val="24"/>
          <w:szCs w:val="24"/>
          <w:highlight w:val="none"/>
        </w:rPr>
        <w:t>备注：</w:t>
      </w:r>
      <w:bookmarkEnd w:id="68"/>
      <w:bookmarkEnd w:id="69"/>
    </w:p>
    <w:p>
      <w:pPr>
        <w:snapToGrid w:val="0"/>
        <w:spacing w:line="440" w:lineRule="exact"/>
        <w:ind w:firstLine="480" w:firstLineChars="200"/>
        <w:outlineLvl w:val="0"/>
        <w:rPr>
          <w:rFonts w:ascii="宋体" w:hAnsi="宋体"/>
          <w:sz w:val="24"/>
          <w:szCs w:val="24"/>
          <w:highlight w:val="none"/>
        </w:rPr>
      </w:pPr>
      <w:bookmarkStart w:id="70" w:name="_Toc21980"/>
      <w:bookmarkStart w:id="71" w:name="_Toc26970"/>
      <w:r>
        <w:rPr>
          <w:rFonts w:hint="eastAsia" w:ascii="宋体" w:hAnsi="宋体"/>
          <w:sz w:val="24"/>
          <w:szCs w:val="24"/>
          <w:highlight w:val="none"/>
        </w:rPr>
        <w:t>1、质疑人的法定代表人办理质疑事务的，在提交质疑函（无需填写授权委托人）的同时，还应提交加盖质疑人公章的营业执照（事业单位法人证书）副本复印件和法定代表人的身份证复印件。并出具身份证原件用于核对。</w:t>
      </w:r>
      <w:bookmarkEnd w:id="70"/>
      <w:bookmarkEnd w:id="71"/>
    </w:p>
    <w:p>
      <w:pPr>
        <w:snapToGrid w:val="0"/>
        <w:spacing w:line="440" w:lineRule="exact"/>
        <w:ind w:firstLine="480" w:firstLineChars="200"/>
        <w:outlineLvl w:val="0"/>
        <w:rPr>
          <w:rFonts w:ascii="宋体" w:hAnsi="宋体"/>
          <w:sz w:val="24"/>
          <w:szCs w:val="24"/>
          <w:highlight w:val="none"/>
        </w:rPr>
      </w:pPr>
      <w:bookmarkStart w:id="72" w:name="_Toc29109"/>
      <w:bookmarkStart w:id="73" w:name="_Toc29931"/>
      <w:r>
        <w:rPr>
          <w:rFonts w:hint="eastAsia" w:ascii="宋体" w:hAnsi="宋体"/>
          <w:sz w:val="24"/>
          <w:szCs w:val="24"/>
          <w:highlight w:val="none"/>
        </w:rPr>
        <w:t>2、授权本项目授权代理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72"/>
      <w:bookmarkEnd w:id="73"/>
    </w:p>
    <w:p>
      <w:pPr>
        <w:snapToGrid w:val="0"/>
        <w:spacing w:line="440" w:lineRule="exact"/>
        <w:ind w:firstLine="480" w:firstLineChars="200"/>
        <w:outlineLvl w:val="0"/>
        <w:rPr>
          <w:rFonts w:ascii="宋体" w:hAnsi="宋体"/>
          <w:sz w:val="24"/>
          <w:szCs w:val="24"/>
          <w:highlight w:val="none"/>
        </w:rPr>
      </w:pPr>
      <w:bookmarkStart w:id="74" w:name="_Toc22526"/>
      <w:bookmarkStart w:id="75" w:name="_Toc22283"/>
      <w:r>
        <w:rPr>
          <w:rFonts w:hint="eastAsia" w:ascii="宋体" w:hAnsi="宋体"/>
          <w:sz w:val="24"/>
          <w:szCs w:val="24"/>
          <w:highlight w:val="none"/>
        </w:rPr>
        <w:t>3、“具体的质疑事项及事实依据”一栏填写不下时，质疑人可另附页（A4），但附纸要求加盖质疑人公章。</w:t>
      </w:r>
      <w:bookmarkEnd w:id="74"/>
      <w:bookmarkEnd w:id="75"/>
    </w:p>
    <w:p>
      <w:pPr>
        <w:snapToGrid w:val="0"/>
        <w:spacing w:line="440" w:lineRule="exact"/>
        <w:ind w:firstLine="480" w:firstLineChars="200"/>
        <w:outlineLvl w:val="0"/>
        <w:rPr>
          <w:rFonts w:ascii="宋体" w:hAnsi="宋体"/>
          <w:sz w:val="24"/>
          <w:szCs w:val="24"/>
          <w:highlight w:val="none"/>
        </w:rPr>
      </w:pPr>
      <w:bookmarkStart w:id="76" w:name="_Toc29680"/>
      <w:bookmarkStart w:id="77" w:name="_Toc13249"/>
      <w:r>
        <w:rPr>
          <w:rFonts w:hint="eastAsia" w:ascii="宋体" w:hAnsi="宋体"/>
          <w:sz w:val="24"/>
          <w:szCs w:val="24"/>
          <w:highlight w:val="none"/>
        </w:rPr>
        <w:t>4、与质疑事项有关的材料应与质疑函合并装订。</w:t>
      </w:r>
      <w:bookmarkEnd w:id="76"/>
      <w:bookmarkEnd w:id="77"/>
    </w:p>
    <w:p>
      <w:pPr>
        <w:snapToGrid w:val="0"/>
        <w:spacing w:line="440" w:lineRule="exact"/>
        <w:ind w:firstLine="480" w:firstLineChars="200"/>
        <w:jc w:val="left"/>
        <w:rPr>
          <w:rFonts w:ascii="宋体" w:hAnsi="宋体"/>
          <w:b/>
          <w:bCs/>
          <w:sz w:val="24"/>
          <w:szCs w:val="24"/>
          <w:highlight w:val="none"/>
        </w:rPr>
      </w:pPr>
      <w:r>
        <w:rPr>
          <w:rFonts w:hint="eastAsia" w:ascii="宋体" w:hAnsi="宋体"/>
          <w:sz w:val="24"/>
          <w:szCs w:val="24"/>
          <w:highlight w:val="none"/>
        </w:rPr>
        <w:t>5、</w:t>
      </w:r>
      <w:r>
        <w:rPr>
          <w:rFonts w:hint="eastAsia" w:ascii="宋体" w:hAnsi="宋体"/>
          <w:b/>
          <w:bCs/>
          <w:sz w:val="24"/>
          <w:szCs w:val="24"/>
          <w:highlight w:val="none"/>
        </w:rPr>
        <w:t>质疑函一式三份。</w:t>
      </w:r>
    </w:p>
    <w:p>
      <w:pPr>
        <w:pStyle w:val="3"/>
        <w:jc w:val="center"/>
        <w:rPr>
          <w:rFonts w:ascii="宋体" w:hAnsi="宋体" w:cs="宋体"/>
          <w:sz w:val="28"/>
          <w:szCs w:val="28"/>
          <w:highlight w:val="none"/>
        </w:rPr>
      </w:pPr>
      <w:r>
        <w:rPr>
          <w:rFonts w:ascii="宋体" w:hAnsi="宋体"/>
          <w:b w:val="0"/>
          <w:bCs/>
          <w:sz w:val="24"/>
          <w:szCs w:val="24"/>
          <w:highlight w:val="none"/>
        </w:rPr>
        <w:br w:type="page"/>
      </w:r>
      <w:bookmarkStart w:id="78" w:name="_Toc3729"/>
      <w:bookmarkStart w:id="79" w:name="_Toc4069"/>
      <w:r>
        <w:rPr>
          <w:rFonts w:hint="eastAsia" w:ascii="宋体" w:hAnsi="宋体" w:cs="宋体"/>
          <w:sz w:val="28"/>
          <w:szCs w:val="28"/>
          <w:highlight w:val="none"/>
        </w:rPr>
        <w:t>第三部分  服务合同</w:t>
      </w:r>
    </w:p>
    <w:p>
      <w:pPr>
        <w:pStyle w:val="3"/>
        <w:jc w:val="center"/>
        <w:rPr>
          <w:rFonts w:ascii="宋体" w:hAnsi="宋体" w:cs="宋体"/>
          <w:b w:val="0"/>
          <w:bCs/>
          <w:sz w:val="28"/>
          <w:szCs w:val="28"/>
          <w:highlight w:val="none"/>
        </w:rPr>
      </w:pPr>
      <w:r>
        <w:rPr>
          <w:rFonts w:hint="eastAsia" w:ascii="宋体" w:hAnsi="宋体" w:cs="宋体"/>
          <w:b w:val="0"/>
          <w:bCs/>
          <w:sz w:val="28"/>
          <w:szCs w:val="28"/>
          <w:highlight w:val="none"/>
        </w:rPr>
        <w:t>（以甲乙双方实际签订为准）</w:t>
      </w:r>
      <w:bookmarkEnd w:id="78"/>
      <w:bookmarkEnd w:id="79"/>
    </w:p>
    <w:p>
      <w:pPr>
        <w:tabs>
          <w:tab w:val="left" w:pos="5551"/>
        </w:tabs>
        <w:autoSpaceDE w:val="0"/>
        <w:autoSpaceDN w:val="0"/>
        <w:spacing w:line="436" w:lineRule="auto"/>
        <w:ind w:left="631" w:right="748" w:firstLine="480"/>
        <w:jc w:val="left"/>
        <w:rPr>
          <w:rFonts w:ascii="宋体" w:hAnsi="宋体" w:cs="宋体"/>
          <w:sz w:val="24"/>
          <w:szCs w:val="24"/>
          <w:highlight w:val="none"/>
          <w:lang w:val="zh-CN" w:bidi="zh-CN"/>
        </w:rPr>
      </w:pPr>
    </w:p>
    <w:p>
      <w:pPr>
        <w:pStyle w:val="7"/>
        <w:rPr>
          <w:rFonts w:ascii="宋体" w:hAnsi="宋体" w:cs="宋体"/>
          <w:color w:val="auto"/>
          <w:kern w:val="0"/>
          <w:sz w:val="24"/>
          <w:highlight w:val="none"/>
          <w:lang w:val="zh-CN"/>
        </w:rPr>
      </w:pPr>
    </w:p>
    <w:p>
      <w:pPr>
        <w:snapToGrid w:val="0"/>
        <w:spacing w:line="360" w:lineRule="auto"/>
        <w:jc w:val="center"/>
        <w:outlineLvl w:val="0"/>
        <w:rPr>
          <w:rFonts w:asciiTheme="minorEastAsia" w:hAnsiTheme="minorEastAsia" w:eastAsiaTheme="minorEastAsia" w:cstheme="minorEastAsia"/>
          <w:b/>
          <w:sz w:val="24"/>
          <w:szCs w:val="24"/>
          <w:highlight w:val="none"/>
        </w:rPr>
      </w:pPr>
      <w:r>
        <w:rPr>
          <w:rFonts w:hint="eastAsia" w:ascii="宋体" w:hAnsi="宋体" w:cs="宋体"/>
          <w:kern w:val="0"/>
          <w:sz w:val="24"/>
          <w:highlight w:val="none"/>
          <w:lang w:val="zh-CN"/>
        </w:rPr>
        <w:br w:type="page"/>
      </w:r>
      <w:bookmarkStart w:id="80" w:name="_Toc28365"/>
      <w:bookmarkStart w:id="81" w:name="_Toc9739"/>
      <w:r>
        <w:rPr>
          <w:rFonts w:hint="eastAsia" w:ascii="宋体" w:hAnsi="宋体"/>
          <w:b/>
          <w:sz w:val="32"/>
          <w:szCs w:val="32"/>
          <w:highlight w:val="none"/>
        </w:rPr>
        <w:t>第四部分 采购需求</w:t>
      </w:r>
      <w:bookmarkEnd w:id="80"/>
      <w:bookmarkEnd w:id="81"/>
    </w:p>
    <w:p>
      <w:pPr>
        <w:spacing w:line="360" w:lineRule="auto"/>
        <w:jc w:val="left"/>
        <w:outlineLvl w:val="1"/>
        <w:rPr>
          <w:rFonts w:ascii="宋体" w:hAnsi="宋体" w:eastAsia="宋体"/>
          <w:b/>
          <w:bCs/>
          <w:sz w:val="28"/>
          <w:szCs w:val="28"/>
          <w:highlight w:val="none"/>
        </w:rPr>
      </w:pPr>
      <w:r>
        <w:rPr>
          <w:rFonts w:hint="eastAsia" w:ascii="宋体" w:hAnsi="宋体" w:eastAsia="宋体"/>
          <w:b/>
          <w:bCs/>
          <w:sz w:val="28"/>
          <w:szCs w:val="28"/>
          <w:highlight w:val="none"/>
        </w:rPr>
        <w:t>一、项目概况</w:t>
      </w:r>
    </w:p>
    <w:p>
      <w:pPr>
        <w:pStyle w:val="100"/>
        <w:spacing w:line="360" w:lineRule="auto"/>
        <w:ind w:firstLine="480"/>
        <w:rPr>
          <w:highlight w:val="none"/>
        </w:rPr>
      </w:pPr>
      <w:r>
        <w:rPr>
          <w:rFonts w:hint="eastAsia"/>
          <w:highlight w:val="none"/>
        </w:rPr>
        <w:t>为</w:t>
      </w:r>
      <w:r>
        <w:rPr>
          <w:rFonts w:hint="eastAsia"/>
          <w:highlight w:val="none"/>
          <w:lang w:val="en-US" w:eastAsia="zh-CN"/>
        </w:rPr>
        <w:t>有序推进</w:t>
      </w:r>
      <w:r>
        <w:rPr>
          <w:rFonts w:hint="eastAsia"/>
          <w:highlight w:val="none"/>
        </w:rPr>
        <w:t>高考综合改革，建设志愿填报系统及数据中台（数据交换中心），</w:t>
      </w:r>
      <w:r>
        <w:rPr>
          <w:rFonts w:hint="eastAsia"/>
          <w:highlight w:val="none"/>
          <w:lang w:val="en-US" w:eastAsia="zh-CN"/>
        </w:rPr>
        <w:t>以</w:t>
      </w:r>
      <w:r>
        <w:rPr>
          <w:rFonts w:hint="eastAsia"/>
          <w:highlight w:val="none"/>
        </w:rPr>
        <w:t>满足</w:t>
      </w:r>
      <w:r>
        <w:rPr>
          <w:highlight w:val="none"/>
        </w:rPr>
        <w:t>高考志愿填报与管理需求。</w:t>
      </w:r>
    </w:p>
    <w:p>
      <w:pPr>
        <w:jc w:val="left"/>
        <w:outlineLvl w:val="1"/>
        <w:rPr>
          <w:rFonts w:ascii="宋体" w:hAnsi="宋体" w:eastAsia="宋体"/>
          <w:b/>
          <w:bCs/>
          <w:sz w:val="28"/>
          <w:szCs w:val="28"/>
          <w:highlight w:val="none"/>
        </w:rPr>
      </w:pPr>
      <w:r>
        <w:rPr>
          <w:rFonts w:hint="eastAsia" w:ascii="宋体" w:hAnsi="宋体" w:eastAsia="宋体"/>
          <w:b/>
          <w:bCs/>
          <w:sz w:val="28"/>
          <w:szCs w:val="28"/>
          <w:highlight w:val="none"/>
        </w:rPr>
        <w:t>二、功能需求</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58"/>
        <w:gridCol w:w="1815"/>
        <w:gridCol w:w="49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58" w:type="dxa"/>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序号</w:t>
            </w:r>
          </w:p>
        </w:tc>
        <w:tc>
          <w:tcPr>
            <w:tcW w:w="1815" w:type="dxa"/>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名称</w:t>
            </w:r>
          </w:p>
        </w:tc>
        <w:tc>
          <w:tcPr>
            <w:tcW w:w="4949" w:type="dxa"/>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功能需求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58" w:type="dxa"/>
            <w:vAlign w:val="center"/>
          </w:tcPr>
          <w:p>
            <w:pPr>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815" w:type="dxa"/>
            <w:vAlign w:val="center"/>
          </w:tcPr>
          <w:p>
            <w:pPr>
              <w:spacing w:line="360" w:lineRule="auto"/>
              <w:rPr>
                <w:rFonts w:ascii="宋体" w:hAnsi="宋体" w:eastAsia="宋体"/>
                <w:sz w:val="24"/>
                <w:szCs w:val="24"/>
                <w:highlight w:val="none"/>
              </w:rPr>
            </w:pPr>
            <w:bookmarkStart w:id="82" w:name="_Hlk151725836"/>
            <w:r>
              <w:rPr>
                <w:rFonts w:hint="eastAsia" w:ascii="宋体" w:hAnsi="宋体" w:eastAsia="宋体" w:cs="宋体"/>
                <w:kern w:val="0"/>
                <w:sz w:val="24"/>
                <w:szCs w:val="24"/>
                <w:highlight w:val="none"/>
              </w:rPr>
              <w:t>志愿填报系统</w:t>
            </w:r>
            <w:bookmarkEnd w:id="82"/>
          </w:p>
        </w:tc>
        <w:tc>
          <w:tcPr>
            <w:tcW w:w="4949" w:type="dxa"/>
          </w:tcPr>
          <w:p>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策略设置</w:t>
            </w:r>
            <w:r>
              <w:rPr>
                <w:rFonts w:hint="eastAsia" w:ascii="宋体" w:hAnsi="宋体" w:eastAsia="宋体"/>
                <w:sz w:val="24"/>
                <w:szCs w:val="24"/>
                <w:highlight w:val="none"/>
              </w:rPr>
              <w:t>：建设高考志愿填报策略设置功能，包括志愿填报说明、填报通知配置、志愿基础信息维护、填报阶段时间控制、院校专业组填报条件设置、院校专业填报条件设置、考生填报条件增补、数据同步、考生信息初始化。</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（1）</w:t>
            </w:r>
            <w:r>
              <w:rPr>
                <w:rFonts w:ascii="宋体" w:hAnsi="宋体" w:eastAsia="宋体"/>
                <w:sz w:val="24"/>
                <w:szCs w:val="22"/>
                <w:highlight w:val="none"/>
              </w:rPr>
              <w:t>志愿填报说明</w:t>
            </w:r>
            <w:r>
              <w:rPr>
                <w:rFonts w:hint="eastAsia" w:ascii="宋体" w:hAnsi="宋体" w:eastAsia="宋体"/>
                <w:sz w:val="24"/>
                <w:szCs w:val="22"/>
                <w:highlight w:val="none"/>
              </w:rPr>
              <w:t>：考试院对考生志愿填报、登录等相关信息的宣贯。自治区级管理员对志愿填报说明信息进行配置，支持</w:t>
            </w:r>
            <w:r>
              <w:rPr>
                <w:rFonts w:ascii="宋体" w:hAnsi="宋体" w:eastAsia="宋体"/>
                <w:sz w:val="24"/>
                <w:szCs w:val="22"/>
                <w:highlight w:val="none"/>
              </w:rPr>
              <w:t>word文档导入、在线文本编辑，附件上传。内容发布在考生端WEB登录页、考生端移动调研登录页、考生端WEB—志愿填报说明查看、考生端APP—志愿填报说明查看。</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（2）</w:t>
            </w:r>
            <w:r>
              <w:rPr>
                <w:rFonts w:ascii="宋体" w:hAnsi="宋体" w:eastAsia="宋体"/>
                <w:sz w:val="24"/>
                <w:szCs w:val="22"/>
                <w:highlight w:val="none"/>
              </w:rPr>
              <w:t>填报通知配置</w:t>
            </w:r>
            <w:r>
              <w:rPr>
                <w:rFonts w:hint="eastAsia" w:ascii="宋体" w:hAnsi="宋体" w:eastAsia="宋体"/>
                <w:sz w:val="24"/>
                <w:szCs w:val="22"/>
                <w:highlight w:val="none"/>
              </w:rPr>
              <w:t>：考试院对考生志愿填报注意事项提醒。考生登录系统弹窗提醒消息配置，考生登录系统、志愿填报前均弹窗提醒；支持</w:t>
            </w:r>
            <w:r>
              <w:rPr>
                <w:rFonts w:ascii="宋体" w:hAnsi="宋体" w:eastAsia="宋体"/>
                <w:sz w:val="24"/>
                <w:szCs w:val="22"/>
                <w:highlight w:val="none"/>
              </w:rPr>
              <w:t>word文档导入、在线文本编辑。</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（3）</w:t>
            </w:r>
            <w:r>
              <w:rPr>
                <w:rFonts w:ascii="宋体" w:hAnsi="宋体" w:eastAsia="宋体"/>
                <w:sz w:val="24"/>
                <w:szCs w:val="22"/>
                <w:highlight w:val="none"/>
              </w:rPr>
              <w:t>志愿基础信息维护</w:t>
            </w:r>
            <w:r>
              <w:rPr>
                <w:rFonts w:hint="eastAsia" w:ascii="宋体" w:hAnsi="宋体" w:eastAsia="宋体"/>
                <w:sz w:val="24"/>
                <w:szCs w:val="22"/>
                <w:highlight w:val="none"/>
              </w:rPr>
              <w:t>：自治区级管理员对计划志愿的填报阶段、分组名称、计划分类名称、批次、科类、计划性质、计划类别等字典进行管理，支持单个新增、编辑、删除、</w:t>
            </w:r>
            <w:r>
              <w:rPr>
                <w:rFonts w:ascii="宋体" w:hAnsi="宋体" w:eastAsia="宋体"/>
                <w:sz w:val="24"/>
                <w:szCs w:val="22"/>
                <w:highlight w:val="none"/>
              </w:rPr>
              <w:t>EXCEL模版导入。</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（4）</w:t>
            </w:r>
            <w:r>
              <w:rPr>
                <w:rFonts w:ascii="宋体" w:hAnsi="宋体" w:eastAsia="宋体"/>
                <w:sz w:val="24"/>
                <w:szCs w:val="22"/>
                <w:highlight w:val="none"/>
              </w:rPr>
              <w:t>填报阶段时间控制</w:t>
            </w:r>
            <w:r>
              <w:rPr>
                <w:rFonts w:hint="eastAsia" w:ascii="宋体" w:hAnsi="宋体" w:eastAsia="宋体"/>
                <w:sz w:val="24"/>
                <w:szCs w:val="22"/>
                <w:highlight w:val="none"/>
              </w:rPr>
              <w:t>：自治区级管理员对填报阶段的填报时间和志愿提交时间进行页面设置，开关和时间双重控制。</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（5）</w:t>
            </w:r>
            <w:r>
              <w:rPr>
                <w:rFonts w:ascii="宋体" w:hAnsi="宋体" w:eastAsia="宋体"/>
                <w:sz w:val="24"/>
                <w:szCs w:val="22"/>
                <w:highlight w:val="none"/>
              </w:rPr>
              <w:t>▲院校专业填报条件设置</w:t>
            </w:r>
            <w:r>
              <w:rPr>
                <w:rFonts w:hint="eastAsia" w:ascii="宋体" w:hAnsi="宋体" w:eastAsia="宋体"/>
                <w:sz w:val="24"/>
                <w:szCs w:val="22"/>
                <w:highlight w:val="none"/>
              </w:rPr>
              <w:t>：自治区级管理员为院校专业设置考生填报条件，包括但不限于考试类型</w:t>
            </w:r>
            <w:r>
              <w:rPr>
                <w:rFonts w:ascii="宋体" w:hAnsi="宋体" w:eastAsia="宋体"/>
                <w:sz w:val="24"/>
                <w:szCs w:val="22"/>
                <w:highlight w:val="none"/>
              </w:rPr>
              <w:t>等，支持单个新增、删除、编辑、批量编辑。</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（6）</w:t>
            </w:r>
            <w:r>
              <w:rPr>
                <w:rFonts w:ascii="宋体" w:hAnsi="宋体" w:eastAsia="宋体"/>
                <w:sz w:val="24"/>
                <w:szCs w:val="22"/>
                <w:highlight w:val="none"/>
              </w:rPr>
              <w:t>▲院校专业填报条件设置</w:t>
            </w:r>
            <w:r>
              <w:rPr>
                <w:rFonts w:hint="eastAsia" w:ascii="宋体" w:hAnsi="宋体" w:eastAsia="宋体"/>
                <w:sz w:val="24"/>
                <w:szCs w:val="22"/>
                <w:highlight w:val="none"/>
              </w:rPr>
              <w:t>：自治区级管理员为院校专业设置考生填报条件，包括但不限于考试类型</w:t>
            </w:r>
            <w:r>
              <w:rPr>
                <w:rFonts w:ascii="宋体" w:hAnsi="宋体" w:eastAsia="宋体"/>
                <w:sz w:val="24"/>
                <w:szCs w:val="22"/>
                <w:highlight w:val="none"/>
              </w:rPr>
              <w:t>等，支持单个新增、删除、编辑、批量编辑。</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（7）</w:t>
            </w:r>
            <w:r>
              <w:rPr>
                <w:rFonts w:ascii="宋体" w:hAnsi="宋体" w:eastAsia="宋体"/>
                <w:sz w:val="24"/>
                <w:szCs w:val="22"/>
                <w:highlight w:val="none"/>
              </w:rPr>
              <w:t>▲考生填报条件增补</w:t>
            </w:r>
            <w:r>
              <w:rPr>
                <w:rFonts w:hint="eastAsia" w:ascii="宋体" w:hAnsi="宋体" w:eastAsia="宋体"/>
                <w:sz w:val="24"/>
                <w:szCs w:val="22"/>
                <w:highlight w:val="none"/>
              </w:rPr>
              <w:t>：考生填报资格初始化后，由于非考生操作的系统数据错误导致考生填报志愿受限，无法正常填报志愿。</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（8）</w:t>
            </w:r>
            <w:r>
              <w:rPr>
                <w:rFonts w:ascii="宋体" w:hAnsi="宋体" w:eastAsia="宋体"/>
                <w:sz w:val="24"/>
                <w:szCs w:val="22"/>
                <w:highlight w:val="none"/>
              </w:rPr>
              <w:t>数据同步</w:t>
            </w:r>
            <w:r>
              <w:rPr>
                <w:rFonts w:hint="eastAsia" w:ascii="宋体" w:hAnsi="宋体" w:eastAsia="宋体"/>
                <w:sz w:val="24"/>
                <w:szCs w:val="22"/>
                <w:highlight w:val="none"/>
              </w:rPr>
              <w:t>：基础数据同步是同步志愿填报相关的基础信息表，完成系统基础数据表的更新或者覆盖，在不同的填报阶段开启，招生计划信息会发生改变。</w:t>
            </w:r>
          </w:p>
          <w:p>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考生信息初始化</w:t>
            </w:r>
            <w:r>
              <w:rPr>
                <w:rFonts w:hint="eastAsia" w:ascii="宋体" w:hAnsi="宋体" w:eastAsia="宋体"/>
                <w:sz w:val="24"/>
                <w:szCs w:val="24"/>
                <w:highlight w:val="none"/>
              </w:rPr>
              <w:t>：考生志愿填报前，需准备好考生的填报资格信息。</w:t>
            </w:r>
            <w:r>
              <w:rPr>
                <w:rFonts w:ascii="宋体" w:hAnsi="宋体" w:eastAsia="宋体"/>
                <w:sz w:val="24"/>
                <w:szCs w:val="24"/>
                <w:highlight w:val="none"/>
              </w:rPr>
              <w:t>页面提供初始化功能按钮和初始化记录信息；考生资格信息需要代码化，某项填报资格可能同时有多个。</w:t>
            </w:r>
          </w:p>
          <w:p>
            <w:pPr>
              <w:spacing w:line="360" w:lineRule="auto"/>
              <w:jc w:val="left"/>
              <w:rPr>
                <w:rFonts w:ascii="宋体" w:hAnsi="宋体" w:eastAsia="宋体"/>
                <w:sz w:val="24"/>
                <w:szCs w:val="22"/>
                <w:highlight w:val="none"/>
              </w:rPr>
            </w:pPr>
            <w:r>
              <w:rPr>
                <w:rFonts w:ascii="宋体" w:hAnsi="宋体" w:eastAsia="宋体"/>
                <w:sz w:val="24"/>
                <w:szCs w:val="22"/>
                <w:highlight w:val="none"/>
              </w:rPr>
              <w:t>2</w:t>
            </w:r>
            <w:r>
              <w:rPr>
                <w:rFonts w:hint="eastAsia" w:ascii="宋体" w:hAnsi="宋体" w:eastAsia="宋体"/>
                <w:sz w:val="24"/>
                <w:szCs w:val="22"/>
                <w:highlight w:val="none"/>
              </w:rPr>
              <w:t>、</w:t>
            </w:r>
            <w:r>
              <w:rPr>
                <w:rFonts w:ascii="宋体" w:hAnsi="宋体" w:eastAsia="宋体"/>
                <w:sz w:val="24"/>
                <w:szCs w:val="22"/>
                <w:highlight w:val="none"/>
              </w:rPr>
              <w:t>填报信息管理</w:t>
            </w:r>
            <w:r>
              <w:rPr>
                <w:rFonts w:hint="eastAsia" w:ascii="宋体" w:hAnsi="宋体" w:eastAsia="宋体"/>
                <w:sz w:val="24"/>
                <w:szCs w:val="22"/>
                <w:highlight w:val="none"/>
              </w:rPr>
              <w:t>：建设填报信息管理，实现志愿填报情况可视化分析、考生填报志愿状态查询、招生计划管理、异常考生数据追踪。</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（1）</w:t>
            </w:r>
            <w:r>
              <w:rPr>
                <w:rFonts w:ascii="宋体" w:hAnsi="宋体" w:eastAsia="宋体"/>
                <w:sz w:val="24"/>
                <w:szCs w:val="22"/>
                <w:highlight w:val="none"/>
              </w:rPr>
              <w:t>▲志愿填报情况可视化分析</w:t>
            </w:r>
            <w:r>
              <w:rPr>
                <w:rFonts w:hint="eastAsia" w:ascii="宋体" w:hAnsi="宋体" w:eastAsia="宋体"/>
                <w:sz w:val="24"/>
                <w:szCs w:val="22"/>
                <w:highlight w:val="none"/>
              </w:rPr>
              <w:t>：志愿填报情况可视化分析概览、选择填报阶段、查看填报阶段统计。</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（2）</w:t>
            </w:r>
            <w:r>
              <w:rPr>
                <w:rFonts w:ascii="宋体" w:hAnsi="宋体" w:eastAsia="宋体"/>
                <w:sz w:val="24"/>
                <w:szCs w:val="22"/>
                <w:highlight w:val="none"/>
              </w:rPr>
              <w:t>考生填报志愿状态查询</w:t>
            </w:r>
            <w:r>
              <w:rPr>
                <w:rFonts w:hint="eastAsia" w:ascii="宋体" w:hAnsi="宋体" w:eastAsia="宋体"/>
                <w:sz w:val="24"/>
                <w:szCs w:val="22"/>
                <w:highlight w:val="none"/>
              </w:rPr>
              <w:t>：根据填报阶段，地（州、市），县（市、区），报名单位，成绩，填报状态，查询志愿填报状态，下载志愿填报状态。考虑系统性能，数据初始加载时不展示统计数据。</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（3）</w:t>
            </w:r>
            <w:r>
              <w:rPr>
                <w:rFonts w:ascii="宋体" w:hAnsi="宋体" w:eastAsia="宋体"/>
                <w:sz w:val="24"/>
                <w:szCs w:val="22"/>
                <w:highlight w:val="none"/>
              </w:rPr>
              <w:t>招生计划管理</w:t>
            </w:r>
            <w:r>
              <w:rPr>
                <w:rFonts w:hint="eastAsia" w:ascii="宋体" w:hAnsi="宋体" w:eastAsia="宋体"/>
                <w:sz w:val="24"/>
                <w:szCs w:val="22"/>
                <w:highlight w:val="none"/>
              </w:rPr>
              <w:t>：自治区级管理员可从相关系统同步获取或新增招生计划，支持多维度查询计划，如通过填报阶段、录取批次、科类、类别、专业、院校资料组合查询，可编辑对应的招生计划信息，可删除对应的计划信息。</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（4）</w:t>
            </w:r>
            <w:r>
              <w:rPr>
                <w:rFonts w:ascii="宋体" w:hAnsi="宋体" w:eastAsia="宋体"/>
                <w:sz w:val="24"/>
                <w:szCs w:val="22"/>
                <w:highlight w:val="none"/>
              </w:rPr>
              <w:t>▲异常考生数据追踪</w:t>
            </w:r>
            <w:r>
              <w:rPr>
                <w:rFonts w:hint="eastAsia" w:ascii="宋体" w:hAnsi="宋体" w:eastAsia="宋体"/>
                <w:sz w:val="24"/>
                <w:szCs w:val="22"/>
                <w:highlight w:val="none"/>
              </w:rPr>
              <w:t>：异常考生追踪是指在招生批次开放填报阶段，招生计划发生变更，导致已填志愿考生的志愿数据错误。自治区级管理员查看不同填报阶段因计划变更触发的异常考生统计信息，包括原异常考生总数、现存异常考生总数（比例），支持对现存异常考生发送短信提醒、全量异常考生名单和现存异常考生名单下载、计划变更记录查看。</w:t>
            </w:r>
          </w:p>
          <w:p>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▲公安类院校管理</w:t>
            </w:r>
            <w:r>
              <w:rPr>
                <w:rFonts w:hint="eastAsia" w:ascii="宋体" w:hAnsi="宋体" w:eastAsia="宋体"/>
                <w:sz w:val="24"/>
                <w:szCs w:val="24"/>
                <w:highlight w:val="none"/>
              </w:rPr>
              <w:t>：选择院校点击查询，即可查询处理院校信息，功能包括院校导入、导入功能需要配合导入模板使用、导出院校数据、新增新的院校信息。</w:t>
            </w:r>
          </w:p>
          <w:p>
            <w:pPr>
              <w:spacing w:line="360" w:lineRule="auto"/>
              <w:jc w:val="left"/>
              <w:rPr>
                <w:rFonts w:ascii="宋体" w:hAnsi="宋体" w:eastAsia="宋体"/>
                <w:sz w:val="24"/>
                <w:szCs w:val="22"/>
                <w:highlight w:val="none"/>
              </w:rPr>
            </w:pPr>
            <w:r>
              <w:rPr>
                <w:rFonts w:ascii="宋体" w:hAnsi="宋体" w:eastAsia="宋体"/>
                <w:sz w:val="24"/>
                <w:szCs w:val="22"/>
                <w:highlight w:val="none"/>
              </w:rPr>
              <w:t>3</w:t>
            </w:r>
            <w:r>
              <w:rPr>
                <w:rFonts w:hint="eastAsia" w:ascii="宋体" w:hAnsi="宋体" w:eastAsia="宋体"/>
                <w:sz w:val="24"/>
                <w:szCs w:val="22"/>
                <w:highlight w:val="none"/>
              </w:rPr>
              <w:t>、</w:t>
            </w:r>
            <w:r>
              <w:rPr>
                <w:rFonts w:ascii="宋体" w:hAnsi="宋体" w:eastAsia="宋体"/>
                <w:sz w:val="24"/>
                <w:szCs w:val="22"/>
                <w:highlight w:val="none"/>
              </w:rPr>
              <w:t>志愿安全管理</w:t>
            </w:r>
            <w:r>
              <w:rPr>
                <w:rFonts w:hint="eastAsia" w:ascii="宋体" w:hAnsi="宋体" w:eastAsia="宋体"/>
                <w:sz w:val="24"/>
                <w:szCs w:val="22"/>
                <w:highlight w:val="none"/>
              </w:rPr>
              <w:t>：考生志愿数据为敏感数据，涉及敏感数据的操作，实现加密方式传输及业务流程控制。</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（1）</w:t>
            </w:r>
            <w:r>
              <w:rPr>
                <w:rFonts w:ascii="宋体" w:hAnsi="宋体" w:eastAsia="宋体"/>
                <w:sz w:val="24"/>
                <w:szCs w:val="22"/>
                <w:highlight w:val="none"/>
              </w:rPr>
              <w:t>▲志愿数据加密传输</w:t>
            </w:r>
            <w:r>
              <w:rPr>
                <w:rFonts w:hint="eastAsia" w:ascii="宋体" w:hAnsi="宋体" w:eastAsia="宋体"/>
                <w:sz w:val="24"/>
                <w:szCs w:val="22"/>
                <w:highlight w:val="none"/>
              </w:rPr>
              <w:t>：考生志愿数据为敏感数据，涉及到数据传输时，采用对称密码</w:t>
            </w:r>
            <w:r>
              <w:rPr>
                <w:rFonts w:ascii="宋体" w:hAnsi="宋体" w:eastAsia="宋体"/>
                <w:sz w:val="24"/>
                <w:szCs w:val="22"/>
                <w:highlight w:val="none"/>
              </w:rPr>
              <w:t>+非对称密码加密的方式进行传输。</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（2）</w:t>
            </w:r>
            <w:r>
              <w:rPr>
                <w:rFonts w:ascii="宋体" w:hAnsi="宋体" w:eastAsia="宋体"/>
                <w:sz w:val="24"/>
                <w:szCs w:val="22"/>
                <w:highlight w:val="none"/>
              </w:rPr>
              <w:t>▲业务流程控制</w:t>
            </w:r>
            <w:r>
              <w:rPr>
                <w:rFonts w:hint="eastAsia" w:ascii="宋体" w:hAnsi="宋体" w:eastAsia="宋体"/>
                <w:sz w:val="24"/>
                <w:szCs w:val="22"/>
                <w:highlight w:val="none"/>
              </w:rPr>
              <w:t>：志愿安全管理业务流程控制功能包括联合密码设置、志愿填报日志查看、考试端参数配置、志愿防伪码验证。</w:t>
            </w:r>
          </w:p>
          <w:p>
            <w:pPr>
              <w:spacing w:line="360" w:lineRule="auto"/>
              <w:jc w:val="left"/>
              <w:rPr>
                <w:rFonts w:ascii="宋体" w:hAnsi="宋体" w:eastAsia="宋体"/>
                <w:sz w:val="24"/>
                <w:szCs w:val="22"/>
                <w:highlight w:val="none"/>
              </w:rPr>
            </w:pPr>
            <w:r>
              <w:rPr>
                <w:rFonts w:ascii="宋体" w:hAnsi="宋体" w:eastAsia="宋体"/>
                <w:sz w:val="24"/>
                <w:szCs w:val="22"/>
                <w:highlight w:val="none"/>
              </w:rPr>
              <w:t>4</w:t>
            </w:r>
            <w:r>
              <w:rPr>
                <w:rFonts w:hint="eastAsia" w:ascii="宋体" w:hAnsi="宋体" w:eastAsia="宋体"/>
                <w:sz w:val="24"/>
                <w:szCs w:val="22"/>
                <w:highlight w:val="none"/>
              </w:rPr>
              <w:t>、</w:t>
            </w:r>
            <w:r>
              <w:rPr>
                <w:rFonts w:ascii="宋体" w:hAnsi="宋体" w:eastAsia="宋体"/>
                <w:sz w:val="24"/>
                <w:szCs w:val="22"/>
                <w:highlight w:val="none"/>
              </w:rPr>
              <w:t>查询服务</w:t>
            </w:r>
            <w:r>
              <w:rPr>
                <w:rFonts w:hint="eastAsia" w:ascii="宋体" w:hAnsi="宋体" w:eastAsia="宋体"/>
                <w:sz w:val="24"/>
                <w:szCs w:val="22"/>
                <w:highlight w:val="none"/>
              </w:rPr>
              <w:t>：为考生提供院校计划查询、历史志愿</w:t>
            </w:r>
            <w:r>
              <w:rPr>
                <w:rFonts w:hint="eastAsia" w:ascii="宋体" w:hAnsi="宋体"/>
                <w:sz w:val="24"/>
                <w:szCs w:val="22"/>
                <w:highlight w:val="none"/>
                <w:lang w:val="en-US" w:eastAsia="zh-CN"/>
              </w:rPr>
              <w:t>等</w:t>
            </w:r>
            <w:r>
              <w:rPr>
                <w:rFonts w:hint="eastAsia" w:ascii="宋体" w:hAnsi="宋体" w:eastAsia="宋体"/>
                <w:sz w:val="24"/>
                <w:szCs w:val="22"/>
                <w:highlight w:val="none"/>
              </w:rPr>
              <w:t>服务查询。</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（1）</w:t>
            </w:r>
            <w:r>
              <w:rPr>
                <w:rFonts w:ascii="宋体" w:hAnsi="宋体" w:eastAsia="宋体"/>
                <w:sz w:val="24"/>
                <w:szCs w:val="22"/>
                <w:highlight w:val="none"/>
              </w:rPr>
              <w:t>院校计划查询</w:t>
            </w:r>
            <w:r>
              <w:rPr>
                <w:rFonts w:hint="eastAsia" w:ascii="宋体" w:hAnsi="宋体" w:eastAsia="宋体"/>
                <w:sz w:val="24"/>
                <w:szCs w:val="22"/>
                <w:highlight w:val="none"/>
              </w:rPr>
              <w:t>：考生可以进行计划分类检索，按条件选择后展示院校计划，点击收藏可添加至收藏夹。</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（2）</w:t>
            </w:r>
            <w:r>
              <w:rPr>
                <w:rFonts w:ascii="宋体" w:hAnsi="宋体" w:eastAsia="宋体"/>
                <w:sz w:val="24"/>
                <w:szCs w:val="22"/>
                <w:highlight w:val="none"/>
              </w:rPr>
              <w:t>历史志愿服务查询</w:t>
            </w:r>
            <w:r>
              <w:rPr>
                <w:rFonts w:hint="eastAsia" w:ascii="宋体" w:hAnsi="宋体" w:eastAsia="宋体"/>
                <w:sz w:val="24"/>
                <w:szCs w:val="22"/>
                <w:highlight w:val="none"/>
              </w:rPr>
              <w:t>：支持考生查看历史志愿和已添加收藏夹的志愿，进一步添加至草稿箱可用于考生志愿填报。</w:t>
            </w:r>
          </w:p>
          <w:p>
            <w:pPr>
              <w:spacing w:line="360" w:lineRule="auto"/>
              <w:jc w:val="left"/>
              <w:rPr>
                <w:rFonts w:ascii="宋体" w:hAnsi="宋体" w:eastAsia="宋体"/>
                <w:sz w:val="24"/>
                <w:szCs w:val="22"/>
                <w:highlight w:val="none"/>
              </w:rPr>
            </w:pPr>
            <w:r>
              <w:rPr>
                <w:rFonts w:ascii="宋体" w:hAnsi="宋体" w:eastAsia="宋体"/>
                <w:sz w:val="24"/>
                <w:szCs w:val="22"/>
                <w:highlight w:val="none"/>
              </w:rPr>
              <w:t>5</w:t>
            </w:r>
            <w:r>
              <w:rPr>
                <w:rFonts w:hint="eastAsia" w:ascii="宋体" w:hAnsi="宋体" w:eastAsia="宋体"/>
                <w:sz w:val="24"/>
                <w:szCs w:val="22"/>
                <w:highlight w:val="none"/>
              </w:rPr>
              <w:t>、</w:t>
            </w:r>
            <w:r>
              <w:rPr>
                <w:rFonts w:ascii="宋体" w:hAnsi="宋体" w:eastAsia="宋体"/>
                <w:sz w:val="24"/>
                <w:szCs w:val="22"/>
                <w:highlight w:val="none"/>
              </w:rPr>
              <w:t>志愿填报</w:t>
            </w:r>
            <w:r>
              <w:rPr>
                <w:rFonts w:hint="eastAsia" w:ascii="宋体" w:hAnsi="宋体" w:eastAsia="宋体"/>
                <w:sz w:val="24"/>
                <w:szCs w:val="22"/>
                <w:highlight w:val="none"/>
              </w:rPr>
              <w:t>：考生可根据本人的选考科目，对照高校要求，填报一个或多个相应的</w:t>
            </w:r>
            <w:r>
              <w:rPr>
                <w:rFonts w:ascii="宋体" w:hAnsi="宋体" w:eastAsia="宋体"/>
                <w:sz w:val="24"/>
                <w:szCs w:val="22"/>
                <w:highlight w:val="none"/>
              </w:rPr>
              <w:t>志愿。</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（1）</w:t>
            </w:r>
            <w:r>
              <w:rPr>
                <w:rFonts w:ascii="宋体" w:hAnsi="宋体" w:eastAsia="宋体"/>
                <w:sz w:val="24"/>
                <w:szCs w:val="22"/>
                <w:highlight w:val="none"/>
              </w:rPr>
              <w:t>▲志愿填报</w:t>
            </w:r>
            <w:r>
              <w:rPr>
                <w:rFonts w:hint="eastAsia" w:ascii="宋体" w:hAnsi="宋体" w:eastAsia="宋体"/>
                <w:sz w:val="24"/>
                <w:szCs w:val="22"/>
                <w:highlight w:val="none"/>
              </w:rPr>
              <w:t>：考生直观的查看个人基本信息及本人当前阶段可填报的批次、科类、计划类别。并进行志愿填报。</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（2）</w:t>
            </w:r>
            <w:r>
              <w:rPr>
                <w:rFonts w:ascii="宋体" w:hAnsi="宋体" w:eastAsia="宋体"/>
                <w:sz w:val="24"/>
                <w:szCs w:val="22"/>
                <w:highlight w:val="none"/>
              </w:rPr>
              <w:t>已填报志愿查看</w:t>
            </w:r>
            <w:r>
              <w:rPr>
                <w:rFonts w:hint="eastAsia" w:ascii="宋体" w:hAnsi="宋体" w:eastAsia="宋体"/>
                <w:sz w:val="24"/>
                <w:szCs w:val="22"/>
                <w:highlight w:val="none"/>
              </w:rPr>
              <w:t>：考生查看正在进行和已结束填报阶段的已填报志愿信息。以填报阶段为维度检索考生志愿填报记录；日志记录字段包括填报阶段、计划分类（批次、科类、计划类别）、已填报志愿数量、操作记录、操作时间、</w:t>
            </w:r>
            <w:r>
              <w:rPr>
                <w:rFonts w:ascii="宋体" w:hAnsi="宋体" w:eastAsia="宋体"/>
                <w:sz w:val="24"/>
                <w:szCs w:val="22"/>
                <w:highlight w:val="none"/>
              </w:rPr>
              <w:t>IP、填报来源。</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（3）</w:t>
            </w:r>
            <w:r>
              <w:rPr>
                <w:rFonts w:ascii="宋体" w:hAnsi="宋体" w:eastAsia="宋体"/>
                <w:sz w:val="24"/>
                <w:szCs w:val="22"/>
                <w:highlight w:val="none"/>
              </w:rPr>
              <w:t>▲系统日志查看</w:t>
            </w:r>
            <w:r>
              <w:rPr>
                <w:rFonts w:hint="eastAsia" w:ascii="宋体" w:hAnsi="宋体" w:eastAsia="宋体"/>
                <w:sz w:val="24"/>
                <w:szCs w:val="22"/>
                <w:highlight w:val="none"/>
              </w:rPr>
              <w:t>：考生的登录日志和系统操作日志查看。登录日志记录字段包括登录账号、登录来源、登录方式、登录终端、登录</w:t>
            </w:r>
            <w:r>
              <w:rPr>
                <w:rFonts w:ascii="宋体" w:hAnsi="宋体" w:eastAsia="宋体"/>
                <w:sz w:val="24"/>
                <w:szCs w:val="22"/>
                <w:highlight w:val="none"/>
              </w:rPr>
              <w:t>IP、登录地点、终端信息、登录结果、登录时间；操作日志记录字段包括用户ID、日志类型、日志内容、操作类型、IP地址、方法名｜请求地址、请求参数、请求类型、操作时间。</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（4）</w:t>
            </w:r>
            <w:r>
              <w:rPr>
                <w:rFonts w:ascii="宋体" w:hAnsi="宋体" w:eastAsia="宋体"/>
                <w:sz w:val="24"/>
                <w:szCs w:val="22"/>
                <w:highlight w:val="none"/>
              </w:rPr>
              <w:t>日志填报日志</w:t>
            </w:r>
            <w:r>
              <w:rPr>
                <w:rFonts w:hint="eastAsia" w:ascii="宋体" w:hAnsi="宋体" w:eastAsia="宋体"/>
                <w:sz w:val="24"/>
                <w:szCs w:val="22"/>
                <w:highlight w:val="none"/>
              </w:rPr>
              <w:t>：考生查看正在进行和已结束填报阶段的已填报志愿信息。</w:t>
            </w:r>
          </w:p>
          <w:p>
            <w:pPr>
              <w:spacing w:line="360" w:lineRule="auto"/>
              <w:jc w:val="left"/>
              <w:rPr>
                <w:rFonts w:ascii="宋体" w:hAnsi="宋体" w:eastAsia="宋体"/>
                <w:sz w:val="24"/>
                <w:szCs w:val="22"/>
                <w:highlight w:val="none"/>
              </w:rPr>
            </w:pPr>
            <w:r>
              <w:rPr>
                <w:rFonts w:ascii="宋体" w:hAnsi="宋体" w:eastAsia="宋体"/>
                <w:sz w:val="24"/>
                <w:szCs w:val="22"/>
                <w:highlight w:val="none"/>
              </w:rPr>
              <w:t>6</w:t>
            </w:r>
            <w:r>
              <w:rPr>
                <w:rFonts w:hint="eastAsia" w:ascii="宋体" w:hAnsi="宋体" w:eastAsia="宋体"/>
                <w:sz w:val="24"/>
                <w:szCs w:val="22"/>
                <w:highlight w:val="none"/>
              </w:rPr>
              <w:t>、</w:t>
            </w:r>
            <w:r>
              <w:rPr>
                <w:rFonts w:ascii="宋体" w:hAnsi="宋体" w:eastAsia="宋体"/>
                <w:sz w:val="24"/>
                <w:szCs w:val="22"/>
                <w:highlight w:val="none"/>
              </w:rPr>
              <w:t>通知消息</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通过短信发送消息，向考生反馈填报进度，提醒尚未提交志愿的考生及时登录系统提交。</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（1）</w:t>
            </w:r>
            <w:r>
              <w:rPr>
                <w:rFonts w:ascii="宋体" w:hAnsi="宋体" w:eastAsia="宋体"/>
                <w:sz w:val="24"/>
                <w:szCs w:val="22"/>
                <w:highlight w:val="none"/>
              </w:rPr>
              <w:t>考生填报志愿状态查询</w:t>
            </w:r>
            <w:r>
              <w:rPr>
                <w:rFonts w:hint="eastAsia" w:ascii="宋体" w:hAnsi="宋体" w:eastAsia="宋体"/>
                <w:sz w:val="24"/>
                <w:szCs w:val="22"/>
                <w:highlight w:val="none"/>
              </w:rPr>
              <w:t>：管理用户通过填报阶段、成绩项等条件查看考生的志愿填报状态，了解考生的填报情况。自治区级管理员可查看全区考生信息，地（州、市）管理员查看本市的考生信息，县（市、区）管理员查看本区县的考生信息，报名单位查看本单位的考生信息。</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（2）</w:t>
            </w:r>
            <w:r>
              <w:rPr>
                <w:rFonts w:ascii="宋体" w:hAnsi="宋体" w:eastAsia="宋体"/>
                <w:sz w:val="24"/>
                <w:szCs w:val="22"/>
                <w:highlight w:val="none"/>
              </w:rPr>
              <w:t>▲通知消息提醒发送</w:t>
            </w:r>
            <w:r>
              <w:rPr>
                <w:rFonts w:hint="eastAsia" w:ascii="宋体" w:hAnsi="宋体" w:eastAsia="宋体"/>
                <w:sz w:val="24"/>
                <w:szCs w:val="22"/>
                <w:highlight w:val="none"/>
              </w:rPr>
              <w:t>：自治区级管理员可查看全区考生信息，对满足成绩要求但未填报并且未录取的考生发送短信提醒。</w:t>
            </w:r>
          </w:p>
          <w:p>
            <w:pPr>
              <w:spacing w:line="360" w:lineRule="auto"/>
              <w:jc w:val="left"/>
              <w:rPr>
                <w:rFonts w:ascii="宋体" w:hAnsi="宋体" w:eastAsia="宋体"/>
                <w:sz w:val="24"/>
                <w:szCs w:val="22"/>
                <w:highlight w:val="none"/>
              </w:rPr>
            </w:pPr>
            <w:r>
              <w:rPr>
                <w:rFonts w:ascii="宋体" w:hAnsi="宋体" w:eastAsia="宋体"/>
                <w:sz w:val="24"/>
                <w:szCs w:val="22"/>
                <w:highlight w:val="none"/>
              </w:rPr>
              <w:t>7</w:t>
            </w:r>
            <w:r>
              <w:rPr>
                <w:rFonts w:hint="eastAsia" w:ascii="宋体" w:hAnsi="宋体" w:eastAsia="宋体"/>
                <w:sz w:val="24"/>
                <w:szCs w:val="22"/>
                <w:highlight w:val="none"/>
              </w:rPr>
              <w:t>、</w:t>
            </w:r>
            <w:r>
              <w:rPr>
                <w:rFonts w:ascii="宋体" w:hAnsi="宋体" w:eastAsia="宋体"/>
                <w:sz w:val="24"/>
                <w:szCs w:val="22"/>
                <w:highlight w:val="none"/>
              </w:rPr>
              <w:t>志愿数据下载</w:t>
            </w:r>
            <w:r>
              <w:rPr>
                <w:rFonts w:hint="eastAsia" w:ascii="宋体" w:hAnsi="宋体" w:eastAsia="宋体"/>
                <w:sz w:val="24"/>
                <w:szCs w:val="22"/>
                <w:highlight w:val="none"/>
              </w:rPr>
              <w:t>：自治区考试院和院校可以下载志愿数据，使用场景例如可以为公安、军队院校按比例提供志愿考生名单，可以为非大陆院校提供志愿考生名单，可以为分类招生及专升本院校提供考生志愿数据下载。</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（1）</w:t>
            </w:r>
            <w:r>
              <w:rPr>
                <w:rFonts w:ascii="宋体" w:hAnsi="宋体" w:eastAsia="宋体"/>
                <w:sz w:val="24"/>
                <w:szCs w:val="22"/>
                <w:highlight w:val="none"/>
              </w:rPr>
              <w:t>志愿数据下载校验</w:t>
            </w:r>
            <w:r>
              <w:rPr>
                <w:rFonts w:hint="eastAsia" w:ascii="宋体" w:hAnsi="宋体" w:eastAsia="宋体"/>
                <w:sz w:val="24"/>
                <w:szCs w:val="22"/>
                <w:highlight w:val="none"/>
              </w:rPr>
              <w:t>：志愿数据下载需要联合密码校验或实人认证校验。</w:t>
            </w:r>
          </w:p>
          <w:p>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志愿数据下载格式</w:t>
            </w:r>
            <w:r>
              <w:rPr>
                <w:rFonts w:hint="eastAsia" w:ascii="宋体" w:hAnsi="宋体" w:eastAsia="宋体"/>
                <w:sz w:val="24"/>
                <w:szCs w:val="24"/>
                <w:highlight w:val="none"/>
              </w:rPr>
              <w:t>：志愿数据下载格式支持</w:t>
            </w:r>
            <w:r>
              <w:rPr>
                <w:rFonts w:ascii="宋体" w:hAnsi="宋体" w:eastAsia="宋体"/>
                <w:sz w:val="24"/>
                <w:szCs w:val="24"/>
                <w:highlight w:val="none"/>
              </w:rPr>
              <w:t>DBF、PDF、Excel下载，文件命名规则：阶段名称+填报日期+当前日期。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58" w:type="dxa"/>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2</w:t>
            </w:r>
          </w:p>
        </w:tc>
        <w:tc>
          <w:tcPr>
            <w:tcW w:w="1815" w:type="dxa"/>
            <w:vAlign w:val="center"/>
          </w:tcPr>
          <w:p>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数据中台</w:t>
            </w:r>
          </w:p>
        </w:tc>
        <w:tc>
          <w:tcPr>
            <w:tcW w:w="4949" w:type="dxa"/>
          </w:tcPr>
          <w:p>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数据交换中心</w:t>
            </w:r>
            <w:r>
              <w:rPr>
                <w:rFonts w:hint="eastAsia" w:ascii="宋体" w:hAnsi="宋体" w:eastAsia="宋体"/>
                <w:sz w:val="24"/>
                <w:szCs w:val="24"/>
                <w:highlight w:val="none"/>
              </w:rPr>
              <w:t>：支持跨网络多级的多源异构数据采集与数据共享，从教育招生考试业务系统中抽取必要的数据，形成业务数据库。</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（1）</w:t>
            </w:r>
            <w:r>
              <w:rPr>
                <w:rFonts w:ascii="宋体" w:hAnsi="宋体" w:eastAsia="宋体"/>
                <w:sz w:val="24"/>
                <w:szCs w:val="22"/>
                <w:highlight w:val="none"/>
              </w:rPr>
              <w:t>运行管理</w:t>
            </w:r>
            <w:r>
              <w:rPr>
                <w:rFonts w:hint="eastAsia" w:ascii="宋体" w:hAnsi="宋体" w:eastAsia="宋体"/>
                <w:sz w:val="24"/>
                <w:szCs w:val="22"/>
                <w:highlight w:val="none"/>
              </w:rPr>
              <w:t>：运行管理是对整个数据资源交换所运行的所有</w:t>
            </w:r>
            <w:r>
              <w:rPr>
                <w:rFonts w:ascii="宋体" w:hAnsi="宋体" w:eastAsia="宋体"/>
                <w:sz w:val="24"/>
                <w:szCs w:val="22"/>
                <w:highlight w:val="none"/>
              </w:rPr>
              <w:t>IT实体，包括服务器、接入交换节点信息以及交换流程等软件模块进行管理，其中包括对平台服务管理、交换中心控制管理和交换流程管理。</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（2）</w:t>
            </w:r>
            <w:r>
              <w:rPr>
                <w:rFonts w:ascii="宋体" w:hAnsi="宋体" w:eastAsia="宋体"/>
                <w:sz w:val="24"/>
                <w:szCs w:val="22"/>
                <w:highlight w:val="none"/>
              </w:rPr>
              <w:t>▲数据总线</w:t>
            </w:r>
            <w:r>
              <w:rPr>
                <w:rFonts w:hint="eastAsia" w:ascii="宋体" w:hAnsi="宋体" w:eastAsia="宋体"/>
                <w:sz w:val="24"/>
                <w:szCs w:val="22"/>
                <w:highlight w:val="none"/>
              </w:rPr>
              <w:t>：数据总线是数据交换与共享的模块，负责将数据采集到中心，将中心的数据共享出去。支持多数据源、异构数据交换，支持主流数据库之间数据交换，例如</w:t>
            </w:r>
            <w:r>
              <w:rPr>
                <w:rFonts w:ascii="宋体" w:hAnsi="宋体" w:eastAsia="宋体"/>
                <w:sz w:val="24"/>
                <w:szCs w:val="22"/>
                <w:highlight w:val="none"/>
              </w:rPr>
              <w:t xml:space="preserve"> Oracle，db2，MS SQL Server，Sybase，mysql、PostgreSQL、Cache、Hive、达梦数据库、HBase、HDFS、Easticsearch 等。</w:t>
            </w:r>
          </w:p>
          <w:p>
            <w:pPr>
              <w:spacing w:line="360" w:lineRule="auto"/>
              <w:jc w:val="left"/>
              <w:rPr>
                <w:rFonts w:ascii="宋体" w:hAnsi="宋体" w:eastAsia="宋体"/>
                <w:sz w:val="24"/>
                <w:szCs w:val="22"/>
                <w:highlight w:val="none"/>
              </w:rPr>
            </w:pPr>
            <w:r>
              <w:rPr>
                <w:rFonts w:hint="eastAsia" w:ascii="宋体" w:hAnsi="宋体" w:eastAsia="宋体"/>
                <w:sz w:val="24"/>
                <w:szCs w:val="22"/>
                <w:highlight w:val="none"/>
              </w:rPr>
              <w:t>（3）</w:t>
            </w:r>
            <w:r>
              <w:rPr>
                <w:rFonts w:ascii="宋体" w:hAnsi="宋体" w:eastAsia="宋体"/>
                <w:sz w:val="24"/>
                <w:szCs w:val="22"/>
                <w:highlight w:val="none"/>
              </w:rPr>
              <w:t>▲交换与集成任务管理</w:t>
            </w:r>
            <w:r>
              <w:rPr>
                <w:rFonts w:hint="eastAsia" w:ascii="宋体" w:hAnsi="宋体" w:eastAsia="宋体"/>
                <w:sz w:val="24"/>
                <w:szCs w:val="22"/>
                <w:highlight w:val="none"/>
              </w:rPr>
              <w:t>：实现数据的交换与集成功能提供可视化的交换网络配置管理，支持交换网络健康状态、数据流量、数据异常等监控。</w:t>
            </w:r>
          </w:p>
          <w:p>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交换中心管理</w:t>
            </w:r>
            <w:r>
              <w:rPr>
                <w:rFonts w:hint="eastAsia" w:ascii="宋体" w:hAnsi="宋体" w:eastAsia="宋体"/>
                <w:sz w:val="24"/>
                <w:szCs w:val="24"/>
                <w:highlight w:val="none"/>
              </w:rPr>
              <w:t>：数据资源中心，提供对中心数据的查询与维护功能。</w:t>
            </w:r>
          </w:p>
          <w:p>
            <w:pPr>
              <w:spacing w:line="360" w:lineRule="auto"/>
              <w:jc w:val="left"/>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w:t>
            </w:r>
            <w:r>
              <w:rPr>
                <w:rFonts w:hint="eastAsia" w:ascii="宋体" w:hAnsi="宋体" w:eastAsia="宋体"/>
                <w:sz w:val="24"/>
                <w:szCs w:val="24"/>
                <w:highlight w:val="none"/>
              </w:rPr>
              <w:t>系统对接：与短信平台、容灾备份系统、日志审计系统对接。</w:t>
            </w:r>
          </w:p>
          <w:p>
            <w:pPr>
              <w:spacing w:line="360" w:lineRule="auto"/>
              <w:jc w:val="left"/>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、录取交互专题分析：打造领导视角的志愿填报与录取情况的数据可视化分析。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58" w:type="dxa"/>
            <w:vAlign w:val="center"/>
          </w:tcPr>
          <w:p>
            <w:pPr>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1815" w:type="dxa"/>
            <w:vAlign w:val="center"/>
          </w:tcPr>
          <w:p>
            <w:pPr>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二年运维服务</w:t>
            </w:r>
          </w:p>
        </w:tc>
        <w:tc>
          <w:tcPr>
            <w:tcW w:w="4949" w:type="dxa"/>
          </w:tcPr>
          <w:p>
            <w:pPr>
              <w:spacing w:line="360" w:lineRule="auto"/>
              <w:rPr>
                <w:rFonts w:ascii="宋体" w:hAnsi="宋体" w:eastAsia="宋体"/>
                <w:sz w:val="24"/>
                <w:szCs w:val="22"/>
                <w:highlight w:val="none"/>
              </w:rPr>
            </w:pPr>
            <w:r>
              <w:rPr>
                <w:rFonts w:hint="eastAsia" w:ascii="宋体" w:hAnsi="宋体" w:eastAsia="宋体"/>
                <w:sz w:val="24"/>
                <w:szCs w:val="22"/>
                <w:highlight w:val="none"/>
              </w:rPr>
              <w:t>建设完成后根据阶段任务由承建方提供</w:t>
            </w:r>
            <w:r>
              <w:rPr>
                <w:rFonts w:ascii="宋体" w:hAnsi="宋体" w:eastAsia="宋体"/>
                <w:sz w:val="24"/>
                <w:szCs w:val="22"/>
                <w:highlight w:val="none"/>
              </w:rPr>
              <w:t>2年系统运维，运维内容包括：</w:t>
            </w:r>
          </w:p>
          <w:p>
            <w:pPr>
              <w:spacing w:line="360" w:lineRule="auto"/>
              <w:rPr>
                <w:rFonts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▲日常运维</w:t>
            </w:r>
            <w:r>
              <w:rPr>
                <w:rFonts w:hint="eastAsia" w:ascii="宋体" w:hAnsi="宋体" w:eastAsia="宋体"/>
                <w:sz w:val="24"/>
                <w:szCs w:val="24"/>
                <w:highlight w:val="none"/>
              </w:rPr>
              <w:t>：运维期提供驻场值守</w:t>
            </w:r>
            <w:r>
              <w:rPr>
                <w:rFonts w:ascii="宋体" w:hAnsi="宋体" w:eastAsia="宋体"/>
                <w:sz w:val="24"/>
                <w:szCs w:val="24"/>
                <w:highlight w:val="none"/>
              </w:rPr>
              <w:t>1人、二线远程团队2人提供运维服务，保障系统稳定运行。运维内容包括基础设施巡检与故障排查、系统巡检和故障排查、应急响应服务、技术指导与问题解答、数据技术运维、系统安全性运维。</w:t>
            </w:r>
          </w:p>
          <w:p>
            <w:pPr>
              <w:spacing w:line="360" w:lineRule="auto"/>
              <w:rPr>
                <w:rFonts w:ascii="宋体" w:hAnsi="宋体" w:eastAsia="宋体"/>
                <w:sz w:val="24"/>
                <w:szCs w:val="22"/>
                <w:highlight w:val="none"/>
              </w:rPr>
            </w:pPr>
            <w:r>
              <w:rPr>
                <w:rFonts w:hint="eastAsia" w:ascii="宋体" w:hAnsi="宋体" w:eastAsia="宋体"/>
                <w:sz w:val="24"/>
                <w:szCs w:val="22"/>
                <w:highlight w:val="none"/>
              </w:rPr>
              <w:t>2、</w:t>
            </w:r>
            <w:r>
              <w:rPr>
                <w:rFonts w:ascii="宋体" w:hAnsi="宋体" w:eastAsia="宋体"/>
                <w:sz w:val="24"/>
                <w:szCs w:val="22"/>
                <w:highlight w:val="none"/>
              </w:rPr>
              <w:t>▲关键业务时期运维</w:t>
            </w:r>
            <w:r>
              <w:rPr>
                <w:rFonts w:hint="eastAsia" w:ascii="宋体" w:hAnsi="宋体" w:eastAsia="宋体"/>
                <w:sz w:val="24"/>
                <w:szCs w:val="22"/>
                <w:highlight w:val="none"/>
              </w:rPr>
              <w:t>：根据高考管理业务实际，在志愿填报等关键业务开展时期，增加驻场值守</w:t>
            </w:r>
            <w:r>
              <w:rPr>
                <w:rFonts w:ascii="宋体" w:hAnsi="宋体" w:eastAsia="宋体"/>
                <w:sz w:val="24"/>
                <w:szCs w:val="22"/>
                <w:highlight w:val="none"/>
              </w:rPr>
              <w:t>2人、二线远程团队2人提供关键业务保障技术支持。</w:t>
            </w:r>
          </w:p>
          <w:p>
            <w:pPr>
              <w:spacing w:line="360" w:lineRule="auto"/>
              <w:rPr>
                <w:rFonts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▲系统优化</w:t>
            </w:r>
            <w:r>
              <w:rPr>
                <w:rFonts w:hint="eastAsia" w:ascii="宋体" w:hAnsi="宋体" w:eastAsia="宋体"/>
                <w:sz w:val="24"/>
                <w:szCs w:val="24"/>
                <w:highlight w:val="none"/>
              </w:rPr>
              <w:t>：运维期内，收集普招教育考试院各业务部室部、信息部、考生及院校使用意见后进行功能优化，如根据需求新增业务及数据统计功能。。</w:t>
            </w:r>
          </w:p>
        </w:tc>
      </w:tr>
    </w:tbl>
    <w:p>
      <w:pPr>
        <w:jc w:val="left"/>
        <w:outlineLvl w:val="1"/>
        <w:rPr>
          <w:rFonts w:ascii="宋体" w:hAnsi="宋体" w:eastAsia="宋体"/>
          <w:b/>
          <w:bCs/>
          <w:sz w:val="28"/>
          <w:szCs w:val="28"/>
          <w:highlight w:val="none"/>
        </w:rPr>
      </w:pPr>
      <w:r>
        <w:rPr>
          <w:rFonts w:hint="eastAsia" w:ascii="宋体" w:hAnsi="宋体" w:eastAsia="宋体"/>
          <w:b/>
          <w:bCs/>
          <w:sz w:val="28"/>
          <w:szCs w:val="28"/>
          <w:highlight w:val="none"/>
        </w:rPr>
        <w:t>三、性能需求</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98"/>
        <w:gridCol w:w="1852"/>
        <w:gridCol w:w="487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98" w:type="dxa"/>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序号</w:t>
            </w:r>
          </w:p>
        </w:tc>
        <w:tc>
          <w:tcPr>
            <w:tcW w:w="1852" w:type="dxa"/>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名称</w:t>
            </w:r>
          </w:p>
        </w:tc>
        <w:tc>
          <w:tcPr>
            <w:tcW w:w="4872" w:type="dxa"/>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性能需求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98" w:type="dxa"/>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w:t>
            </w:r>
          </w:p>
        </w:tc>
        <w:tc>
          <w:tcPr>
            <w:tcW w:w="1852" w:type="dxa"/>
            <w:vAlign w:val="center"/>
          </w:tcPr>
          <w:p>
            <w:pPr>
              <w:spacing w:line="360" w:lineRule="auto"/>
              <w:rPr>
                <w:rFonts w:ascii="宋体" w:hAnsi="宋体" w:eastAsia="宋体"/>
                <w:sz w:val="24"/>
                <w:szCs w:val="24"/>
                <w:highlight w:val="none"/>
              </w:rPr>
            </w:pPr>
            <w:r>
              <w:rPr>
                <w:rFonts w:hint="eastAsia" w:ascii="宋体" w:hAnsi="宋体" w:eastAsia="宋体"/>
                <w:sz w:val="24"/>
                <w:szCs w:val="24"/>
                <w:highlight w:val="none"/>
              </w:rPr>
              <w:t>技术性能</w:t>
            </w:r>
          </w:p>
        </w:tc>
        <w:tc>
          <w:tcPr>
            <w:tcW w:w="4872" w:type="dxa"/>
          </w:tcPr>
          <w:p>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1、技术路线采用微服务架构、J2EE 技术体系。系统的功能满足当前业务处理的需求，并充分考虑未来业务种类不断增长和用户不断增长的需求。各系统功能模块采用组件化结构设计，同时能够满足未来新增业务系统的复用和共享。</w:t>
            </w:r>
          </w:p>
          <w:p>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2、在系统开发中，保证系统的可维护性，合理设计应用体系结构，同时，系统提供友好的二次开发接口，方便对功能进行增加和修改。</w:t>
            </w:r>
          </w:p>
          <w:p>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3、整个系统易于管理，操作简单、易学、易用，便于进行系统配置。安全性、易操作性、适应性、灵活性、可扩展性等达到市场先进水准。</w:t>
            </w:r>
          </w:p>
          <w:p>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4、数据导出格式的种类和数量满足采购人使用需要。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98" w:type="dxa"/>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2</w:t>
            </w:r>
          </w:p>
        </w:tc>
        <w:tc>
          <w:tcPr>
            <w:tcW w:w="1852" w:type="dxa"/>
            <w:vAlign w:val="center"/>
          </w:tcPr>
          <w:p>
            <w:pPr>
              <w:spacing w:line="360" w:lineRule="auto"/>
              <w:jc w:val="left"/>
              <w:rPr>
                <w:rFonts w:ascii="宋体" w:hAnsi="宋体" w:eastAsia="宋体"/>
                <w:sz w:val="24"/>
                <w:szCs w:val="24"/>
                <w:highlight w:val="none"/>
              </w:rPr>
            </w:pPr>
            <w:r>
              <w:rPr>
                <w:rFonts w:ascii="宋体" w:hAnsi="宋体" w:eastAsia="宋体"/>
                <w:sz w:val="24"/>
                <w:szCs w:val="24"/>
                <w:highlight w:val="none"/>
              </w:rPr>
              <w:t>▲</w:t>
            </w:r>
            <w:r>
              <w:rPr>
                <w:rFonts w:hint="eastAsia" w:ascii="宋体" w:hAnsi="宋体" w:eastAsia="宋体"/>
                <w:sz w:val="24"/>
                <w:szCs w:val="24"/>
                <w:highlight w:val="none"/>
              </w:rPr>
              <w:t>性能指标</w:t>
            </w:r>
          </w:p>
        </w:tc>
        <w:tc>
          <w:tcPr>
            <w:tcW w:w="4872" w:type="dxa"/>
          </w:tcPr>
          <w:p>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采用基于可扩展、可插拔、支持分布式部署基于微服务架构的技术路线。常规使用场景下，业务系统的新增、修改、删除操作响应时间不超过 3 秒，查询统计、列表显示页面响应时间不超过 10 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98" w:type="dxa"/>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3</w:t>
            </w:r>
          </w:p>
        </w:tc>
        <w:tc>
          <w:tcPr>
            <w:tcW w:w="1852" w:type="dxa"/>
            <w:vAlign w:val="center"/>
          </w:tcPr>
          <w:p>
            <w:pPr>
              <w:spacing w:line="360" w:lineRule="auto"/>
              <w:jc w:val="left"/>
              <w:rPr>
                <w:rFonts w:ascii="宋体" w:hAnsi="宋体" w:eastAsia="宋体" w:cs="宋体"/>
                <w:kern w:val="0"/>
                <w:sz w:val="24"/>
                <w:szCs w:val="24"/>
                <w:highlight w:val="none"/>
              </w:rPr>
            </w:pPr>
            <w:r>
              <w:rPr>
                <w:rFonts w:hint="eastAsia" w:ascii="宋体" w:hAnsi="宋体" w:eastAsia="宋体"/>
                <w:sz w:val="24"/>
                <w:szCs w:val="24"/>
                <w:highlight w:val="none"/>
              </w:rPr>
              <w:t>稳定性</w:t>
            </w:r>
          </w:p>
        </w:tc>
        <w:tc>
          <w:tcPr>
            <w:tcW w:w="4872" w:type="dxa"/>
          </w:tcPr>
          <w:p>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系统保证 7*24 小时不间断运行；平均修复时间≤2 小时；可用率≥99%。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98" w:type="dxa"/>
            <w:vAlign w:val="center"/>
          </w:tcPr>
          <w:p>
            <w:pPr>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1852" w:type="dxa"/>
            <w:vAlign w:val="center"/>
          </w:tcPr>
          <w:p>
            <w:pPr>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可用性</w:t>
            </w:r>
          </w:p>
        </w:tc>
        <w:tc>
          <w:tcPr>
            <w:tcW w:w="4872" w:type="dxa"/>
          </w:tcPr>
          <w:p>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当用户做一些处理时间较长的操作时，能给出提示信息提醒用户。在返回数据量过大导致响应时间过长时，能提供部分响应，例如分页取数据等，减少操作人员等待的时间。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98" w:type="dxa"/>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5</w:t>
            </w:r>
          </w:p>
        </w:tc>
        <w:tc>
          <w:tcPr>
            <w:tcW w:w="1852" w:type="dxa"/>
            <w:vAlign w:val="center"/>
          </w:tcPr>
          <w:p>
            <w:pPr>
              <w:spacing w:line="360" w:lineRule="auto"/>
              <w:jc w:val="left"/>
              <w:rPr>
                <w:rFonts w:ascii="宋体" w:hAnsi="宋体" w:eastAsia="宋体" w:cs="宋体"/>
                <w:kern w:val="0"/>
                <w:sz w:val="24"/>
                <w:szCs w:val="24"/>
                <w:highlight w:val="none"/>
              </w:rPr>
            </w:pPr>
            <w:r>
              <w:rPr>
                <w:rFonts w:hint="eastAsia" w:ascii="宋体" w:hAnsi="宋体" w:eastAsia="宋体"/>
                <w:sz w:val="24"/>
                <w:szCs w:val="24"/>
                <w:highlight w:val="none"/>
              </w:rPr>
              <w:t>扩展性</w:t>
            </w:r>
          </w:p>
        </w:tc>
        <w:tc>
          <w:tcPr>
            <w:tcW w:w="4872" w:type="dxa"/>
          </w:tcPr>
          <w:p>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1、应用系统性能稳定、可靠、实用。</w:t>
            </w:r>
          </w:p>
          <w:p>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2、人机界面友好，输出、输入方便，图表生成美观，检索、查询简单快捷。</w:t>
            </w:r>
          </w:p>
          <w:p>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3、系统采用便于升级的模块化设计，包括采用软件升级来简化系统扩展和修改，模块组合可以根据需要来选择。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98" w:type="dxa"/>
            <w:vAlign w:val="center"/>
          </w:tcPr>
          <w:p>
            <w:pPr>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1852" w:type="dxa"/>
            <w:vAlign w:val="center"/>
          </w:tcPr>
          <w:p>
            <w:pPr>
              <w:spacing w:line="360" w:lineRule="auto"/>
              <w:jc w:val="left"/>
              <w:rPr>
                <w:rFonts w:ascii="宋体" w:hAnsi="宋体" w:eastAsia="宋体" w:cs="宋体"/>
                <w:kern w:val="0"/>
                <w:sz w:val="24"/>
                <w:szCs w:val="24"/>
                <w:highlight w:val="none"/>
              </w:rPr>
            </w:pPr>
            <w:r>
              <w:rPr>
                <w:rFonts w:ascii="宋体" w:hAnsi="宋体" w:eastAsia="宋体"/>
                <w:sz w:val="24"/>
                <w:szCs w:val="24"/>
                <w:highlight w:val="none"/>
              </w:rPr>
              <w:t>▲</w:t>
            </w:r>
            <w:r>
              <w:rPr>
                <w:rFonts w:hint="eastAsia" w:ascii="宋体" w:hAnsi="宋体" w:eastAsia="宋体" w:cs="宋体"/>
                <w:kern w:val="0"/>
                <w:sz w:val="24"/>
                <w:szCs w:val="24"/>
                <w:highlight w:val="none"/>
              </w:rPr>
              <w:t>高并发</w:t>
            </w:r>
          </w:p>
        </w:tc>
        <w:tc>
          <w:tcPr>
            <w:tcW w:w="4872" w:type="dxa"/>
          </w:tcPr>
          <w:p>
            <w:pPr>
              <w:pStyle w:val="100"/>
              <w:ind w:firstLine="0" w:firstLineChars="0"/>
              <w:rPr>
                <w:szCs w:val="24"/>
                <w:highlight w:val="none"/>
                <w:lang w:val="zh-CN"/>
              </w:rPr>
            </w:pPr>
            <w:r>
              <w:rPr>
                <w:rFonts w:hint="eastAsia"/>
                <w:szCs w:val="24"/>
                <w:highlight w:val="none"/>
                <w:lang w:val="zh-CN"/>
              </w:rPr>
              <w:t>管理端的并发性能</w:t>
            </w:r>
            <w:r>
              <w:rPr>
                <w:rFonts w:hint="eastAsia"/>
                <w:szCs w:val="24"/>
                <w:highlight w:val="none"/>
              </w:rPr>
              <w:t>按常规使用场景设计</w:t>
            </w:r>
            <w:r>
              <w:rPr>
                <w:rFonts w:hint="eastAsia"/>
                <w:szCs w:val="24"/>
                <w:highlight w:val="none"/>
                <w:lang w:val="zh-CN"/>
              </w:rPr>
              <w:t>，但考生端的并发性能请求却非常之高，高并发性能指标</w:t>
            </w:r>
            <w:r>
              <w:rPr>
                <w:rFonts w:hint="eastAsia"/>
                <w:szCs w:val="24"/>
                <w:highlight w:val="none"/>
                <w:lang w:val="en-US" w:eastAsia="zh-CN"/>
              </w:rPr>
              <w:t>估算</w:t>
            </w:r>
            <w:r>
              <w:rPr>
                <w:rFonts w:hint="eastAsia"/>
                <w:szCs w:val="24"/>
                <w:highlight w:val="none"/>
                <w:lang w:val="zh-CN"/>
              </w:rPr>
              <w:t>：</w:t>
            </w:r>
          </w:p>
          <w:p>
            <w:pPr>
              <w:spacing w:line="360" w:lineRule="auto"/>
              <w:jc w:val="left"/>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每批志愿开放天数：5天</w:t>
            </w:r>
          </w:p>
          <w:p>
            <w:pPr>
              <w:spacing w:line="360" w:lineRule="auto"/>
              <w:jc w:val="left"/>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填报志愿平均时长：10分钟</w:t>
            </w:r>
          </w:p>
          <w:p>
            <w:pPr>
              <w:spacing w:line="360" w:lineRule="auto"/>
              <w:jc w:val="left"/>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日均在线人数：</w:t>
            </w:r>
            <w:r>
              <w:rPr>
                <w:rFonts w:hint="eastAsia" w:ascii="宋体" w:hAnsi="宋体"/>
                <w:sz w:val="24"/>
                <w:szCs w:val="24"/>
                <w:highlight w:val="none"/>
                <w:lang w:val="en-US" w:eastAsia="zh-CN"/>
              </w:rPr>
              <w:t>约</w:t>
            </w:r>
            <w:r>
              <w:rPr>
                <w:rFonts w:hint="eastAsia" w:ascii="宋体" w:hAnsi="宋体" w:eastAsia="宋体"/>
                <w:sz w:val="24"/>
                <w:szCs w:val="24"/>
                <w:highlight w:val="none"/>
              </w:rPr>
              <w:t>5</w:t>
            </w:r>
            <w:r>
              <w:rPr>
                <w:rFonts w:ascii="宋体" w:hAnsi="宋体" w:eastAsia="宋体"/>
                <w:sz w:val="24"/>
                <w:szCs w:val="24"/>
                <w:highlight w:val="none"/>
              </w:rPr>
              <w:t xml:space="preserve">00000 * 50% / 5 = </w:t>
            </w:r>
            <w:r>
              <w:rPr>
                <w:rFonts w:hint="eastAsia" w:ascii="宋体" w:hAnsi="宋体" w:eastAsia="宋体"/>
                <w:sz w:val="24"/>
                <w:szCs w:val="24"/>
                <w:highlight w:val="none"/>
              </w:rPr>
              <w:t>5</w:t>
            </w:r>
            <w:r>
              <w:rPr>
                <w:rFonts w:ascii="宋体" w:hAnsi="宋体" w:eastAsia="宋体"/>
                <w:sz w:val="24"/>
                <w:szCs w:val="24"/>
                <w:highlight w:val="none"/>
              </w:rPr>
              <w:t>0000人</w:t>
            </w:r>
          </w:p>
          <w:p>
            <w:pPr>
              <w:spacing w:line="360" w:lineRule="auto"/>
              <w:jc w:val="left"/>
              <w:rPr>
                <w:rFonts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日均请求数：</w:t>
            </w:r>
            <w:r>
              <w:rPr>
                <w:rFonts w:hint="eastAsia" w:ascii="宋体" w:hAnsi="宋体" w:eastAsia="宋体"/>
                <w:sz w:val="24"/>
                <w:szCs w:val="24"/>
                <w:highlight w:val="none"/>
              </w:rPr>
              <w:t>4</w:t>
            </w:r>
            <w:r>
              <w:rPr>
                <w:rFonts w:ascii="宋体" w:hAnsi="宋体" w:eastAsia="宋体"/>
                <w:sz w:val="24"/>
                <w:szCs w:val="24"/>
                <w:highlight w:val="none"/>
              </w:rPr>
              <w:t>0000 * 30 = 1</w:t>
            </w:r>
            <w:r>
              <w:rPr>
                <w:rFonts w:hint="eastAsia" w:ascii="宋体" w:hAnsi="宋体" w:eastAsia="宋体"/>
                <w:sz w:val="24"/>
                <w:szCs w:val="24"/>
                <w:highlight w:val="none"/>
              </w:rPr>
              <w:t>5</w:t>
            </w:r>
            <w:r>
              <w:rPr>
                <w:rFonts w:ascii="宋体" w:hAnsi="宋体" w:eastAsia="宋体"/>
                <w:sz w:val="24"/>
                <w:szCs w:val="24"/>
                <w:highlight w:val="none"/>
              </w:rPr>
              <w:t>00000 次</w:t>
            </w:r>
          </w:p>
          <w:p>
            <w:pPr>
              <w:spacing w:line="360" w:lineRule="auto"/>
              <w:jc w:val="left"/>
              <w:rPr>
                <w:rFonts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平均QPS：一天按12小时使用时间计算，1200000 / 43200 ≈ 28次/秒</w:t>
            </w:r>
          </w:p>
          <w:p>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最高志愿填报在线人数：填报开放的首日，15分钟内，最高在线人数7.5万人。其中有三分之一的人已经填完，直接关闭浏览器，75000 * 2 / 3 = 50000人在实际填报志愿。</w:t>
            </w:r>
          </w:p>
          <w:p>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峰值请求数：按在线人数最高峰值计算，每人每分钟共计请求10次，1分钟内请求数为50000 * 10 = 500000 次</w:t>
            </w:r>
            <w:r>
              <w:rPr>
                <w:rFonts w:hint="eastAsia" w:ascii="宋体" w:hAnsi="宋体" w:eastAsia="宋体"/>
                <w:sz w:val="24"/>
                <w:szCs w:val="24"/>
                <w:highlight w:val="none"/>
              </w:rPr>
              <w:t>。</w:t>
            </w:r>
          </w:p>
          <w:p>
            <w:pPr>
              <w:pStyle w:val="100"/>
              <w:ind w:firstLine="0" w:firstLineChars="0"/>
              <w:rPr>
                <w:szCs w:val="24"/>
                <w:highlight w:val="none"/>
              </w:rPr>
            </w:pPr>
            <w:r>
              <w:rPr>
                <w:rFonts w:hint="eastAsia"/>
                <w:szCs w:val="24"/>
                <w:highlight w:val="none"/>
              </w:rPr>
              <w:t>8、</w:t>
            </w:r>
            <w:r>
              <w:rPr>
                <w:szCs w:val="24"/>
                <w:highlight w:val="none"/>
              </w:rPr>
              <w:t>峰值QPS：每秒请求数大约在 500000 / 60 ≈ 8333次/秒</w:t>
            </w:r>
            <w:r>
              <w:rPr>
                <w:rFonts w:hint="eastAsia"/>
                <w:szCs w:val="24"/>
                <w:highlight w:val="none"/>
              </w:rPr>
              <w:t>。</w:t>
            </w:r>
          </w:p>
        </w:tc>
      </w:tr>
    </w:tbl>
    <w:p>
      <w:pPr>
        <w:pStyle w:val="100"/>
        <w:ind w:firstLine="480"/>
        <w:rPr>
          <w:highlight w:val="none"/>
        </w:rPr>
      </w:pPr>
    </w:p>
    <w:p>
      <w:pPr>
        <w:widowControl/>
        <w:jc w:val="left"/>
        <w:rPr>
          <w:rFonts w:ascii="黑体" w:hAnsi="黑体" w:eastAsia="黑体"/>
          <w:sz w:val="24"/>
          <w:highlight w:val="none"/>
        </w:rPr>
      </w:pPr>
      <w:r>
        <w:rPr>
          <w:rFonts w:ascii="黑体" w:hAnsi="黑体" w:eastAsia="黑体"/>
          <w:sz w:val="24"/>
          <w:highlight w:val="none"/>
        </w:rPr>
        <w:br w:type="page"/>
      </w:r>
    </w:p>
    <w:p>
      <w:pPr>
        <w:jc w:val="left"/>
        <w:outlineLvl w:val="1"/>
        <w:rPr>
          <w:rFonts w:ascii="宋体" w:hAnsi="宋体" w:eastAsia="宋体"/>
          <w:b/>
          <w:bCs/>
          <w:sz w:val="28"/>
          <w:szCs w:val="28"/>
          <w:highlight w:val="none"/>
        </w:rPr>
      </w:pPr>
      <w:r>
        <w:rPr>
          <w:rFonts w:hint="eastAsia" w:ascii="宋体" w:hAnsi="宋体" w:eastAsia="宋体"/>
          <w:b/>
          <w:bCs/>
          <w:sz w:val="28"/>
          <w:szCs w:val="28"/>
          <w:highlight w:val="none"/>
        </w:rPr>
        <w:t>四、商务及其他要求</w:t>
      </w:r>
    </w:p>
    <w:p>
      <w:pPr>
        <w:pStyle w:val="101"/>
        <w:ind w:firstLine="480"/>
        <w:rPr>
          <w:rFonts w:ascii="宋体" w:hAnsi="宋体"/>
          <w:szCs w:val="24"/>
          <w:highlight w:val="none"/>
        </w:rPr>
      </w:pPr>
      <w:r>
        <w:rPr>
          <w:rFonts w:hint="eastAsia" w:ascii="宋体" w:hAnsi="宋体"/>
          <w:szCs w:val="24"/>
          <w:highlight w:val="none"/>
        </w:rPr>
        <w:t>1、付款方式：</w:t>
      </w:r>
    </w:p>
    <w:p>
      <w:pPr>
        <w:pStyle w:val="101"/>
        <w:ind w:firstLine="480"/>
        <w:rPr>
          <w:rFonts w:ascii="宋体" w:hAnsi="宋体" w:cs="仿宋_GB2312"/>
          <w:szCs w:val="24"/>
          <w:highlight w:val="none"/>
        </w:rPr>
      </w:pPr>
      <w:r>
        <w:rPr>
          <w:rFonts w:hint="eastAsia" w:ascii="宋体" w:hAnsi="宋体" w:cs="仿宋_GB2312"/>
          <w:szCs w:val="24"/>
          <w:highlight w:val="none"/>
        </w:rPr>
        <w:t>在签订合同后</w:t>
      </w:r>
      <w:r>
        <w:rPr>
          <w:rFonts w:hint="eastAsia" w:ascii="宋体" w:hAnsi="宋体" w:cs="仿宋_GB2312"/>
          <w:szCs w:val="24"/>
          <w:highlight w:val="none"/>
          <w:lang w:val="en-US" w:eastAsia="zh-CN"/>
        </w:rPr>
        <w:t>30</w:t>
      </w:r>
      <w:r>
        <w:rPr>
          <w:rFonts w:ascii="宋体" w:hAnsi="宋体" w:cs="仿宋_GB2312"/>
          <w:szCs w:val="24"/>
          <w:highlight w:val="none"/>
        </w:rPr>
        <w:t>日内</w:t>
      </w:r>
      <w:r>
        <w:rPr>
          <w:rFonts w:hint="eastAsia" w:ascii="宋体" w:hAnsi="宋体" w:cs="仿宋_GB2312"/>
          <w:szCs w:val="24"/>
          <w:highlight w:val="none"/>
        </w:rPr>
        <w:t>甲方向乙方</w:t>
      </w:r>
      <w:r>
        <w:rPr>
          <w:rFonts w:ascii="宋体" w:hAnsi="宋体" w:cs="仿宋_GB2312"/>
          <w:szCs w:val="24"/>
          <w:highlight w:val="none"/>
        </w:rPr>
        <w:t>支付合同总金额的30%作为预付款，</w:t>
      </w:r>
      <w:r>
        <w:rPr>
          <w:rFonts w:hint="eastAsia" w:ascii="宋体" w:hAnsi="宋体" w:cs="仿宋_GB2312"/>
          <w:szCs w:val="24"/>
          <w:highlight w:val="none"/>
        </w:rPr>
        <w:t>通过甲方验收后向乙方支付合同总金额的</w:t>
      </w:r>
      <w:r>
        <w:rPr>
          <w:rFonts w:ascii="宋体" w:hAnsi="宋体" w:cs="仿宋_GB2312"/>
          <w:szCs w:val="24"/>
          <w:highlight w:val="none"/>
        </w:rPr>
        <w:t>60%，</w:t>
      </w:r>
      <w:r>
        <w:rPr>
          <w:rFonts w:hint="eastAsia" w:ascii="宋体" w:hAnsi="宋体" w:cs="仿宋_GB2312"/>
          <w:szCs w:val="24"/>
          <w:highlight w:val="none"/>
        </w:rPr>
        <w:t>运维</w:t>
      </w:r>
      <w:r>
        <w:rPr>
          <w:rFonts w:ascii="宋体" w:hAnsi="宋体" w:cs="仿宋_GB2312"/>
          <w:szCs w:val="24"/>
          <w:highlight w:val="none"/>
        </w:rPr>
        <w:t>期结束后向</w:t>
      </w:r>
      <w:r>
        <w:rPr>
          <w:rFonts w:hint="eastAsia" w:ascii="宋体" w:hAnsi="宋体" w:cs="仿宋_GB2312"/>
          <w:szCs w:val="24"/>
          <w:highlight w:val="none"/>
        </w:rPr>
        <w:t>乙</w:t>
      </w:r>
      <w:r>
        <w:rPr>
          <w:rFonts w:ascii="宋体" w:hAnsi="宋体" w:cs="仿宋_GB2312"/>
          <w:szCs w:val="24"/>
          <w:highlight w:val="none"/>
        </w:rPr>
        <w:t>方支付合同总金额的</w:t>
      </w:r>
      <w:r>
        <w:rPr>
          <w:rFonts w:hint="eastAsia" w:ascii="宋体" w:hAnsi="宋体" w:cs="仿宋_GB2312"/>
          <w:szCs w:val="24"/>
          <w:highlight w:val="none"/>
        </w:rPr>
        <w:t>1</w:t>
      </w:r>
      <w:r>
        <w:rPr>
          <w:rFonts w:ascii="宋体" w:hAnsi="宋体" w:cs="仿宋_GB2312"/>
          <w:szCs w:val="24"/>
          <w:highlight w:val="none"/>
        </w:rPr>
        <w:t>0%。</w:t>
      </w:r>
      <w:r>
        <w:rPr>
          <w:rFonts w:hint="eastAsia" w:ascii="宋体" w:hAnsi="宋体" w:cs="仿宋_GB2312"/>
          <w:szCs w:val="24"/>
          <w:highlight w:val="none"/>
        </w:rPr>
        <w:t>乙</w:t>
      </w:r>
      <w:r>
        <w:rPr>
          <w:rFonts w:ascii="宋体" w:hAnsi="宋体" w:cs="仿宋_GB2312"/>
          <w:szCs w:val="24"/>
          <w:highlight w:val="none"/>
        </w:rPr>
        <w:t>方给甲方提供6%的增值税专用发票，甲方收到发票后付款。</w:t>
      </w:r>
    </w:p>
    <w:p>
      <w:pPr>
        <w:pStyle w:val="101"/>
        <w:ind w:firstLine="480"/>
        <w:rPr>
          <w:rFonts w:ascii="宋体" w:hAnsi="宋体"/>
          <w:szCs w:val="24"/>
          <w:highlight w:val="none"/>
        </w:rPr>
      </w:pPr>
      <w:r>
        <w:rPr>
          <w:rFonts w:hint="eastAsia" w:ascii="宋体" w:hAnsi="宋体"/>
          <w:szCs w:val="24"/>
          <w:highlight w:val="none"/>
        </w:rPr>
        <w:t>2、交付要求</w:t>
      </w:r>
    </w:p>
    <w:p>
      <w:pPr>
        <w:pStyle w:val="101"/>
        <w:ind w:firstLine="480"/>
        <w:rPr>
          <w:rFonts w:ascii="宋体" w:hAnsi="宋体" w:cs="仿宋_GB2312"/>
          <w:szCs w:val="24"/>
          <w:highlight w:val="none"/>
        </w:rPr>
      </w:pPr>
      <w:r>
        <w:rPr>
          <w:rFonts w:hint="eastAsia" w:ascii="宋体" w:hAnsi="宋体" w:cs="仿宋_GB2312"/>
          <w:szCs w:val="24"/>
          <w:highlight w:val="none"/>
        </w:rPr>
        <w:t>采用“统一规划、分步实施、急用先行”的原则，开展项目建设，</w:t>
      </w:r>
      <w:r>
        <w:rPr>
          <w:rFonts w:ascii="宋体" w:hAnsi="宋体" w:cs="仿宋_GB2312"/>
          <w:szCs w:val="24"/>
          <w:highlight w:val="none"/>
        </w:rPr>
        <w:t>2</w:t>
      </w:r>
      <w:r>
        <w:rPr>
          <w:rFonts w:hint="eastAsia" w:ascii="宋体" w:hAnsi="宋体" w:cs="仿宋_GB2312"/>
          <w:szCs w:val="24"/>
          <w:highlight w:val="none"/>
        </w:rPr>
        <w:t>月份前完成数据中台的数据交换中心建设，3月份前完成志愿填报系统及数据中台的系统对接、</w:t>
      </w:r>
      <w:r>
        <w:rPr>
          <w:rFonts w:ascii="宋体" w:hAnsi="宋体" w:cs="仿宋_GB2312"/>
          <w:szCs w:val="24"/>
          <w:highlight w:val="none"/>
        </w:rPr>
        <w:t>录取交互专题分析</w:t>
      </w:r>
      <w:r>
        <w:rPr>
          <w:rFonts w:hint="eastAsia" w:ascii="宋体" w:hAnsi="宋体" w:cs="仿宋_GB2312"/>
          <w:szCs w:val="24"/>
          <w:highlight w:val="none"/>
        </w:rPr>
        <w:t>建设，满足</w:t>
      </w:r>
      <w:r>
        <w:rPr>
          <w:rFonts w:ascii="宋体" w:hAnsi="宋体" w:cs="仿宋_GB2312"/>
          <w:szCs w:val="24"/>
          <w:highlight w:val="none"/>
        </w:rPr>
        <w:t>高考志愿填报与管理需求</w:t>
      </w:r>
      <w:r>
        <w:rPr>
          <w:rFonts w:hint="eastAsia" w:ascii="宋体" w:hAnsi="宋体" w:cs="仿宋_GB2312"/>
          <w:szCs w:val="24"/>
          <w:highlight w:val="none"/>
        </w:rPr>
        <w:t>。</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3、项目实施要求</w:t>
      </w:r>
    </w:p>
    <w:p>
      <w:pPr>
        <w:spacing w:line="360" w:lineRule="auto"/>
        <w:ind w:firstLine="480" w:firstLineChars="200"/>
        <w:jc w:val="left"/>
        <w:rPr>
          <w:rFonts w:ascii="宋体" w:hAnsi="宋体" w:eastAsia="宋体"/>
          <w:sz w:val="24"/>
          <w:highlight w:val="none"/>
        </w:rPr>
      </w:pPr>
      <w:r>
        <w:rPr>
          <w:rFonts w:hint="eastAsia" w:ascii="宋体" w:hAnsi="宋体" w:eastAsia="宋体"/>
          <w:sz w:val="24"/>
          <w:highlight w:val="none"/>
        </w:rPr>
        <w:t>项目验收前须提交运行稳定可靠的系统及其安装程序并提交相关文档，包括需求规格说明书、详细设计、概要设计、数据规范、操作手册等。</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4、售后服务及驻场服务要求</w:t>
      </w:r>
    </w:p>
    <w:p>
      <w:pPr>
        <w:autoSpaceDE w:val="0"/>
        <w:autoSpaceDN w:val="0"/>
        <w:adjustRightInd w:val="0"/>
        <w:spacing w:line="360" w:lineRule="auto"/>
        <w:rPr>
          <w:rFonts w:asciiTheme="minorEastAsia" w:hAnsiTheme="minorEastAsia" w:eastAsiaTheme="minorEastAsia" w:cstheme="minorEastAsia"/>
          <w:sz w:val="24"/>
          <w:szCs w:val="24"/>
          <w:highlight w:val="none"/>
        </w:rPr>
      </w:pPr>
      <w:r>
        <w:rPr>
          <w:rFonts w:hint="eastAsia" w:ascii="宋体" w:hAnsi="宋体" w:eastAsia="宋体"/>
          <w:sz w:val="24"/>
          <w:highlight w:val="none"/>
        </w:rPr>
        <w:t>保修期和服务期为验收合格之日起二年。</w:t>
      </w:r>
    </w:p>
    <w:p>
      <w:pPr>
        <w:spacing w:line="480" w:lineRule="exact"/>
        <w:ind w:firstLine="480" w:firstLineChars="200"/>
        <w:jc w:val="left"/>
        <w:rPr>
          <w:rFonts w:ascii="宋体" w:hAnsi="宋体" w:cs="宋体"/>
          <w:bCs/>
          <w:sz w:val="24"/>
          <w:szCs w:val="24"/>
          <w:highlight w:val="none"/>
        </w:rPr>
      </w:pPr>
    </w:p>
    <w:p>
      <w:pPr>
        <w:spacing w:line="440" w:lineRule="exact"/>
        <w:jc w:val="center"/>
        <w:outlineLvl w:val="0"/>
        <w:rPr>
          <w:rFonts w:ascii="宋体" w:hAnsi="宋体"/>
          <w:b/>
          <w:bCs/>
          <w:sz w:val="32"/>
          <w:szCs w:val="32"/>
          <w:highlight w:val="none"/>
        </w:rPr>
      </w:pPr>
      <w:bookmarkStart w:id="83" w:name="_Toc20810"/>
      <w:bookmarkStart w:id="84" w:name="_Toc18940"/>
      <w:r>
        <w:rPr>
          <w:rFonts w:hint="eastAsia" w:ascii="宋体" w:hAnsi="宋体"/>
          <w:b/>
          <w:bCs/>
          <w:sz w:val="32"/>
          <w:szCs w:val="32"/>
          <w:highlight w:val="none"/>
        </w:rPr>
        <w:br w:type="page"/>
      </w:r>
      <w:r>
        <w:rPr>
          <w:rFonts w:hint="eastAsia" w:ascii="宋体" w:hAnsi="宋体"/>
          <w:b/>
          <w:bCs/>
          <w:sz w:val="32"/>
          <w:szCs w:val="32"/>
          <w:highlight w:val="none"/>
        </w:rPr>
        <w:t>第五部分  磋商响应文件格式</w:t>
      </w:r>
      <w:bookmarkEnd w:id="83"/>
      <w:bookmarkEnd w:id="84"/>
    </w:p>
    <w:p>
      <w:pPr>
        <w:shd w:val="clear" w:color="auto" w:fill="FFFFFF"/>
        <w:spacing w:line="500" w:lineRule="exact"/>
        <w:jc w:val="center"/>
        <w:rPr>
          <w:rFonts w:ascii="宋体" w:hAnsi="宋体"/>
          <w:b/>
          <w:bCs/>
          <w:sz w:val="24"/>
          <w:szCs w:val="24"/>
          <w:highlight w:val="none"/>
        </w:rPr>
      </w:pPr>
    </w:p>
    <w:p>
      <w:pPr>
        <w:widowControl/>
        <w:jc w:val="left"/>
        <w:rPr>
          <w:rFonts w:ascii="宋体" w:hAnsi="宋体"/>
          <w:b/>
          <w:bCs/>
          <w:sz w:val="18"/>
          <w:szCs w:val="18"/>
          <w:highlight w:val="none"/>
        </w:rPr>
      </w:pPr>
    </w:p>
    <w:p>
      <w:pPr>
        <w:shd w:val="clear" w:color="auto" w:fill="FFFFFF"/>
        <w:spacing w:line="500" w:lineRule="exact"/>
        <w:ind w:right="480"/>
        <w:rPr>
          <w:rFonts w:ascii="宋体" w:hAnsi="宋体"/>
          <w:sz w:val="24"/>
          <w:szCs w:val="24"/>
          <w:highlight w:val="none"/>
        </w:rPr>
      </w:pPr>
      <w:r>
        <w:rPr>
          <w:rFonts w:hint="eastAsia" w:ascii="宋体" w:hAnsi="宋体"/>
          <w:sz w:val="24"/>
          <w:szCs w:val="24"/>
          <w:highlight w:val="none"/>
        </w:rPr>
        <w:t xml:space="preserve">（封面示例）                                                     </w:t>
      </w:r>
    </w:p>
    <w:p>
      <w:pPr>
        <w:shd w:val="clear" w:color="auto" w:fill="FFFFFF"/>
        <w:spacing w:line="360" w:lineRule="exact"/>
        <w:rPr>
          <w:rFonts w:ascii="宋体" w:hAnsi="宋体"/>
          <w:sz w:val="24"/>
          <w:szCs w:val="24"/>
          <w:highlight w:val="none"/>
          <w:u w:val="single"/>
        </w:rPr>
      </w:pPr>
    </w:p>
    <w:p>
      <w:pPr>
        <w:shd w:val="clear" w:color="auto" w:fill="FFFFFF"/>
        <w:spacing w:line="360" w:lineRule="exact"/>
        <w:jc w:val="center"/>
        <w:rPr>
          <w:rFonts w:ascii="宋体" w:hAnsi="宋体"/>
          <w:b/>
          <w:bCs/>
          <w:sz w:val="24"/>
          <w:szCs w:val="24"/>
          <w:highlight w:val="none"/>
        </w:rPr>
      </w:pPr>
    </w:p>
    <w:p>
      <w:pPr>
        <w:shd w:val="clear" w:color="auto" w:fill="FFFFFF"/>
        <w:spacing w:line="500" w:lineRule="exact"/>
        <w:jc w:val="center"/>
        <w:rPr>
          <w:rFonts w:ascii="宋体" w:hAnsi="宋体"/>
          <w:b/>
          <w:bCs/>
          <w:sz w:val="24"/>
          <w:szCs w:val="24"/>
          <w:highlight w:val="none"/>
        </w:rPr>
      </w:pPr>
    </w:p>
    <w:p>
      <w:pPr>
        <w:shd w:val="clear" w:color="auto" w:fill="FFFFFF"/>
        <w:spacing w:line="500" w:lineRule="exact"/>
        <w:jc w:val="center"/>
        <w:outlineLvl w:val="0"/>
        <w:rPr>
          <w:rFonts w:ascii="宋体" w:hAnsi="宋体"/>
          <w:b/>
          <w:bCs/>
          <w:sz w:val="24"/>
          <w:szCs w:val="24"/>
          <w:highlight w:val="none"/>
        </w:rPr>
      </w:pPr>
      <w:bookmarkStart w:id="85" w:name="_Toc32311"/>
      <w:bookmarkStart w:id="86" w:name="_Toc29521"/>
      <w:r>
        <w:rPr>
          <w:rFonts w:hint="eastAsia" w:ascii="宋体" w:hAnsi="宋体"/>
          <w:b/>
          <w:bCs/>
          <w:sz w:val="24"/>
          <w:szCs w:val="24"/>
          <w:highlight w:val="none"/>
        </w:rPr>
        <w:t>磋商响应文件</w:t>
      </w:r>
      <w:bookmarkEnd w:id="85"/>
      <w:bookmarkEnd w:id="86"/>
    </w:p>
    <w:p>
      <w:pPr>
        <w:shd w:val="clear" w:color="auto" w:fill="FFFFFF"/>
        <w:spacing w:line="500" w:lineRule="exact"/>
        <w:rPr>
          <w:rFonts w:ascii="宋体" w:hAnsi="宋体"/>
          <w:sz w:val="24"/>
          <w:szCs w:val="24"/>
          <w:highlight w:val="none"/>
        </w:rPr>
      </w:pPr>
    </w:p>
    <w:p>
      <w:pPr>
        <w:shd w:val="clear" w:color="auto" w:fill="FFFFFF"/>
        <w:spacing w:line="500" w:lineRule="exact"/>
        <w:rPr>
          <w:rFonts w:ascii="宋体" w:hAnsi="宋体"/>
          <w:sz w:val="24"/>
          <w:szCs w:val="24"/>
          <w:highlight w:val="none"/>
        </w:rPr>
      </w:pPr>
    </w:p>
    <w:p>
      <w:pPr>
        <w:shd w:val="clear" w:color="auto" w:fill="FFFFFF"/>
        <w:spacing w:line="500" w:lineRule="exact"/>
        <w:rPr>
          <w:rFonts w:ascii="宋体" w:hAnsi="宋体"/>
          <w:sz w:val="24"/>
          <w:szCs w:val="24"/>
          <w:highlight w:val="none"/>
        </w:rPr>
      </w:pPr>
    </w:p>
    <w:p>
      <w:pPr>
        <w:shd w:val="clear" w:color="auto" w:fill="FFFFFF"/>
        <w:spacing w:line="500" w:lineRule="exact"/>
        <w:rPr>
          <w:rFonts w:ascii="宋体" w:hAnsi="宋体"/>
          <w:sz w:val="24"/>
          <w:szCs w:val="24"/>
          <w:highlight w:val="none"/>
        </w:rPr>
      </w:pPr>
    </w:p>
    <w:p>
      <w:pPr>
        <w:shd w:val="clear" w:color="auto" w:fill="FFFFFF"/>
        <w:spacing w:line="500" w:lineRule="exact"/>
        <w:rPr>
          <w:rFonts w:ascii="宋体" w:hAnsi="宋体"/>
          <w:sz w:val="24"/>
          <w:szCs w:val="24"/>
          <w:highlight w:val="none"/>
        </w:rPr>
      </w:pPr>
    </w:p>
    <w:p>
      <w:pPr>
        <w:shd w:val="clear" w:color="auto" w:fill="FFFFFF"/>
        <w:spacing w:line="500" w:lineRule="exact"/>
        <w:rPr>
          <w:rFonts w:ascii="宋体" w:hAnsi="宋体"/>
          <w:sz w:val="24"/>
          <w:szCs w:val="24"/>
          <w:highlight w:val="none"/>
        </w:rPr>
      </w:pPr>
    </w:p>
    <w:p>
      <w:pPr>
        <w:shd w:val="clear" w:color="auto" w:fill="FFFFFF"/>
        <w:spacing w:line="500" w:lineRule="exact"/>
        <w:ind w:firstLine="240" w:firstLineChars="100"/>
        <w:rPr>
          <w:rFonts w:ascii="宋体" w:hAnsi="宋体" w:cs="宋体"/>
          <w:sz w:val="24"/>
          <w:szCs w:val="24"/>
          <w:highlight w:val="none"/>
        </w:rPr>
      </w:pPr>
      <w:r>
        <w:rPr>
          <w:rFonts w:hint="eastAsia" w:ascii="宋体" w:hAnsi="宋体" w:cs="宋体"/>
          <w:sz w:val="24"/>
          <w:szCs w:val="24"/>
          <w:highlight w:val="none"/>
        </w:rPr>
        <w:t>采购人：</w:t>
      </w:r>
    </w:p>
    <w:p>
      <w:pPr>
        <w:shd w:val="clear" w:color="auto" w:fill="FFFFFF"/>
        <w:spacing w:line="500" w:lineRule="exact"/>
        <w:ind w:firstLine="240" w:firstLineChars="100"/>
        <w:rPr>
          <w:rFonts w:ascii="宋体" w:hAnsi="宋体" w:cs="宋体"/>
          <w:sz w:val="24"/>
          <w:szCs w:val="24"/>
          <w:highlight w:val="none"/>
          <w:lang w:val="zh-CN"/>
        </w:rPr>
      </w:pPr>
      <w:r>
        <w:rPr>
          <w:rFonts w:hint="eastAsia" w:ascii="宋体" w:hAnsi="宋体" w:cs="宋体"/>
          <w:sz w:val="24"/>
          <w:szCs w:val="24"/>
          <w:highlight w:val="none"/>
          <w:lang w:val="zh-CN"/>
        </w:rPr>
        <w:t>项目名称：</w:t>
      </w:r>
    </w:p>
    <w:p>
      <w:pPr>
        <w:shd w:val="clear" w:color="auto" w:fill="FFFFFF"/>
        <w:spacing w:line="500" w:lineRule="exact"/>
        <w:ind w:firstLine="240" w:firstLineChars="100"/>
        <w:rPr>
          <w:rFonts w:ascii="宋体" w:hAnsi="宋体" w:cs="宋体"/>
          <w:sz w:val="24"/>
          <w:szCs w:val="24"/>
          <w:highlight w:val="none"/>
          <w:lang w:val="zh-CN"/>
        </w:rPr>
      </w:pPr>
      <w:r>
        <w:rPr>
          <w:rFonts w:hint="eastAsia" w:ascii="宋体" w:hAnsi="宋体" w:cs="宋体"/>
          <w:sz w:val="24"/>
          <w:szCs w:val="24"/>
          <w:highlight w:val="none"/>
          <w:lang w:val="zh-CN"/>
        </w:rPr>
        <w:t>采购项目编号：</w:t>
      </w:r>
    </w:p>
    <w:p>
      <w:pPr>
        <w:shd w:val="clear" w:color="auto" w:fill="FFFFFF"/>
        <w:spacing w:line="500" w:lineRule="exact"/>
        <w:ind w:firstLine="240" w:firstLineChars="100"/>
        <w:rPr>
          <w:rFonts w:ascii="宋体" w:hAnsi="宋体"/>
          <w:sz w:val="24"/>
          <w:szCs w:val="24"/>
          <w:highlight w:val="none"/>
          <w:lang w:val="zh-CN"/>
        </w:rPr>
      </w:pPr>
      <w:r>
        <w:rPr>
          <w:rFonts w:hint="eastAsia" w:ascii="宋体" w:hAnsi="宋体" w:cs="宋体"/>
          <w:sz w:val="24"/>
          <w:szCs w:val="24"/>
          <w:highlight w:val="none"/>
          <w:lang w:val="zh-CN"/>
        </w:rPr>
        <w:t>供应商（盖公章）：</w:t>
      </w:r>
    </w:p>
    <w:p>
      <w:pPr>
        <w:shd w:val="clear" w:color="auto" w:fill="FFFFFF"/>
        <w:spacing w:line="500" w:lineRule="exact"/>
        <w:ind w:firstLine="240" w:firstLineChars="100"/>
        <w:rPr>
          <w:rFonts w:ascii="宋体" w:hAnsi="宋体" w:cs="宋体"/>
          <w:sz w:val="24"/>
          <w:szCs w:val="24"/>
          <w:highlight w:val="none"/>
          <w:lang w:val="zh-CN"/>
        </w:rPr>
      </w:pPr>
      <w:r>
        <w:rPr>
          <w:rFonts w:ascii="宋体" w:hAnsi="宋体" w:cs="宋体"/>
          <w:sz w:val="24"/>
          <w:szCs w:val="24"/>
          <w:highlight w:val="none"/>
          <w:lang w:val="zh-CN"/>
        </w:rPr>
        <w:t>法定代表人</w:t>
      </w:r>
      <w:r>
        <w:rPr>
          <w:rFonts w:hint="eastAsia" w:ascii="宋体" w:hAnsi="宋体" w:cs="宋体"/>
          <w:sz w:val="24"/>
          <w:szCs w:val="24"/>
          <w:highlight w:val="none"/>
          <w:lang w:val="zh-CN"/>
        </w:rPr>
        <w:t>（签字或盖章）:</w:t>
      </w:r>
    </w:p>
    <w:p>
      <w:pPr>
        <w:shd w:val="clear" w:color="auto" w:fill="FFFFFF"/>
        <w:spacing w:line="500" w:lineRule="exact"/>
        <w:ind w:firstLine="240" w:firstLineChars="100"/>
        <w:rPr>
          <w:rFonts w:ascii="宋体" w:hAnsi="宋体" w:cs="宋体"/>
          <w:sz w:val="24"/>
          <w:szCs w:val="24"/>
          <w:highlight w:val="none"/>
          <w:lang w:val="zh-CN"/>
        </w:rPr>
      </w:pPr>
      <w:r>
        <w:rPr>
          <w:rFonts w:hint="eastAsia" w:ascii="宋体" w:hAnsi="宋体" w:cs="宋体"/>
          <w:sz w:val="24"/>
          <w:szCs w:val="24"/>
          <w:highlight w:val="none"/>
          <w:lang w:val="zh-CN"/>
        </w:rPr>
        <w:t>被</w:t>
      </w:r>
      <w:r>
        <w:rPr>
          <w:rFonts w:ascii="宋体" w:hAnsi="宋体" w:cs="宋体"/>
          <w:sz w:val="24"/>
          <w:szCs w:val="24"/>
          <w:highlight w:val="none"/>
          <w:lang w:val="zh-CN"/>
        </w:rPr>
        <w:t>授权代理人</w:t>
      </w:r>
      <w:r>
        <w:rPr>
          <w:rFonts w:hint="eastAsia" w:ascii="宋体" w:hAnsi="宋体" w:cs="宋体"/>
          <w:sz w:val="24"/>
          <w:szCs w:val="24"/>
          <w:highlight w:val="none"/>
          <w:lang w:val="zh-CN"/>
        </w:rPr>
        <w:t>（签字）:</w:t>
      </w:r>
    </w:p>
    <w:p>
      <w:pPr>
        <w:shd w:val="clear" w:color="auto" w:fill="FFFFFF"/>
        <w:spacing w:line="500" w:lineRule="exact"/>
        <w:ind w:firstLine="240" w:firstLineChars="100"/>
        <w:rPr>
          <w:rFonts w:ascii="宋体" w:hAnsi="宋体" w:cs="宋体"/>
          <w:sz w:val="24"/>
          <w:szCs w:val="24"/>
          <w:highlight w:val="none"/>
          <w:lang w:val="zh-CN"/>
        </w:rPr>
      </w:pPr>
      <w:r>
        <w:rPr>
          <w:rFonts w:ascii="宋体" w:hAnsi="宋体" w:cs="宋体"/>
          <w:sz w:val="24"/>
          <w:szCs w:val="24"/>
          <w:highlight w:val="none"/>
          <w:lang w:val="zh-CN"/>
        </w:rPr>
        <w:t>地址</w:t>
      </w:r>
      <w:r>
        <w:rPr>
          <w:rFonts w:hint="eastAsia" w:ascii="宋体" w:hAnsi="宋体" w:cs="宋体"/>
          <w:sz w:val="24"/>
          <w:szCs w:val="24"/>
          <w:highlight w:val="none"/>
          <w:lang w:val="zh-CN"/>
        </w:rPr>
        <w:t>：</w:t>
      </w:r>
    </w:p>
    <w:p>
      <w:pPr>
        <w:shd w:val="clear" w:color="auto" w:fill="FFFFFF"/>
        <w:spacing w:line="500" w:lineRule="exact"/>
        <w:ind w:firstLine="240" w:firstLineChars="100"/>
        <w:rPr>
          <w:rFonts w:ascii="宋体" w:hAnsi="宋体" w:cs="宋体"/>
          <w:sz w:val="24"/>
          <w:szCs w:val="24"/>
          <w:highlight w:val="none"/>
          <w:lang w:val="zh-CN"/>
        </w:rPr>
      </w:pPr>
      <w:r>
        <w:rPr>
          <w:rFonts w:hint="eastAsia" w:ascii="宋体" w:hAnsi="宋体" w:cs="宋体"/>
          <w:sz w:val="24"/>
          <w:szCs w:val="24"/>
          <w:highlight w:val="none"/>
          <w:lang w:val="zh-CN"/>
        </w:rPr>
        <w:t>联系人：</w:t>
      </w:r>
    </w:p>
    <w:p>
      <w:pPr>
        <w:shd w:val="clear" w:color="auto" w:fill="FFFFFF"/>
        <w:spacing w:line="500" w:lineRule="exact"/>
        <w:ind w:firstLine="240" w:firstLineChars="100"/>
        <w:rPr>
          <w:rFonts w:ascii="宋体" w:hAnsi="宋体" w:cs="宋体"/>
          <w:sz w:val="24"/>
          <w:szCs w:val="24"/>
          <w:highlight w:val="none"/>
          <w:lang w:val="zh-CN"/>
        </w:rPr>
      </w:pPr>
      <w:r>
        <w:rPr>
          <w:rFonts w:hint="eastAsia" w:ascii="宋体" w:hAnsi="宋体" w:cs="宋体"/>
          <w:sz w:val="24"/>
          <w:szCs w:val="24"/>
          <w:highlight w:val="none"/>
          <w:lang w:val="zh-CN"/>
        </w:rPr>
        <w:t>联系电话：</w:t>
      </w:r>
    </w:p>
    <w:p>
      <w:pPr>
        <w:shd w:val="clear" w:color="auto" w:fill="FFFFFF"/>
        <w:spacing w:line="500" w:lineRule="exact"/>
        <w:ind w:firstLine="240" w:firstLineChars="100"/>
        <w:jc w:val="center"/>
        <w:rPr>
          <w:rFonts w:ascii="宋体" w:hAnsi="宋体"/>
          <w:sz w:val="24"/>
          <w:highlight w:val="none"/>
          <w:lang w:val="zh-CN"/>
        </w:rPr>
      </w:pPr>
    </w:p>
    <w:p>
      <w:pPr>
        <w:shd w:val="clear" w:color="auto" w:fill="FFFFFF"/>
        <w:spacing w:line="500" w:lineRule="exact"/>
        <w:ind w:firstLine="240" w:firstLineChars="100"/>
        <w:jc w:val="center"/>
        <w:outlineLvl w:val="0"/>
        <w:rPr>
          <w:rFonts w:ascii="宋体" w:hAnsi="宋体"/>
          <w:b/>
          <w:sz w:val="24"/>
          <w:szCs w:val="24"/>
          <w:highlight w:val="none"/>
        </w:rPr>
      </w:pPr>
      <w:bookmarkStart w:id="87" w:name="_Toc71"/>
      <w:bookmarkStart w:id="88" w:name="_Toc8292"/>
      <w:r>
        <w:rPr>
          <w:rFonts w:ascii="宋体" w:hAnsi="宋体"/>
          <w:sz w:val="24"/>
          <w:szCs w:val="24"/>
          <w:highlight w:val="none"/>
        </w:rPr>
        <w:br w:type="page"/>
      </w:r>
      <w:r>
        <w:rPr>
          <w:rFonts w:hint="eastAsia" w:ascii="宋体" w:hAnsi="宋体"/>
          <w:b/>
          <w:sz w:val="24"/>
          <w:szCs w:val="24"/>
          <w:highlight w:val="none"/>
        </w:rPr>
        <w:t xml:space="preserve">目 </w:t>
      </w:r>
      <w:r>
        <w:rPr>
          <w:rFonts w:ascii="宋体" w:hAnsi="宋体"/>
          <w:b/>
          <w:sz w:val="24"/>
          <w:szCs w:val="24"/>
          <w:highlight w:val="none"/>
        </w:rPr>
        <w:t xml:space="preserve"> </w:t>
      </w:r>
      <w:r>
        <w:rPr>
          <w:rFonts w:hint="eastAsia" w:ascii="宋体" w:hAnsi="宋体"/>
          <w:b/>
          <w:sz w:val="24"/>
          <w:szCs w:val="24"/>
          <w:highlight w:val="none"/>
        </w:rPr>
        <w:t>录</w:t>
      </w:r>
      <w:bookmarkEnd w:id="87"/>
      <w:bookmarkEnd w:id="88"/>
    </w:p>
    <w:p>
      <w:pPr>
        <w:shd w:val="clear" w:color="auto" w:fill="FFFFFF"/>
        <w:spacing w:line="500" w:lineRule="exact"/>
        <w:ind w:firstLine="482" w:firstLineChars="200"/>
        <w:rPr>
          <w:rFonts w:ascii="宋体" w:hAnsi="宋体"/>
          <w:bCs/>
          <w:kern w:val="0"/>
          <w:sz w:val="24"/>
          <w:szCs w:val="24"/>
          <w:highlight w:val="none"/>
        </w:rPr>
      </w:pPr>
      <w:r>
        <w:rPr>
          <w:rFonts w:hint="eastAsia" w:ascii="宋体" w:hAnsi="宋体"/>
          <w:b/>
          <w:bCs/>
          <w:kern w:val="0"/>
          <w:sz w:val="24"/>
          <w:szCs w:val="24"/>
          <w:highlight w:val="none"/>
        </w:rPr>
        <w:t>主要包括</w:t>
      </w:r>
      <w:r>
        <w:rPr>
          <w:rFonts w:hint="eastAsia" w:ascii="宋体" w:hAnsi="宋体"/>
          <w:b/>
          <w:sz w:val="24"/>
          <w:szCs w:val="24"/>
          <w:highlight w:val="none"/>
        </w:rPr>
        <w:t>但不限于以下内容：</w:t>
      </w:r>
    </w:p>
    <w:p>
      <w:pPr>
        <w:spacing w:line="500" w:lineRule="exact"/>
        <w:ind w:firstLine="480" w:firstLineChars="200"/>
        <w:outlineLvl w:val="0"/>
        <w:rPr>
          <w:rFonts w:ascii="宋体" w:hAnsi="宋体"/>
          <w:bCs/>
          <w:kern w:val="0"/>
          <w:sz w:val="24"/>
          <w:szCs w:val="24"/>
          <w:highlight w:val="none"/>
        </w:rPr>
      </w:pPr>
      <w:bookmarkStart w:id="89" w:name="_Toc27828"/>
      <w:bookmarkStart w:id="90" w:name="_Toc24618"/>
      <w:r>
        <w:rPr>
          <w:rFonts w:ascii="宋体" w:hAnsi="宋体"/>
          <w:bCs/>
          <w:kern w:val="0"/>
          <w:sz w:val="24"/>
          <w:szCs w:val="24"/>
          <w:highlight w:val="none"/>
        </w:rPr>
        <w:t>1</w:t>
      </w:r>
      <w:r>
        <w:rPr>
          <w:rFonts w:hint="eastAsia" w:ascii="宋体" w:hAnsi="宋体"/>
          <w:bCs/>
          <w:kern w:val="0"/>
          <w:sz w:val="24"/>
          <w:szCs w:val="24"/>
          <w:highlight w:val="none"/>
        </w:rPr>
        <w:t>、磋商响应书</w:t>
      </w:r>
      <w:bookmarkEnd w:id="89"/>
      <w:bookmarkEnd w:id="90"/>
    </w:p>
    <w:p>
      <w:pPr>
        <w:spacing w:line="500" w:lineRule="exact"/>
        <w:ind w:firstLine="480" w:firstLineChars="200"/>
        <w:outlineLvl w:val="0"/>
        <w:rPr>
          <w:rFonts w:ascii="宋体" w:hAnsi="宋体"/>
          <w:bCs/>
          <w:kern w:val="0"/>
          <w:sz w:val="24"/>
          <w:szCs w:val="24"/>
          <w:highlight w:val="none"/>
        </w:rPr>
      </w:pPr>
      <w:bookmarkStart w:id="91" w:name="_Toc2661"/>
      <w:bookmarkStart w:id="92" w:name="_Toc8945"/>
      <w:r>
        <w:rPr>
          <w:rFonts w:ascii="宋体" w:hAnsi="宋体"/>
          <w:bCs/>
          <w:kern w:val="0"/>
          <w:sz w:val="24"/>
          <w:szCs w:val="24"/>
          <w:highlight w:val="none"/>
        </w:rPr>
        <w:t>2</w:t>
      </w:r>
      <w:r>
        <w:rPr>
          <w:rFonts w:hint="eastAsia" w:ascii="宋体" w:hAnsi="宋体"/>
          <w:bCs/>
          <w:kern w:val="0"/>
          <w:sz w:val="24"/>
          <w:szCs w:val="24"/>
          <w:highlight w:val="none"/>
        </w:rPr>
        <w:t>、开标一览表</w:t>
      </w:r>
      <w:bookmarkEnd w:id="91"/>
      <w:bookmarkEnd w:id="92"/>
    </w:p>
    <w:p>
      <w:pPr>
        <w:spacing w:line="500" w:lineRule="exact"/>
        <w:ind w:firstLine="480" w:firstLineChars="200"/>
        <w:outlineLvl w:val="0"/>
        <w:rPr>
          <w:rFonts w:ascii="宋体" w:hAnsi="宋体"/>
          <w:sz w:val="24"/>
          <w:szCs w:val="24"/>
          <w:highlight w:val="none"/>
        </w:rPr>
      </w:pPr>
      <w:bookmarkStart w:id="93" w:name="_Toc26530"/>
      <w:bookmarkStart w:id="94" w:name="_Toc8557"/>
      <w:r>
        <w:rPr>
          <w:rFonts w:hint="eastAsia" w:ascii="宋体" w:hAnsi="宋体"/>
          <w:sz w:val="24"/>
          <w:szCs w:val="24"/>
          <w:highlight w:val="none"/>
        </w:rPr>
        <w:t>3、</w:t>
      </w:r>
      <w:r>
        <w:rPr>
          <w:rFonts w:hint="eastAsia" w:ascii="宋体" w:hAnsi="宋体" w:cs="宋体"/>
          <w:sz w:val="24"/>
          <w:highlight w:val="none"/>
        </w:rPr>
        <w:t>政策适用性说明（符合要求填写）</w:t>
      </w:r>
      <w:bookmarkEnd w:id="93"/>
      <w:bookmarkEnd w:id="94"/>
    </w:p>
    <w:p>
      <w:pPr>
        <w:spacing w:line="500" w:lineRule="exact"/>
        <w:ind w:firstLine="480" w:firstLineChars="200"/>
        <w:outlineLvl w:val="0"/>
        <w:rPr>
          <w:rFonts w:ascii="宋体" w:hAnsi="宋体"/>
          <w:sz w:val="24"/>
          <w:szCs w:val="24"/>
          <w:highlight w:val="none"/>
        </w:rPr>
      </w:pPr>
      <w:bookmarkStart w:id="95" w:name="_Toc18800"/>
      <w:bookmarkStart w:id="96" w:name="_Toc18773"/>
      <w:r>
        <w:rPr>
          <w:rFonts w:hint="eastAsia" w:ascii="宋体" w:hAnsi="宋体"/>
          <w:sz w:val="24"/>
          <w:szCs w:val="24"/>
          <w:highlight w:val="none"/>
        </w:rPr>
        <w:t>4、供应商基本情况表</w:t>
      </w:r>
      <w:bookmarkEnd w:id="95"/>
      <w:bookmarkEnd w:id="96"/>
    </w:p>
    <w:p>
      <w:pPr>
        <w:spacing w:line="500" w:lineRule="exact"/>
        <w:ind w:firstLine="480" w:firstLineChars="200"/>
        <w:outlineLvl w:val="0"/>
        <w:rPr>
          <w:rFonts w:ascii="宋体" w:hAnsi="宋体"/>
          <w:kern w:val="0"/>
          <w:sz w:val="24"/>
          <w:szCs w:val="24"/>
          <w:highlight w:val="none"/>
        </w:rPr>
      </w:pPr>
      <w:bookmarkStart w:id="97" w:name="_Toc23190"/>
      <w:bookmarkStart w:id="98" w:name="_Toc13394"/>
      <w:r>
        <w:rPr>
          <w:rFonts w:hint="eastAsia" w:ascii="宋体" w:hAnsi="宋体"/>
          <w:bCs/>
          <w:kern w:val="0"/>
          <w:sz w:val="24"/>
          <w:szCs w:val="24"/>
          <w:highlight w:val="none"/>
        </w:rPr>
        <w:t>5、</w:t>
      </w:r>
      <w:r>
        <w:rPr>
          <w:rFonts w:hint="eastAsia" w:ascii="宋体" w:hAnsi="宋体"/>
          <w:kern w:val="0"/>
          <w:sz w:val="24"/>
          <w:szCs w:val="24"/>
          <w:highlight w:val="none"/>
        </w:rPr>
        <w:t>法定代表人身份证明书</w:t>
      </w:r>
      <w:bookmarkEnd w:id="97"/>
      <w:bookmarkEnd w:id="98"/>
    </w:p>
    <w:p>
      <w:pPr>
        <w:autoSpaceDE w:val="0"/>
        <w:autoSpaceDN w:val="0"/>
        <w:adjustRightInd w:val="0"/>
        <w:spacing w:line="500" w:lineRule="exact"/>
        <w:ind w:firstLine="480" w:firstLineChars="200"/>
        <w:jc w:val="left"/>
        <w:outlineLvl w:val="0"/>
        <w:rPr>
          <w:rFonts w:ascii="宋体" w:hAnsi="宋体"/>
          <w:bCs/>
          <w:sz w:val="24"/>
          <w:szCs w:val="24"/>
          <w:highlight w:val="none"/>
        </w:rPr>
      </w:pPr>
      <w:bookmarkStart w:id="99" w:name="_Toc19693"/>
      <w:bookmarkStart w:id="100" w:name="_Toc2591"/>
      <w:r>
        <w:rPr>
          <w:rFonts w:hint="eastAsia" w:ascii="宋体" w:hAnsi="宋体"/>
          <w:sz w:val="24"/>
          <w:szCs w:val="24"/>
          <w:highlight w:val="none"/>
        </w:rPr>
        <w:t>6、</w:t>
      </w:r>
      <w:r>
        <w:rPr>
          <w:rFonts w:hint="eastAsia" w:ascii="宋体" w:hAnsi="宋体"/>
          <w:bCs/>
          <w:sz w:val="24"/>
          <w:szCs w:val="24"/>
          <w:highlight w:val="none"/>
        </w:rPr>
        <w:t>法定代表人授权委托书</w:t>
      </w:r>
      <w:bookmarkEnd w:id="99"/>
      <w:bookmarkEnd w:id="100"/>
    </w:p>
    <w:p>
      <w:pPr>
        <w:autoSpaceDE w:val="0"/>
        <w:autoSpaceDN w:val="0"/>
        <w:adjustRightInd w:val="0"/>
        <w:spacing w:line="500" w:lineRule="exact"/>
        <w:ind w:firstLine="480" w:firstLineChars="200"/>
        <w:jc w:val="left"/>
        <w:outlineLvl w:val="0"/>
        <w:rPr>
          <w:rFonts w:ascii="宋体" w:hAnsi="宋体"/>
          <w:sz w:val="24"/>
          <w:szCs w:val="24"/>
          <w:highlight w:val="none"/>
        </w:rPr>
      </w:pPr>
      <w:bookmarkStart w:id="101" w:name="_Toc32389"/>
      <w:bookmarkStart w:id="102" w:name="_Toc12629"/>
      <w:r>
        <w:rPr>
          <w:rFonts w:hint="eastAsia" w:ascii="宋体" w:hAnsi="宋体"/>
          <w:sz w:val="24"/>
          <w:szCs w:val="24"/>
          <w:highlight w:val="none"/>
        </w:rPr>
        <w:t>7</w:t>
      </w:r>
      <w:r>
        <w:rPr>
          <w:rFonts w:ascii="宋体" w:hAnsi="宋体"/>
          <w:sz w:val="24"/>
          <w:szCs w:val="24"/>
          <w:highlight w:val="none"/>
        </w:rPr>
        <w:t>、</w:t>
      </w:r>
      <w:bookmarkEnd w:id="101"/>
      <w:bookmarkEnd w:id="102"/>
      <w:r>
        <w:rPr>
          <w:rFonts w:hint="eastAsia" w:ascii="宋体" w:hAnsi="宋体"/>
          <w:sz w:val="24"/>
          <w:szCs w:val="24"/>
          <w:highlight w:val="none"/>
        </w:rPr>
        <w:t>关于《中华人民共和国政府采购法》第二十二条的承诺书</w:t>
      </w:r>
    </w:p>
    <w:p>
      <w:pPr>
        <w:autoSpaceDE w:val="0"/>
        <w:autoSpaceDN w:val="0"/>
        <w:adjustRightInd w:val="0"/>
        <w:spacing w:line="500" w:lineRule="exact"/>
        <w:ind w:firstLine="480" w:firstLineChars="200"/>
        <w:jc w:val="left"/>
        <w:outlineLvl w:val="0"/>
        <w:rPr>
          <w:rFonts w:ascii="宋体" w:hAnsi="宋体"/>
          <w:bCs/>
          <w:sz w:val="24"/>
          <w:szCs w:val="24"/>
          <w:highlight w:val="none"/>
        </w:rPr>
      </w:pPr>
      <w:bookmarkStart w:id="103" w:name="_Toc2207"/>
      <w:bookmarkStart w:id="104" w:name="_Toc21633"/>
      <w:r>
        <w:rPr>
          <w:rFonts w:hint="eastAsia" w:ascii="宋体" w:hAnsi="宋体"/>
          <w:bCs/>
          <w:sz w:val="24"/>
          <w:szCs w:val="24"/>
          <w:highlight w:val="none"/>
        </w:rPr>
        <w:t>8</w:t>
      </w:r>
      <w:r>
        <w:rPr>
          <w:rFonts w:ascii="宋体" w:hAnsi="宋体"/>
          <w:bCs/>
          <w:sz w:val="24"/>
          <w:szCs w:val="24"/>
          <w:highlight w:val="none"/>
        </w:rPr>
        <w:t>、</w:t>
      </w:r>
      <w:r>
        <w:rPr>
          <w:rFonts w:hint="eastAsia" w:ascii="宋体" w:hAnsi="宋体"/>
          <w:bCs/>
          <w:sz w:val="24"/>
          <w:szCs w:val="24"/>
          <w:highlight w:val="none"/>
        </w:rPr>
        <w:t>供应商的资格声明</w:t>
      </w:r>
      <w:bookmarkEnd w:id="103"/>
      <w:bookmarkEnd w:id="104"/>
    </w:p>
    <w:p>
      <w:pPr>
        <w:autoSpaceDE w:val="0"/>
        <w:autoSpaceDN w:val="0"/>
        <w:adjustRightInd w:val="0"/>
        <w:spacing w:line="500" w:lineRule="exact"/>
        <w:ind w:firstLine="480" w:firstLineChars="200"/>
        <w:jc w:val="left"/>
        <w:outlineLvl w:val="0"/>
        <w:rPr>
          <w:rFonts w:ascii="宋体" w:hAnsi="宋体"/>
          <w:sz w:val="24"/>
          <w:szCs w:val="24"/>
          <w:highlight w:val="none"/>
        </w:rPr>
      </w:pPr>
      <w:bookmarkStart w:id="105" w:name="_Toc1140"/>
      <w:bookmarkStart w:id="106" w:name="_Toc15488"/>
      <w:r>
        <w:rPr>
          <w:rFonts w:hint="eastAsia" w:ascii="宋体" w:hAnsi="宋体"/>
          <w:sz w:val="24"/>
          <w:szCs w:val="24"/>
          <w:highlight w:val="none"/>
        </w:rPr>
        <w:t>9</w:t>
      </w:r>
      <w:r>
        <w:rPr>
          <w:rFonts w:ascii="宋体" w:hAnsi="宋体"/>
          <w:sz w:val="24"/>
          <w:szCs w:val="24"/>
          <w:highlight w:val="none"/>
        </w:rPr>
        <w:t>、供应商资格要求</w:t>
      </w:r>
      <w:bookmarkEnd w:id="105"/>
      <w:bookmarkEnd w:id="106"/>
    </w:p>
    <w:p>
      <w:pPr>
        <w:autoSpaceDE w:val="0"/>
        <w:autoSpaceDN w:val="0"/>
        <w:adjustRightInd w:val="0"/>
        <w:spacing w:line="500" w:lineRule="exact"/>
        <w:ind w:firstLine="480" w:firstLineChars="200"/>
        <w:jc w:val="left"/>
        <w:outlineLvl w:val="0"/>
        <w:rPr>
          <w:rFonts w:ascii="宋体" w:hAnsi="宋体"/>
          <w:sz w:val="24"/>
          <w:szCs w:val="24"/>
          <w:highlight w:val="none"/>
        </w:rPr>
      </w:pPr>
      <w:bookmarkStart w:id="107" w:name="_Toc17981"/>
      <w:bookmarkStart w:id="108" w:name="_Toc25487"/>
      <w:r>
        <w:rPr>
          <w:rFonts w:hint="eastAsia" w:ascii="宋体" w:hAnsi="宋体"/>
          <w:sz w:val="24"/>
          <w:szCs w:val="24"/>
          <w:highlight w:val="none"/>
        </w:rPr>
        <w:t>10、</w:t>
      </w:r>
      <w:bookmarkEnd w:id="107"/>
      <w:bookmarkEnd w:id="108"/>
      <w:r>
        <w:rPr>
          <w:rFonts w:hint="eastAsia" w:ascii="宋体" w:hAnsi="宋体"/>
          <w:sz w:val="24"/>
          <w:szCs w:val="24"/>
          <w:highlight w:val="none"/>
        </w:rPr>
        <w:t>采购需求响应偏离表</w:t>
      </w:r>
    </w:p>
    <w:p>
      <w:pPr>
        <w:autoSpaceDE w:val="0"/>
        <w:autoSpaceDN w:val="0"/>
        <w:adjustRightInd w:val="0"/>
        <w:spacing w:line="500" w:lineRule="exact"/>
        <w:ind w:firstLine="480" w:firstLineChars="200"/>
        <w:jc w:val="left"/>
        <w:outlineLvl w:val="0"/>
        <w:rPr>
          <w:rFonts w:ascii="宋体" w:hAnsi="宋体"/>
          <w:sz w:val="24"/>
          <w:szCs w:val="24"/>
          <w:highlight w:val="none"/>
        </w:rPr>
      </w:pPr>
      <w:bookmarkStart w:id="109" w:name="_Toc19480"/>
      <w:bookmarkStart w:id="110" w:name="_Toc9913"/>
      <w:r>
        <w:rPr>
          <w:rFonts w:hint="eastAsia" w:ascii="宋体" w:hAnsi="宋体"/>
          <w:sz w:val="24"/>
          <w:szCs w:val="24"/>
          <w:highlight w:val="none"/>
        </w:rPr>
        <w:t>11、</w:t>
      </w:r>
      <w:bookmarkEnd w:id="109"/>
      <w:bookmarkEnd w:id="110"/>
      <w:r>
        <w:rPr>
          <w:rFonts w:hint="eastAsia" w:ascii="宋体" w:hAnsi="宋体"/>
          <w:sz w:val="24"/>
          <w:szCs w:val="24"/>
          <w:highlight w:val="none"/>
        </w:rPr>
        <w:t>供应商类似项目业绩表</w:t>
      </w:r>
    </w:p>
    <w:p>
      <w:pPr>
        <w:autoSpaceDE w:val="0"/>
        <w:autoSpaceDN w:val="0"/>
        <w:adjustRightInd w:val="0"/>
        <w:spacing w:line="500" w:lineRule="exact"/>
        <w:ind w:firstLine="480" w:firstLineChars="200"/>
        <w:jc w:val="left"/>
        <w:outlineLvl w:val="0"/>
        <w:rPr>
          <w:rFonts w:ascii="宋体" w:hAnsi="宋体" w:cs="宋体"/>
          <w:sz w:val="24"/>
          <w:highlight w:val="none"/>
        </w:rPr>
      </w:pPr>
      <w:bookmarkStart w:id="111" w:name="_Toc26929"/>
      <w:bookmarkStart w:id="112" w:name="_Toc6096"/>
      <w:r>
        <w:rPr>
          <w:rFonts w:hint="eastAsia" w:ascii="宋体" w:hAnsi="宋体" w:cs="宋体"/>
          <w:sz w:val="24"/>
          <w:highlight w:val="none"/>
        </w:rPr>
        <w:t>12、节能、环境标志产品优惠明细表(若有，请如实填写)</w:t>
      </w:r>
      <w:bookmarkEnd w:id="111"/>
      <w:bookmarkEnd w:id="112"/>
    </w:p>
    <w:p>
      <w:pPr>
        <w:autoSpaceDE w:val="0"/>
        <w:autoSpaceDN w:val="0"/>
        <w:adjustRightInd w:val="0"/>
        <w:spacing w:line="500" w:lineRule="exact"/>
        <w:ind w:firstLine="480" w:firstLineChars="200"/>
        <w:jc w:val="left"/>
        <w:outlineLvl w:val="0"/>
        <w:rPr>
          <w:rFonts w:ascii="宋体" w:hAnsi="宋体" w:cs="宋体"/>
          <w:sz w:val="24"/>
          <w:highlight w:val="none"/>
        </w:rPr>
      </w:pPr>
      <w:bookmarkStart w:id="113" w:name="_Toc13747"/>
      <w:bookmarkStart w:id="114" w:name="_Toc2403"/>
      <w:r>
        <w:rPr>
          <w:rFonts w:hint="eastAsia" w:ascii="宋体" w:hAnsi="宋体" w:cs="宋体"/>
          <w:sz w:val="24"/>
          <w:highlight w:val="none"/>
        </w:rPr>
        <w:t>13、节能、环境标志产品证明材料</w:t>
      </w:r>
      <w:bookmarkEnd w:id="113"/>
      <w:bookmarkEnd w:id="114"/>
      <w:r>
        <w:rPr>
          <w:rFonts w:hint="eastAsia" w:ascii="宋体" w:hAnsi="宋体" w:cs="宋体"/>
          <w:sz w:val="24"/>
          <w:highlight w:val="none"/>
        </w:rPr>
        <w:t>(若有，请如实填写)</w:t>
      </w:r>
    </w:p>
    <w:p>
      <w:pPr>
        <w:autoSpaceDE w:val="0"/>
        <w:autoSpaceDN w:val="0"/>
        <w:adjustRightInd w:val="0"/>
        <w:spacing w:line="500" w:lineRule="exact"/>
        <w:ind w:firstLine="480" w:firstLineChars="200"/>
        <w:jc w:val="left"/>
        <w:outlineLvl w:val="0"/>
        <w:rPr>
          <w:rFonts w:ascii="宋体" w:hAnsi="宋体" w:cs="宋体"/>
          <w:sz w:val="24"/>
          <w:highlight w:val="none"/>
        </w:rPr>
      </w:pPr>
      <w:bookmarkStart w:id="115" w:name="_Toc5468"/>
      <w:bookmarkStart w:id="116" w:name="_Toc18534"/>
      <w:r>
        <w:rPr>
          <w:rFonts w:hint="eastAsia" w:ascii="宋体" w:hAnsi="宋体" w:cs="宋体"/>
          <w:sz w:val="24"/>
          <w:highlight w:val="none"/>
        </w:rPr>
        <w:t>14、小微企业生产或销售的产品优惠明细表(若有，请如实填写)</w:t>
      </w:r>
      <w:bookmarkEnd w:id="115"/>
      <w:bookmarkEnd w:id="116"/>
    </w:p>
    <w:p>
      <w:pPr>
        <w:autoSpaceDE w:val="0"/>
        <w:autoSpaceDN w:val="0"/>
        <w:adjustRightInd w:val="0"/>
        <w:spacing w:line="500" w:lineRule="exact"/>
        <w:ind w:firstLine="480" w:firstLineChars="200"/>
        <w:jc w:val="left"/>
        <w:outlineLvl w:val="0"/>
        <w:rPr>
          <w:rFonts w:ascii="宋体" w:hAnsi="宋体" w:cs="宋体"/>
          <w:sz w:val="24"/>
          <w:highlight w:val="none"/>
        </w:rPr>
      </w:pPr>
      <w:bookmarkStart w:id="117" w:name="_Toc23127"/>
      <w:bookmarkStart w:id="118" w:name="_Toc25608"/>
      <w:r>
        <w:rPr>
          <w:rFonts w:hint="eastAsia" w:ascii="宋体" w:hAnsi="宋体" w:cs="宋体"/>
          <w:sz w:val="24"/>
          <w:highlight w:val="none"/>
        </w:rPr>
        <w:t>15、中小微企业声明函（符合本声明函填写）</w:t>
      </w:r>
      <w:bookmarkEnd w:id="117"/>
      <w:bookmarkEnd w:id="118"/>
    </w:p>
    <w:p>
      <w:pPr>
        <w:autoSpaceDE w:val="0"/>
        <w:autoSpaceDN w:val="0"/>
        <w:adjustRightInd w:val="0"/>
        <w:spacing w:line="500" w:lineRule="exact"/>
        <w:ind w:firstLine="480" w:firstLineChars="200"/>
        <w:jc w:val="left"/>
        <w:outlineLvl w:val="0"/>
        <w:rPr>
          <w:rFonts w:ascii="宋体" w:hAnsi="宋体" w:cs="宋体"/>
          <w:sz w:val="24"/>
          <w:highlight w:val="none"/>
        </w:rPr>
      </w:pPr>
      <w:bookmarkStart w:id="119" w:name="_Toc14206"/>
      <w:bookmarkStart w:id="120" w:name="_Toc22791"/>
      <w:r>
        <w:rPr>
          <w:rFonts w:hint="eastAsia" w:ascii="宋体" w:hAnsi="宋体" w:cs="宋体"/>
          <w:sz w:val="24"/>
          <w:highlight w:val="none"/>
        </w:rPr>
        <w:t>16、监狱企业声明函（符合本声明函填写）</w:t>
      </w:r>
      <w:bookmarkEnd w:id="119"/>
      <w:bookmarkEnd w:id="120"/>
    </w:p>
    <w:p>
      <w:pPr>
        <w:autoSpaceDE w:val="0"/>
        <w:autoSpaceDN w:val="0"/>
        <w:adjustRightInd w:val="0"/>
        <w:spacing w:line="500" w:lineRule="exact"/>
        <w:ind w:firstLine="480" w:firstLineChars="200"/>
        <w:jc w:val="left"/>
        <w:outlineLvl w:val="0"/>
        <w:rPr>
          <w:rFonts w:ascii="宋体" w:hAnsi="宋体"/>
          <w:sz w:val="24"/>
          <w:szCs w:val="24"/>
          <w:highlight w:val="none"/>
        </w:rPr>
      </w:pPr>
      <w:bookmarkStart w:id="121" w:name="_Toc6942"/>
      <w:bookmarkStart w:id="122" w:name="_Toc9565"/>
      <w:r>
        <w:rPr>
          <w:rFonts w:hint="eastAsia" w:ascii="宋体" w:hAnsi="宋体" w:cs="宋体"/>
          <w:sz w:val="24"/>
          <w:highlight w:val="none"/>
        </w:rPr>
        <w:t>17、残疾人福利性单位声明函（符合本声明函填写）</w:t>
      </w:r>
      <w:bookmarkEnd w:id="121"/>
      <w:bookmarkEnd w:id="122"/>
    </w:p>
    <w:p>
      <w:pPr>
        <w:autoSpaceDE w:val="0"/>
        <w:autoSpaceDN w:val="0"/>
        <w:adjustRightInd w:val="0"/>
        <w:spacing w:line="500" w:lineRule="exact"/>
        <w:ind w:firstLine="480" w:firstLineChars="200"/>
        <w:jc w:val="left"/>
        <w:outlineLvl w:val="0"/>
        <w:rPr>
          <w:rFonts w:ascii="宋体" w:hAnsi="宋体"/>
          <w:sz w:val="24"/>
          <w:szCs w:val="24"/>
          <w:highlight w:val="none"/>
        </w:rPr>
      </w:pPr>
      <w:bookmarkStart w:id="123" w:name="_Toc18263"/>
      <w:bookmarkStart w:id="124" w:name="_Toc28393"/>
      <w:r>
        <w:rPr>
          <w:rFonts w:hint="eastAsia" w:ascii="宋体" w:hAnsi="宋体"/>
          <w:sz w:val="24"/>
          <w:szCs w:val="24"/>
          <w:highlight w:val="none"/>
        </w:rPr>
        <w:t>18、评审中所需资料</w:t>
      </w:r>
      <w:bookmarkEnd w:id="123"/>
      <w:bookmarkEnd w:id="124"/>
    </w:p>
    <w:p>
      <w:pPr>
        <w:autoSpaceDE w:val="0"/>
        <w:autoSpaceDN w:val="0"/>
        <w:adjustRightInd w:val="0"/>
        <w:spacing w:line="500" w:lineRule="exact"/>
        <w:ind w:firstLine="480" w:firstLineChars="200"/>
        <w:jc w:val="left"/>
        <w:outlineLvl w:val="0"/>
        <w:rPr>
          <w:rFonts w:ascii="宋体" w:hAnsi="宋体"/>
          <w:sz w:val="24"/>
          <w:szCs w:val="24"/>
          <w:highlight w:val="none"/>
        </w:rPr>
      </w:pPr>
      <w:bookmarkStart w:id="125" w:name="_Toc13562"/>
      <w:bookmarkStart w:id="126" w:name="_Toc9318"/>
      <w:r>
        <w:rPr>
          <w:rFonts w:hint="eastAsia" w:ascii="宋体" w:hAnsi="宋体"/>
          <w:sz w:val="24"/>
          <w:szCs w:val="24"/>
          <w:highlight w:val="none"/>
        </w:rPr>
        <w:t>19</w:t>
      </w:r>
      <w:r>
        <w:rPr>
          <w:rFonts w:ascii="宋体" w:hAnsi="宋体"/>
          <w:sz w:val="24"/>
          <w:szCs w:val="24"/>
          <w:highlight w:val="none"/>
        </w:rPr>
        <w:t>、供应商认为有必要提供的其他资料</w:t>
      </w:r>
      <w:bookmarkEnd w:id="125"/>
      <w:bookmarkEnd w:id="126"/>
    </w:p>
    <w:p>
      <w:pPr>
        <w:spacing w:line="500" w:lineRule="exact"/>
        <w:ind w:firstLine="472" w:firstLineChars="196"/>
        <w:rPr>
          <w:rFonts w:ascii="宋体" w:hAnsi="宋体"/>
          <w:b/>
          <w:bCs/>
          <w:sz w:val="24"/>
          <w:szCs w:val="24"/>
          <w:highlight w:val="none"/>
        </w:rPr>
      </w:pPr>
      <w:r>
        <w:rPr>
          <w:rFonts w:hint="eastAsia" w:ascii="宋体" w:hAnsi="宋体"/>
          <w:b/>
          <w:sz w:val="24"/>
          <w:szCs w:val="24"/>
          <w:highlight w:val="none"/>
        </w:rPr>
        <w:t>（注：供应商须按招标要求提供，磋商响应文件应当使用磋商文件所提供磋商响应文件格式（表格可按照同样格式扩展）。未提供格式的，需要时由供应商用文字或者表格、图片等其它形式提供。）</w:t>
      </w:r>
    </w:p>
    <w:p>
      <w:pPr>
        <w:widowControl/>
        <w:jc w:val="left"/>
        <w:rPr>
          <w:rFonts w:ascii="宋体" w:hAnsi="宋体"/>
          <w:sz w:val="24"/>
          <w:szCs w:val="24"/>
          <w:highlight w:val="none"/>
        </w:rPr>
      </w:pPr>
      <w:r>
        <w:rPr>
          <w:rFonts w:ascii="宋体" w:hAnsi="宋体"/>
          <w:sz w:val="18"/>
          <w:szCs w:val="18"/>
          <w:highlight w:val="none"/>
        </w:rPr>
        <w:br w:type="page"/>
      </w:r>
    </w:p>
    <w:p>
      <w:pPr>
        <w:shd w:val="clear" w:color="auto" w:fill="FFFFFF"/>
        <w:spacing w:line="360" w:lineRule="exact"/>
        <w:outlineLvl w:val="0"/>
        <w:rPr>
          <w:rFonts w:ascii="宋体" w:hAnsi="宋体"/>
          <w:b/>
          <w:sz w:val="24"/>
          <w:szCs w:val="24"/>
          <w:highlight w:val="none"/>
        </w:rPr>
      </w:pPr>
      <w:bookmarkStart w:id="127" w:name="_Toc9753"/>
      <w:bookmarkStart w:id="128" w:name="_Toc31865"/>
      <w:r>
        <w:rPr>
          <w:rFonts w:hint="eastAsia" w:ascii="宋体" w:hAnsi="宋体"/>
          <w:b/>
          <w:sz w:val="24"/>
          <w:szCs w:val="24"/>
          <w:highlight w:val="none"/>
        </w:rPr>
        <w:t>附件1</w:t>
      </w:r>
      <w:bookmarkEnd w:id="127"/>
      <w:bookmarkEnd w:id="128"/>
    </w:p>
    <w:p>
      <w:pPr>
        <w:shd w:val="clear" w:color="auto" w:fill="FFFFFF"/>
        <w:spacing w:line="500" w:lineRule="exact"/>
        <w:ind w:right="420"/>
        <w:jc w:val="center"/>
        <w:rPr>
          <w:rFonts w:ascii="宋体" w:hAnsi="宋体"/>
          <w:b/>
          <w:sz w:val="24"/>
          <w:szCs w:val="24"/>
          <w:highlight w:val="none"/>
        </w:rPr>
      </w:pPr>
      <w:r>
        <w:rPr>
          <w:rFonts w:hint="eastAsia" w:ascii="宋体" w:hAnsi="宋体"/>
          <w:b/>
          <w:sz w:val="24"/>
          <w:szCs w:val="24"/>
          <w:highlight w:val="none"/>
        </w:rPr>
        <w:t>磋商响应书</w:t>
      </w:r>
    </w:p>
    <w:p>
      <w:pPr>
        <w:shd w:val="clear" w:color="auto" w:fill="FFFFFF"/>
        <w:spacing w:line="440" w:lineRule="exact"/>
        <w:ind w:right="420"/>
        <w:jc w:val="left"/>
        <w:rPr>
          <w:rFonts w:ascii="宋体" w:hAnsi="宋体"/>
          <w:sz w:val="24"/>
          <w:szCs w:val="24"/>
          <w:highlight w:val="none"/>
          <w:u w:val="single"/>
        </w:rPr>
      </w:pPr>
      <w:r>
        <w:rPr>
          <w:rFonts w:hint="eastAsia" w:ascii="宋体" w:hAnsi="宋体"/>
          <w:sz w:val="24"/>
          <w:szCs w:val="24"/>
          <w:highlight w:val="none"/>
        </w:rPr>
        <w:t>致（</w:t>
      </w:r>
      <w:r>
        <w:rPr>
          <w:rFonts w:hint="eastAsia" w:ascii="宋体" w:hAnsi="宋体"/>
          <w:sz w:val="24"/>
          <w:szCs w:val="24"/>
          <w:highlight w:val="none"/>
          <w:u w:val="single"/>
        </w:rPr>
        <w:t>采购人名称</w:t>
      </w:r>
      <w:r>
        <w:rPr>
          <w:rFonts w:hint="eastAsia" w:ascii="宋体" w:hAnsi="宋体"/>
          <w:sz w:val="24"/>
          <w:szCs w:val="24"/>
          <w:highlight w:val="none"/>
        </w:rPr>
        <w:t>）：</w:t>
      </w:r>
    </w:p>
    <w:p>
      <w:pPr>
        <w:shd w:val="clear" w:color="auto" w:fill="FFFFFF"/>
        <w:spacing w:line="440" w:lineRule="exact"/>
        <w:ind w:left="1" w:firstLine="489" w:firstLineChars="204"/>
        <w:rPr>
          <w:rFonts w:ascii="宋体" w:hAnsi="宋体"/>
          <w:sz w:val="24"/>
          <w:szCs w:val="24"/>
          <w:highlight w:val="none"/>
        </w:rPr>
      </w:pPr>
      <w:r>
        <w:rPr>
          <w:rFonts w:hint="eastAsia" w:ascii="宋体" w:hAnsi="宋体"/>
          <w:sz w:val="24"/>
          <w:szCs w:val="24"/>
          <w:highlight w:val="none"/>
        </w:rPr>
        <w:t>我方收到并研究了贵方</w:t>
      </w:r>
      <w:r>
        <w:rPr>
          <w:rFonts w:hint="eastAsia" w:ascii="宋体" w:hAnsi="宋体"/>
          <w:sz w:val="24"/>
          <w:szCs w:val="24"/>
          <w:highlight w:val="none"/>
          <w:u w:val="single"/>
        </w:rPr>
        <w:t xml:space="preserve">   （项目名称、采购项目编号）</w:t>
      </w:r>
      <w:r>
        <w:rPr>
          <w:rFonts w:hint="eastAsia" w:ascii="宋体" w:hAnsi="宋体"/>
          <w:sz w:val="24"/>
          <w:szCs w:val="24"/>
          <w:highlight w:val="none"/>
        </w:rPr>
        <w:t>项目的磋商文件，愿意按照磋商文件规定的内容承担该项目的投标任务，严格执行我方所承诺的责任和义务。为此，我方郑重声明以下诸点，并负法律责任。</w:t>
      </w:r>
    </w:p>
    <w:p>
      <w:pPr>
        <w:shd w:val="clear" w:color="auto" w:fill="FFFFFF"/>
        <w:spacing w:line="440" w:lineRule="exact"/>
        <w:ind w:left="1" w:firstLine="489" w:firstLineChars="204"/>
        <w:rPr>
          <w:rFonts w:ascii="宋体" w:hAnsi="宋体"/>
          <w:sz w:val="24"/>
          <w:szCs w:val="24"/>
          <w:highlight w:val="none"/>
        </w:rPr>
      </w:pPr>
      <w:r>
        <w:rPr>
          <w:rFonts w:hint="eastAsia" w:ascii="宋体" w:hAnsi="宋体"/>
          <w:sz w:val="24"/>
          <w:szCs w:val="24"/>
          <w:highlight w:val="none"/>
        </w:rPr>
        <w:t>1、我方提交磋商响应文件，我方愿按《中华人民共和国政府采购法》及其他有关法律、法规的规定，自觉履行自己的全部责任。</w:t>
      </w:r>
    </w:p>
    <w:p>
      <w:pPr>
        <w:shd w:val="clear" w:color="auto" w:fill="FFFFFF"/>
        <w:spacing w:line="440" w:lineRule="exact"/>
        <w:ind w:firstLine="480" w:firstLineChars="200"/>
        <w:rPr>
          <w:rFonts w:ascii="宋体" w:hAnsi="宋体"/>
          <w:sz w:val="24"/>
          <w:szCs w:val="24"/>
          <w:highlight w:val="none"/>
        </w:rPr>
      </w:pPr>
      <w:r>
        <w:rPr>
          <w:rFonts w:hint="eastAsia" w:ascii="宋体" w:hAnsi="宋体"/>
          <w:sz w:val="24"/>
          <w:szCs w:val="24"/>
          <w:highlight w:val="none"/>
        </w:rPr>
        <w:t>2、我方同意在磋商有效期内遵守本磋商响应文件，在此期限期满前的任何时间，本磋商响应文件一直对我们具有约束力；</w:t>
      </w:r>
    </w:p>
    <w:p>
      <w:pPr>
        <w:shd w:val="clear" w:color="auto" w:fill="FFFFFF"/>
        <w:spacing w:line="440" w:lineRule="exact"/>
        <w:ind w:right="420" w:firstLine="480" w:firstLineChars="200"/>
        <w:jc w:val="left"/>
        <w:rPr>
          <w:rFonts w:ascii="宋体" w:hAnsi="宋体"/>
          <w:sz w:val="24"/>
          <w:szCs w:val="24"/>
          <w:highlight w:val="none"/>
        </w:rPr>
      </w:pPr>
      <w:r>
        <w:rPr>
          <w:rFonts w:hint="eastAsia" w:ascii="宋体" w:hAnsi="宋体"/>
          <w:sz w:val="24"/>
          <w:szCs w:val="24"/>
          <w:highlight w:val="none"/>
        </w:rPr>
        <w:t>3、如果我方磋商响应文件被接受，我方将按照磋商文件的规定，我方保证将按招标要求和磋商响应文件中的承诺按期、按质、按量交付使用方；</w:t>
      </w:r>
    </w:p>
    <w:p>
      <w:pPr>
        <w:shd w:val="clear" w:color="auto" w:fill="FFFFFF"/>
        <w:spacing w:line="440" w:lineRule="exact"/>
        <w:ind w:right="420" w:firstLine="480" w:firstLineChars="200"/>
        <w:jc w:val="left"/>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、如果我方中标，我方将在磋商文件规定的时间内签订委托合同并按招标要求提供履约担保。如果我方违约，除磋商保证金不予退还外，贵方有权终止我方中标并选择其它成交供应商。</w:t>
      </w:r>
    </w:p>
    <w:p>
      <w:pPr>
        <w:shd w:val="clear" w:color="auto" w:fill="FFFFFF"/>
        <w:spacing w:line="440" w:lineRule="exact"/>
        <w:ind w:right="420" w:firstLine="480" w:firstLineChars="200"/>
        <w:jc w:val="left"/>
        <w:rPr>
          <w:rFonts w:ascii="宋体" w:hAnsi="宋体"/>
          <w:sz w:val="24"/>
          <w:szCs w:val="24"/>
          <w:highlight w:val="none"/>
        </w:rPr>
      </w:pPr>
      <w:r>
        <w:rPr>
          <w:rFonts w:ascii="宋体" w:hAnsi="宋体"/>
          <w:sz w:val="24"/>
          <w:szCs w:val="24"/>
          <w:highlight w:val="none"/>
        </w:rPr>
        <w:t>5</w:t>
      </w:r>
      <w:r>
        <w:rPr>
          <w:rFonts w:hint="eastAsia" w:ascii="宋体" w:hAnsi="宋体"/>
          <w:sz w:val="24"/>
          <w:szCs w:val="24"/>
          <w:highlight w:val="none"/>
        </w:rPr>
        <w:t>、如果我方中标，我方将在磋商文件规定的时间内签订服务合同。如果我方违约，</w:t>
      </w:r>
      <w:r>
        <w:rPr>
          <w:rFonts w:ascii="宋体" w:hAnsi="宋体"/>
          <w:sz w:val="24"/>
          <w:szCs w:val="24"/>
          <w:highlight w:val="none"/>
        </w:rPr>
        <w:t>借故拒签合同或拖延签订的，则采购人将废除授标，</w:t>
      </w:r>
      <w:r>
        <w:rPr>
          <w:rFonts w:hint="eastAsia" w:ascii="宋体" w:hAnsi="宋体"/>
          <w:sz w:val="24"/>
          <w:szCs w:val="24"/>
          <w:highlight w:val="none"/>
        </w:rPr>
        <w:t>磋商保证金</w:t>
      </w:r>
      <w:r>
        <w:rPr>
          <w:rFonts w:ascii="宋体" w:hAnsi="宋体"/>
          <w:sz w:val="24"/>
          <w:szCs w:val="24"/>
          <w:highlight w:val="none"/>
        </w:rPr>
        <w:t>不予退还，给采购人造成的损失超过投</w:t>
      </w:r>
      <w:r>
        <w:rPr>
          <w:rFonts w:hint="eastAsia" w:ascii="宋体" w:hAnsi="宋体"/>
          <w:sz w:val="24"/>
          <w:szCs w:val="24"/>
          <w:highlight w:val="none"/>
        </w:rPr>
        <w:t>保证金</w:t>
      </w:r>
      <w:r>
        <w:rPr>
          <w:rFonts w:ascii="宋体" w:hAnsi="宋体"/>
          <w:sz w:val="24"/>
          <w:szCs w:val="24"/>
          <w:highlight w:val="none"/>
        </w:rPr>
        <w:t>保数额的，还应当对超过部分予以赔偿，同时依法承担相应法律责任</w:t>
      </w:r>
      <w:r>
        <w:rPr>
          <w:rFonts w:hint="eastAsia" w:ascii="宋体" w:hAnsi="宋体"/>
          <w:sz w:val="24"/>
          <w:szCs w:val="24"/>
          <w:highlight w:val="none"/>
        </w:rPr>
        <w:t>，</w:t>
      </w:r>
      <w:r>
        <w:rPr>
          <w:rFonts w:ascii="宋体" w:hAnsi="宋体"/>
          <w:sz w:val="24"/>
          <w:szCs w:val="24"/>
          <w:highlight w:val="none"/>
        </w:rPr>
        <w:t>采购人可另行选择成交供应商</w:t>
      </w:r>
      <w:r>
        <w:rPr>
          <w:rFonts w:hint="eastAsia" w:ascii="宋体" w:hAnsi="宋体"/>
          <w:sz w:val="24"/>
          <w:szCs w:val="24"/>
          <w:highlight w:val="none"/>
        </w:rPr>
        <w:t>。</w:t>
      </w:r>
    </w:p>
    <w:p>
      <w:pPr>
        <w:shd w:val="clear" w:color="auto" w:fill="FFFFFF"/>
        <w:spacing w:line="440" w:lineRule="exact"/>
        <w:ind w:right="420" w:firstLine="480" w:firstLineChars="200"/>
        <w:jc w:val="left"/>
        <w:rPr>
          <w:rFonts w:ascii="宋体" w:hAnsi="宋体"/>
          <w:sz w:val="24"/>
          <w:szCs w:val="24"/>
          <w:highlight w:val="none"/>
        </w:rPr>
      </w:pPr>
      <w:r>
        <w:rPr>
          <w:rFonts w:ascii="宋体" w:hAnsi="宋体"/>
          <w:sz w:val="24"/>
          <w:szCs w:val="24"/>
          <w:highlight w:val="none"/>
        </w:rPr>
        <w:t>6</w:t>
      </w:r>
      <w:r>
        <w:rPr>
          <w:rFonts w:hint="eastAsia" w:ascii="宋体" w:hAnsi="宋体"/>
          <w:sz w:val="24"/>
          <w:szCs w:val="24"/>
          <w:highlight w:val="none"/>
        </w:rPr>
        <w:t>、一旦我方中标，我方愿意按招标要求承担政府采购代理服务费。</w:t>
      </w:r>
    </w:p>
    <w:p>
      <w:pPr>
        <w:shd w:val="clear" w:color="auto" w:fill="FFFFFF"/>
        <w:spacing w:line="440" w:lineRule="exact"/>
        <w:ind w:right="420" w:firstLine="480" w:firstLineChars="200"/>
        <w:jc w:val="left"/>
        <w:rPr>
          <w:rFonts w:ascii="宋体" w:hAnsi="宋体"/>
          <w:sz w:val="24"/>
          <w:szCs w:val="24"/>
          <w:highlight w:val="none"/>
        </w:rPr>
      </w:pPr>
      <w:r>
        <w:rPr>
          <w:rFonts w:ascii="宋体" w:hAnsi="宋体"/>
          <w:sz w:val="24"/>
          <w:szCs w:val="24"/>
          <w:highlight w:val="none"/>
        </w:rPr>
        <w:t>7</w:t>
      </w:r>
      <w:r>
        <w:rPr>
          <w:rFonts w:hint="eastAsia" w:ascii="宋体" w:hAnsi="宋体"/>
          <w:sz w:val="24"/>
          <w:szCs w:val="24"/>
          <w:highlight w:val="none"/>
        </w:rPr>
        <w:t>、贵方的中标通知书和本磋商响应文件将构成约束双方的合同。</w:t>
      </w:r>
    </w:p>
    <w:p>
      <w:pPr>
        <w:shd w:val="clear" w:color="auto" w:fill="FFFFFF"/>
        <w:spacing w:line="440" w:lineRule="exact"/>
        <w:ind w:right="420" w:firstLine="480" w:firstLineChars="200"/>
        <w:jc w:val="left"/>
        <w:rPr>
          <w:rFonts w:ascii="宋体" w:hAnsi="宋体"/>
          <w:sz w:val="24"/>
          <w:szCs w:val="24"/>
          <w:highlight w:val="none"/>
        </w:rPr>
      </w:pPr>
      <w:r>
        <w:rPr>
          <w:rFonts w:ascii="宋体" w:hAnsi="宋体"/>
          <w:sz w:val="24"/>
          <w:szCs w:val="24"/>
          <w:highlight w:val="none"/>
        </w:rPr>
        <w:t>8</w:t>
      </w:r>
      <w:r>
        <w:rPr>
          <w:rFonts w:hint="eastAsia" w:ascii="宋体" w:hAnsi="宋体"/>
          <w:sz w:val="24"/>
          <w:szCs w:val="24"/>
          <w:highlight w:val="none"/>
        </w:rPr>
        <w:t>、如果我方未中标，贵方没有必要对我方做出任何解释和说明，我方将充分尊重和理解贵方的选择。</w:t>
      </w:r>
    </w:p>
    <w:p>
      <w:pPr>
        <w:shd w:val="clear" w:color="auto" w:fill="FFFFFF"/>
        <w:spacing w:line="440" w:lineRule="exact"/>
        <w:ind w:right="420" w:firstLine="480"/>
        <w:jc w:val="left"/>
        <w:rPr>
          <w:rFonts w:ascii="宋体" w:hAnsi="宋体"/>
          <w:sz w:val="24"/>
          <w:szCs w:val="24"/>
          <w:highlight w:val="none"/>
        </w:rPr>
      </w:pPr>
      <w:r>
        <w:rPr>
          <w:rFonts w:hint="eastAsia" w:ascii="宋体" w:hAnsi="宋体"/>
          <w:sz w:val="24"/>
          <w:szCs w:val="24"/>
          <w:highlight w:val="none"/>
        </w:rPr>
        <w:t>9、我方的磋商响应文件自提交磋商响应文件截止之日起有效期</w:t>
      </w:r>
      <w:r>
        <w:rPr>
          <w:rFonts w:hint="eastAsia" w:ascii="宋体" w:hAnsi="宋体"/>
          <w:sz w:val="24"/>
          <w:szCs w:val="24"/>
          <w:highlight w:val="none"/>
          <w:u w:val="single"/>
        </w:rPr>
        <w:t xml:space="preserve"> 90  </w:t>
      </w:r>
      <w:r>
        <w:rPr>
          <w:rFonts w:hint="eastAsia" w:ascii="宋体" w:hAnsi="宋体"/>
          <w:sz w:val="24"/>
          <w:szCs w:val="24"/>
          <w:highlight w:val="none"/>
        </w:rPr>
        <w:t>天。</w:t>
      </w:r>
    </w:p>
    <w:p>
      <w:pPr>
        <w:shd w:val="clear" w:color="auto" w:fill="FFFFFF"/>
        <w:spacing w:line="440" w:lineRule="exact"/>
        <w:ind w:right="420" w:firstLine="480"/>
        <w:jc w:val="left"/>
        <w:rPr>
          <w:rFonts w:ascii="宋体" w:hAnsi="宋体"/>
          <w:sz w:val="24"/>
          <w:szCs w:val="24"/>
          <w:highlight w:val="none"/>
        </w:rPr>
      </w:pPr>
    </w:p>
    <w:p>
      <w:pPr>
        <w:pStyle w:val="92"/>
        <w:shd w:val="clear" w:color="auto" w:fill="FFFFFF"/>
        <w:snapToGrid w:val="0"/>
        <w:spacing w:line="440" w:lineRule="exact"/>
        <w:rPr>
          <w:rFonts w:ascii="宋体" w:hAnsi="宋体"/>
          <w:color w:val="auto"/>
          <w:sz w:val="24"/>
          <w:highlight w:val="none"/>
        </w:rPr>
      </w:pPr>
      <w:r>
        <w:rPr>
          <w:rFonts w:hint="eastAsia" w:ascii="宋体" w:hAnsi="宋体"/>
          <w:color w:val="auto"/>
          <w:sz w:val="24"/>
          <w:highlight w:val="none"/>
        </w:rPr>
        <w:t>供应商（盖公章）：</w:t>
      </w:r>
    </w:p>
    <w:p>
      <w:pPr>
        <w:shd w:val="clear" w:color="auto" w:fill="FFFFFF"/>
        <w:spacing w:line="440" w:lineRule="exact"/>
        <w:rPr>
          <w:rFonts w:ascii="宋体" w:hAnsi="宋体"/>
          <w:sz w:val="24"/>
          <w:szCs w:val="24"/>
          <w:highlight w:val="none"/>
        </w:rPr>
      </w:pPr>
      <w:r>
        <w:rPr>
          <w:rFonts w:hint="eastAsia" w:ascii="宋体" w:hAnsi="宋体"/>
          <w:sz w:val="24"/>
          <w:szCs w:val="24"/>
          <w:highlight w:val="none"/>
        </w:rPr>
        <w:t>法定代表人（签字或盖章）：</w:t>
      </w:r>
    </w:p>
    <w:p>
      <w:pPr>
        <w:shd w:val="clear" w:color="auto" w:fill="FFFFFF"/>
        <w:adjustRightInd w:val="0"/>
        <w:snapToGrid w:val="0"/>
        <w:spacing w:line="440" w:lineRule="exact"/>
        <w:ind w:right="480"/>
        <w:rPr>
          <w:rFonts w:ascii="宋体" w:hAnsi="宋体"/>
          <w:sz w:val="24"/>
          <w:szCs w:val="24"/>
          <w:highlight w:val="none"/>
        </w:rPr>
      </w:pPr>
      <w:r>
        <w:rPr>
          <w:rFonts w:hint="eastAsia" w:ascii="宋体" w:hAnsi="宋体"/>
          <w:sz w:val="24"/>
          <w:szCs w:val="24"/>
          <w:highlight w:val="none"/>
        </w:rPr>
        <w:t>日期：  年  月   日</w:t>
      </w:r>
    </w:p>
    <w:p>
      <w:pPr>
        <w:shd w:val="clear" w:color="auto" w:fill="FFFFFF"/>
        <w:spacing w:line="360" w:lineRule="exact"/>
        <w:ind w:right="420"/>
        <w:jc w:val="left"/>
        <w:outlineLvl w:val="0"/>
        <w:rPr>
          <w:rFonts w:ascii="宋体" w:hAnsi="宋体"/>
          <w:b/>
          <w:sz w:val="24"/>
          <w:szCs w:val="24"/>
          <w:highlight w:val="none"/>
        </w:rPr>
      </w:pPr>
      <w:r>
        <w:rPr>
          <w:rFonts w:ascii="宋体" w:hAnsi="宋体"/>
          <w:sz w:val="24"/>
          <w:szCs w:val="24"/>
          <w:highlight w:val="none"/>
        </w:rPr>
        <w:br w:type="page"/>
      </w:r>
      <w:bookmarkStart w:id="129" w:name="_Toc18033"/>
      <w:bookmarkStart w:id="130" w:name="_Toc10540"/>
      <w:r>
        <w:rPr>
          <w:rFonts w:hint="eastAsia" w:ascii="宋体" w:hAnsi="宋体"/>
          <w:b/>
          <w:sz w:val="24"/>
          <w:szCs w:val="24"/>
          <w:highlight w:val="none"/>
        </w:rPr>
        <w:t>附件</w:t>
      </w:r>
      <w:bookmarkEnd w:id="129"/>
      <w:bookmarkEnd w:id="130"/>
      <w:r>
        <w:rPr>
          <w:rFonts w:hint="eastAsia" w:ascii="宋体" w:hAnsi="宋体"/>
          <w:b/>
          <w:sz w:val="24"/>
          <w:szCs w:val="24"/>
          <w:highlight w:val="none"/>
        </w:rPr>
        <w:t>2-1</w:t>
      </w:r>
    </w:p>
    <w:p>
      <w:pPr>
        <w:shd w:val="clear" w:color="auto" w:fill="FFFFFF"/>
        <w:spacing w:line="500" w:lineRule="exact"/>
        <w:ind w:right="420"/>
        <w:jc w:val="center"/>
        <w:rPr>
          <w:rFonts w:ascii="宋体" w:hAnsi="宋体"/>
          <w:b/>
          <w:sz w:val="24"/>
          <w:szCs w:val="24"/>
          <w:highlight w:val="none"/>
        </w:rPr>
      </w:pPr>
      <w:r>
        <w:rPr>
          <w:rFonts w:hint="eastAsia" w:ascii="宋体" w:hAnsi="宋体"/>
          <w:b/>
          <w:sz w:val="24"/>
          <w:szCs w:val="24"/>
          <w:highlight w:val="none"/>
        </w:rPr>
        <w:t>开标一览表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701"/>
        <w:gridCol w:w="2542"/>
        <w:gridCol w:w="1236"/>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5" w:type="dxa"/>
            <w:vAlign w:val="center"/>
          </w:tcPr>
          <w:p>
            <w:pPr>
              <w:spacing w:line="500" w:lineRule="exact"/>
              <w:jc w:val="center"/>
              <w:rPr>
                <w:rFonts w:ascii="宋体" w:hAnsi="宋体" w:cs="宋体"/>
                <w:sz w:val="24"/>
                <w:szCs w:val="24"/>
                <w:highlight w:val="none"/>
              </w:rPr>
            </w:pPr>
            <w:r>
              <w:rPr>
                <w:rFonts w:hint="eastAsia" w:ascii="宋体" w:hAnsi="宋体" w:cs="宋体"/>
                <w:sz w:val="24"/>
                <w:szCs w:val="24"/>
                <w:highlight w:val="none"/>
              </w:rPr>
              <w:t>序号</w:t>
            </w:r>
          </w:p>
        </w:tc>
        <w:tc>
          <w:tcPr>
            <w:tcW w:w="1701" w:type="dxa"/>
            <w:vAlign w:val="center"/>
          </w:tcPr>
          <w:p>
            <w:pPr>
              <w:spacing w:line="500" w:lineRule="exact"/>
              <w:jc w:val="center"/>
              <w:rPr>
                <w:rFonts w:ascii="宋体" w:hAnsi="宋体" w:cs="宋体"/>
                <w:sz w:val="24"/>
                <w:szCs w:val="24"/>
                <w:highlight w:val="none"/>
              </w:rPr>
            </w:pPr>
            <w:r>
              <w:rPr>
                <w:rFonts w:hint="eastAsia" w:ascii="宋体" w:hAnsi="宋体" w:cs="宋体"/>
                <w:sz w:val="24"/>
                <w:szCs w:val="24"/>
                <w:highlight w:val="none"/>
              </w:rPr>
              <w:t>项目名称</w:t>
            </w:r>
          </w:p>
        </w:tc>
        <w:tc>
          <w:tcPr>
            <w:tcW w:w="2542" w:type="dxa"/>
            <w:vAlign w:val="center"/>
          </w:tcPr>
          <w:p>
            <w:pPr>
              <w:spacing w:line="500" w:lineRule="exact"/>
              <w:rPr>
                <w:rFonts w:ascii="宋体" w:hAnsi="宋体" w:cs="宋体"/>
                <w:sz w:val="24"/>
                <w:szCs w:val="24"/>
                <w:highlight w:val="none"/>
              </w:rPr>
            </w:pPr>
          </w:p>
        </w:tc>
        <w:tc>
          <w:tcPr>
            <w:tcW w:w="1236" w:type="dxa"/>
            <w:vAlign w:val="center"/>
          </w:tcPr>
          <w:p>
            <w:pPr>
              <w:spacing w:line="500" w:lineRule="exact"/>
              <w:rPr>
                <w:rFonts w:ascii="宋体" w:hAnsi="宋体" w:cs="宋体"/>
                <w:sz w:val="24"/>
                <w:szCs w:val="24"/>
                <w:highlight w:val="none"/>
              </w:rPr>
            </w:pPr>
            <w:r>
              <w:rPr>
                <w:rFonts w:hint="eastAsia" w:ascii="宋体" w:hAnsi="宋体" w:cs="宋体"/>
                <w:sz w:val="24"/>
                <w:szCs w:val="24"/>
                <w:highlight w:val="none"/>
              </w:rPr>
              <w:t>项目编号</w:t>
            </w:r>
          </w:p>
        </w:tc>
        <w:tc>
          <w:tcPr>
            <w:tcW w:w="1724" w:type="dxa"/>
            <w:vAlign w:val="center"/>
          </w:tcPr>
          <w:p>
            <w:pPr>
              <w:spacing w:line="500" w:lineRule="exac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pPr>
              <w:spacing w:line="500" w:lineRule="exact"/>
              <w:jc w:val="center"/>
              <w:rPr>
                <w:rFonts w:ascii="宋体" w:hAnsi="宋体" w:cs="宋体"/>
                <w:sz w:val="24"/>
                <w:szCs w:val="24"/>
                <w:highlight w:val="none"/>
              </w:rPr>
            </w:pPr>
            <w:r>
              <w:rPr>
                <w:rFonts w:hint="eastAsia" w:ascii="宋体" w:hAnsi="宋体" w:cs="宋体"/>
                <w:sz w:val="24"/>
                <w:szCs w:val="24"/>
                <w:highlight w:val="none"/>
              </w:rPr>
              <w:t>1</w:t>
            </w:r>
          </w:p>
        </w:tc>
        <w:tc>
          <w:tcPr>
            <w:tcW w:w="1701" w:type="dxa"/>
            <w:vAlign w:val="center"/>
          </w:tcPr>
          <w:p>
            <w:pPr>
              <w:spacing w:line="500" w:lineRule="exact"/>
              <w:jc w:val="center"/>
              <w:rPr>
                <w:rFonts w:ascii="宋体" w:hAnsi="宋体" w:cs="宋体"/>
                <w:sz w:val="24"/>
                <w:szCs w:val="24"/>
                <w:highlight w:val="none"/>
              </w:rPr>
            </w:pPr>
            <w:r>
              <w:rPr>
                <w:rFonts w:hint="eastAsia" w:ascii="宋体" w:hAnsi="宋体" w:cs="宋体"/>
                <w:sz w:val="24"/>
                <w:szCs w:val="24"/>
                <w:highlight w:val="none"/>
              </w:rPr>
              <w:t>投标报价</w:t>
            </w:r>
          </w:p>
        </w:tc>
        <w:tc>
          <w:tcPr>
            <w:tcW w:w="5502" w:type="dxa"/>
            <w:gridSpan w:val="3"/>
            <w:vAlign w:val="center"/>
          </w:tcPr>
          <w:p>
            <w:pPr>
              <w:shd w:val="clear" w:color="auto" w:fill="FFFFFF"/>
              <w:spacing w:line="500" w:lineRule="exact"/>
              <w:rPr>
                <w:rFonts w:ascii="宋体" w:hAnsi="宋体"/>
                <w:sz w:val="24"/>
                <w:szCs w:val="24"/>
                <w:highlight w:val="none"/>
              </w:rPr>
            </w:pPr>
            <w:r>
              <w:rPr>
                <w:rFonts w:hint="eastAsia" w:ascii="宋体" w:hAnsi="宋体"/>
                <w:sz w:val="24"/>
                <w:szCs w:val="24"/>
                <w:highlight w:val="none"/>
              </w:rPr>
              <w:t>小写：</w:t>
            </w:r>
            <w:r>
              <w:rPr>
                <w:rFonts w:hint="eastAsia" w:ascii="宋体" w:hAnsi="宋体"/>
                <w:sz w:val="24"/>
                <w:szCs w:val="24"/>
                <w:highlight w:val="none"/>
                <w:u w:val="single"/>
              </w:rPr>
              <w:t xml:space="preserve">             </w:t>
            </w:r>
            <w:r>
              <w:rPr>
                <w:rFonts w:hint="eastAsia" w:ascii="宋体" w:hAnsi="宋体"/>
                <w:sz w:val="24"/>
                <w:szCs w:val="24"/>
                <w:highlight w:val="none"/>
              </w:rPr>
              <w:t>（元）</w:t>
            </w:r>
          </w:p>
          <w:p>
            <w:pPr>
              <w:spacing w:line="500" w:lineRule="exact"/>
              <w:rPr>
                <w:rFonts w:ascii="宋体" w:hAnsi="宋体" w:cs="宋体"/>
                <w:sz w:val="24"/>
                <w:szCs w:val="24"/>
                <w:highlight w:val="none"/>
              </w:rPr>
            </w:pPr>
            <w:r>
              <w:rPr>
                <w:rFonts w:hint="eastAsia" w:ascii="宋体" w:hAnsi="宋体"/>
                <w:sz w:val="24"/>
                <w:szCs w:val="24"/>
                <w:highlight w:val="none"/>
              </w:rPr>
              <w:t>大写：</w:t>
            </w:r>
            <w:r>
              <w:rPr>
                <w:rFonts w:hint="eastAsia" w:ascii="宋体" w:hAnsi="宋体"/>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pPr>
              <w:spacing w:line="500" w:lineRule="exact"/>
              <w:jc w:val="center"/>
              <w:rPr>
                <w:rFonts w:ascii="宋体" w:hAnsi="宋体" w:cs="宋体"/>
                <w:sz w:val="24"/>
                <w:szCs w:val="24"/>
                <w:highlight w:val="none"/>
              </w:rPr>
            </w:pPr>
            <w:r>
              <w:rPr>
                <w:rFonts w:hint="eastAsia" w:ascii="宋体" w:hAnsi="宋体" w:cs="宋体"/>
                <w:sz w:val="24"/>
                <w:szCs w:val="24"/>
                <w:highlight w:val="none"/>
              </w:rPr>
              <w:t>2</w:t>
            </w:r>
          </w:p>
        </w:tc>
        <w:tc>
          <w:tcPr>
            <w:tcW w:w="1701" w:type="dxa"/>
            <w:vAlign w:val="center"/>
          </w:tcPr>
          <w:p>
            <w:pPr>
              <w:spacing w:line="500" w:lineRule="exact"/>
              <w:jc w:val="center"/>
              <w:rPr>
                <w:rFonts w:ascii="宋体" w:hAnsi="宋体" w:cs="宋体"/>
                <w:sz w:val="24"/>
                <w:szCs w:val="24"/>
                <w:highlight w:val="none"/>
              </w:rPr>
            </w:pPr>
            <w:r>
              <w:rPr>
                <w:rFonts w:hint="eastAsia" w:ascii="宋体" w:hAnsi="宋体" w:cs="宋体"/>
                <w:sz w:val="24"/>
                <w:szCs w:val="24"/>
                <w:highlight w:val="none"/>
                <w:lang w:val="en-US" w:eastAsia="zh-CN"/>
              </w:rPr>
              <w:t>服务</w:t>
            </w:r>
            <w:r>
              <w:rPr>
                <w:rFonts w:hint="eastAsia" w:ascii="宋体" w:hAnsi="宋体" w:cs="宋体"/>
                <w:sz w:val="24"/>
                <w:szCs w:val="24"/>
                <w:highlight w:val="none"/>
              </w:rPr>
              <w:t>期</w:t>
            </w:r>
          </w:p>
        </w:tc>
        <w:tc>
          <w:tcPr>
            <w:tcW w:w="5502" w:type="dxa"/>
            <w:gridSpan w:val="3"/>
            <w:vAlign w:val="center"/>
          </w:tcPr>
          <w:p>
            <w:pPr>
              <w:spacing w:line="500" w:lineRule="exact"/>
              <w:jc w:val="lef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pPr>
              <w:spacing w:line="50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1701" w:type="dxa"/>
            <w:vAlign w:val="center"/>
          </w:tcPr>
          <w:p>
            <w:pPr>
              <w:spacing w:line="500" w:lineRule="exact"/>
              <w:jc w:val="center"/>
              <w:rPr>
                <w:rFonts w:ascii="宋体" w:hAnsi="宋体" w:cs="宋体"/>
                <w:sz w:val="24"/>
                <w:szCs w:val="24"/>
                <w:highlight w:val="none"/>
              </w:rPr>
            </w:pPr>
            <w:r>
              <w:rPr>
                <w:rFonts w:hint="eastAsia" w:ascii="宋体" w:hAnsi="宋体" w:cs="宋体"/>
                <w:sz w:val="24"/>
                <w:szCs w:val="24"/>
                <w:highlight w:val="none"/>
                <w:lang w:val="en-US" w:eastAsia="zh-CN"/>
              </w:rPr>
              <w:t>服务</w:t>
            </w:r>
            <w:r>
              <w:rPr>
                <w:rFonts w:hint="eastAsia" w:ascii="宋体" w:hAnsi="宋体" w:cs="宋体"/>
                <w:sz w:val="24"/>
                <w:szCs w:val="24"/>
                <w:highlight w:val="none"/>
              </w:rPr>
              <w:t>地点</w:t>
            </w:r>
          </w:p>
        </w:tc>
        <w:tc>
          <w:tcPr>
            <w:tcW w:w="5502" w:type="dxa"/>
            <w:gridSpan w:val="3"/>
            <w:vAlign w:val="center"/>
          </w:tcPr>
          <w:p>
            <w:pPr>
              <w:spacing w:line="500" w:lineRule="exact"/>
              <w:jc w:val="lef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pPr>
              <w:spacing w:line="50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p>
        </w:tc>
        <w:tc>
          <w:tcPr>
            <w:tcW w:w="1701" w:type="dxa"/>
            <w:vAlign w:val="center"/>
          </w:tcPr>
          <w:p>
            <w:pPr>
              <w:spacing w:line="500" w:lineRule="exact"/>
              <w:jc w:val="center"/>
              <w:rPr>
                <w:rFonts w:ascii="宋体" w:hAnsi="宋体" w:cs="宋体"/>
                <w:sz w:val="24"/>
                <w:szCs w:val="24"/>
                <w:highlight w:val="none"/>
              </w:rPr>
            </w:pPr>
            <w:r>
              <w:rPr>
                <w:rFonts w:hint="eastAsia" w:ascii="宋体" w:hAnsi="宋体" w:cs="宋体"/>
                <w:sz w:val="24"/>
                <w:szCs w:val="24"/>
                <w:highlight w:val="none"/>
              </w:rPr>
              <w:t>磋商有效期</w:t>
            </w:r>
          </w:p>
        </w:tc>
        <w:tc>
          <w:tcPr>
            <w:tcW w:w="5502" w:type="dxa"/>
            <w:gridSpan w:val="3"/>
            <w:vAlign w:val="center"/>
          </w:tcPr>
          <w:p>
            <w:pPr>
              <w:spacing w:line="500" w:lineRule="exact"/>
              <w:jc w:val="left"/>
              <w:rPr>
                <w:rFonts w:ascii="宋体" w:hAnsi="宋体"/>
                <w:sz w:val="24"/>
                <w:szCs w:val="24"/>
                <w:highlight w:val="none"/>
              </w:rPr>
            </w:pPr>
            <w:r>
              <w:rPr>
                <w:rFonts w:hint="eastAsia" w:ascii="宋体" w:hAnsi="宋体"/>
                <w:sz w:val="24"/>
                <w:szCs w:val="24"/>
                <w:highlight w:val="none"/>
              </w:rPr>
              <w:t>磋商响应文件截止之日起</w:t>
            </w:r>
            <w:r>
              <w:rPr>
                <w:rFonts w:ascii="宋体" w:hAnsi="宋体"/>
                <w:sz w:val="24"/>
                <w:szCs w:val="24"/>
                <w:highlight w:val="none"/>
              </w:rPr>
              <w:t>9</w:t>
            </w:r>
            <w:r>
              <w:rPr>
                <w:rFonts w:hint="eastAsia" w:ascii="宋体" w:hAnsi="宋体"/>
                <w:sz w:val="24"/>
                <w:szCs w:val="24"/>
                <w:highlight w:val="none"/>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056" w:type="dxa"/>
            <w:gridSpan w:val="2"/>
            <w:vAlign w:val="center"/>
          </w:tcPr>
          <w:p>
            <w:pPr>
              <w:pStyle w:val="13"/>
              <w:spacing w:line="360" w:lineRule="auto"/>
              <w:jc w:val="center"/>
              <w:rPr>
                <w:rFonts w:hAnsi="宋体" w:cs="宋体"/>
                <w:sz w:val="24"/>
                <w:szCs w:val="24"/>
                <w:highlight w:val="none"/>
              </w:rPr>
            </w:pPr>
            <w:r>
              <w:rPr>
                <w:rFonts w:hint="eastAsia" w:hAnsi="宋体" w:cs="宋体"/>
                <w:sz w:val="24"/>
                <w:szCs w:val="24"/>
                <w:highlight w:val="none"/>
              </w:rPr>
              <w:t>备注</w:t>
            </w:r>
          </w:p>
        </w:tc>
        <w:tc>
          <w:tcPr>
            <w:tcW w:w="5502" w:type="dxa"/>
            <w:gridSpan w:val="3"/>
            <w:vAlign w:val="center"/>
          </w:tcPr>
          <w:p>
            <w:pPr>
              <w:pStyle w:val="13"/>
              <w:spacing w:line="360" w:lineRule="auto"/>
              <w:jc w:val="center"/>
              <w:rPr>
                <w:rFonts w:hAnsi="宋体" w:cs="宋体"/>
                <w:sz w:val="24"/>
                <w:szCs w:val="24"/>
                <w:highlight w:val="none"/>
              </w:rPr>
            </w:pPr>
          </w:p>
        </w:tc>
      </w:tr>
    </w:tbl>
    <w:p>
      <w:pPr>
        <w:shd w:val="clear" w:color="auto" w:fill="FFFFFF"/>
        <w:tabs>
          <w:tab w:val="left" w:pos="3780"/>
        </w:tabs>
        <w:spacing w:line="500" w:lineRule="exact"/>
        <w:ind w:firstLine="480" w:firstLineChars="200"/>
        <w:rPr>
          <w:rFonts w:ascii="宋体" w:hAnsi="宋体"/>
          <w:sz w:val="24"/>
          <w:szCs w:val="24"/>
          <w:highlight w:val="none"/>
        </w:rPr>
      </w:pPr>
    </w:p>
    <w:p>
      <w:pPr>
        <w:shd w:val="clear" w:color="auto" w:fill="FFFFFF"/>
        <w:tabs>
          <w:tab w:val="left" w:pos="3780"/>
        </w:tabs>
        <w:spacing w:line="500" w:lineRule="exact"/>
        <w:ind w:firstLine="480" w:firstLineChars="200"/>
        <w:rPr>
          <w:rFonts w:ascii="宋体" w:hAnsi="宋体"/>
          <w:sz w:val="24"/>
          <w:szCs w:val="24"/>
          <w:highlight w:val="none"/>
        </w:rPr>
      </w:pPr>
      <w:r>
        <w:rPr>
          <w:rFonts w:hint="eastAsia" w:ascii="宋体" w:hAnsi="宋体"/>
          <w:sz w:val="24"/>
          <w:szCs w:val="24"/>
          <w:highlight w:val="none"/>
        </w:rPr>
        <w:t>供应商（盖公章）：</w:t>
      </w:r>
    </w:p>
    <w:p>
      <w:pPr>
        <w:shd w:val="clear" w:color="auto" w:fill="FFFFFF"/>
        <w:tabs>
          <w:tab w:val="left" w:pos="3780"/>
        </w:tabs>
        <w:spacing w:line="500" w:lineRule="exact"/>
        <w:ind w:firstLine="480" w:firstLineChars="200"/>
        <w:rPr>
          <w:rFonts w:ascii="宋体" w:hAnsi="宋体"/>
          <w:sz w:val="24"/>
          <w:szCs w:val="24"/>
          <w:highlight w:val="none"/>
        </w:rPr>
      </w:pPr>
      <w:r>
        <w:rPr>
          <w:rFonts w:hint="eastAsia" w:ascii="宋体" w:hAnsi="宋体"/>
          <w:sz w:val="24"/>
          <w:szCs w:val="24"/>
          <w:highlight w:val="none"/>
        </w:rPr>
        <w:t>法定代表人（签字或盖章）：</w:t>
      </w:r>
    </w:p>
    <w:p>
      <w:pPr>
        <w:shd w:val="clear" w:color="auto" w:fill="FFFFFF"/>
        <w:tabs>
          <w:tab w:val="left" w:pos="3780"/>
        </w:tabs>
        <w:spacing w:line="500" w:lineRule="exact"/>
        <w:ind w:firstLine="480" w:firstLineChars="200"/>
        <w:jc w:val="left"/>
        <w:rPr>
          <w:rFonts w:ascii="宋体" w:hAnsi="宋体"/>
          <w:sz w:val="24"/>
          <w:szCs w:val="24"/>
          <w:highlight w:val="none"/>
        </w:rPr>
      </w:pPr>
      <w:r>
        <w:rPr>
          <w:rFonts w:ascii="宋体" w:hAnsi="宋体"/>
          <w:sz w:val="24"/>
          <w:szCs w:val="24"/>
          <w:highlight w:val="none"/>
        </w:rPr>
        <w:t>日期</w:t>
      </w:r>
      <w:r>
        <w:rPr>
          <w:rFonts w:hint="eastAsia" w:ascii="宋体" w:hAnsi="宋体"/>
          <w:sz w:val="24"/>
          <w:szCs w:val="24"/>
          <w:highlight w:val="none"/>
        </w:rPr>
        <w:t>： 年  月  日</w:t>
      </w:r>
    </w:p>
    <w:p>
      <w:pPr>
        <w:shd w:val="clear" w:color="auto" w:fill="FFFFFF"/>
        <w:tabs>
          <w:tab w:val="left" w:pos="3780"/>
        </w:tabs>
        <w:spacing w:line="500" w:lineRule="exact"/>
        <w:ind w:firstLine="5400" w:firstLineChars="2250"/>
        <w:rPr>
          <w:rFonts w:ascii="宋体" w:hAnsi="宋体"/>
          <w:sz w:val="24"/>
          <w:szCs w:val="24"/>
          <w:highlight w:val="none"/>
        </w:rPr>
      </w:pPr>
    </w:p>
    <w:p>
      <w:pPr>
        <w:shd w:val="clear" w:color="auto" w:fill="FFFFFF"/>
        <w:spacing w:line="500" w:lineRule="exact"/>
        <w:ind w:firstLine="489" w:firstLineChars="204"/>
        <w:outlineLvl w:val="0"/>
        <w:rPr>
          <w:rFonts w:ascii="宋体" w:hAnsi="宋体"/>
          <w:sz w:val="24"/>
          <w:szCs w:val="24"/>
          <w:highlight w:val="none"/>
        </w:rPr>
      </w:pPr>
      <w:bookmarkStart w:id="131" w:name="_Toc15420"/>
      <w:bookmarkStart w:id="132" w:name="_Toc4411"/>
      <w:r>
        <w:rPr>
          <w:rFonts w:hint="eastAsia" w:ascii="宋体" w:hAnsi="宋体"/>
          <w:sz w:val="24"/>
          <w:szCs w:val="24"/>
          <w:highlight w:val="none"/>
        </w:rPr>
        <w:t>1、“</w:t>
      </w:r>
      <w:r>
        <w:rPr>
          <w:rFonts w:hint="eastAsia" w:ascii="宋体" w:hAnsi="宋体"/>
          <w:sz w:val="24"/>
          <w:szCs w:val="24"/>
          <w:highlight w:val="none"/>
          <w:lang w:val="en-US" w:eastAsia="zh-CN"/>
        </w:rPr>
        <w:t>服务</w:t>
      </w:r>
      <w:r>
        <w:rPr>
          <w:rFonts w:hint="eastAsia" w:ascii="宋体" w:hAnsi="宋体"/>
          <w:sz w:val="24"/>
          <w:szCs w:val="24"/>
          <w:highlight w:val="none"/>
        </w:rPr>
        <w:t>期”指合同生效之日起，多少天内完成合同规定的全部工作内容；</w:t>
      </w:r>
      <w:bookmarkEnd w:id="131"/>
      <w:bookmarkEnd w:id="132"/>
    </w:p>
    <w:p>
      <w:pPr>
        <w:shd w:val="clear" w:color="auto" w:fill="FFFFFF"/>
        <w:spacing w:line="500" w:lineRule="exact"/>
        <w:ind w:firstLine="489" w:firstLineChars="204"/>
        <w:rPr>
          <w:rFonts w:ascii="宋体" w:hAnsi="宋体"/>
          <w:sz w:val="24"/>
          <w:szCs w:val="24"/>
          <w:highlight w:val="none"/>
        </w:rPr>
      </w:pPr>
      <w:r>
        <w:rPr>
          <w:rFonts w:hint="eastAsia" w:ascii="宋体" w:hAnsi="宋体"/>
          <w:sz w:val="24"/>
          <w:szCs w:val="24"/>
          <w:highlight w:val="none"/>
        </w:rPr>
        <w:t>2、供应商如果需要对竞标报价或其它内容加以说明，可在备注中填写。</w:t>
      </w:r>
    </w:p>
    <w:p>
      <w:pPr>
        <w:shd w:val="clear" w:color="auto" w:fill="FFFFFF"/>
        <w:adjustRightInd w:val="0"/>
        <w:snapToGrid w:val="0"/>
        <w:spacing w:line="500" w:lineRule="exact"/>
        <w:ind w:right="480"/>
        <w:rPr>
          <w:rFonts w:ascii="宋体" w:hAnsi="宋体"/>
          <w:sz w:val="24"/>
          <w:szCs w:val="24"/>
          <w:highlight w:val="none"/>
        </w:rPr>
      </w:pPr>
    </w:p>
    <w:p>
      <w:pPr>
        <w:pageBreakBefore/>
        <w:spacing w:line="440" w:lineRule="exact"/>
        <w:jc w:val="left"/>
        <w:rPr>
          <w:rFonts w:ascii="宋体" w:hAnsi="宋体"/>
          <w:sz w:val="24"/>
          <w:szCs w:val="24"/>
          <w:highlight w:val="none"/>
        </w:rPr>
      </w:pPr>
      <w:r>
        <w:rPr>
          <w:rFonts w:hint="eastAsia" w:ascii="宋体" w:hAnsi="宋体"/>
          <w:b/>
          <w:sz w:val="24"/>
          <w:szCs w:val="24"/>
          <w:highlight w:val="none"/>
        </w:rPr>
        <w:t>附件2-2</w:t>
      </w:r>
    </w:p>
    <w:p>
      <w:pPr>
        <w:tabs>
          <w:tab w:val="left" w:pos="5100"/>
        </w:tabs>
        <w:spacing w:line="440" w:lineRule="exact"/>
        <w:ind w:firstLine="352" w:firstLineChars="147"/>
        <w:rPr>
          <w:rFonts w:ascii="宋体" w:hAnsi="宋体"/>
          <w:bCs/>
          <w:sz w:val="24"/>
          <w:szCs w:val="24"/>
          <w:highlight w:val="none"/>
        </w:rPr>
      </w:pPr>
    </w:p>
    <w:p>
      <w:pPr>
        <w:tabs>
          <w:tab w:val="left" w:pos="5100"/>
        </w:tabs>
        <w:spacing w:line="440" w:lineRule="exact"/>
        <w:ind w:firstLine="352" w:firstLineChars="147"/>
        <w:rPr>
          <w:rFonts w:ascii="宋体" w:hAnsi="宋体"/>
          <w:bCs/>
          <w:highlight w:val="none"/>
        </w:rPr>
      </w:pPr>
      <w:r>
        <w:rPr>
          <w:rFonts w:hint="eastAsia" w:ascii="宋体" w:hAnsi="宋体"/>
          <w:bCs/>
          <w:sz w:val="24"/>
          <w:szCs w:val="24"/>
          <w:highlight w:val="none"/>
        </w:rPr>
        <w:t>项目名称：</w:t>
      </w:r>
      <w:r>
        <w:rPr>
          <w:rFonts w:ascii="宋体" w:hAnsi="宋体"/>
          <w:bCs/>
          <w:sz w:val="24"/>
          <w:szCs w:val="24"/>
          <w:highlight w:val="none"/>
        </w:rPr>
        <w:t xml:space="preserve">               </w:t>
      </w:r>
      <w:r>
        <w:rPr>
          <w:rFonts w:ascii="宋体" w:hAnsi="宋体"/>
          <w:highlight w:val="none"/>
        </w:rPr>
        <w:t xml:space="preserve">  </w:t>
      </w:r>
      <w:r>
        <w:rPr>
          <w:rFonts w:hint="eastAsia" w:ascii="宋体" w:hAnsi="宋体"/>
          <w:highlight w:val="none"/>
        </w:rPr>
        <w:t xml:space="preserve">                   </w:t>
      </w:r>
      <w:r>
        <w:rPr>
          <w:rFonts w:hint="eastAsia" w:ascii="宋体" w:hAnsi="宋体"/>
          <w:bCs/>
          <w:sz w:val="24"/>
          <w:szCs w:val="24"/>
          <w:highlight w:val="none"/>
        </w:rPr>
        <w:t xml:space="preserve"> 项目编号：</w:t>
      </w:r>
    </w:p>
    <w:tbl>
      <w:tblPr>
        <w:tblStyle w:val="2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序号</w:t>
            </w:r>
          </w:p>
        </w:tc>
        <w:tc>
          <w:tcPr>
            <w:tcW w:w="1864"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名称</w:t>
            </w:r>
          </w:p>
        </w:tc>
        <w:tc>
          <w:tcPr>
            <w:tcW w:w="1650"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规格及参数</w:t>
            </w:r>
          </w:p>
        </w:tc>
        <w:tc>
          <w:tcPr>
            <w:tcW w:w="960"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单位</w:t>
            </w:r>
          </w:p>
        </w:tc>
        <w:tc>
          <w:tcPr>
            <w:tcW w:w="1129"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数量</w:t>
            </w:r>
          </w:p>
        </w:tc>
        <w:tc>
          <w:tcPr>
            <w:tcW w:w="1265"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单价</w:t>
            </w:r>
          </w:p>
        </w:tc>
        <w:tc>
          <w:tcPr>
            <w:tcW w:w="991"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总价</w:t>
            </w:r>
          </w:p>
        </w:tc>
        <w:tc>
          <w:tcPr>
            <w:tcW w:w="1127"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品牌及</w:t>
            </w:r>
          </w:p>
          <w:p>
            <w:pPr>
              <w:spacing w:line="440" w:lineRule="exact"/>
              <w:jc w:val="center"/>
              <w:rPr>
                <w:rFonts w:ascii="宋体" w:hAnsi="宋体"/>
                <w:sz w:val="24"/>
                <w:szCs w:val="24"/>
                <w:highlight w:val="none"/>
              </w:rPr>
            </w:pPr>
            <w:r>
              <w:rPr>
                <w:rFonts w:hint="eastAsia" w:ascii="宋体" w:hAnsi="宋体"/>
                <w:sz w:val="24"/>
                <w:szCs w:val="24"/>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宋体" w:hAnsi="宋体"/>
                <w:sz w:val="24"/>
                <w:szCs w:val="24"/>
                <w:highlight w:val="none"/>
              </w:rPr>
            </w:pPr>
          </w:p>
        </w:tc>
        <w:tc>
          <w:tcPr>
            <w:tcW w:w="1864" w:type="dxa"/>
            <w:vAlign w:val="center"/>
          </w:tcPr>
          <w:p>
            <w:pPr>
              <w:spacing w:line="440" w:lineRule="exact"/>
              <w:rPr>
                <w:rFonts w:ascii="宋体" w:hAnsi="宋体"/>
                <w:sz w:val="24"/>
                <w:szCs w:val="24"/>
                <w:highlight w:val="none"/>
              </w:rPr>
            </w:pPr>
          </w:p>
        </w:tc>
        <w:tc>
          <w:tcPr>
            <w:tcW w:w="1650" w:type="dxa"/>
            <w:vAlign w:val="center"/>
          </w:tcPr>
          <w:p>
            <w:pPr>
              <w:spacing w:line="440" w:lineRule="exact"/>
              <w:rPr>
                <w:rFonts w:ascii="宋体" w:hAnsi="宋体"/>
                <w:sz w:val="24"/>
                <w:szCs w:val="24"/>
                <w:highlight w:val="none"/>
              </w:rPr>
            </w:pPr>
          </w:p>
        </w:tc>
        <w:tc>
          <w:tcPr>
            <w:tcW w:w="960" w:type="dxa"/>
            <w:vAlign w:val="center"/>
          </w:tcPr>
          <w:p>
            <w:pPr>
              <w:spacing w:line="440" w:lineRule="exact"/>
              <w:rPr>
                <w:rFonts w:ascii="宋体" w:hAnsi="宋体"/>
                <w:sz w:val="24"/>
                <w:szCs w:val="24"/>
                <w:highlight w:val="none"/>
              </w:rPr>
            </w:pPr>
          </w:p>
        </w:tc>
        <w:tc>
          <w:tcPr>
            <w:tcW w:w="1129" w:type="dxa"/>
            <w:vAlign w:val="center"/>
          </w:tcPr>
          <w:p>
            <w:pPr>
              <w:spacing w:line="440" w:lineRule="exact"/>
              <w:rPr>
                <w:rFonts w:ascii="宋体" w:hAnsi="宋体"/>
                <w:sz w:val="24"/>
                <w:szCs w:val="24"/>
                <w:highlight w:val="none"/>
              </w:rPr>
            </w:pPr>
          </w:p>
        </w:tc>
        <w:tc>
          <w:tcPr>
            <w:tcW w:w="1265" w:type="dxa"/>
            <w:vAlign w:val="center"/>
          </w:tcPr>
          <w:p>
            <w:pPr>
              <w:spacing w:line="440" w:lineRule="exact"/>
              <w:rPr>
                <w:rFonts w:ascii="宋体" w:hAnsi="宋体"/>
                <w:sz w:val="24"/>
                <w:szCs w:val="24"/>
                <w:highlight w:val="none"/>
              </w:rPr>
            </w:pPr>
          </w:p>
        </w:tc>
        <w:tc>
          <w:tcPr>
            <w:tcW w:w="991" w:type="dxa"/>
            <w:vAlign w:val="center"/>
          </w:tcPr>
          <w:p>
            <w:pPr>
              <w:spacing w:line="440" w:lineRule="exact"/>
              <w:rPr>
                <w:rFonts w:ascii="宋体" w:hAnsi="宋体"/>
                <w:sz w:val="24"/>
                <w:szCs w:val="24"/>
                <w:highlight w:val="none"/>
              </w:rPr>
            </w:pPr>
          </w:p>
        </w:tc>
        <w:tc>
          <w:tcPr>
            <w:tcW w:w="1127" w:type="dxa"/>
            <w:vAlign w:val="center"/>
          </w:tcPr>
          <w:p>
            <w:pPr>
              <w:spacing w:line="4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宋体" w:hAnsi="宋体"/>
                <w:sz w:val="24"/>
                <w:szCs w:val="24"/>
                <w:highlight w:val="none"/>
              </w:rPr>
            </w:pPr>
          </w:p>
        </w:tc>
        <w:tc>
          <w:tcPr>
            <w:tcW w:w="1864" w:type="dxa"/>
            <w:vAlign w:val="center"/>
          </w:tcPr>
          <w:p>
            <w:pPr>
              <w:spacing w:line="440" w:lineRule="exact"/>
              <w:rPr>
                <w:rFonts w:ascii="宋体" w:hAnsi="宋体"/>
                <w:sz w:val="24"/>
                <w:szCs w:val="24"/>
                <w:highlight w:val="none"/>
              </w:rPr>
            </w:pPr>
          </w:p>
        </w:tc>
        <w:tc>
          <w:tcPr>
            <w:tcW w:w="1650" w:type="dxa"/>
            <w:vAlign w:val="center"/>
          </w:tcPr>
          <w:p>
            <w:pPr>
              <w:spacing w:line="440" w:lineRule="exact"/>
              <w:rPr>
                <w:rFonts w:ascii="宋体" w:hAnsi="宋体"/>
                <w:sz w:val="24"/>
                <w:szCs w:val="24"/>
                <w:highlight w:val="none"/>
              </w:rPr>
            </w:pPr>
          </w:p>
        </w:tc>
        <w:tc>
          <w:tcPr>
            <w:tcW w:w="960" w:type="dxa"/>
            <w:vAlign w:val="center"/>
          </w:tcPr>
          <w:p>
            <w:pPr>
              <w:spacing w:line="440" w:lineRule="exact"/>
              <w:rPr>
                <w:rFonts w:ascii="宋体" w:hAnsi="宋体"/>
                <w:sz w:val="24"/>
                <w:szCs w:val="24"/>
                <w:highlight w:val="none"/>
              </w:rPr>
            </w:pPr>
          </w:p>
        </w:tc>
        <w:tc>
          <w:tcPr>
            <w:tcW w:w="1129" w:type="dxa"/>
            <w:vAlign w:val="center"/>
          </w:tcPr>
          <w:p>
            <w:pPr>
              <w:spacing w:line="440" w:lineRule="exact"/>
              <w:rPr>
                <w:rFonts w:ascii="宋体" w:hAnsi="宋体"/>
                <w:sz w:val="24"/>
                <w:szCs w:val="24"/>
                <w:highlight w:val="none"/>
              </w:rPr>
            </w:pPr>
          </w:p>
        </w:tc>
        <w:tc>
          <w:tcPr>
            <w:tcW w:w="1265" w:type="dxa"/>
            <w:vAlign w:val="center"/>
          </w:tcPr>
          <w:p>
            <w:pPr>
              <w:spacing w:line="440" w:lineRule="exact"/>
              <w:rPr>
                <w:rFonts w:ascii="宋体" w:hAnsi="宋体"/>
                <w:sz w:val="24"/>
                <w:szCs w:val="24"/>
                <w:highlight w:val="none"/>
              </w:rPr>
            </w:pPr>
          </w:p>
        </w:tc>
        <w:tc>
          <w:tcPr>
            <w:tcW w:w="991" w:type="dxa"/>
            <w:vAlign w:val="center"/>
          </w:tcPr>
          <w:p>
            <w:pPr>
              <w:spacing w:line="440" w:lineRule="exact"/>
              <w:rPr>
                <w:rFonts w:ascii="宋体" w:hAnsi="宋体"/>
                <w:sz w:val="24"/>
                <w:szCs w:val="24"/>
                <w:highlight w:val="none"/>
              </w:rPr>
            </w:pPr>
          </w:p>
        </w:tc>
        <w:tc>
          <w:tcPr>
            <w:tcW w:w="1127" w:type="dxa"/>
            <w:vAlign w:val="center"/>
          </w:tcPr>
          <w:p>
            <w:pPr>
              <w:spacing w:line="4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宋体" w:hAnsi="宋体"/>
                <w:sz w:val="24"/>
                <w:szCs w:val="24"/>
                <w:highlight w:val="none"/>
              </w:rPr>
            </w:pPr>
          </w:p>
        </w:tc>
        <w:tc>
          <w:tcPr>
            <w:tcW w:w="1864" w:type="dxa"/>
            <w:vAlign w:val="center"/>
          </w:tcPr>
          <w:p>
            <w:pPr>
              <w:spacing w:line="440" w:lineRule="exact"/>
              <w:rPr>
                <w:rFonts w:ascii="宋体" w:hAnsi="宋体"/>
                <w:sz w:val="24"/>
                <w:szCs w:val="24"/>
                <w:highlight w:val="none"/>
              </w:rPr>
            </w:pPr>
          </w:p>
        </w:tc>
        <w:tc>
          <w:tcPr>
            <w:tcW w:w="1650" w:type="dxa"/>
            <w:vAlign w:val="center"/>
          </w:tcPr>
          <w:p>
            <w:pPr>
              <w:spacing w:line="440" w:lineRule="exact"/>
              <w:rPr>
                <w:rFonts w:ascii="宋体" w:hAnsi="宋体"/>
                <w:sz w:val="24"/>
                <w:szCs w:val="24"/>
                <w:highlight w:val="none"/>
              </w:rPr>
            </w:pPr>
          </w:p>
        </w:tc>
        <w:tc>
          <w:tcPr>
            <w:tcW w:w="960" w:type="dxa"/>
            <w:vAlign w:val="center"/>
          </w:tcPr>
          <w:p>
            <w:pPr>
              <w:spacing w:line="440" w:lineRule="exact"/>
              <w:rPr>
                <w:rFonts w:ascii="宋体" w:hAnsi="宋体"/>
                <w:sz w:val="24"/>
                <w:szCs w:val="24"/>
                <w:highlight w:val="none"/>
              </w:rPr>
            </w:pPr>
          </w:p>
        </w:tc>
        <w:tc>
          <w:tcPr>
            <w:tcW w:w="1129" w:type="dxa"/>
            <w:vAlign w:val="center"/>
          </w:tcPr>
          <w:p>
            <w:pPr>
              <w:spacing w:line="440" w:lineRule="exact"/>
              <w:rPr>
                <w:rFonts w:ascii="宋体" w:hAnsi="宋体"/>
                <w:sz w:val="24"/>
                <w:szCs w:val="24"/>
                <w:highlight w:val="none"/>
              </w:rPr>
            </w:pPr>
          </w:p>
        </w:tc>
        <w:tc>
          <w:tcPr>
            <w:tcW w:w="1265" w:type="dxa"/>
            <w:vAlign w:val="center"/>
          </w:tcPr>
          <w:p>
            <w:pPr>
              <w:spacing w:line="440" w:lineRule="exact"/>
              <w:rPr>
                <w:rFonts w:ascii="宋体" w:hAnsi="宋体"/>
                <w:sz w:val="24"/>
                <w:szCs w:val="24"/>
                <w:highlight w:val="none"/>
              </w:rPr>
            </w:pPr>
          </w:p>
        </w:tc>
        <w:tc>
          <w:tcPr>
            <w:tcW w:w="991" w:type="dxa"/>
            <w:vAlign w:val="center"/>
          </w:tcPr>
          <w:p>
            <w:pPr>
              <w:spacing w:line="440" w:lineRule="exact"/>
              <w:rPr>
                <w:rFonts w:ascii="宋体" w:hAnsi="宋体"/>
                <w:sz w:val="24"/>
                <w:szCs w:val="24"/>
                <w:highlight w:val="none"/>
              </w:rPr>
            </w:pPr>
          </w:p>
        </w:tc>
        <w:tc>
          <w:tcPr>
            <w:tcW w:w="1127" w:type="dxa"/>
            <w:vAlign w:val="center"/>
          </w:tcPr>
          <w:p>
            <w:pPr>
              <w:spacing w:line="4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宋体" w:hAnsi="宋体"/>
                <w:sz w:val="24"/>
                <w:szCs w:val="24"/>
                <w:highlight w:val="none"/>
              </w:rPr>
            </w:pPr>
          </w:p>
        </w:tc>
        <w:tc>
          <w:tcPr>
            <w:tcW w:w="1864" w:type="dxa"/>
            <w:vAlign w:val="center"/>
          </w:tcPr>
          <w:p>
            <w:pPr>
              <w:spacing w:line="440" w:lineRule="exact"/>
              <w:rPr>
                <w:rFonts w:ascii="宋体" w:hAnsi="宋体"/>
                <w:sz w:val="24"/>
                <w:szCs w:val="24"/>
                <w:highlight w:val="none"/>
              </w:rPr>
            </w:pPr>
          </w:p>
        </w:tc>
        <w:tc>
          <w:tcPr>
            <w:tcW w:w="1650" w:type="dxa"/>
            <w:vAlign w:val="center"/>
          </w:tcPr>
          <w:p>
            <w:pPr>
              <w:spacing w:line="440" w:lineRule="exact"/>
              <w:rPr>
                <w:rFonts w:ascii="宋体" w:hAnsi="宋体"/>
                <w:sz w:val="24"/>
                <w:szCs w:val="24"/>
                <w:highlight w:val="none"/>
              </w:rPr>
            </w:pPr>
          </w:p>
        </w:tc>
        <w:tc>
          <w:tcPr>
            <w:tcW w:w="960" w:type="dxa"/>
            <w:vAlign w:val="center"/>
          </w:tcPr>
          <w:p>
            <w:pPr>
              <w:spacing w:line="440" w:lineRule="exact"/>
              <w:rPr>
                <w:rFonts w:ascii="宋体" w:hAnsi="宋体"/>
                <w:sz w:val="24"/>
                <w:szCs w:val="24"/>
                <w:highlight w:val="none"/>
              </w:rPr>
            </w:pPr>
          </w:p>
        </w:tc>
        <w:tc>
          <w:tcPr>
            <w:tcW w:w="1129" w:type="dxa"/>
            <w:vAlign w:val="center"/>
          </w:tcPr>
          <w:p>
            <w:pPr>
              <w:spacing w:line="440" w:lineRule="exact"/>
              <w:rPr>
                <w:rFonts w:ascii="宋体" w:hAnsi="宋体"/>
                <w:sz w:val="24"/>
                <w:szCs w:val="24"/>
                <w:highlight w:val="none"/>
              </w:rPr>
            </w:pPr>
          </w:p>
        </w:tc>
        <w:tc>
          <w:tcPr>
            <w:tcW w:w="1265" w:type="dxa"/>
            <w:vAlign w:val="center"/>
          </w:tcPr>
          <w:p>
            <w:pPr>
              <w:spacing w:line="440" w:lineRule="exact"/>
              <w:rPr>
                <w:rFonts w:ascii="宋体" w:hAnsi="宋体"/>
                <w:sz w:val="24"/>
                <w:szCs w:val="24"/>
                <w:highlight w:val="none"/>
              </w:rPr>
            </w:pPr>
          </w:p>
        </w:tc>
        <w:tc>
          <w:tcPr>
            <w:tcW w:w="991" w:type="dxa"/>
            <w:vAlign w:val="center"/>
          </w:tcPr>
          <w:p>
            <w:pPr>
              <w:spacing w:line="440" w:lineRule="exact"/>
              <w:rPr>
                <w:rFonts w:ascii="宋体" w:hAnsi="宋体"/>
                <w:sz w:val="24"/>
                <w:szCs w:val="24"/>
                <w:highlight w:val="none"/>
              </w:rPr>
            </w:pPr>
          </w:p>
        </w:tc>
        <w:tc>
          <w:tcPr>
            <w:tcW w:w="1127" w:type="dxa"/>
            <w:vAlign w:val="center"/>
          </w:tcPr>
          <w:p>
            <w:pPr>
              <w:spacing w:line="4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宋体" w:hAnsi="宋体"/>
                <w:sz w:val="24"/>
                <w:szCs w:val="24"/>
                <w:highlight w:val="none"/>
              </w:rPr>
            </w:pPr>
          </w:p>
        </w:tc>
        <w:tc>
          <w:tcPr>
            <w:tcW w:w="1864" w:type="dxa"/>
            <w:vAlign w:val="center"/>
          </w:tcPr>
          <w:p>
            <w:pPr>
              <w:spacing w:line="440" w:lineRule="exact"/>
              <w:rPr>
                <w:rFonts w:ascii="宋体" w:hAnsi="宋体"/>
                <w:sz w:val="24"/>
                <w:szCs w:val="24"/>
                <w:highlight w:val="none"/>
              </w:rPr>
            </w:pPr>
          </w:p>
        </w:tc>
        <w:tc>
          <w:tcPr>
            <w:tcW w:w="1650" w:type="dxa"/>
            <w:vAlign w:val="center"/>
          </w:tcPr>
          <w:p>
            <w:pPr>
              <w:spacing w:line="440" w:lineRule="exact"/>
              <w:rPr>
                <w:rFonts w:ascii="宋体" w:hAnsi="宋体"/>
                <w:sz w:val="24"/>
                <w:szCs w:val="24"/>
                <w:highlight w:val="none"/>
              </w:rPr>
            </w:pPr>
          </w:p>
        </w:tc>
        <w:tc>
          <w:tcPr>
            <w:tcW w:w="960" w:type="dxa"/>
            <w:vAlign w:val="center"/>
          </w:tcPr>
          <w:p>
            <w:pPr>
              <w:spacing w:line="440" w:lineRule="exact"/>
              <w:rPr>
                <w:rFonts w:ascii="宋体" w:hAnsi="宋体"/>
                <w:sz w:val="24"/>
                <w:szCs w:val="24"/>
                <w:highlight w:val="none"/>
              </w:rPr>
            </w:pPr>
          </w:p>
        </w:tc>
        <w:tc>
          <w:tcPr>
            <w:tcW w:w="1129" w:type="dxa"/>
            <w:vAlign w:val="center"/>
          </w:tcPr>
          <w:p>
            <w:pPr>
              <w:spacing w:line="440" w:lineRule="exact"/>
              <w:rPr>
                <w:rFonts w:ascii="宋体" w:hAnsi="宋体"/>
                <w:sz w:val="24"/>
                <w:szCs w:val="24"/>
                <w:highlight w:val="none"/>
              </w:rPr>
            </w:pPr>
          </w:p>
        </w:tc>
        <w:tc>
          <w:tcPr>
            <w:tcW w:w="1265" w:type="dxa"/>
            <w:vAlign w:val="center"/>
          </w:tcPr>
          <w:p>
            <w:pPr>
              <w:spacing w:line="440" w:lineRule="exact"/>
              <w:rPr>
                <w:rFonts w:ascii="宋体" w:hAnsi="宋体"/>
                <w:sz w:val="24"/>
                <w:szCs w:val="24"/>
                <w:highlight w:val="none"/>
              </w:rPr>
            </w:pPr>
          </w:p>
        </w:tc>
        <w:tc>
          <w:tcPr>
            <w:tcW w:w="991" w:type="dxa"/>
            <w:vAlign w:val="center"/>
          </w:tcPr>
          <w:p>
            <w:pPr>
              <w:spacing w:line="440" w:lineRule="exact"/>
              <w:rPr>
                <w:rFonts w:ascii="宋体" w:hAnsi="宋体"/>
                <w:sz w:val="24"/>
                <w:szCs w:val="24"/>
                <w:highlight w:val="none"/>
              </w:rPr>
            </w:pPr>
          </w:p>
        </w:tc>
        <w:tc>
          <w:tcPr>
            <w:tcW w:w="1127" w:type="dxa"/>
            <w:vAlign w:val="center"/>
          </w:tcPr>
          <w:p>
            <w:pPr>
              <w:spacing w:line="4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宋体" w:hAnsi="宋体"/>
                <w:sz w:val="24"/>
                <w:szCs w:val="24"/>
                <w:highlight w:val="none"/>
              </w:rPr>
            </w:pPr>
          </w:p>
        </w:tc>
        <w:tc>
          <w:tcPr>
            <w:tcW w:w="1864" w:type="dxa"/>
            <w:vAlign w:val="center"/>
          </w:tcPr>
          <w:p>
            <w:pPr>
              <w:spacing w:line="440" w:lineRule="exact"/>
              <w:rPr>
                <w:rFonts w:ascii="宋体" w:hAnsi="宋体"/>
                <w:sz w:val="24"/>
                <w:szCs w:val="24"/>
                <w:highlight w:val="none"/>
              </w:rPr>
            </w:pPr>
          </w:p>
        </w:tc>
        <w:tc>
          <w:tcPr>
            <w:tcW w:w="1650" w:type="dxa"/>
            <w:vAlign w:val="center"/>
          </w:tcPr>
          <w:p>
            <w:pPr>
              <w:spacing w:line="440" w:lineRule="exact"/>
              <w:rPr>
                <w:rFonts w:ascii="宋体" w:hAnsi="宋体"/>
                <w:sz w:val="24"/>
                <w:szCs w:val="24"/>
                <w:highlight w:val="none"/>
              </w:rPr>
            </w:pPr>
          </w:p>
        </w:tc>
        <w:tc>
          <w:tcPr>
            <w:tcW w:w="960" w:type="dxa"/>
            <w:vAlign w:val="center"/>
          </w:tcPr>
          <w:p>
            <w:pPr>
              <w:spacing w:line="440" w:lineRule="exact"/>
              <w:rPr>
                <w:rFonts w:ascii="宋体" w:hAnsi="宋体"/>
                <w:sz w:val="24"/>
                <w:szCs w:val="24"/>
                <w:highlight w:val="none"/>
              </w:rPr>
            </w:pPr>
          </w:p>
        </w:tc>
        <w:tc>
          <w:tcPr>
            <w:tcW w:w="1129" w:type="dxa"/>
            <w:vAlign w:val="center"/>
          </w:tcPr>
          <w:p>
            <w:pPr>
              <w:spacing w:line="440" w:lineRule="exact"/>
              <w:rPr>
                <w:rFonts w:ascii="宋体" w:hAnsi="宋体"/>
                <w:sz w:val="24"/>
                <w:szCs w:val="24"/>
                <w:highlight w:val="none"/>
              </w:rPr>
            </w:pPr>
          </w:p>
        </w:tc>
        <w:tc>
          <w:tcPr>
            <w:tcW w:w="1265" w:type="dxa"/>
            <w:vAlign w:val="center"/>
          </w:tcPr>
          <w:p>
            <w:pPr>
              <w:spacing w:line="440" w:lineRule="exact"/>
              <w:rPr>
                <w:rFonts w:ascii="宋体" w:hAnsi="宋体"/>
                <w:sz w:val="24"/>
                <w:szCs w:val="24"/>
                <w:highlight w:val="none"/>
              </w:rPr>
            </w:pPr>
          </w:p>
        </w:tc>
        <w:tc>
          <w:tcPr>
            <w:tcW w:w="991" w:type="dxa"/>
            <w:vAlign w:val="center"/>
          </w:tcPr>
          <w:p>
            <w:pPr>
              <w:spacing w:line="440" w:lineRule="exact"/>
              <w:rPr>
                <w:rFonts w:ascii="宋体" w:hAnsi="宋体"/>
                <w:sz w:val="24"/>
                <w:szCs w:val="24"/>
                <w:highlight w:val="none"/>
              </w:rPr>
            </w:pPr>
          </w:p>
        </w:tc>
        <w:tc>
          <w:tcPr>
            <w:tcW w:w="1127" w:type="dxa"/>
            <w:vAlign w:val="center"/>
          </w:tcPr>
          <w:p>
            <w:pPr>
              <w:spacing w:line="4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宋体" w:hAnsi="宋体"/>
                <w:sz w:val="24"/>
                <w:szCs w:val="24"/>
                <w:highlight w:val="none"/>
              </w:rPr>
            </w:pPr>
          </w:p>
        </w:tc>
        <w:tc>
          <w:tcPr>
            <w:tcW w:w="1864" w:type="dxa"/>
            <w:vAlign w:val="center"/>
          </w:tcPr>
          <w:p>
            <w:pPr>
              <w:spacing w:line="440" w:lineRule="exact"/>
              <w:rPr>
                <w:rFonts w:ascii="宋体" w:hAnsi="宋体"/>
                <w:sz w:val="24"/>
                <w:szCs w:val="24"/>
                <w:highlight w:val="none"/>
              </w:rPr>
            </w:pPr>
          </w:p>
        </w:tc>
        <w:tc>
          <w:tcPr>
            <w:tcW w:w="1650" w:type="dxa"/>
            <w:vAlign w:val="center"/>
          </w:tcPr>
          <w:p>
            <w:pPr>
              <w:spacing w:line="440" w:lineRule="exact"/>
              <w:rPr>
                <w:rFonts w:ascii="宋体" w:hAnsi="宋体"/>
                <w:sz w:val="24"/>
                <w:szCs w:val="24"/>
                <w:highlight w:val="none"/>
              </w:rPr>
            </w:pPr>
          </w:p>
        </w:tc>
        <w:tc>
          <w:tcPr>
            <w:tcW w:w="960" w:type="dxa"/>
            <w:vAlign w:val="center"/>
          </w:tcPr>
          <w:p>
            <w:pPr>
              <w:spacing w:line="440" w:lineRule="exact"/>
              <w:rPr>
                <w:rFonts w:ascii="宋体" w:hAnsi="宋体"/>
                <w:sz w:val="24"/>
                <w:szCs w:val="24"/>
                <w:highlight w:val="none"/>
              </w:rPr>
            </w:pPr>
          </w:p>
        </w:tc>
        <w:tc>
          <w:tcPr>
            <w:tcW w:w="1129" w:type="dxa"/>
            <w:vAlign w:val="center"/>
          </w:tcPr>
          <w:p>
            <w:pPr>
              <w:spacing w:line="440" w:lineRule="exact"/>
              <w:rPr>
                <w:rFonts w:ascii="宋体" w:hAnsi="宋体"/>
                <w:sz w:val="24"/>
                <w:szCs w:val="24"/>
                <w:highlight w:val="none"/>
              </w:rPr>
            </w:pPr>
          </w:p>
        </w:tc>
        <w:tc>
          <w:tcPr>
            <w:tcW w:w="1265" w:type="dxa"/>
            <w:vAlign w:val="center"/>
          </w:tcPr>
          <w:p>
            <w:pPr>
              <w:spacing w:line="440" w:lineRule="exact"/>
              <w:rPr>
                <w:rFonts w:ascii="宋体" w:hAnsi="宋体"/>
                <w:sz w:val="24"/>
                <w:szCs w:val="24"/>
                <w:highlight w:val="none"/>
              </w:rPr>
            </w:pPr>
          </w:p>
        </w:tc>
        <w:tc>
          <w:tcPr>
            <w:tcW w:w="991" w:type="dxa"/>
            <w:vAlign w:val="center"/>
          </w:tcPr>
          <w:p>
            <w:pPr>
              <w:spacing w:line="440" w:lineRule="exact"/>
              <w:rPr>
                <w:rFonts w:ascii="宋体" w:hAnsi="宋体"/>
                <w:sz w:val="24"/>
                <w:szCs w:val="24"/>
                <w:highlight w:val="none"/>
              </w:rPr>
            </w:pPr>
          </w:p>
        </w:tc>
        <w:tc>
          <w:tcPr>
            <w:tcW w:w="1127" w:type="dxa"/>
            <w:vAlign w:val="center"/>
          </w:tcPr>
          <w:p>
            <w:pPr>
              <w:spacing w:line="4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宋体" w:hAnsi="宋体"/>
                <w:sz w:val="24"/>
                <w:szCs w:val="24"/>
                <w:highlight w:val="none"/>
              </w:rPr>
            </w:pPr>
          </w:p>
        </w:tc>
        <w:tc>
          <w:tcPr>
            <w:tcW w:w="1864" w:type="dxa"/>
            <w:vAlign w:val="center"/>
          </w:tcPr>
          <w:p>
            <w:pPr>
              <w:spacing w:line="440" w:lineRule="exact"/>
              <w:rPr>
                <w:rFonts w:ascii="宋体" w:hAnsi="宋体"/>
                <w:sz w:val="24"/>
                <w:szCs w:val="24"/>
                <w:highlight w:val="none"/>
              </w:rPr>
            </w:pPr>
          </w:p>
        </w:tc>
        <w:tc>
          <w:tcPr>
            <w:tcW w:w="1650" w:type="dxa"/>
            <w:vAlign w:val="center"/>
          </w:tcPr>
          <w:p>
            <w:pPr>
              <w:spacing w:line="440" w:lineRule="exact"/>
              <w:rPr>
                <w:rFonts w:ascii="宋体" w:hAnsi="宋体"/>
                <w:sz w:val="24"/>
                <w:szCs w:val="24"/>
                <w:highlight w:val="none"/>
              </w:rPr>
            </w:pPr>
          </w:p>
        </w:tc>
        <w:tc>
          <w:tcPr>
            <w:tcW w:w="960" w:type="dxa"/>
            <w:vAlign w:val="center"/>
          </w:tcPr>
          <w:p>
            <w:pPr>
              <w:spacing w:line="440" w:lineRule="exact"/>
              <w:rPr>
                <w:rFonts w:ascii="宋体" w:hAnsi="宋体"/>
                <w:sz w:val="24"/>
                <w:szCs w:val="24"/>
                <w:highlight w:val="none"/>
              </w:rPr>
            </w:pPr>
          </w:p>
        </w:tc>
        <w:tc>
          <w:tcPr>
            <w:tcW w:w="1129" w:type="dxa"/>
            <w:vAlign w:val="center"/>
          </w:tcPr>
          <w:p>
            <w:pPr>
              <w:spacing w:line="440" w:lineRule="exact"/>
              <w:rPr>
                <w:rFonts w:ascii="宋体" w:hAnsi="宋体"/>
                <w:sz w:val="24"/>
                <w:szCs w:val="24"/>
                <w:highlight w:val="none"/>
              </w:rPr>
            </w:pPr>
          </w:p>
        </w:tc>
        <w:tc>
          <w:tcPr>
            <w:tcW w:w="1265" w:type="dxa"/>
            <w:vAlign w:val="center"/>
          </w:tcPr>
          <w:p>
            <w:pPr>
              <w:spacing w:line="440" w:lineRule="exact"/>
              <w:rPr>
                <w:rFonts w:ascii="宋体" w:hAnsi="宋体"/>
                <w:sz w:val="24"/>
                <w:szCs w:val="24"/>
                <w:highlight w:val="none"/>
              </w:rPr>
            </w:pPr>
          </w:p>
        </w:tc>
        <w:tc>
          <w:tcPr>
            <w:tcW w:w="991" w:type="dxa"/>
            <w:vAlign w:val="center"/>
          </w:tcPr>
          <w:p>
            <w:pPr>
              <w:spacing w:line="440" w:lineRule="exact"/>
              <w:rPr>
                <w:rFonts w:ascii="宋体" w:hAnsi="宋体"/>
                <w:sz w:val="24"/>
                <w:szCs w:val="24"/>
                <w:highlight w:val="none"/>
              </w:rPr>
            </w:pPr>
          </w:p>
        </w:tc>
        <w:tc>
          <w:tcPr>
            <w:tcW w:w="1127" w:type="dxa"/>
            <w:vAlign w:val="center"/>
          </w:tcPr>
          <w:p>
            <w:pPr>
              <w:spacing w:line="4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宋体" w:hAnsi="宋体"/>
                <w:sz w:val="24"/>
                <w:szCs w:val="24"/>
                <w:highlight w:val="none"/>
              </w:rPr>
            </w:pPr>
          </w:p>
        </w:tc>
        <w:tc>
          <w:tcPr>
            <w:tcW w:w="1864" w:type="dxa"/>
            <w:vAlign w:val="center"/>
          </w:tcPr>
          <w:p>
            <w:pPr>
              <w:spacing w:line="440" w:lineRule="exact"/>
              <w:rPr>
                <w:rFonts w:ascii="宋体" w:hAnsi="宋体"/>
                <w:sz w:val="24"/>
                <w:szCs w:val="24"/>
                <w:highlight w:val="none"/>
              </w:rPr>
            </w:pPr>
          </w:p>
        </w:tc>
        <w:tc>
          <w:tcPr>
            <w:tcW w:w="1650" w:type="dxa"/>
            <w:vAlign w:val="center"/>
          </w:tcPr>
          <w:p>
            <w:pPr>
              <w:spacing w:line="440" w:lineRule="exact"/>
              <w:rPr>
                <w:rFonts w:ascii="宋体" w:hAnsi="宋体"/>
                <w:sz w:val="24"/>
                <w:szCs w:val="24"/>
                <w:highlight w:val="none"/>
              </w:rPr>
            </w:pPr>
          </w:p>
        </w:tc>
        <w:tc>
          <w:tcPr>
            <w:tcW w:w="960" w:type="dxa"/>
            <w:vAlign w:val="center"/>
          </w:tcPr>
          <w:p>
            <w:pPr>
              <w:spacing w:line="440" w:lineRule="exact"/>
              <w:rPr>
                <w:rFonts w:ascii="宋体" w:hAnsi="宋体"/>
                <w:sz w:val="24"/>
                <w:szCs w:val="24"/>
                <w:highlight w:val="none"/>
              </w:rPr>
            </w:pPr>
          </w:p>
        </w:tc>
        <w:tc>
          <w:tcPr>
            <w:tcW w:w="1129" w:type="dxa"/>
            <w:vAlign w:val="center"/>
          </w:tcPr>
          <w:p>
            <w:pPr>
              <w:spacing w:line="440" w:lineRule="exact"/>
              <w:rPr>
                <w:rFonts w:ascii="宋体" w:hAnsi="宋体"/>
                <w:sz w:val="24"/>
                <w:szCs w:val="24"/>
                <w:highlight w:val="none"/>
              </w:rPr>
            </w:pPr>
          </w:p>
        </w:tc>
        <w:tc>
          <w:tcPr>
            <w:tcW w:w="1265" w:type="dxa"/>
            <w:vAlign w:val="center"/>
          </w:tcPr>
          <w:p>
            <w:pPr>
              <w:spacing w:line="440" w:lineRule="exact"/>
              <w:rPr>
                <w:rFonts w:ascii="宋体" w:hAnsi="宋体"/>
                <w:sz w:val="24"/>
                <w:szCs w:val="24"/>
                <w:highlight w:val="none"/>
              </w:rPr>
            </w:pPr>
          </w:p>
        </w:tc>
        <w:tc>
          <w:tcPr>
            <w:tcW w:w="991" w:type="dxa"/>
            <w:vAlign w:val="center"/>
          </w:tcPr>
          <w:p>
            <w:pPr>
              <w:spacing w:line="440" w:lineRule="exact"/>
              <w:rPr>
                <w:rFonts w:ascii="宋体" w:hAnsi="宋体"/>
                <w:sz w:val="24"/>
                <w:szCs w:val="24"/>
                <w:highlight w:val="none"/>
              </w:rPr>
            </w:pPr>
          </w:p>
        </w:tc>
        <w:tc>
          <w:tcPr>
            <w:tcW w:w="1127" w:type="dxa"/>
            <w:vAlign w:val="center"/>
          </w:tcPr>
          <w:p>
            <w:pPr>
              <w:spacing w:line="4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spacing w:line="440" w:lineRule="exact"/>
              <w:rPr>
                <w:rFonts w:ascii="宋体" w:hAnsi="宋体"/>
                <w:sz w:val="24"/>
                <w:szCs w:val="24"/>
                <w:highlight w:val="none"/>
              </w:rPr>
            </w:pPr>
            <w:r>
              <w:rPr>
                <w:rFonts w:hint="eastAsia" w:ascii="宋体" w:hAnsi="宋体"/>
                <w:sz w:val="24"/>
                <w:szCs w:val="24"/>
                <w:highlight w:val="none"/>
              </w:rPr>
              <w:t>合计金额（小写）</w:t>
            </w:r>
          </w:p>
        </w:tc>
        <w:tc>
          <w:tcPr>
            <w:tcW w:w="7122" w:type="dxa"/>
            <w:gridSpan w:val="6"/>
            <w:vAlign w:val="center"/>
          </w:tcPr>
          <w:p>
            <w:pPr>
              <w:spacing w:line="44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spacing w:line="440" w:lineRule="exact"/>
              <w:rPr>
                <w:rFonts w:ascii="宋体" w:hAnsi="宋体"/>
                <w:sz w:val="24"/>
                <w:szCs w:val="24"/>
                <w:highlight w:val="none"/>
              </w:rPr>
            </w:pPr>
            <w:r>
              <w:rPr>
                <w:rFonts w:hint="eastAsia" w:ascii="宋体" w:hAnsi="宋体"/>
                <w:sz w:val="24"/>
                <w:szCs w:val="24"/>
                <w:highlight w:val="none"/>
              </w:rPr>
              <w:t>合计金额（大写）：</w:t>
            </w:r>
          </w:p>
        </w:tc>
        <w:tc>
          <w:tcPr>
            <w:tcW w:w="7122" w:type="dxa"/>
            <w:gridSpan w:val="6"/>
            <w:vAlign w:val="center"/>
          </w:tcPr>
          <w:p>
            <w:pPr>
              <w:spacing w:line="440" w:lineRule="exact"/>
              <w:rPr>
                <w:rFonts w:ascii="宋体" w:hAnsi="宋体"/>
                <w:sz w:val="24"/>
                <w:szCs w:val="24"/>
                <w:highlight w:val="none"/>
              </w:rPr>
            </w:pPr>
          </w:p>
        </w:tc>
      </w:tr>
    </w:tbl>
    <w:p>
      <w:pPr>
        <w:spacing w:line="460" w:lineRule="atLeast"/>
        <w:rPr>
          <w:rFonts w:ascii="宋体" w:hAnsi="宋体"/>
          <w:b/>
          <w:sz w:val="24"/>
          <w:szCs w:val="24"/>
          <w:highlight w:val="none"/>
        </w:rPr>
      </w:pP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供应商（盖公章）：</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法定代表人（签字或盖章）：</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日期： 年  月  日</w:t>
      </w:r>
    </w:p>
    <w:p>
      <w:pPr>
        <w:spacing w:line="440" w:lineRule="exact"/>
        <w:rPr>
          <w:rFonts w:ascii="宋体" w:hAnsi="宋体"/>
          <w:b/>
          <w:sz w:val="24"/>
          <w:szCs w:val="24"/>
          <w:highlight w:val="none"/>
        </w:rPr>
      </w:pPr>
    </w:p>
    <w:p>
      <w:pPr>
        <w:spacing w:line="440" w:lineRule="exact"/>
        <w:rPr>
          <w:rFonts w:ascii="宋体" w:hAnsi="宋体"/>
          <w:b/>
          <w:sz w:val="24"/>
          <w:szCs w:val="24"/>
          <w:highlight w:val="none"/>
        </w:rPr>
      </w:pPr>
      <w:r>
        <w:rPr>
          <w:rFonts w:hint="eastAsia" w:ascii="宋体" w:hAnsi="宋体"/>
          <w:b/>
          <w:sz w:val="24"/>
          <w:szCs w:val="24"/>
          <w:highlight w:val="none"/>
        </w:rPr>
        <w:t>注：</w:t>
      </w:r>
      <w:r>
        <w:rPr>
          <w:rFonts w:ascii="宋体" w:hAnsi="宋体"/>
          <w:b/>
          <w:sz w:val="24"/>
          <w:szCs w:val="24"/>
          <w:highlight w:val="none"/>
        </w:rPr>
        <w:t>1</w:t>
      </w:r>
      <w:r>
        <w:rPr>
          <w:rFonts w:hint="eastAsia" w:ascii="宋体" w:hAnsi="宋体"/>
          <w:b/>
          <w:sz w:val="24"/>
          <w:szCs w:val="24"/>
          <w:highlight w:val="none"/>
        </w:rPr>
        <w:t>、合计金额应为各分项价格之和。</w:t>
      </w:r>
    </w:p>
    <w:p>
      <w:pPr>
        <w:spacing w:line="440" w:lineRule="exact"/>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、上述报价包含一切由供方承担的费用。</w:t>
      </w:r>
    </w:p>
    <w:p>
      <w:pPr>
        <w:spacing w:line="440" w:lineRule="exact"/>
        <w:ind w:firstLine="472" w:firstLineChars="196"/>
        <w:rPr>
          <w:rFonts w:ascii="宋体" w:hAnsi="宋体"/>
          <w:b/>
          <w:sz w:val="24"/>
          <w:szCs w:val="24"/>
          <w:highlight w:val="none"/>
        </w:rPr>
      </w:pPr>
      <w:r>
        <w:rPr>
          <w:rFonts w:hint="eastAsia" w:ascii="宋体" w:hAnsi="宋体"/>
          <w:b/>
          <w:sz w:val="24"/>
          <w:szCs w:val="24"/>
          <w:highlight w:val="none"/>
        </w:rPr>
        <w:t>3、请各投标人在本表中详细写明所有产品型号规格、主要技术参数、数量、综合单价、总价及品牌和产地。</w:t>
      </w:r>
    </w:p>
    <w:p>
      <w:pPr>
        <w:spacing w:line="440" w:lineRule="exact"/>
        <w:ind w:firstLine="472" w:firstLineChars="196"/>
        <w:rPr>
          <w:rFonts w:ascii="宋体" w:hAnsi="宋体"/>
          <w:b/>
          <w:sz w:val="24"/>
          <w:szCs w:val="24"/>
          <w:highlight w:val="none"/>
        </w:rPr>
      </w:pPr>
      <w:r>
        <w:rPr>
          <w:rFonts w:hint="eastAsia" w:ascii="宋体" w:hAnsi="宋体"/>
          <w:b/>
          <w:sz w:val="24"/>
          <w:szCs w:val="24"/>
          <w:highlight w:val="none"/>
        </w:rPr>
        <w:t>4、单价必须包括货物报价（含税金）、运输费、装卸费、保管、搬运、验收、拆装、备品备件、售后服务、质检、检验、等及其它必需服务的报价。</w:t>
      </w:r>
    </w:p>
    <w:p>
      <w:pPr>
        <w:shd w:val="clear" w:color="auto" w:fill="FFFFFF"/>
        <w:spacing w:line="360" w:lineRule="auto"/>
        <w:ind w:right="420"/>
        <w:jc w:val="left"/>
        <w:rPr>
          <w:rFonts w:ascii="宋体" w:hAnsi="宋体" w:cs="宋体"/>
          <w:b/>
          <w:sz w:val="24"/>
          <w:highlight w:val="none"/>
        </w:rPr>
      </w:pPr>
      <w:r>
        <w:rPr>
          <w:rFonts w:ascii="宋体" w:hAnsi="宋体"/>
          <w:sz w:val="24"/>
          <w:szCs w:val="24"/>
          <w:highlight w:val="none"/>
        </w:rPr>
        <w:br w:type="page"/>
      </w:r>
      <w:bookmarkStart w:id="133" w:name="_Toc9850"/>
      <w:bookmarkStart w:id="134" w:name="_Toc18869"/>
      <w:r>
        <w:rPr>
          <w:rFonts w:hint="eastAsia" w:ascii="宋体" w:hAnsi="宋体" w:cs="宋体"/>
          <w:b/>
          <w:sz w:val="24"/>
          <w:highlight w:val="none"/>
        </w:rPr>
        <w:t>附件</w:t>
      </w:r>
      <w:bookmarkEnd w:id="133"/>
      <w:bookmarkEnd w:id="134"/>
      <w:r>
        <w:rPr>
          <w:rFonts w:hint="eastAsia" w:ascii="宋体" w:hAnsi="宋体" w:cs="宋体"/>
          <w:b/>
          <w:sz w:val="24"/>
          <w:highlight w:val="none"/>
        </w:rPr>
        <w:t>3</w:t>
      </w:r>
    </w:p>
    <w:p>
      <w:pPr>
        <w:jc w:val="center"/>
        <w:rPr>
          <w:rFonts w:ascii="宋体" w:hAnsi="宋体" w:cs="宋体"/>
          <w:bCs/>
          <w:kern w:val="0"/>
          <w:sz w:val="24"/>
          <w:szCs w:val="24"/>
          <w:highlight w:val="none"/>
        </w:rPr>
      </w:pPr>
      <w:r>
        <w:rPr>
          <w:rFonts w:hint="eastAsia" w:ascii="宋体" w:hAnsi="宋体" w:cs="宋体"/>
          <w:b/>
          <w:sz w:val="24"/>
          <w:szCs w:val="24"/>
          <w:highlight w:val="none"/>
        </w:rPr>
        <w:t>政策适用性说明（符合要求填写）</w:t>
      </w:r>
    </w:p>
    <w:p>
      <w:pPr>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按照政府采购有关政策的要求，在本次的技术方案中，采用符合政策的小型或微型企业产品、节能产品、环保标志产品，主要产品与核心技术介绍说明如下：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408"/>
        <w:gridCol w:w="994"/>
        <w:gridCol w:w="954"/>
        <w:gridCol w:w="887"/>
        <w:gridCol w:w="994"/>
        <w:gridCol w:w="1023"/>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r>
              <w:rPr>
                <w:rFonts w:hint="eastAsia" w:ascii="宋体" w:hAnsi="宋体" w:cs="宋体"/>
                <w:bCs/>
                <w:kern w:val="0"/>
                <w:sz w:val="24"/>
                <w:szCs w:val="24"/>
                <w:highlight w:val="none"/>
              </w:rPr>
              <w:t>序号</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r>
              <w:rPr>
                <w:rFonts w:hint="eastAsia" w:ascii="宋体" w:hAnsi="宋体" w:cs="宋体"/>
                <w:bCs/>
                <w:kern w:val="0"/>
                <w:sz w:val="24"/>
                <w:szCs w:val="24"/>
                <w:highlight w:val="none"/>
              </w:rPr>
              <w:t>主要产品/技术名称</w:t>
            </w:r>
          </w:p>
          <w:p>
            <w:pPr>
              <w:jc w:val="center"/>
              <w:rPr>
                <w:rFonts w:ascii="宋体" w:hAnsi="宋体" w:cs="宋体"/>
                <w:bCs/>
                <w:kern w:val="0"/>
                <w:sz w:val="24"/>
                <w:szCs w:val="24"/>
                <w:highlight w:val="none"/>
              </w:rPr>
            </w:pPr>
            <w:r>
              <w:rPr>
                <w:rFonts w:hint="eastAsia" w:ascii="宋体" w:hAnsi="宋体" w:cs="宋体"/>
                <w:bCs/>
                <w:kern w:val="0"/>
                <w:sz w:val="24"/>
                <w:szCs w:val="24"/>
                <w:highlight w:val="none"/>
              </w:rPr>
              <w:t>（规格型号、注册商标）</w:t>
            </w: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r>
              <w:rPr>
                <w:rFonts w:hint="eastAsia" w:ascii="宋体" w:hAnsi="宋体" w:cs="宋体"/>
                <w:bCs/>
                <w:kern w:val="0"/>
                <w:sz w:val="24"/>
                <w:szCs w:val="24"/>
                <w:highlight w:val="none"/>
              </w:rPr>
              <w:t>制造商</w:t>
            </w:r>
            <w:r>
              <w:rPr>
                <w:rFonts w:hint="eastAsia" w:ascii="宋体" w:hAnsi="宋体" w:cs="宋体"/>
                <w:bCs/>
                <w:kern w:val="0"/>
                <w:sz w:val="24"/>
                <w:szCs w:val="24"/>
                <w:highlight w:val="none"/>
              </w:rPr>
              <w:br w:type="textWrapping"/>
            </w:r>
            <w:r>
              <w:rPr>
                <w:rFonts w:hint="eastAsia" w:ascii="宋体" w:hAnsi="宋体" w:cs="宋体"/>
                <w:bCs/>
                <w:kern w:val="0"/>
                <w:sz w:val="24"/>
                <w:szCs w:val="24"/>
                <w:highlight w:val="none"/>
              </w:rPr>
              <w:t>(开发商)</w:t>
            </w: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r>
              <w:rPr>
                <w:rFonts w:hint="eastAsia" w:ascii="宋体" w:hAnsi="宋体" w:cs="宋体"/>
                <w:bCs/>
                <w:kern w:val="0"/>
                <w:sz w:val="24"/>
                <w:szCs w:val="24"/>
                <w:highlight w:val="none"/>
              </w:rPr>
              <w:t>企业类型</w:t>
            </w: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r>
              <w:rPr>
                <w:rFonts w:hint="eastAsia" w:ascii="宋体" w:hAnsi="宋体" w:cs="宋体"/>
                <w:bCs/>
                <w:kern w:val="0"/>
                <w:sz w:val="24"/>
                <w:szCs w:val="24"/>
                <w:highlight w:val="none"/>
              </w:rPr>
              <w:t>节能</w:t>
            </w:r>
            <w:r>
              <w:rPr>
                <w:rFonts w:hint="eastAsia" w:ascii="宋体" w:hAnsi="宋体" w:cs="宋体"/>
                <w:bCs/>
                <w:kern w:val="0"/>
                <w:sz w:val="24"/>
                <w:szCs w:val="24"/>
                <w:highlight w:val="none"/>
              </w:rPr>
              <w:br w:type="textWrapping"/>
            </w:r>
            <w:r>
              <w:rPr>
                <w:rFonts w:hint="eastAsia" w:ascii="宋体" w:hAnsi="宋体" w:cs="宋体"/>
                <w:bCs/>
                <w:kern w:val="0"/>
                <w:sz w:val="24"/>
                <w:szCs w:val="24"/>
                <w:highlight w:val="none"/>
              </w:rPr>
              <w:t>产品</w:t>
            </w: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r>
              <w:rPr>
                <w:rFonts w:hint="eastAsia" w:ascii="宋体" w:hAnsi="宋体" w:cs="宋体"/>
                <w:bCs/>
                <w:kern w:val="0"/>
                <w:sz w:val="24"/>
                <w:szCs w:val="24"/>
                <w:highlight w:val="none"/>
              </w:rPr>
              <w:t>环保标志产品</w:t>
            </w: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r>
              <w:rPr>
                <w:rFonts w:hint="eastAsia" w:ascii="宋体" w:hAnsi="宋体" w:cs="宋体"/>
                <w:bCs/>
                <w:kern w:val="0"/>
                <w:sz w:val="24"/>
                <w:szCs w:val="24"/>
                <w:highlight w:val="none"/>
              </w:rPr>
              <w:t>认证证书编号</w:t>
            </w: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r>
              <w:rPr>
                <w:rFonts w:hint="eastAsia" w:ascii="宋体" w:hAnsi="宋体" w:cs="宋体"/>
                <w:bCs/>
                <w:kern w:val="0"/>
                <w:sz w:val="24"/>
                <w:szCs w:val="24"/>
                <w:highlight w:val="none"/>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726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r>
              <w:rPr>
                <w:rFonts w:hint="eastAsia" w:ascii="宋体" w:hAnsi="宋体" w:cs="宋体"/>
                <w:bCs/>
                <w:kern w:val="0"/>
                <w:sz w:val="24"/>
                <w:szCs w:val="24"/>
                <w:highlight w:val="none"/>
              </w:rPr>
              <w:t>总合计（节能产品）</w:t>
            </w: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c>
          <w:tcPr>
            <w:tcW w:w="726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r>
              <w:rPr>
                <w:rFonts w:hint="eastAsia" w:ascii="宋体" w:hAnsi="宋体" w:cs="宋体"/>
                <w:bCs/>
                <w:kern w:val="0"/>
                <w:sz w:val="24"/>
                <w:szCs w:val="24"/>
                <w:highlight w:val="none"/>
              </w:rPr>
              <w:t>总合计（环保产品）</w:t>
            </w: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4"/>
                <w:szCs w:val="24"/>
                <w:highlight w:val="none"/>
              </w:rPr>
            </w:pPr>
          </w:p>
        </w:tc>
      </w:tr>
    </w:tbl>
    <w:p>
      <w:pPr>
        <w:autoSpaceDE w:val="0"/>
        <w:autoSpaceDN w:val="0"/>
        <w:adjustRightInd w:val="0"/>
        <w:spacing w:line="400" w:lineRule="exact"/>
        <w:ind w:firstLine="240" w:firstLineChars="100"/>
        <w:rPr>
          <w:rFonts w:ascii="宋体" w:hAnsi="宋体" w:cs="宋体"/>
          <w:bCs/>
          <w:kern w:val="0"/>
          <w:sz w:val="24"/>
          <w:szCs w:val="24"/>
          <w:highlight w:val="none"/>
        </w:rPr>
      </w:pPr>
      <w:r>
        <w:rPr>
          <w:rFonts w:hint="eastAsia" w:ascii="宋体" w:hAnsi="宋体" w:cs="宋体"/>
          <w:bCs/>
          <w:kern w:val="0"/>
          <w:sz w:val="24"/>
          <w:szCs w:val="24"/>
          <w:highlight w:val="none"/>
        </w:rPr>
        <w:t>注：1.</w:t>
      </w:r>
      <w:r>
        <w:rPr>
          <w:rFonts w:hint="eastAsia" w:ascii="宋体" w:hAnsi="宋体" w:cs="宋体"/>
          <w:bCs/>
          <w:kern w:val="0"/>
          <w:sz w:val="24"/>
          <w:szCs w:val="24"/>
          <w:highlight w:val="none"/>
        </w:rPr>
        <w:tab/>
      </w:r>
      <w:r>
        <w:rPr>
          <w:rFonts w:hint="eastAsia" w:ascii="宋体" w:hAnsi="宋体" w:cs="宋体"/>
          <w:bCs/>
          <w:kern w:val="0"/>
          <w:sz w:val="24"/>
          <w:szCs w:val="24"/>
          <w:highlight w:val="none"/>
        </w:rPr>
        <w:t>企业为小型或微型企业时才需要填“企业类型”栏，填写内容为“小型”或“微型”；</w:t>
      </w:r>
    </w:p>
    <w:p>
      <w:pPr>
        <w:autoSpaceDE w:val="0"/>
        <w:autoSpaceDN w:val="0"/>
        <w:adjustRightInd w:val="0"/>
        <w:spacing w:line="400" w:lineRule="exact"/>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2、</w:t>
      </w:r>
      <w:r>
        <w:rPr>
          <w:rFonts w:hint="eastAsia" w:ascii="宋体" w:hAnsi="宋体" w:cs="宋体"/>
          <w:bCs/>
          <w:kern w:val="0"/>
          <w:sz w:val="24"/>
          <w:szCs w:val="24"/>
          <w:highlight w:val="none"/>
        </w:rPr>
        <w:tab/>
      </w:r>
      <w:r>
        <w:rPr>
          <w:rFonts w:hint="eastAsia" w:ascii="宋体" w:hAnsi="宋体" w:cs="宋体"/>
          <w:bCs/>
          <w:kern w:val="0"/>
          <w:sz w:val="24"/>
          <w:szCs w:val="24"/>
          <w:highlight w:val="none"/>
        </w:rPr>
        <w:t>“节能产品、环保标志产品”是属于国家行业主管部门颁布的清单目录中的产品，须填写认证证书编号，并在“节能产品”、“环保标志产品”栏中填写属于“第</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期清单”的产品（产品被列入多期清单的，以最新一期为准），同时提供有效期内的下述文件（均为复印件，加盖报价供应商公章）：</w:t>
      </w:r>
    </w:p>
    <w:p>
      <w:pPr>
        <w:autoSpaceDE w:val="0"/>
        <w:autoSpaceDN w:val="0"/>
        <w:adjustRightInd w:val="0"/>
        <w:spacing w:line="400" w:lineRule="exact"/>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（1）属于“节能产品政府采购清单”中品目的产品，提供“节能产品政府采购清单（第___期）”中报价产品所在清单页并加盖报价供应商公章，节能清单在中国政府采购网（http：//www.ccgp.gov .cn/）、国家发展改革委网站（</w:t>
      </w:r>
      <w:r>
        <w:rPr>
          <w:highlight w:val="none"/>
        </w:rPr>
        <w:fldChar w:fldCharType="begin"/>
      </w:r>
      <w:r>
        <w:rPr>
          <w:highlight w:val="none"/>
        </w:rPr>
        <w:instrText xml:space="preserve"> HYPERLINK "http://hzs.nd/" </w:instrText>
      </w:r>
      <w:r>
        <w:rPr>
          <w:highlight w:val="none"/>
        </w:rPr>
        <w:fldChar w:fldCharType="separate"/>
      </w:r>
      <w:r>
        <w:rPr>
          <w:rFonts w:hint="eastAsia" w:ascii="宋体" w:hAnsi="宋体" w:cs="宋体"/>
          <w:bCs/>
          <w:kern w:val="0"/>
          <w:sz w:val="24"/>
          <w:szCs w:val="24"/>
          <w:highlight w:val="none"/>
        </w:rPr>
        <w:t>http://hzs.nd</w:t>
      </w:r>
      <w:r>
        <w:rPr>
          <w:rFonts w:hint="eastAsia" w:ascii="宋体" w:hAnsi="宋体" w:cs="宋体"/>
          <w:bCs/>
          <w:kern w:val="0"/>
          <w:sz w:val="24"/>
          <w:szCs w:val="24"/>
          <w:highlight w:val="none"/>
        </w:rPr>
        <w:fldChar w:fldCharType="end"/>
      </w:r>
      <w:r>
        <w:rPr>
          <w:rFonts w:hint="eastAsia" w:ascii="宋体" w:hAnsi="宋体" w:cs="宋体"/>
          <w:bCs/>
          <w:kern w:val="0"/>
          <w:sz w:val="24"/>
          <w:szCs w:val="24"/>
          <w:highlight w:val="none"/>
        </w:rPr>
        <w:t xml:space="preserve"> rc.gv.cn/）和中国质量认证中心网站（http://www.cqc.com.cn/）上发布；</w:t>
      </w:r>
    </w:p>
    <w:p>
      <w:pPr>
        <w:autoSpaceDE w:val="0"/>
        <w:autoSpaceDN w:val="0"/>
        <w:adjustRightInd w:val="0"/>
        <w:spacing w:line="400" w:lineRule="exact"/>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autoSpaceDE w:val="0"/>
        <w:autoSpaceDN w:val="0"/>
        <w:adjustRightInd w:val="0"/>
        <w:spacing w:line="400" w:lineRule="exact"/>
        <w:ind w:firstLine="480" w:firstLineChars="200"/>
        <w:rPr>
          <w:rFonts w:ascii="宋体" w:hAnsi="宋体" w:cs="宋体"/>
          <w:bCs/>
          <w:sz w:val="24"/>
          <w:szCs w:val="24"/>
          <w:highlight w:val="none"/>
        </w:rPr>
      </w:pPr>
      <w:r>
        <w:rPr>
          <w:rFonts w:hint="eastAsia" w:ascii="宋体" w:hAnsi="宋体" w:cs="宋体"/>
          <w:bCs/>
          <w:kern w:val="0"/>
          <w:sz w:val="24"/>
          <w:szCs w:val="24"/>
          <w:highlight w:val="none"/>
        </w:rPr>
        <w:t>3、如不填写或填写不全，后果自行承担。</w:t>
      </w:r>
    </w:p>
    <w:p>
      <w:pPr>
        <w:spacing w:line="440" w:lineRule="exact"/>
        <w:rPr>
          <w:rFonts w:ascii="宋体" w:hAnsi="宋体"/>
          <w:bCs/>
          <w:sz w:val="24"/>
          <w:szCs w:val="24"/>
          <w:highlight w:val="none"/>
        </w:rPr>
      </w:pPr>
    </w:p>
    <w:p>
      <w:pPr>
        <w:spacing w:line="440" w:lineRule="exact"/>
        <w:ind w:firstLine="4080" w:firstLineChars="1700"/>
        <w:rPr>
          <w:rFonts w:ascii="宋体" w:hAnsi="宋体"/>
          <w:bCs/>
          <w:sz w:val="24"/>
          <w:szCs w:val="24"/>
          <w:highlight w:val="none"/>
        </w:rPr>
      </w:pPr>
      <w:r>
        <w:rPr>
          <w:rFonts w:hint="eastAsia" w:ascii="宋体" w:hAnsi="宋体"/>
          <w:bCs/>
          <w:sz w:val="24"/>
          <w:szCs w:val="24"/>
          <w:highlight w:val="none"/>
        </w:rPr>
        <w:t xml:space="preserve">供应商（盖章）： </w:t>
      </w:r>
    </w:p>
    <w:p>
      <w:pPr>
        <w:spacing w:line="440" w:lineRule="exact"/>
        <w:jc w:val="right"/>
        <w:rPr>
          <w:rFonts w:ascii="宋体" w:hAnsi="宋体"/>
          <w:bCs/>
          <w:sz w:val="24"/>
          <w:szCs w:val="24"/>
          <w:highlight w:val="none"/>
        </w:rPr>
      </w:pPr>
      <w:r>
        <w:rPr>
          <w:rFonts w:hint="eastAsia" w:ascii="宋体" w:hAnsi="宋体"/>
          <w:kern w:val="0"/>
          <w:sz w:val="24"/>
          <w:highlight w:val="none"/>
        </w:rPr>
        <w:t>法定代表人或其被授权人</w:t>
      </w:r>
      <w:r>
        <w:rPr>
          <w:rFonts w:hint="eastAsia" w:ascii="宋体" w:hAnsi="宋体"/>
          <w:bCs/>
          <w:sz w:val="24"/>
          <w:szCs w:val="24"/>
          <w:highlight w:val="none"/>
        </w:rPr>
        <w:t>（签字或盖章）：</w:t>
      </w:r>
    </w:p>
    <w:p>
      <w:pPr>
        <w:spacing w:line="440" w:lineRule="exact"/>
        <w:ind w:firstLine="4560" w:firstLineChars="1900"/>
        <w:rPr>
          <w:rFonts w:ascii="宋体" w:hAnsi="宋体"/>
          <w:bCs/>
          <w:sz w:val="24"/>
          <w:szCs w:val="24"/>
          <w:highlight w:val="none"/>
        </w:rPr>
      </w:pPr>
      <w:r>
        <w:rPr>
          <w:rFonts w:hint="eastAsia" w:ascii="宋体" w:hAnsi="宋体"/>
          <w:bCs/>
          <w:sz w:val="24"/>
          <w:szCs w:val="24"/>
          <w:highlight w:val="none"/>
        </w:rPr>
        <w:t>日</w:t>
      </w:r>
      <w:r>
        <w:rPr>
          <w:rFonts w:hint="eastAsia" w:ascii="宋体" w:hAnsi="宋体"/>
          <w:bCs/>
          <w:sz w:val="24"/>
          <w:szCs w:val="24"/>
          <w:highlight w:val="none"/>
        </w:rPr>
        <w:tab/>
      </w:r>
      <w:r>
        <w:rPr>
          <w:rFonts w:hint="eastAsia" w:ascii="宋体" w:hAnsi="宋体"/>
          <w:bCs/>
          <w:sz w:val="24"/>
          <w:szCs w:val="24"/>
          <w:highlight w:val="none"/>
        </w:rPr>
        <w:t>期：</w:t>
      </w:r>
      <w:r>
        <w:rPr>
          <w:rFonts w:hint="eastAsia" w:ascii="宋体" w:hAnsi="宋体"/>
          <w:bCs/>
          <w:sz w:val="24"/>
          <w:szCs w:val="24"/>
          <w:highlight w:val="none"/>
        </w:rPr>
        <w:tab/>
      </w:r>
      <w:r>
        <w:rPr>
          <w:rFonts w:hint="eastAsia" w:ascii="宋体" w:hAnsi="宋体"/>
          <w:bCs/>
          <w:sz w:val="24"/>
          <w:szCs w:val="24"/>
          <w:highlight w:val="none"/>
        </w:rPr>
        <w:t>年</w:t>
      </w:r>
      <w:r>
        <w:rPr>
          <w:rFonts w:hint="eastAsia" w:ascii="宋体" w:hAnsi="宋体"/>
          <w:bCs/>
          <w:sz w:val="24"/>
          <w:szCs w:val="24"/>
          <w:highlight w:val="none"/>
        </w:rPr>
        <w:tab/>
      </w:r>
      <w:r>
        <w:rPr>
          <w:rFonts w:hint="eastAsia" w:ascii="宋体" w:hAnsi="宋体"/>
          <w:bCs/>
          <w:sz w:val="24"/>
          <w:szCs w:val="24"/>
          <w:highlight w:val="none"/>
        </w:rPr>
        <w:t>月</w:t>
      </w:r>
      <w:r>
        <w:rPr>
          <w:rFonts w:hint="eastAsia" w:ascii="宋体" w:hAnsi="宋体"/>
          <w:bCs/>
          <w:sz w:val="24"/>
          <w:szCs w:val="24"/>
          <w:highlight w:val="none"/>
        </w:rPr>
        <w:tab/>
      </w:r>
      <w:r>
        <w:rPr>
          <w:rFonts w:hint="eastAsia" w:ascii="宋体" w:hAnsi="宋体"/>
          <w:bCs/>
          <w:sz w:val="24"/>
          <w:szCs w:val="24"/>
          <w:highlight w:val="none"/>
        </w:rPr>
        <w:t>日</w:t>
      </w:r>
    </w:p>
    <w:p>
      <w:pPr>
        <w:shd w:val="clear" w:color="auto" w:fill="FFFFFF"/>
        <w:spacing w:line="360" w:lineRule="exact"/>
        <w:ind w:right="420"/>
        <w:jc w:val="left"/>
        <w:outlineLvl w:val="0"/>
        <w:rPr>
          <w:rFonts w:ascii="宋体" w:hAnsi="宋体"/>
          <w:b/>
          <w:sz w:val="24"/>
          <w:szCs w:val="24"/>
          <w:highlight w:val="none"/>
        </w:rPr>
      </w:pPr>
      <w:r>
        <w:rPr>
          <w:rFonts w:ascii="宋体" w:hAnsi="宋体"/>
          <w:sz w:val="24"/>
          <w:szCs w:val="24"/>
          <w:highlight w:val="none"/>
        </w:rPr>
        <w:br w:type="page"/>
      </w:r>
      <w:bookmarkStart w:id="135" w:name="_Toc9578"/>
      <w:bookmarkStart w:id="136" w:name="_Toc18469"/>
      <w:r>
        <w:rPr>
          <w:rFonts w:hint="eastAsia" w:ascii="宋体" w:hAnsi="宋体"/>
          <w:b/>
          <w:sz w:val="24"/>
          <w:szCs w:val="24"/>
          <w:highlight w:val="none"/>
        </w:rPr>
        <w:t>附件</w:t>
      </w:r>
      <w:bookmarkEnd w:id="135"/>
      <w:bookmarkEnd w:id="136"/>
      <w:r>
        <w:rPr>
          <w:rFonts w:hint="eastAsia" w:ascii="宋体" w:hAnsi="宋体"/>
          <w:b/>
          <w:sz w:val="24"/>
          <w:szCs w:val="24"/>
          <w:highlight w:val="none"/>
        </w:rPr>
        <w:t>4</w:t>
      </w:r>
    </w:p>
    <w:p>
      <w:pPr>
        <w:shd w:val="clear" w:color="auto" w:fill="FFFFFF"/>
        <w:spacing w:line="500" w:lineRule="exact"/>
        <w:jc w:val="center"/>
        <w:rPr>
          <w:highlight w:val="none"/>
        </w:rPr>
      </w:pPr>
      <w:r>
        <w:rPr>
          <w:rFonts w:hint="eastAsia" w:ascii="宋体" w:hAnsi="宋体"/>
          <w:b/>
          <w:bCs/>
          <w:sz w:val="24"/>
          <w:szCs w:val="24"/>
          <w:highlight w:val="none"/>
        </w:rPr>
        <w:t>供应商基本情况表</w:t>
      </w:r>
    </w:p>
    <w:tbl>
      <w:tblPr>
        <w:tblStyle w:val="23"/>
        <w:tblpPr w:leftFromText="180" w:rightFromText="180" w:vertAnchor="text" w:horzAnchor="page" w:tblpX="1572" w:tblpY="310"/>
        <w:tblOverlap w:val="never"/>
        <w:tblW w:w="8623" w:type="dxa"/>
        <w:tblInd w:w="0" w:type="dxa"/>
        <w:tblLayout w:type="fixed"/>
        <w:tblCellMar>
          <w:top w:w="0" w:type="dxa"/>
          <w:left w:w="0" w:type="dxa"/>
          <w:bottom w:w="0" w:type="dxa"/>
          <w:right w:w="0" w:type="dxa"/>
        </w:tblCellMar>
      </w:tblPr>
      <w:tblGrid>
        <w:gridCol w:w="1091"/>
        <w:gridCol w:w="967"/>
        <w:gridCol w:w="756"/>
        <w:gridCol w:w="242"/>
        <w:gridCol w:w="496"/>
        <w:gridCol w:w="707"/>
        <w:gridCol w:w="263"/>
        <w:gridCol w:w="525"/>
        <w:gridCol w:w="788"/>
        <w:gridCol w:w="59"/>
        <w:gridCol w:w="860"/>
        <w:gridCol w:w="81"/>
        <w:gridCol w:w="1788"/>
      </w:tblGrid>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单位名称</w:t>
            </w:r>
          </w:p>
        </w:tc>
        <w:tc>
          <w:tcPr>
            <w:tcW w:w="7532" w:type="dxa"/>
            <w:gridSpan w:val="1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详细地址</w:t>
            </w:r>
          </w:p>
        </w:tc>
        <w:tc>
          <w:tcPr>
            <w:tcW w:w="7532" w:type="dxa"/>
            <w:gridSpan w:val="1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主管部门</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c>
          <w:tcPr>
            <w:tcW w:w="144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法人代表</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c>
          <w:tcPr>
            <w:tcW w:w="91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职务</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经济类型</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c>
          <w:tcPr>
            <w:tcW w:w="144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授权代表</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c>
          <w:tcPr>
            <w:tcW w:w="91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职务</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邮政编码</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c>
          <w:tcPr>
            <w:tcW w:w="144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电    话</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c>
          <w:tcPr>
            <w:tcW w:w="91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传真</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r>
      <w:tr>
        <w:tblPrEx>
          <w:tblCellMar>
            <w:top w:w="0" w:type="dxa"/>
            <w:left w:w="0" w:type="dxa"/>
            <w:bottom w:w="0" w:type="dxa"/>
            <w:right w:w="0" w:type="dxa"/>
          </w:tblCellMar>
        </w:tblPrEx>
        <w:trPr>
          <w:trHeight w:val="1402"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单位</w:t>
            </w:r>
          </w:p>
          <w:p>
            <w:pPr>
              <w:snapToGrid w:val="0"/>
              <w:spacing w:line="400" w:lineRule="exact"/>
              <w:jc w:val="center"/>
              <w:rPr>
                <w:rFonts w:ascii="宋体"/>
                <w:sz w:val="24"/>
                <w:highlight w:val="none"/>
              </w:rPr>
            </w:pPr>
            <w:r>
              <w:rPr>
                <w:rFonts w:hint="eastAsia" w:ascii="宋体"/>
                <w:sz w:val="24"/>
                <w:highlight w:val="none"/>
              </w:rPr>
              <w:t>简历</w:t>
            </w:r>
          </w:p>
          <w:p>
            <w:pPr>
              <w:snapToGrid w:val="0"/>
              <w:spacing w:line="400" w:lineRule="exact"/>
              <w:jc w:val="center"/>
              <w:rPr>
                <w:rFonts w:ascii="宋体"/>
                <w:sz w:val="24"/>
                <w:highlight w:val="none"/>
              </w:rPr>
            </w:pPr>
            <w:r>
              <w:rPr>
                <w:rFonts w:hint="eastAsia" w:ascii="宋体"/>
                <w:sz w:val="24"/>
                <w:highlight w:val="none"/>
              </w:rPr>
              <w:t>及机构</w:t>
            </w:r>
          </w:p>
        </w:tc>
        <w:tc>
          <w:tcPr>
            <w:tcW w:w="7532" w:type="dxa"/>
            <w:gridSpan w:val="1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r>
      <w:tr>
        <w:tblPrEx>
          <w:tblCellMar>
            <w:top w:w="0" w:type="dxa"/>
            <w:left w:w="0" w:type="dxa"/>
            <w:bottom w:w="0" w:type="dxa"/>
            <w:right w:w="0" w:type="dxa"/>
          </w:tblCellMar>
        </w:tblPrEx>
        <w:trPr>
          <w:trHeight w:val="116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单位</w:t>
            </w:r>
          </w:p>
          <w:p>
            <w:pPr>
              <w:snapToGrid w:val="0"/>
              <w:spacing w:line="400" w:lineRule="exact"/>
              <w:jc w:val="center"/>
              <w:rPr>
                <w:rFonts w:ascii="宋体"/>
                <w:sz w:val="24"/>
                <w:highlight w:val="none"/>
              </w:rPr>
            </w:pPr>
            <w:r>
              <w:rPr>
                <w:rFonts w:hint="eastAsia" w:ascii="宋体"/>
                <w:sz w:val="24"/>
                <w:highlight w:val="none"/>
              </w:rPr>
              <w:t>优势</w:t>
            </w:r>
          </w:p>
          <w:p>
            <w:pPr>
              <w:snapToGrid w:val="0"/>
              <w:spacing w:line="400" w:lineRule="exact"/>
              <w:jc w:val="center"/>
              <w:rPr>
                <w:rFonts w:ascii="宋体"/>
                <w:sz w:val="24"/>
                <w:highlight w:val="none"/>
              </w:rPr>
            </w:pPr>
            <w:r>
              <w:rPr>
                <w:rFonts w:hint="eastAsia" w:ascii="宋体"/>
                <w:sz w:val="24"/>
                <w:highlight w:val="none"/>
              </w:rPr>
              <w:t>及特长</w:t>
            </w:r>
          </w:p>
        </w:tc>
        <w:tc>
          <w:tcPr>
            <w:tcW w:w="7532" w:type="dxa"/>
            <w:gridSpan w:val="1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r>
      <w:tr>
        <w:tblPrEx>
          <w:tblCellMar>
            <w:top w:w="0" w:type="dxa"/>
            <w:left w:w="0" w:type="dxa"/>
            <w:bottom w:w="0" w:type="dxa"/>
            <w:right w:w="0" w:type="dxa"/>
          </w:tblCellMar>
        </w:tblPrEx>
        <w:trPr>
          <w:trHeight w:val="431" w:hRule="atLeast"/>
        </w:trPr>
        <w:tc>
          <w:tcPr>
            <w:tcW w:w="1091" w:type="dxa"/>
            <w:vMerge w:val="restart"/>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单</w:t>
            </w:r>
          </w:p>
          <w:p>
            <w:pPr>
              <w:snapToGrid w:val="0"/>
              <w:spacing w:line="400" w:lineRule="exact"/>
              <w:jc w:val="center"/>
              <w:rPr>
                <w:rFonts w:ascii="宋体"/>
                <w:sz w:val="24"/>
                <w:highlight w:val="none"/>
              </w:rPr>
            </w:pPr>
            <w:r>
              <w:rPr>
                <w:rFonts w:hint="eastAsia" w:ascii="宋体"/>
                <w:sz w:val="24"/>
                <w:highlight w:val="none"/>
              </w:rPr>
              <w:t>位</w:t>
            </w:r>
          </w:p>
          <w:p>
            <w:pPr>
              <w:snapToGrid w:val="0"/>
              <w:spacing w:line="400" w:lineRule="exact"/>
              <w:jc w:val="center"/>
              <w:rPr>
                <w:rFonts w:ascii="宋体"/>
                <w:sz w:val="24"/>
                <w:highlight w:val="none"/>
              </w:rPr>
            </w:pPr>
            <w:r>
              <w:rPr>
                <w:rFonts w:hint="eastAsia" w:ascii="宋体"/>
                <w:sz w:val="24"/>
                <w:highlight w:val="none"/>
              </w:rPr>
              <w:t>概</w:t>
            </w:r>
          </w:p>
          <w:p>
            <w:pPr>
              <w:snapToGrid w:val="0"/>
              <w:spacing w:line="400" w:lineRule="exact"/>
              <w:jc w:val="center"/>
              <w:rPr>
                <w:rFonts w:ascii="宋体"/>
                <w:sz w:val="24"/>
                <w:highlight w:val="none"/>
              </w:rPr>
            </w:pPr>
            <w:r>
              <w:rPr>
                <w:rFonts w:hint="eastAsia" w:ascii="宋体"/>
                <w:sz w:val="24"/>
                <w:highlight w:val="none"/>
              </w:rPr>
              <w:t>况</w:t>
            </w: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职工</w:t>
            </w:r>
          </w:p>
          <w:p>
            <w:pPr>
              <w:snapToGrid w:val="0"/>
              <w:spacing w:line="400" w:lineRule="exact"/>
              <w:jc w:val="center"/>
              <w:rPr>
                <w:rFonts w:ascii="宋体"/>
                <w:sz w:val="24"/>
                <w:highlight w:val="none"/>
              </w:rPr>
            </w:pPr>
            <w:r>
              <w:rPr>
                <w:rFonts w:hint="eastAsia" w:ascii="宋体"/>
                <w:sz w:val="24"/>
                <w:highlight w:val="none"/>
              </w:rPr>
              <w:t>总数</w:t>
            </w:r>
          </w:p>
        </w:tc>
        <w:tc>
          <w:tcPr>
            <w:tcW w:w="2464" w:type="dxa"/>
            <w:gridSpan w:val="5"/>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 xml:space="preserve">             人</w:t>
            </w:r>
          </w:p>
        </w:tc>
        <w:tc>
          <w:tcPr>
            <w:tcW w:w="4101"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生产工人人</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p>
        </w:tc>
        <w:tc>
          <w:tcPr>
            <w:tcW w:w="2464" w:type="dxa"/>
            <w:gridSpan w:val="5"/>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p>
        </w:tc>
        <w:tc>
          <w:tcPr>
            <w:tcW w:w="4101"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工程技术人员人</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流动</w:t>
            </w:r>
          </w:p>
          <w:p>
            <w:pPr>
              <w:snapToGrid w:val="0"/>
              <w:spacing w:line="400" w:lineRule="exact"/>
              <w:jc w:val="center"/>
              <w:rPr>
                <w:rFonts w:ascii="宋体"/>
                <w:sz w:val="24"/>
                <w:highlight w:val="none"/>
              </w:rPr>
            </w:pPr>
            <w:r>
              <w:rPr>
                <w:rFonts w:hint="eastAsia" w:ascii="宋体"/>
                <w:sz w:val="24"/>
                <w:highlight w:val="none"/>
              </w:rPr>
              <w:t>资金</w:t>
            </w:r>
          </w:p>
        </w:tc>
        <w:tc>
          <w:tcPr>
            <w:tcW w:w="2464" w:type="dxa"/>
            <w:gridSpan w:val="5"/>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 xml:space="preserve">             万元</w:t>
            </w:r>
          </w:p>
        </w:tc>
        <w:tc>
          <w:tcPr>
            <w:tcW w:w="525"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资</w:t>
            </w:r>
          </w:p>
          <w:p>
            <w:pPr>
              <w:snapToGrid w:val="0"/>
              <w:spacing w:line="400" w:lineRule="exact"/>
              <w:jc w:val="center"/>
              <w:rPr>
                <w:rFonts w:ascii="宋体"/>
                <w:sz w:val="24"/>
                <w:highlight w:val="none"/>
              </w:rPr>
            </w:pPr>
            <w:r>
              <w:rPr>
                <w:rFonts w:hint="eastAsia" w:ascii="宋体"/>
                <w:sz w:val="24"/>
                <w:highlight w:val="none"/>
              </w:rPr>
              <w:t>金</w:t>
            </w:r>
          </w:p>
          <w:p>
            <w:pPr>
              <w:snapToGrid w:val="0"/>
              <w:spacing w:line="400" w:lineRule="exact"/>
              <w:jc w:val="center"/>
              <w:rPr>
                <w:rFonts w:ascii="宋体"/>
                <w:sz w:val="24"/>
                <w:highlight w:val="none"/>
              </w:rPr>
            </w:pPr>
            <w:r>
              <w:rPr>
                <w:rFonts w:hint="eastAsia" w:ascii="宋体"/>
                <w:sz w:val="24"/>
                <w:highlight w:val="none"/>
              </w:rPr>
              <w:t>来</w:t>
            </w:r>
          </w:p>
          <w:p>
            <w:pPr>
              <w:snapToGrid w:val="0"/>
              <w:spacing w:line="400" w:lineRule="exact"/>
              <w:jc w:val="center"/>
              <w:rPr>
                <w:rFonts w:ascii="宋体"/>
                <w:sz w:val="24"/>
                <w:highlight w:val="none"/>
              </w:rPr>
            </w:pPr>
            <w:r>
              <w:rPr>
                <w:rFonts w:hint="eastAsia" w:ascii="宋体"/>
                <w:sz w:val="24"/>
                <w:highlight w:val="none"/>
              </w:rPr>
              <w:t>源</w:t>
            </w: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自有资金</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 xml:space="preserve">      万元</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p>
        </w:tc>
        <w:tc>
          <w:tcPr>
            <w:tcW w:w="2464" w:type="dxa"/>
            <w:gridSpan w:val="5"/>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p>
        </w:tc>
        <w:tc>
          <w:tcPr>
            <w:tcW w:w="525"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银行贷款</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 xml:space="preserve">     万元</w:t>
            </w:r>
          </w:p>
        </w:tc>
      </w:tr>
      <w:tr>
        <w:tblPrEx>
          <w:tblCellMar>
            <w:top w:w="0" w:type="dxa"/>
            <w:left w:w="0" w:type="dxa"/>
            <w:bottom w:w="0" w:type="dxa"/>
            <w:right w:w="0" w:type="dxa"/>
          </w:tblCellMar>
        </w:tblPrEx>
        <w:trPr>
          <w:trHeight w:val="75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固定</w:t>
            </w:r>
          </w:p>
          <w:p>
            <w:pPr>
              <w:snapToGrid w:val="0"/>
              <w:spacing w:line="400" w:lineRule="exact"/>
              <w:jc w:val="center"/>
              <w:rPr>
                <w:rFonts w:ascii="宋体"/>
                <w:sz w:val="24"/>
                <w:highlight w:val="none"/>
              </w:rPr>
            </w:pPr>
            <w:r>
              <w:rPr>
                <w:rFonts w:hint="eastAsia" w:ascii="宋体"/>
                <w:sz w:val="24"/>
                <w:highlight w:val="none"/>
              </w:rPr>
              <w:t>资产</w:t>
            </w:r>
          </w:p>
        </w:tc>
        <w:tc>
          <w:tcPr>
            <w:tcW w:w="2464" w:type="dxa"/>
            <w:gridSpan w:val="5"/>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原值万元</w:t>
            </w:r>
          </w:p>
        </w:tc>
        <w:tc>
          <w:tcPr>
            <w:tcW w:w="525"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资</w:t>
            </w:r>
          </w:p>
          <w:p>
            <w:pPr>
              <w:snapToGrid w:val="0"/>
              <w:spacing w:line="400" w:lineRule="exact"/>
              <w:jc w:val="center"/>
              <w:rPr>
                <w:rFonts w:ascii="宋体"/>
                <w:sz w:val="24"/>
                <w:highlight w:val="none"/>
              </w:rPr>
            </w:pPr>
            <w:r>
              <w:rPr>
                <w:rFonts w:hint="eastAsia" w:ascii="宋体"/>
                <w:sz w:val="24"/>
                <w:highlight w:val="none"/>
              </w:rPr>
              <w:t>金</w:t>
            </w:r>
          </w:p>
          <w:p>
            <w:pPr>
              <w:snapToGrid w:val="0"/>
              <w:spacing w:line="400" w:lineRule="exact"/>
              <w:jc w:val="center"/>
              <w:rPr>
                <w:rFonts w:ascii="宋体"/>
                <w:sz w:val="24"/>
                <w:highlight w:val="none"/>
              </w:rPr>
            </w:pPr>
            <w:r>
              <w:rPr>
                <w:rFonts w:hint="eastAsia" w:ascii="宋体"/>
                <w:sz w:val="24"/>
                <w:highlight w:val="none"/>
              </w:rPr>
              <w:t>性</w:t>
            </w:r>
          </w:p>
          <w:p>
            <w:pPr>
              <w:snapToGrid w:val="0"/>
              <w:spacing w:line="400" w:lineRule="exact"/>
              <w:jc w:val="center"/>
              <w:rPr>
                <w:rFonts w:ascii="宋体"/>
                <w:sz w:val="24"/>
                <w:highlight w:val="none"/>
              </w:rPr>
            </w:pPr>
            <w:r>
              <w:rPr>
                <w:rFonts w:hint="eastAsia" w:ascii="宋体"/>
                <w:sz w:val="24"/>
                <w:highlight w:val="none"/>
              </w:rPr>
              <w:t>质</w:t>
            </w: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生产性</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 xml:space="preserve">     万元</w:t>
            </w:r>
          </w:p>
        </w:tc>
      </w:tr>
      <w:tr>
        <w:tblPrEx>
          <w:tblCellMar>
            <w:top w:w="0" w:type="dxa"/>
            <w:left w:w="0" w:type="dxa"/>
            <w:bottom w:w="0" w:type="dxa"/>
            <w:right w:w="0" w:type="dxa"/>
          </w:tblCellMar>
        </w:tblPrEx>
        <w:trPr>
          <w:trHeight w:val="945"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p>
        </w:tc>
        <w:tc>
          <w:tcPr>
            <w:tcW w:w="2464" w:type="dxa"/>
            <w:gridSpan w:val="5"/>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净值万元</w:t>
            </w:r>
          </w:p>
        </w:tc>
        <w:tc>
          <w:tcPr>
            <w:tcW w:w="525"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非生产性</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 xml:space="preserve">     万元</w:t>
            </w:r>
          </w:p>
        </w:tc>
      </w:tr>
      <w:tr>
        <w:tblPrEx>
          <w:tblCellMar>
            <w:top w:w="0" w:type="dxa"/>
            <w:left w:w="0" w:type="dxa"/>
            <w:bottom w:w="0" w:type="dxa"/>
            <w:right w:w="0" w:type="dxa"/>
          </w:tblCellMar>
        </w:tblPrEx>
        <w:trPr>
          <w:trHeight w:val="431" w:hRule="atLeast"/>
        </w:trPr>
        <w:tc>
          <w:tcPr>
            <w:tcW w:w="1091" w:type="dxa"/>
            <w:vMerge w:val="restart"/>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企业</w:t>
            </w:r>
          </w:p>
          <w:p>
            <w:pPr>
              <w:snapToGrid w:val="0"/>
              <w:spacing w:line="400" w:lineRule="exact"/>
              <w:jc w:val="center"/>
              <w:rPr>
                <w:rFonts w:ascii="宋体"/>
                <w:sz w:val="24"/>
                <w:highlight w:val="none"/>
              </w:rPr>
            </w:pPr>
            <w:r>
              <w:rPr>
                <w:rFonts w:hint="eastAsia" w:ascii="宋体"/>
                <w:sz w:val="24"/>
                <w:highlight w:val="none"/>
              </w:rPr>
              <w:t>财务</w:t>
            </w:r>
          </w:p>
          <w:p>
            <w:pPr>
              <w:snapToGrid w:val="0"/>
              <w:spacing w:line="400" w:lineRule="exact"/>
              <w:jc w:val="center"/>
              <w:rPr>
                <w:rFonts w:ascii="宋体"/>
                <w:sz w:val="24"/>
                <w:highlight w:val="none"/>
              </w:rPr>
            </w:pPr>
            <w:r>
              <w:rPr>
                <w:rFonts w:hint="eastAsia" w:ascii="宋体"/>
                <w:sz w:val="24"/>
                <w:highlight w:val="none"/>
              </w:rPr>
              <w:t>状况</w:t>
            </w:r>
          </w:p>
          <w:p>
            <w:pPr>
              <w:snapToGrid w:val="0"/>
              <w:spacing w:line="400" w:lineRule="exact"/>
              <w:jc w:val="center"/>
              <w:rPr>
                <w:rFonts w:ascii="宋体"/>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年度</w:t>
            </w:r>
          </w:p>
        </w:tc>
        <w:tc>
          <w:tcPr>
            <w:tcW w:w="1494"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收入总额</w:t>
            </w: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利润总额</w:t>
            </w: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税后利润</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负债总额</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2020年</w:t>
            </w:r>
          </w:p>
        </w:tc>
        <w:tc>
          <w:tcPr>
            <w:tcW w:w="1494"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r>
      <w:tr>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2021年</w:t>
            </w:r>
          </w:p>
        </w:tc>
        <w:tc>
          <w:tcPr>
            <w:tcW w:w="1494"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r>
      <w:tr>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2022年</w:t>
            </w:r>
          </w:p>
        </w:tc>
        <w:tc>
          <w:tcPr>
            <w:tcW w:w="1494"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r>
      <w:tr>
        <w:tblPrEx>
          <w:tblCellMar>
            <w:top w:w="0" w:type="dxa"/>
            <w:left w:w="0" w:type="dxa"/>
            <w:bottom w:w="0" w:type="dxa"/>
            <w:right w:w="0" w:type="dxa"/>
          </w:tblCellMar>
        </w:tblPrEx>
        <w:trPr>
          <w:trHeight w:val="431" w:hRule="atLeast"/>
        </w:trPr>
        <w:tc>
          <w:tcPr>
            <w:tcW w:w="1091"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主要产品</w:t>
            </w:r>
          </w:p>
          <w:p>
            <w:pPr>
              <w:snapToGrid w:val="0"/>
              <w:spacing w:line="400" w:lineRule="exact"/>
              <w:jc w:val="center"/>
              <w:rPr>
                <w:rFonts w:ascii="宋体"/>
                <w:sz w:val="24"/>
                <w:highlight w:val="none"/>
              </w:rPr>
            </w:pPr>
            <w:r>
              <w:rPr>
                <w:rFonts w:hint="eastAsia" w:ascii="宋体"/>
                <w:sz w:val="24"/>
                <w:highlight w:val="none"/>
              </w:rPr>
              <w:t>/项目情况</w:t>
            </w:r>
          </w:p>
        </w:tc>
        <w:tc>
          <w:tcPr>
            <w:tcW w:w="196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产品/项目名称</w:t>
            </w:r>
          </w:p>
        </w:tc>
        <w:tc>
          <w:tcPr>
            <w:tcW w:w="2838"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上年销售值</w:t>
            </w:r>
          </w:p>
        </w:tc>
        <w:tc>
          <w:tcPr>
            <w:tcW w:w="2729"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r>
              <w:rPr>
                <w:rFonts w:hint="eastAsia" w:ascii="宋体"/>
                <w:sz w:val="24"/>
                <w:highlight w:val="none"/>
              </w:rPr>
              <w:t>主要用户</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p>
        </w:tc>
        <w:tc>
          <w:tcPr>
            <w:tcW w:w="196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c>
          <w:tcPr>
            <w:tcW w:w="2838"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c>
          <w:tcPr>
            <w:tcW w:w="2729"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jc w:val="center"/>
              <w:rPr>
                <w:rFonts w:ascii="宋体"/>
                <w:sz w:val="24"/>
                <w:highlight w:val="none"/>
              </w:rPr>
            </w:pPr>
          </w:p>
        </w:tc>
        <w:tc>
          <w:tcPr>
            <w:tcW w:w="196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c>
          <w:tcPr>
            <w:tcW w:w="2838"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c>
          <w:tcPr>
            <w:tcW w:w="2729"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napToGrid w:val="0"/>
              <w:spacing w:line="400" w:lineRule="exact"/>
              <w:rPr>
                <w:rFonts w:ascii="宋体"/>
                <w:sz w:val="24"/>
                <w:highlight w:val="none"/>
              </w:rPr>
            </w:pPr>
          </w:p>
        </w:tc>
      </w:tr>
    </w:tbl>
    <w:p>
      <w:pPr>
        <w:shd w:val="clear" w:color="auto" w:fill="FFFFFF"/>
        <w:spacing w:line="500" w:lineRule="exact"/>
        <w:ind w:firstLine="960" w:firstLineChars="400"/>
        <w:outlineLvl w:val="0"/>
        <w:rPr>
          <w:rFonts w:ascii="宋体" w:hAnsi="宋体"/>
          <w:b/>
          <w:sz w:val="24"/>
          <w:szCs w:val="24"/>
          <w:highlight w:val="none"/>
        </w:rPr>
      </w:pPr>
      <w:r>
        <w:rPr>
          <w:rFonts w:hint="eastAsia" w:ascii="宋体"/>
          <w:sz w:val="24"/>
          <w:highlight w:val="none"/>
        </w:rPr>
        <w:t>供应商</w:t>
      </w:r>
      <w:r>
        <w:rPr>
          <w:rFonts w:ascii="宋体"/>
          <w:sz w:val="24"/>
          <w:highlight w:val="none"/>
        </w:rPr>
        <w:t>:(</w:t>
      </w:r>
      <w:r>
        <w:rPr>
          <w:rFonts w:hint="eastAsia" w:ascii="宋体"/>
          <w:sz w:val="24"/>
          <w:highlight w:val="none"/>
        </w:rPr>
        <w:t>公章</w:t>
      </w:r>
      <w:r>
        <w:rPr>
          <w:rFonts w:ascii="宋体"/>
          <w:sz w:val="24"/>
          <w:highlight w:val="none"/>
        </w:rPr>
        <w:t xml:space="preserve">)                                  </w:t>
      </w:r>
      <w:r>
        <w:rPr>
          <w:rFonts w:hint="eastAsia" w:ascii="宋体"/>
          <w:sz w:val="24"/>
          <w:highlight w:val="none"/>
        </w:rPr>
        <w:t>日期</w:t>
      </w:r>
      <w:r>
        <w:rPr>
          <w:rFonts w:ascii="宋体"/>
          <w:sz w:val="24"/>
          <w:highlight w:val="none"/>
        </w:rPr>
        <w:t>:</w:t>
      </w:r>
    </w:p>
    <w:p>
      <w:pPr>
        <w:shd w:val="clear" w:color="auto" w:fill="FFFFFF"/>
        <w:spacing w:line="500" w:lineRule="exact"/>
        <w:outlineLvl w:val="0"/>
        <w:rPr>
          <w:rFonts w:ascii="宋体" w:hAnsi="宋体"/>
          <w:b/>
          <w:bCs/>
          <w:sz w:val="24"/>
          <w:szCs w:val="24"/>
          <w:highlight w:val="none"/>
        </w:rPr>
      </w:pPr>
      <w:r>
        <w:rPr>
          <w:rFonts w:ascii="宋体" w:hAnsi="宋体"/>
          <w:b/>
          <w:bCs/>
          <w:sz w:val="24"/>
          <w:szCs w:val="24"/>
          <w:highlight w:val="none"/>
        </w:rPr>
        <w:br w:type="page"/>
      </w:r>
      <w:bookmarkStart w:id="137" w:name="_Toc9379"/>
      <w:bookmarkStart w:id="138" w:name="_Toc14127"/>
      <w:r>
        <w:rPr>
          <w:rFonts w:hint="eastAsia" w:ascii="宋体" w:hAnsi="宋体"/>
          <w:b/>
          <w:bCs/>
          <w:sz w:val="24"/>
          <w:szCs w:val="24"/>
          <w:highlight w:val="none"/>
        </w:rPr>
        <w:t>附件</w:t>
      </w:r>
      <w:bookmarkEnd w:id="137"/>
      <w:bookmarkEnd w:id="138"/>
      <w:r>
        <w:rPr>
          <w:rFonts w:hint="eastAsia" w:ascii="宋体" w:hAnsi="宋体"/>
          <w:b/>
          <w:bCs/>
          <w:sz w:val="24"/>
          <w:szCs w:val="24"/>
          <w:highlight w:val="none"/>
        </w:rPr>
        <w:t>5</w:t>
      </w:r>
    </w:p>
    <w:p>
      <w:pPr>
        <w:shd w:val="clear" w:color="auto" w:fill="FFFFFF"/>
        <w:spacing w:line="500" w:lineRule="exact"/>
        <w:jc w:val="center"/>
        <w:rPr>
          <w:rFonts w:ascii="宋体" w:hAnsi="宋体"/>
          <w:b/>
          <w:sz w:val="24"/>
          <w:szCs w:val="24"/>
          <w:highlight w:val="none"/>
        </w:rPr>
      </w:pPr>
      <w:r>
        <w:rPr>
          <w:rFonts w:hint="eastAsia" w:ascii="宋体" w:hAnsi="宋体"/>
          <w:b/>
          <w:sz w:val="24"/>
          <w:szCs w:val="24"/>
          <w:highlight w:val="none"/>
        </w:rPr>
        <w:t>法定代表人身份证明书</w:t>
      </w:r>
    </w:p>
    <w:p>
      <w:pPr>
        <w:shd w:val="clear" w:color="auto" w:fill="FFFFFF"/>
        <w:spacing w:line="500" w:lineRule="exact"/>
        <w:rPr>
          <w:rFonts w:ascii="宋体" w:hAnsi="宋体"/>
          <w:sz w:val="24"/>
          <w:szCs w:val="24"/>
          <w:highlight w:val="none"/>
        </w:rPr>
      </w:pPr>
    </w:p>
    <w:p>
      <w:pPr>
        <w:shd w:val="clear" w:color="auto" w:fill="FFFFFF"/>
        <w:spacing w:line="500" w:lineRule="exact"/>
        <w:rPr>
          <w:rFonts w:ascii="宋体" w:hAnsi="宋体"/>
          <w:sz w:val="24"/>
          <w:szCs w:val="24"/>
          <w:highlight w:val="none"/>
          <w:u w:val="single"/>
        </w:rPr>
      </w:pPr>
      <w:r>
        <w:rPr>
          <w:rFonts w:hint="eastAsia" w:ascii="宋体" w:hAnsi="宋体"/>
          <w:sz w:val="24"/>
          <w:szCs w:val="24"/>
          <w:highlight w:val="none"/>
        </w:rPr>
        <w:t>单位名称：</w:t>
      </w:r>
    </w:p>
    <w:p>
      <w:pPr>
        <w:shd w:val="clear" w:color="auto" w:fill="FFFFFF"/>
        <w:spacing w:line="500" w:lineRule="exact"/>
        <w:rPr>
          <w:rFonts w:ascii="宋体" w:hAnsi="宋体"/>
          <w:sz w:val="24"/>
          <w:szCs w:val="24"/>
          <w:highlight w:val="none"/>
          <w:u w:val="single"/>
        </w:rPr>
      </w:pPr>
      <w:r>
        <w:rPr>
          <w:rFonts w:hint="eastAsia" w:ascii="宋体" w:hAnsi="宋体"/>
          <w:sz w:val="24"/>
          <w:szCs w:val="24"/>
          <w:highlight w:val="none"/>
        </w:rPr>
        <w:t>所属行业：</w:t>
      </w:r>
    </w:p>
    <w:p>
      <w:pPr>
        <w:shd w:val="clear" w:color="auto" w:fill="FFFFFF"/>
        <w:spacing w:line="500" w:lineRule="exact"/>
        <w:rPr>
          <w:rFonts w:ascii="宋体" w:hAnsi="宋体"/>
          <w:sz w:val="24"/>
          <w:szCs w:val="24"/>
          <w:highlight w:val="none"/>
        </w:rPr>
      </w:pPr>
      <w:r>
        <w:rPr>
          <w:rFonts w:hint="eastAsia" w:ascii="宋体" w:hAnsi="宋体"/>
          <w:sz w:val="24"/>
          <w:szCs w:val="24"/>
          <w:highlight w:val="none"/>
        </w:rPr>
        <w:t>地址：</w:t>
      </w:r>
    </w:p>
    <w:p>
      <w:pPr>
        <w:shd w:val="clear" w:color="auto" w:fill="FFFFFF"/>
        <w:spacing w:line="500" w:lineRule="exact"/>
        <w:rPr>
          <w:rFonts w:ascii="宋体" w:hAnsi="宋体"/>
          <w:sz w:val="24"/>
          <w:szCs w:val="24"/>
          <w:highlight w:val="none"/>
          <w:u w:val="single"/>
        </w:rPr>
      </w:pPr>
      <w:r>
        <w:rPr>
          <w:rFonts w:hint="eastAsia" w:ascii="宋体" w:hAnsi="宋体"/>
          <w:sz w:val="24"/>
          <w:szCs w:val="24"/>
          <w:highlight w:val="none"/>
        </w:rPr>
        <w:t>营业期限：</w:t>
      </w:r>
    </w:p>
    <w:p>
      <w:pPr>
        <w:shd w:val="clear" w:color="auto" w:fill="FFFFFF"/>
        <w:spacing w:line="500" w:lineRule="exact"/>
        <w:rPr>
          <w:rFonts w:ascii="宋体" w:hAnsi="宋体"/>
          <w:sz w:val="24"/>
          <w:szCs w:val="24"/>
          <w:highlight w:val="none"/>
          <w:u w:val="single"/>
        </w:rPr>
      </w:pPr>
      <w:r>
        <w:rPr>
          <w:rFonts w:hint="eastAsia" w:ascii="宋体" w:hAnsi="宋体"/>
          <w:sz w:val="24"/>
          <w:szCs w:val="24"/>
          <w:highlight w:val="none"/>
        </w:rPr>
        <w:t>成立时间：</w:t>
      </w:r>
    </w:p>
    <w:p>
      <w:pPr>
        <w:shd w:val="clear" w:color="auto" w:fill="FFFFFF"/>
        <w:spacing w:line="500" w:lineRule="exact"/>
        <w:rPr>
          <w:rFonts w:ascii="宋体" w:hAnsi="宋体"/>
          <w:sz w:val="24"/>
          <w:szCs w:val="24"/>
          <w:highlight w:val="none"/>
          <w:u w:val="single"/>
        </w:rPr>
      </w:pPr>
      <w:r>
        <w:rPr>
          <w:rFonts w:hint="eastAsia" w:ascii="宋体" w:hAnsi="宋体"/>
          <w:sz w:val="24"/>
          <w:szCs w:val="24"/>
          <w:highlight w:val="none"/>
        </w:rPr>
        <w:t>经营范围：</w:t>
      </w:r>
    </w:p>
    <w:p>
      <w:pPr>
        <w:shd w:val="clear" w:color="auto" w:fill="FFFFFF"/>
        <w:spacing w:line="500" w:lineRule="exact"/>
        <w:rPr>
          <w:rFonts w:ascii="宋体" w:hAnsi="宋体"/>
          <w:sz w:val="24"/>
          <w:szCs w:val="24"/>
          <w:highlight w:val="none"/>
        </w:rPr>
      </w:pPr>
    </w:p>
    <w:p>
      <w:pPr>
        <w:shd w:val="clear" w:color="auto" w:fill="FFFFFF"/>
        <w:spacing w:line="500" w:lineRule="exact"/>
        <w:rPr>
          <w:rFonts w:ascii="宋体" w:hAnsi="宋体"/>
          <w:sz w:val="24"/>
          <w:szCs w:val="24"/>
          <w:highlight w:val="none"/>
        </w:rPr>
      </w:pPr>
      <w:r>
        <w:rPr>
          <w:rFonts w:hint="eastAsia" w:ascii="宋体" w:hAnsi="宋体"/>
          <w:sz w:val="24"/>
          <w:szCs w:val="24"/>
          <w:highlight w:val="none"/>
        </w:rPr>
        <w:t>姓名：    性别：   年龄：     职务：</w:t>
      </w:r>
    </w:p>
    <w:p>
      <w:pPr>
        <w:shd w:val="clear" w:color="auto" w:fill="FFFFFF"/>
        <w:spacing w:line="500" w:lineRule="exact"/>
        <w:rPr>
          <w:rFonts w:ascii="宋体" w:hAnsi="宋体"/>
          <w:sz w:val="24"/>
          <w:szCs w:val="24"/>
          <w:highlight w:val="none"/>
        </w:rPr>
      </w:pPr>
      <w:r>
        <w:rPr>
          <w:rFonts w:hint="eastAsia" w:ascii="宋体" w:hAnsi="宋体"/>
          <w:sz w:val="24"/>
          <w:szCs w:val="24"/>
          <w:highlight w:val="none"/>
        </w:rPr>
        <w:t>系</w:t>
      </w:r>
      <w:r>
        <w:rPr>
          <w:rFonts w:hint="eastAsia" w:ascii="宋体" w:hAnsi="宋体"/>
          <w:sz w:val="24"/>
          <w:szCs w:val="24"/>
          <w:highlight w:val="none"/>
          <w:u w:val="single"/>
        </w:rPr>
        <w:t xml:space="preserve">                     （供应商）</w:t>
      </w:r>
      <w:r>
        <w:rPr>
          <w:rFonts w:hint="eastAsia" w:ascii="宋体" w:hAnsi="宋体"/>
          <w:sz w:val="24"/>
          <w:szCs w:val="24"/>
          <w:highlight w:val="none"/>
        </w:rPr>
        <w:t>的法定代表人。</w:t>
      </w:r>
    </w:p>
    <w:p>
      <w:pPr>
        <w:shd w:val="clear" w:color="auto" w:fill="FFFFFF"/>
        <w:spacing w:line="500" w:lineRule="exact"/>
        <w:rPr>
          <w:rFonts w:ascii="宋体" w:hAnsi="宋体"/>
          <w:sz w:val="24"/>
          <w:szCs w:val="24"/>
          <w:highlight w:val="none"/>
        </w:rPr>
      </w:pPr>
    </w:p>
    <w:p>
      <w:pPr>
        <w:shd w:val="clear" w:color="auto" w:fill="FFFFFF"/>
        <w:spacing w:line="360" w:lineRule="exact"/>
        <w:rPr>
          <w:rFonts w:ascii="宋体" w:hAnsi="宋体"/>
          <w:sz w:val="24"/>
          <w:szCs w:val="24"/>
          <w:highlight w:val="none"/>
        </w:rPr>
      </w:pPr>
      <w:r>
        <w:rPr>
          <w:rFonts w:ascii="宋体" w:hAnsi="宋体"/>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5Vx4/SAIAAJY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5Vx4/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宋体" w:hAnsi="宋体"/>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Zm60KkgCAACW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Zm60K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360" w:lineRule="exact"/>
        <w:rPr>
          <w:rFonts w:ascii="宋体" w:hAnsi="宋体"/>
          <w:sz w:val="24"/>
          <w:szCs w:val="24"/>
          <w:highlight w:val="none"/>
        </w:rPr>
      </w:pPr>
    </w:p>
    <w:p>
      <w:pPr>
        <w:shd w:val="clear" w:color="auto" w:fill="FFFFFF"/>
        <w:spacing w:line="360" w:lineRule="exact"/>
        <w:rPr>
          <w:rFonts w:ascii="宋体" w:hAnsi="宋体"/>
          <w:sz w:val="24"/>
          <w:szCs w:val="24"/>
          <w:highlight w:val="none"/>
        </w:rPr>
      </w:pPr>
    </w:p>
    <w:p>
      <w:pPr>
        <w:shd w:val="clear" w:color="auto" w:fill="FFFFFF"/>
        <w:spacing w:line="360" w:lineRule="exact"/>
        <w:rPr>
          <w:rFonts w:ascii="宋体" w:hAnsi="宋体"/>
          <w:sz w:val="24"/>
          <w:szCs w:val="24"/>
          <w:highlight w:val="none"/>
        </w:rPr>
      </w:pPr>
    </w:p>
    <w:p>
      <w:pPr>
        <w:shd w:val="clear" w:color="auto" w:fill="FFFFFF"/>
        <w:spacing w:line="360" w:lineRule="exact"/>
        <w:rPr>
          <w:rFonts w:ascii="宋体" w:hAnsi="宋体"/>
          <w:sz w:val="24"/>
          <w:szCs w:val="24"/>
          <w:highlight w:val="none"/>
        </w:rPr>
      </w:pPr>
    </w:p>
    <w:p>
      <w:pPr>
        <w:shd w:val="clear" w:color="auto" w:fill="FFFFFF"/>
        <w:spacing w:line="360" w:lineRule="exact"/>
        <w:rPr>
          <w:rFonts w:ascii="宋体" w:hAnsi="宋体"/>
          <w:sz w:val="24"/>
          <w:szCs w:val="24"/>
          <w:highlight w:val="none"/>
        </w:rPr>
      </w:pPr>
    </w:p>
    <w:p>
      <w:pPr>
        <w:shd w:val="clear" w:color="auto" w:fill="FFFFFF"/>
        <w:spacing w:line="360" w:lineRule="exact"/>
        <w:rPr>
          <w:rFonts w:ascii="宋体" w:hAnsi="宋体"/>
          <w:sz w:val="24"/>
          <w:szCs w:val="24"/>
          <w:highlight w:val="none"/>
        </w:rPr>
      </w:pPr>
    </w:p>
    <w:p>
      <w:pPr>
        <w:shd w:val="clear" w:color="auto" w:fill="FFFFFF"/>
        <w:spacing w:line="360" w:lineRule="exact"/>
        <w:rPr>
          <w:rFonts w:ascii="宋体" w:hAnsi="宋体"/>
          <w:sz w:val="24"/>
          <w:szCs w:val="24"/>
          <w:highlight w:val="none"/>
        </w:rPr>
      </w:pPr>
    </w:p>
    <w:p>
      <w:pPr>
        <w:shd w:val="clear" w:color="auto" w:fill="FFFFFF"/>
        <w:spacing w:line="360" w:lineRule="exact"/>
        <w:rPr>
          <w:rFonts w:ascii="宋体" w:hAnsi="宋体"/>
          <w:sz w:val="24"/>
          <w:szCs w:val="24"/>
          <w:highlight w:val="none"/>
        </w:rPr>
      </w:pPr>
      <w:r>
        <w:rPr>
          <w:rFonts w:hint="eastAsia" w:ascii="宋体" w:hAnsi="宋体"/>
          <w:sz w:val="24"/>
          <w:szCs w:val="24"/>
          <w:highlight w:val="none"/>
        </w:rPr>
        <w:t>特此证明。</w:t>
      </w:r>
    </w:p>
    <w:p>
      <w:pPr>
        <w:shd w:val="clear" w:color="auto" w:fill="FFFFFF"/>
        <w:spacing w:line="500" w:lineRule="exact"/>
        <w:rPr>
          <w:rFonts w:ascii="宋体" w:hAnsi="宋体"/>
          <w:sz w:val="24"/>
          <w:szCs w:val="24"/>
          <w:highlight w:val="none"/>
        </w:rPr>
      </w:pPr>
    </w:p>
    <w:p>
      <w:pPr>
        <w:shd w:val="clear" w:color="auto" w:fill="FFFFFF"/>
        <w:spacing w:line="500" w:lineRule="exact"/>
        <w:rPr>
          <w:rFonts w:ascii="宋体" w:hAnsi="宋体"/>
          <w:sz w:val="24"/>
          <w:szCs w:val="24"/>
          <w:highlight w:val="none"/>
        </w:rPr>
      </w:pPr>
    </w:p>
    <w:p>
      <w:pPr>
        <w:shd w:val="clear" w:color="auto" w:fill="FFFFFF"/>
        <w:spacing w:line="500" w:lineRule="exact"/>
        <w:rPr>
          <w:rFonts w:ascii="宋体" w:hAnsi="宋体"/>
          <w:sz w:val="24"/>
          <w:szCs w:val="24"/>
          <w:highlight w:val="none"/>
        </w:rPr>
      </w:pPr>
      <w:r>
        <w:rPr>
          <w:rFonts w:hint="eastAsia" w:ascii="宋体" w:hAnsi="宋体"/>
          <w:sz w:val="24"/>
          <w:szCs w:val="24"/>
          <w:highlight w:val="none"/>
        </w:rPr>
        <w:t>供应商（盖公章）：</w:t>
      </w:r>
    </w:p>
    <w:p>
      <w:pPr>
        <w:shd w:val="clear" w:color="auto" w:fill="FFFFFF"/>
        <w:spacing w:line="500" w:lineRule="exact"/>
        <w:rPr>
          <w:rFonts w:ascii="宋体" w:hAnsi="宋体"/>
          <w:sz w:val="24"/>
          <w:szCs w:val="24"/>
          <w:highlight w:val="none"/>
          <w:u w:val="single"/>
        </w:rPr>
      </w:pPr>
      <w:r>
        <w:rPr>
          <w:rFonts w:hint="eastAsia" w:ascii="宋体" w:hAnsi="宋体"/>
          <w:sz w:val="24"/>
          <w:szCs w:val="24"/>
          <w:highlight w:val="none"/>
        </w:rPr>
        <w:t>法定代表人（签字或盖章）：</w:t>
      </w:r>
    </w:p>
    <w:p>
      <w:pPr>
        <w:shd w:val="clear" w:color="auto" w:fill="FFFFFF"/>
        <w:tabs>
          <w:tab w:val="left" w:pos="3780"/>
        </w:tabs>
        <w:spacing w:line="500" w:lineRule="exact"/>
        <w:rPr>
          <w:rFonts w:ascii="宋体" w:hAnsi="宋体"/>
          <w:sz w:val="24"/>
          <w:szCs w:val="24"/>
          <w:highlight w:val="none"/>
        </w:rPr>
      </w:pPr>
      <w:r>
        <w:rPr>
          <w:rFonts w:hint="eastAsia" w:ascii="宋体" w:hAnsi="宋体"/>
          <w:sz w:val="24"/>
          <w:szCs w:val="24"/>
          <w:highlight w:val="none"/>
        </w:rPr>
        <w:t>日期：   年   月   日</w:t>
      </w:r>
    </w:p>
    <w:p>
      <w:pPr>
        <w:shd w:val="clear" w:color="auto" w:fill="FFFFFF"/>
        <w:spacing w:line="500" w:lineRule="exact"/>
        <w:rPr>
          <w:rFonts w:ascii="宋体" w:hAnsi="宋体"/>
          <w:b/>
          <w:bCs/>
          <w:sz w:val="24"/>
          <w:szCs w:val="24"/>
          <w:highlight w:val="none"/>
        </w:rPr>
      </w:pPr>
    </w:p>
    <w:p>
      <w:pPr>
        <w:shd w:val="clear" w:color="auto" w:fill="FFFFFF"/>
        <w:spacing w:line="500" w:lineRule="exact"/>
        <w:outlineLvl w:val="0"/>
        <w:rPr>
          <w:rFonts w:ascii="宋体" w:hAnsi="宋体"/>
          <w:b/>
          <w:bCs/>
          <w:sz w:val="24"/>
          <w:szCs w:val="24"/>
          <w:highlight w:val="none"/>
        </w:rPr>
      </w:pPr>
      <w:r>
        <w:rPr>
          <w:rFonts w:ascii="宋体" w:hAnsi="宋体"/>
          <w:b/>
          <w:bCs/>
          <w:sz w:val="24"/>
          <w:szCs w:val="24"/>
          <w:highlight w:val="none"/>
        </w:rPr>
        <w:br w:type="page"/>
      </w:r>
      <w:bookmarkStart w:id="139" w:name="_Toc29145"/>
      <w:bookmarkStart w:id="140" w:name="_Toc15715"/>
      <w:r>
        <w:rPr>
          <w:rFonts w:hint="eastAsia" w:ascii="宋体" w:hAnsi="宋体"/>
          <w:b/>
          <w:bCs/>
          <w:sz w:val="24"/>
          <w:szCs w:val="24"/>
          <w:highlight w:val="none"/>
        </w:rPr>
        <w:t>附件</w:t>
      </w:r>
      <w:bookmarkEnd w:id="139"/>
      <w:bookmarkEnd w:id="140"/>
      <w:r>
        <w:rPr>
          <w:rFonts w:hint="eastAsia" w:ascii="宋体" w:hAnsi="宋体"/>
          <w:b/>
          <w:bCs/>
          <w:sz w:val="24"/>
          <w:szCs w:val="24"/>
          <w:highlight w:val="none"/>
        </w:rPr>
        <w:t>6</w:t>
      </w:r>
    </w:p>
    <w:p>
      <w:pPr>
        <w:shd w:val="clear" w:color="auto" w:fill="FFFFFF"/>
        <w:spacing w:line="500" w:lineRule="exact"/>
        <w:jc w:val="center"/>
        <w:rPr>
          <w:rFonts w:ascii="宋体" w:hAnsi="宋体"/>
          <w:b/>
          <w:bCs/>
          <w:sz w:val="24"/>
          <w:szCs w:val="24"/>
          <w:highlight w:val="none"/>
        </w:rPr>
      </w:pPr>
      <w:r>
        <w:rPr>
          <w:rFonts w:hint="eastAsia" w:ascii="宋体" w:hAnsi="宋体"/>
          <w:b/>
          <w:bCs/>
          <w:sz w:val="24"/>
          <w:szCs w:val="24"/>
          <w:highlight w:val="none"/>
        </w:rPr>
        <w:t>法定代表人授权委托书</w:t>
      </w:r>
    </w:p>
    <w:p>
      <w:pPr>
        <w:shd w:val="clear" w:color="auto" w:fill="FFFFFF"/>
        <w:spacing w:line="500" w:lineRule="exact"/>
        <w:jc w:val="center"/>
        <w:rPr>
          <w:rFonts w:ascii="宋体" w:hAnsi="宋体"/>
          <w:b/>
          <w:bCs/>
          <w:sz w:val="24"/>
          <w:szCs w:val="24"/>
          <w:highlight w:val="none"/>
        </w:rPr>
      </w:pPr>
    </w:p>
    <w:p>
      <w:pPr>
        <w:shd w:val="clear" w:color="auto" w:fill="FFFFFF"/>
        <w:spacing w:line="500" w:lineRule="exact"/>
        <w:ind w:firstLine="453" w:firstLineChars="189"/>
        <w:rPr>
          <w:rFonts w:ascii="宋体" w:hAnsi="宋体"/>
          <w:bCs/>
          <w:sz w:val="24"/>
          <w:szCs w:val="24"/>
          <w:highlight w:val="none"/>
          <w:u w:val="single"/>
        </w:rPr>
      </w:pPr>
      <w:r>
        <w:rPr>
          <w:rFonts w:hint="eastAsia" w:ascii="宋体" w:hAnsi="宋体"/>
          <w:bCs/>
          <w:sz w:val="24"/>
          <w:szCs w:val="24"/>
          <w:highlight w:val="none"/>
        </w:rPr>
        <w:t>本授权委托书声明：我系</w:t>
      </w:r>
      <w:r>
        <w:rPr>
          <w:rFonts w:hint="eastAsia" w:ascii="宋体" w:hAnsi="宋体"/>
          <w:bCs/>
          <w:sz w:val="24"/>
          <w:szCs w:val="24"/>
          <w:highlight w:val="none"/>
          <w:u w:val="single"/>
        </w:rPr>
        <w:t xml:space="preserve">                             （供应商）</w:t>
      </w:r>
      <w:r>
        <w:rPr>
          <w:rFonts w:hint="eastAsia" w:ascii="宋体" w:hAnsi="宋体"/>
          <w:bCs/>
          <w:sz w:val="24"/>
          <w:szCs w:val="24"/>
          <w:highlight w:val="none"/>
        </w:rPr>
        <w:t>的法定代表人，现授权委托</w:t>
      </w:r>
      <w:r>
        <w:rPr>
          <w:rFonts w:hint="eastAsia" w:ascii="宋体" w:hAnsi="宋体"/>
          <w:bCs/>
          <w:sz w:val="24"/>
          <w:szCs w:val="24"/>
          <w:highlight w:val="none"/>
          <w:u w:val="single"/>
        </w:rPr>
        <w:t xml:space="preserve">           （供应商）</w:t>
      </w:r>
      <w:r>
        <w:rPr>
          <w:rFonts w:hint="eastAsia" w:ascii="宋体" w:hAnsi="宋体"/>
          <w:bCs/>
          <w:sz w:val="24"/>
          <w:szCs w:val="24"/>
          <w:highlight w:val="none"/>
        </w:rPr>
        <w:t>的</w:t>
      </w:r>
      <w:r>
        <w:rPr>
          <w:rFonts w:hint="eastAsia" w:ascii="宋体" w:hAnsi="宋体"/>
          <w:bCs/>
          <w:sz w:val="24"/>
          <w:szCs w:val="24"/>
          <w:highlight w:val="none"/>
          <w:u w:val="single"/>
        </w:rPr>
        <w:t xml:space="preserve">     </w:t>
      </w:r>
      <w:r>
        <w:rPr>
          <w:rFonts w:hint="eastAsia" w:ascii="宋体" w:hAnsi="宋体"/>
          <w:bCs/>
          <w:sz w:val="24"/>
          <w:szCs w:val="24"/>
          <w:highlight w:val="none"/>
        </w:rPr>
        <w:t>为我的代理人，以</w:t>
      </w:r>
      <w:r>
        <w:rPr>
          <w:rFonts w:hint="eastAsia" w:ascii="宋体" w:hAnsi="宋体"/>
          <w:bCs/>
          <w:sz w:val="24"/>
          <w:szCs w:val="24"/>
          <w:highlight w:val="none"/>
          <w:u w:val="single"/>
        </w:rPr>
        <w:t>（供应商）</w:t>
      </w:r>
      <w:r>
        <w:rPr>
          <w:rFonts w:hint="eastAsia" w:ascii="宋体" w:hAnsi="宋体"/>
          <w:bCs/>
          <w:sz w:val="24"/>
          <w:szCs w:val="24"/>
          <w:highlight w:val="none"/>
        </w:rPr>
        <w:t>的名义参加</w:t>
      </w:r>
      <w:r>
        <w:rPr>
          <w:rFonts w:hint="eastAsia" w:ascii="宋体" w:hAnsi="宋体"/>
          <w:bCs/>
          <w:sz w:val="24"/>
          <w:szCs w:val="24"/>
          <w:highlight w:val="none"/>
          <w:u w:val="single"/>
        </w:rPr>
        <w:t>（项目名称和采购项目编号）</w:t>
      </w:r>
      <w:r>
        <w:rPr>
          <w:rFonts w:hint="eastAsia" w:ascii="宋体" w:hAnsi="宋体"/>
          <w:bCs/>
          <w:sz w:val="24"/>
          <w:szCs w:val="24"/>
          <w:highlight w:val="none"/>
        </w:rPr>
        <w:t>招标项目的投标活动。代理人在参加整个招标投标活动所签署的一切文件和处理与之相关的一切事物，我均予承认。</w:t>
      </w:r>
    </w:p>
    <w:p>
      <w:pPr>
        <w:shd w:val="clear" w:color="auto" w:fill="FFFFFF"/>
        <w:spacing w:line="500" w:lineRule="exact"/>
        <w:ind w:firstLine="480" w:firstLineChars="200"/>
        <w:rPr>
          <w:rFonts w:ascii="宋体" w:hAnsi="宋体"/>
          <w:bCs/>
          <w:sz w:val="24"/>
          <w:szCs w:val="24"/>
          <w:highlight w:val="none"/>
          <w:u w:val="single"/>
        </w:rPr>
      </w:pPr>
      <w:r>
        <w:rPr>
          <w:rFonts w:hint="eastAsia" w:ascii="宋体" w:hAnsi="宋体"/>
          <w:bCs/>
          <w:sz w:val="24"/>
          <w:szCs w:val="24"/>
          <w:highlight w:val="none"/>
        </w:rPr>
        <w:t>代理人：   性别：  年龄：</w:t>
      </w:r>
    </w:p>
    <w:p>
      <w:pPr>
        <w:shd w:val="clear" w:color="auto" w:fill="FFFFFF"/>
        <w:spacing w:line="500" w:lineRule="exact"/>
        <w:ind w:firstLine="453" w:firstLineChars="189"/>
        <w:rPr>
          <w:rFonts w:ascii="宋体" w:hAnsi="宋体"/>
          <w:bCs/>
          <w:sz w:val="24"/>
          <w:szCs w:val="24"/>
          <w:highlight w:val="none"/>
          <w:u w:val="single"/>
        </w:rPr>
      </w:pPr>
      <w:r>
        <w:rPr>
          <w:rFonts w:hint="eastAsia" w:ascii="宋体" w:hAnsi="宋体"/>
          <w:bCs/>
          <w:sz w:val="24"/>
          <w:szCs w:val="24"/>
          <w:highlight w:val="none"/>
        </w:rPr>
        <w:t>部  门：  职务：</w:t>
      </w:r>
    </w:p>
    <w:p>
      <w:pPr>
        <w:shd w:val="clear" w:color="auto" w:fill="FFFFFF"/>
        <w:spacing w:line="360" w:lineRule="exact"/>
        <w:rPr>
          <w:rFonts w:ascii="宋体" w:hAnsi="宋体"/>
          <w:bCs/>
          <w:sz w:val="24"/>
          <w:szCs w:val="24"/>
          <w:highlight w:val="none"/>
        </w:rPr>
      </w:pPr>
      <w:r>
        <w:rPr>
          <w:rFonts w:ascii="宋体" w:hAnsi="宋体"/>
          <w:bCs/>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WSsp0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宋体" w:hAnsi="宋体"/>
          <w:bCs/>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qNdZ2wAAAAoBAAAPAAAAAAAA&#10;AAEAIAAAACIAAABkcnMvZG93bnJldi54bWxQSwECFAAUAAAACACHTuJAGX3160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360" w:lineRule="exact"/>
        <w:rPr>
          <w:rFonts w:ascii="宋体" w:hAnsi="宋体"/>
          <w:bCs/>
          <w:sz w:val="24"/>
          <w:szCs w:val="24"/>
          <w:highlight w:val="none"/>
        </w:rPr>
      </w:pPr>
    </w:p>
    <w:p>
      <w:pPr>
        <w:shd w:val="clear" w:color="auto" w:fill="FFFFFF"/>
        <w:spacing w:line="360" w:lineRule="exact"/>
        <w:rPr>
          <w:rFonts w:ascii="宋体" w:hAnsi="宋体"/>
          <w:bCs/>
          <w:sz w:val="24"/>
          <w:szCs w:val="24"/>
          <w:highlight w:val="none"/>
        </w:rPr>
      </w:pPr>
    </w:p>
    <w:p>
      <w:pPr>
        <w:shd w:val="clear" w:color="auto" w:fill="FFFFFF"/>
        <w:spacing w:line="360" w:lineRule="exact"/>
        <w:rPr>
          <w:rFonts w:ascii="宋体" w:hAnsi="宋体"/>
          <w:bCs/>
          <w:sz w:val="24"/>
          <w:szCs w:val="24"/>
          <w:highlight w:val="none"/>
        </w:rPr>
      </w:pPr>
    </w:p>
    <w:p>
      <w:pPr>
        <w:shd w:val="clear" w:color="auto" w:fill="FFFFFF"/>
        <w:spacing w:line="360" w:lineRule="exact"/>
        <w:rPr>
          <w:rFonts w:ascii="宋体" w:hAnsi="宋体"/>
          <w:bCs/>
          <w:sz w:val="24"/>
          <w:szCs w:val="24"/>
          <w:highlight w:val="none"/>
        </w:rPr>
      </w:pPr>
    </w:p>
    <w:p>
      <w:pPr>
        <w:shd w:val="clear" w:color="auto" w:fill="FFFFFF"/>
        <w:spacing w:line="360" w:lineRule="exact"/>
        <w:rPr>
          <w:rFonts w:ascii="宋体" w:hAnsi="宋体"/>
          <w:bCs/>
          <w:sz w:val="24"/>
          <w:szCs w:val="24"/>
          <w:highlight w:val="none"/>
        </w:rPr>
      </w:pPr>
    </w:p>
    <w:p>
      <w:pPr>
        <w:shd w:val="clear" w:color="auto" w:fill="FFFFFF"/>
        <w:spacing w:line="360" w:lineRule="exact"/>
        <w:rPr>
          <w:rFonts w:ascii="宋体" w:hAnsi="宋体"/>
          <w:bCs/>
          <w:sz w:val="24"/>
          <w:szCs w:val="24"/>
          <w:highlight w:val="none"/>
        </w:rPr>
      </w:pPr>
    </w:p>
    <w:p>
      <w:pPr>
        <w:pStyle w:val="92"/>
        <w:shd w:val="clear" w:color="auto" w:fill="FFFFFF"/>
        <w:snapToGrid w:val="0"/>
        <w:spacing w:line="360" w:lineRule="exact"/>
        <w:rPr>
          <w:rFonts w:ascii="宋体" w:hAnsi="宋体"/>
          <w:color w:val="auto"/>
          <w:sz w:val="24"/>
          <w:highlight w:val="none"/>
        </w:rPr>
      </w:pPr>
    </w:p>
    <w:p>
      <w:pPr>
        <w:pStyle w:val="92"/>
        <w:shd w:val="clear" w:color="auto" w:fill="FFFFFF"/>
        <w:snapToGrid w:val="0"/>
        <w:spacing w:line="360" w:lineRule="exact"/>
        <w:rPr>
          <w:rFonts w:ascii="宋体" w:hAnsi="宋体"/>
          <w:color w:val="auto"/>
          <w:sz w:val="24"/>
          <w:highlight w:val="none"/>
        </w:rPr>
      </w:pPr>
    </w:p>
    <w:p>
      <w:pPr>
        <w:pStyle w:val="92"/>
        <w:shd w:val="clear" w:color="auto" w:fill="FFFFFF"/>
        <w:snapToGrid w:val="0"/>
        <w:spacing w:line="500" w:lineRule="exact"/>
        <w:rPr>
          <w:rFonts w:ascii="宋体" w:hAnsi="宋体"/>
          <w:color w:val="auto"/>
          <w:sz w:val="24"/>
          <w:highlight w:val="none"/>
        </w:rPr>
      </w:pPr>
    </w:p>
    <w:p>
      <w:pPr>
        <w:pStyle w:val="92"/>
        <w:shd w:val="clear" w:color="auto" w:fill="FFFFFF"/>
        <w:snapToGrid w:val="0"/>
        <w:spacing w:line="500" w:lineRule="exact"/>
        <w:rPr>
          <w:rFonts w:ascii="宋体" w:hAnsi="宋体"/>
          <w:color w:val="auto"/>
          <w:sz w:val="24"/>
          <w:highlight w:val="none"/>
        </w:rPr>
      </w:pPr>
      <w:r>
        <w:rPr>
          <w:rFonts w:hint="eastAsia" w:ascii="宋体" w:hAnsi="宋体"/>
          <w:color w:val="auto"/>
          <w:sz w:val="24"/>
          <w:highlight w:val="none"/>
        </w:rPr>
        <w:t>供应商（盖公章）：</w:t>
      </w:r>
    </w:p>
    <w:p>
      <w:pPr>
        <w:shd w:val="clear" w:color="auto" w:fill="FFFFFF"/>
        <w:spacing w:line="500" w:lineRule="exact"/>
        <w:rPr>
          <w:rFonts w:ascii="宋体" w:hAnsi="宋体"/>
          <w:sz w:val="24"/>
          <w:szCs w:val="24"/>
          <w:highlight w:val="none"/>
        </w:rPr>
      </w:pPr>
      <w:r>
        <w:rPr>
          <w:rFonts w:hint="eastAsia" w:ascii="宋体" w:hAnsi="宋体"/>
          <w:sz w:val="24"/>
          <w:szCs w:val="24"/>
          <w:highlight w:val="none"/>
        </w:rPr>
        <w:t>法定代表人（签字或盖章）：</w:t>
      </w:r>
    </w:p>
    <w:p>
      <w:pPr>
        <w:shd w:val="clear" w:color="auto" w:fill="FFFFFF"/>
        <w:spacing w:line="500" w:lineRule="exact"/>
        <w:rPr>
          <w:rFonts w:ascii="宋体" w:hAnsi="宋体"/>
          <w:sz w:val="24"/>
          <w:szCs w:val="24"/>
          <w:highlight w:val="none"/>
        </w:rPr>
      </w:pPr>
      <w:r>
        <w:rPr>
          <w:rFonts w:hint="eastAsia" w:ascii="宋体" w:hAnsi="宋体"/>
          <w:sz w:val="24"/>
          <w:szCs w:val="24"/>
          <w:highlight w:val="none"/>
        </w:rPr>
        <w:t>被授权代理人（签字或盖章）：</w:t>
      </w:r>
    </w:p>
    <w:p>
      <w:pPr>
        <w:shd w:val="clear" w:color="auto" w:fill="FFFFFF"/>
        <w:adjustRightInd w:val="0"/>
        <w:snapToGrid w:val="0"/>
        <w:spacing w:line="500" w:lineRule="exact"/>
        <w:rPr>
          <w:rFonts w:ascii="宋体" w:hAnsi="宋体"/>
          <w:sz w:val="24"/>
          <w:szCs w:val="24"/>
          <w:highlight w:val="none"/>
        </w:rPr>
      </w:pPr>
      <w:r>
        <w:rPr>
          <w:rFonts w:hint="eastAsia" w:ascii="宋体" w:hAnsi="宋体"/>
          <w:sz w:val="24"/>
          <w:szCs w:val="24"/>
          <w:highlight w:val="none"/>
        </w:rPr>
        <w:t>日期：  年  月  日</w:t>
      </w:r>
    </w:p>
    <w:p>
      <w:pPr>
        <w:widowControl/>
        <w:jc w:val="left"/>
        <w:rPr>
          <w:rFonts w:ascii="宋体" w:hAnsi="宋体"/>
          <w:sz w:val="24"/>
          <w:szCs w:val="24"/>
          <w:highlight w:val="none"/>
        </w:rPr>
      </w:pPr>
    </w:p>
    <w:p>
      <w:pPr>
        <w:widowControl/>
        <w:jc w:val="left"/>
        <w:outlineLvl w:val="0"/>
        <w:rPr>
          <w:rFonts w:ascii="宋体" w:hAnsi="宋体"/>
          <w:sz w:val="24"/>
          <w:szCs w:val="24"/>
          <w:highlight w:val="none"/>
        </w:rPr>
      </w:pPr>
      <w:r>
        <w:rPr>
          <w:rFonts w:ascii="宋体" w:hAnsi="宋体"/>
          <w:sz w:val="24"/>
          <w:szCs w:val="24"/>
          <w:highlight w:val="none"/>
        </w:rPr>
        <w:br w:type="page"/>
      </w:r>
      <w:bookmarkStart w:id="141" w:name="_Toc11414"/>
      <w:bookmarkStart w:id="142" w:name="_Toc14769"/>
      <w:r>
        <w:rPr>
          <w:rFonts w:hint="eastAsia" w:ascii="宋体" w:hAnsi="宋体"/>
          <w:b/>
          <w:bCs/>
          <w:sz w:val="24"/>
          <w:szCs w:val="24"/>
          <w:highlight w:val="none"/>
        </w:rPr>
        <w:t>附件</w:t>
      </w:r>
      <w:bookmarkEnd w:id="141"/>
      <w:bookmarkEnd w:id="142"/>
      <w:r>
        <w:rPr>
          <w:rFonts w:hint="eastAsia" w:ascii="宋体" w:hAnsi="宋体"/>
          <w:b/>
          <w:bCs/>
          <w:sz w:val="24"/>
          <w:szCs w:val="24"/>
          <w:highlight w:val="none"/>
        </w:rPr>
        <w:t>7</w:t>
      </w:r>
    </w:p>
    <w:p>
      <w:pPr>
        <w:shd w:val="clear" w:color="auto" w:fill="FFFFFF"/>
        <w:spacing w:line="500" w:lineRule="exact"/>
        <w:jc w:val="center"/>
        <w:rPr>
          <w:rFonts w:ascii="宋体" w:hAnsi="宋体"/>
          <w:b/>
          <w:bCs/>
          <w:sz w:val="24"/>
          <w:szCs w:val="24"/>
          <w:highlight w:val="none"/>
        </w:rPr>
      </w:pPr>
      <w:r>
        <w:rPr>
          <w:rFonts w:hint="eastAsia" w:ascii="宋体" w:hAnsi="宋体"/>
          <w:b/>
          <w:bCs/>
          <w:sz w:val="24"/>
          <w:szCs w:val="24"/>
          <w:highlight w:val="none"/>
        </w:rPr>
        <w:t>关于《中华人民共和国政府采购法》第二十二条的承诺书</w:t>
      </w:r>
    </w:p>
    <w:p>
      <w:pPr>
        <w:shd w:val="clear" w:color="auto" w:fill="FFFFFF"/>
        <w:spacing w:line="500" w:lineRule="exact"/>
        <w:ind w:firstLine="453" w:firstLineChars="189"/>
        <w:rPr>
          <w:rFonts w:ascii="宋体" w:hAnsi="宋体"/>
          <w:bCs/>
          <w:sz w:val="24"/>
          <w:szCs w:val="24"/>
          <w:highlight w:val="none"/>
        </w:rPr>
      </w:pPr>
    </w:p>
    <w:p>
      <w:pPr>
        <w:shd w:val="clear" w:color="auto" w:fill="FFFFFF"/>
        <w:spacing w:line="500" w:lineRule="exact"/>
        <w:ind w:firstLine="453" w:firstLineChars="189"/>
        <w:rPr>
          <w:rFonts w:ascii="宋体" w:hAnsi="宋体"/>
          <w:bCs/>
          <w:sz w:val="24"/>
          <w:szCs w:val="24"/>
          <w:highlight w:val="none"/>
        </w:rPr>
      </w:pPr>
      <w:r>
        <w:rPr>
          <w:rFonts w:hint="eastAsia" w:ascii="宋体" w:hAnsi="宋体"/>
          <w:bCs/>
          <w:sz w:val="24"/>
          <w:szCs w:val="24"/>
          <w:highlight w:val="none"/>
        </w:rPr>
        <w:t>致：</w:t>
      </w:r>
      <w:r>
        <w:rPr>
          <w:rFonts w:hint="eastAsia" w:ascii="宋体" w:hAnsi="宋体"/>
          <w:bCs/>
          <w:sz w:val="24"/>
          <w:szCs w:val="24"/>
          <w:highlight w:val="none"/>
          <w:u w:val="single"/>
        </w:rPr>
        <w:t xml:space="preserve">      </w:t>
      </w:r>
      <w:r>
        <w:rPr>
          <w:rFonts w:hint="eastAsia" w:ascii="宋体" w:hAnsi="宋体"/>
          <w:bCs/>
          <w:sz w:val="24"/>
          <w:szCs w:val="24"/>
          <w:highlight w:val="none"/>
        </w:rPr>
        <w:t>（招标人）</w:t>
      </w:r>
    </w:p>
    <w:p>
      <w:pPr>
        <w:shd w:val="clear" w:color="auto" w:fill="FFFFFF"/>
        <w:spacing w:line="500" w:lineRule="exact"/>
        <w:ind w:firstLine="453" w:firstLineChars="189"/>
        <w:rPr>
          <w:rFonts w:ascii="宋体" w:hAnsi="宋体"/>
          <w:bCs/>
          <w:sz w:val="24"/>
          <w:szCs w:val="24"/>
          <w:highlight w:val="none"/>
        </w:rPr>
      </w:pPr>
      <w:r>
        <w:rPr>
          <w:rFonts w:hint="eastAsia" w:ascii="宋体" w:hAnsi="宋体"/>
          <w:bCs/>
          <w:sz w:val="24"/>
          <w:szCs w:val="24"/>
          <w:highlight w:val="none"/>
        </w:rPr>
        <w:t>我公司</w:t>
      </w:r>
      <w:r>
        <w:rPr>
          <w:rFonts w:hint="eastAsia" w:ascii="宋体" w:hAnsi="宋体"/>
          <w:bCs/>
          <w:sz w:val="24"/>
          <w:szCs w:val="24"/>
          <w:highlight w:val="none"/>
          <w:u w:val="single"/>
        </w:rPr>
        <w:t xml:space="preserve">            </w:t>
      </w:r>
      <w:r>
        <w:rPr>
          <w:rFonts w:hint="eastAsia" w:ascii="宋体" w:hAnsi="宋体"/>
          <w:bCs/>
          <w:sz w:val="24"/>
          <w:szCs w:val="24"/>
          <w:highlight w:val="none"/>
        </w:rPr>
        <w:t>参加贵方组织的</w:t>
      </w:r>
      <w:r>
        <w:rPr>
          <w:rFonts w:hint="eastAsia" w:ascii="宋体" w:hAnsi="宋体"/>
          <w:bCs/>
          <w:sz w:val="24"/>
          <w:szCs w:val="24"/>
          <w:highlight w:val="none"/>
          <w:u w:val="single"/>
        </w:rPr>
        <w:t>项目名称：      （项目编号：       ）</w:t>
      </w:r>
      <w:r>
        <w:rPr>
          <w:rFonts w:hint="eastAsia" w:ascii="宋体" w:hAnsi="宋体"/>
          <w:bCs/>
          <w:sz w:val="24"/>
          <w:szCs w:val="24"/>
          <w:highlight w:val="none"/>
        </w:rPr>
        <w:t>的投标活动，为便于贵方公正、择优的确定中标人，我方就本次投标有关事项声明如下：</w:t>
      </w:r>
    </w:p>
    <w:p>
      <w:pPr>
        <w:shd w:val="clear" w:color="auto" w:fill="FFFFFF"/>
        <w:spacing w:line="500" w:lineRule="exact"/>
        <w:ind w:firstLine="453" w:firstLineChars="189"/>
        <w:rPr>
          <w:rFonts w:ascii="宋体" w:hAnsi="宋体"/>
          <w:bCs/>
          <w:sz w:val="24"/>
          <w:szCs w:val="24"/>
          <w:highlight w:val="none"/>
        </w:rPr>
      </w:pPr>
      <w:r>
        <w:rPr>
          <w:rFonts w:hint="eastAsia" w:ascii="宋体" w:hAnsi="宋体"/>
          <w:bCs/>
          <w:sz w:val="24"/>
          <w:szCs w:val="24"/>
          <w:highlight w:val="none"/>
        </w:rPr>
        <w:t>（1）具有独立承担民事责任的能力；</w:t>
      </w:r>
    </w:p>
    <w:p>
      <w:pPr>
        <w:shd w:val="clear" w:color="auto" w:fill="FFFFFF"/>
        <w:spacing w:line="500" w:lineRule="exact"/>
        <w:ind w:firstLine="453" w:firstLineChars="189"/>
        <w:rPr>
          <w:rFonts w:ascii="宋体" w:hAnsi="宋体"/>
          <w:bCs/>
          <w:sz w:val="24"/>
          <w:szCs w:val="24"/>
          <w:highlight w:val="none"/>
        </w:rPr>
      </w:pPr>
      <w:r>
        <w:rPr>
          <w:rFonts w:hint="eastAsia" w:ascii="宋体" w:hAnsi="宋体"/>
          <w:bCs/>
          <w:sz w:val="24"/>
          <w:szCs w:val="24"/>
          <w:highlight w:val="none"/>
        </w:rPr>
        <w:t>（2）具有良好的商业信誉和健全的财务会计制度；</w:t>
      </w:r>
    </w:p>
    <w:p>
      <w:pPr>
        <w:shd w:val="clear" w:color="auto" w:fill="FFFFFF"/>
        <w:spacing w:line="500" w:lineRule="exact"/>
        <w:ind w:firstLine="453" w:firstLineChars="189"/>
        <w:rPr>
          <w:rFonts w:ascii="宋体" w:hAnsi="宋体"/>
          <w:bCs/>
          <w:sz w:val="24"/>
          <w:szCs w:val="24"/>
          <w:highlight w:val="none"/>
        </w:rPr>
      </w:pPr>
      <w:r>
        <w:rPr>
          <w:rFonts w:hint="eastAsia" w:ascii="宋体" w:hAnsi="宋体"/>
          <w:bCs/>
          <w:sz w:val="24"/>
          <w:szCs w:val="24"/>
          <w:highlight w:val="none"/>
        </w:rPr>
        <w:t>（3）具有履行合同所必需的设备和专业技术能力；</w:t>
      </w:r>
    </w:p>
    <w:p>
      <w:pPr>
        <w:shd w:val="clear" w:color="auto" w:fill="FFFFFF"/>
        <w:spacing w:line="500" w:lineRule="exact"/>
        <w:ind w:firstLine="453" w:firstLineChars="189"/>
        <w:rPr>
          <w:rFonts w:ascii="宋体" w:hAnsi="宋体"/>
          <w:bCs/>
          <w:sz w:val="24"/>
          <w:szCs w:val="24"/>
          <w:highlight w:val="none"/>
        </w:rPr>
      </w:pPr>
      <w:r>
        <w:rPr>
          <w:rFonts w:hint="eastAsia" w:ascii="宋体" w:hAnsi="宋体"/>
          <w:bCs/>
          <w:sz w:val="24"/>
          <w:szCs w:val="24"/>
          <w:highlight w:val="none"/>
        </w:rPr>
        <w:t>（4）有依法缴纳税收和社会保障资金的良好记录；</w:t>
      </w:r>
    </w:p>
    <w:p>
      <w:pPr>
        <w:shd w:val="clear" w:color="auto" w:fill="FFFFFF"/>
        <w:spacing w:line="500" w:lineRule="exact"/>
        <w:ind w:firstLine="453" w:firstLineChars="189"/>
        <w:rPr>
          <w:rFonts w:ascii="宋体" w:hAnsi="宋体"/>
          <w:bCs/>
          <w:sz w:val="24"/>
          <w:szCs w:val="24"/>
          <w:highlight w:val="none"/>
        </w:rPr>
      </w:pPr>
      <w:r>
        <w:rPr>
          <w:rFonts w:hint="eastAsia" w:ascii="宋体" w:hAnsi="宋体"/>
          <w:bCs/>
          <w:sz w:val="24"/>
          <w:szCs w:val="24"/>
          <w:highlight w:val="none"/>
        </w:rPr>
        <w:t>（5）参加政府采购活动前三年内，在经营活动中没有重大违法记录；</w:t>
      </w:r>
    </w:p>
    <w:p>
      <w:pPr>
        <w:shd w:val="clear" w:color="auto" w:fill="FFFFFF"/>
        <w:spacing w:line="500" w:lineRule="exact"/>
        <w:ind w:firstLine="453" w:firstLineChars="189"/>
        <w:rPr>
          <w:rFonts w:ascii="宋体" w:hAnsi="宋体"/>
          <w:bCs/>
          <w:sz w:val="24"/>
          <w:szCs w:val="24"/>
          <w:highlight w:val="none"/>
        </w:rPr>
      </w:pPr>
      <w:r>
        <w:rPr>
          <w:rFonts w:hint="eastAsia" w:ascii="宋体" w:hAnsi="宋体"/>
          <w:bCs/>
          <w:sz w:val="24"/>
          <w:szCs w:val="24"/>
          <w:highlight w:val="none"/>
        </w:rPr>
        <w:t>（6）法律、行政法规规定的其他条件。</w:t>
      </w:r>
    </w:p>
    <w:p>
      <w:pPr>
        <w:shd w:val="clear" w:color="auto" w:fill="FFFFFF"/>
        <w:spacing w:line="500" w:lineRule="exact"/>
        <w:ind w:firstLine="453" w:firstLineChars="189"/>
        <w:rPr>
          <w:rFonts w:ascii="宋体" w:hAnsi="宋体"/>
          <w:bCs/>
          <w:sz w:val="24"/>
          <w:szCs w:val="24"/>
          <w:highlight w:val="none"/>
        </w:rPr>
      </w:pPr>
      <w:r>
        <w:rPr>
          <w:rFonts w:hint="eastAsia" w:ascii="宋体" w:hAnsi="宋体"/>
          <w:bCs/>
          <w:sz w:val="24"/>
          <w:szCs w:val="24"/>
          <w:highlight w:val="none"/>
        </w:rPr>
        <w:t>我公司已完全了解本招标文件中规定的技术要求和商务条款。如违反以上承诺，本公司愿承担一切法律责任。</w:t>
      </w:r>
    </w:p>
    <w:p>
      <w:pPr>
        <w:shd w:val="clear" w:color="auto" w:fill="FFFFFF"/>
        <w:spacing w:line="500" w:lineRule="exact"/>
        <w:ind w:firstLine="453" w:firstLineChars="189"/>
        <w:rPr>
          <w:rFonts w:ascii="宋体" w:hAnsi="宋体"/>
          <w:bCs/>
          <w:sz w:val="24"/>
          <w:szCs w:val="24"/>
          <w:highlight w:val="none"/>
        </w:rPr>
      </w:pPr>
      <w:r>
        <w:rPr>
          <w:rFonts w:hint="eastAsia" w:ascii="宋体" w:hAnsi="宋体"/>
          <w:bCs/>
          <w:sz w:val="24"/>
          <w:szCs w:val="24"/>
          <w:highlight w:val="none"/>
        </w:rPr>
        <w:t>特此承诺。</w:t>
      </w:r>
    </w:p>
    <w:p>
      <w:pPr>
        <w:shd w:val="clear" w:color="auto" w:fill="FFFFFF"/>
        <w:spacing w:line="500" w:lineRule="exact"/>
        <w:ind w:firstLine="3120" w:firstLineChars="1300"/>
        <w:jc w:val="left"/>
        <w:rPr>
          <w:rFonts w:ascii="宋体" w:hAnsi="宋体"/>
          <w:sz w:val="24"/>
          <w:szCs w:val="24"/>
          <w:highlight w:val="none"/>
        </w:rPr>
      </w:pPr>
    </w:p>
    <w:p>
      <w:pPr>
        <w:shd w:val="clear" w:color="auto" w:fill="FFFFFF"/>
        <w:spacing w:line="480" w:lineRule="auto"/>
        <w:jc w:val="left"/>
        <w:rPr>
          <w:rFonts w:ascii="宋体" w:hAnsi="宋体"/>
          <w:sz w:val="24"/>
          <w:szCs w:val="24"/>
          <w:highlight w:val="none"/>
          <w:u w:val="single"/>
        </w:rPr>
      </w:pPr>
      <w:r>
        <w:rPr>
          <w:rFonts w:hint="eastAsia" w:ascii="宋体" w:hAnsi="宋体"/>
          <w:sz w:val="24"/>
          <w:szCs w:val="24"/>
          <w:highlight w:val="none"/>
        </w:rPr>
        <w:t>承诺人（公章）：</w:t>
      </w:r>
      <w:r>
        <w:rPr>
          <w:rFonts w:hint="eastAsia" w:ascii="宋体" w:hAnsi="宋体"/>
          <w:sz w:val="24"/>
          <w:szCs w:val="24"/>
          <w:highlight w:val="none"/>
          <w:u w:val="single"/>
        </w:rPr>
        <w:t xml:space="preserve">     （供应商全称）  </w:t>
      </w:r>
    </w:p>
    <w:p>
      <w:pPr>
        <w:shd w:val="clear" w:color="auto" w:fill="FFFFFF"/>
        <w:spacing w:line="480" w:lineRule="auto"/>
        <w:jc w:val="left"/>
        <w:rPr>
          <w:rFonts w:ascii="宋体" w:hAnsi="宋体"/>
          <w:sz w:val="24"/>
          <w:szCs w:val="24"/>
          <w:highlight w:val="none"/>
        </w:rPr>
      </w:pPr>
      <w:r>
        <w:rPr>
          <w:rFonts w:ascii="宋体" w:hAnsi="宋体"/>
          <w:sz w:val="24"/>
          <w:szCs w:val="24"/>
          <w:highlight w:val="none"/>
        </w:rPr>
        <w:t>日期</w:t>
      </w:r>
      <w:r>
        <w:rPr>
          <w:rFonts w:hint="eastAsia" w:ascii="宋体" w:hAnsi="宋体"/>
          <w:sz w:val="24"/>
          <w:szCs w:val="24"/>
          <w:highlight w:val="none"/>
        </w:rPr>
        <w:t>： 年 月 日</w:t>
      </w:r>
    </w:p>
    <w:p>
      <w:pPr>
        <w:widowControl/>
        <w:jc w:val="left"/>
        <w:outlineLvl w:val="0"/>
        <w:rPr>
          <w:rFonts w:ascii="宋体" w:hAnsi="宋体"/>
          <w:sz w:val="24"/>
          <w:szCs w:val="24"/>
          <w:highlight w:val="none"/>
        </w:rPr>
      </w:pPr>
      <w:r>
        <w:rPr>
          <w:rFonts w:ascii="宋体" w:hAnsi="宋体"/>
          <w:sz w:val="24"/>
          <w:szCs w:val="24"/>
          <w:highlight w:val="none"/>
        </w:rPr>
        <w:br w:type="page"/>
      </w:r>
      <w:bookmarkStart w:id="143" w:name="_Toc5047"/>
      <w:bookmarkStart w:id="144" w:name="_Toc30189"/>
      <w:r>
        <w:rPr>
          <w:rFonts w:hint="eastAsia" w:ascii="宋体" w:hAnsi="宋体"/>
          <w:b/>
          <w:bCs/>
          <w:sz w:val="24"/>
          <w:szCs w:val="24"/>
          <w:highlight w:val="none"/>
        </w:rPr>
        <w:t>附件</w:t>
      </w:r>
      <w:bookmarkEnd w:id="143"/>
      <w:bookmarkEnd w:id="144"/>
      <w:r>
        <w:rPr>
          <w:rFonts w:hint="eastAsia" w:ascii="宋体" w:hAnsi="宋体"/>
          <w:b/>
          <w:bCs/>
          <w:sz w:val="24"/>
          <w:szCs w:val="24"/>
          <w:highlight w:val="none"/>
        </w:rPr>
        <w:t>8</w:t>
      </w:r>
    </w:p>
    <w:p>
      <w:pPr>
        <w:shd w:val="clear" w:color="auto" w:fill="FFFFFF"/>
        <w:spacing w:line="500" w:lineRule="exact"/>
        <w:jc w:val="center"/>
        <w:rPr>
          <w:rFonts w:ascii="宋体" w:hAnsi="宋体"/>
          <w:b/>
          <w:bCs/>
          <w:sz w:val="24"/>
          <w:szCs w:val="24"/>
          <w:highlight w:val="none"/>
        </w:rPr>
      </w:pPr>
      <w:r>
        <w:rPr>
          <w:rFonts w:hint="eastAsia" w:ascii="宋体" w:hAnsi="宋体"/>
          <w:b/>
          <w:bCs/>
          <w:sz w:val="24"/>
          <w:szCs w:val="24"/>
          <w:highlight w:val="none"/>
        </w:rPr>
        <w:t>供应商的资格声明</w:t>
      </w:r>
    </w:p>
    <w:p>
      <w:pPr>
        <w:shd w:val="clear" w:color="auto" w:fill="FFFFFF"/>
        <w:spacing w:line="500" w:lineRule="exact"/>
        <w:rPr>
          <w:rFonts w:ascii="宋体" w:hAnsi="宋体"/>
          <w:sz w:val="24"/>
          <w:szCs w:val="24"/>
          <w:highlight w:val="none"/>
        </w:rPr>
      </w:pPr>
      <w:r>
        <w:rPr>
          <w:rFonts w:hint="eastAsia" w:ascii="宋体" w:hAnsi="宋体"/>
          <w:sz w:val="24"/>
          <w:szCs w:val="24"/>
          <w:highlight w:val="none"/>
          <w:u w:val="single"/>
        </w:rPr>
        <w:t>（采购人）</w:t>
      </w:r>
      <w:r>
        <w:rPr>
          <w:rFonts w:hint="eastAsia" w:ascii="宋体" w:hAnsi="宋体"/>
          <w:sz w:val="24"/>
          <w:szCs w:val="24"/>
          <w:highlight w:val="none"/>
        </w:rPr>
        <w:t>：</w:t>
      </w:r>
    </w:p>
    <w:p>
      <w:pPr>
        <w:shd w:val="clear" w:color="auto" w:fill="FFFFFF"/>
        <w:spacing w:line="500" w:lineRule="exact"/>
        <w:rPr>
          <w:rFonts w:ascii="宋体" w:hAnsi="宋体"/>
          <w:sz w:val="24"/>
          <w:szCs w:val="24"/>
          <w:highlight w:val="none"/>
        </w:rPr>
      </w:pPr>
      <w:r>
        <w:rPr>
          <w:rFonts w:hint="eastAsia" w:ascii="宋体" w:hAnsi="宋体"/>
          <w:sz w:val="24"/>
          <w:szCs w:val="24"/>
          <w:highlight w:val="none"/>
        </w:rPr>
        <w:t xml:space="preserve">    关于贵方发出的采购文件，本供应商愿意参加投标，并证明资格文件中和所要求的说明是真实和准确无误的。</w:t>
      </w:r>
    </w:p>
    <w:p>
      <w:pPr>
        <w:shd w:val="clear" w:color="auto" w:fill="FFFFFF"/>
        <w:spacing w:line="500" w:lineRule="exact"/>
        <w:ind w:firstLine="480" w:firstLineChars="200"/>
        <w:rPr>
          <w:rFonts w:ascii="宋体" w:hAnsi="宋体"/>
          <w:sz w:val="24"/>
          <w:szCs w:val="24"/>
          <w:highlight w:val="none"/>
        </w:rPr>
      </w:pPr>
      <w:r>
        <w:rPr>
          <w:rFonts w:hint="eastAsia" w:ascii="宋体" w:hAnsi="宋体"/>
          <w:sz w:val="24"/>
          <w:szCs w:val="24"/>
          <w:highlight w:val="none"/>
        </w:rPr>
        <w:t>本供应商对可能要求的进一步的资格资料表示理解和同意，并同意按贵方的要求提供任何有关资料。</w:t>
      </w:r>
    </w:p>
    <w:p>
      <w:pPr>
        <w:shd w:val="clear" w:color="auto" w:fill="FFFFFF"/>
        <w:spacing w:line="500" w:lineRule="exact"/>
        <w:rPr>
          <w:rFonts w:ascii="宋体" w:hAnsi="宋体"/>
          <w:sz w:val="24"/>
          <w:szCs w:val="24"/>
          <w:highlight w:val="none"/>
        </w:rPr>
      </w:pPr>
    </w:p>
    <w:p>
      <w:pPr>
        <w:shd w:val="clear" w:color="auto" w:fill="FFFFFF"/>
        <w:spacing w:line="500" w:lineRule="exact"/>
        <w:jc w:val="left"/>
        <w:rPr>
          <w:rFonts w:ascii="宋体" w:hAnsi="宋体"/>
          <w:sz w:val="24"/>
          <w:szCs w:val="24"/>
          <w:highlight w:val="none"/>
        </w:rPr>
      </w:pPr>
      <w:r>
        <w:rPr>
          <w:rFonts w:hint="eastAsia" w:ascii="宋体" w:hAnsi="宋体"/>
          <w:sz w:val="24"/>
          <w:szCs w:val="24"/>
          <w:highlight w:val="none"/>
        </w:rPr>
        <w:t>供应商（盖公章）：</w:t>
      </w:r>
    </w:p>
    <w:p>
      <w:pPr>
        <w:shd w:val="clear" w:color="auto" w:fill="FFFFFF"/>
        <w:spacing w:line="500" w:lineRule="exact"/>
        <w:jc w:val="left"/>
        <w:rPr>
          <w:rFonts w:ascii="宋体" w:hAnsi="宋体"/>
          <w:sz w:val="24"/>
          <w:szCs w:val="24"/>
          <w:highlight w:val="none"/>
        </w:rPr>
      </w:pPr>
      <w:r>
        <w:rPr>
          <w:rFonts w:hint="eastAsia" w:ascii="宋体" w:hAnsi="宋体"/>
          <w:sz w:val="24"/>
          <w:szCs w:val="24"/>
          <w:highlight w:val="none"/>
        </w:rPr>
        <w:t>法定代表人（签字或盖章）：</w:t>
      </w:r>
    </w:p>
    <w:p>
      <w:pPr>
        <w:shd w:val="clear" w:color="auto" w:fill="FFFFFF"/>
        <w:spacing w:line="500" w:lineRule="exact"/>
        <w:jc w:val="left"/>
        <w:rPr>
          <w:rFonts w:ascii="宋体" w:hAnsi="宋体"/>
          <w:sz w:val="24"/>
          <w:szCs w:val="24"/>
          <w:highlight w:val="none"/>
        </w:rPr>
      </w:pPr>
      <w:r>
        <w:rPr>
          <w:rFonts w:hint="eastAsia" w:ascii="宋体" w:hAnsi="宋体"/>
          <w:sz w:val="24"/>
          <w:szCs w:val="24"/>
          <w:highlight w:val="none"/>
        </w:rPr>
        <w:t>日期： 年  月  日</w:t>
      </w:r>
    </w:p>
    <w:p>
      <w:pPr>
        <w:shd w:val="clear" w:color="auto" w:fill="FFFFFF"/>
        <w:tabs>
          <w:tab w:val="left" w:pos="996"/>
        </w:tabs>
        <w:spacing w:line="500" w:lineRule="exact"/>
        <w:rPr>
          <w:rFonts w:ascii="宋体" w:hAnsi="宋体"/>
          <w:sz w:val="24"/>
          <w:szCs w:val="24"/>
          <w:highlight w:val="none"/>
        </w:rPr>
      </w:pPr>
      <w:r>
        <w:rPr>
          <w:rFonts w:ascii="宋体" w:hAnsi="宋体"/>
          <w:sz w:val="24"/>
          <w:szCs w:val="24"/>
          <w:highlight w:val="none"/>
        </w:rPr>
        <w:tab/>
      </w:r>
    </w:p>
    <w:p>
      <w:pPr>
        <w:spacing w:line="500" w:lineRule="exact"/>
        <w:outlineLvl w:val="0"/>
        <w:rPr>
          <w:rFonts w:ascii="宋体" w:hAnsi="宋体"/>
          <w:b/>
          <w:bCs/>
          <w:sz w:val="24"/>
          <w:szCs w:val="24"/>
          <w:highlight w:val="none"/>
        </w:rPr>
      </w:pPr>
      <w:r>
        <w:rPr>
          <w:rFonts w:ascii="宋体" w:hAnsi="宋体"/>
          <w:bCs/>
          <w:sz w:val="24"/>
          <w:szCs w:val="24"/>
          <w:highlight w:val="none"/>
        </w:rPr>
        <w:br w:type="page"/>
      </w:r>
      <w:bookmarkStart w:id="145" w:name="_Toc10322"/>
      <w:bookmarkStart w:id="146" w:name="_Toc7637"/>
      <w:r>
        <w:rPr>
          <w:rFonts w:hint="eastAsia" w:ascii="宋体" w:hAnsi="宋体"/>
          <w:b/>
          <w:bCs/>
          <w:sz w:val="24"/>
          <w:szCs w:val="24"/>
          <w:highlight w:val="none"/>
        </w:rPr>
        <w:t>附件</w:t>
      </w:r>
      <w:bookmarkEnd w:id="145"/>
      <w:bookmarkEnd w:id="146"/>
      <w:r>
        <w:rPr>
          <w:rFonts w:hint="eastAsia" w:ascii="宋体" w:hAnsi="宋体"/>
          <w:b/>
          <w:bCs/>
          <w:sz w:val="24"/>
          <w:szCs w:val="24"/>
          <w:highlight w:val="none"/>
        </w:rPr>
        <w:t>9</w:t>
      </w:r>
    </w:p>
    <w:p>
      <w:pPr>
        <w:shd w:val="clear" w:color="auto" w:fill="FFFFFF"/>
        <w:tabs>
          <w:tab w:val="left" w:pos="996"/>
        </w:tabs>
        <w:spacing w:line="500" w:lineRule="exact"/>
        <w:jc w:val="center"/>
        <w:rPr>
          <w:rFonts w:ascii="宋体" w:hAnsi="宋体"/>
          <w:b/>
          <w:sz w:val="24"/>
          <w:szCs w:val="24"/>
          <w:highlight w:val="none"/>
        </w:rPr>
      </w:pPr>
      <w:bookmarkStart w:id="147" w:name="_Hlk7871365"/>
      <w:r>
        <w:rPr>
          <w:rFonts w:hint="eastAsia" w:ascii="宋体" w:hAnsi="宋体"/>
          <w:b/>
          <w:sz w:val="24"/>
          <w:szCs w:val="24"/>
          <w:highlight w:val="none"/>
        </w:rPr>
        <w:t>供应商资格要求</w:t>
      </w:r>
    </w:p>
    <w:bookmarkEnd w:id="147"/>
    <w:p>
      <w:pPr>
        <w:shd w:val="clear" w:color="auto" w:fill="FFFFFF"/>
        <w:tabs>
          <w:tab w:val="left" w:pos="996"/>
        </w:tabs>
        <w:spacing w:line="500" w:lineRule="exact"/>
        <w:jc w:val="center"/>
        <w:rPr>
          <w:rFonts w:ascii="宋体" w:hAnsi="宋体"/>
          <w:b/>
          <w:sz w:val="24"/>
          <w:szCs w:val="24"/>
          <w:highlight w:val="none"/>
        </w:rPr>
      </w:pPr>
    </w:p>
    <w:p>
      <w:pPr>
        <w:widowControl/>
        <w:spacing w:line="360" w:lineRule="auto"/>
        <w:jc w:val="left"/>
        <w:rPr>
          <w:rFonts w:ascii="宋体" w:hAnsi="宋体" w:cs="宋体"/>
          <w:bCs/>
          <w:sz w:val="24"/>
          <w:highlight w:val="none"/>
        </w:rPr>
      </w:pPr>
      <w:r>
        <w:rPr>
          <w:rFonts w:hint="eastAsia" w:ascii="宋体" w:hAnsi="宋体" w:cs="宋体"/>
          <w:bCs/>
          <w:sz w:val="24"/>
          <w:highlight w:val="none"/>
        </w:rPr>
        <w:t>提供以下证明资料（但不限于）：</w:t>
      </w:r>
    </w:p>
    <w:p>
      <w:pPr>
        <w:pStyle w:val="83"/>
        <w:widowControl/>
        <w:numPr>
          <w:ilvl w:val="0"/>
          <w:numId w:val="5"/>
        </w:numPr>
        <w:spacing w:line="480" w:lineRule="auto"/>
        <w:ind w:firstLineChars="0"/>
        <w:rPr>
          <w:color w:val="auto"/>
          <w:highlight w:val="none"/>
          <w:u w:val="none"/>
        </w:rPr>
      </w:pPr>
      <w:r>
        <w:rPr>
          <w:rFonts w:hint="eastAsia"/>
          <w:color w:val="auto"/>
          <w:highlight w:val="none"/>
          <w:u w:val="none"/>
        </w:rPr>
        <w:t>营业执照；</w:t>
      </w:r>
    </w:p>
    <w:p>
      <w:pPr>
        <w:pStyle w:val="83"/>
        <w:widowControl/>
        <w:numPr>
          <w:ilvl w:val="0"/>
          <w:numId w:val="5"/>
        </w:numPr>
        <w:spacing w:line="480" w:lineRule="auto"/>
        <w:ind w:firstLineChars="0"/>
        <w:rPr>
          <w:color w:val="auto"/>
          <w:highlight w:val="none"/>
          <w:u w:val="none"/>
        </w:rPr>
      </w:pPr>
      <w:r>
        <w:rPr>
          <w:rFonts w:hint="eastAsia"/>
          <w:color w:val="auto"/>
          <w:highlight w:val="none"/>
          <w:u w:val="none"/>
        </w:rPr>
        <w:t>信用信息查询截图；</w:t>
      </w:r>
    </w:p>
    <w:p>
      <w:pPr>
        <w:pStyle w:val="83"/>
        <w:widowControl/>
        <w:numPr>
          <w:ilvl w:val="0"/>
          <w:numId w:val="5"/>
        </w:numPr>
        <w:spacing w:line="480" w:lineRule="auto"/>
        <w:ind w:firstLineChars="0"/>
        <w:rPr>
          <w:color w:val="auto"/>
          <w:highlight w:val="none"/>
          <w:u w:val="none"/>
        </w:rPr>
      </w:pPr>
      <w:r>
        <w:rPr>
          <w:rFonts w:hint="eastAsia"/>
          <w:color w:val="auto"/>
          <w:highlight w:val="none"/>
          <w:u w:val="none"/>
        </w:rPr>
        <w:t>保证金缴纳凭证。</w:t>
      </w:r>
    </w:p>
    <w:p>
      <w:pPr>
        <w:widowControl/>
        <w:jc w:val="left"/>
        <w:outlineLvl w:val="0"/>
        <w:rPr>
          <w:rFonts w:ascii="宋体" w:hAnsi="宋体" w:cs="宋体"/>
          <w:b/>
          <w:bCs/>
          <w:sz w:val="24"/>
          <w:highlight w:val="none"/>
        </w:rPr>
      </w:pPr>
      <w:r>
        <w:rPr>
          <w:rFonts w:ascii="宋体" w:hAnsi="宋体"/>
          <w:bCs/>
          <w:sz w:val="24"/>
          <w:szCs w:val="24"/>
          <w:highlight w:val="none"/>
        </w:rPr>
        <w:br w:type="page"/>
      </w:r>
      <w:bookmarkStart w:id="148" w:name="_Toc15389"/>
      <w:bookmarkStart w:id="149" w:name="_Toc27361"/>
      <w:bookmarkStart w:id="150" w:name="_Toc520282777"/>
      <w:r>
        <w:rPr>
          <w:rFonts w:hint="eastAsia" w:ascii="宋体" w:hAnsi="宋体" w:cs="宋体"/>
          <w:b/>
          <w:bCs/>
          <w:sz w:val="24"/>
          <w:highlight w:val="none"/>
        </w:rPr>
        <w:t>附件1</w:t>
      </w:r>
      <w:bookmarkEnd w:id="148"/>
      <w:bookmarkEnd w:id="149"/>
      <w:r>
        <w:rPr>
          <w:rFonts w:hint="eastAsia" w:ascii="宋体" w:hAnsi="宋体" w:cs="宋体"/>
          <w:b/>
          <w:bCs/>
          <w:sz w:val="24"/>
          <w:highlight w:val="none"/>
        </w:rPr>
        <w:t>0</w:t>
      </w:r>
    </w:p>
    <w:bookmarkEnd w:id="150"/>
    <w:p>
      <w:pPr>
        <w:widowControl/>
        <w:jc w:val="center"/>
        <w:rPr>
          <w:rFonts w:ascii="宋体" w:hAnsi="宋体" w:cs="宋体"/>
          <w:b/>
          <w:bCs/>
          <w:sz w:val="24"/>
          <w:highlight w:val="none"/>
          <w:lang w:val="zh-CN"/>
        </w:rPr>
      </w:pPr>
      <w:r>
        <w:rPr>
          <w:rFonts w:hint="eastAsia" w:ascii="宋体" w:hAnsi="宋体" w:cs="宋体"/>
          <w:b/>
          <w:bCs/>
          <w:sz w:val="24"/>
          <w:highlight w:val="none"/>
          <w:lang w:val="zh-CN"/>
        </w:rPr>
        <w:t>采购需求响应偏离表</w:t>
      </w:r>
    </w:p>
    <w:p>
      <w:pPr>
        <w:tabs>
          <w:tab w:val="left" w:pos="3226"/>
        </w:tabs>
        <w:autoSpaceDE w:val="0"/>
        <w:autoSpaceDN w:val="0"/>
        <w:adjustRightInd w:val="0"/>
        <w:spacing w:before="43"/>
        <w:ind w:right="420"/>
        <w:jc w:val="center"/>
        <w:rPr>
          <w:rFonts w:ascii="宋体" w:hAnsi="宋体" w:cs="宋体"/>
          <w:b/>
          <w:bCs/>
          <w:kern w:val="0"/>
          <w:szCs w:val="21"/>
          <w:highlight w:val="none"/>
          <w:lang w:val="zh-CN"/>
        </w:rPr>
      </w:pPr>
    </w:p>
    <w:p>
      <w:pPr>
        <w:shd w:val="clear" w:color="auto" w:fill="FFFFFF"/>
        <w:spacing w:line="500" w:lineRule="exact"/>
        <w:ind w:firstLine="480" w:firstLineChars="200"/>
        <w:rPr>
          <w:rFonts w:ascii="宋体" w:hAnsi="宋体" w:cs="宋体"/>
          <w:sz w:val="24"/>
          <w:highlight w:val="none"/>
        </w:rPr>
      </w:pPr>
      <w:r>
        <w:rPr>
          <w:rFonts w:hint="eastAsia" w:ascii="宋体" w:hAnsi="宋体" w:cs="宋体"/>
          <w:sz w:val="24"/>
          <w:highlight w:val="none"/>
        </w:rPr>
        <w:t>项目名称：                             采购项目编号：</w:t>
      </w:r>
    </w:p>
    <w:p>
      <w:pPr>
        <w:shd w:val="clear" w:color="auto" w:fill="FFFFFF"/>
        <w:spacing w:line="500" w:lineRule="exact"/>
        <w:ind w:firstLine="480" w:firstLineChars="200"/>
        <w:rPr>
          <w:rFonts w:ascii="宋体" w:hAnsi="宋体" w:cs="宋体"/>
          <w:kern w:val="0"/>
          <w:szCs w:val="21"/>
          <w:highlight w:val="none"/>
          <w:lang w:val="zh-CN"/>
        </w:rPr>
      </w:pPr>
      <w:r>
        <w:rPr>
          <w:rFonts w:hint="eastAsia" w:ascii="宋体" w:hAnsi="宋体" w:cs="宋体"/>
          <w:sz w:val="24"/>
          <w:highlight w:val="none"/>
        </w:rPr>
        <w:t>标项名称：</w:t>
      </w:r>
      <w:r>
        <w:rPr>
          <w:rFonts w:hint="eastAsia" w:ascii="宋体" w:hAnsi="宋体" w:cs="宋体"/>
          <w:kern w:val="0"/>
          <w:szCs w:val="21"/>
          <w:highlight w:val="none"/>
          <w:lang w:val="zh-CN"/>
        </w:rPr>
        <w:tab/>
      </w:r>
    </w:p>
    <w:tbl>
      <w:tblPr>
        <w:tblStyle w:val="23"/>
        <w:tblW w:w="0" w:type="auto"/>
        <w:tblInd w:w="264" w:type="dxa"/>
        <w:tblLayout w:type="fixed"/>
        <w:tblCellMar>
          <w:top w:w="0" w:type="dxa"/>
          <w:left w:w="0" w:type="dxa"/>
          <w:bottom w:w="0" w:type="dxa"/>
          <w:right w:w="0" w:type="dxa"/>
        </w:tblCellMar>
      </w:tblPr>
      <w:tblGrid>
        <w:gridCol w:w="828"/>
        <w:gridCol w:w="1479"/>
        <w:gridCol w:w="2025"/>
        <w:gridCol w:w="1681"/>
        <w:gridCol w:w="1455"/>
        <w:gridCol w:w="945"/>
      </w:tblGrid>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28"/>
              <w:ind w:left="172"/>
              <w:jc w:val="center"/>
              <w:outlineLvl w:val="0"/>
              <w:rPr>
                <w:rFonts w:ascii="宋体" w:hAnsi="宋体" w:cs="宋体"/>
                <w:kern w:val="0"/>
                <w:sz w:val="24"/>
                <w:highlight w:val="none"/>
                <w:lang w:val="zh-CN"/>
              </w:rPr>
            </w:pPr>
            <w:bookmarkStart w:id="151" w:name="_Toc13868"/>
            <w:bookmarkStart w:id="152" w:name="_Toc10090"/>
            <w:bookmarkStart w:id="153" w:name="_Toc520282779"/>
            <w:r>
              <w:rPr>
                <w:rFonts w:hint="eastAsia" w:ascii="宋体" w:hAnsi="宋体" w:cs="宋体"/>
                <w:kern w:val="0"/>
                <w:sz w:val="24"/>
                <w:highlight w:val="none"/>
                <w:lang w:val="zh-CN"/>
              </w:rPr>
              <w:t>序号</w:t>
            </w:r>
            <w:bookmarkEnd w:id="151"/>
            <w:bookmarkEnd w:id="152"/>
            <w:bookmarkEnd w:id="153"/>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28"/>
              <w:ind w:left="148"/>
              <w:jc w:val="center"/>
              <w:outlineLvl w:val="0"/>
              <w:rPr>
                <w:rFonts w:ascii="宋体" w:hAnsi="宋体" w:cs="宋体"/>
                <w:kern w:val="0"/>
                <w:sz w:val="24"/>
                <w:highlight w:val="none"/>
                <w:lang w:val="zh-CN"/>
              </w:rPr>
            </w:pPr>
            <w:bookmarkStart w:id="154" w:name="_Toc15647"/>
            <w:bookmarkStart w:id="155" w:name="_Toc16947"/>
            <w:r>
              <w:rPr>
                <w:rFonts w:hint="eastAsia" w:ascii="宋体" w:hAnsi="宋体" w:cs="宋体"/>
                <w:kern w:val="0"/>
                <w:sz w:val="24"/>
                <w:highlight w:val="none"/>
                <w:lang w:val="zh-CN"/>
              </w:rPr>
              <w:t>采购内容</w:t>
            </w:r>
            <w:bookmarkEnd w:id="154"/>
            <w:bookmarkEnd w:id="155"/>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28"/>
              <w:jc w:val="center"/>
              <w:outlineLvl w:val="0"/>
              <w:rPr>
                <w:rFonts w:ascii="宋体" w:hAnsi="宋体" w:cs="宋体"/>
                <w:kern w:val="0"/>
                <w:sz w:val="24"/>
                <w:highlight w:val="none"/>
                <w:lang w:val="zh-CN"/>
              </w:rPr>
            </w:pPr>
            <w:bookmarkStart w:id="156" w:name="_Toc1205"/>
            <w:bookmarkStart w:id="157" w:name="_Toc21056"/>
            <w:r>
              <w:rPr>
                <w:rFonts w:hint="eastAsia" w:ascii="宋体" w:hAnsi="宋体" w:cs="宋体"/>
                <w:kern w:val="0"/>
                <w:sz w:val="24"/>
                <w:highlight w:val="none"/>
                <w:lang w:val="zh-CN"/>
              </w:rPr>
              <w:t>采购需求要求</w:t>
            </w:r>
            <w:bookmarkEnd w:id="156"/>
            <w:bookmarkEnd w:id="157"/>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28"/>
              <w:ind w:left="148"/>
              <w:jc w:val="center"/>
              <w:outlineLvl w:val="0"/>
              <w:rPr>
                <w:rFonts w:ascii="宋体" w:hAnsi="宋体" w:cs="宋体"/>
                <w:kern w:val="0"/>
                <w:sz w:val="24"/>
                <w:highlight w:val="none"/>
                <w:lang w:val="zh-CN"/>
              </w:rPr>
            </w:pPr>
            <w:r>
              <w:rPr>
                <w:rFonts w:hint="eastAsia" w:ascii="宋体" w:hAnsi="宋体" w:cs="宋体"/>
                <w:kern w:val="0"/>
                <w:sz w:val="24"/>
                <w:highlight w:val="none"/>
                <w:lang w:val="zh-CN"/>
              </w:rPr>
              <w:t>采购需求响应</w:t>
            </w: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28"/>
              <w:ind w:left="208"/>
              <w:jc w:val="center"/>
              <w:outlineLvl w:val="0"/>
              <w:rPr>
                <w:rFonts w:ascii="宋体" w:hAnsi="宋体" w:cs="宋体"/>
                <w:kern w:val="0"/>
                <w:sz w:val="24"/>
                <w:highlight w:val="none"/>
              </w:rPr>
            </w:pPr>
            <w:bookmarkStart w:id="158" w:name="_Toc520282784"/>
            <w:bookmarkStart w:id="159" w:name="_Toc25396"/>
            <w:bookmarkStart w:id="160" w:name="_Toc21247"/>
            <w:r>
              <w:rPr>
                <w:rFonts w:hint="eastAsia" w:ascii="宋体" w:hAnsi="宋体" w:cs="宋体"/>
                <w:kern w:val="0"/>
                <w:sz w:val="24"/>
                <w:highlight w:val="none"/>
                <w:lang w:val="zh-CN"/>
              </w:rPr>
              <w:t>偏离</w:t>
            </w:r>
            <w:bookmarkEnd w:id="158"/>
            <w:r>
              <w:rPr>
                <w:rFonts w:hint="eastAsia" w:ascii="宋体" w:hAnsi="宋体" w:cs="宋体"/>
                <w:kern w:val="0"/>
                <w:sz w:val="24"/>
                <w:highlight w:val="none"/>
              </w:rPr>
              <w:t>/响应</w:t>
            </w:r>
            <w:bookmarkEnd w:id="159"/>
            <w:bookmarkEnd w:id="160"/>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28"/>
              <w:ind w:left="208"/>
              <w:jc w:val="center"/>
              <w:outlineLvl w:val="0"/>
              <w:rPr>
                <w:rFonts w:ascii="宋体" w:hAnsi="宋体" w:cs="宋体"/>
                <w:kern w:val="0"/>
                <w:sz w:val="24"/>
                <w:highlight w:val="none"/>
                <w:lang w:val="zh-CN"/>
              </w:rPr>
            </w:pPr>
            <w:bookmarkStart w:id="161" w:name="_Toc20595"/>
            <w:bookmarkStart w:id="162" w:name="_Toc520282785"/>
            <w:bookmarkStart w:id="163" w:name="_Toc29103"/>
            <w:r>
              <w:rPr>
                <w:rFonts w:hint="eastAsia" w:ascii="宋体" w:hAnsi="宋体" w:cs="宋体"/>
                <w:kern w:val="0"/>
                <w:sz w:val="24"/>
                <w:highlight w:val="none"/>
                <w:lang w:val="zh-CN"/>
              </w:rPr>
              <w:t>说明</w:t>
            </w:r>
            <w:bookmarkEnd w:id="161"/>
            <w:bookmarkEnd w:id="162"/>
            <w:bookmarkEnd w:id="163"/>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r>
      <w:tr>
        <w:tblPrEx>
          <w:tblCellMar>
            <w:top w:w="0" w:type="dxa"/>
            <w:left w:w="0" w:type="dxa"/>
            <w:bottom w:w="0" w:type="dxa"/>
            <w:right w:w="0" w:type="dxa"/>
          </w:tblCellMar>
        </w:tblPrEx>
        <w:trPr>
          <w:trHeight w:val="522"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left"/>
              <w:rPr>
                <w:rFonts w:ascii="宋体" w:hAnsi="宋体" w:cs="宋体"/>
                <w:kern w:val="0"/>
                <w:sz w:val="24"/>
                <w:highlight w:val="none"/>
                <w:lang w:val="zh-CN"/>
              </w:rPr>
            </w:pPr>
          </w:p>
        </w:tc>
      </w:tr>
    </w:tbl>
    <w:p>
      <w:pPr>
        <w:shd w:val="clear" w:color="auto" w:fill="FFFFFF"/>
        <w:tabs>
          <w:tab w:val="left" w:pos="996"/>
        </w:tabs>
        <w:spacing w:line="480" w:lineRule="auto"/>
        <w:ind w:firstLine="480" w:firstLineChars="200"/>
        <w:rPr>
          <w:rFonts w:ascii="宋体" w:hAnsi="宋体" w:cs="宋体"/>
          <w:sz w:val="24"/>
          <w:highlight w:val="none"/>
        </w:rPr>
      </w:pPr>
    </w:p>
    <w:p>
      <w:pPr>
        <w:shd w:val="clear" w:color="auto" w:fill="FFFFFF"/>
        <w:tabs>
          <w:tab w:val="left" w:pos="996"/>
        </w:tabs>
        <w:spacing w:line="480" w:lineRule="auto"/>
        <w:ind w:firstLine="480" w:firstLineChars="200"/>
        <w:rPr>
          <w:rFonts w:ascii="宋体" w:hAnsi="宋体" w:cs="宋体"/>
          <w:sz w:val="24"/>
          <w:highlight w:val="none"/>
        </w:rPr>
      </w:pPr>
      <w:r>
        <w:rPr>
          <w:rFonts w:hint="eastAsia" w:ascii="宋体" w:hAnsi="宋体" w:cs="宋体"/>
          <w:sz w:val="24"/>
          <w:highlight w:val="none"/>
        </w:rPr>
        <w:t>供应商（盖公章）：</w:t>
      </w:r>
    </w:p>
    <w:p>
      <w:pPr>
        <w:shd w:val="clear" w:color="auto" w:fill="FFFFFF"/>
        <w:tabs>
          <w:tab w:val="left" w:pos="996"/>
        </w:tabs>
        <w:spacing w:line="480" w:lineRule="auto"/>
        <w:ind w:firstLine="480" w:firstLineChars="200"/>
        <w:rPr>
          <w:rFonts w:ascii="宋体" w:hAnsi="宋体" w:cs="宋体"/>
          <w:sz w:val="24"/>
          <w:highlight w:val="none"/>
        </w:rPr>
      </w:pPr>
      <w:r>
        <w:rPr>
          <w:rFonts w:hint="eastAsia" w:ascii="宋体" w:hAnsi="宋体" w:cs="宋体"/>
          <w:sz w:val="24"/>
          <w:highlight w:val="none"/>
        </w:rPr>
        <w:t>法定代表人（签字或盖章）：</w:t>
      </w:r>
    </w:p>
    <w:p>
      <w:pPr>
        <w:spacing w:line="360" w:lineRule="auto"/>
        <w:ind w:firstLine="480" w:firstLineChars="200"/>
        <w:jc w:val="left"/>
        <w:rPr>
          <w:rFonts w:ascii="宋体" w:hAnsi="宋体"/>
          <w:sz w:val="24"/>
          <w:szCs w:val="24"/>
          <w:highlight w:val="none"/>
        </w:rPr>
      </w:pPr>
    </w:p>
    <w:p>
      <w:pPr>
        <w:spacing w:line="360" w:lineRule="auto"/>
        <w:ind w:firstLine="480" w:firstLineChars="200"/>
        <w:jc w:val="left"/>
        <w:rPr>
          <w:rFonts w:ascii="宋体" w:hAnsi="Calibri"/>
          <w:sz w:val="24"/>
          <w:szCs w:val="24"/>
          <w:highlight w:val="none"/>
        </w:rPr>
      </w:pPr>
      <w:r>
        <w:rPr>
          <w:rFonts w:hint="eastAsia" w:ascii="宋体" w:hAnsi="宋体"/>
          <w:sz w:val="24"/>
          <w:szCs w:val="24"/>
          <w:highlight w:val="none"/>
        </w:rPr>
        <w:t>备注：供应商采购需求响应有差异的，则在此表中列明实际响应的内容提要并加以说明，以便查对。无差异说明表示完全响应。</w:t>
      </w:r>
    </w:p>
    <w:p>
      <w:pPr>
        <w:rPr>
          <w:highlight w:val="none"/>
        </w:rPr>
      </w:pPr>
    </w:p>
    <w:p>
      <w:pPr>
        <w:outlineLvl w:val="0"/>
        <w:rPr>
          <w:rFonts w:ascii="宋体" w:hAnsi="宋体" w:cs="宋体"/>
          <w:sz w:val="24"/>
          <w:highlight w:val="none"/>
        </w:rPr>
      </w:pPr>
      <w:r>
        <w:rPr>
          <w:rFonts w:hint="eastAsia" w:ascii="宋体" w:hAnsi="宋体" w:cs="宋体"/>
          <w:b/>
          <w:bCs/>
          <w:sz w:val="24"/>
          <w:highlight w:val="none"/>
        </w:rPr>
        <w:br w:type="page"/>
      </w:r>
      <w:bookmarkStart w:id="164" w:name="_Toc23457"/>
      <w:bookmarkStart w:id="165" w:name="_Toc28526"/>
      <w:r>
        <w:rPr>
          <w:rFonts w:hint="eastAsia" w:ascii="宋体" w:hAnsi="宋体" w:cs="宋体"/>
          <w:b/>
          <w:bCs/>
          <w:sz w:val="24"/>
          <w:highlight w:val="none"/>
        </w:rPr>
        <w:t>附件1</w:t>
      </w:r>
      <w:bookmarkEnd w:id="164"/>
      <w:bookmarkEnd w:id="165"/>
      <w:r>
        <w:rPr>
          <w:rFonts w:hint="eastAsia" w:ascii="宋体" w:hAnsi="宋体" w:cs="宋体"/>
          <w:b/>
          <w:bCs/>
          <w:sz w:val="24"/>
          <w:highlight w:val="none"/>
        </w:rPr>
        <w:t>1</w:t>
      </w:r>
    </w:p>
    <w:p>
      <w:pPr>
        <w:shd w:val="clear" w:color="auto" w:fill="FFFFFF"/>
        <w:spacing w:line="500" w:lineRule="exact"/>
        <w:jc w:val="center"/>
        <w:rPr>
          <w:rFonts w:ascii="宋体" w:hAnsi="宋体" w:cs="宋体"/>
          <w:b/>
          <w:bCs/>
          <w:sz w:val="24"/>
          <w:highlight w:val="none"/>
        </w:rPr>
      </w:pPr>
      <w:r>
        <w:rPr>
          <w:rFonts w:hint="eastAsia" w:ascii="宋体" w:hAnsi="宋体" w:cs="宋体"/>
          <w:b/>
          <w:sz w:val="24"/>
          <w:highlight w:val="none"/>
        </w:rPr>
        <w:t>供应商类似项目业绩表</w:t>
      </w:r>
    </w:p>
    <w:tbl>
      <w:tblPr>
        <w:tblStyle w:val="23"/>
        <w:tblW w:w="0" w:type="auto"/>
        <w:tblInd w:w="-459" w:type="dxa"/>
        <w:tblLayout w:type="fixed"/>
        <w:tblCellMar>
          <w:top w:w="0" w:type="dxa"/>
          <w:left w:w="108" w:type="dxa"/>
          <w:bottom w:w="0" w:type="dxa"/>
          <w:right w:w="108" w:type="dxa"/>
        </w:tblCellMar>
      </w:tblPr>
      <w:tblGrid>
        <w:gridCol w:w="930"/>
        <w:gridCol w:w="1815"/>
        <w:gridCol w:w="2265"/>
        <w:gridCol w:w="1395"/>
        <w:gridCol w:w="1230"/>
        <w:gridCol w:w="1380"/>
      </w:tblGrid>
      <w:tr>
        <w:tblPrEx>
          <w:tblCellMar>
            <w:top w:w="0" w:type="dxa"/>
            <w:left w:w="108" w:type="dxa"/>
            <w:bottom w:w="0" w:type="dxa"/>
            <w:right w:w="108" w:type="dxa"/>
          </w:tblCellMar>
        </w:tblPrEx>
        <w:trPr>
          <w:trHeight w:val="1355"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outlineLvl w:val="0"/>
              <w:rPr>
                <w:rFonts w:ascii="宋体" w:hAnsi="宋体" w:cs="宋体"/>
                <w:kern w:val="0"/>
                <w:sz w:val="24"/>
                <w:highlight w:val="none"/>
                <w:lang w:val="zh-CN"/>
              </w:rPr>
            </w:pPr>
            <w:r>
              <w:rPr>
                <w:rFonts w:hint="eastAsia" w:ascii="宋体" w:hAnsi="宋体" w:cs="宋体"/>
                <w:kern w:val="0"/>
                <w:sz w:val="24"/>
                <w:highlight w:val="none"/>
                <w:lang w:val="zh-CN"/>
              </w:rPr>
              <w:t>序号</w:t>
            </w:r>
          </w:p>
        </w:tc>
        <w:tc>
          <w:tcPr>
            <w:tcW w:w="181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outlineLvl w:val="0"/>
              <w:rPr>
                <w:rFonts w:ascii="宋体" w:hAnsi="宋体" w:cs="宋体"/>
                <w:kern w:val="0"/>
                <w:sz w:val="24"/>
                <w:highlight w:val="none"/>
                <w:lang w:val="zh-CN"/>
              </w:rPr>
            </w:pPr>
            <w:bookmarkStart w:id="166" w:name="_Toc18631"/>
            <w:bookmarkStart w:id="167" w:name="_Toc12085"/>
            <w:r>
              <w:rPr>
                <w:rFonts w:hint="eastAsia" w:ascii="宋体" w:hAnsi="宋体" w:cs="宋体"/>
                <w:kern w:val="0"/>
                <w:sz w:val="24"/>
                <w:highlight w:val="none"/>
                <w:lang w:val="zh-CN"/>
              </w:rPr>
              <w:t>采购单位</w:t>
            </w:r>
            <w:bookmarkEnd w:id="166"/>
            <w:bookmarkEnd w:id="167"/>
          </w:p>
        </w:tc>
        <w:tc>
          <w:tcPr>
            <w:tcW w:w="22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outlineLvl w:val="0"/>
              <w:rPr>
                <w:rFonts w:ascii="宋体" w:hAnsi="宋体" w:cs="宋体"/>
                <w:kern w:val="0"/>
                <w:sz w:val="24"/>
                <w:highlight w:val="none"/>
                <w:lang w:val="zh-CN"/>
              </w:rPr>
            </w:pPr>
            <w:bookmarkStart w:id="168" w:name="_Toc520282834"/>
            <w:bookmarkStart w:id="169" w:name="_Toc5614"/>
            <w:bookmarkStart w:id="170" w:name="_Toc6801"/>
            <w:r>
              <w:rPr>
                <w:rFonts w:hint="eastAsia" w:ascii="宋体" w:hAnsi="宋体" w:cs="宋体"/>
                <w:kern w:val="0"/>
                <w:sz w:val="24"/>
                <w:highlight w:val="none"/>
                <w:lang w:val="zh-CN"/>
              </w:rPr>
              <w:t>项目名称服务地点</w:t>
            </w:r>
            <w:bookmarkEnd w:id="168"/>
            <w:bookmarkEnd w:id="169"/>
            <w:bookmarkEnd w:id="170"/>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outlineLvl w:val="0"/>
              <w:rPr>
                <w:rFonts w:ascii="宋体" w:hAnsi="宋体" w:cs="宋体"/>
                <w:kern w:val="0"/>
                <w:sz w:val="24"/>
                <w:highlight w:val="none"/>
                <w:lang w:val="zh-CN"/>
              </w:rPr>
            </w:pPr>
            <w:r>
              <w:rPr>
                <w:rFonts w:hint="eastAsia" w:ascii="宋体" w:hAnsi="宋体" w:cs="宋体"/>
                <w:kern w:val="0"/>
                <w:sz w:val="24"/>
                <w:highlight w:val="none"/>
                <w:lang w:val="zh-CN"/>
              </w:rPr>
              <w:t>合同签订时间</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outlineLvl w:val="0"/>
              <w:rPr>
                <w:rFonts w:ascii="宋体" w:hAnsi="宋体" w:cs="宋体"/>
                <w:kern w:val="0"/>
                <w:sz w:val="24"/>
                <w:highlight w:val="none"/>
                <w:lang w:val="zh-CN"/>
              </w:rPr>
            </w:pPr>
            <w:bookmarkStart w:id="171" w:name="_Toc520282837"/>
            <w:bookmarkStart w:id="172" w:name="_Toc31871"/>
            <w:bookmarkStart w:id="173" w:name="_Toc21856"/>
            <w:r>
              <w:rPr>
                <w:rFonts w:hint="eastAsia" w:ascii="宋体" w:hAnsi="宋体" w:cs="宋体"/>
                <w:kern w:val="0"/>
                <w:sz w:val="24"/>
                <w:highlight w:val="none"/>
                <w:lang w:val="zh-CN"/>
              </w:rPr>
              <w:t>合同</w:t>
            </w:r>
            <w:bookmarkEnd w:id="171"/>
            <w:bookmarkEnd w:id="172"/>
            <w:bookmarkEnd w:id="173"/>
            <w:r>
              <w:rPr>
                <w:rFonts w:hint="eastAsia" w:ascii="宋体" w:hAnsi="宋体" w:cs="宋体"/>
                <w:kern w:val="0"/>
                <w:sz w:val="24"/>
                <w:highlight w:val="none"/>
                <w:lang w:val="zh-CN"/>
              </w:rPr>
              <w:t>金额</w:t>
            </w:r>
          </w:p>
        </w:tc>
        <w:tc>
          <w:tcPr>
            <w:tcW w:w="13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outlineLvl w:val="0"/>
              <w:rPr>
                <w:rFonts w:ascii="宋体" w:hAnsi="宋体" w:cs="宋体"/>
                <w:kern w:val="0"/>
                <w:sz w:val="24"/>
                <w:highlight w:val="none"/>
                <w:lang w:val="zh-CN"/>
              </w:rPr>
            </w:pPr>
            <w:bookmarkStart w:id="174" w:name="_Toc520282840"/>
            <w:bookmarkStart w:id="175" w:name="_Toc3357"/>
            <w:bookmarkStart w:id="176" w:name="_Toc26176"/>
            <w:r>
              <w:rPr>
                <w:rFonts w:hint="eastAsia" w:ascii="宋体" w:hAnsi="宋体" w:cs="宋体"/>
                <w:kern w:val="0"/>
                <w:sz w:val="24"/>
                <w:highlight w:val="none"/>
                <w:lang w:val="zh-CN"/>
              </w:rPr>
              <w:t>履约情况</w:t>
            </w:r>
            <w:bookmarkEnd w:id="174"/>
            <w:bookmarkEnd w:id="175"/>
            <w:bookmarkEnd w:id="176"/>
          </w:p>
        </w:tc>
      </w:tr>
      <w:tr>
        <w:tblPrEx>
          <w:tblCellMar>
            <w:top w:w="0" w:type="dxa"/>
            <w:left w:w="108" w:type="dxa"/>
            <w:bottom w:w="0" w:type="dxa"/>
            <w:right w:w="108" w:type="dxa"/>
          </w:tblCellMar>
        </w:tblPrEx>
        <w:trPr>
          <w:trHeight w:val="862"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r>
      <w:tr>
        <w:tblPrEx>
          <w:tblCellMar>
            <w:top w:w="0" w:type="dxa"/>
            <w:left w:w="108" w:type="dxa"/>
            <w:bottom w:w="0" w:type="dxa"/>
            <w:right w:w="108" w:type="dxa"/>
          </w:tblCellMar>
        </w:tblPrEx>
        <w:trPr>
          <w:trHeight w:val="864"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r>
      <w:tr>
        <w:tblPrEx>
          <w:tblCellMar>
            <w:top w:w="0" w:type="dxa"/>
            <w:left w:w="108" w:type="dxa"/>
            <w:bottom w:w="0" w:type="dxa"/>
            <w:right w:w="108" w:type="dxa"/>
          </w:tblCellMar>
        </w:tblPrEx>
        <w:trPr>
          <w:trHeight w:val="862"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r>
      <w:tr>
        <w:tblPrEx>
          <w:tblCellMar>
            <w:top w:w="0" w:type="dxa"/>
            <w:left w:w="108" w:type="dxa"/>
            <w:bottom w:w="0" w:type="dxa"/>
            <w:right w:w="108" w:type="dxa"/>
          </w:tblCellMar>
        </w:tblPrEx>
        <w:trPr>
          <w:trHeight w:val="862"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r>
      <w:tr>
        <w:tblPrEx>
          <w:tblCellMar>
            <w:top w:w="0" w:type="dxa"/>
            <w:left w:w="108" w:type="dxa"/>
            <w:bottom w:w="0" w:type="dxa"/>
            <w:right w:w="108" w:type="dxa"/>
          </w:tblCellMar>
        </w:tblPrEx>
        <w:trPr>
          <w:trHeight w:val="862"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r>
      <w:tr>
        <w:tblPrEx>
          <w:tblCellMar>
            <w:top w:w="0" w:type="dxa"/>
            <w:left w:w="108" w:type="dxa"/>
            <w:bottom w:w="0" w:type="dxa"/>
            <w:right w:w="108" w:type="dxa"/>
          </w:tblCellMar>
        </w:tblPrEx>
        <w:trPr>
          <w:trHeight w:val="862"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r>
      <w:tr>
        <w:tblPrEx>
          <w:tblCellMar>
            <w:top w:w="0" w:type="dxa"/>
            <w:left w:w="108" w:type="dxa"/>
            <w:bottom w:w="0" w:type="dxa"/>
            <w:right w:w="108" w:type="dxa"/>
          </w:tblCellMar>
        </w:tblPrEx>
        <w:trPr>
          <w:trHeight w:val="862"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jc w:val="left"/>
              <w:rPr>
                <w:rFonts w:ascii="宋体" w:hAnsi="宋体" w:cs="宋体"/>
                <w:kern w:val="0"/>
                <w:sz w:val="24"/>
                <w:highlight w:val="none"/>
                <w:lang w:val="zh-CN"/>
              </w:rPr>
            </w:pPr>
          </w:p>
        </w:tc>
      </w:tr>
    </w:tbl>
    <w:p>
      <w:pPr>
        <w:pStyle w:val="92"/>
        <w:shd w:val="clear" w:color="auto" w:fill="FFFFFF"/>
        <w:snapToGrid w:val="0"/>
        <w:spacing w:line="500" w:lineRule="exact"/>
        <w:ind w:firstLine="480" w:firstLineChars="200"/>
        <w:rPr>
          <w:rFonts w:ascii="宋体" w:hAnsi="宋体" w:cs="宋体"/>
          <w:color w:val="auto"/>
          <w:sz w:val="24"/>
          <w:highlight w:val="none"/>
        </w:rPr>
      </w:pPr>
    </w:p>
    <w:p>
      <w:pPr>
        <w:pStyle w:val="92"/>
        <w:shd w:val="clear" w:color="auto" w:fill="FFFFFF"/>
        <w:snapToGrid w:val="0"/>
        <w:spacing w:line="500" w:lineRule="exact"/>
        <w:ind w:firstLine="480" w:firstLineChars="200"/>
        <w:rPr>
          <w:rFonts w:ascii="宋体" w:hAnsi="宋体" w:cs="宋体"/>
          <w:color w:val="auto"/>
          <w:sz w:val="24"/>
          <w:highlight w:val="none"/>
        </w:rPr>
      </w:pPr>
    </w:p>
    <w:p>
      <w:pPr>
        <w:pStyle w:val="92"/>
        <w:shd w:val="clear" w:color="auto" w:fill="FFFFFF"/>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供应商（盖公章）：</w:t>
      </w:r>
    </w:p>
    <w:p>
      <w:pPr>
        <w:shd w:val="clear" w:color="auto" w:fill="FFFFFF"/>
        <w:spacing w:line="500" w:lineRule="exact"/>
        <w:ind w:firstLine="480" w:firstLineChars="200"/>
        <w:rPr>
          <w:rFonts w:ascii="宋体" w:hAnsi="宋体" w:cs="宋体"/>
          <w:sz w:val="24"/>
          <w:highlight w:val="none"/>
        </w:rPr>
      </w:pPr>
      <w:r>
        <w:rPr>
          <w:rFonts w:hint="eastAsia" w:ascii="宋体" w:hAnsi="宋体" w:cs="宋体"/>
          <w:sz w:val="24"/>
          <w:highlight w:val="none"/>
        </w:rPr>
        <w:t>法定代表人（签字或盖章）：</w:t>
      </w:r>
    </w:p>
    <w:p>
      <w:pPr>
        <w:shd w:val="clear" w:color="auto" w:fill="FFFFFF"/>
        <w:spacing w:line="500" w:lineRule="exact"/>
        <w:ind w:firstLine="480" w:firstLineChars="200"/>
        <w:rPr>
          <w:rFonts w:ascii="宋体" w:hAnsi="宋体" w:cs="宋体"/>
          <w:sz w:val="24"/>
          <w:highlight w:val="none"/>
        </w:rPr>
      </w:pPr>
      <w:r>
        <w:rPr>
          <w:rFonts w:hint="eastAsia" w:ascii="宋体" w:hAnsi="宋体" w:cs="宋体"/>
          <w:sz w:val="24"/>
          <w:highlight w:val="none"/>
        </w:rPr>
        <w:t>日期：  年  月  日</w:t>
      </w:r>
    </w:p>
    <w:p>
      <w:pPr>
        <w:widowControl/>
        <w:spacing w:line="360" w:lineRule="auto"/>
        <w:jc w:val="left"/>
        <w:outlineLvl w:val="0"/>
        <w:rPr>
          <w:rFonts w:ascii="宋体" w:hAnsi="宋体" w:cs="宋体"/>
          <w:b/>
          <w:bCs/>
          <w:sz w:val="24"/>
          <w:highlight w:val="none"/>
        </w:rPr>
      </w:pPr>
      <w:r>
        <w:rPr>
          <w:rFonts w:hint="eastAsia" w:ascii="宋体" w:hAnsi="宋体" w:cs="宋体"/>
          <w:bCs/>
          <w:sz w:val="24"/>
          <w:highlight w:val="none"/>
        </w:rPr>
        <w:br w:type="page"/>
      </w:r>
      <w:bookmarkStart w:id="177" w:name="_Toc23479"/>
      <w:bookmarkStart w:id="178" w:name="_Toc19"/>
      <w:r>
        <w:rPr>
          <w:rFonts w:hint="eastAsia" w:ascii="宋体" w:hAnsi="宋体" w:cs="宋体"/>
          <w:b/>
          <w:bCs/>
          <w:sz w:val="24"/>
          <w:highlight w:val="none"/>
        </w:rPr>
        <w:t>附件</w:t>
      </w:r>
      <w:bookmarkEnd w:id="177"/>
      <w:bookmarkEnd w:id="178"/>
      <w:r>
        <w:rPr>
          <w:rFonts w:hint="eastAsia" w:ascii="宋体" w:hAnsi="宋体" w:cs="宋体"/>
          <w:b/>
          <w:bCs/>
          <w:sz w:val="24"/>
          <w:highlight w:val="none"/>
        </w:rPr>
        <w:t>12</w:t>
      </w:r>
    </w:p>
    <w:p>
      <w:pPr>
        <w:pStyle w:val="4"/>
        <w:jc w:val="center"/>
        <w:rPr>
          <w:rFonts w:ascii="宋体" w:hAnsi="宋体" w:cs="宋体"/>
          <w:sz w:val="24"/>
          <w:szCs w:val="24"/>
          <w:highlight w:val="none"/>
        </w:rPr>
      </w:pPr>
      <w:bookmarkStart w:id="179" w:name="_Toc29890"/>
      <w:r>
        <w:rPr>
          <w:rFonts w:hint="eastAsia" w:ascii="宋体" w:hAnsi="宋体" w:cs="宋体"/>
          <w:sz w:val="24"/>
          <w:szCs w:val="24"/>
          <w:highlight w:val="none"/>
        </w:rPr>
        <w:t>节能、环境标志产品优惠明细表</w:t>
      </w:r>
      <w:bookmarkEnd w:id="179"/>
    </w:p>
    <w:p>
      <w:pPr>
        <w:spacing w:line="440" w:lineRule="exact"/>
        <w:jc w:val="center"/>
        <w:rPr>
          <w:rFonts w:ascii="宋体" w:hAnsi="宋体"/>
          <w:b/>
          <w:sz w:val="24"/>
          <w:szCs w:val="24"/>
          <w:highlight w:val="none"/>
        </w:rPr>
      </w:pPr>
      <w:r>
        <w:rPr>
          <w:rFonts w:ascii="宋体" w:hAnsi="宋体"/>
          <w:b/>
          <w:sz w:val="24"/>
          <w:szCs w:val="24"/>
          <w:highlight w:val="none"/>
        </w:rPr>
        <w:t>(</w:t>
      </w:r>
      <w:r>
        <w:rPr>
          <w:rFonts w:hint="eastAsia" w:ascii="宋体" w:hAnsi="宋体"/>
          <w:b/>
          <w:sz w:val="24"/>
          <w:szCs w:val="24"/>
          <w:highlight w:val="none"/>
        </w:rPr>
        <w:t>若有，请如实填写</w:t>
      </w:r>
      <w:r>
        <w:rPr>
          <w:rFonts w:ascii="宋体" w:hAnsi="宋体"/>
          <w:b/>
          <w:sz w:val="24"/>
          <w:szCs w:val="24"/>
          <w:highlight w:val="none"/>
        </w:rPr>
        <w:t>)</w:t>
      </w:r>
    </w:p>
    <w:p>
      <w:pPr>
        <w:spacing w:line="440" w:lineRule="exact"/>
        <w:ind w:firstLine="120" w:firstLineChars="50"/>
        <w:rPr>
          <w:rFonts w:ascii="宋体" w:hAnsi="宋体"/>
          <w:sz w:val="24"/>
          <w:highlight w:val="none"/>
          <w:u w:val="single"/>
        </w:rPr>
      </w:pPr>
      <w:r>
        <w:rPr>
          <w:rFonts w:hint="eastAsia" w:ascii="宋体" w:hAnsi="宋体"/>
          <w:sz w:val="24"/>
          <w:highlight w:val="none"/>
        </w:rPr>
        <w:t>投标人名称（公章）：</w:t>
      </w:r>
      <w:r>
        <w:rPr>
          <w:rFonts w:hint="eastAsia" w:ascii="宋体" w:hAnsi="宋体"/>
          <w:sz w:val="24"/>
          <w:highlight w:val="none"/>
          <w:u w:val="single"/>
        </w:rPr>
        <w:t xml:space="preserve">　　　　　         </w:t>
      </w:r>
      <w:r>
        <w:rPr>
          <w:rFonts w:hint="eastAsia" w:ascii="宋体" w:hAnsi="宋体"/>
          <w:sz w:val="24"/>
          <w:highlight w:val="none"/>
        </w:rPr>
        <w:t>招标编号：</w:t>
      </w:r>
      <w:r>
        <w:rPr>
          <w:rFonts w:hint="eastAsia" w:ascii="宋体" w:hAnsi="宋体"/>
          <w:sz w:val="24"/>
          <w:highlight w:val="none"/>
          <w:u w:val="single"/>
        </w:rPr>
        <w:t xml:space="preserve">　　　　           </w:t>
      </w:r>
    </w:p>
    <w:p>
      <w:pPr>
        <w:spacing w:line="440" w:lineRule="exact"/>
        <w:ind w:firstLine="120" w:firstLineChars="50"/>
        <w:rPr>
          <w:rFonts w:ascii="宋体" w:hAnsi="宋体"/>
          <w:sz w:val="24"/>
          <w:highlight w:val="none"/>
        </w:rPr>
      </w:pPr>
      <w:r>
        <w:rPr>
          <w:rFonts w:hint="eastAsia" w:ascii="宋体" w:hAnsi="宋体"/>
          <w:sz w:val="24"/>
          <w:highlight w:val="none"/>
        </w:rPr>
        <w:t>所投内容/分包：</w:t>
      </w:r>
      <w:r>
        <w:rPr>
          <w:rFonts w:hint="eastAsia" w:ascii="宋体" w:hAnsi="宋体"/>
          <w:sz w:val="24"/>
          <w:highlight w:val="none"/>
          <w:u w:val="single"/>
        </w:rPr>
        <w:t xml:space="preserve">　　　　           </w:t>
      </w:r>
      <w:r>
        <w:rPr>
          <w:rFonts w:hint="eastAsia" w:ascii="宋体" w:hAnsi="宋体"/>
          <w:sz w:val="24"/>
          <w:highlight w:val="none"/>
        </w:rPr>
        <w:t>　</w:t>
      </w:r>
    </w:p>
    <w:p>
      <w:pPr>
        <w:spacing w:line="440" w:lineRule="exact"/>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）节能产品明细清单</w:t>
      </w:r>
      <w:r>
        <w:rPr>
          <w:rFonts w:ascii="宋体" w:hAnsi="宋体"/>
          <w:sz w:val="24"/>
          <w:szCs w:val="24"/>
          <w:highlight w:val="none"/>
        </w:rPr>
        <w:t xml:space="preserve">                  </w:t>
      </w:r>
      <w:r>
        <w:rPr>
          <w:rFonts w:hint="eastAsia" w:ascii="宋体" w:hAnsi="宋体"/>
          <w:sz w:val="24"/>
          <w:szCs w:val="24"/>
          <w:highlight w:val="none"/>
        </w:rPr>
        <w:t>报价货币种类</w:t>
      </w:r>
      <w:r>
        <w:rPr>
          <w:rFonts w:ascii="宋体" w:hAnsi="宋体"/>
          <w:sz w:val="24"/>
          <w:szCs w:val="24"/>
          <w:highlight w:val="none"/>
          <w:u w:val="single"/>
        </w:rPr>
        <w:t xml:space="preserve">      </w:t>
      </w:r>
      <w:r>
        <w:rPr>
          <w:rFonts w:hint="eastAsia" w:ascii="宋体" w:hAnsi="宋体"/>
          <w:sz w:val="24"/>
          <w:szCs w:val="24"/>
          <w:highlight w:val="none"/>
        </w:rPr>
        <w:t>金额单位：元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50"/>
        <w:gridCol w:w="2044"/>
        <w:gridCol w:w="1348"/>
        <w:gridCol w:w="2113"/>
        <w:gridCol w:w="897"/>
        <w:gridCol w:w="776"/>
        <w:gridCol w:w="93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80"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制造商</w:t>
            </w:r>
          </w:p>
        </w:tc>
        <w:tc>
          <w:tcPr>
            <w:tcW w:w="650"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品牌</w:t>
            </w:r>
          </w:p>
        </w:tc>
        <w:tc>
          <w:tcPr>
            <w:tcW w:w="2044"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产品名称、规格型号</w:t>
            </w:r>
          </w:p>
        </w:tc>
        <w:tc>
          <w:tcPr>
            <w:tcW w:w="1348"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节字标志认证证书号</w:t>
            </w:r>
          </w:p>
        </w:tc>
        <w:tc>
          <w:tcPr>
            <w:tcW w:w="2113"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节能产品认证证书有效截止日期</w:t>
            </w:r>
          </w:p>
        </w:tc>
        <w:tc>
          <w:tcPr>
            <w:tcW w:w="897"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单位</w:t>
            </w:r>
          </w:p>
        </w:tc>
        <w:tc>
          <w:tcPr>
            <w:tcW w:w="776"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数量</w:t>
            </w:r>
          </w:p>
        </w:tc>
        <w:tc>
          <w:tcPr>
            <w:tcW w:w="946" w:type="dxa"/>
            <w:gridSpan w:val="2"/>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Align w:val="center"/>
          </w:tcPr>
          <w:p>
            <w:pPr>
              <w:spacing w:line="440" w:lineRule="exact"/>
              <w:jc w:val="center"/>
              <w:rPr>
                <w:rFonts w:ascii="宋体" w:hAnsi="宋体"/>
                <w:sz w:val="24"/>
                <w:szCs w:val="24"/>
                <w:highlight w:val="none"/>
              </w:rPr>
            </w:pPr>
          </w:p>
        </w:tc>
        <w:tc>
          <w:tcPr>
            <w:tcW w:w="650" w:type="dxa"/>
            <w:vAlign w:val="center"/>
          </w:tcPr>
          <w:p>
            <w:pPr>
              <w:spacing w:line="440" w:lineRule="exact"/>
              <w:jc w:val="center"/>
              <w:rPr>
                <w:rFonts w:ascii="宋体" w:hAnsi="宋体"/>
                <w:sz w:val="24"/>
                <w:szCs w:val="24"/>
                <w:highlight w:val="none"/>
              </w:rPr>
            </w:pPr>
          </w:p>
        </w:tc>
        <w:tc>
          <w:tcPr>
            <w:tcW w:w="2044" w:type="dxa"/>
            <w:vAlign w:val="center"/>
          </w:tcPr>
          <w:p>
            <w:pPr>
              <w:spacing w:line="440" w:lineRule="exact"/>
              <w:jc w:val="center"/>
              <w:rPr>
                <w:rFonts w:ascii="宋体" w:hAnsi="宋体"/>
                <w:sz w:val="24"/>
                <w:szCs w:val="24"/>
                <w:highlight w:val="none"/>
              </w:rPr>
            </w:pPr>
          </w:p>
        </w:tc>
        <w:tc>
          <w:tcPr>
            <w:tcW w:w="1348" w:type="dxa"/>
            <w:vAlign w:val="center"/>
          </w:tcPr>
          <w:p>
            <w:pPr>
              <w:spacing w:line="440" w:lineRule="exact"/>
              <w:jc w:val="center"/>
              <w:rPr>
                <w:rFonts w:ascii="宋体" w:hAnsi="宋体"/>
                <w:sz w:val="24"/>
                <w:szCs w:val="24"/>
                <w:highlight w:val="none"/>
              </w:rPr>
            </w:pPr>
          </w:p>
        </w:tc>
        <w:tc>
          <w:tcPr>
            <w:tcW w:w="2113" w:type="dxa"/>
            <w:vAlign w:val="center"/>
          </w:tcPr>
          <w:p>
            <w:pPr>
              <w:spacing w:line="440" w:lineRule="exact"/>
              <w:jc w:val="center"/>
              <w:rPr>
                <w:rFonts w:ascii="宋体" w:hAnsi="宋体"/>
                <w:sz w:val="24"/>
                <w:szCs w:val="24"/>
                <w:highlight w:val="none"/>
              </w:rPr>
            </w:pPr>
          </w:p>
        </w:tc>
        <w:tc>
          <w:tcPr>
            <w:tcW w:w="897" w:type="dxa"/>
            <w:vAlign w:val="center"/>
          </w:tcPr>
          <w:p>
            <w:pPr>
              <w:spacing w:line="440" w:lineRule="exact"/>
              <w:jc w:val="center"/>
              <w:rPr>
                <w:rFonts w:ascii="宋体" w:hAnsi="宋体"/>
                <w:sz w:val="24"/>
                <w:szCs w:val="24"/>
                <w:highlight w:val="none"/>
              </w:rPr>
            </w:pPr>
          </w:p>
        </w:tc>
        <w:tc>
          <w:tcPr>
            <w:tcW w:w="776" w:type="dxa"/>
            <w:vAlign w:val="center"/>
          </w:tcPr>
          <w:p>
            <w:pPr>
              <w:spacing w:line="440" w:lineRule="exact"/>
              <w:jc w:val="center"/>
              <w:rPr>
                <w:rFonts w:ascii="宋体" w:hAnsi="宋体"/>
                <w:sz w:val="24"/>
                <w:szCs w:val="24"/>
                <w:highlight w:val="none"/>
              </w:rPr>
            </w:pPr>
          </w:p>
        </w:tc>
        <w:tc>
          <w:tcPr>
            <w:tcW w:w="946" w:type="dxa"/>
            <w:gridSpan w:val="2"/>
            <w:vAlign w:val="center"/>
          </w:tcPr>
          <w:p>
            <w:pPr>
              <w:spacing w:line="440" w:lineRule="exact"/>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Align w:val="center"/>
          </w:tcPr>
          <w:p>
            <w:pPr>
              <w:spacing w:line="440" w:lineRule="exact"/>
              <w:jc w:val="center"/>
              <w:rPr>
                <w:rFonts w:ascii="宋体" w:hAnsi="宋体"/>
                <w:sz w:val="24"/>
                <w:szCs w:val="24"/>
                <w:highlight w:val="none"/>
              </w:rPr>
            </w:pPr>
          </w:p>
        </w:tc>
        <w:tc>
          <w:tcPr>
            <w:tcW w:w="650" w:type="dxa"/>
            <w:vAlign w:val="center"/>
          </w:tcPr>
          <w:p>
            <w:pPr>
              <w:spacing w:line="440" w:lineRule="exact"/>
              <w:jc w:val="center"/>
              <w:rPr>
                <w:rFonts w:ascii="宋体" w:hAnsi="宋体"/>
                <w:sz w:val="24"/>
                <w:szCs w:val="24"/>
                <w:highlight w:val="none"/>
              </w:rPr>
            </w:pPr>
          </w:p>
        </w:tc>
        <w:tc>
          <w:tcPr>
            <w:tcW w:w="2044" w:type="dxa"/>
            <w:vAlign w:val="center"/>
          </w:tcPr>
          <w:p>
            <w:pPr>
              <w:spacing w:line="440" w:lineRule="exact"/>
              <w:jc w:val="center"/>
              <w:rPr>
                <w:rFonts w:ascii="宋体" w:hAnsi="宋体"/>
                <w:sz w:val="24"/>
                <w:szCs w:val="24"/>
                <w:highlight w:val="none"/>
              </w:rPr>
            </w:pPr>
          </w:p>
        </w:tc>
        <w:tc>
          <w:tcPr>
            <w:tcW w:w="1348" w:type="dxa"/>
            <w:vAlign w:val="center"/>
          </w:tcPr>
          <w:p>
            <w:pPr>
              <w:spacing w:line="440" w:lineRule="exact"/>
              <w:jc w:val="center"/>
              <w:rPr>
                <w:rFonts w:ascii="宋体" w:hAnsi="宋体"/>
                <w:sz w:val="24"/>
                <w:szCs w:val="24"/>
                <w:highlight w:val="none"/>
              </w:rPr>
            </w:pPr>
          </w:p>
        </w:tc>
        <w:tc>
          <w:tcPr>
            <w:tcW w:w="2113" w:type="dxa"/>
            <w:vAlign w:val="center"/>
          </w:tcPr>
          <w:p>
            <w:pPr>
              <w:spacing w:line="440" w:lineRule="exact"/>
              <w:jc w:val="center"/>
              <w:rPr>
                <w:rFonts w:ascii="宋体" w:hAnsi="宋体"/>
                <w:sz w:val="24"/>
                <w:szCs w:val="24"/>
                <w:highlight w:val="none"/>
              </w:rPr>
            </w:pPr>
          </w:p>
        </w:tc>
        <w:tc>
          <w:tcPr>
            <w:tcW w:w="897" w:type="dxa"/>
            <w:vAlign w:val="center"/>
          </w:tcPr>
          <w:p>
            <w:pPr>
              <w:spacing w:line="440" w:lineRule="exact"/>
              <w:jc w:val="center"/>
              <w:rPr>
                <w:rFonts w:ascii="宋体" w:hAnsi="宋体"/>
                <w:sz w:val="24"/>
                <w:szCs w:val="24"/>
                <w:highlight w:val="none"/>
              </w:rPr>
            </w:pPr>
          </w:p>
        </w:tc>
        <w:tc>
          <w:tcPr>
            <w:tcW w:w="776" w:type="dxa"/>
            <w:vAlign w:val="center"/>
          </w:tcPr>
          <w:p>
            <w:pPr>
              <w:spacing w:line="440" w:lineRule="exact"/>
              <w:jc w:val="center"/>
              <w:rPr>
                <w:rFonts w:ascii="宋体" w:hAnsi="宋体"/>
                <w:sz w:val="24"/>
                <w:szCs w:val="24"/>
                <w:highlight w:val="none"/>
              </w:rPr>
            </w:pPr>
          </w:p>
        </w:tc>
        <w:tc>
          <w:tcPr>
            <w:tcW w:w="946" w:type="dxa"/>
            <w:gridSpan w:val="2"/>
            <w:vAlign w:val="center"/>
          </w:tcPr>
          <w:p>
            <w:pPr>
              <w:spacing w:line="440" w:lineRule="exact"/>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67" w:hRule="atLeast"/>
        </w:trPr>
        <w:tc>
          <w:tcPr>
            <w:tcW w:w="7235" w:type="dxa"/>
            <w:gridSpan w:val="5"/>
            <w:vAlign w:val="center"/>
          </w:tcPr>
          <w:p>
            <w:pPr>
              <w:spacing w:line="440" w:lineRule="exact"/>
              <w:rPr>
                <w:rFonts w:ascii="宋体" w:hAnsi="宋体"/>
                <w:sz w:val="24"/>
                <w:szCs w:val="24"/>
                <w:highlight w:val="none"/>
              </w:rPr>
            </w:pPr>
            <w:r>
              <w:rPr>
                <w:rFonts w:hint="eastAsia" w:ascii="宋体" w:hAnsi="宋体"/>
                <w:sz w:val="24"/>
                <w:szCs w:val="24"/>
                <w:highlight w:val="none"/>
              </w:rPr>
              <w:t>合计金额</w:t>
            </w:r>
          </w:p>
        </w:tc>
        <w:tc>
          <w:tcPr>
            <w:tcW w:w="2611" w:type="dxa"/>
            <w:gridSpan w:val="3"/>
            <w:vAlign w:val="center"/>
          </w:tcPr>
          <w:p>
            <w:pPr>
              <w:spacing w:line="440" w:lineRule="exact"/>
              <w:rPr>
                <w:rFonts w:ascii="宋体" w:hAnsi="宋体"/>
                <w:sz w:val="24"/>
                <w:szCs w:val="24"/>
                <w:highlight w:val="none"/>
              </w:rPr>
            </w:pPr>
          </w:p>
        </w:tc>
      </w:tr>
    </w:tbl>
    <w:p>
      <w:pPr>
        <w:spacing w:line="440" w:lineRule="exact"/>
        <w:rPr>
          <w:rFonts w:ascii="宋体" w:hAnsi="宋体"/>
          <w:sz w:val="24"/>
          <w:szCs w:val="24"/>
          <w:highlight w:val="none"/>
        </w:rPr>
      </w:pPr>
    </w:p>
    <w:p>
      <w:pPr>
        <w:spacing w:line="440" w:lineRule="exact"/>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）环保产品明细清单</w:t>
      </w:r>
      <w:r>
        <w:rPr>
          <w:rFonts w:ascii="宋体" w:hAnsi="宋体"/>
          <w:sz w:val="24"/>
          <w:szCs w:val="24"/>
          <w:highlight w:val="none"/>
        </w:rPr>
        <w:t xml:space="preserve">          </w:t>
      </w:r>
      <w:r>
        <w:rPr>
          <w:rFonts w:hint="eastAsia" w:ascii="宋体" w:hAnsi="宋体"/>
          <w:sz w:val="24"/>
          <w:szCs w:val="24"/>
          <w:highlight w:val="none"/>
        </w:rPr>
        <w:t>报价货币种类</w:t>
      </w:r>
      <w:r>
        <w:rPr>
          <w:rFonts w:ascii="宋体" w:hAnsi="宋体"/>
          <w:sz w:val="24"/>
          <w:szCs w:val="24"/>
          <w:highlight w:val="none"/>
          <w:u w:val="single"/>
        </w:rPr>
        <w:t xml:space="preserve">      </w:t>
      </w:r>
      <w:r>
        <w:rPr>
          <w:rFonts w:hint="eastAsia" w:ascii="宋体" w:hAnsi="宋体"/>
          <w:sz w:val="24"/>
          <w:szCs w:val="24"/>
          <w:highlight w:val="none"/>
        </w:rPr>
        <w:t>金额单位：元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57"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制造商</w:t>
            </w:r>
          </w:p>
        </w:tc>
        <w:tc>
          <w:tcPr>
            <w:tcW w:w="1058"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品牌</w:t>
            </w:r>
          </w:p>
        </w:tc>
        <w:tc>
          <w:tcPr>
            <w:tcW w:w="1433"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产品名称、规格型号</w:t>
            </w:r>
          </w:p>
        </w:tc>
        <w:tc>
          <w:tcPr>
            <w:tcW w:w="1851"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中国环境标志认证证书编号</w:t>
            </w:r>
          </w:p>
        </w:tc>
        <w:tc>
          <w:tcPr>
            <w:tcW w:w="1853"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认证证书有效截止日期</w:t>
            </w:r>
          </w:p>
        </w:tc>
        <w:tc>
          <w:tcPr>
            <w:tcW w:w="749"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单位</w:t>
            </w:r>
          </w:p>
        </w:tc>
        <w:tc>
          <w:tcPr>
            <w:tcW w:w="840"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数量</w:t>
            </w:r>
          </w:p>
        </w:tc>
        <w:tc>
          <w:tcPr>
            <w:tcW w:w="1013"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vAlign w:val="center"/>
          </w:tcPr>
          <w:p>
            <w:pPr>
              <w:spacing w:line="440" w:lineRule="exact"/>
              <w:jc w:val="center"/>
              <w:rPr>
                <w:rFonts w:ascii="宋体" w:hAnsi="宋体"/>
                <w:sz w:val="24"/>
                <w:szCs w:val="24"/>
                <w:highlight w:val="none"/>
              </w:rPr>
            </w:pPr>
          </w:p>
        </w:tc>
        <w:tc>
          <w:tcPr>
            <w:tcW w:w="1058" w:type="dxa"/>
            <w:vAlign w:val="center"/>
          </w:tcPr>
          <w:p>
            <w:pPr>
              <w:spacing w:line="440" w:lineRule="exact"/>
              <w:jc w:val="center"/>
              <w:rPr>
                <w:rFonts w:ascii="宋体" w:hAnsi="宋体"/>
                <w:sz w:val="24"/>
                <w:szCs w:val="24"/>
                <w:highlight w:val="none"/>
              </w:rPr>
            </w:pPr>
          </w:p>
        </w:tc>
        <w:tc>
          <w:tcPr>
            <w:tcW w:w="1433" w:type="dxa"/>
            <w:vAlign w:val="center"/>
          </w:tcPr>
          <w:p>
            <w:pPr>
              <w:spacing w:line="440" w:lineRule="exact"/>
              <w:jc w:val="center"/>
              <w:rPr>
                <w:rFonts w:ascii="宋体" w:hAnsi="宋体"/>
                <w:sz w:val="24"/>
                <w:szCs w:val="24"/>
                <w:highlight w:val="none"/>
              </w:rPr>
            </w:pPr>
          </w:p>
        </w:tc>
        <w:tc>
          <w:tcPr>
            <w:tcW w:w="1851" w:type="dxa"/>
            <w:vAlign w:val="center"/>
          </w:tcPr>
          <w:p>
            <w:pPr>
              <w:spacing w:line="440" w:lineRule="exact"/>
              <w:jc w:val="center"/>
              <w:rPr>
                <w:rFonts w:ascii="宋体" w:hAnsi="宋体"/>
                <w:sz w:val="24"/>
                <w:szCs w:val="24"/>
                <w:highlight w:val="none"/>
              </w:rPr>
            </w:pPr>
          </w:p>
        </w:tc>
        <w:tc>
          <w:tcPr>
            <w:tcW w:w="1853" w:type="dxa"/>
            <w:vAlign w:val="center"/>
          </w:tcPr>
          <w:p>
            <w:pPr>
              <w:spacing w:line="440" w:lineRule="exact"/>
              <w:jc w:val="center"/>
              <w:rPr>
                <w:rFonts w:ascii="宋体" w:hAnsi="宋体"/>
                <w:sz w:val="24"/>
                <w:szCs w:val="24"/>
                <w:highlight w:val="none"/>
              </w:rPr>
            </w:pPr>
          </w:p>
        </w:tc>
        <w:tc>
          <w:tcPr>
            <w:tcW w:w="749" w:type="dxa"/>
            <w:vAlign w:val="center"/>
          </w:tcPr>
          <w:p>
            <w:pPr>
              <w:spacing w:line="440" w:lineRule="exact"/>
              <w:jc w:val="center"/>
              <w:rPr>
                <w:rFonts w:ascii="宋体" w:hAnsi="宋体"/>
                <w:sz w:val="24"/>
                <w:szCs w:val="24"/>
                <w:highlight w:val="none"/>
              </w:rPr>
            </w:pPr>
          </w:p>
        </w:tc>
        <w:tc>
          <w:tcPr>
            <w:tcW w:w="840" w:type="dxa"/>
            <w:vAlign w:val="center"/>
          </w:tcPr>
          <w:p>
            <w:pPr>
              <w:spacing w:line="440" w:lineRule="exact"/>
              <w:jc w:val="center"/>
              <w:rPr>
                <w:rFonts w:ascii="宋体" w:hAnsi="宋体"/>
                <w:sz w:val="24"/>
                <w:szCs w:val="24"/>
                <w:highlight w:val="none"/>
              </w:rPr>
            </w:pPr>
          </w:p>
        </w:tc>
        <w:tc>
          <w:tcPr>
            <w:tcW w:w="1013" w:type="dxa"/>
            <w:vAlign w:val="center"/>
          </w:tcPr>
          <w:p>
            <w:pPr>
              <w:spacing w:line="440" w:lineRule="exact"/>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vAlign w:val="center"/>
          </w:tcPr>
          <w:p>
            <w:pPr>
              <w:spacing w:line="440" w:lineRule="exact"/>
              <w:jc w:val="center"/>
              <w:rPr>
                <w:rFonts w:ascii="宋体" w:hAnsi="宋体"/>
                <w:sz w:val="24"/>
                <w:szCs w:val="24"/>
                <w:highlight w:val="none"/>
              </w:rPr>
            </w:pPr>
          </w:p>
        </w:tc>
        <w:tc>
          <w:tcPr>
            <w:tcW w:w="1058" w:type="dxa"/>
            <w:vAlign w:val="center"/>
          </w:tcPr>
          <w:p>
            <w:pPr>
              <w:spacing w:line="440" w:lineRule="exact"/>
              <w:jc w:val="center"/>
              <w:rPr>
                <w:rFonts w:ascii="宋体" w:hAnsi="宋体"/>
                <w:sz w:val="24"/>
                <w:szCs w:val="24"/>
                <w:highlight w:val="none"/>
              </w:rPr>
            </w:pPr>
          </w:p>
        </w:tc>
        <w:tc>
          <w:tcPr>
            <w:tcW w:w="1433" w:type="dxa"/>
            <w:vAlign w:val="center"/>
          </w:tcPr>
          <w:p>
            <w:pPr>
              <w:spacing w:line="440" w:lineRule="exact"/>
              <w:jc w:val="center"/>
              <w:rPr>
                <w:rFonts w:ascii="宋体" w:hAnsi="宋体"/>
                <w:sz w:val="24"/>
                <w:szCs w:val="24"/>
                <w:highlight w:val="none"/>
              </w:rPr>
            </w:pPr>
          </w:p>
        </w:tc>
        <w:tc>
          <w:tcPr>
            <w:tcW w:w="1851" w:type="dxa"/>
            <w:vAlign w:val="center"/>
          </w:tcPr>
          <w:p>
            <w:pPr>
              <w:spacing w:line="440" w:lineRule="exact"/>
              <w:jc w:val="center"/>
              <w:rPr>
                <w:rFonts w:ascii="宋体" w:hAnsi="宋体"/>
                <w:sz w:val="24"/>
                <w:szCs w:val="24"/>
                <w:highlight w:val="none"/>
              </w:rPr>
            </w:pPr>
          </w:p>
        </w:tc>
        <w:tc>
          <w:tcPr>
            <w:tcW w:w="1853" w:type="dxa"/>
            <w:vAlign w:val="center"/>
          </w:tcPr>
          <w:p>
            <w:pPr>
              <w:spacing w:line="440" w:lineRule="exact"/>
              <w:jc w:val="center"/>
              <w:rPr>
                <w:rFonts w:ascii="宋体" w:hAnsi="宋体"/>
                <w:sz w:val="24"/>
                <w:szCs w:val="24"/>
                <w:highlight w:val="none"/>
              </w:rPr>
            </w:pPr>
          </w:p>
        </w:tc>
        <w:tc>
          <w:tcPr>
            <w:tcW w:w="749" w:type="dxa"/>
            <w:vAlign w:val="center"/>
          </w:tcPr>
          <w:p>
            <w:pPr>
              <w:spacing w:line="440" w:lineRule="exact"/>
              <w:jc w:val="center"/>
              <w:rPr>
                <w:rFonts w:ascii="宋体" w:hAnsi="宋体"/>
                <w:sz w:val="24"/>
                <w:szCs w:val="24"/>
                <w:highlight w:val="none"/>
              </w:rPr>
            </w:pPr>
          </w:p>
        </w:tc>
        <w:tc>
          <w:tcPr>
            <w:tcW w:w="840" w:type="dxa"/>
            <w:vAlign w:val="center"/>
          </w:tcPr>
          <w:p>
            <w:pPr>
              <w:spacing w:line="440" w:lineRule="exact"/>
              <w:jc w:val="center"/>
              <w:rPr>
                <w:rFonts w:ascii="宋体" w:hAnsi="宋体"/>
                <w:sz w:val="24"/>
                <w:szCs w:val="24"/>
                <w:highlight w:val="none"/>
              </w:rPr>
            </w:pPr>
          </w:p>
        </w:tc>
        <w:tc>
          <w:tcPr>
            <w:tcW w:w="1013" w:type="dxa"/>
            <w:vAlign w:val="center"/>
          </w:tcPr>
          <w:p>
            <w:pPr>
              <w:spacing w:line="440" w:lineRule="exact"/>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2" w:type="dxa"/>
            <w:gridSpan w:val="5"/>
            <w:vAlign w:val="center"/>
          </w:tcPr>
          <w:p>
            <w:pPr>
              <w:spacing w:line="440" w:lineRule="exact"/>
              <w:rPr>
                <w:rFonts w:ascii="宋体" w:hAnsi="宋体"/>
                <w:sz w:val="24"/>
                <w:szCs w:val="24"/>
                <w:highlight w:val="none"/>
              </w:rPr>
            </w:pPr>
            <w:r>
              <w:rPr>
                <w:rFonts w:hint="eastAsia" w:ascii="宋体" w:hAnsi="宋体"/>
                <w:sz w:val="24"/>
                <w:szCs w:val="24"/>
                <w:highlight w:val="none"/>
              </w:rPr>
              <w:t>合计金额</w:t>
            </w:r>
          </w:p>
        </w:tc>
        <w:tc>
          <w:tcPr>
            <w:tcW w:w="2602" w:type="dxa"/>
            <w:gridSpan w:val="3"/>
            <w:vAlign w:val="center"/>
          </w:tcPr>
          <w:p>
            <w:pPr>
              <w:spacing w:line="440" w:lineRule="exact"/>
              <w:rPr>
                <w:rFonts w:ascii="宋体" w:hAnsi="宋体"/>
                <w:sz w:val="24"/>
                <w:szCs w:val="24"/>
                <w:highlight w:val="none"/>
              </w:rPr>
            </w:pPr>
          </w:p>
        </w:tc>
      </w:tr>
    </w:tbl>
    <w:p>
      <w:pPr>
        <w:tabs>
          <w:tab w:val="left" w:pos="13000"/>
        </w:tabs>
        <w:spacing w:line="440" w:lineRule="exact"/>
        <w:rPr>
          <w:rFonts w:ascii="宋体" w:hAnsi="宋体"/>
          <w:sz w:val="24"/>
          <w:szCs w:val="24"/>
          <w:highlight w:val="none"/>
        </w:rPr>
      </w:pPr>
      <w:r>
        <w:rPr>
          <w:rFonts w:hint="eastAsia" w:ascii="宋体" w:hAnsi="宋体"/>
          <w:sz w:val="24"/>
          <w:szCs w:val="24"/>
          <w:highlight w:val="none"/>
        </w:rPr>
        <w:t>注：</w:t>
      </w:r>
    </w:p>
    <w:p>
      <w:pPr>
        <w:tabs>
          <w:tab w:val="left" w:pos="13000"/>
        </w:tabs>
        <w:spacing w:line="440" w:lineRule="exact"/>
        <w:rPr>
          <w:rFonts w:ascii="宋体" w:hAnsi="宋体"/>
          <w:b/>
          <w:sz w:val="24"/>
          <w:szCs w:val="24"/>
          <w:highlight w:val="none"/>
        </w:rPr>
      </w:pPr>
      <w:r>
        <w:rPr>
          <w:rFonts w:hint="eastAsia" w:ascii="宋体" w:hAnsi="宋体"/>
          <w:b/>
          <w:sz w:val="24"/>
          <w:szCs w:val="24"/>
          <w:highlight w:val="none"/>
        </w:rPr>
        <w:t>若无货物属于优先采购节能、环境标志产品的，则不填写此表。</w:t>
      </w:r>
    </w:p>
    <w:p>
      <w:pPr>
        <w:adjustRightInd w:val="0"/>
        <w:snapToGrid w:val="0"/>
        <w:spacing w:line="440" w:lineRule="exact"/>
        <w:rPr>
          <w:rFonts w:ascii="宋体" w:hAnsi="宋体"/>
          <w:sz w:val="24"/>
          <w:szCs w:val="24"/>
          <w:highlight w:val="none"/>
        </w:rPr>
      </w:pPr>
    </w:p>
    <w:p>
      <w:pPr>
        <w:adjustRightInd w:val="0"/>
        <w:snapToGrid w:val="0"/>
        <w:spacing w:line="440" w:lineRule="exact"/>
        <w:rPr>
          <w:rFonts w:ascii="宋体" w:hAnsi="宋体"/>
          <w:sz w:val="24"/>
          <w:szCs w:val="24"/>
          <w:highlight w:val="none"/>
        </w:rPr>
      </w:pPr>
      <w:r>
        <w:rPr>
          <w:rFonts w:hint="eastAsia" w:ascii="宋体" w:hAnsi="宋体"/>
          <w:sz w:val="24"/>
          <w:szCs w:val="24"/>
          <w:highlight w:val="none"/>
        </w:rPr>
        <w:t>供应商（盖单位章）：</w:t>
      </w:r>
    </w:p>
    <w:p>
      <w:pPr>
        <w:adjustRightInd w:val="0"/>
        <w:snapToGrid w:val="0"/>
        <w:spacing w:line="440" w:lineRule="exact"/>
        <w:rPr>
          <w:rFonts w:ascii="宋体" w:hAnsi="宋体"/>
          <w:sz w:val="24"/>
          <w:szCs w:val="24"/>
          <w:highlight w:val="none"/>
        </w:rPr>
      </w:pPr>
      <w:r>
        <w:rPr>
          <w:rFonts w:hint="eastAsia" w:ascii="宋体" w:hAnsi="宋体"/>
          <w:kern w:val="0"/>
          <w:sz w:val="24"/>
          <w:highlight w:val="none"/>
        </w:rPr>
        <w:t>法定代表人或其被授权人</w:t>
      </w:r>
      <w:r>
        <w:rPr>
          <w:rFonts w:hint="eastAsia" w:ascii="宋体" w:hAnsi="宋体" w:cs="宋体"/>
          <w:sz w:val="24"/>
          <w:highlight w:val="none"/>
        </w:rPr>
        <w:t>（签字或盖章）</w:t>
      </w:r>
      <w:r>
        <w:rPr>
          <w:rFonts w:hint="eastAsia" w:ascii="宋体" w:hAnsi="宋体"/>
          <w:sz w:val="24"/>
          <w:szCs w:val="24"/>
          <w:highlight w:val="none"/>
        </w:rPr>
        <w:t>：</w:t>
      </w:r>
      <w:r>
        <w:rPr>
          <w:rFonts w:ascii="宋体" w:hAnsi="宋体"/>
          <w:sz w:val="24"/>
          <w:szCs w:val="24"/>
          <w:highlight w:val="none"/>
          <w:u w:val="single"/>
        </w:rPr>
        <w:t xml:space="preserve">       </w:t>
      </w:r>
    </w:p>
    <w:p>
      <w:pPr>
        <w:spacing w:line="440" w:lineRule="exact"/>
        <w:rPr>
          <w:rFonts w:ascii="宋体" w:hAnsi="宋体"/>
          <w:sz w:val="24"/>
          <w:szCs w:val="24"/>
          <w:highlight w:val="none"/>
        </w:rPr>
      </w:pPr>
      <w:r>
        <w:rPr>
          <w:rFonts w:hint="eastAsia" w:ascii="宋体" w:hAnsi="宋体"/>
          <w:sz w:val="24"/>
          <w:szCs w:val="24"/>
          <w:highlight w:val="none"/>
        </w:rPr>
        <w:t>日期：</w:t>
      </w:r>
      <w:r>
        <w:rPr>
          <w:rFonts w:ascii="宋体" w:hAnsi="宋体"/>
          <w:sz w:val="24"/>
          <w:szCs w:val="24"/>
          <w:highlight w:val="none"/>
          <w:u w:val="single"/>
        </w:rPr>
        <w:t xml:space="preserve">         </w:t>
      </w:r>
      <w:r>
        <w:rPr>
          <w:rFonts w:hint="eastAsia" w:ascii="宋体" w:hAnsi="宋体"/>
          <w:sz w:val="24"/>
          <w:szCs w:val="24"/>
          <w:highlight w:val="none"/>
        </w:rPr>
        <w:t>年</w:t>
      </w:r>
      <w:r>
        <w:rPr>
          <w:rFonts w:ascii="宋体" w:hAnsi="宋体"/>
          <w:sz w:val="24"/>
          <w:szCs w:val="24"/>
          <w:highlight w:val="none"/>
          <w:u w:val="single"/>
        </w:rPr>
        <w:t xml:space="preserve">    </w:t>
      </w:r>
      <w:r>
        <w:rPr>
          <w:rFonts w:hint="eastAsia" w:ascii="宋体" w:hAnsi="宋体"/>
          <w:sz w:val="24"/>
          <w:szCs w:val="24"/>
          <w:highlight w:val="none"/>
        </w:rPr>
        <w:t>月</w:t>
      </w:r>
      <w:r>
        <w:rPr>
          <w:rFonts w:ascii="宋体" w:hAnsi="宋体"/>
          <w:sz w:val="24"/>
          <w:szCs w:val="24"/>
          <w:highlight w:val="none"/>
          <w:u w:val="single"/>
        </w:rPr>
        <w:t xml:space="preserve">   </w:t>
      </w:r>
      <w:r>
        <w:rPr>
          <w:rFonts w:hint="eastAsia" w:ascii="宋体" w:hAnsi="宋体"/>
          <w:sz w:val="24"/>
          <w:szCs w:val="24"/>
          <w:highlight w:val="none"/>
        </w:rPr>
        <w:t>日</w:t>
      </w:r>
    </w:p>
    <w:p>
      <w:pPr>
        <w:adjustRightInd w:val="0"/>
        <w:snapToGrid w:val="0"/>
        <w:spacing w:line="440" w:lineRule="exact"/>
        <w:ind w:right="24"/>
        <w:rPr>
          <w:rFonts w:ascii="宋体" w:hAnsi="宋体"/>
          <w:sz w:val="24"/>
          <w:szCs w:val="24"/>
          <w:highlight w:val="none"/>
        </w:rPr>
      </w:pPr>
    </w:p>
    <w:p>
      <w:pPr>
        <w:rPr>
          <w:rFonts w:ascii="宋体" w:hAnsi="宋体" w:cs="宋体"/>
          <w:b/>
          <w:bCs/>
          <w:sz w:val="24"/>
          <w:highlight w:val="none"/>
        </w:rPr>
      </w:pPr>
      <w:r>
        <w:rPr>
          <w:rFonts w:hint="eastAsia" w:ascii="宋体" w:hAnsi="宋体" w:cs="宋体"/>
          <w:b/>
          <w:bCs/>
          <w:sz w:val="24"/>
          <w:highlight w:val="none"/>
        </w:rPr>
        <w:br w:type="page"/>
      </w:r>
    </w:p>
    <w:p>
      <w:pPr>
        <w:widowControl/>
        <w:spacing w:line="360" w:lineRule="auto"/>
        <w:jc w:val="left"/>
        <w:outlineLvl w:val="0"/>
        <w:rPr>
          <w:rFonts w:ascii="宋体" w:hAnsi="宋体" w:cs="宋体"/>
          <w:b/>
          <w:bCs/>
          <w:sz w:val="24"/>
          <w:highlight w:val="none"/>
        </w:rPr>
      </w:pPr>
      <w:bookmarkStart w:id="180" w:name="_Toc10102"/>
      <w:bookmarkStart w:id="181" w:name="_Toc13039"/>
      <w:r>
        <w:rPr>
          <w:rFonts w:hint="eastAsia" w:ascii="宋体" w:hAnsi="宋体" w:cs="宋体"/>
          <w:b/>
          <w:bCs/>
          <w:sz w:val="24"/>
          <w:highlight w:val="none"/>
        </w:rPr>
        <w:t>附件1</w:t>
      </w:r>
      <w:bookmarkEnd w:id="180"/>
      <w:bookmarkEnd w:id="181"/>
      <w:r>
        <w:rPr>
          <w:rFonts w:hint="eastAsia" w:ascii="宋体" w:hAnsi="宋体" w:cs="宋体"/>
          <w:b/>
          <w:bCs/>
          <w:sz w:val="24"/>
          <w:highlight w:val="none"/>
        </w:rPr>
        <w:t>3</w:t>
      </w:r>
    </w:p>
    <w:p>
      <w:pPr>
        <w:pStyle w:val="4"/>
        <w:jc w:val="center"/>
        <w:rPr>
          <w:rFonts w:ascii="宋体" w:hAnsi="宋体" w:cs="宋体"/>
          <w:sz w:val="24"/>
          <w:szCs w:val="24"/>
          <w:highlight w:val="none"/>
        </w:rPr>
      </w:pPr>
      <w:bookmarkStart w:id="182" w:name="_Toc12486"/>
      <w:r>
        <w:rPr>
          <w:rFonts w:hint="eastAsia" w:ascii="宋体" w:hAnsi="宋体" w:cs="宋体"/>
          <w:sz w:val="24"/>
          <w:szCs w:val="24"/>
          <w:highlight w:val="none"/>
        </w:rPr>
        <w:t>节能、环境标志产品证明材料</w:t>
      </w:r>
      <w:bookmarkEnd w:id="182"/>
      <w:r>
        <w:rPr>
          <w:rFonts w:hint="eastAsia" w:ascii="宋体" w:hAnsi="宋体" w:cs="宋体"/>
          <w:sz w:val="24"/>
          <w:highlight w:val="none"/>
        </w:rPr>
        <w:t>(若有，请如实填写)</w:t>
      </w:r>
    </w:p>
    <w:p>
      <w:pPr>
        <w:widowControl/>
        <w:spacing w:line="360" w:lineRule="auto"/>
        <w:jc w:val="left"/>
        <w:rPr>
          <w:rFonts w:ascii="宋体" w:hAnsi="宋体" w:cs="宋体"/>
          <w:bCs/>
          <w:sz w:val="24"/>
          <w:highlight w:val="none"/>
        </w:rPr>
      </w:pPr>
      <w:r>
        <w:rPr>
          <w:rFonts w:hint="eastAsia" w:ascii="宋体" w:hAnsi="宋体" w:cs="宋体"/>
          <w:bCs/>
          <w:sz w:val="24"/>
          <w:highlight w:val="none"/>
        </w:rPr>
        <w:t>1、节能产品：应在中国政府采购网（ ht tp://www.ccgp.gov.cn ）</w:t>
      </w:r>
    </w:p>
    <w:p>
      <w:pPr>
        <w:widowControl/>
        <w:spacing w:line="360" w:lineRule="auto"/>
        <w:jc w:val="left"/>
        <w:rPr>
          <w:rFonts w:ascii="宋体" w:hAnsi="宋体" w:cs="宋体"/>
          <w:bCs/>
          <w:sz w:val="24"/>
          <w:highlight w:val="none"/>
        </w:rPr>
      </w:pPr>
      <w:r>
        <w:rPr>
          <w:rFonts w:hint="eastAsia" w:ascii="宋体" w:hAnsi="宋体" w:cs="宋体"/>
          <w:bCs/>
          <w:sz w:val="24"/>
          <w:highlight w:val="none"/>
        </w:rPr>
        <w:t>2、环境标志产品：应在中国政府采购网（ http://www.ccgp.gov.cn ）</w:t>
      </w:r>
    </w:p>
    <w:p>
      <w:pPr>
        <w:widowControl/>
        <w:spacing w:line="360" w:lineRule="auto"/>
        <w:jc w:val="left"/>
        <w:rPr>
          <w:rFonts w:ascii="宋体" w:hAnsi="宋体" w:cs="宋体"/>
          <w:bCs/>
          <w:sz w:val="24"/>
          <w:highlight w:val="none"/>
        </w:rPr>
      </w:pPr>
      <w:r>
        <w:rPr>
          <w:rFonts w:hint="eastAsia" w:ascii="宋体" w:hAnsi="宋体" w:cs="宋体"/>
          <w:bCs/>
          <w:sz w:val="24"/>
          <w:highlight w:val="none"/>
        </w:rPr>
        <w:t>3、属优先采购节能、环境标志产品须从以上权威媒体网站上查询并打印结果。</w:t>
      </w:r>
    </w:p>
    <w:p>
      <w:pPr>
        <w:widowControl/>
        <w:spacing w:line="360" w:lineRule="auto"/>
        <w:jc w:val="left"/>
        <w:rPr>
          <w:rFonts w:ascii="宋体" w:hAnsi="宋体" w:cs="宋体"/>
          <w:bCs/>
          <w:sz w:val="24"/>
          <w:highlight w:val="none"/>
        </w:rPr>
      </w:pPr>
      <w:r>
        <w:rPr>
          <w:rFonts w:hint="eastAsia" w:ascii="宋体" w:hAnsi="宋体" w:cs="宋体"/>
          <w:bCs/>
          <w:sz w:val="24"/>
          <w:highlight w:val="none"/>
        </w:rPr>
        <w:t>4、证明材料加盖投标人公章。</w:t>
      </w:r>
    </w:p>
    <w:p>
      <w:pPr>
        <w:rPr>
          <w:rFonts w:ascii="宋体" w:hAnsi="宋体" w:cs="宋体"/>
          <w:b/>
          <w:bCs/>
          <w:sz w:val="24"/>
          <w:highlight w:val="none"/>
        </w:rPr>
      </w:pPr>
      <w:r>
        <w:rPr>
          <w:rFonts w:hint="eastAsia" w:ascii="宋体" w:hAnsi="宋体" w:cs="宋体"/>
          <w:b/>
          <w:bCs/>
          <w:sz w:val="24"/>
          <w:highlight w:val="none"/>
        </w:rPr>
        <w:br w:type="page"/>
      </w:r>
    </w:p>
    <w:p>
      <w:pPr>
        <w:widowControl/>
        <w:spacing w:line="360" w:lineRule="auto"/>
        <w:jc w:val="left"/>
        <w:outlineLvl w:val="0"/>
        <w:rPr>
          <w:rFonts w:ascii="宋体" w:hAnsi="宋体" w:cs="宋体"/>
          <w:b/>
          <w:bCs/>
          <w:sz w:val="24"/>
          <w:highlight w:val="none"/>
        </w:rPr>
      </w:pPr>
      <w:bookmarkStart w:id="183" w:name="_Toc30080"/>
      <w:bookmarkStart w:id="184" w:name="_Toc26335"/>
      <w:r>
        <w:rPr>
          <w:rFonts w:hint="eastAsia" w:ascii="宋体" w:hAnsi="宋体" w:cs="宋体"/>
          <w:b/>
          <w:bCs/>
          <w:sz w:val="24"/>
          <w:highlight w:val="none"/>
        </w:rPr>
        <w:t>附件1</w:t>
      </w:r>
      <w:bookmarkEnd w:id="183"/>
      <w:bookmarkEnd w:id="184"/>
      <w:r>
        <w:rPr>
          <w:rFonts w:hint="eastAsia" w:ascii="宋体" w:hAnsi="宋体" w:cs="宋体"/>
          <w:b/>
          <w:bCs/>
          <w:sz w:val="24"/>
          <w:highlight w:val="none"/>
        </w:rPr>
        <w:t>4</w:t>
      </w:r>
    </w:p>
    <w:p>
      <w:pPr>
        <w:pStyle w:val="4"/>
        <w:jc w:val="center"/>
        <w:rPr>
          <w:rFonts w:ascii="宋体" w:hAnsi="宋体" w:cs="宋体"/>
          <w:sz w:val="24"/>
          <w:szCs w:val="24"/>
          <w:highlight w:val="none"/>
        </w:rPr>
      </w:pPr>
      <w:bookmarkStart w:id="185" w:name="_Toc30338"/>
      <w:r>
        <w:rPr>
          <w:rFonts w:hint="eastAsia" w:ascii="宋体" w:hAnsi="宋体" w:cs="宋体"/>
          <w:sz w:val="24"/>
          <w:szCs w:val="24"/>
          <w:highlight w:val="none"/>
        </w:rPr>
        <w:t>小微企业生产或销售的产品优惠明细表</w:t>
      </w:r>
      <w:bookmarkEnd w:id="185"/>
    </w:p>
    <w:p>
      <w:pPr>
        <w:jc w:val="center"/>
        <w:rPr>
          <w:rFonts w:ascii="宋体" w:hAnsi="宋体"/>
          <w:bCs/>
          <w:sz w:val="24"/>
          <w:szCs w:val="24"/>
          <w:highlight w:val="none"/>
        </w:rPr>
      </w:pPr>
      <w:r>
        <w:rPr>
          <w:rFonts w:hint="eastAsia" w:ascii="宋体" w:hAnsi="宋体"/>
          <w:bCs/>
          <w:sz w:val="24"/>
          <w:szCs w:val="24"/>
          <w:highlight w:val="none"/>
        </w:rPr>
        <w:t>（若有，请如实填写）</w:t>
      </w:r>
    </w:p>
    <w:p>
      <w:pPr>
        <w:pStyle w:val="79"/>
        <w:tabs>
          <w:tab w:val="left" w:pos="480"/>
          <w:tab w:val="clear" w:pos="839"/>
        </w:tabs>
        <w:spacing w:line="440" w:lineRule="exact"/>
        <w:ind w:left="1680" w:leftChars="800" w:firstLine="4320" w:firstLineChars="1800"/>
        <w:rPr>
          <w:rFonts w:ascii="宋体" w:hAnsi="宋体" w:eastAsia="宋体"/>
          <w:b w:val="0"/>
          <w:bCs/>
          <w:sz w:val="24"/>
          <w:szCs w:val="24"/>
          <w:highlight w:val="none"/>
        </w:rPr>
      </w:pPr>
      <w:bookmarkStart w:id="186" w:name="_Toc29274"/>
      <w:r>
        <w:rPr>
          <w:rFonts w:hint="eastAsia" w:ascii="宋体" w:hAnsi="宋体" w:eastAsia="宋体"/>
          <w:b w:val="0"/>
          <w:bCs/>
          <w:sz w:val="24"/>
          <w:szCs w:val="24"/>
          <w:highlight w:val="none"/>
        </w:rPr>
        <w:t>报价货币种类：</w:t>
      </w:r>
      <w:bookmarkEnd w:id="186"/>
      <w:r>
        <w:rPr>
          <w:rFonts w:hint="eastAsia" w:ascii="宋体" w:hAnsi="宋体" w:eastAsia="宋体"/>
          <w:b w:val="0"/>
          <w:bCs/>
          <w:sz w:val="24"/>
          <w:szCs w:val="24"/>
          <w:highlight w:val="none"/>
          <w:u w:val="singl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ascii="宋体" w:hAnsi="宋体"/>
                <w:sz w:val="24"/>
                <w:szCs w:val="24"/>
                <w:highlight w:val="none"/>
              </w:rPr>
            </w:pPr>
            <w:r>
              <w:rPr>
                <w:rFonts w:hint="eastAsia" w:ascii="宋体" w:hAnsi="宋体"/>
                <w:sz w:val="24"/>
                <w:szCs w:val="24"/>
                <w:highlight w:val="none"/>
              </w:rPr>
              <w:t>标段（包）</w:t>
            </w:r>
          </w:p>
        </w:tc>
        <w:tc>
          <w:tcPr>
            <w:tcW w:w="2012" w:type="dxa"/>
            <w:vAlign w:val="center"/>
          </w:tcPr>
          <w:p>
            <w:pPr>
              <w:tabs>
                <w:tab w:val="left" w:pos="5355"/>
              </w:tabs>
              <w:spacing w:line="380" w:lineRule="atLeast"/>
              <w:jc w:val="center"/>
              <w:rPr>
                <w:rFonts w:ascii="宋体" w:hAnsi="宋体"/>
                <w:sz w:val="24"/>
                <w:szCs w:val="24"/>
                <w:highlight w:val="none"/>
              </w:rPr>
            </w:pPr>
            <w:r>
              <w:rPr>
                <w:rFonts w:hint="eastAsia" w:ascii="宋体" w:hAnsi="宋体"/>
                <w:sz w:val="24"/>
                <w:szCs w:val="24"/>
                <w:highlight w:val="none"/>
              </w:rPr>
              <w:t>小型和微型企业产品名称</w:t>
            </w:r>
          </w:p>
        </w:tc>
        <w:tc>
          <w:tcPr>
            <w:tcW w:w="1123" w:type="dxa"/>
            <w:vAlign w:val="center"/>
          </w:tcPr>
          <w:p>
            <w:pPr>
              <w:tabs>
                <w:tab w:val="left" w:pos="5355"/>
              </w:tabs>
              <w:spacing w:line="380" w:lineRule="atLeast"/>
              <w:jc w:val="center"/>
              <w:rPr>
                <w:rFonts w:ascii="宋体" w:hAnsi="宋体"/>
                <w:sz w:val="24"/>
                <w:szCs w:val="24"/>
                <w:highlight w:val="none"/>
              </w:rPr>
            </w:pPr>
            <w:r>
              <w:rPr>
                <w:rFonts w:hint="eastAsia" w:ascii="宋体" w:hAnsi="宋体"/>
                <w:sz w:val="24"/>
                <w:szCs w:val="24"/>
                <w:highlight w:val="none"/>
              </w:rPr>
              <w:t>数量</w:t>
            </w:r>
          </w:p>
        </w:tc>
        <w:tc>
          <w:tcPr>
            <w:tcW w:w="1050" w:type="dxa"/>
            <w:vAlign w:val="center"/>
          </w:tcPr>
          <w:p>
            <w:pPr>
              <w:tabs>
                <w:tab w:val="left" w:pos="5355"/>
              </w:tabs>
              <w:spacing w:line="380" w:lineRule="atLeast"/>
              <w:jc w:val="center"/>
              <w:rPr>
                <w:rFonts w:ascii="宋体" w:hAnsi="宋体"/>
                <w:sz w:val="24"/>
                <w:szCs w:val="24"/>
                <w:highlight w:val="none"/>
              </w:rPr>
            </w:pPr>
            <w:r>
              <w:rPr>
                <w:rFonts w:hint="eastAsia" w:ascii="宋体" w:hAnsi="宋体"/>
                <w:sz w:val="24"/>
                <w:szCs w:val="24"/>
                <w:highlight w:val="none"/>
              </w:rPr>
              <w:t>报价（元）</w:t>
            </w:r>
          </w:p>
        </w:tc>
        <w:tc>
          <w:tcPr>
            <w:tcW w:w="1348" w:type="dxa"/>
            <w:vAlign w:val="center"/>
          </w:tcPr>
          <w:p>
            <w:pPr>
              <w:tabs>
                <w:tab w:val="left" w:pos="5355"/>
              </w:tabs>
              <w:spacing w:line="380" w:lineRule="atLeast"/>
              <w:jc w:val="center"/>
              <w:rPr>
                <w:rFonts w:ascii="宋体" w:hAnsi="宋体"/>
                <w:sz w:val="24"/>
                <w:szCs w:val="24"/>
                <w:highlight w:val="none"/>
              </w:rPr>
            </w:pPr>
            <w:r>
              <w:rPr>
                <w:rFonts w:hint="eastAsia" w:ascii="宋体" w:hAnsi="宋体"/>
                <w:sz w:val="24"/>
                <w:szCs w:val="24"/>
                <w:highlight w:val="none"/>
              </w:rPr>
              <w:t>价格评审扣除金额（元）</w:t>
            </w:r>
          </w:p>
        </w:tc>
        <w:tc>
          <w:tcPr>
            <w:tcW w:w="1348" w:type="dxa"/>
            <w:vAlign w:val="center"/>
          </w:tcPr>
          <w:p>
            <w:pPr>
              <w:tabs>
                <w:tab w:val="left" w:pos="5355"/>
              </w:tabs>
              <w:spacing w:line="380" w:lineRule="atLeast"/>
              <w:jc w:val="center"/>
              <w:rPr>
                <w:rFonts w:ascii="宋体" w:hAnsi="宋体"/>
                <w:sz w:val="24"/>
                <w:szCs w:val="24"/>
                <w:highlight w:val="none"/>
              </w:rPr>
            </w:pPr>
            <w:r>
              <w:rPr>
                <w:rFonts w:hint="eastAsia" w:ascii="宋体" w:hAnsi="宋体"/>
                <w:sz w:val="24"/>
                <w:szCs w:val="24"/>
                <w:highlight w:val="none"/>
              </w:rPr>
              <w:t>品牌型号规格</w:t>
            </w:r>
          </w:p>
        </w:tc>
        <w:tc>
          <w:tcPr>
            <w:tcW w:w="1766" w:type="dxa"/>
            <w:vAlign w:val="center"/>
          </w:tcPr>
          <w:p>
            <w:pPr>
              <w:tabs>
                <w:tab w:val="left" w:pos="5355"/>
              </w:tabs>
              <w:spacing w:line="380" w:lineRule="atLeast"/>
              <w:jc w:val="center"/>
              <w:rPr>
                <w:rFonts w:ascii="宋体" w:hAnsi="宋体"/>
                <w:sz w:val="24"/>
                <w:szCs w:val="24"/>
                <w:highlight w:val="none"/>
              </w:rPr>
            </w:pPr>
            <w:r>
              <w:rPr>
                <w:rFonts w:hint="eastAsia" w:ascii="宋体" w:hAnsi="宋体"/>
                <w:sz w:val="24"/>
                <w:szCs w:val="24"/>
                <w:highlight w:val="none"/>
              </w:rPr>
              <w:t>制造商</w:t>
            </w:r>
          </w:p>
          <w:p>
            <w:pPr>
              <w:tabs>
                <w:tab w:val="left" w:pos="5355"/>
              </w:tabs>
              <w:spacing w:line="380" w:lineRule="atLeast"/>
              <w:jc w:val="center"/>
              <w:rPr>
                <w:rFonts w:ascii="宋体" w:hAnsi="宋体"/>
                <w:sz w:val="24"/>
                <w:szCs w:val="24"/>
                <w:highlight w:val="none"/>
              </w:rPr>
            </w:pPr>
            <w:r>
              <w:rPr>
                <w:rFonts w:hint="eastAsia" w:ascii="宋体" w:hAnsi="宋体"/>
                <w:sz w:val="24"/>
                <w:szCs w:val="24"/>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ascii="宋体" w:hAnsi="宋体"/>
                <w:sz w:val="24"/>
                <w:szCs w:val="24"/>
                <w:highlight w:val="none"/>
              </w:rPr>
            </w:pPr>
          </w:p>
        </w:tc>
        <w:tc>
          <w:tcPr>
            <w:tcW w:w="2012" w:type="dxa"/>
            <w:vAlign w:val="center"/>
          </w:tcPr>
          <w:p>
            <w:pPr>
              <w:tabs>
                <w:tab w:val="left" w:pos="5355"/>
              </w:tabs>
              <w:spacing w:line="380" w:lineRule="atLeast"/>
              <w:jc w:val="center"/>
              <w:rPr>
                <w:rFonts w:ascii="宋体" w:hAnsi="宋体"/>
                <w:sz w:val="24"/>
                <w:szCs w:val="24"/>
                <w:highlight w:val="none"/>
              </w:rPr>
            </w:pPr>
          </w:p>
        </w:tc>
        <w:tc>
          <w:tcPr>
            <w:tcW w:w="1123" w:type="dxa"/>
            <w:vAlign w:val="center"/>
          </w:tcPr>
          <w:p>
            <w:pPr>
              <w:tabs>
                <w:tab w:val="left" w:pos="5355"/>
              </w:tabs>
              <w:spacing w:line="380" w:lineRule="atLeast"/>
              <w:jc w:val="center"/>
              <w:rPr>
                <w:rFonts w:ascii="宋体" w:hAnsi="宋体"/>
                <w:sz w:val="24"/>
                <w:szCs w:val="24"/>
                <w:highlight w:val="none"/>
              </w:rPr>
            </w:pPr>
          </w:p>
        </w:tc>
        <w:tc>
          <w:tcPr>
            <w:tcW w:w="1050" w:type="dxa"/>
            <w:vAlign w:val="center"/>
          </w:tcPr>
          <w:p>
            <w:pPr>
              <w:tabs>
                <w:tab w:val="left" w:pos="5355"/>
              </w:tabs>
              <w:spacing w:line="380" w:lineRule="atLeast"/>
              <w:jc w:val="center"/>
              <w:rPr>
                <w:rFonts w:ascii="宋体" w:hAnsi="宋体"/>
                <w:sz w:val="24"/>
                <w:szCs w:val="24"/>
                <w:highlight w:val="none"/>
              </w:rPr>
            </w:pPr>
          </w:p>
        </w:tc>
        <w:tc>
          <w:tcPr>
            <w:tcW w:w="1348" w:type="dxa"/>
            <w:vAlign w:val="center"/>
          </w:tcPr>
          <w:p>
            <w:pPr>
              <w:tabs>
                <w:tab w:val="left" w:pos="5355"/>
              </w:tabs>
              <w:spacing w:line="380" w:lineRule="atLeast"/>
              <w:jc w:val="center"/>
              <w:rPr>
                <w:rFonts w:ascii="宋体" w:hAnsi="宋体"/>
                <w:sz w:val="24"/>
                <w:szCs w:val="24"/>
                <w:highlight w:val="none"/>
              </w:rPr>
            </w:pPr>
          </w:p>
        </w:tc>
        <w:tc>
          <w:tcPr>
            <w:tcW w:w="1348" w:type="dxa"/>
            <w:vAlign w:val="center"/>
          </w:tcPr>
          <w:p>
            <w:pPr>
              <w:tabs>
                <w:tab w:val="left" w:pos="5355"/>
              </w:tabs>
              <w:spacing w:line="380" w:lineRule="atLeast"/>
              <w:jc w:val="center"/>
              <w:rPr>
                <w:rFonts w:ascii="宋体" w:hAnsi="宋体"/>
                <w:sz w:val="24"/>
                <w:szCs w:val="24"/>
                <w:highlight w:val="none"/>
              </w:rPr>
            </w:pPr>
          </w:p>
        </w:tc>
        <w:tc>
          <w:tcPr>
            <w:tcW w:w="1766" w:type="dxa"/>
            <w:vAlign w:val="center"/>
          </w:tcPr>
          <w:p>
            <w:pPr>
              <w:tabs>
                <w:tab w:val="left" w:pos="5355"/>
              </w:tabs>
              <w:spacing w:line="380" w:lineRule="atLeast"/>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宋体" w:hAnsi="宋体"/>
                <w:sz w:val="24"/>
                <w:szCs w:val="24"/>
                <w:highlight w:val="none"/>
              </w:rPr>
            </w:pPr>
          </w:p>
        </w:tc>
        <w:tc>
          <w:tcPr>
            <w:tcW w:w="2012" w:type="dxa"/>
          </w:tcPr>
          <w:p>
            <w:pPr>
              <w:tabs>
                <w:tab w:val="left" w:pos="5355"/>
              </w:tabs>
              <w:spacing w:line="380" w:lineRule="atLeast"/>
              <w:jc w:val="center"/>
              <w:rPr>
                <w:rFonts w:ascii="宋体" w:hAnsi="宋体"/>
                <w:sz w:val="24"/>
                <w:szCs w:val="24"/>
                <w:highlight w:val="none"/>
              </w:rPr>
            </w:pPr>
          </w:p>
        </w:tc>
        <w:tc>
          <w:tcPr>
            <w:tcW w:w="1123" w:type="dxa"/>
            <w:vAlign w:val="center"/>
          </w:tcPr>
          <w:p>
            <w:pPr>
              <w:tabs>
                <w:tab w:val="left" w:pos="5355"/>
              </w:tabs>
              <w:spacing w:line="380" w:lineRule="atLeast"/>
              <w:jc w:val="center"/>
              <w:rPr>
                <w:rFonts w:ascii="宋体" w:hAnsi="宋体"/>
                <w:sz w:val="24"/>
                <w:szCs w:val="24"/>
                <w:highlight w:val="none"/>
              </w:rPr>
            </w:pPr>
          </w:p>
        </w:tc>
        <w:tc>
          <w:tcPr>
            <w:tcW w:w="1050" w:type="dxa"/>
            <w:vAlign w:val="center"/>
          </w:tcPr>
          <w:p>
            <w:pPr>
              <w:tabs>
                <w:tab w:val="left" w:pos="5355"/>
              </w:tabs>
              <w:spacing w:line="380" w:lineRule="atLeast"/>
              <w:jc w:val="center"/>
              <w:rPr>
                <w:rFonts w:ascii="宋体" w:hAnsi="宋体"/>
                <w:sz w:val="24"/>
                <w:szCs w:val="24"/>
                <w:highlight w:val="none"/>
              </w:rPr>
            </w:pPr>
          </w:p>
        </w:tc>
        <w:tc>
          <w:tcPr>
            <w:tcW w:w="1348" w:type="dxa"/>
            <w:vAlign w:val="center"/>
          </w:tcPr>
          <w:p>
            <w:pPr>
              <w:tabs>
                <w:tab w:val="left" w:pos="5355"/>
              </w:tabs>
              <w:spacing w:line="380" w:lineRule="atLeast"/>
              <w:jc w:val="center"/>
              <w:rPr>
                <w:rFonts w:ascii="宋体" w:hAnsi="宋体"/>
                <w:sz w:val="24"/>
                <w:szCs w:val="24"/>
                <w:highlight w:val="none"/>
              </w:rPr>
            </w:pPr>
          </w:p>
        </w:tc>
        <w:tc>
          <w:tcPr>
            <w:tcW w:w="1348" w:type="dxa"/>
            <w:vAlign w:val="center"/>
          </w:tcPr>
          <w:p>
            <w:pPr>
              <w:tabs>
                <w:tab w:val="left" w:pos="5355"/>
              </w:tabs>
              <w:spacing w:line="380" w:lineRule="atLeast"/>
              <w:jc w:val="center"/>
              <w:rPr>
                <w:rFonts w:ascii="宋体" w:hAnsi="宋体"/>
                <w:sz w:val="24"/>
                <w:szCs w:val="24"/>
                <w:highlight w:val="none"/>
              </w:rPr>
            </w:pPr>
          </w:p>
        </w:tc>
        <w:tc>
          <w:tcPr>
            <w:tcW w:w="1766" w:type="dxa"/>
            <w:vAlign w:val="center"/>
          </w:tcPr>
          <w:p>
            <w:pPr>
              <w:tabs>
                <w:tab w:val="left" w:pos="5355"/>
              </w:tabs>
              <w:spacing w:line="380" w:lineRule="atLeast"/>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宋体" w:hAnsi="宋体"/>
                <w:sz w:val="24"/>
                <w:szCs w:val="24"/>
                <w:highlight w:val="none"/>
              </w:rPr>
            </w:pPr>
          </w:p>
        </w:tc>
        <w:tc>
          <w:tcPr>
            <w:tcW w:w="2012" w:type="dxa"/>
          </w:tcPr>
          <w:p>
            <w:pPr>
              <w:tabs>
                <w:tab w:val="left" w:pos="5355"/>
              </w:tabs>
              <w:spacing w:line="380" w:lineRule="atLeast"/>
              <w:jc w:val="center"/>
              <w:rPr>
                <w:rFonts w:ascii="宋体" w:hAnsi="宋体"/>
                <w:sz w:val="24"/>
                <w:szCs w:val="24"/>
                <w:highlight w:val="none"/>
              </w:rPr>
            </w:pPr>
          </w:p>
        </w:tc>
        <w:tc>
          <w:tcPr>
            <w:tcW w:w="1123" w:type="dxa"/>
            <w:vAlign w:val="center"/>
          </w:tcPr>
          <w:p>
            <w:pPr>
              <w:tabs>
                <w:tab w:val="left" w:pos="5355"/>
              </w:tabs>
              <w:spacing w:line="380" w:lineRule="atLeast"/>
              <w:jc w:val="center"/>
              <w:rPr>
                <w:rFonts w:ascii="宋体" w:hAnsi="宋体"/>
                <w:sz w:val="24"/>
                <w:szCs w:val="24"/>
                <w:highlight w:val="none"/>
              </w:rPr>
            </w:pPr>
          </w:p>
        </w:tc>
        <w:tc>
          <w:tcPr>
            <w:tcW w:w="1050" w:type="dxa"/>
            <w:vAlign w:val="center"/>
          </w:tcPr>
          <w:p>
            <w:pPr>
              <w:tabs>
                <w:tab w:val="left" w:pos="5355"/>
              </w:tabs>
              <w:spacing w:line="380" w:lineRule="atLeast"/>
              <w:jc w:val="center"/>
              <w:rPr>
                <w:rFonts w:ascii="宋体" w:hAnsi="宋体"/>
                <w:sz w:val="24"/>
                <w:szCs w:val="24"/>
                <w:highlight w:val="none"/>
              </w:rPr>
            </w:pPr>
          </w:p>
        </w:tc>
        <w:tc>
          <w:tcPr>
            <w:tcW w:w="1348" w:type="dxa"/>
            <w:vAlign w:val="center"/>
          </w:tcPr>
          <w:p>
            <w:pPr>
              <w:tabs>
                <w:tab w:val="left" w:pos="5355"/>
              </w:tabs>
              <w:spacing w:line="380" w:lineRule="atLeast"/>
              <w:jc w:val="center"/>
              <w:rPr>
                <w:rFonts w:ascii="宋体" w:hAnsi="宋体"/>
                <w:sz w:val="24"/>
                <w:szCs w:val="24"/>
                <w:highlight w:val="none"/>
              </w:rPr>
            </w:pPr>
          </w:p>
        </w:tc>
        <w:tc>
          <w:tcPr>
            <w:tcW w:w="1348" w:type="dxa"/>
            <w:vAlign w:val="center"/>
          </w:tcPr>
          <w:p>
            <w:pPr>
              <w:tabs>
                <w:tab w:val="left" w:pos="5355"/>
              </w:tabs>
              <w:spacing w:line="380" w:lineRule="atLeast"/>
              <w:jc w:val="center"/>
              <w:rPr>
                <w:rFonts w:ascii="宋体" w:hAnsi="宋体"/>
                <w:sz w:val="24"/>
                <w:szCs w:val="24"/>
                <w:highlight w:val="none"/>
              </w:rPr>
            </w:pPr>
          </w:p>
        </w:tc>
        <w:tc>
          <w:tcPr>
            <w:tcW w:w="1766" w:type="dxa"/>
            <w:vAlign w:val="center"/>
          </w:tcPr>
          <w:p>
            <w:pPr>
              <w:tabs>
                <w:tab w:val="left" w:pos="5355"/>
              </w:tabs>
              <w:spacing w:line="380" w:lineRule="atLeast"/>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宋体" w:hAnsi="宋体"/>
                <w:sz w:val="24"/>
                <w:szCs w:val="24"/>
                <w:highlight w:val="none"/>
              </w:rPr>
            </w:pPr>
          </w:p>
        </w:tc>
        <w:tc>
          <w:tcPr>
            <w:tcW w:w="8647" w:type="dxa"/>
            <w:gridSpan w:val="6"/>
            <w:vAlign w:val="center"/>
          </w:tcPr>
          <w:p>
            <w:pPr>
              <w:tabs>
                <w:tab w:val="left" w:pos="5355"/>
              </w:tabs>
              <w:spacing w:line="380" w:lineRule="atLeast"/>
              <w:rPr>
                <w:rFonts w:ascii="宋体" w:hAnsi="宋体"/>
                <w:sz w:val="24"/>
                <w:szCs w:val="24"/>
                <w:highlight w:val="none"/>
              </w:rPr>
            </w:pPr>
            <w:r>
              <w:rPr>
                <w:rFonts w:hint="eastAsia" w:ascii="宋体" w:hAnsi="宋体"/>
                <w:sz w:val="24"/>
                <w:szCs w:val="24"/>
                <w:highlight w:val="none"/>
              </w:rPr>
              <w:t>本标段（包）总计：</w:t>
            </w:r>
            <w:r>
              <w:rPr>
                <w:rFonts w:ascii="宋体" w:hAnsi="宋体"/>
                <w:sz w:val="24"/>
                <w:szCs w:val="24"/>
                <w:highlight w:val="none"/>
              </w:rPr>
              <w:t xml:space="preserve">           </w:t>
            </w:r>
            <w:r>
              <w:rPr>
                <w:rFonts w:hint="eastAsia" w:ascii="宋体" w:hAnsi="宋体"/>
                <w:sz w:val="24"/>
                <w:szCs w:val="24"/>
                <w:highlight w:val="none"/>
              </w:rPr>
              <w:t>（元）</w:t>
            </w:r>
          </w:p>
        </w:tc>
      </w:tr>
    </w:tbl>
    <w:p>
      <w:pPr>
        <w:pStyle w:val="79"/>
        <w:tabs>
          <w:tab w:val="left" w:pos="480"/>
          <w:tab w:val="clear" w:pos="839"/>
        </w:tabs>
        <w:spacing w:line="440" w:lineRule="exact"/>
        <w:ind w:left="0" w:firstLine="0"/>
        <w:outlineLvl w:val="9"/>
        <w:rPr>
          <w:bCs/>
          <w:sz w:val="24"/>
          <w:szCs w:val="24"/>
          <w:highlight w:val="none"/>
        </w:rPr>
      </w:pPr>
    </w:p>
    <w:p>
      <w:pPr>
        <w:tabs>
          <w:tab w:val="left" w:pos="13000"/>
        </w:tabs>
        <w:spacing w:line="440" w:lineRule="exact"/>
        <w:rPr>
          <w:rFonts w:ascii="宋体" w:hAnsi="宋体"/>
          <w:sz w:val="24"/>
          <w:szCs w:val="24"/>
          <w:highlight w:val="none"/>
        </w:rPr>
      </w:pPr>
      <w:r>
        <w:rPr>
          <w:rFonts w:hint="eastAsia" w:ascii="宋体" w:hAnsi="宋体"/>
          <w:sz w:val="24"/>
          <w:szCs w:val="24"/>
          <w:highlight w:val="none"/>
        </w:rPr>
        <w:t>注：</w:t>
      </w:r>
    </w:p>
    <w:p>
      <w:pPr>
        <w:spacing w:line="440" w:lineRule="exact"/>
        <w:ind w:firstLine="42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、当一个标段（包）内有多个属于小型和微型企业的产品时，</w:t>
      </w:r>
      <w:r>
        <w:rPr>
          <w:rFonts w:ascii="宋体" w:hAnsi="宋体"/>
          <w:sz w:val="24"/>
          <w:szCs w:val="24"/>
          <w:highlight w:val="none"/>
        </w:rPr>
        <w:t xml:space="preserve"> </w:t>
      </w:r>
      <w:r>
        <w:rPr>
          <w:rFonts w:hint="eastAsia" w:ascii="宋体" w:hAnsi="宋体"/>
          <w:sz w:val="24"/>
          <w:szCs w:val="24"/>
          <w:highlight w:val="none"/>
        </w:rPr>
        <w:t>投标人应按序号详细填写。</w:t>
      </w:r>
    </w:p>
    <w:p>
      <w:pPr>
        <w:spacing w:line="440" w:lineRule="exact"/>
        <w:ind w:left="420" w:leftChars="200"/>
        <w:rPr>
          <w:rFonts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、栏目</w:t>
      </w:r>
      <w:r>
        <w:rPr>
          <w:rFonts w:ascii="宋体" w:hAnsi="宋体"/>
          <w:sz w:val="24"/>
          <w:szCs w:val="24"/>
          <w:highlight w:val="none"/>
        </w:rPr>
        <w:t>5=</w:t>
      </w:r>
      <w:r>
        <w:rPr>
          <w:rFonts w:hint="eastAsia" w:ascii="宋体" w:hAnsi="宋体"/>
          <w:sz w:val="24"/>
          <w:szCs w:val="24"/>
          <w:highlight w:val="none"/>
        </w:rPr>
        <w:t>栏目</w:t>
      </w:r>
      <w:r>
        <w:rPr>
          <w:rFonts w:ascii="宋体" w:hAnsi="宋体"/>
          <w:sz w:val="24"/>
          <w:szCs w:val="24"/>
          <w:highlight w:val="none"/>
        </w:rPr>
        <w:t>4</w:t>
      </w:r>
      <w:r>
        <w:rPr>
          <w:rFonts w:hint="eastAsia" w:ascii="宋体" w:hAnsi="宋体"/>
          <w:sz w:val="24"/>
          <w:szCs w:val="24"/>
          <w:highlight w:val="none"/>
        </w:rPr>
        <w:t>×招标文件规定的价格扣除比率的优惠幅度。</w:t>
      </w:r>
    </w:p>
    <w:p>
      <w:pPr>
        <w:spacing w:line="440" w:lineRule="exact"/>
        <w:ind w:firstLine="420"/>
        <w:rPr>
          <w:rFonts w:ascii="宋体" w:hAnsi="宋体"/>
          <w:b/>
          <w:bCs/>
          <w:sz w:val="24"/>
          <w:szCs w:val="24"/>
          <w:highlight w:val="none"/>
        </w:rPr>
      </w:pPr>
      <w:r>
        <w:rPr>
          <w:rFonts w:ascii="宋体" w:hAnsi="宋体"/>
          <w:b/>
          <w:bCs/>
          <w:sz w:val="24"/>
          <w:szCs w:val="24"/>
          <w:highlight w:val="none"/>
        </w:rPr>
        <w:t>3</w:t>
      </w:r>
      <w:r>
        <w:rPr>
          <w:rFonts w:hint="eastAsia" w:ascii="宋体" w:hAnsi="宋体"/>
          <w:b/>
          <w:bCs/>
          <w:sz w:val="24"/>
          <w:szCs w:val="24"/>
          <w:highlight w:val="none"/>
        </w:rPr>
        <w:t>、若所供应的产品不具备此类评审优惠条件，本“中小价格扣除明细表”</w:t>
      </w:r>
      <w:r>
        <w:rPr>
          <w:rFonts w:ascii="宋体" w:hAnsi="宋体"/>
          <w:b/>
          <w:bCs/>
          <w:sz w:val="24"/>
          <w:szCs w:val="24"/>
          <w:highlight w:val="none"/>
        </w:rPr>
        <w:t xml:space="preserve"> </w:t>
      </w:r>
      <w:r>
        <w:rPr>
          <w:rFonts w:hint="eastAsia" w:ascii="宋体" w:hAnsi="宋体"/>
          <w:b/>
          <w:bCs/>
          <w:sz w:val="24"/>
          <w:szCs w:val="24"/>
          <w:highlight w:val="none"/>
        </w:rPr>
        <w:t>不必填写。</w:t>
      </w:r>
    </w:p>
    <w:p>
      <w:pPr>
        <w:spacing w:line="440" w:lineRule="exact"/>
        <w:ind w:firstLine="600"/>
        <w:rPr>
          <w:rFonts w:ascii="宋体" w:hAnsi="宋体"/>
          <w:sz w:val="24"/>
          <w:szCs w:val="24"/>
          <w:highlight w:val="none"/>
        </w:rPr>
      </w:pPr>
    </w:p>
    <w:p>
      <w:pPr>
        <w:adjustRightInd w:val="0"/>
        <w:snapToGrid w:val="0"/>
        <w:spacing w:line="360" w:lineRule="auto"/>
        <w:jc w:val="right"/>
        <w:rPr>
          <w:rFonts w:ascii="宋体" w:hAnsi="宋体"/>
          <w:sz w:val="24"/>
          <w:szCs w:val="24"/>
          <w:highlight w:val="none"/>
        </w:rPr>
      </w:pPr>
    </w:p>
    <w:p>
      <w:pPr>
        <w:adjustRightInd w:val="0"/>
        <w:snapToGrid w:val="0"/>
        <w:spacing w:line="360" w:lineRule="auto"/>
        <w:jc w:val="right"/>
        <w:rPr>
          <w:rFonts w:ascii="宋体" w:hAnsi="宋体"/>
          <w:sz w:val="24"/>
          <w:szCs w:val="24"/>
          <w:highlight w:val="none"/>
        </w:rPr>
      </w:pPr>
      <w:r>
        <w:rPr>
          <w:rFonts w:hint="eastAsia" w:ascii="宋体" w:hAnsi="宋体"/>
          <w:sz w:val="24"/>
          <w:szCs w:val="24"/>
          <w:highlight w:val="none"/>
        </w:rPr>
        <w:t>供应商（盖章）：</w:t>
      </w:r>
    </w:p>
    <w:p>
      <w:pPr>
        <w:adjustRightInd w:val="0"/>
        <w:snapToGrid w:val="0"/>
        <w:spacing w:line="360" w:lineRule="auto"/>
        <w:jc w:val="right"/>
        <w:rPr>
          <w:rFonts w:ascii="宋体" w:hAnsi="宋体"/>
          <w:sz w:val="24"/>
          <w:szCs w:val="24"/>
          <w:highlight w:val="none"/>
        </w:rPr>
      </w:pPr>
      <w:r>
        <w:rPr>
          <w:rFonts w:hint="eastAsia" w:ascii="宋体" w:hAnsi="宋体"/>
          <w:kern w:val="0"/>
          <w:sz w:val="24"/>
          <w:highlight w:val="none"/>
        </w:rPr>
        <w:t>法定代表人或其被授权人</w:t>
      </w:r>
      <w:r>
        <w:rPr>
          <w:rFonts w:hint="eastAsia" w:ascii="宋体" w:hAnsi="宋体" w:cs="宋体"/>
          <w:sz w:val="24"/>
          <w:highlight w:val="none"/>
        </w:rPr>
        <w:t>（签字或盖章）</w:t>
      </w:r>
      <w:r>
        <w:rPr>
          <w:rFonts w:hint="eastAsia" w:ascii="宋体" w:hAnsi="宋体"/>
          <w:sz w:val="24"/>
          <w:szCs w:val="24"/>
          <w:highlight w:val="none"/>
        </w:rPr>
        <w:t>：</w:t>
      </w:r>
      <w:r>
        <w:rPr>
          <w:rFonts w:ascii="宋体" w:hAnsi="宋体"/>
          <w:sz w:val="24"/>
          <w:szCs w:val="24"/>
          <w:highlight w:val="none"/>
          <w:u w:val="single"/>
        </w:rPr>
        <w:t xml:space="preserve">       </w:t>
      </w:r>
    </w:p>
    <w:p>
      <w:pPr>
        <w:adjustRightInd w:val="0"/>
        <w:snapToGrid w:val="0"/>
        <w:jc w:val="right"/>
        <w:rPr>
          <w:rFonts w:ascii="宋体" w:hAnsi="宋体"/>
          <w:sz w:val="24"/>
          <w:szCs w:val="24"/>
          <w:highlight w:val="none"/>
        </w:rPr>
      </w:pPr>
      <w:r>
        <w:rPr>
          <w:rFonts w:hint="eastAsia" w:ascii="宋体" w:hAnsi="宋体"/>
          <w:sz w:val="24"/>
          <w:szCs w:val="24"/>
          <w:highlight w:val="none"/>
        </w:rPr>
        <w:t>日期：</w:t>
      </w:r>
      <w:r>
        <w:rPr>
          <w:rFonts w:ascii="宋体" w:hAnsi="宋体"/>
          <w:sz w:val="24"/>
          <w:szCs w:val="24"/>
          <w:highlight w:val="none"/>
          <w:u w:val="single"/>
        </w:rPr>
        <w:t xml:space="preserve">         </w:t>
      </w:r>
      <w:r>
        <w:rPr>
          <w:rFonts w:hint="eastAsia" w:ascii="宋体" w:hAnsi="宋体"/>
          <w:sz w:val="24"/>
          <w:szCs w:val="24"/>
          <w:highlight w:val="none"/>
        </w:rPr>
        <w:t>年</w:t>
      </w:r>
      <w:r>
        <w:rPr>
          <w:rFonts w:ascii="宋体" w:hAnsi="宋体"/>
          <w:sz w:val="24"/>
          <w:szCs w:val="24"/>
          <w:highlight w:val="none"/>
          <w:u w:val="single"/>
        </w:rPr>
        <w:t xml:space="preserve">    </w:t>
      </w:r>
      <w:r>
        <w:rPr>
          <w:rFonts w:hint="eastAsia" w:ascii="宋体" w:hAnsi="宋体"/>
          <w:sz w:val="24"/>
          <w:szCs w:val="24"/>
          <w:highlight w:val="none"/>
        </w:rPr>
        <w:t>月</w:t>
      </w:r>
      <w:r>
        <w:rPr>
          <w:rFonts w:ascii="宋体" w:hAnsi="宋体"/>
          <w:sz w:val="24"/>
          <w:szCs w:val="24"/>
          <w:highlight w:val="none"/>
          <w:u w:val="single"/>
        </w:rPr>
        <w:t xml:space="preserve">   </w:t>
      </w:r>
      <w:r>
        <w:rPr>
          <w:rFonts w:hint="eastAsia" w:ascii="宋体" w:hAnsi="宋体"/>
          <w:sz w:val="24"/>
          <w:szCs w:val="24"/>
          <w:highlight w:val="none"/>
        </w:rPr>
        <w:t>日</w:t>
      </w:r>
    </w:p>
    <w:p>
      <w:pPr>
        <w:rPr>
          <w:rFonts w:ascii="宋体" w:hAnsi="宋体" w:cs="宋体"/>
          <w:b/>
          <w:bCs/>
          <w:sz w:val="24"/>
          <w:highlight w:val="none"/>
        </w:rPr>
      </w:pPr>
    </w:p>
    <w:p>
      <w:pPr>
        <w:rPr>
          <w:rFonts w:ascii="宋体" w:hAnsi="宋体" w:cs="宋体"/>
          <w:b/>
          <w:bCs/>
          <w:sz w:val="24"/>
          <w:highlight w:val="none"/>
        </w:rPr>
      </w:pPr>
      <w:r>
        <w:rPr>
          <w:rFonts w:hint="eastAsia" w:ascii="宋体" w:hAnsi="宋体" w:cs="宋体"/>
          <w:b/>
          <w:bCs/>
          <w:sz w:val="24"/>
          <w:highlight w:val="none"/>
        </w:rPr>
        <w:br w:type="page"/>
      </w:r>
    </w:p>
    <w:p>
      <w:pPr>
        <w:widowControl/>
        <w:spacing w:line="360" w:lineRule="auto"/>
        <w:jc w:val="left"/>
        <w:outlineLvl w:val="0"/>
        <w:rPr>
          <w:rFonts w:ascii="宋体" w:hAnsi="宋体" w:cs="宋体"/>
          <w:b/>
          <w:bCs/>
          <w:sz w:val="24"/>
          <w:highlight w:val="none"/>
        </w:rPr>
      </w:pPr>
      <w:bookmarkStart w:id="187" w:name="_Toc31974"/>
      <w:bookmarkStart w:id="188" w:name="_Toc15606"/>
      <w:r>
        <w:rPr>
          <w:rFonts w:hint="eastAsia" w:ascii="宋体" w:hAnsi="宋体" w:cs="宋体"/>
          <w:b/>
          <w:bCs/>
          <w:sz w:val="24"/>
          <w:highlight w:val="none"/>
        </w:rPr>
        <w:t>附件1</w:t>
      </w:r>
      <w:bookmarkEnd w:id="187"/>
      <w:bookmarkEnd w:id="188"/>
      <w:r>
        <w:rPr>
          <w:rFonts w:hint="eastAsia" w:ascii="宋体" w:hAnsi="宋体" w:cs="宋体"/>
          <w:b/>
          <w:bCs/>
          <w:sz w:val="24"/>
          <w:highlight w:val="none"/>
        </w:rPr>
        <w:t>5</w:t>
      </w:r>
    </w:p>
    <w:p>
      <w:pPr>
        <w:pStyle w:val="4"/>
        <w:jc w:val="center"/>
        <w:rPr>
          <w:rFonts w:ascii="宋体" w:hAnsi="宋体" w:cs="宋体"/>
          <w:sz w:val="24"/>
          <w:szCs w:val="24"/>
          <w:highlight w:val="none"/>
        </w:rPr>
      </w:pPr>
      <w:bookmarkStart w:id="189" w:name="_Toc13047"/>
      <w:r>
        <w:rPr>
          <w:rFonts w:hint="eastAsia" w:ascii="宋体" w:hAnsi="宋体" w:cs="宋体"/>
          <w:sz w:val="24"/>
          <w:szCs w:val="24"/>
          <w:highlight w:val="none"/>
        </w:rPr>
        <w:t>中小微企业声明函（符合本声明函填写）</w:t>
      </w:r>
      <w:bookmarkEnd w:id="189"/>
    </w:p>
    <w:p>
      <w:pPr>
        <w:widowControl/>
        <w:spacing w:line="360" w:lineRule="auto"/>
        <w:ind w:firstLine="480" w:firstLineChars="200"/>
        <w:jc w:val="center"/>
        <w:rPr>
          <w:rFonts w:ascii="宋体" w:hAnsi="宋体" w:cs="宋体"/>
          <w:kern w:val="0"/>
          <w:sz w:val="24"/>
          <w:szCs w:val="24"/>
          <w:highlight w:val="none"/>
        </w:rPr>
      </w:pPr>
      <w:r>
        <w:rPr>
          <w:rFonts w:hint="eastAsia" w:ascii="宋体" w:hAnsi="宋体" w:cs="宋体"/>
          <w:kern w:val="0"/>
          <w:sz w:val="24"/>
          <w:szCs w:val="24"/>
          <w:highlight w:val="none"/>
        </w:rPr>
        <w:t>中小企业声明函（货物）</w:t>
      </w:r>
    </w:p>
    <w:p>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本公司（联合体） 郑重声明， 根据《政府采购促进中小企业发展管理办法》（财库﹝ 2020﹞ 46 号） 的规定， 本公司（联合体） 参加</w:t>
      </w:r>
      <w:r>
        <w:rPr>
          <w:rFonts w:hint="eastAsia" w:ascii="宋体" w:hAnsi="宋体" w:cs="宋体"/>
          <w:kern w:val="0"/>
          <w:sz w:val="24"/>
          <w:szCs w:val="24"/>
          <w:highlight w:val="none"/>
          <w:u w:val="single"/>
        </w:rPr>
        <w:t>（单位名称）</w:t>
      </w:r>
      <w:r>
        <w:rPr>
          <w:rFonts w:hint="eastAsia" w:ascii="宋体" w:hAnsi="宋体" w:cs="宋体"/>
          <w:kern w:val="0"/>
          <w:sz w:val="24"/>
          <w:szCs w:val="24"/>
          <w:highlight w:val="none"/>
        </w:rPr>
        <w:t xml:space="preserve"> 的</w:t>
      </w:r>
      <w:r>
        <w:rPr>
          <w:rFonts w:hint="eastAsia" w:ascii="宋体" w:hAnsi="宋体" w:cs="宋体"/>
          <w:kern w:val="0"/>
          <w:sz w:val="24"/>
          <w:szCs w:val="24"/>
          <w:highlight w:val="none"/>
          <w:u w:val="single"/>
        </w:rPr>
        <w:t>（项目名称）</w:t>
      </w:r>
      <w:r>
        <w:rPr>
          <w:rFonts w:hint="eastAsia" w:ascii="宋体" w:hAnsi="宋体" w:cs="宋体"/>
          <w:kern w:val="0"/>
          <w:sz w:val="24"/>
          <w:szCs w:val="24"/>
          <w:highlight w:val="none"/>
        </w:rPr>
        <w:t xml:space="preserve"> 采购活动， 提供的货物全部由符合政策要求的中小企业制造。 相关企业（含联合体中的中小企业、 签订分包意向协议的中小企业）的具体情况如下：</w:t>
      </w:r>
    </w:p>
    <w:p>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 xml:space="preserve">1. </w:t>
      </w:r>
      <w:r>
        <w:rPr>
          <w:rFonts w:hint="eastAsia" w:ascii="宋体" w:hAnsi="宋体" w:cs="宋体"/>
          <w:kern w:val="0"/>
          <w:sz w:val="24"/>
          <w:szCs w:val="24"/>
          <w:highlight w:val="none"/>
          <w:u w:val="single"/>
        </w:rPr>
        <w:t>（标的名称）</w:t>
      </w:r>
      <w:r>
        <w:rPr>
          <w:rFonts w:hint="eastAsia" w:ascii="宋体" w:hAnsi="宋体" w:cs="宋体"/>
          <w:kern w:val="0"/>
          <w:sz w:val="24"/>
          <w:szCs w:val="24"/>
          <w:highlight w:val="none"/>
        </w:rPr>
        <w:t xml:space="preserve"> ， 属于</w:t>
      </w:r>
      <w:r>
        <w:rPr>
          <w:rFonts w:hint="eastAsia" w:ascii="宋体" w:hAnsi="宋体" w:cs="宋体"/>
          <w:kern w:val="0"/>
          <w:sz w:val="24"/>
          <w:szCs w:val="24"/>
          <w:highlight w:val="none"/>
          <w:u w:val="single"/>
        </w:rPr>
        <w:t>（工业）行业</w:t>
      </w:r>
      <w:r>
        <w:rPr>
          <w:rFonts w:hint="eastAsia" w:ascii="宋体" w:hAnsi="宋体" w:cs="宋体"/>
          <w:kern w:val="0"/>
          <w:sz w:val="24"/>
          <w:szCs w:val="24"/>
          <w:highlight w:val="none"/>
        </w:rPr>
        <w:t>； 制造商为</w:t>
      </w:r>
      <w:r>
        <w:rPr>
          <w:rFonts w:hint="eastAsia" w:ascii="宋体" w:hAnsi="宋体" w:cs="宋体"/>
          <w:kern w:val="0"/>
          <w:sz w:val="24"/>
          <w:szCs w:val="24"/>
          <w:highlight w:val="none"/>
          <w:u w:val="single"/>
        </w:rPr>
        <w:t>（ 企业名称）</w:t>
      </w:r>
      <w:r>
        <w:rPr>
          <w:rFonts w:hint="eastAsia" w:ascii="宋体" w:hAnsi="宋体" w:cs="宋体"/>
          <w:kern w:val="0"/>
          <w:sz w:val="24"/>
          <w:szCs w:val="24"/>
          <w:highlight w:val="none"/>
        </w:rPr>
        <w:t>， 从业人员</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人， 营业收入为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 资产总额为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w:t>
      </w:r>
      <w:r>
        <w:rPr>
          <w:rFonts w:hint="eastAsia" w:ascii="宋体" w:hAnsi="宋体" w:cs="宋体"/>
          <w:kern w:val="0"/>
          <w:sz w:val="24"/>
          <w:szCs w:val="24"/>
          <w:highlight w:val="none"/>
          <w:vertAlign w:val="superscript"/>
        </w:rPr>
        <w:t>1</w:t>
      </w:r>
      <w:r>
        <w:rPr>
          <w:rFonts w:hint="eastAsia" w:ascii="宋体" w:hAnsi="宋体" w:cs="宋体"/>
          <w:kern w:val="0"/>
          <w:sz w:val="24"/>
          <w:szCs w:val="24"/>
          <w:highlight w:val="none"/>
        </w:rPr>
        <w:t>， 属于（</w:t>
      </w:r>
      <w:r>
        <w:rPr>
          <w:rFonts w:hint="eastAsia" w:ascii="宋体" w:hAnsi="宋体" w:cs="宋体"/>
          <w:kern w:val="0"/>
          <w:sz w:val="24"/>
          <w:szCs w:val="24"/>
          <w:highlight w:val="none"/>
          <w:u w:val="single"/>
        </w:rPr>
        <w:t>中型企业、 小型企业、 微型企业</w:t>
      </w:r>
      <w:r>
        <w:rPr>
          <w:rFonts w:hint="eastAsia" w:ascii="宋体" w:hAnsi="宋体" w:cs="宋体"/>
          <w:kern w:val="0"/>
          <w:sz w:val="24"/>
          <w:szCs w:val="24"/>
          <w:highlight w:val="none"/>
        </w:rPr>
        <w:t>）；</w:t>
      </w:r>
    </w:p>
    <w:p>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 xml:space="preserve">2. </w:t>
      </w:r>
      <w:r>
        <w:rPr>
          <w:rFonts w:hint="eastAsia" w:ascii="宋体" w:hAnsi="宋体" w:cs="宋体"/>
          <w:kern w:val="0"/>
          <w:sz w:val="24"/>
          <w:szCs w:val="24"/>
          <w:highlight w:val="none"/>
          <w:u w:val="single"/>
        </w:rPr>
        <w:t>（标的名称）</w:t>
      </w:r>
      <w:r>
        <w:rPr>
          <w:rFonts w:hint="eastAsia" w:ascii="宋体" w:hAnsi="宋体" w:cs="宋体"/>
          <w:kern w:val="0"/>
          <w:sz w:val="24"/>
          <w:szCs w:val="24"/>
          <w:highlight w:val="none"/>
        </w:rPr>
        <w:t xml:space="preserve"> ， 属于</w:t>
      </w:r>
      <w:r>
        <w:rPr>
          <w:rFonts w:hint="eastAsia" w:ascii="宋体" w:hAnsi="宋体" w:cs="宋体"/>
          <w:kern w:val="0"/>
          <w:sz w:val="24"/>
          <w:szCs w:val="24"/>
          <w:highlight w:val="none"/>
          <w:u w:val="single"/>
        </w:rPr>
        <w:t>（工业）</w:t>
      </w:r>
      <w:r>
        <w:rPr>
          <w:rFonts w:hint="eastAsia" w:ascii="宋体" w:hAnsi="宋体" w:cs="宋体"/>
          <w:kern w:val="0"/>
          <w:sz w:val="24"/>
          <w:szCs w:val="24"/>
          <w:highlight w:val="none"/>
        </w:rPr>
        <w:t>行业； 制造商为</w:t>
      </w:r>
      <w:r>
        <w:rPr>
          <w:rFonts w:hint="eastAsia" w:ascii="宋体" w:hAnsi="宋体" w:cs="宋体"/>
          <w:kern w:val="0"/>
          <w:sz w:val="24"/>
          <w:szCs w:val="24"/>
          <w:highlight w:val="none"/>
          <w:u w:val="single"/>
        </w:rPr>
        <w:t>（ 企业名称）</w:t>
      </w:r>
      <w:r>
        <w:rPr>
          <w:rFonts w:hint="eastAsia" w:ascii="宋体" w:hAnsi="宋体" w:cs="宋体"/>
          <w:kern w:val="0"/>
          <w:sz w:val="24"/>
          <w:szCs w:val="24"/>
          <w:highlight w:val="none"/>
        </w:rPr>
        <w:t>， 从业人员</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人， 营业收为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 资产总额为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 属于</w:t>
      </w:r>
      <w:r>
        <w:rPr>
          <w:rFonts w:hint="eastAsia" w:ascii="宋体" w:hAnsi="宋体" w:cs="宋体"/>
          <w:kern w:val="0"/>
          <w:sz w:val="24"/>
          <w:szCs w:val="24"/>
          <w:highlight w:val="none"/>
          <w:u w:val="single"/>
        </w:rPr>
        <w:t>（中型企业、 小型企业、 微型企业）</w:t>
      </w:r>
      <w:r>
        <w:rPr>
          <w:rFonts w:hint="eastAsia" w:ascii="宋体" w:hAnsi="宋体" w:cs="宋体"/>
          <w:kern w:val="0"/>
          <w:sz w:val="24"/>
          <w:szCs w:val="24"/>
          <w:highlight w:val="none"/>
        </w:rPr>
        <w:t>；</w:t>
      </w:r>
    </w:p>
    <w:p>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w:t>
      </w:r>
    </w:p>
    <w:p>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本企业对上述声明内容的真实性负责。 如有虚假， 将依法承担相应责任。</w:t>
      </w:r>
    </w:p>
    <w:p>
      <w:pPr>
        <w:widowControl/>
        <w:wordWrap w:val="0"/>
        <w:spacing w:line="360" w:lineRule="auto"/>
        <w:ind w:firstLine="480" w:firstLineChars="200"/>
        <w:jc w:val="right"/>
        <w:rPr>
          <w:rFonts w:ascii="宋体" w:hAnsi="宋体" w:cs="宋体"/>
          <w:kern w:val="0"/>
          <w:sz w:val="24"/>
          <w:szCs w:val="24"/>
          <w:highlight w:val="none"/>
        </w:rPr>
      </w:pPr>
    </w:p>
    <w:p>
      <w:pPr>
        <w:widowControl/>
        <w:wordWrap w:val="0"/>
        <w:spacing w:line="360" w:lineRule="auto"/>
        <w:ind w:firstLine="480" w:firstLineChars="200"/>
        <w:jc w:val="right"/>
        <w:rPr>
          <w:rFonts w:ascii="宋体" w:hAnsi="宋体" w:cs="宋体"/>
          <w:kern w:val="0"/>
          <w:sz w:val="24"/>
          <w:szCs w:val="24"/>
          <w:highlight w:val="none"/>
        </w:rPr>
      </w:pPr>
      <w:r>
        <w:rPr>
          <w:rFonts w:hint="eastAsia" w:ascii="宋体" w:hAnsi="宋体" w:cs="宋体"/>
          <w:kern w:val="0"/>
          <w:sz w:val="24"/>
          <w:szCs w:val="24"/>
          <w:highlight w:val="none"/>
        </w:rPr>
        <w:t xml:space="preserve">供应商（盖章）：        </w:t>
      </w:r>
    </w:p>
    <w:p>
      <w:pPr>
        <w:widowControl/>
        <w:wordWrap w:val="0"/>
        <w:spacing w:line="360" w:lineRule="auto"/>
        <w:ind w:right="480" w:firstLine="480" w:firstLineChars="200"/>
        <w:jc w:val="center"/>
        <w:rPr>
          <w:rFonts w:ascii="宋体" w:hAnsi="宋体" w:cs="宋体"/>
          <w:kern w:val="0"/>
          <w:sz w:val="24"/>
          <w:szCs w:val="24"/>
          <w:highlight w:val="none"/>
        </w:rPr>
      </w:pPr>
      <w:r>
        <w:rPr>
          <w:rFonts w:hint="eastAsia" w:ascii="宋体" w:hAnsi="宋体" w:cs="宋体"/>
          <w:kern w:val="0"/>
          <w:sz w:val="24"/>
          <w:szCs w:val="24"/>
          <w:highlight w:val="none"/>
        </w:rPr>
        <w:t xml:space="preserve">                                        日 期：         </w:t>
      </w:r>
    </w:p>
    <w:p>
      <w:pPr>
        <w:pStyle w:val="7"/>
        <w:ind w:firstLine="0"/>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（若响应文件中无上述文件，则在评审时不考虑对该中、小、微企业的相关优惠。）</w:t>
      </w:r>
    </w:p>
    <w:p>
      <w:pPr>
        <w:rPr>
          <w:rFonts w:ascii="宋体" w:hAnsi="宋体" w:cs="宋体"/>
          <w:b/>
          <w:bCs/>
          <w:sz w:val="24"/>
          <w:szCs w:val="24"/>
          <w:highlight w:val="none"/>
        </w:rPr>
      </w:pPr>
      <w:r>
        <w:rPr>
          <w:rFonts w:hint="eastAsia" w:ascii="宋体" w:hAnsi="宋体" w:cs="宋体"/>
          <w:b/>
          <w:bCs/>
          <w:sz w:val="24"/>
          <w:szCs w:val="24"/>
          <w:highlight w:val="none"/>
        </w:rPr>
        <w:br w:type="page"/>
      </w:r>
    </w:p>
    <w:p>
      <w:pPr>
        <w:widowControl/>
        <w:spacing w:line="360" w:lineRule="auto"/>
        <w:jc w:val="left"/>
        <w:outlineLvl w:val="0"/>
        <w:rPr>
          <w:rFonts w:ascii="宋体" w:hAnsi="宋体" w:cs="宋体"/>
          <w:b/>
          <w:bCs/>
          <w:sz w:val="24"/>
          <w:highlight w:val="none"/>
        </w:rPr>
      </w:pPr>
      <w:bookmarkStart w:id="190" w:name="_Toc18665"/>
      <w:bookmarkStart w:id="191" w:name="_Toc24530"/>
      <w:r>
        <w:rPr>
          <w:rFonts w:hint="eastAsia" w:ascii="宋体" w:hAnsi="宋体" w:cs="宋体"/>
          <w:b/>
          <w:bCs/>
          <w:sz w:val="24"/>
          <w:highlight w:val="none"/>
        </w:rPr>
        <w:t>附件1</w:t>
      </w:r>
      <w:bookmarkEnd w:id="190"/>
      <w:bookmarkEnd w:id="191"/>
      <w:r>
        <w:rPr>
          <w:rFonts w:hint="eastAsia" w:ascii="宋体" w:hAnsi="宋体" w:cs="宋体"/>
          <w:b/>
          <w:bCs/>
          <w:sz w:val="24"/>
          <w:highlight w:val="none"/>
        </w:rPr>
        <w:t>6</w:t>
      </w:r>
    </w:p>
    <w:p>
      <w:pPr>
        <w:pStyle w:val="4"/>
        <w:jc w:val="center"/>
        <w:rPr>
          <w:rFonts w:ascii="宋体" w:hAnsi="宋体" w:cs="宋体"/>
          <w:sz w:val="24"/>
          <w:szCs w:val="24"/>
          <w:highlight w:val="none"/>
        </w:rPr>
      </w:pPr>
      <w:bookmarkStart w:id="192" w:name="_Toc15242"/>
      <w:r>
        <w:rPr>
          <w:rFonts w:hint="eastAsia" w:ascii="宋体" w:hAnsi="宋体" w:cs="宋体"/>
          <w:sz w:val="24"/>
          <w:szCs w:val="24"/>
          <w:highlight w:val="none"/>
        </w:rPr>
        <w:t>监狱企业声明函（符合本声明函填写）</w:t>
      </w:r>
      <w:bookmarkEnd w:id="192"/>
    </w:p>
    <w:p>
      <w:pPr>
        <w:spacing w:line="360" w:lineRule="auto"/>
        <w:jc w:val="center"/>
        <w:rPr>
          <w:rFonts w:ascii="宋体" w:hAnsi="宋体"/>
          <w:kern w:val="0"/>
          <w:sz w:val="24"/>
          <w:highlight w:val="none"/>
        </w:rPr>
      </w:pPr>
      <w:r>
        <w:rPr>
          <w:rFonts w:hint="eastAsia" w:ascii="宋体" w:hAnsi="宋体"/>
          <w:kern w:val="0"/>
          <w:sz w:val="24"/>
          <w:highlight w:val="none"/>
        </w:rPr>
        <w:t>（监狱企业适用）</w:t>
      </w:r>
    </w:p>
    <w:p>
      <w:pPr>
        <w:spacing w:line="360" w:lineRule="auto"/>
        <w:ind w:firstLine="540" w:firstLineChars="225"/>
        <w:rPr>
          <w:rFonts w:ascii="宋体" w:hAnsi="宋体"/>
          <w:kern w:val="0"/>
          <w:sz w:val="24"/>
          <w:highlight w:val="none"/>
        </w:rPr>
      </w:pPr>
      <w:r>
        <w:rPr>
          <w:rFonts w:hint="eastAsia" w:ascii="宋体" w:hAnsi="宋体"/>
          <w:kern w:val="0"/>
          <w:sz w:val="24"/>
          <w:highlight w:val="none"/>
        </w:rPr>
        <w:t>本公司郑重声明，根据《关于政府采购支持监狱企业发展有关问题的通知》（财库</w:t>
      </w:r>
      <w:r>
        <w:rPr>
          <w:rFonts w:ascii="宋体" w:hAnsi="宋体"/>
          <w:kern w:val="0"/>
          <w:sz w:val="24"/>
          <w:highlight w:val="none"/>
        </w:rPr>
        <w:t>[2014]68</w:t>
      </w:r>
      <w:r>
        <w:rPr>
          <w:rFonts w:hint="eastAsia" w:ascii="宋体" w:hAnsi="宋体"/>
          <w:kern w:val="0"/>
          <w:sz w:val="24"/>
          <w:highlight w:val="none"/>
        </w:rPr>
        <w:t>号）的规定，本公司为监狱企业。</w:t>
      </w:r>
    </w:p>
    <w:p>
      <w:pPr>
        <w:spacing w:line="360" w:lineRule="auto"/>
        <w:ind w:firstLine="540" w:firstLineChars="225"/>
        <w:rPr>
          <w:rFonts w:ascii="宋体" w:hAnsi="宋体"/>
          <w:kern w:val="0"/>
          <w:sz w:val="24"/>
          <w:highlight w:val="none"/>
        </w:rPr>
      </w:pPr>
      <w:r>
        <w:rPr>
          <w:rFonts w:hint="eastAsia" w:ascii="宋体" w:hAnsi="宋体"/>
          <w:kern w:val="0"/>
          <w:sz w:val="24"/>
          <w:highlight w:val="none"/>
        </w:rPr>
        <w:t>本公司参加</w:t>
      </w:r>
      <w:r>
        <w:rPr>
          <w:rFonts w:ascii="宋体" w:hAnsi="宋体"/>
          <w:kern w:val="0"/>
          <w:sz w:val="24"/>
          <w:highlight w:val="none"/>
        </w:rPr>
        <w:t>______</w:t>
      </w:r>
      <w:r>
        <w:rPr>
          <w:rFonts w:hint="eastAsia" w:ascii="宋体" w:hAnsi="宋体"/>
          <w:kern w:val="0"/>
          <w:sz w:val="24"/>
          <w:highlight w:val="none"/>
        </w:rPr>
        <w:t>单位的</w:t>
      </w:r>
      <w:r>
        <w:rPr>
          <w:rFonts w:ascii="宋体" w:hAnsi="宋体"/>
          <w:kern w:val="0"/>
          <w:sz w:val="24"/>
          <w:highlight w:val="none"/>
        </w:rPr>
        <w:t>______</w:t>
      </w:r>
      <w:r>
        <w:rPr>
          <w:rFonts w:hint="eastAsia" w:ascii="宋体" w:hAnsi="宋体"/>
          <w:kern w:val="0"/>
          <w:sz w:val="24"/>
          <w:highlight w:val="none"/>
        </w:rPr>
        <w:t>项目采购活动，采购活动提供本企业（填写制造的货物，由本企业承担工程、提供服务）。</w:t>
      </w:r>
    </w:p>
    <w:p>
      <w:pPr>
        <w:spacing w:line="360" w:lineRule="auto"/>
        <w:ind w:firstLine="540" w:firstLineChars="225"/>
        <w:rPr>
          <w:rFonts w:ascii="宋体" w:hAnsi="宋体"/>
          <w:kern w:val="0"/>
          <w:sz w:val="24"/>
          <w:highlight w:val="none"/>
        </w:rPr>
      </w:pPr>
      <w:r>
        <w:rPr>
          <w:rFonts w:hint="eastAsia" w:ascii="宋体" w:hAnsi="宋体"/>
          <w:kern w:val="0"/>
          <w:sz w:val="24"/>
          <w:highlight w:val="none"/>
        </w:rPr>
        <w:t>本条所称货物不包括使用大型企业注册商标的货物和服务。</w:t>
      </w:r>
    </w:p>
    <w:p>
      <w:pPr>
        <w:spacing w:line="360" w:lineRule="auto"/>
        <w:ind w:firstLine="540" w:firstLineChars="225"/>
        <w:rPr>
          <w:rFonts w:ascii="宋体" w:hAnsi="宋体"/>
          <w:kern w:val="0"/>
          <w:sz w:val="24"/>
          <w:highlight w:val="none"/>
        </w:rPr>
      </w:pPr>
      <w:r>
        <w:rPr>
          <w:rFonts w:hint="eastAsia" w:ascii="宋体" w:hAnsi="宋体"/>
          <w:kern w:val="0"/>
          <w:sz w:val="24"/>
          <w:highlight w:val="none"/>
        </w:rPr>
        <w:t>本公司对上述声明的真实性负责。如有虚假，将依法承担相应责任。</w:t>
      </w:r>
    </w:p>
    <w:p>
      <w:pPr>
        <w:spacing w:line="360" w:lineRule="auto"/>
        <w:ind w:firstLine="4860" w:firstLineChars="2025"/>
        <w:rPr>
          <w:rFonts w:ascii="宋体" w:hAnsi="宋体"/>
          <w:kern w:val="0"/>
          <w:sz w:val="24"/>
          <w:highlight w:val="none"/>
        </w:rPr>
      </w:pPr>
    </w:p>
    <w:p>
      <w:pPr>
        <w:spacing w:line="360" w:lineRule="auto"/>
        <w:ind w:firstLine="4320" w:firstLineChars="1800"/>
        <w:rPr>
          <w:rFonts w:ascii="宋体" w:hAnsi="宋体"/>
          <w:kern w:val="0"/>
          <w:sz w:val="24"/>
          <w:highlight w:val="none"/>
        </w:rPr>
      </w:pPr>
      <w:r>
        <w:rPr>
          <w:rFonts w:hint="eastAsia" w:ascii="宋体" w:hAnsi="宋体"/>
          <w:kern w:val="0"/>
          <w:sz w:val="24"/>
          <w:highlight w:val="none"/>
        </w:rPr>
        <w:t>供应商（盖章）：</w:t>
      </w:r>
    </w:p>
    <w:p>
      <w:pPr>
        <w:spacing w:line="360" w:lineRule="auto"/>
        <w:ind w:firstLine="4320" w:firstLineChars="1800"/>
        <w:rPr>
          <w:rFonts w:ascii="宋体" w:hAnsi="宋体"/>
          <w:kern w:val="0"/>
          <w:sz w:val="24"/>
          <w:highlight w:val="none"/>
        </w:rPr>
      </w:pPr>
      <w:r>
        <w:rPr>
          <w:rFonts w:hint="eastAsia" w:ascii="宋体" w:hAnsi="宋体"/>
          <w:kern w:val="0"/>
          <w:sz w:val="24"/>
          <w:highlight w:val="none"/>
        </w:rPr>
        <w:t>法定代表人或其被授权人</w:t>
      </w:r>
      <w:r>
        <w:rPr>
          <w:rFonts w:hint="eastAsia" w:ascii="宋体" w:hAnsi="宋体" w:cs="宋体"/>
          <w:sz w:val="24"/>
          <w:highlight w:val="none"/>
        </w:rPr>
        <w:t>（签字或盖章）</w:t>
      </w:r>
      <w:r>
        <w:rPr>
          <w:rFonts w:hint="eastAsia" w:ascii="宋体" w:hAnsi="宋体"/>
          <w:kern w:val="0"/>
          <w:sz w:val="24"/>
          <w:highlight w:val="none"/>
        </w:rPr>
        <w:t>：</w:t>
      </w:r>
    </w:p>
    <w:p>
      <w:pPr>
        <w:tabs>
          <w:tab w:val="left" w:pos="2880"/>
        </w:tabs>
        <w:spacing w:line="460" w:lineRule="atLeast"/>
        <w:ind w:firstLine="4320" w:firstLineChars="1800"/>
        <w:rPr>
          <w:rFonts w:ascii="宋体" w:hAnsi="宋体"/>
          <w:sz w:val="24"/>
          <w:szCs w:val="24"/>
          <w:highlight w:val="none"/>
        </w:rPr>
      </w:pPr>
      <w:r>
        <w:rPr>
          <w:rFonts w:hint="eastAsia" w:ascii="宋体" w:hAnsi="宋体"/>
          <w:kern w:val="0"/>
          <w:sz w:val="24"/>
          <w:highlight w:val="none"/>
        </w:rPr>
        <w:t>日期：</w:t>
      </w:r>
    </w:p>
    <w:p>
      <w:pPr>
        <w:spacing w:line="360" w:lineRule="auto"/>
        <w:rPr>
          <w:rFonts w:ascii="宋体" w:hAnsi="宋体"/>
          <w:kern w:val="0"/>
          <w:sz w:val="24"/>
          <w:highlight w:val="none"/>
        </w:rPr>
      </w:pPr>
      <w:r>
        <w:rPr>
          <w:rFonts w:hint="eastAsia" w:ascii="宋体" w:hAnsi="宋体"/>
          <w:kern w:val="0"/>
          <w:sz w:val="24"/>
          <w:highlight w:val="none"/>
        </w:rPr>
        <w:t>注：后附监狱企业资格证明文件</w:t>
      </w:r>
    </w:p>
    <w:p>
      <w:pPr>
        <w:spacing w:line="440" w:lineRule="exact"/>
        <w:rPr>
          <w:rFonts w:ascii="宋体" w:hAnsi="宋体"/>
          <w:sz w:val="24"/>
          <w:highlight w:val="none"/>
        </w:rPr>
      </w:pPr>
      <w:r>
        <w:rPr>
          <w:rFonts w:hint="eastAsia" w:ascii="宋体" w:hAnsi="宋体"/>
          <w:sz w:val="24"/>
          <w:highlight w:val="none"/>
        </w:rPr>
        <w:t>1.</w:t>
      </w:r>
      <w:r>
        <w:rPr>
          <w:rFonts w:hint="eastAsia" w:ascii="宋体" w:hAnsi="宋体"/>
          <w:highlight w:val="none"/>
        </w:rPr>
        <w:t xml:space="preserve"> </w:t>
      </w:r>
      <w:r>
        <w:rPr>
          <w:rFonts w:hint="eastAsia" w:ascii="宋体" w:hAnsi="宋体"/>
          <w:sz w:val="24"/>
          <w:highlight w:val="none"/>
        </w:rPr>
        <w:t>省级以上监狱管理局、戒毒管理局（含新疆生产建设兵团）出具的属于监狱企业的证明文件；</w:t>
      </w:r>
    </w:p>
    <w:p>
      <w:pPr>
        <w:tabs>
          <w:tab w:val="left" w:pos="2880"/>
        </w:tabs>
        <w:spacing w:line="460" w:lineRule="atLeast"/>
        <w:jc w:val="left"/>
        <w:rPr>
          <w:rFonts w:ascii="宋体" w:hAnsi="宋体" w:cs="宋体"/>
          <w:b/>
          <w:kern w:val="0"/>
          <w:sz w:val="24"/>
          <w:highlight w:val="none"/>
        </w:rPr>
      </w:pPr>
      <w:r>
        <w:rPr>
          <w:rFonts w:hint="eastAsia" w:ascii="宋体" w:hAnsi="宋体"/>
          <w:sz w:val="24"/>
          <w:highlight w:val="none"/>
        </w:rPr>
        <w:t>2.证明材料加盖供应商公章。</w:t>
      </w:r>
    </w:p>
    <w:p>
      <w:pPr>
        <w:rPr>
          <w:rFonts w:ascii="宋体" w:hAnsi="宋体" w:cs="宋体"/>
          <w:b/>
          <w:bCs/>
          <w:sz w:val="24"/>
          <w:highlight w:val="none"/>
        </w:rPr>
      </w:pPr>
      <w:r>
        <w:rPr>
          <w:rFonts w:hint="eastAsia" w:ascii="宋体" w:hAnsi="宋体"/>
          <w:b/>
          <w:bCs/>
          <w:kern w:val="0"/>
          <w:sz w:val="24"/>
          <w:highlight w:val="none"/>
        </w:rPr>
        <w:t>（若响应性文件中无上述证明文件，则在评审时不考虑对该监狱企业的相关优惠。）</w:t>
      </w:r>
    </w:p>
    <w:p>
      <w:pPr>
        <w:rPr>
          <w:rFonts w:ascii="宋体" w:hAnsi="宋体" w:cs="宋体"/>
          <w:b/>
          <w:bCs/>
          <w:sz w:val="24"/>
          <w:highlight w:val="none"/>
        </w:rPr>
      </w:pPr>
      <w:r>
        <w:rPr>
          <w:rFonts w:hint="eastAsia" w:ascii="宋体" w:hAnsi="宋体" w:cs="宋体"/>
          <w:b/>
          <w:bCs/>
          <w:sz w:val="24"/>
          <w:highlight w:val="none"/>
        </w:rPr>
        <w:br w:type="page"/>
      </w:r>
    </w:p>
    <w:p>
      <w:pPr>
        <w:widowControl/>
        <w:spacing w:line="360" w:lineRule="auto"/>
        <w:jc w:val="left"/>
        <w:outlineLvl w:val="0"/>
        <w:rPr>
          <w:rFonts w:ascii="宋体" w:hAnsi="宋体" w:cs="宋体"/>
          <w:b/>
          <w:bCs/>
          <w:sz w:val="24"/>
          <w:highlight w:val="none"/>
        </w:rPr>
      </w:pPr>
      <w:bookmarkStart w:id="193" w:name="_Toc3738"/>
      <w:bookmarkStart w:id="194" w:name="_Toc21303"/>
      <w:r>
        <w:rPr>
          <w:rFonts w:hint="eastAsia" w:ascii="宋体" w:hAnsi="宋体" w:cs="宋体"/>
          <w:b/>
          <w:bCs/>
          <w:sz w:val="24"/>
          <w:highlight w:val="none"/>
        </w:rPr>
        <w:t>附件1</w:t>
      </w:r>
      <w:bookmarkEnd w:id="193"/>
      <w:bookmarkEnd w:id="194"/>
      <w:r>
        <w:rPr>
          <w:rFonts w:hint="eastAsia" w:ascii="宋体" w:hAnsi="宋体" w:cs="宋体"/>
          <w:b/>
          <w:bCs/>
          <w:sz w:val="24"/>
          <w:highlight w:val="none"/>
        </w:rPr>
        <w:t>7</w:t>
      </w:r>
    </w:p>
    <w:p>
      <w:pPr>
        <w:pStyle w:val="4"/>
        <w:jc w:val="center"/>
        <w:rPr>
          <w:rFonts w:ascii="宋体" w:hAnsi="宋体" w:cs="宋体"/>
          <w:sz w:val="24"/>
          <w:szCs w:val="24"/>
          <w:highlight w:val="none"/>
        </w:rPr>
      </w:pPr>
      <w:bookmarkStart w:id="195" w:name="_Toc22175"/>
      <w:r>
        <w:rPr>
          <w:rFonts w:hint="eastAsia" w:ascii="宋体" w:hAnsi="宋体" w:cs="宋体"/>
          <w:sz w:val="24"/>
          <w:szCs w:val="24"/>
          <w:highlight w:val="none"/>
        </w:rPr>
        <w:t>残疾人福利性单位声明函（符合本声明函填写）</w:t>
      </w:r>
      <w:bookmarkEnd w:id="195"/>
    </w:p>
    <w:p>
      <w:pPr>
        <w:widowControl/>
        <w:adjustRightInd w:val="0"/>
        <w:snapToGrid w:val="0"/>
        <w:spacing w:line="440" w:lineRule="exact"/>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本单位郑重声明，根据《财政部</w:t>
      </w:r>
      <w:r>
        <w:rPr>
          <w:rFonts w:ascii="宋体" w:hAnsi="宋体" w:cs="宋体"/>
          <w:spacing w:val="6"/>
          <w:kern w:val="0"/>
          <w:sz w:val="24"/>
          <w:szCs w:val="24"/>
          <w:highlight w:val="none"/>
        </w:rPr>
        <w:t xml:space="preserve"> </w:t>
      </w:r>
      <w:r>
        <w:rPr>
          <w:rFonts w:hint="eastAsia" w:ascii="宋体" w:hAnsi="宋体" w:cs="宋体"/>
          <w:spacing w:val="6"/>
          <w:kern w:val="0"/>
          <w:sz w:val="24"/>
          <w:szCs w:val="24"/>
          <w:highlight w:val="none"/>
        </w:rPr>
        <w:t>民政部</w:t>
      </w:r>
      <w:r>
        <w:rPr>
          <w:rFonts w:ascii="宋体" w:hAnsi="宋体" w:cs="宋体"/>
          <w:spacing w:val="6"/>
          <w:kern w:val="0"/>
          <w:sz w:val="24"/>
          <w:szCs w:val="24"/>
          <w:highlight w:val="none"/>
        </w:rPr>
        <w:t xml:space="preserve"> </w:t>
      </w:r>
      <w:r>
        <w:rPr>
          <w:rFonts w:hint="eastAsia" w:ascii="宋体" w:hAnsi="宋体" w:cs="宋体"/>
          <w:spacing w:val="6"/>
          <w:kern w:val="0"/>
          <w:sz w:val="24"/>
          <w:szCs w:val="24"/>
          <w:highlight w:val="none"/>
        </w:rPr>
        <w:t>中国残疾人联合会关于促进残疾人就业政府采购政策的通知》（财库〔</w:t>
      </w:r>
      <w:r>
        <w:rPr>
          <w:rFonts w:ascii="宋体" w:hAnsi="宋体" w:cs="宋体"/>
          <w:spacing w:val="6"/>
          <w:kern w:val="0"/>
          <w:sz w:val="24"/>
          <w:szCs w:val="24"/>
          <w:highlight w:val="none"/>
        </w:rPr>
        <w:t>2017</w:t>
      </w:r>
      <w:r>
        <w:rPr>
          <w:rFonts w:hint="eastAsia" w:ascii="宋体" w:hAnsi="宋体" w:cs="宋体"/>
          <w:spacing w:val="6"/>
          <w:kern w:val="0"/>
          <w:sz w:val="24"/>
          <w:szCs w:val="24"/>
          <w:highlight w:val="none"/>
        </w:rPr>
        <w:t>〕</w:t>
      </w:r>
      <w:r>
        <w:rPr>
          <w:rFonts w:ascii="宋体" w:hAnsi="宋体" w:cs="宋体"/>
          <w:spacing w:val="6"/>
          <w:kern w:val="0"/>
          <w:sz w:val="24"/>
          <w:szCs w:val="24"/>
          <w:highlight w:val="none"/>
        </w:rPr>
        <w:t xml:space="preserve"> 141</w:t>
      </w:r>
      <w:r>
        <w:rPr>
          <w:rFonts w:hint="eastAsia" w:ascii="宋体" w:hAnsi="宋体" w:cs="宋体"/>
          <w:spacing w:val="6"/>
          <w:kern w:val="0"/>
          <w:sz w:val="24"/>
          <w:szCs w:val="24"/>
          <w:highlight w:val="none"/>
        </w:rPr>
        <w:t>号）的规定，本单位为符合条件的残疾人福利性单位，且本单位参加</w:t>
      </w:r>
      <w:r>
        <w:rPr>
          <w:rFonts w:ascii="宋体" w:hAnsi="宋体" w:cs="宋体"/>
          <w:spacing w:val="6"/>
          <w:kern w:val="0"/>
          <w:sz w:val="24"/>
          <w:szCs w:val="24"/>
          <w:highlight w:val="none"/>
        </w:rPr>
        <w:t>______</w:t>
      </w:r>
      <w:r>
        <w:rPr>
          <w:rFonts w:hint="eastAsia" w:ascii="宋体" w:hAnsi="宋体" w:cs="宋体"/>
          <w:spacing w:val="6"/>
          <w:kern w:val="0"/>
          <w:sz w:val="24"/>
          <w:szCs w:val="24"/>
          <w:highlight w:val="none"/>
        </w:rPr>
        <w:t>单位的</w:t>
      </w:r>
      <w:r>
        <w:rPr>
          <w:rFonts w:ascii="宋体" w:hAnsi="宋体" w:cs="宋体"/>
          <w:spacing w:val="6"/>
          <w:kern w:val="0"/>
          <w:sz w:val="24"/>
          <w:szCs w:val="24"/>
          <w:highlight w:val="none"/>
        </w:rPr>
        <w:t>______</w:t>
      </w:r>
      <w:r>
        <w:rPr>
          <w:rFonts w:hint="eastAsia" w:ascii="宋体" w:hAnsi="宋体" w:cs="宋体"/>
          <w:spacing w:val="6"/>
          <w:kern w:val="0"/>
          <w:sz w:val="24"/>
          <w:szCs w:val="24"/>
          <w:highlight w:val="none"/>
        </w:rPr>
        <w:t>项目采购活动提供本单位制造的货物（由本单位承担工程</w:t>
      </w:r>
      <w:r>
        <w:rPr>
          <w:rFonts w:ascii="宋体" w:hAnsi="宋体" w:cs="宋体"/>
          <w:spacing w:val="6"/>
          <w:kern w:val="0"/>
          <w:sz w:val="24"/>
          <w:szCs w:val="24"/>
          <w:highlight w:val="none"/>
        </w:rPr>
        <w:t>/</w:t>
      </w:r>
      <w:r>
        <w:rPr>
          <w:rFonts w:hint="eastAsia" w:ascii="宋体" w:hAnsi="宋体" w:cs="宋体"/>
          <w:spacing w:val="6"/>
          <w:kern w:val="0"/>
          <w:sz w:val="24"/>
          <w:szCs w:val="24"/>
          <w:highlight w:val="none"/>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本单位对上述声明的真实性负责。如有虚假，将依法承担相应责任。</w:t>
      </w:r>
      <w:r>
        <w:rPr>
          <w:rFonts w:ascii="宋体" w:hAnsi="宋体" w:cs="宋体"/>
          <w:spacing w:val="6"/>
          <w:kern w:val="0"/>
          <w:sz w:val="24"/>
          <w:szCs w:val="24"/>
          <w:highlight w:val="none"/>
        </w:rPr>
        <w:t xml:space="preserve"> </w:t>
      </w:r>
    </w:p>
    <w:p>
      <w:pPr>
        <w:widowControl/>
        <w:adjustRightInd w:val="0"/>
        <w:snapToGrid w:val="0"/>
        <w:spacing w:line="440" w:lineRule="exact"/>
        <w:ind w:firstLine="504" w:firstLineChars="200"/>
        <w:jc w:val="left"/>
        <w:rPr>
          <w:rFonts w:ascii="宋体" w:hAnsi="宋体" w:cs="宋体"/>
          <w:spacing w:val="6"/>
          <w:kern w:val="0"/>
          <w:sz w:val="24"/>
          <w:szCs w:val="24"/>
          <w:highlight w:val="none"/>
        </w:rPr>
      </w:pPr>
    </w:p>
    <w:p>
      <w:pPr>
        <w:widowControl/>
        <w:adjustRightInd w:val="0"/>
        <w:snapToGrid w:val="0"/>
        <w:spacing w:line="440" w:lineRule="exact"/>
        <w:ind w:firstLine="5544" w:firstLineChars="2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单位名称（盖章）：</w:t>
      </w:r>
    </w:p>
    <w:p>
      <w:pPr>
        <w:widowControl/>
        <w:adjustRightInd w:val="0"/>
        <w:snapToGrid w:val="0"/>
        <w:spacing w:line="440" w:lineRule="exact"/>
        <w:ind w:firstLine="504" w:firstLineChars="200"/>
        <w:jc w:val="left"/>
        <w:rPr>
          <w:rFonts w:ascii="宋体" w:hAnsi="宋体" w:cs="宋体"/>
          <w:spacing w:val="6"/>
          <w:kern w:val="0"/>
          <w:sz w:val="24"/>
          <w:szCs w:val="24"/>
          <w:highlight w:val="none"/>
        </w:rPr>
      </w:pPr>
      <w:r>
        <w:rPr>
          <w:rFonts w:ascii="宋体" w:hAnsi="宋体" w:cs="宋体"/>
          <w:spacing w:val="6"/>
          <w:kern w:val="0"/>
          <w:sz w:val="24"/>
          <w:szCs w:val="24"/>
          <w:highlight w:val="none"/>
        </w:rPr>
        <w:t xml:space="preserve">                                      </w:t>
      </w:r>
      <w:r>
        <w:rPr>
          <w:rFonts w:hint="eastAsia" w:ascii="宋体" w:hAnsi="宋体" w:cs="宋体"/>
          <w:spacing w:val="6"/>
          <w:kern w:val="0"/>
          <w:sz w:val="24"/>
          <w:szCs w:val="24"/>
          <w:highlight w:val="none"/>
        </w:rPr>
        <w:t>日</w:t>
      </w:r>
      <w:r>
        <w:rPr>
          <w:rFonts w:ascii="宋体" w:hAnsi="宋体" w:cs="宋体"/>
          <w:spacing w:val="6"/>
          <w:kern w:val="0"/>
          <w:sz w:val="24"/>
          <w:szCs w:val="24"/>
          <w:highlight w:val="none"/>
        </w:rPr>
        <w:t xml:space="preserve">  </w:t>
      </w:r>
      <w:r>
        <w:rPr>
          <w:rFonts w:hint="eastAsia" w:ascii="宋体" w:hAnsi="宋体" w:cs="宋体"/>
          <w:spacing w:val="6"/>
          <w:kern w:val="0"/>
          <w:sz w:val="24"/>
          <w:szCs w:val="24"/>
          <w:highlight w:val="none"/>
        </w:rPr>
        <w:t>期：</w:t>
      </w:r>
    </w:p>
    <w:p>
      <w:pPr>
        <w:widowControl/>
        <w:jc w:val="left"/>
        <w:outlineLvl w:val="0"/>
        <w:rPr>
          <w:rFonts w:ascii="宋体" w:hAnsi="宋体"/>
          <w:b/>
          <w:bCs/>
          <w:sz w:val="24"/>
          <w:szCs w:val="24"/>
          <w:highlight w:val="none"/>
        </w:rPr>
      </w:pPr>
      <w:r>
        <w:rPr>
          <w:rFonts w:hint="eastAsia" w:ascii="宋体" w:hAnsi="宋体" w:cs="宋体"/>
          <w:bCs/>
          <w:sz w:val="24"/>
          <w:highlight w:val="none"/>
        </w:rPr>
        <w:br w:type="page"/>
      </w:r>
      <w:bookmarkStart w:id="196" w:name="_Toc1114"/>
      <w:bookmarkStart w:id="197" w:name="_Toc19534"/>
      <w:r>
        <w:rPr>
          <w:rFonts w:hint="eastAsia" w:ascii="宋体" w:hAnsi="宋体"/>
          <w:b/>
          <w:bCs/>
          <w:sz w:val="24"/>
          <w:szCs w:val="24"/>
          <w:highlight w:val="none"/>
        </w:rPr>
        <w:t>附件</w:t>
      </w:r>
      <w:bookmarkEnd w:id="196"/>
      <w:bookmarkEnd w:id="197"/>
      <w:r>
        <w:rPr>
          <w:rFonts w:hint="eastAsia" w:ascii="宋体" w:hAnsi="宋体"/>
          <w:b/>
          <w:bCs/>
          <w:sz w:val="24"/>
          <w:szCs w:val="24"/>
          <w:highlight w:val="none"/>
        </w:rPr>
        <w:t>18</w:t>
      </w:r>
    </w:p>
    <w:p>
      <w:pPr>
        <w:shd w:val="clear" w:color="auto" w:fill="FFFFFF"/>
        <w:tabs>
          <w:tab w:val="left" w:pos="996"/>
        </w:tabs>
        <w:spacing w:line="500" w:lineRule="exact"/>
        <w:jc w:val="center"/>
        <w:rPr>
          <w:rFonts w:ascii="宋体" w:hAnsi="宋体"/>
          <w:b/>
          <w:sz w:val="24"/>
          <w:szCs w:val="24"/>
          <w:highlight w:val="none"/>
        </w:rPr>
      </w:pPr>
      <w:bookmarkStart w:id="198" w:name="_Hlk7871373"/>
      <w:r>
        <w:rPr>
          <w:rFonts w:hint="eastAsia" w:ascii="宋体" w:hAnsi="宋体"/>
          <w:b/>
          <w:sz w:val="24"/>
          <w:szCs w:val="24"/>
          <w:highlight w:val="none"/>
        </w:rPr>
        <w:t>评审中所需资料</w:t>
      </w:r>
    </w:p>
    <w:bookmarkEnd w:id="198"/>
    <w:p>
      <w:pPr>
        <w:shd w:val="clear" w:color="auto" w:fill="FFFFFF"/>
        <w:tabs>
          <w:tab w:val="left" w:pos="996"/>
        </w:tabs>
        <w:spacing w:line="480" w:lineRule="auto"/>
        <w:jc w:val="center"/>
        <w:rPr>
          <w:rFonts w:ascii="宋体" w:hAnsi="宋体"/>
          <w:b/>
          <w:bCs/>
          <w:sz w:val="24"/>
          <w:szCs w:val="24"/>
          <w:highlight w:val="none"/>
        </w:rPr>
      </w:pPr>
    </w:p>
    <w:p>
      <w:pPr>
        <w:shd w:val="clear" w:color="auto" w:fill="FFFFFF"/>
        <w:tabs>
          <w:tab w:val="left" w:pos="996"/>
        </w:tabs>
        <w:spacing w:line="480" w:lineRule="auto"/>
        <w:jc w:val="center"/>
        <w:rPr>
          <w:rFonts w:ascii="宋体" w:hAnsi="宋体"/>
          <w:b/>
          <w:bCs/>
          <w:sz w:val="24"/>
          <w:szCs w:val="24"/>
          <w:highlight w:val="none"/>
        </w:rPr>
      </w:pPr>
      <w:r>
        <w:rPr>
          <w:rFonts w:hint="eastAsia" w:ascii="宋体" w:hAnsi="宋体"/>
          <w:b/>
          <w:bCs/>
          <w:sz w:val="24"/>
          <w:szCs w:val="24"/>
          <w:highlight w:val="none"/>
        </w:rPr>
        <w:t>由供应商自行编写，无具体格式。</w:t>
      </w:r>
    </w:p>
    <w:p>
      <w:pPr>
        <w:shd w:val="clear" w:color="auto" w:fill="FFFFFF"/>
        <w:tabs>
          <w:tab w:val="left" w:pos="996"/>
        </w:tabs>
        <w:spacing w:line="500" w:lineRule="exact"/>
        <w:jc w:val="left"/>
        <w:outlineLvl w:val="0"/>
        <w:rPr>
          <w:rFonts w:ascii="宋体" w:hAnsi="宋体"/>
          <w:b/>
          <w:bCs/>
          <w:sz w:val="24"/>
          <w:szCs w:val="24"/>
          <w:highlight w:val="none"/>
        </w:rPr>
      </w:pPr>
      <w:r>
        <w:rPr>
          <w:rFonts w:ascii="宋体" w:hAnsi="宋体"/>
          <w:sz w:val="24"/>
          <w:szCs w:val="24"/>
          <w:highlight w:val="none"/>
        </w:rPr>
        <w:br w:type="page"/>
      </w:r>
      <w:bookmarkStart w:id="199" w:name="_Toc1107"/>
      <w:bookmarkStart w:id="200" w:name="_Toc3583"/>
      <w:r>
        <w:rPr>
          <w:rFonts w:hint="eastAsia" w:ascii="宋体" w:hAnsi="宋体"/>
          <w:b/>
          <w:bCs/>
          <w:sz w:val="24"/>
          <w:szCs w:val="24"/>
          <w:highlight w:val="none"/>
        </w:rPr>
        <w:t>附件</w:t>
      </w:r>
      <w:bookmarkEnd w:id="199"/>
      <w:bookmarkEnd w:id="200"/>
      <w:r>
        <w:rPr>
          <w:rFonts w:hint="eastAsia" w:ascii="宋体" w:hAnsi="宋体"/>
          <w:b/>
          <w:bCs/>
          <w:sz w:val="24"/>
          <w:szCs w:val="24"/>
          <w:highlight w:val="none"/>
        </w:rPr>
        <w:t>19</w:t>
      </w:r>
    </w:p>
    <w:p>
      <w:pPr>
        <w:widowControl/>
        <w:spacing w:line="360" w:lineRule="auto"/>
        <w:ind w:left="720"/>
        <w:jc w:val="center"/>
        <w:outlineLvl w:val="0"/>
        <w:rPr>
          <w:highlight w:val="none"/>
        </w:rPr>
      </w:pPr>
      <w:bookmarkStart w:id="201" w:name="_Toc32680"/>
      <w:bookmarkStart w:id="202" w:name="_Toc14687"/>
      <w:r>
        <w:rPr>
          <w:rFonts w:ascii="宋体" w:hAnsi="宋体"/>
          <w:b/>
          <w:sz w:val="24"/>
          <w:szCs w:val="24"/>
          <w:highlight w:val="none"/>
        </w:rPr>
        <w:t>供应商认为有必要提供的其他资料</w:t>
      </w:r>
      <w:bookmarkEnd w:id="201"/>
      <w:bookmarkEnd w:id="202"/>
    </w:p>
    <w:sectPr>
      <w:footerReference r:id="rId8" w:type="default"/>
      <w:pgSz w:w="11911" w:h="16838"/>
      <w:pgMar w:top="1440" w:right="1633" w:bottom="1440" w:left="1633" w:header="0" w:footer="879"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Hiragino Sans GB W3">
    <w:altName w:val="宋体"/>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pacing w:line="14" w:lineRule="auto"/>
      <w:jc w:val="left"/>
      <w:rPr>
        <w:rFonts w:ascii="宋体" w:hAnsi="宋体" w:cs="宋体"/>
        <w:sz w:val="20"/>
        <w:szCs w:val="24"/>
        <w:lang w:val="zh-CN" w:bidi="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ind w:right="360"/>
      <w:rPr>
        <w:rFonts w:ascii="宋体"/>
        <w:kern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jc w:val="center"/>
                          </w:pPr>
                          <w:r>
                            <w:fldChar w:fldCharType="begin"/>
                          </w:r>
                          <w:r>
                            <w:instrText xml:space="preserve"> PAGE   \* MERGEFORMAT </w:instrText>
                          </w:r>
                          <w:r>
                            <w:fldChar w:fldCharType="separate"/>
                          </w:r>
                          <w:r>
                            <w:rPr>
                              <w:lang w:val="zh-CN"/>
                            </w:rPr>
                            <w:t>-</w:t>
                          </w:r>
                          <w:r>
                            <w:t xml:space="preserve"> 29 -</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UP3SJywEAAJcDAAAOAAAAAAAAAAEAIAAAACIBAABkcnMv&#10;ZTJvRG9jLnhtbFBLBQYAAAAABgAGAFkBAABfBQAAAAA=&#10;">
              <v:fill on="f" focussize="0,0"/>
              <v:stroke on="f" weight="1.25pt"/>
              <v:imagedata o:title=""/>
              <o:lock v:ext="edit" aspectratio="f"/>
              <v:textbox inset="0mm,0mm,0mm,0mm" style="mso-fit-shape-to-text:t;">
                <w:txbxContent>
                  <w:p>
                    <w:pPr>
                      <w:pStyle w:val="16"/>
                      <w:jc w:val="center"/>
                    </w:pPr>
                    <w:r>
                      <w:fldChar w:fldCharType="begin"/>
                    </w:r>
                    <w:r>
                      <w:instrText xml:space="preserve"> PAGE   \* MERGEFORMAT </w:instrText>
                    </w:r>
                    <w:r>
                      <w:fldChar w:fldCharType="separate"/>
                    </w:r>
                    <w:r>
                      <w:rPr>
                        <w:lang w:val="zh-CN"/>
                      </w:rPr>
                      <w:t>-</w:t>
                    </w:r>
                    <w:r>
                      <w:t xml:space="preserve"> 29 -</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jc w:val="center"/>
                          </w:pPr>
                          <w:r>
                            <w:fldChar w:fldCharType="begin"/>
                          </w:r>
                          <w:r>
                            <w:instrText xml:space="preserve">PAGE   \* MERGEFORMAT</w:instrText>
                          </w:r>
                          <w:r>
                            <w:fldChar w:fldCharType="separate"/>
                          </w:r>
                          <w:r>
                            <w:rPr>
                              <w:lang w:val="zh-CN"/>
                            </w:rPr>
                            <w:t>-</w:t>
                          </w:r>
                          <w:r>
                            <w:t xml:space="preserve"> 30 -</w:t>
                          </w:r>
                          <w: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I592vywEAAJcDAAAOAAAAAAAAAAEAIAAAACIBAABkcnMv&#10;ZTJvRG9jLnhtbFBLBQYAAAAABgAGAFkBAABfBQAAAAA=&#10;">
              <v:fill on="f" focussize="0,0"/>
              <v:stroke on="f" weight="1.25pt"/>
              <v:imagedata o:title=""/>
              <o:lock v:ext="edit" aspectratio="f"/>
              <v:textbox inset="0mm,0mm,0mm,0mm" style="mso-fit-shape-to-text:t;">
                <w:txbxContent>
                  <w:p>
                    <w:pPr>
                      <w:pStyle w:val="16"/>
                      <w:jc w:val="center"/>
                    </w:pPr>
                    <w:r>
                      <w:fldChar w:fldCharType="begin"/>
                    </w:r>
                    <w:r>
                      <w:instrText xml:space="preserve">PAGE   \* MERGEFORMAT</w:instrText>
                    </w:r>
                    <w:r>
                      <w:fldChar w:fldCharType="separate"/>
                    </w:r>
                    <w:r>
                      <w:rPr>
                        <w:lang w:val="zh-CN"/>
                      </w:rPr>
                      <w:t>-</w:t>
                    </w:r>
                    <w:r>
                      <w:t xml:space="preserve"> 30 -</w:t>
                    </w:r>
                    <w:r>
                      <w:fldChar w:fldCharType="end"/>
                    </w:r>
                  </w:p>
                </w:txbxContent>
              </v:textbox>
            </v:shape>
          </w:pict>
        </mc:Fallback>
      </mc:AlternateContent>
    </w:r>
  </w:p>
  <w:p>
    <w:pPr>
      <w:pStyle w:val="16"/>
      <w:ind w:right="360"/>
      <w:rPr>
        <w:rFonts w:ascii="宋体"/>
        <w:kern w:val="0"/>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none" w:color="auto" w:sz="0" w:space="1"/>
        <w:left w:val="none" w:color="auto" w:sz="0" w:space="4"/>
        <w:bottom w:val="none" w:color="auto" w:sz="0" w:space="1"/>
        <w:right w:val="none" w:color="auto" w:sz="0" w:space="4"/>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CBCA4"/>
    <w:multiLevelType w:val="singleLevel"/>
    <w:tmpl w:val="E77CBCA4"/>
    <w:lvl w:ilvl="0" w:tentative="0">
      <w:start w:val="1"/>
      <w:numFmt w:val="decimal"/>
      <w:suff w:val="nothing"/>
      <w:lvlText w:val="（%1）"/>
      <w:lvlJc w:val="left"/>
    </w:lvl>
  </w:abstractNum>
  <w:abstractNum w:abstractNumId="1">
    <w:nsid w:val="EA1D55C2"/>
    <w:multiLevelType w:val="singleLevel"/>
    <w:tmpl w:val="EA1D55C2"/>
    <w:lvl w:ilvl="0" w:tentative="0">
      <w:start w:val="3"/>
      <w:numFmt w:val="decimal"/>
      <w:lvlText w:val="%1."/>
      <w:lvlJc w:val="left"/>
      <w:pPr>
        <w:tabs>
          <w:tab w:val="left" w:pos="312"/>
        </w:tabs>
      </w:pPr>
    </w:lvl>
  </w:abstractNum>
  <w:abstractNum w:abstractNumId="2">
    <w:nsid w:val="3F2E7D64"/>
    <w:multiLevelType w:val="singleLevel"/>
    <w:tmpl w:val="3F2E7D64"/>
    <w:lvl w:ilvl="0" w:tentative="0">
      <w:start w:val="5"/>
      <w:numFmt w:val="chineseCounting"/>
      <w:suff w:val="nothing"/>
      <w:lvlText w:val="%1、"/>
      <w:lvlJc w:val="left"/>
      <w:rPr>
        <w:rFonts w:hint="eastAsia"/>
      </w:rPr>
    </w:lvl>
  </w:abstractNum>
  <w:abstractNum w:abstractNumId="3">
    <w:nsid w:val="721853E8"/>
    <w:multiLevelType w:val="multilevel"/>
    <w:tmpl w:val="721853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94AA2"/>
    <w:multiLevelType w:val="singleLevel"/>
    <w:tmpl w:val="77494AA2"/>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jVjMDQzNGQ2YmM0NDNlZTdiYzYxNmI2Njg2NzAifQ=="/>
    <w:docVar w:name="KSO_WPS_MARK_KEY" w:val="fc030781-f9b1-4b1a-83ad-26491d6d2519"/>
  </w:docVars>
  <w:rsids>
    <w:rsidRoot w:val="0052434E"/>
    <w:rsid w:val="00003009"/>
    <w:rsid w:val="000035B7"/>
    <w:rsid w:val="00007C50"/>
    <w:rsid w:val="00007D80"/>
    <w:rsid w:val="00012482"/>
    <w:rsid w:val="0001627F"/>
    <w:rsid w:val="00016722"/>
    <w:rsid w:val="00016F5D"/>
    <w:rsid w:val="00017E90"/>
    <w:rsid w:val="00021971"/>
    <w:rsid w:val="000228F6"/>
    <w:rsid w:val="000231AE"/>
    <w:rsid w:val="00024546"/>
    <w:rsid w:val="00024EBC"/>
    <w:rsid w:val="000262B6"/>
    <w:rsid w:val="00027CF0"/>
    <w:rsid w:val="0003071A"/>
    <w:rsid w:val="00031579"/>
    <w:rsid w:val="000333DF"/>
    <w:rsid w:val="00033E52"/>
    <w:rsid w:val="00034063"/>
    <w:rsid w:val="000347F4"/>
    <w:rsid w:val="00036433"/>
    <w:rsid w:val="00041DB0"/>
    <w:rsid w:val="000433F2"/>
    <w:rsid w:val="00045EDD"/>
    <w:rsid w:val="00046AAD"/>
    <w:rsid w:val="00047338"/>
    <w:rsid w:val="0005137C"/>
    <w:rsid w:val="0005268E"/>
    <w:rsid w:val="00052742"/>
    <w:rsid w:val="00054917"/>
    <w:rsid w:val="000554DD"/>
    <w:rsid w:val="000565E6"/>
    <w:rsid w:val="000568ED"/>
    <w:rsid w:val="0006040F"/>
    <w:rsid w:val="00062214"/>
    <w:rsid w:val="00062604"/>
    <w:rsid w:val="00062713"/>
    <w:rsid w:val="00065494"/>
    <w:rsid w:val="00070428"/>
    <w:rsid w:val="0007052D"/>
    <w:rsid w:val="0007065C"/>
    <w:rsid w:val="00071080"/>
    <w:rsid w:val="00071821"/>
    <w:rsid w:val="00071EE4"/>
    <w:rsid w:val="00076439"/>
    <w:rsid w:val="00076C3D"/>
    <w:rsid w:val="00077A10"/>
    <w:rsid w:val="00083FB2"/>
    <w:rsid w:val="000846A9"/>
    <w:rsid w:val="00084FFF"/>
    <w:rsid w:val="000869B2"/>
    <w:rsid w:val="00087B48"/>
    <w:rsid w:val="00090AD9"/>
    <w:rsid w:val="00090D5A"/>
    <w:rsid w:val="0009138C"/>
    <w:rsid w:val="000941D7"/>
    <w:rsid w:val="00094601"/>
    <w:rsid w:val="000966EB"/>
    <w:rsid w:val="000969EC"/>
    <w:rsid w:val="000971CC"/>
    <w:rsid w:val="000976F6"/>
    <w:rsid w:val="000A19F3"/>
    <w:rsid w:val="000A3BB1"/>
    <w:rsid w:val="000B3627"/>
    <w:rsid w:val="000B401E"/>
    <w:rsid w:val="000B4A0A"/>
    <w:rsid w:val="000B5C38"/>
    <w:rsid w:val="000B7910"/>
    <w:rsid w:val="000C0CD7"/>
    <w:rsid w:val="000C44EA"/>
    <w:rsid w:val="000C474B"/>
    <w:rsid w:val="000C5572"/>
    <w:rsid w:val="000C5A15"/>
    <w:rsid w:val="000D0937"/>
    <w:rsid w:val="000D0AF7"/>
    <w:rsid w:val="000D1CCB"/>
    <w:rsid w:val="000D1E24"/>
    <w:rsid w:val="000D267D"/>
    <w:rsid w:val="000D45E6"/>
    <w:rsid w:val="000D4D6F"/>
    <w:rsid w:val="000D5374"/>
    <w:rsid w:val="000D5712"/>
    <w:rsid w:val="000D6577"/>
    <w:rsid w:val="000D6A82"/>
    <w:rsid w:val="000D6B87"/>
    <w:rsid w:val="000D7149"/>
    <w:rsid w:val="000E086E"/>
    <w:rsid w:val="000E25D1"/>
    <w:rsid w:val="000E53E6"/>
    <w:rsid w:val="000E572B"/>
    <w:rsid w:val="000E57C9"/>
    <w:rsid w:val="000E5F6F"/>
    <w:rsid w:val="000E6145"/>
    <w:rsid w:val="000F0F1E"/>
    <w:rsid w:val="000F2B60"/>
    <w:rsid w:val="000F3437"/>
    <w:rsid w:val="000F3C76"/>
    <w:rsid w:val="000F44D8"/>
    <w:rsid w:val="001011F2"/>
    <w:rsid w:val="00101335"/>
    <w:rsid w:val="0010171A"/>
    <w:rsid w:val="00103B1C"/>
    <w:rsid w:val="00103DD4"/>
    <w:rsid w:val="00104572"/>
    <w:rsid w:val="0010504D"/>
    <w:rsid w:val="001075B7"/>
    <w:rsid w:val="00107A1D"/>
    <w:rsid w:val="00110651"/>
    <w:rsid w:val="0011274C"/>
    <w:rsid w:val="00112BBC"/>
    <w:rsid w:val="001144B8"/>
    <w:rsid w:val="00122106"/>
    <w:rsid w:val="00122974"/>
    <w:rsid w:val="0012799C"/>
    <w:rsid w:val="001307D2"/>
    <w:rsid w:val="00130C90"/>
    <w:rsid w:val="00131CF6"/>
    <w:rsid w:val="00131E73"/>
    <w:rsid w:val="00131E74"/>
    <w:rsid w:val="0013440A"/>
    <w:rsid w:val="00134EA7"/>
    <w:rsid w:val="0013658B"/>
    <w:rsid w:val="0014073D"/>
    <w:rsid w:val="00141187"/>
    <w:rsid w:val="0014178E"/>
    <w:rsid w:val="0014240E"/>
    <w:rsid w:val="00143328"/>
    <w:rsid w:val="00144678"/>
    <w:rsid w:val="0014497C"/>
    <w:rsid w:val="00150271"/>
    <w:rsid w:val="00152C72"/>
    <w:rsid w:val="0015555A"/>
    <w:rsid w:val="00156ABD"/>
    <w:rsid w:val="00162A14"/>
    <w:rsid w:val="001639CC"/>
    <w:rsid w:val="00163AFA"/>
    <w:rsid w:val="001643F6"/>
    <w:rsid w:val="00166A22"/>
    <w:rsid w:val="001705BC"/>
    <w:rsid w:val="00170AC7"/>
    <w:rsid w:val="00170BB2"/>
    <w:rsid w:val="0017251E"/>
    <w:rsid w:val="001779DC"/>
    <w:rsid w:val="00177C33"/>
    <w:rsid w:val="001813BF"/>
    <w:rsid w:val="00183CC2"/>
    <w:rsid w:val="001857AE"/>
    <w:rsid w:val="001861A8"/>
    <w:rsid w:val="00187C65"/>
    <w:rsid w:val="00190057"/>
    <w:rsid w:val="00190291"/>
    <w:rsid w:val="001906E5"/>
    <w:rsid w:val="001914B2"/>
    <w:rsid w:val="0019206A"/>
    <w:rsid w:val="001929B8"/>
    <w:rsid w:val="0019383A"/>
    <w:rsid w:val="001A1285"/>
    <w:rsid w:val="001A3F72"/>
    <w:rsid w:val="001A4043"/>
    <w:rsid w:val="001A472E"/>
    <w:rsid w:val="001A560E"/>
    <w:rsid w:val="001A5C22"/>
    <w:rsid w:val="001A60AD"/>
    <w:rsid w:val="001A7E0C"/>
    <w:rsid w:val="001B15FB"/>
    <w:rsid w:val="001B1800"/>
    <w:rsid w:val="001B25F2"/>
    <w:rsid w:val="001B4732"/>
    <w:rsid w:val="001B4820"/>
    <w:rsid w:val="001B55C4"/>
    <w:rsid w:val="001C0793"/>
    <w:rsid w:val="001C1596"/>
    <w:rsid w:val="001C2485"/>
    <w:rsid w:val="001C532F"/>
    <w:rsid w:val="001C5E4C"/>
    <w:rsid w:val="001C6C49"/>
    <w:rsid w:val="001D0419"/>
    <w:rsid w:val="001D1558"/>
    <w:rsid w:val="001D1978"/>
    <w:rsid w:val="001D19C2"/>
    <w:rsid w:val="001D2948"/>
    <w:rsid w:val="001D3934"/>
    <w:rsid w:val="001D6810"/>
    <w:rsid w:val="001E04B0"/>
    <w:rsid w:val="001E06C1"/>
    <w:rsid w:val="001E0E0E"/>
    <w:rsid w:val="001E0E75"/>
    <w:rsid w:val="001E1340"/>
    <w:rsid w:val="001E1416"/>
    <w:rsid w:val="001E2DBF"/>
    <w:rsid w:val="001F1BDD"/>
    <w:rsid w:val="001F1DC1"/>
    <w:rsid w:val="001F2D2D"/>
    <w:rsid w:val="001F5C1D"/>
    <w:rsid w:val="002049BC"/>
    <w:rsid w:val="002061A3"/>
    <w:rsid w:val="00206A3E"/>
    <w:rsid w:val="002077D2"/>
    <w:rsid w:val="00210D8E"/>
    <w:rsid w:val="00210FF4"/>
    <w:rsid w:val="002114E8"/>
    <w:rsid w:val="00213A51"/>
    <w:rsid w:val="00213A59"/>
    <w:rsid w:val="00216E1D"/>
    <w:rsid w:val="00217597"/>
    <w:rsid w:val="0022328A"/>
    <w:rsid w:val="00230042"/>
    <w:rsid w:val="002302AE"/>
    <w:rsid w:val="0023135B"/>
    <w:rsid w:val="00233690"/>
    <w:rsid w:val="00235631"/>
    <w:rsid w:val="002360C4"/>
    <w:rsid w:val="00241B80"/>
    <w:rsid w:val="00247591"/>
    <w:rsid w:val="0025060A"/>
    <w:rsid w:val="002525FA"/>
    <w:rsid w:val="00252A60"/>
    <w:rsid w:val="00255BD3"/>
    <w:rsid w:val="00262068"/>
    <w:rsid w:val="002623BE"/>
    <w:rsid w:val="00263077"/>
    <w:rsid w:val="00263502"/>
    <w:rsid w:val="00263E5B"/>
    <w:rsid w:val="00264538"/>
    <w:rsid w:val="00266F2A"/>
    <w:rsid w:val="002673D1"/>
    <w:rsid w:val="002708C0"/>
    <w:rsid w:val="00270A26"/>
    <w:rsid w:val="00273428"/>
    <w:rsid w:val="00274716"/>
    <w:rsid w:val="00276744"/>
    <w:rsid w:val="002840D1"/>
    <w:rsid w:val="0028739E"/>
    <w:rsid w:val="0028792E"/>
    <w:rsid w:val="00287EFA"/>
    <w:rsid w:val="0029101F"/>
    <w:rsid w:val="002916C7"/>
    <w:rsid w:val="002919A5"/>
    <w:rsid w:val="00292233"/>
    <w:rsid w:val="002934E2"/>
    <w:rsid w:val="0029415F"/>
    <w:rsid w:val="002954D3"/>
    <w:rsid w:val="00295736"/>
    <w:rsid w:val="00296216"/>
    <w:rsid w:val="002963F7"/>
    <w:rsid w:val="002A22CB"/>
    <w:rsid w:val="002A2AAF"/>
    <w:rsid w:val="002A4254"/>
    <w:rsid w:val="002A4877"/>
    <w:rsid w:val="002A55E5"/>
    <w:rsid w:val="002A790A"/>
    <w:rsid w:val="002A7B9E"/>
    <w:rsid w:val="002B110A"/>
    <w:rsid w:val="002B1167"/>
    <w:rsid w:val="002B2612"/>
    <w:rsid w:val="002B2BBB"/>
    <w:rsid w:val="002B3339"/>
    <w:rsid w:val="002B4825"/>
    <w:rsid w:val="002B4BE1"/>
    <w:rsid w:val="002B51AF"/>
    <w:rsid w:val="002B5EBA"/>
    <w:rsid w:val="002C05EA"/>
    <w:rsid w:val="002C28A3"/>
    <w:rsid w:val="002C4E4B"/>
    <w:rsid w:val="002D09D3"/>
    <w:rsid w:val="002E6248"/>
    <w:rsid w:val="002E65EC"/>
    <w:rsid w:val="002F05EF"/>
    <w:rsid w:val="002F0CB0"/>
    <w:rsid w:val="002F1B79"/>
    <w:rsid w:val="002F1F6C"/>
    <w:rsid w:val="002F1FC8"/>
    <w:rsid w:val="002F27E9"/>
    <w:rsid w:val="002F3922"/>
    <w:rsid w:val="002F3F67"/>
    <w:rsid w:val="002F5135"/>
    <w:rsid w:val="002F62ED"/>
    <w:rsid w:val="002F6354"/>
    <w:rsid w:val="002F6D34"/>
    <w:rsid w:val="002F73BE"/>
    <w:rsid w:val="00303010"/>
    <w:rsid w:val="003043FF"/>
    <w:rsid w:val="00305BB5"/>
    <w:rsid w:val="00305EEA"/>
    <w:rsid w:val="003060C9"/>
    <w:rsid w:val="003065F6"/>
    <w:rsid w:val="00306E89"/>
    <w:rsid w:val="0030772D"/>
    <w:rsid w:val="00314960"/>
    <w:rsid w:val="0031730B"/>
    <w:rsid w:val="003200CE"/>
    <w:rsid w:val="00320578"/>
    <w:rsid w:val="003248C3"/>
    <w:rsid w:val="003255FA"/>
    <w:rsid w:val="0032602F"/>
    <w:rsid w:val="00326E77"/>
    <w:rsid w:val="00327E23"/>
    <w:rsid w:val="00331C2B"/>
    <w:rsid w:val="00332C97"/>
    <w:rsid w:val="003351F7"/>
    <w:rsid w:val="00335710"/>
    <w:rsid w:val="0034194B"/>
    <w:rsid w:val="00341B23"/>
    <w:rsid w:val="00343DA6"/>
    <w:rsid w:val="003441F9"/>
    <w:rsid w:val="003538F9"/>
    <w:rsid w:val="00355ACC"/>
    <w:rsid w:val="003573E1"/>
    <w:rsid w:val="0035742B"/>
    <w:rsid w:val="003575D9"/>
    <w:rsid w:val="003661A5"/>
    <w:rsid w:val="00373087"/>
    <w:rsid w:val="0037311B"/>
    <w:rsid w:val="00374742"/>
    <w:rsid w:val="00374EBA"/>
    <w:rsid w:val="00375F76"/>
    <w:rsid w:val="00381527"/>
    <w:rsid w:val="003827E3"/>
    <w:rsid w:val="003842C1"/>
    <w:rsid w:val="003843D1"/>
    <w:rsid w:val="0038650B"/>
    <w:rsid w:val="003912C0"/>
    <w:rsid w:val="003917B7"/>
    <w:rsid w:val="003924BA"/>
    <w:rsid w:val="003933C1"/>
    <w:rsid w:val="00393F65"/>
    <w:rsid w:val="003959A3"/>
    <w:rsid w:val="0039788F"/>
    <w:rsid w:val="003A0BAE"/>
    <w:rsid w:val="003A1F35"/>
    <w:rsid w:val="003A2E1B"/>
    <w:rsid w:val="003A3AE0"/>
    <w:rsid w:val="003A4DFE"/>
    <w:rsid w:val="003A65F7"/>
    <w:rsid w:val="003B36A2"/>
    <w:rsid w:val="003B4B15"/>
    <w:rsid w:val="003B4D13"/>
    <w:rsid w:val="003B583D"/>
    <w:rsid w:val="003B60E4"/>
    <w:rsid w:val="003B7017"/>
    <w:rsid w:val="003C056D"/>
    <w:rsid w:val="003C2A2E"/>
    <w:rsid w:val="003C2B81"/>
    <w:rsid w:val="003C371E"/>
    <w:rsid w:val="003C3950"/>
    <w:rsid w:val="003C715E"/>
    <w:rsid w:val="003D1E1C"/>
    <w:rsid w:val="003D3A56"/>
    <w:rsid w:val="003D3ADB"/>
    <w:rsid w:val="003D49BB"/>
    <w:rsid w:val="003D5A32"/>
    <w:rsid w:val="003D5CE7"/>
    <w:rsid w:val="003E14D2"/>
    <w:rsid w:val="003E23D5"/>
    <w:rsid w:val="003E2569"/>
    <w:rsid w:val="003E39D5"/>
    <w:rsid w:val="003E45FA"/>
    <w:rsid w:val="003E596B"/>
    <w:rsid w:val="003E6A83"/>
    <w:rsid w:val="003E6EA6"/>
    <w:rsid w:val="003F0F07"/>
    <w:rsid w:val="003F5C00"/>
    <w:rsid w:val="003F5EF5"/>
    <w:rsid w:val="003F64D1"/>
    <w:rsid w:val="003F6547"/>
    <w:rsid w:val="003F6D0D"/>
    <w:rsid w:val="003F7584"/>
    <w:rsid w:val="003F7A25"/>
    <w:rsid w:val="00400C7A"/>
    <w:rsid w:val="00401BBC"/>
    <w:rsid w:val="00402176"/>
    <w:rsid w:val="00404AB5"/>
    <w:rsid w:val="00410837"/>
    <w:rsid w:val="00410DC1"/>
    <w:rsid w:val="00412C12"/>
    <w:rsid w:val="004134C7"/>
    <w:rsid w:val="004136AC"/>
    <w:rsid w:val="00414176"/>
    <w:rsid w:val="00414AFB"/>
    <w:rsid w:val="004163E3"/>
    <w:rsid w:val="00416420"/>
    <w:rsid w:val="0041767A"/>
    <w:rsid w:val="00420AAF"/>
    <w:rsid w:val="004278A2"/>
    <w:rsid w:val="004279C4"/>
    <w:rsid w:val="00430D32"/>
    <w:rsid w:val="00431422"/>
    <w:rsid w:val="00431682"/>
    <w:rsid w:val="00432705"/>
    <w:rsid w:val="00433D63"/>
    <w:rsid w:val="004344AD"/>
    <w:rsid w:val="0043484F"/>
    <w:rsid w:val="0043605A"/>
    <w:rsid w:val="00436775"/>
    <w:rsid w:val="00437DD4"/>
    <w:rsid w:val="00441A92"/>
    <w:rsid w:val="00442E8D"/>
    <w:rsid w:val="00443AFA"/>
    <w:rsid w:val="00444923"/>
    <w:rsid w:val="00444CFC"/>
    <w:rsid w:val="00444F21"/>
    <w:rsid w:val="00446617"/>
    <w:rsid w:val="00447364"/>
    <w:rsid w:val="004536AD"/>
    <w:rsid w:val="00456AE0"/>
    <w:rsid w:val="0046225F"/>
    <w:rsid w:val="00464D61"/>
    <w:rsid w:val="00470AED"/>
    <w:rsid w:val="004735DD"/>
    <w:rsid w:val="004772C7"/>
    <w:rsid w:val="00477B31"/>
    <w:rsid w:val="00477D12"/>
    <w:rsid w:val="00480430"/>
    <w:rsid w:val="00484989"/>
    <w:rsid w:val="00486319"/>
    <w:rsid w:val="0048632C"/>
    <w:rsid w:val="00487431"/>
    <w:rsid w:val="00492B7A"/>
    <w:rsid w:val="00493270"/>
    <w:rsid w:val="00493F29"/>
    <w:rsid w:val="00497234"/>
    <w:rsid w:val="00497871"/>
    <w:rsid w:val="004A1B6E"/>
    <w:rsid w:val="004A1E0C"/>
    <w:rsid w:val="004A704C"/>
    <w:rsid w:val="004A7653"/>
    <w:rsid w:val="004A7BF9"/>
    <w:rsid w:val="004B0FFC"/>
    <w:rsid w:val="004B272F"/>
    <w:rsid w:val="004B5075"/>
    <w:rsid w:val="004B50B2"/>
    <w:rsid w:val="004B5597"/>
    <w:rsid w:val="004C0B3F"/>
    <w:rsid w:val="004C134A"/>
    <w:rsid w:val="004C3E8B"/>
    <w:rsid w:val="004C4FF6"/>
    <w:rsid w:val="004C6043"/>
    <w:rsid w:val="004C7C33"/>
    <w:rsid w:val="004D17DC"/>
    <w:rsid w:val="004D1E81"/>
    <w:rsid w:val="004D23F7"/>
    <w:rsid w:val="004D4D93"/>
    <w:rsid w:val="004D6173"/>
    <w:rsid w:val="004D62F2"/>
    <w:rsid w:val="004D66D2"/>
    <w:rsid w:val="004D6B5E"/>
    <w:rsid w:val="004D6EF6"/>
    <w:rsid w:val="004E1787"/>
    <w:rsid w:val="004E22AD"/>
    <w:rsid w:val="004E4CE5"/>
    <w:rsid w:val="004E57AE"/>
    <w:rsid w:val="004F01BB"/>
    <w:rsid w:val="004F04C2"/>
    <w:rsid w:val="004F17B9"/>
    <w:rsid w:val="004F24DC"/>
    <w:rsid w:val="004F5001"/>
    <w:rsid w:val="004F7154"/>
    <w:rsid w:val="0050209D"/>
    <w:rsid w:val="005072FD"/>
    <w:rsid w:val="005076E0"/>
    <w:rsid w:val="00507B91"/>
    <w:rsid w:val="0051041D"/>
    <w:rsid w:val="0051245D"/>
    <w:rsid w:val="0051497A"/>
    <w:rsid w:val="00515189"/>
    <w:rsid w:val="0051540B"/>
    <w:rsid w:val="00515E04"/>
    <w:rsid w:val="005211F6"/>
    <w:rsid w:val="0052153C"/>
    <w:rsid w:val="00522117"/>
    <w:rsid w:val="005222E4"/>
    <w:rsid w:val="00523C58"/>
    <w:rsid w:val="00524024"/>
    <w:rsid w:val="0052434E"/>
    <w:rsid w:val="00525567"/>
    <w:rsid w:val="00531388"/>
    <w:rsid w:val="00532E37"/>
    <w:rsid w:val="00533E80"/>
    <w:rsid w:val="00533EE8"/>
    <w:rsid w:val="005354AF"/>
    <w:rsid w:val="00536436"/>
    <w:rsid w:val="005367D1"/>
    <w:rsid w:val="00536936"/>
    <w:rsid w:val="00540774"/>
    <w:rsid w:val="00540BF6"/>
    <w:rsid w:val="0055055A"/>
    <w:rsid w:val="00550F41"/>
    <w:rsid w:val="00551871"/>
    <w:rsid w:val="00551C00"/>
    <w:rsid w:val="005538F9"/>
    <w:rsid w:val="00555B5F"/>
    <w:rsid w:val="00555C67"/>
    <w:rsid w:val="0056064F"/>
    <w:rsid w:val="005610B7"/>
    <w:rsid w:val="00561DDF"/>
    <w:rsid w:val="00561E6C"/>
    <w:rsid w:val="00565A53"/>
    <w:rsid w:val="00565C45"/>
    <w:rsid w:val="005662D1"/>
    <w:rsid w:val="00570DD3"/>
    <w:rsid w:val="00570E92"/>
    <w:rsid w:val="00571356"/>
    <w:rsid w:val="0057157D"/>
    <w:rsid w:val="005717E0"/>
    <w:rsid w:val="00572088"/>
    <w:rsid w:val="005743B2"/>
    <w:rsid w:val="0057598E"/>
    <w:rsid w:val="005759CD"/>
    <w:rsid w:val="00576727"/>
    <w:rsid w:val="005825D8"/>
    <w:rsid w:val="0058415F"/>
    <w:rsid w:val="005868AE"/>
    <w:rsid w:val="00590E51"/>
    <w:rsid w:val="005915F0"/>
    <w:rsid w:val="0059398C"/>
    <w:rsid w:val="0059471D"/>
    <w:rsid w:val="00594CCD"/>
    <w:rsid w:val="00595DDF"/>
    <w:rsid w:val="005A1139"/>
    <w:rsid w:val="005A140C"/>
    <w:rsid w:val="005A1762"/>
    <w:rsid w:val="005A3611"/>
    <w:rsid w:val="005A491F"/>
    <w:rsid w:val="005A5FC5"/>
    <w:rsid w:val="005A706A"/>
    <w:rsid w:val="005A7295"/>
    <w:rsid w:val="005B3BD4"/>
    <w:rsid w:val="005B4152"/>
    <w:rsid w:val="005B61C0"/>
    <w:rsid w:val="005B6A02"/>
    <w:rsid w:val="005B7439"/>
    <w:rsid w:val="005B7E05"/>
    <w:rsid w:val="005C0719"/>
    <w:rsid w:val="005C7138"/>
    <w:rsid w:val="005C78B3"/>
    <w:rsid w:val="005D5CC9"/>
    <w:rsid w:val="005E05D6"/>
    <w:rsid w:val="005E07ED"/>
    <w:rsid w:val="005E0A53"/>
    <w:rsid w:val="005E3B92"/>
    <w:rsid w:val="005E701D"/>
    <w:rsid w:val="005F1340"/>
    <w:rsid w:val="005F5FB9"/>
    <w:rsid w:val="005F6CD4"/>
    <w:rsid w:val="006018F5"/>
    <w:rsid w:val="00601AE6"/>
    <w:rsid w:val="0060384C"/>
    <w:rsid w:val="00603C83"/>
    <w:rsid w:val="006051DF"/>
    <w:rsid w:val="006057EE"/>
    <w:rsid w:val="006072B1"/>
    <w:rsid w:val="00607B09"/>
    <w:rsid w:val="00612249"/>
    <w:rsid w:val="00612CD3"/>
    <w:rsid w:val="00613808"/>
    <w:rsid w:val="00615471"/>
    <w:rsid w:val="00621CCF"/>
    <w:rsid w:val="00622D73"/>
    <w:rsid w:val="00623A4C"/>
    <w:rsid w:val="00624765"/>
    <w:rsid w:val="006247D7"/>
    <w:rsid w:val="00627940"/>
    <w:rsid w:val="00627CD5"/>
    <w:rsid w:val="00627D34"/>
    <w:rsid w:val="00627FEE"/>
    <w:rsid w:val="00632FE6"/>
    <w:rsid w:val="006335A9"/>
    <w:rsid w:val="00635F4F"/>
    <w:rsid w:val="00636BA9"/>
    <w:rsid w:val="00637088"/>
    <w:rsid w:val="00637586"/>
    <w:rsid w:val="00637C40"/>
    <w:rsid w:val="00647FB5"/>
    <w:rsid w:val="00650967"/>
    <w:rsid w:val="006510DB"/>
    <w:rsid w:val="006526E6"/>
    <w:rsid w:val="00653A4C"/>
    <w:rsid w:val="00653CEB"/>
    <w:rsid w:val="00654443"/>
    <w:rsid w:val="00655072"/>
    <w:rsid w:val="006564AB"/>
    <w:rsid w:val="00657B24"/>
    <w:rsid w:val="00657F6B"/>
    <w:rsid w:val="00661999"/>
    <w:rsid w:val="00667300"/>
    <w:rsid w:val="006675C8"/>
    <w:rsid w:val="00670C86"/>
    <w:rsid w:val="00671993"/>
    <w:rsid w:val="00672850"/>
    <w:rsid w:val="00674620"/>
    <w:rsid w:val="00675D1C"/>
    <w:rsid w:val="00681A19"/>
    <w:rsid w:val="00683A34"/>
    <w:rsid w:val="00684001"/>
    <w:rsid w:val="00684E9A"/>
    <w:rsid w:val="00685E8A"/>
    <w:rsid w:val="00685FC5"/>
    <w:rsid w:val="00686CD6"/>
    <w:rsid w:val="00687CFD"/>
    <w:rsid w:val="00690DD1"/>
    <w:rsid w:val="00695C30"/>
    <w:rsid w:val="006963B3"/>
    <w:rsid w:val="006A0736"/>
    <w:rsid w:val="006A2836"/>
    <w:rsid w:val="006A2E56"/>
    <w:rsid w:val="006A3D54"/>
    <w:rsid w:val="006A5FF2"/>
    <w:rsid w:val="006A7B6C"/>
    <w:rsid w:val="006B16D9"/>
    <w:rsid w:val="006B2933"/>
    <w:rsid w:val="006B3E1F"/>
    <w:rsid w:val="006B638D"/>
    <w:rsid w:val="006C0F9D"/>
    <w:rsid w:val="006C10B1"/>
    <w:rsid w:val="006C26C2"/>
    <w:rsid w:val="006C3B84"/>
    <w:rsid w:val="006C5A90"/>
    <w:rsid w:val="006C5B75"/>
    <w:rsid w:val="006C7B05"/>
    <w:rsid w:val="006D2EBA"/>
    <w:rsid w:val="006D4D45"/>
    <w:rsid w:val="006E084B"/>
    <w:rsid w:val="006E12C0"/>
    <w:rsid w:val="006E1E2D"/>
    <w:rsid w:val="006E226E"/>
    <w:rsid w:val="006E2A7B"/>
    <w:rsid w:val="006E4C19"/>
    <w:rsid w:val="006E5E3C"/>
    <w:rsid w:val="006E6898"/>
    <w:rsid w:val="006F0AEF"/>
    <w:rsid w:val="006F3F59"/>
    <w:rsid w:val="006F4574"/>
    <w:rsid w:val="006F5CCF"/>
    <w:rsid w:val="006F6507"/>
    <w:rsid w:val="006F6994"/>
    <w:rsid w:val="006F7363"/>
    <w:rsid w:val="00702971"/>
    <w:rsid w:val="00705748"/>
    <w:rsid w:val="00706252"/>
    <w:rsid w:val="007100FD"/>
    <w:rsid w:val="00710D75"/>
    <w:rsid w:val="00711293"/>
    <w:rsid w:val="00712CC7"/>
    <w:rsid w:val="00715A28"/>
    <w:rsid w:val="00716137"/>
    <w:rsid w:val="007173EE"/>
    <w:rsid w:val="00717681"/>
    <w:rsid w:val="00717D5C"/>
    <w:rsid w:val="0072056A"/>
    <w:rsid w:val="00720BD1"/>
    <w:rsid w:val="00720CE3"/>
    <w:rsid w:val="00721DD6"/>
    <w:rsid w:val="00722046"/>
    <w:rsid w:val="00723403"/>
    <w:rsid w:val="00724B1E"/>
    <w:rsid w:val="007254F8"/>
    <w:rsid w:val="007301B4"/>
    <w:rsid w:val="00730915"/>
    <w:rsid w:val="007335B1"/>
    <w:rsid w:val="00734108"/>
    <w:rsid w:val="00735E65"/>
    <w:rsid w:val="00735EE9"/>
    <w:rsid w:val="00735F4C"/>
    <w:rsid w:val="00737615"/>
    <w:rsid w:val="00737B95"/>
    <w:rsid w:val="00741374"/>
    <w:rsid w:val="0074194E"/>
    <w:rsid w:val="00741ECC"/>
    <w:rsid w:val="00742E1E"/>
    <w:rsid w:val="007440E6"/>
    <w:rsid w:val="00745CF4"/>
    <w:rsid w:val="00745FBF"/>
    <w:rsid w:val="00746B9D"/>
    <w:rsid w:val="00746BDF"/>
    <w:rsid w:val="007517CB"/>
    <w:rsid w:val="00751A3F"/>
    <w:rsid w:val="00753208"/>
    <w:rsid w:val="00753403"/>
    <w:rsid w:val="0075576E"/>
    <w:rsid w:val="007574A6"/>
    <w:rsid w:val="00760022"/>
    <w:rsid w:val="007625F9"/>
    <w:rsid w:val="00763EEF"/>
    <w:rsid w:val="00765061"/>
    <w:rsid w:val="00766605"/>
    <w:rsid w:val="007677A5"/>
    <w:rsid w:val="0077132F"/>
    <w:rsid w:val="0077288F"/>
    <w:rsid w:val="00772FC7"/>
    <w:rsid w:val="00773CDB"/>
    <w:rsid w:val="00773E45"/>
    <w:rsid w:val="00773F17"/>
    <w:rsid w:val="007754DC"/>
    <w:rsid w:val="00780B11"/>
    <w:rsid w:val="00781435"/>
    <w:rsid w:val="00781DC6"/>
    <w:rsid w:val="007856E4"/>
    <w:rsid w:val="007918C5"/>
    <w:rsid w:val="00791FB9"/>
    <w:rsid w:val="00791FFF"/>
    <w:rsid w:val="0079375A"/>
    <w:rsid w:val="007937E6"/>
    <w:rsid w:val="007954DC"/>
    <w:rsid w:val="00797029"/>
    <w:rsid w:val="007A1B21"/>
    <w:rsid w:val="007A204C"/>
    <w:rsid w:val="007A2C25"/>
    <w:rsid w:val="007A2F67"/>
    <w:rsid w:val="007A4501"/>
    <w:rsid w:val="007A6586"/>
    <w:rsid w:val="007A7358"/>
    <w:rsid w:val="007B0607"/>
    <w:rsid w:val="007B0F8C"/>
    <w:rsid w:val="007B11DC"/>
    <w:rsid w:val="007B462E"/>
    <w:rsid w:val="007B4E82"/>
    <w:rsid w:val="007B518C"/>
    <w:rsid w:val="007B57DB"/>
    <w:rsid w:val="007B58AA"/>
    <w:rsid w:val="007B617C"/>
    <w:rsid w:val="007B62BF"/>
    <w:rsid w:val="007C47C6"/>
    <w:rsid w:val="007C5578"/>
    <w:rsid w:val="007D09C7"/>
    <w:rsid w:val="007D13E5"/>
    <w:rsid w:val="007D2AF8"/>
    <w:rsid w:val="007D7196"/>
    <w:rsid w:val="007D7A77"/>
    <w:rsid w:val="007E0DEE"/>
    <w:rsid w:val="007E101F"/>
    <w:rsid w:val="007E1824"/>
    <w:rsid w:val="007E2C5B"/>
    <w:rsid w:val="007E489E"/>
    <w:rsid w:val="007E574A"/>
    <w:rsid w:val="007E5DBC"/>
    <w:rsid w:val="007E6905"/>
    <w:rsid w:val="007F5F04"/>
    <w:rsid w:val="007F66B9"/>
    <w:rsid w:val="007F6DA7"/>
    <w:rsid w:val="008015F3"/>
    <w:rsid w:val="0080358F"/>
    <w:rsid w:val="00803E83"/>
    <w:rsid w:val="00804638"/>
    <w:rsid w:val="00806E96"/>
    <w:rsid w:val="008077D5"/>
    <w:rsid w:val="00807B06"/>
    <w:rsid w:val="00807FF1"/>
    <w:rsid w:val="008106E9"/>
    <w:rsid w:val="00814A9B"/>
    <w:rsid w:val="00815F9F"/>
    <w:rsid w:val="008173BE"/>
    <w:rsid w:val="00826898"/>
    <w:rsid w:val="00826F82"/>
    <w:rsid w:val="00835ED2"/>
    <w:rsid w:val="00836628"/>
    <w:rsid w:val="00836954"/>
    <w:rsid w:val="00836CCC"/>
    <w:rsid w:val="00842148"/>
    <w:rsid w:val="00843B3C"/>
    <w:rsid w:val="00844AC1"/>
    <w:rsid w:val="00845944"/>
    <w:rsid w:val="00845B73"/>
    <w:rsid w:val="00845C12"/>
    <w:rsid w:val="00850FD7"/>
    <w:rsid w:val="0085121D"/>
    <w:rsid w:val="00851654"/>
    <w:rsid w:val="00852B90"/>
    <w:rsid w:val="008537C2"/>
    <w:rsid w:val="0085396F"/>
    <w:rsid w:val="00854228"/>
    <w:rsid w:val="00860BBD"/>
    <w:rsid w:val="00863498"/>
    <w:rsid w:val="00864BCD"/>
    <w:rsid w:val="008652FE"/>
    <w:rsid w:val="008657B2"/>
    <w:rsid w:val="008709FB"/>
    <w:rsid w:val="00870FB8"/>
    <w:rsid w:val="00871B50"/>
    <w:rsid w:val="0087396B"/>
    <w:rsid w:val="00874691"/>
    <w:rsid w:val="00880219"/>
    <w:rsid w:val="008813BA"/>
    <w:rsid w:val="00881E85"/>
    <w:rsid w:val="00882B86"/>
    <w:rsid w:val="00884463"/>
    <w:rsid w:val="008849B8"/>
    <w:rsid w:val="0088727B"/>
    <w:rsid w:val="00890C53"/>
    <w:rsid w:val="008917B1"/>
    <w:rsid w:val="008922A9"/>
    <w:rsid w:val="00892C76"/>
    <w:rsid w:val="00892F2D"/>
    <w:rsid w:val="00893D41"/>
    <w:rsid w:val="00895618"/>
    <w:rsid w:val="00896301"/>
    <w:rsid w:val="008969FE"/>
    <w:rsid w:val="008A05B8"/>
    <w:rsid w:val="008A0984"/>
    <w:rsid w:val="008A21C1"/>
    <w:rsid w:val="008A3744"/>
    <w:rsid w:val="008A37BD"/>
    <w:rsid w:val="008A4C54"/>
    <w:rsid w:val="008A531B"/>
    <w:rsid w:val="008A6CC7"/>
    <w:rsid w:val="008A7B11"/>
    <w:rsid w:val="008A7E5A"/>
    <w:rsid w:val="008B1B5C"/>
    <w:rsid w:val="008B3DA3"/>
    <w:rsid w:val="008B472D"/>
    <w:rsid w:val="008B5FDF"/>
    <w:rsid w:val="008C0D2A"/>
    <w:rsid w:val="008C284C"/>
    <w:rsid w:val="008C3D23"/>
    <w:rsid w:val="008C4BE5"/>
    <w:rsid w:val="008C4C2C"/>
    <w:rsid w:val="008C4F00"/>
    <w:rsid w:val="008C4F79"/>
    <w:rsid w:val="008C5D35"/>
    <w:rsid w:val="008C6024"/>
    <w:rsid w:val="008C6B08"/>
    <w:rsid w:val="008D08F0"/>
    <w:rsid w:val="008D0CA9"/>
    <w:rsid w:val="008D1202"/>
    <w:rsid w:val="008D35FE"/>
    <w:rsid w:val="008D4977"/>
    <w:rsid w:val="008D59F8"/>
    <w:rsid w:val="008E07FF"/>
    <w:rsid w:val="008E1AAA"/>
    <w:rsid w:val="008E2314"/>
    <w:rsid w:val="008E2741"/>
    <w:rsid w:val="008E64A4"/>
    <w:rsid w:val="008E6EEB"/>
    <w:rsid w:val="008E712E"/>
    <w:rsid w:val="008E779D"/>
    <w:rsid w:val="008F4977"/>
    <w:rsid w:val="008F4FB0"/>
    <w:rsid w:val="008F52ED"/>
    <w:rsid w:val="008F6EC3"/>
    <w:rsid w:val="009024EB"/>
    <w:rsid w:val="0090379B"/>
    <w:rsid w:val="009039A7"/>
    <w:rsid w:val="0090609E"/>
    <w:rsid w:val="00906B52"/>
    <w:rsid w:val="00910647"/>
    <w:rsid w:val="009118CB"/>
    <w:rsid w:val="00914CF1"/>
    <w:rsid w:val="0091540B"/>
    <w:rsid w:val="00916058"/>
    <w:rsid w:val="00916264"/>
    <w:rsid w:val="009168AF"/>
    <w:rsid w:val="00917058"/>
    <w:rsid w:val="00923968"/>
    <w:rsid w:val="00930F1D"/>
    <w:rsid w:val="009310F9"/>
    <w:rsid w:val="009312B6"/>
    <w:rsid w:val="00933A01"/>
    <w:rsid w:val="00935F1D"/>
    <w:rsid w:val="00936995"/>
    <w:rsid w:val="0093747E"/>
    <w:rsid w:val="009444A4"/>
    <w:rsid w:val="009444DE"/>
    <w:rsid w:val="009446B3"/>
    <w:rsid w:val="009453F8"/>
    <w:rsid w:val="009520E2"/>
    <w:rsid w:val="009522A4"/>
    <w:rsid w:val="009537E4"/>
    <w:rsid w:val="009546AA"/>
    <w:rsid w:val="00955413"/>
    <w:rsid w:val="009568A2"/>
    <w:rsid w:val="00956C50"/>
    <w:rsid w:val="00957F78"/>
    <w:rsid w:val="00962739"/>
    <w:rsid w:val="009640D0"/>
    <w:rsid w:val="00967CE7"/>
    <w:rsid w:val="00970BC0"/>
    <w:rsid w:val="00972747"/>
    <w:rsid w:val="0097385B"/>
    <w:rsid w:val="00974B7F"/>
    <w:rsid w:val="0098082A"/>
    <w:rsid w:val="00980A9B"/>
    <w:rsid w:val="009825BF"/>
    <w:rsid w:val="009830E4"/>
    <w:rsid w:val="00983874"/>
    <w:rsid w:val="009857E5"/>
    <w:rsid w:val="0098649C"/>
    <w:rsid w:val="00986E19"/>
    <w:rsid w:val="00987AEE"/>
    <w:rsid w:val="00990972"/>
    <w:rsid w:val="009924B4"/>
    <w:rsid w:val="0099643E"/>
    <w:rsid w:val="009A00DF"/>
    <w:rsid w:val="009A0E9B"/>
    <w:rsid w:val="009A1CD9"/>
    <w:rsid w:val="009A21E4"/>
    <w:rsid w:val="009A646F"/>
    <w:rsid w:val="009A6791"/>
    <w:rsid w:val="009A7E86"/>
    <w:rsid w:val="009B4AEF"/>
    <w:rsid w:val="009B6220"/>
    <w:rsid w:val="009B6C69"/>
    <w:rsid w:val="009B7F80"/>
    <w:rsid w:val="009C1446"/>
    <w:rsid w:val="009C3085"/>
    <w:rsid w:val="009C4242"/>
    <w:rsid w:val="009C5B62"/>
    <w:rsid w:val="009C6EE8"/>
    <w:rsid w:val="009D01B8"/>
    <w:rsid w:val="009D05FA"/>
    <w:rsid w:val="009D066C"/>
    <w:rsid w:val="009D1AA1"/>
    <w:rsid w:val="009D1DF6"/>
    <w:rsid w:val="009D1F0A"/>
    <w:rsid w:val="009D2BBC"/>
    <w:rsid w:val="009D2ED7"/>
    <w:rsid w:val="009D5306"/>
    <w:rsid w:val="009D68B1"/>
    <w:rsid w:val="009D7BC2"/>
    <w:rsid w:val="009E018B"/>
    <w:rsid w:val="009E28F4"/>
    <w:rsid w:val="009E2FC8"/>
    <w:rsid w:val="009E36BD"/>
    <w:rsid w:val="009E3BE5"/>
    <w:rsid w:val="009E3F58"/>
    <w:rsid w:val="009E502B"/>
    <w:rsid w:val="009E5799"/>
    <w:rsid w:val="009E592C"/>
    <w:rsid w:val="009F09CC"/>
    <w:rsid w:val="009F0CED"/>
    <w:rsid w:val="009F4258"/>
    <w:rsid w:val="009F4F79"/>
    <w:rsid w:val="009F7023"/>
    <w:rsid w:val="00A04E05"/>
    <w:rsid w:val="00A04FB0"/>
    <w:rsid w:val="00A06CB3"/>
    <w:rsid w:val="00A0776B"/>
    <w:rsid w:val="00A12B0B"/>
    <w:rsid w:val="00A13B73"/>
    <w:rsid w:val="00A167F8"/>
    <w:rsid w:val="00A21E38"/>
    <w:rsid w:val="00A226DB"/>
    <w:rsid w:val="00A24F95"/>
    <w:rsid w:val="00A252A4"/>
    <w:rsid w:val="00A26B50"/>
    <w:rsid w:val="00A27747"/>
    <w:rsid w:val="00A2785B"/>
    <w:rsid w:val="00A27BE8"/>
    <w:rsid w:val="00A30F24"/>
    <w:rsid w:val="00A31CD9"/>
    <w:rsid w:val="00A33E94"/>
    <w:rsid w:val="00A34C68"/>
    <w:rsid w:val="00A35FEE"/>
    <w:rsid w:val="00A36879"/>
    <w:rsid w:val="00A4041E"/>
    <w:rsid w:val="00A42DAF"/>
    <w:rsid w:val="00A44401"/>
    <w:rsid w:val="00A51C6F"/>
    <w:rsid w:val="00A52884"/>
    <w:rsid w:val="00A54D77"/>
    <w:rsid w:val="00A5569B"/>
    <w:rsid w:val="00A5577F"/>
    <w:rsid w:val="00A66F8F"/>
    <w:rsid w:val="00A7512A"/>
    <w:rsid w:val="00A75B44"/>
    <w:rsid w:val="00A815E8"/>
    <w:rsid w:val="00A841AD"/>
    <w:rsid w:val="00A851D8"/>
    <w:rsid w:val="00A86A8E"/>
    <w:rsid w:val="00A90B9D"/>
    <w:rsid w:val="00A94174"/>
    <w:rsid w:val="00A9629E"/>
    <w:rsid w:val="00A97BC0"/>
    <w:rsid w:val="00AA0C69"/>
    <w:rsid w:val="00AA11D6"/>
    <w:rsid w:val="00AA1765"/>
    <w:rsid w:val="00AA3033"/>
    <w:rsid w:val="00AA31C2"/>
    <w:rsid w:val="00AA65E4"/>
    <w:rsid w:val="00AA7FB0"/>
    <w:rsid w:val="00AB0AF4"/>
    <w:rsid w:val="00AB0C58"/>
    <w:rsid w:val="00AB2A6D"/>
    <w:rsid w:val="00AB4896"/>
    <w:rsid w:val="00AB49CA"/>
    <w:rsid w:val="00AB5614"/>
    <w:rsid w:val="00AB62C5"/>
    <w:rsid w:val="00AC00C1"/>
    <w:rsid w:val="00AC0AAF"/>
    <w:rsid w:val="00AC0B40"/>
    <w:rsid w:val="00AC0D31"/>
    <w:rsid w:val="00AC0DBB"/>
    <w:rsid w:val="00AC1079"/>
    <w:rsid w:val="00AC17C7"/>
    <w:rsid w:val="00AC1F4B"/>
    <w:rsid w:val="00AC668A"/>
    <w:rsid w:val="00AC67BD"/>
    <w:rsid w:val="00AC6C28"/>
    <w:rsid w:val="00AC7650"/>
    <w:rsid w:val="00AD0853"/>
    <w:rsid w:val="00AD4FB1"/>
    <w:rsid w:val="00AD746B"/>
    <w:rsid w:val="00AD78AC"/>
    <w:rsid w:val="00AD7CA9"/>
    <w:rsid w:val="00AE10DB"/>
    <w:rsid w:val="00AE2079"/>
    <w:rsid w:val="00AF4F70"/>
    <w:rsid w:val="00AF5E35"/>
    <w:rsid w:val="00AF5FB5"/>
    <w:rsid w:val="00AF621E"/>
    <w:rsid w:val="00AF7899"/>
    <w:rsid w:val="00B00FEE"/>
    <w:rsid w:val="00B03646"/>
    <w:rsid w:val="00B04336"/>
    <w:rsid w:val="00B07D34"/>
    <w:rsid w:val="00B12089"/>
    <w:rsid w:val="00B144B7"/>
    <w:rsid w:val="00B15236"/>
    <w:rsid w:val="00B1660E"/>
    <w:rsid w:val="00B1672E"/>
    <w:rsid w:val="00B20141"/>
    <w:rsid w:val="00B20F53"/>
    <w:rsid w:val="00B27E78"/>
    <w:rsid w:val="00B307E4"/>
    <w:rsid w:val="00B31FB8"/>
    <w:rsid w:val="00B32FB5"/>
    <w:rsid w:val="00B33ACC"/>
    <w:rsid w:val="00B340D6"/>
    <w:rsid w:val="00B3443D"/>
    <w:rsid w:val="00B34971"/>
    <w:rsid w:val="00B37E88"/>
    <w:rsid w:val="00B410B4"/>
    <w:rsid w:val="00B42E9E"/>
    <w:rsid w:val="00B4321F"/>
    <w:rsid w:val="00B445EC"/>
    <w:rsid w:val="00B4722C"/>
    <w:rsid w:val="00B52F6A"/>
    <w:rsid w:val="00B55F07"/>
    <w:rsid w:val="00B56510"/>
    <w:rsid w:val="00B568C4"/>
    <w:rsid w:val="00B568D3"/>
    <w:rsid w:val="00B6112D"/>
    <w:rsid w:val="00B61A2E"/>
    <w:rsid w:val="00B62434"/>
    <w:rsid w:val="00B63365"/>
    <w:rsid w:val="00B645F7"/>
    <w:rsid w:val="00B64F6D"/>
    <w:rsid w:val="00B65239"/>
    <w:rsid w:val="00B6589B"/>
    <w:rsid w:val="00B65EA5"/>
    <w:rsid w:val="00B66361"/>
    <w:rsid w:val="00B66DD5"/>
    <w:rsid w:val="00B67064"/>
    <w:rsid w:val="00B67332"/>
    <w:rsid w:val="00B67A66"/>
    <w:rsid w:val="00B745A6"/>
    <w:rsid w:val="00B74C6A"/>
    <w:rsid w:val="00B802F0"/>
    <w:rsid w:val="00B856A5"/>
    <w:rsid w:val="00B85A93"/>
    <w:rsid w:val="00B864B9"/>
    <w:rsid w:val="00B90911"/>
    <w:rsid w:val="00B91250"/>
    <w:rsid w:val="00B91D42"/>
    <w:rsid w:val="00B91EB3"/>
    <w:rsid w:val="00B93FE5"/>
    <w:rsid w:val="00B95AD1"/>
    <w:rsid w:val="00B95BA6"/>
    <w:rsid w:val="00B95DDB"/>
    <w:rsid w:val="00B967A5"/>
    <w:rsid w:val="00B9731F"/>
    <w:rsid w:val="00B9738F"/>
    <w:rsid w:val="00B97F24"/>
    <w:rsid w:val="00BA08F4"/>
    <w:rsid w:val="00BA1FE6"/>
    <w:rsid w:val="00BA35C0"/>
    <w:rsid w:val="00BA4C19"/>
    <w:rsid w:val="00BA50C8"/>
    <w:rsid w:val="00BA54EC"/>
    <w:rsid w:val="00BA6DAE"/>
    <w:rsid w:val="00BA7084"/>
    <w:rsid w:val="00BB1964"/>
    <w:rsid w:val="00BB784A"/>
    <w:rsid w:val="00BC0B18"/>
    <w:rsid w:val="00BC7031"/>
    <w:rsid w:val="00BD14FC"/>
    <w:rsid w:val="00BD51F8"/>
    <w:rsid w:val="00BD7510"/>
    <w:rsid w:val="00BD7D3A"/>
    <w:rsid w:val="00BD7DA7"/>
    <w:rsid w:val="00BF3054"/>
    <w:rsid w:val="00BF34A2"/>
    <w:rsid w:val="00BF4D39"/>
    <w:rsid w:val="00BF69F1"/>
    <w:rsid w:val="00C02F2A"/>
    <w:rsid w:val="00C03729"/>
    <w:rsid w:val="00C04856"/>
    <w:rsid w:val="00C05046"/>
    <w:rsid w:val="00C05E46"/>
    <w:rsid w:val="00C0655C"/>
    <w:rsid w:val="00C0751B"/>
    <w:rsid w:val="00C10460"/>
    <w:rsid w:val="00C11E74"/>
    <w:rsid w:val="00C15EF3"/>
    <w:rsid w:val="00C174CF"/>
    <w:rsid w:val="00C20273"/>
    <w:rsid w:val="00C20772"/>
    <w:rsid w:val="00C214D0"/>
    <w:rsid w:val="00C24E67"/>
    <w:rsid w:val="00C30832"/>
    <w:rsid w:val="00C31326"/>
    <w:rsid w:val="00C33158"/>
    <w:rsid w:val="00C3415E"/>
    <w:rsid w:val="00C44BCD"/>
    <w:rsid w:val="00C47903"/>
    <w:rsid w:val="00C47B03"/>
    <w:rsid w:val="00C50D22"/>
    <w:rsid w:val="00C537BA"/>
    <w:rsid w:val="00C554CA"/>
    <w:rsid w:val="00C57681"/>
    <w:rsid w:val="00C6278A"/>
    <w:rsid w:val="00C6386D"/>
    <w:rsid w:val="00C64D0F"/>
    <w:rsid w:val="00C66EAC"/>
    <w:rsid w:val="00C72557"/>
    <w:rsid w:val="00C73AC9"/>
    <w:rsid w:val="00C73D65"/>
    <w:rsid w:val="00C75CAD"/>
    <w:rsid w:val="00C75EB5"/>
    <w:rsid w:val="00C76318"/>
    <w:rsid w:val="00C76A96"/>
    <w:rsid w:val="00C77B8F"/>
    <w:rsid w:val="00C80D71"/>
    <w:rsid w:val="00C81D76"/>
    <w:rsid w:val="00C82C5D"/>
    <w:rsid w:val="00C82DC1"/>
    <w:rsid w:val="00C8351D"/>
    <w:rsid w:val="00C839EA"/>
    <w:rsid w:val="00C83DB0"/>
    <w:rsid w:val="00C90EF8"/>
    <w:rsid w:val="00C92090"/>
    <w:rsid w:val="00C94424"/>
    <w:rsid w:val="00C94496"/>
    <w:rsid w:val="00C946F5"/>
    <w:rsid w:val="00C9659D"/>
    <w:rsid w:val="00C96DA9"/>
    <w:rsid w:val="00C972CB"/>
    <w:rsid w:val="00CA234C"/>
    <w:rsid w:val="00CA24E3"/>
    <w:rsid w:val="00CA265A"/>
    <w:rsid w:val="00CA6F93"/>
    <w:rsid w:val="00CB492A"/>
    <w:rsid w:val="00CB6897"/>
    <w:rsid w:val="00CB697D"/>
    <w:rsid w:val="00CB6C5C"/>
    <w:rsid w:val="00CC4391"/>
    <w:rsid w:val="00CC4393"/>
    <w:rsid w:val="00CC439C"/>
    <w:rsid w:val="00CC4EF1"/>
    <w:rsid w:val="00CC7646"/>
    <w:rsid w:val="00CD0350"/>
    <w:rsid w:val="00CD0A4A"/>
    <w:rsid w:val="00CD0C51"/>
    <w:rsid w:val="00CD1284"/>
    <w:rsid w:val="00CD151E"/>
    <w:rsid w:val="00CD3064"/>
    <w:rsid w:val="00CD6E93"/>
    <w:rsid w:val="00CD6F4F"/>
    <w:rsid w:val="00CD7808"/>
    <w:rsid w:val="00CE06C8"/>
    <w:rsid w:val="00CE13A5"/>
    <w:rsid w:val="00CE2C36"/>
    <w:rsid w:val="00CE5F2D"/>
    <w:rsid w:val="00CE62F4"/>
    <w:rsid w:val="00CF07F5"/>
    <w:rsid w:val="00CF4A5B"/>
    <w:rsid w:val="00CF5245"/>
    <w:rsid w:val="00CF5D51"/>
    <w:rsid w:val="00CF6F68"/>
    <w:rsid w:val="00D01034"/>
    <w:rsid w:val="00D02399"/>
    <w:rsid w:val="00D02728"/>
    <w:rsid w:val="00D03293"/>
    <w:rsid w:val="00D03B3E"/>
    <w:rsid w:val="00D03BB2"/>
    <w:rsid w:val="00D03EA3"/>
    <w:rsid w:val="00D0442D"/>
    <w:rsid w:val="00D047C1"/>
    <w:rsid w:val="00D0754A"/>
    <w:rsid w:val="00D07AEC"/>
    <w:rsid w:val="00D10AC5"/>
    <w:rsid w:val="00D1364D"/>
    <w:rsid w:val="00D14347"/>
    <w:rsid w:val="00D15FBF"/>
    <w:rsid w:val="00D21AAA"/>
    <w:rsid w:val="00D21F86"/>
    <w:rsid w:val="00D24592"/>
    <w:rsid w:val="00D24A4E"/>
    <w:rsid w:val="00D253BF"/>
    <w:rsid w:val="00D2621F"/>
    <w:rsid w:val="00D27720"/>
    <w:rsid w:val="00D30D6E"/>
    <w:rsid w:val="00D344C1"/>
    <w:rsid w:val="00D4014B"/>
    <w:rsid w:val="00D412E4"/>
    <w:rsid w:val="00D41702"/>
    <w:rsid w:val="00D41BB0"/>
    <w:rsid w:val="00D428C5"/>
    <w:rsid w:val="00D434CF"/>
    <w:rsid w:val="00D45DED"/>
    <w:rsid w:val="00D46B38"/>
    <w:rsid w:val="00D46B89"/>
    <w:rsid w:val="00D47571"/>
    <w:rsid w:val="00D5220D"/>
    <w:rsid w:val="00D54931"/>
    <w:rsid w:val="00D56024"/>
    <w:rsid w:val="00D627D4"/>
    <w:rsid w:val="00D63FC8"/>
    <w:rsid w:val="00D666F7"/>
    <w:rsid w:val="00D67CBC"/>
    <w:rsid w:val="00D709B0"/>
    <w:rsid w:val="00D72296"/>
    <w:rsid w:val="00D72857"/>
    <w:rsid w:val="00D74205"/>
    <w:rsid w:val="00D762F7"/>
    <w:rsid w:val="00D76D68"/>
    <w:rsid w:val="00D76DBB"/>
    <w:rsid w:val="00D77B29"/>
    <w:rsid w:val="00D803D9"/>
    <w:rsid w:val="00D809D8"/>
    <w:rsid w:val="00D8161B"/>
    <w:rsid w:val="00D87901"/>
    <w:rsid w:val="00D87A5D"/>
    <w:rsid w:val="00D91BA5"/>
    <w:rsid w:val="00D935C0"/>
    <w:rsid w:val="00D938B0"/>
    <w:rsid w:val="00D93F0B"/>
    <w:rsid w:val="00D94887"/>
    <w:rsid w:val="00D95090"/>
    <w:rsid w:val="00D97215"/>
    <w:rsid w:val="00DA09B2"/>
    <w:rsid w:val="00DA0D32"/>
    <w:rsid w:val="00DA24EC"/>
    <w:rsid w:val="00DA34FF"/>
    <w:rsid w:val="00DA4017"/>
    <w:rsid w:val="00DA706C"/>
    <w:rsid w:val="00DB018F"/>
    <w:rsid w:val="00DB23A1"/>
    <w:rsid w:val="00DB687B"/>
    <w:rsid w:val="00DC068E"/>
    <w:rsid w:val="00DC2DEF"/>
    <w:rsid w:val="00DC3EB8"/>
    <w:rsid w:val="00DC417A"/>
    <w:rsid w:val="00DC4B36"/>
    <w:rsid w:val="00DC615F"/>
    <w:rsid w:val="00DC6D08"/>
    <w:rsid w:val="00DC78A6"/>
    <w:rsid w:val="00DD1E05"/>
    <w:rsid w:val="00DD2E8E"/>
    <w:rsid w:val="00DD34BC"/>
    <w:rsid w:val="00DD3BAF"/>
    <w:rsid w:val="00DD4495"/>
    <w:rsid w:val="00DD4D57"/>
    <w:rsid w:val="00DD6921"/>
    <w:rsid w:val="00DE3C12"/>
    <w:rsid w:val="00DE637C"/>
    <w:rsid w:val="00DF0A06"/>
    <w:rsid w:val="00DF14D4"/>
    <w:rsid w:val="00DF26AA"/>
    <w:rsid w:val="00DF39D0"/>
    <w:rsid w:val="00DF5403"/>
    <w:rsid w:val="00E00BA4"/>
    <w:rsid w:val="00E01C83"/>
    <w:rsid w:val="00E026DE"/>
    <w:rsid w:val="00E03A83"/>
    <w:rsid w:val="00E11D4C"/>
    <w:rsid w:val="00E1344D"/>
    <w:rsid w:val="00E1373F"/>
    <w:rsid w:val="00E1380A"/>
    <w:rsid w:val="00E13DD9"/>
    <w:rsid w:val="00E178A2"/>
    <w:rsid w:val="00E2346E"/>
    <w:rsid w:val="00E24304"/>
    <w:rsid w:val="00E251E1"/>
    <w:rsid w:val="00E26695"/>
    <w:rsid w:val="00E26752"/>
    <w:rsid w:val="00E274E1"/>
    <w:rsid w:val="00E309C1"/>
    <w:rsid w:val="00E30FB2"/>
    <w:rsid w:val="00E31B5B"/>
    <w:rsid w:val="00E328A2"/>
    <w:rsid w:val="00E3466C"/>
    <w:rsid w:val="00E356BC"/>
    <w:rsid w:val="00E35EE6"/>
    <w:rsid w:val="00E402B2"/>
    <w:rsid w:val="00E419E1"/>
    <w:rsid w:val="00E41E82"/>
    <w:rsid w:val="00E455E2"/>
    <w:rsid w:val="00E472A1"/>
    <w:rsid w:val="00E50AC6"/>
    <w:rsid w:val="00E52048"/>
    <w:rsid w:val="00E5212B"/>
    <w:rsid w:val="00E53B0A"/>
    <w:rsid w:val="00E53C4D"/>
    <w:rsid w:val="00E55716"/>
    <w:rsid w:val="00E55E0D"/>
    <w:rsid w:val="00E57E3B"/>
    <w:rsid w:val="00E6000B"/>
    <w:rsid w:val="00E60D1A"/>
    <w:rsid w:val="00E60FF8"/>
    <w:rsid w:val="00E61BE4"/>
    <w:rsid w:val="00E62010"/>
    <w:rsid w:val="00E63054"/>
    <w:rsid w:val="00E635A6"/>
    <w:rsid w:val="00E66290"/>
    <w:rsid w:val="00E71280"/>
    <w:rsid w:val="00E722F6"/>
    <w:rsid w:val="00E7387D"/>
    <w:rsid w:val="00E7625A"/>
    <w:rsid w:val="00E77467"/>
    <w:rsid w:val="00E8137A"/>
    <w:rsid w:val="00E81F71"/>
    <w:rsid w:val="00E82A1B"/>
    <w:rsid w:val="00E84E78"/>
    <w:rsid w:val="00E86150"/>
    <w:rsid w:val="00E9114B"/>
    <w:rsid w:val="00E9404C"/>
    <w:rsid w:val="00E9523D"/>
    <w:rsid w:val="00E965DB"/>
    <w:rsid w:val="00E97216"/>
    <w:rsid w:val="00E973BD"/>
    <w:rsid w:val="00EA07DD"/>
    <w:rsid w:val="00EA212D"/>
    <w:rsid w:val="00EA5171"/>
    <w:rsid w:val="00EB0140"/>
    <w:rsid w:val="00EB152B"/>
    <w:rsid w:val="00EB1897"/>
    <w:rsid w:val="00EB1EEB"/>
    <w:rsid w:val="00EB36DF"/>
    <w:rsid w:val="00EB4282"/>
    <w:rsid w:val="00EB651D"/>
    <w:rsid w:val="00EC269C"/>
    <w:rsid w:val="00EC595B"/>
    <w:rsid w:val="00EC63DB"/>
    <w:rsid w:val="00EC7076"/>
    <w:rsid w:val="00ED0766"/>
    <w:rsid w:val="00ED0B4F"/>
    <w:rsid w:val="00ED1BB1"/>
    <w:rsid w:val="00ED4A48"/>
    <w:rsid w:val="00ED69B0"/>
    <w:rsid w:val="00EE0820"/>
    <w:rsid w:val="00EE18D1"/>
    <w:rsid w:val="00EE4B26"/>
    <w:rsid w:val="00EE62C0"/>
    <w:rsid w:val="00EE6936"/>
    <w:rsid w:val="00EE7204"/>
    <w:rsid w:val="00EE73CB"/>
    <w:rsid w:val="00EE7965"/>
    <w:rsid w:val="00EF0377"/>
    <w:rsid w:val="00EF072D"/>
    <w:rsid w:val="00EF1531"/>
    <w:rsid w:val="00EF32E3"/>
    <w:rsid w:val="00EF3706"/>
    <w:rsid w:val="00EF382C"/>
    <w:rsid w:val="00EF405C"/>
    <w:rsid w:val="00EF4542"/>
    <w:rsid w:val="00F0164C"/>
    <w:rsid w:val="00F01788"/>
    <w:rsid w:val="00F04247"/>
    <w:rsid w:val="00F064DF"/>
    <w:rsid w:val="00F06BF3"/>
    <w:rsid w:val="00F06E16"/>
    <w:rsid w:val="00F10140"/>
    <w:rsid w:val="00F1117A"/>
    <w:rsid w:val="00F1263F"/>
    <w:rsid w:val="00F15F06"/>
    <w:rsid w:val="00F16DA2"/>
    <w:rsid w:val="00F16E01"/>
    <w:rsid w:val="00F23099"/>
    <w:rsid w:val="00F23210"/>
    <w:rsid w:val="00F23FB6"/>
    <w:rsid w:val="00F25F64"/>
    <w:rsid w:val="00F2776E"/>
    <w:rsid w:val="00F27EA0"/>
    <w:rsid w:val="00F30532"/>
    <w:rsid w:val="00F3175D"/>
    <w:rsid w:val="00F32805"/>
    <w:rsid w:val="00F32E88"/>
    <w:rsid w:val="00F34283"/>
    <w:rsid w:val="00F343FC"/>
    <w:rsid w:val="00F353E3"/>
    <w:rsid w:val="00F41F4B"/>
    <w:rsid w:val="00F47E37"/>
    <w:rsid w:val="00F50AFA"/>
    <w:rsid w:val="00F51BDD"/>
    <w:rsid w:val="00F53899"/>
    <w:rsid w:val="00F558E0"/>
    <w:rsid w:val="00F57C17"/>
    <w:rsid w:val="00F57EAB"/>
    <w:rsid w:val="00F603C2"/>
    <w:rsid w:val="00F60D8A"/>
    <w:rsid w:val="00F64157"/>
    <w:rsid w:val="00F6494A"/>
    <w:rsid w:val="00F654C8"/>
    <w:rsid w:val="00F67FD4"/>
    <w:rsid w:val="00F712B1"/>
    <w:rsid w:val="00F72941"/>
    <w:rsid w:val="00F72E77"/>
    <w:rsid w:val="00F72F06"/>
    <w:rsid w:val="00F73357"/>
    <w:rsid w:val="00F746F0"/>
    <w:rsid w:val="00F76A22"/>
    <w:rsid w:val="00F77C03"/>
    <w:rsid w:val="00F82824"/>
    <w:rsid w:val="00F86947"/>
    <w:rsid w:val="00F869B6"/>
    <w:rsid w:val="00F86AB1"/>
    <w:rsid w:val="00F86BAF"/>
    <w:rsid w:val="00F87B5C"/>
    <w:rsid w:val="00F87F97"/>
    <w:rsid w:val="00F928ED"/>
    <w:rsid w:val="00F9336F"/>
    <w:rsid w:val="00F96CA5"/>
    <w:rsid w:val="00F97622"/>
    <w:rsid w:val="00FA2608"/>
    <w:rsid w:val="00FA3B58"/>
    <w:rsid w:val="00FB2604"/>
    <w:rsid w:val="00FB3BD5"/>
    <w:rsid w:val="00FB7449"/>
    <w:rsid w:val="00FC30C1"/>
    <w:rsid w:val="00FC3599"/>
    <w:rsid w:val="00FC374C"/>
    <w:rsid w:val="00FD1650"/>
    <w:rsid w:val="00FD3E37"/>
    <w:rsid w:val="00FD6EEB"/>
    <w:rsid w:val="00FD777D"/>
    <w:rsid w:val="00FD795E"/>
    <w:rsid w:val="00FE54F0"/>
    <w:rsid w:val="00FF0430"/>
    <w:rsid w:val="00FF1372"/>
    <w:rsid w:val="00FF1D36"/>
    <w:rsid w:val="00FF3CCD"/>
    <w:rsid w:val="00FF46D7"/>
    <w:rsid w:val="01042CD0"/>
    <w:rsid w:val="01320192"/>
    <w:rsid w:val="0145506D"/>
    <w:rsid w:val="01455A1A"/>
    <w:rsid w:val="01630AC4"/>
    <w:rsid w:val="01BA1DA2"/>
    <w:rsid w:val="01E97B75"/>
    <w:rsid w:val="025C62E5"/>
    <w:rsid w:val="02E24E06"/>
    <w:rsid w:val="02E87117"/>
    <w:rsid w:val="03056021"/>
    <w:rsid w:val="03067D73"/>
    <w:rsid w:val="030E1EDE"/>
    <w:rsid w:val="03100B2F"/>
    <w:rsid w:val="03101B4C"/>
    <w:rsid w:val="0336564F"/>
    <w:rsid w:val="036315A8"/>
    <w:rsid w:val="03820B0D"/>
    <w:rsid w:val="03D278CE"/>
    <w:rsid w:val="04737B63"/>
    <w:rsid w:val="04793A64"/>
    <w:rsid w:val="04AC6F11"/>
    <w:rsid w:val="04BA2023"/>
    <w:rsid w:val="04CF60EE"/>
    <w:rsid w:val="04E84DE3"/>
    <w:rsid w:val="04EB3CD9"/>
    <w:rsid w:val="04F17A55"/>
    <w:rsid w:val="04F40D78"/>
    <w:rsid w:val="04F907FB"/>
    <w:rsid w:val="0508393B"/>
    <w:rsid w:val="05180377"/>
    <w:rsid w:val="0520350B"/>
    <w:rsid w:val="05212F78"/>
    <w:rsid w:val="05401243"/>
    <w:rsid w:val="0577117A"/>
    <w:rsid w:val="05A55DF4"/>
    <w:rsid w:val="05FB6CC1"/>
    <w:rsid w:val="060F76EE"/>
    <w:rsid w:val="06410F33"/>
    <w:rsid w:val="068247C2"/>
    <w:rsid w:val="06AE2120"/>
    <w:rsid w:val="06AE6838"/>
    <w:rsid w:val="06BB3444"/>
    <w:rsid w:val="06C6676B"/>
    <w:rsid w:val="06CD2CD1"/>
    <w:rsid w:val="06D05B1B"/>
    <w:rsid w:val="06E65C5D"/>
    <w:rsid w:val="06F77FBC"/>
    <w:rsid w:val="06FE6B53"/>
    <w:rsid w:val="072835A2"/>
    <w:rsid w:val="07296FFB"/>
    <w:rsid w:val="072D4AEF"/>
    <w:rsid w:val="073B60D9"/>
    <w:rsid w:val="074840C5"/>
    <w:rsid w:val="07513801"/>
    <w:rsid w:val="075271C3"/>
    <w:rsid w:val="075714A4"/>
    <w:rsid w:val="077628B1"/>
    <w:rsid w:val="07AA3BE7"/>
    <w:rsid w:val="07BA1BA8"/>
    <w:rsid w:val="07E5131D"/>
    <w:rsid w:val="07E806E8"/>
    <w:rsid w:val="07FC4898"/>
    <w:rsid w:val="080569DD"/>
    <w:rsid w:val="081936D0"/>
    <w:rsid w:val="085B4073"/>
    <w:rsid w:val="08A378C7"/>
    <w:rsid w:val="08DD2784"/>
    <w:rsid w:val="08FD674C"/>
    <w:rsid w:val="08FE0F7A"/>
    <w:rsid w:val="0902174A"/>
    <w:rsid w:val="09042942"/>
    <w:rsid w:val="09342BCF"/>
    <w:rsid w:val="09630B57"/>
    <w:rsid w:val="09876AD2"/>
    <w:rsid w:val="099E5B23"/>
    <w:rsid w:val="09A713C7"/>
    <w:rsid w:val="09C0448D"/>
    <w:rsid w:val="09C93764"/>
    <w:rsid w:val="09D042BD"/>
    <w:rsid w:val="09F05C2F"/>
    <w:rsid w:val="0A126EFD"/>
    <w:rsid w:val="0A1F7E09"/>
    <w:rsid w:val="0A263A52"/>
    <w:rsid w:val="0A35793C"/>
    <w:rsid w:val="0A3F24BC"/>
    <w:rsid w:val="0A4056C9"/>
    <w:rsid w:val="0A465068"/>
    <w:rsid w:val="0A5215C6"/>
    <w:rsid w:val="0A5764C7"/>
    <w:rsid w:val="0A667254"/>
    <w:rsid w:val="0A79049A"/>
    <w:rsid w:val="0AF54C2C"/>
    <w:rsid w:val="0B524831"/>
    <w:rsid w:val="0B5A3F9F"/>
    <w:rsid w:val="0B8A6710"/>
    <w:rsid w:val="0B9238CE"/>
    <w:rsid w:val="0B9334F0"/>
    <w:rsid w:val="0BA355D1"/>
    <w:rsid w:val="0BAB3543"/>
    <w:rsid w:val="0BD77972"/>
    <w:rsid w:val="0BF46EB9"/>
    <w:rsid w:val="0C3570D2"/>
    <w:rsid w:val="0C545B79"/>
    <w:rsid w:val="0C7408A6"/>
    <w:rsid w:val="0C8B76DA"/>
    <w:rsid w:val="0CA9620A"/>
    <w:rsid w:val="0CE9599F"/>
    <w:rsid w:val="0CF83047"/>
    <w:rsid w:val="0CF90A01"/>
    <w:rsid w:val="0D0E0651"/>
    <w:rsid w:val="0D1F1FC4"/>
    <w:rsid w:val="0D2F7F94"/>
    <w:rsid w:val="0D582861"/>
    <w:rsid w:val="0D9228FB"/>
    <w:rsid w:val="0DB3457E"/>
    <w:rsid w:val="0DEE3448"/>
    <w:rsid w:val="0DF41445"/>
    <w:rsid w:val="0DF67E4E"/>
    <w:rsid w:val="0E4B14CA"/>
    <w:rsid w:val="0E7543DC"/>
    <w:rsid w:val="0EB208AB"/>
    <w:rsid w:val="0EC136EA"/>
    <w:rsid w:val="0ECE3CF5"/>
    <w:rsid w:val="0F235864"/>
    <w:rsid w:val="0F2C1D70"/>
    <w:rsid w:val="0F554233"/>
    <w:rsid w:val="0F570A4B"/>
    <w:rsid w:val="0F6543D3"/>
    <w:rsid w:val="0F7B7146"/>
    <w:rsid w:val="0F8852DA"/>
    <w:rsid w:val="0FE33AB7"/>
    <w:rsid w:val="0FED0F9E"/>
    <w:rsid w:val="0FF67A78"/>
    <w:rsid w:val="0FF97A38"/>
    <w:rsid w:val="10084C10"/>
    <w:rsid w:val="101D642E"/>
    <w:rsid w:val="10437189"/>
    <w:rsid w:val="10645478"/>
    <w:rsid w:val="107C485E"/>
    <w:rsid w:val="10923340"/>
    <w:rsid w:val="10B325BC"/>
    <w:rsid w:val="110343D2"/>
    <w:rsid w:val="1105643F"/>
    <w:rsid w:val="111F342F"/>
    <w:rsid w:val="112678F2"/>
    <w:rsid w:val="113302D5"/>
    <w:rsid w:val="11355638"/>
    <w:rsid w:val="1139145C"/>
    <w:rsid w:val="11484C6D"/>
    <w:rsid w:val="11560804"/>
    <w:rsid w:val="11634F6A"/>
    <w:rsid w:val="116E676E"/>
    <w:rsid w:val="1181341B"/>
    <w:rsid w:val="119800BE"/>
    <w:rsid w:val="11E41348"/>
    <w:rsid w:val="12376A7B"/>
    <w:rsid w:val="12644410"/>
    <w:rsid w:val="12773901"/>
    <w:rsid w:val="12BE0E11"/>
    <w:rsid w:val="12EA1444"/>
    <w:rsid w:val="13057820"/>
    <w:rsid w:val="130B5A0A"/>
    <w:rsid w:val="132E5836"/>
    <w:rsid w:val="1342060B"/>
    <w:rsid w:val="13476A19"/>
    <w:rsid w:val="135950FD"/>
    <w:rsid w:val="13C04EA4"/>
    <w:rsid w:val="13C22CA3"/>
    <w:rsid w:val="13C8146C"/>
    <w:rsid w:val="13DF588E"/>
    <w:rsid w:val="13E64E0D"/>
    <w:rsid w:val="13F83EAD"/>
    <w:rsid w:val="142245F5"/>
    <w:rsid w:val="14242F5B"/>
    <w:rsid w:val="143F2DBB"/>
    <w:rsid w:val="145F13FD"/>
    <w:rsid w:val="14635DBD"/>
    <w:rsid w:val="14953F1B"/>
    <w:rsid w:val="14CF78D8"/>
    <w:rsid w:val="150119B8"/>
    <w:rsid w:val="15396F94"/>
    <w:rsid w:val="15516D0A"/>
    <w:rsid w:val="1558270A"/>
    <w:rsid w:val="15786770"/>
    <w:rsid w:val="15786F27"/>
    <w:rsid w:val="157C0E6A"/>
    <w:rsid w:val="158128E0"/>
    <w:rsid w:val="15973EF0"/>
    <w:rsid w:val="159D3819"/>
    <w:rsid w:val="15C87DC2"/>
    <w:rsid w:val="15E2204B"/>
    <w:rsid w:val="1615044B"/>
    <w:rsid w:val="161729E0"/>
    <w:rsid w:val="163B5304"/>
    <w:rsid w:val="16445CA6"/>
    <w:rsid w:val="164C5380"/>
    <w:rsid w:val="16605119"/>
    <w:rsid w:val="16870790"/>
    <w:rsid w:val="16BE560D"/>
    <w:rsid w:val="17045E63"/>
    <w:rsid w:val="1709212E"/>
    <w:rsid w:val="1745083A"/>
    <w:rsid w:val="174D7F3F"/>
    <w:rsid w:val="175F3859"/>
    <w:rsid w:val="17714B81"/>
    <w:rsid w:val="178652E9"/>
    <w:rsid w:val="179B5D3A"/>
    <w:rsid w:val="179E1661"/>
    <w:rsid w:val="17A37E03"/>
    <w:rsid w:val="17AF0188"/>
    <w:rsid w:val="17B26963"/>
    <w:rsid w:val="17C4644F"/>
    <w:rsid w:val="17CD58FA"/>
    <w:rsid w:val="17D978CC"/>
    <w:rsid w:val="18117EBD"/>
    <w:rsid w:val="18157EF7"/>
    <w:rsid w:val="18307BF5"/>
    <w:rsid w:val="183B0682"/>
    <w:rsid w:val="185763F9"/>
    <w:rsid w:val="18AD32E9"/>
    <w:rsid w:val="18B525ED"/>
    <w:rsid w:val="18BD451D"/>
    <w:rsid w:val="18C26AAD"/>
    <w:rsid w:val="18F8084E"/>
    <w:rsid w:val="194738B6"/>
    <w:rsid w:val="19694CBC"/>
    <w:rsid w:val="1975663B"/>
    <w:rsid w:val="19A643D8"/>
    <w:rsid w:val="19B71B3F"/>
    <w:rsid w:val="19C05FB5"/>
    <w:rsid w:val="19C641E2"/>
    <w:rsid w:val="19D13BB0"/>
    <w:rsid w:val="1A0F1154"/>
    <w:rsid w:val="1A3838EE"/>
    <w:rsid w:val="1A8D13C4"/>
    <w:rsid w:val="1A901636"/>
    <w:rsid w:val="1AC70D0E"/>
    <w:rsid w:val="1AC96737"/>
    <w:rsid w:val="1AFC01A8"/>
    <w:rsid w:val="1B646C7A"/>
    <w:rsid w:val="1B6E62FA"/>
    <w:rsid w:val="1BF60304"/>
    <w:rsid w:val="1BFC01FF"/>
    <w:rsid w:val="1C137F14"/>
    <w:rsid w:val="1C517AF9"/>
    <w:rsid w:val="1C58538F"/>
    <w:rsid w:val="1C636D5F"/>
    <w:rsid w:val="1C9710D7"/>
    <w:rsid w:val="1CB7015D"/>
    <w:rsid w:val="1CC7424C"/>
    <w:rsid w:val="1D152FDC"/>
    <w:rsid w:val="1D1B5442"/>
    <w:rsid w:val="1D3D1750"/>
    <w:rsid w:val="1D6B69BD"/>
    <w:rsid w:val="1D7D14A6"/>
    <w:rsid w:val="1D89487D"/>
    <w:rsid w:val="1D937180"/>
    <w:rsid w:val="1D9C5199"/>
    <w:rsid w:val="1DD94A3B"/>
    <w:rsid w:val="1DEC45D0"/>
    <w:rsid w:val="1E0A6315"/>
    <w:rsid w:val="1E5B441F"/>
    <w:rsid w:val="1E7A4165"/>
    <w:rsid w:val="1ECB1018"/>
    <w:rsid w:val="1ED65854"/>
    <w:rsid w:val="1EDD57B2"/>
    <w:rsid w:val="1EEC7AAC"/>
    <w:rsid w:val="1F116AC5"/>
    <w:rsid w:val="1F1B7934"/>
    <w:rsid w:val="1F2A4249"/>
    <w:rsid w:val="1F3D01F5"/>
    <w:rsid w:val="1F3F2759"/>
    <w:rsid w:val="1F41312D"/>
    <w:rsid w:val="1F792DE0"/>
    <w:rsid w:val="1F9F1555"/>
    <w:rsid w:val="1FAF786E"/>
    <w:rsid w:val="1FB63D2F"/>
    <w:rsid w:val="1FEB249F"/>
    <w:rsid w:val="1FF34D03"/>
    <w:rsid w:val="1FF92002"/>
    <w:rsid w:val="2010112C"/>
    <w:rsid w:val="204B25D7"/>
    <w:rsid w:val="2057531B"/>
    <w:rsid w:val="209004BA"/>
    <w:rsid w:val="20917663"/>
    <w:rsid w:val="209942B1"/>
    <w:rsid w:val="20A135B0"/>
    <w:rsid w:val="20AA0D3C"/>
    <w:rsid w:val="20AA749D"/>
    <w:rsid w:val="20C4762C"/>
    <w:rsid w:val="20CA6078"/>
    <w:rsid w:val="20DF2E27"/>
    <w:rsid w:val="20EA12F1"/>
    <w:rsid w:val="20ED615D"/>
    <w:rsid w:val="21054E07"/>
    <w:rsid w:val="210A1E0D"/>
    <w:rsid w:val="21103395"/>
    <w:rsid w:val="2131482D"/>
    <w:rsid w:val="21401AC9"/>
    <w:rsid w:val="215D1CBF"/>
    <w:rsid w:val="21860CCB"/>
    <w:rsid w:val="21AA2C60"/>
    <w:rsid w:val="21AF6F62"/>
    <w:rsid w:val="21C519A3"/>
    <w:rsid w:val="21D53CB4"/>
    <w:rsid w:val="21D95A57"/>
    <w:rsid w:val="21EF1A6B"/>
    <w:rsid w:val="22045C5E"/>
    <w:rsid w:val="22241935"/>
    <w:rsid w:val="22992119"/>
    <w:rsid w:val="22D621F6"/>
    <w:rsid w:val="22EC5646"/>
    <w:rsid w:val="22F058E6"/>
    <w:rsid w:val="22F62969"/>
    <w:rsid w:val="22F65DF4"/>
    <w:rsid w:val="22FF7411"/>
    <w:rsid w:val="232B6A60"/>
    <w:rsid w:val="235402FE"/>
    <w:rsid w:val="238002CA"/>
    <w:rsid w:val="23E16791"/>
    <w:rsid w:val="23E304EF"/>
    <w:rsid w:val="24425D58"/>
    <w:rsid w:val="24B30097"/>
    <w:rsid w:val="24C0710A"/>
    <w:rsid w:val="2503642C"/>
    <w:rsid w:val="25094517"/>
    <w:rsid w:val="25182F61"/>
    <w:rsid w:val="252F2291"/>
    <w:rsid w:val="253E0C1C"/>
    <w:rsid w:val="25586BAB"/>
    <w:rsid w:val="256C324C"/>
    <w:rsid w:val="25B22D0B"/>
    <w:rsid w:val="25B325FB"/>
    <w:rsid w:val="25B54911"/>
    <w:rsid w:val="261575A3"/>
    <w:rsid w:val="262B46D7"/>
    <w:rsid w:val="263B530F"/>
    <w:rsid w:val="266009A6"/>
    <w:rsid w:val="2672121E"/>
    <w:rsid w:val="26784E0F"/>
    <w:rsid w:val="268631A3"/>
    <w:rsid w:val="269851FE"/>
    <w:rsid w:val="269E2CAC"/>
    <w:rsid w:val="26B35062"/>
    <w:rsid w:val="26B67756"/>
    <w:rsid w:val="26C73974"/>
    <w:rsid w:val="26DD555B"/>
    <w:rsid w:val="26EB5622"/>
    <w:rsid w:val="26EE1123"/>
    <w:rsid w:val="26FA15C1"/>
    <w:rsid w:val="2733531B"/>
    <w:rsid w:val="273949EE"/>
    <w:rsid w:val="27472D36"/>
    <w:rsid w:val="276945DF"/>
    <w:rsid w:val="27713073"/>
    <w:rsid w:val="278E149F"/>
    <w:rsid w:val="27A56F34"/>
    <w:rsid w:val="27B4784F"/>
    <w:rsid w:val="27FD40D4"/>
    <w:rsid w:val="280D1088"/>
    <w:rsid w:val="280D5FA4"/>
    <w:rsid w:val="280F3EFA"/>
    <w:rsid w:val="280F7439"/>
    <w:rsid w:val="282262D7"/>
    <w:rsid w:val="28424472"/>
    <w:rsid w:val="28A24078"/>
    <w:rsid w:val="28BB266C"/>
    <w:rsid w:val="291655D3"/>
    <w:rsid w:val="29327953"/>
    <w:rsid w:val="29383F1C"/>
    <w:rsid w:val="2944405C"/>
    <w:rsid w:val="29453A75"/>
    <w:rsid w:val="29837632"/>
    <w:rsid w:val="29924E43"/>
    <w:rsid w:val="29945D6C"/>
    <w:rsid w:val="29A678A9"/>
    <w:rsid w:val="29C31E84"/>
    <w:rsid w:val="29CF060F"/>
    <w:rsid w:val="29E465E0"/>
    <w:rsid w:val="29FE59B1"/>
    <w:rsid w:val="2A8D6343"/>
    <w:rsid w:val="2AD92053"/>
    <w:rsid w:val="2B107667"/>
    <w:rsid w:val="2B641FC3"/>
    <w:rsid w:val="2B796BA9"/>
    <w:rsid w:val="2B806430"/>
    <w:rsid w:val="2BCF2870"/>
    <w:rsid w:val="2BD94AAC"/>
    <w:rsid w:val="2BE8759F"/>
    <w:rsid w:val="2C076A9B"/>
    <w:rsid w:val="2C0E7417"/>
    <w:rsid w:val="2C0F4D50"/>
    <w:rsid w:val="2C37763E"/>
    <w:rsid w:val="2C424585"/>
    <w:rsid w:val="2C4327A8"/>
    <w:rsid w:val="2C7132EA"/>
    <w:rsid w:val="2C783AE0"/>
    <w:rsid w:val="2CAA2919"/>
    <w:rsid w:val="2CC4602A"/>
    <w:rsid w:val="2CD8221A"/>
    <w:rsid w:val="2D06251D"/>
    <w:rsid w:val="2D113E56"/>
    <w:rsid w:val="2D1465EB"/>
    <w:rsid w:val="2D522EBC"/>
    <w:rsid w:val="2D5477E6"/>
    <w:rsid w:val="2D6214F2"/>
    <w:rsid w:val="2D8A4CE1"/>
    <w:rsid w:val="2D9507CF"/>
    <w:rsid w:val="2DAF11E1"/>
    <w:rsid w:val="2DAF3E40"/>
    <w:rsid w:val="2DB6320A"/>
    <w:rsid w:val="2DB74C3B"/>
    <w:rsid w:val="2E007023"/>
    <w:rsid w:val="2E0759C7"/>
    <w:rsid w:val="2E0931A4"/>
    <w:rsid w:val="2E236DC1"/>
    <w:rsid w:val="2E2C2010"/>
    <w:rsid w:val="2E392B2B"/>
    <w:rsid w:val="2EAE1C04"/>
    <w:rsid w:val="2EB6515C"/>
    <w:rsid w:val="2EC113FF"/>
    <w:rsid w:val="2ED038FB"/>
    <w:rsid w:val="2F0C7091"/>
    <w:rsid w:val="2F317C76"/>
    <w:rsid w:val="2F6D6F42"/>
    <w:rsid w:val="2F726AA9"/>
    <w:rsid w:val="2F9E54D1"/>
    <w:rsid w:val="300D5345"/>
    <w:rsid w:val="30355329"/>
    <w:rsid w:val="303D0EEA"/>
    <w:rsid w:val="30562A56"/>
    <w:rsid w:val="307C5CD3"/>
    <w:rsid w:val="30884E32"/>
    <w:rsid w:val="30B20A2E"/>
    <w:rsid w:val="30FC3B86"/>
    <w:rsid w:val="3166141B"/>
    <w:rsid w:val="316C4B74"/>
    <w:rsid w:val="31865B49"/>
    <w:rsid w:val="31900C1B"/>
    <w:rsid w:val="31A3127F"/>
    <w:rsid w:val="31CC50E2"/>
    <w:rsid w:val="31E80B39"/>
    <w:rsid w:val="321C016C"/>
    <w:rsid w:val="32354BFC"/>
    <w:rsid w:val="3247156C"/>
    <w:rsid w:val="326A1DB1"/>
    <w:rsid w:val="32930B88"/>
    <w:rsid w:val="32C34468"/>
    <w:rsid w:val="32E13E1E"/>
    <w:rsid w:val="334933FE"/>
    <w:rsid w:val="3369018F"/>
    <w:rsid w:val="338468F5"/>
    <w:rsid w:val="33AA6BB6"/>
    <w:rsid w:val="33C54116"/>
    <w:rsid w:val="33D00119"/>
    <w:rsid w:val="34084704"/>
    <w:rsid w:val="34347E21"/>
    <w:rsid w:val="34624B7D"/>
    <w:rsid w:val="346831B7"/>
    <w:rsid w:val="3492701B"/>
    <w:rsid w:val="34982C61"/>
    <w:rsid w:val="34BE52DE"/>
    <w:rsid w:val="34D677AF"/>
    <w:rsid w:val="34E64694"/>
    <w:rsid w:val="35116F5F"/>
    <w:rsid w:val="351450C9"/>
    <w:rsid w:val="353330E4"/>
    <w:rsid w:val="35354844"/>
    <w:rsid w:val="35385C88"/>
    <w:rsid w:val="353F5BB5"/>
    <w:rsid w:val="35481451"/>
    <w:rsid w:val="35561E2B"/>
    <w:rsid w:val="355C4A1F"/>
    <w:rsid w:val="3578581E"/>
    <w:rsid w:val="35857419"/>
    <w:rsid w:val="35875CD7"/>
    <w:rsid w:val="35C8466C"/>
    <w:rsid w:val="35CE3D8F"/>
    <w:rsid w:val="3602502C"/>
    <w:rsid w:val="360C66F5"/>
    <w:rsid w:val="361A75B2"/>
    <w:rsid w:val="365B1779"/>
    <w:rsid w:val="36671A6C"/>
    <w:rsid w:val="36B97803"/>
    <w:rsid w:val="36C57C65"/>
    <w:rsid w:val="36D20E72"/>
    <w:rsid w:val="36F82FBB"/>
    <w:rsid w:val="36FA3427"/>
    <w:rsid w:val="372417BB"/>
    <w:rsid w:val="37445638"/>
    <w:rsid w:val="374F6512"/>
    <w:rsid w:val="378E0F6A"/>
    <w:rsid w:val="38085DBF"/>
    <w:rsid w:val="3823159E"/>
    <w:rsid w:val="38353D64"/>
    <w:rsid w:val="385E6DA2"/>
    <w:rsid w:val="38654B51"/>
    <w:rsid w:val="387D1F11"/>
    <w:rsid w:val="38D16010"/>
    <w:rsid w:val="38DD709E"/>
    <w:rsid w:val="38F232F9"/>
    <w:rsid w:val="39142BB0"/>
    <w:rsid w:val="39161A92"/>
    <w:rsid w:val="391A54FE"/>
    <w:rsid w:val="39370EED"/>
    <w:rsid w:val="398923C3"/>
    <w:rsid w:val="399C5460"/>
    <w:rsid w:val="39AC4745"/>
    <w:rsid w:val="39B07178"/>
    <w:rsid w:val="39EC5418"/>
    <w:rsid w:val="3A046DBF"/>
    <w:rsid w:val="3A3F664F"/>
    <w:rsid w:val="3A4C692C"/>
    <w:rsid w:val="3A850737"/>
    <w:rsid w:val="3A9E4A8D"/>
    <w:rsid w:val="3AF5453F"/>
    <w:rsid w:val="3B0A24EB"/>
    <w:rsid w:val="3B213892"/>
    <w:rsid w:val="3BD00FAF"/>
    <w:rsid w:val="3BD1253C"/>
    <w:rsid w:val="3BD94903"/>
    <w:rsid w:val="3BDC7979"/>
    <w:rsid w:val="3C0A464D"/>
    <w:rsid w:val="3C847300"/>
    <w:rsid w:val="3CA9251C"/>
    <w:rsid w:val="3CB75A2A"/>
    <w:rsid w:val="3CD425CC"/>
    <w:rsid w:val="3CD4307D"/>
    <w:rsid w:val="3CF7689E"/>
    <w:rsid w:val="3D460CC9"/>
    <w:rsid w:val="3D6F0FE4"/>
    <w:rsid w:val="3D856884"/>
    <w:rsid w:val="3D9F16AD"/>
    <w:rsid w:val="3DED63EF"/>
    <w:rsid w:val="3E5C4C15"/>
    <w:rsid w:val="3E73181B"/>
    <w:rsid w:val="3E986124"/>
    <w:rsid w:val="3EA62F6B"/>
    <w:rsid w:val="3EAD270E"/>
    <w:rsid w:val="3EBA21A2"/>
    <w:rsid w:val="3EC83719"/>
    <w:rsid w:val="3EF07B2A"/>
    <w:rsid w:val="3EF16C24"/>
    <w:rsid w:val="3F0A7B4D"/>
    <w:rsid w:val="3F536E72"/>
    <w:rsid w:val="3F5A5DF8"/>
    <w:rsid w:val="3F682495"/>
    <w:rsid w:val="3F6F5A12"/>
    <w:rsid w:val="3F7D06A9"/>
    <w:rsid w:val="3F89775A"/>
    <w:rsid w:val="40211D12"/>
    <w:rsid w:val="403223B5"/>
    <w:rsid w:val="40383331"/>
    <w:rsid w:val="405E1A1A"/>
    <w:rsid w:val="408B20B7"/>
    <w:rsid w:val="409F500E"/>
    <w:rsid w:val="40D21025"/>
    <w:rsid w:val="40E35408"/>
    <w:rsid w:val="40E70C87"/>
    <w:rsid w:val="4116685A"/>
    <w:rsid w:val="4144132E"/>
    <w:rsid w:val="414560ED"/>
    <w:rsid w:val="4160303A"/>
    <w:rsid w:val="41730B93"/>
    <w:rsid w:val="417D77C6"/>
    <w:rsid w:val="417F6E03"/>
    <w:rsid w:val="41820512"/>
    <w:rsid w:val="41A802BD"/>
    <w:rsid w:val="41AC5406"/>
    <w:rsid w:val="41AF2D7B"/>
    <w:rsid w:val="42162688"/>
    <w:rsid w:val="422D44CF"/>
    <w:rsid w:val="423650F9"/>
    <w:rsid w:val="425634B8"/>
    <w:rsid w:val="426C5E38"/>
    <w:rsid w:val="42A92621"/>
    <w:rsid w:val="42ED6214"/>
    <w:rsid w:val="43396CB1"/>
    <w:rsid w:val="433B3A4C"/>
    <w:rsid w:val="433D2460"/>
    <w:rsid w:val="439532EA"/>
    <w:rsid w:val="43CE363D"/>
    <w:rsid w:val="43F64B4C"/>
    <w:rsid w:val="44044389"/>
    <w:rsid w:val="440D1349"/>
    <w:rsid w:val="442235E1"/>
    <w:rsid w:val="44832484"/>
    <w:rsid w:val="449B0C56"/>
    <w:rsid w:val="44A077D5"/>
    <w:rsid w:val="44A142A6"/>
    <w:rsid w:val="44B40FFF"/>
    <w:rsid w:val="4516018B"/>
    <w:rsid w:val="455064CB"/>
    <w:rsid w:val="455C6481"/>
    <w:rsid w:val="456552E9"/>
    <w:rsid w:val="45901428"/>
    <w:rsid w:val="459210DB"/>
    <w:rsid w:val="45FC6F1A"/>
    <w:rsid w:val="45FD05DD"/>
    <w:rsid w:val="46285655"/>
    <w:rsid w:val="4637255B"/>
    <w:rsid w:val="464B1A18"/>
    <w:rsid w:val="464B225F"/>
    <w:rsid w:val="469063CF"/>
    <w:rsid w:val="46925930"/>
    <w:rsid w:val="46927983"/>
    <w:rsid w:val="46A136A7"/>
    <w:rsid w:val="46AF1C8B"/>
    <w:rsid w:val="46D0277B"/>
    <w:rsid w:val="46E663B3"/>
    <w:rsid w:val="47004B35"/>
    <w:rsid w:val="47055811"/>
    <w:rsid w:val="47173550"/>
    <w:rsid w:val="47387046"/>
    <w:rsid w:val="47A2368C"/>
    <w:rsid w:val="47D149D8"/>
    <w:rsid w:val="48144862"/>
    <w:rsid w:val="481E7EA7"/>
    <w:rsid w:val="48267635"/>
    <w:rsid w:val="4842767D"/>
    <w:rsid w:val="484653A1"/>
    <w:rsid w:val="485A64CD"/>
    <w:rsid w:val="48654A26"/>
    <w:rsid w:val="486D6CC0"/>
    <w:rsid w:val="488C2B7C"/>
    <w:rsid w:val="489A2240"/>
    <w:rsid w:val="48C75206"/>
    <w:rsid w:val="48D53CF6"/>
    <w:rsid w:val="491B78AA"/>
    <w:rsid w:val="491E6220"/>
    <w:rsid w:val="49303C2F"/>
    <w:rsid w:val="49B55A70"/>
    <w:rsid w:val="49EF1F30"/>
    <w:rsid w:val="49F75D45"/>
    <w:rsid w:val="4A1F72D7"/>
    <w:rsid w:val="4A245DBD"/>
    <w:rsid w:val="4A515805"/>
    <w:rsid w:val="4A716155"/>
    <w:rsid w:val="4A847973"/>
    <w:rsid w:val="4AAF7284"/>
    <w:rsid w:val="4AB91C3E"/>
    <w:rsid w:val="4B2D3438"/>
    <w:rsid w:val="4B320EAF"/>
    <w:rsid w:val="4B341FB6"/>
    <w:rsid w:val="4B530D48"/>
    <w:rsid w:val="4B610837"/>
    <w:rsid w:val="4B664419"/>
    <w:rsid w:val="4B7C4154"/>
    <w:rsid w:val="4B926840"/>
    <w:rsid w:val="4B9B6198"/>
    <w:rsid w:val="4BAE749A"/>
    <w:rsid w:val="4BC92DAE"/>
    <w:rsid w:val="4BE35810"/>
    <w:rsid w:val="4BE966D4"/>
    <w:rsid w:val="4BFD7343"/>
    <w:rsid w:val="4C222CCE"/>
    <w:rsid w:val="4C2E0CBD"/>
    <w:rsid w:val="4C724691"/>
    <w:rsid w:val="4CB61EA0"/>
    <w:rsid w:val="4CC51046"/>
    <w:rsid w:val="4CFF328B"/>
    <w:rsid w:val="4D265A75"/>
    <w:rsid w:val="4D2F0355"/>
    <w:rsid w:val="4D583A38"/>
    <w:rsid w:val="4D6720AB"/>
    <w:rsid w:val="4D692FBF"/>
    <w:rsid w:val="4D761E2D"/>
    <w:rsid w:val="4D763645"/>
    <w:rsid w:val="4D777B1C"/>
    <w:rsid w:val="4D872AA0"/>
    <w:rsid w:val="4D8A47C8"/>
    <w:rsid w:val="4DA95BDC"/>
    <w:rsid w:val="4DC87BBC"/>
    <w:rsid w:val="4DE34B29"/>
    <w:rsid w:val="4DEA4FBB"/>
    <w:rsid w:val="4DF50A6C"/>
    <w:rsid w:val="4DFD1705"/>
    <w:rsid w:val="4DFF6D01"/>
    <w:rsid w:val="4E0B34B3"/>
    <w:rsid w:val="4E541588"/>
    <w:rsid w:val="4E661EA1"/>
    <w:rsid w:val="4E795448"/>
    <w:rsid w:val="4E9E400B"/>
    <w:rsid w:val="4EA2112B"/>
    <w:rsid w:val="4EAC6947"/>
    <w:rsid w:val="4ECD2961"/>
    <w:rsid w:val="4ED11092"/>
    <w:rsid w:val="4ED55503"/>
    <w:rsid w:val="4EE11DF1"/>
    <w:rsid w:val="4EF9123C"/>
    <w:rsid w:val="4F056F4F"/>
    <w:rsid w:val="4F0E0F77"/>
    <w:rsid w:val="4F184117"/>
    <w:rsid w:val="4F3664CA"/>
    <w:rsid w:val="4F716F60"/>
    <w:rsid w:val="4F7B132D"/>
    <w:rsid w:val="4F887979"/>
    <w:rsid w:val="4FAC3F88"/>
    <w:rsid w:val="4FC84F74"/>
    <w:rsid w:val="4FD9061A"/>
    <w:rsid w:val="4FE75A4D"/>
    <w:rsid w:val="4FE803A1"/>
    <w:rsid w:val="4FFC28DD"/>
    <w:rsid w:val="502F02A9"/>
    <w:rsid w:val="502F5B9E"/>
    <w:rsid w:val="50503078"/>
    <w:rsid w:val="50574B72"/>
    <w:rsid w:val="508758F2"/>
    <w:rsid w:val="50947BE7"/>
    <w:rsid w:val="50CE44F4"/>
    <w:rsid w:val="513011BE"/>
    <w:rsid w:val="513D6FDD"/>
    <w:rsid w:val="518708F8"/>
    <w:rsid w:val="519D4573"/>
    <w:rsid w:val="51A345F2"/>
    <w:rsid w:val="51A71019"/>
    <w:rsid w:val="51B20427"/>
    <w:rsid w:val="51C70BCC"/>
    <w:rsid w:val="51E71054"/>
    <w:rsid w:val="520E79D3"/>
    <w:rsid w:val="52441514"/>
    <w:rsid w:val="52504B06"/>
    <w:rsid w:val="525262EA"/>
    <w:rsid w:val="525562FA"/>
    <w:rsid w:val="52695E52"/>
    <w:rsid w:val="529677A7"/>
    <w:rsid w:val="52AB4F03"/>
    <w:rsid w:val="52CA5B6F"/>
    <w:rsid w:val="52EF20F1"/>
    <w:rsid w:val="532403B5"/>
    <w:rsid w:val="534C0656"/>
    <w:rsid w:val="53560256"/>
    <w:rsid w:val="535C725F"/>
    <w:rsid w:val="53AE6148"/>
    <w:rsid w:val="53B00426"/>
    <w:rsid w:val="53C23E59"/>
    <w:rsid w:val="53E23B76"/>
    <w:rsid w:val="540013E0"/>
    <w:rsid w:val="540D0FAB"/>
    <w:rsid w:val="544D6C9A"/>
    <w:rsid w:val="54536316"/>
    <w:rsid w:val="545D7919"/>
    <w:rsid w:val="548968E9"/>
    <w:rsid w:val="54AE4AED"/>
    <w:rsid w:val="54EB7B69"/>
    <w:rsid w:val="557607E4"/>
    <w:rsid w:val="55A63543"/>
    <w:rsid w:val="55E46B6D"/>
    <w:rsid w:val="56276421"/>
    <w:rsid w:val="56360FFF"/>
    <w:rsid w:val="566D5D78"/>
    <w:rsid w:val="567B6366"/>
    <w:rsid w:val="570A3D5B"/>
    <w:rsid w:val="5736037E"/>
    <w:rsid w:val="57640497"/>
    <w:rsid w:val="5764080A"/>
    <w:rsid w:val="577D1BEF"/>
    <w:rsid w:val="57C06EDF"/>
    <w:rsid w:val="57CB1ACF"/>
    <w:rsid w:val="57E17978"/>
    <w:rsid w:val="57F57929"/>
    <w:rsid w:val="58545DF3"/>
    <w:rsid w:val="58681720"/>
    <w:rsid w:val="5879602B"/>
    <w:rsid w:val="587C6DDF"/>
    <w:rsid w:val="588365F2"/>
    <w:rsid w:val="58885E59"/>
    <w:rsid w:val="58E9024A"/>
    <w:rsid w:val="58ED63B6"/>
    <w:rsid w:val="59350301"/>
    <w:rsid w:val="59473EA0"/>
    <w:rsid w:val="59997F35"/>
    <w:rsid w:val="599A54A5"/>
    <w:rsid w:val="59DA4DB4"/>
    <w:rsid w:val="59DE353D"/>
    <w:rsid w:val="59E051FD"/>
    <w:rsid w:val="59E304DF"/>
    <w:rsid w:val="5A13349F"/>
    <w:rsid w:val="5A261BFE"/>
    <w:rsid w:val="5A344E03"/>
    <w:rsid w:val="5A5117F5"/>
    <w:rsid w:val="5A772779"/>
    <w:rsid w:val="5A85429B"/>
    <w:rsid w:val="5A996061"/>
    <w:rsid w:val="5AB218E1"/>
    <w:rsid w:val="5AFE0749"/>
    <w:rsid w:val="5B1A6935"/>
    <w:rsid w:val="5B1F728F"/>
    <w:rsid w:val="5B661C01"/>
    <w:rsid w:val="5B8D37E2"/>
    <w:rsid w:val="5BD522B9"/>
    <w:rsid w:val="5C2F03CB"/>
    <w:rsid w:val="5C3B6DCB"/>
    <w:rsid w:val="5C593045"/>
    <w:rsid w:val="5C777F55"/>
    <w:rsid w:val="5CBA103A"/>
    <w:rsid w:val="5CC10BB9"/>
    <w:rsid w:val="5CCA7B84"/>
    <w:rsid w:val="5CEC6120"/>
    <w:rsid w:val="5D397733"/>
    <w:rsid w:val="5DD152D8"/>
    <w:rsid w:val="5DFC40C6"/>
    <w:rsid w:val="5E185135"/>
    <w:rsid w:val="5E1B5A4C"/>
    <w:rsid w:val="5E2C49D1"/>
    <w:rsid w:val="5E4248E8"/>
    <w:rsid w:val="5E5D7E29"/>
    <w:rsid w:val="5E624433"/>
    <w:rsid w:val="5E731DCF"/>
    <w:rsid w:val="5E9E664B"/>
    <w:rsid w:val="5E9F4437"/>
    <w:rsid w:val="5EA52FAF"/>
    <w:rsid w:val="5EB81262"/>
    <w:rsid w:val="5EC07C88"/>
    <w:rsid w:val="5EE032C9"/>
    <w:rsid w:val="5EF72EF0"/>
    <w:rsid w:val="5F2C1FFC"/>
    <w:rsid w:val="5F433839"/>
    <w:rsid w:val="5F482DEF"/>
    <w:rsid w:val="5F5F66F5"/>
    <w:rsid w:val="5F723064"/>
    <w:rsid w:val="5F940DD7"/>
    <w:rsid w:val="60102465"/>
    <w:rsid w:val="60692828"/>
    <w:rsid w:val="606D504D"/>
    <w:rsid w:val="60CE7502"/>
    <w:rsid w:val="60D64DFA"/>
    <w:rsid w:val="60E115FE"/>
    <w:rsid w:val="60E27A91"/>
    <w:rsid w:val="611A2A5C"/>
    <w:rsid w:val="611F2ACA"/>
    <w:rsid w:val="612E60D6"/>
    <w:rsid w:val="617259BC"/>
    <w:rsid w:val="617A0A8D"/>
    <w:rsid w:val="61BC4810"/>
    <w:rsid w:val="61D45D62"/>
    <w:rsid w:val="62262282"/>
    <w:rsid w:val="62294554"/>
    <w:rsid w:val="62835C66"/>
    <w:rsid w:val="629A2753"/>
    <w:rsid w:val="62B666AF"/>
    <w:rsid w:val="62BB05B6"/>
    <w:rsid w:val="62E1441F"/>
    <w:rsid w:val="62E24221"/>
    <w:rsid w:val="62EE0740"/>
    <w:rsid w:val="6307759A"/>
    <w:rsid w:val="636E5863"/>
    <w:rsid w:val="637B7C12"/>
    <w:rsid w:val="637F761C"/>
    <w:rsid w:val="639C4A2B"/>
    <w:rsid w:val="63B85AD0"/>
    <w:rsid w:val="63C316CE"/>
    <w:rsid w:val="63C46CE9"/>
    <w:rsid w:val="63D548D0"/>
    <w:rsid w:val="64021414"/>
    <w:rsid w:val="640F2C35"/>
    <w:rsid w:val="64243D8F"/>
    <w:rsid w:val="6441723E"/>
    <w:rsid w:val="645F4364"/>
    <w:rsid w:val="647C4B15"/>
    <w:rsid w:val="649422EF"/>
    <w:rsid w:val="64B52FFF"/>
    <w:rsid w:val="64B618B5"/>
    <w:rsid w:val="64BA69E7"/>
    <w:rsid w:val="64C147F8"/>
    <w:rsid w:val="64C80B16"/>
    <w:rsid w:val="64E37CC8"/>
    <w:rsid w:val="64F273DF"/>
    <w:rsid w:val="653F699B"/>
    <w:rsid w:val="65454C2D"/>
    <w:rsid w:val="654A5CBA"/>
    <w:rsid w:val="655776C7"/>
    <w:rsid w:val="655D5E4D"/>
    <w:rsid w:val="656D6B9F"/>
    <w:rsid w:val="65783894"/>
    <w:rsid w:val="65A01086"/>
    <w:rsid w:val="65AB7EF8"/>
    <w:rsid w:val="65B4114E"/>
    <w:rsid w:val="660541EF"/>
    <w:rsid w:val="660E60C4"/>
    <w:rsid w:val="661E554F"/>
    <w:rsid w:val="66410434"/>
    <w:rsid w:val="66B943B4"/>
    <w:rsid w:val="66D9794E"/>
    <w:rsid w:val="66F05966"/>
    <w:rsid w:val="671A5858"/>
    <w:rsid w:val="676505A0"/>
    <w:rsid w:val="67737FDF"/>
    <w:rsid w:val="67CE1F0B"/>
    <w:rsid w:val="67FA0A31"/>
    <w:rsid w:val="68045A14"/>
    <w:rsid w:val="68311C00"/>
    <w:rsid w:val="686F14D5"/>
    <w:rsid w:val="687C47D5"/>
    <w:rsid w:val="68975742"/>
    <w:rsid w:val="68AE5E7A"/>
    <w:rsid w:val="68B615CB"/>
    <w:rsid w:val="68BB15E7"/>
    <w:rsid w:val="68BC0BA5"/>
    <w:rsid w:val="68C67448"/>
    <w:rsid w:val="68D9547F"/>
    <w:rsid w:val="68E45EBF"/>
    <w:rsid w:val="68E503C2"/>
    <w:rsid w:val="68EB3CEF"/>
    <w:rsid w:val="69210899"/>
    <w:rsid w:val="692A51E4"/>
    <w:rsid w:val="69344211"/>
    <w:rsid w:val="6945547D"/>
    <w:rsid w:val="69537A82"/>
    <w:rsid w:val="69641165"/>
    <w:rsid w:val="6992472C"/>
    <w:rsid w:val="69D63A7F"/>
    <w:rsid w:val="6A270164"/>
    <w:rsid w:val="6A270421"/>
    <w:rsid w:val="6A640FBF"/>
    <w:rsid w:val="6A69177D"/>
    <w:rsid w:val="6AC6616F"/>
    <w:rsid w:val="6AE25466"/>
    <w:rsid w:val="6AEB454C"/>
    <w:rsid w:val="6AFA21EC"/>
    <w:rsid w:val="6B4B77EA"/>
    <w:rsid w:val="6B563166"/>
    <w:rsid w:val="6B6905F7"/>
    <w:rsid w:val="6B713F07"/>
    <w:rsid w:val="6B8C6632"/>
    <w:rsid w:val="6B942897"/>
    <w:rsid w:val="6BAB63AF"/>
    <w:rsid w:val="6BDA2C78"/>
    <w:rsid w:val="6BDB0AF9"/>
    <w:rsid w:val="6C327B3B"/>
    <w:rsid w:val="6C6E7F90"/>
    <w:rsid w:val="6C937657"/>
    <w:rsid w:val="6C984B66"/>
    <w:rsid w:val="6CE77C9E"/>
    <w:rsid w:val="6CFE7A1D"/>
    <w:rsid w:val="6CFF0F58"/>
    <w:rsid w:val="6D587FBF"/>
    <w:rsid w:val="6D6D156A"/>
    <w:rsid w:val="6D93085D"/>
    <w:rsid w:val="6DA45FF4"/>
    <w:rsid w:val="6DB77894"/>
    <w:rsid w:val="6DC6674B"/>
    <w:rsid w:val="6DD075CC"/>
    <w:rsid w:val="6E076D05"/>
    <w:rsid w:val="6E086A9F"/>
    <w:rsid w:val="6E313A74"/>
    <w:rsid w:val="6E8A0B6A"/>
    <w:rsid w:val="6EB5741D"/>
    <w:rsid w:val="6ECC3FC3"/>
    <w:rsid w:val="6F08390E"/>
    <w:rsid w:val="6F3B697C"/>
    <w:rsid w:val="6F6B0876"/>
    <w:rsid w:val="6F757064"/>
    <w:rsid w:val="6F92207A"/>
    <w:rsid w:val="6FA83099"/>
    <w:rsid w:val="6FD20C89"/>
    <w:rsid w:val="6FE00AC2"/>
    <w:rsid w:val="6FF00F65"/>
    <w:rsid w:val="6FF76245"/>
    <w:rsid w:val="7021222E"/>
    <w:rsid w:val="702256DD"/>
    <w:rsid w:val="70235DEC"/>
    <w:rsid w:val="70692F10"/>
    <w:rsid w:val="70855F6D"/>
    <w:rsid w:val="70BD4694"/>
    <w:rsid w:val="70CA560E"/>
    <w:rsid w:val="70FA3B67"/>
    <w:rsid w:val="71287D99"/>
    <w:rsid w:val="713163AF"/>
    <w:rsid w:val="714A3DFD"/>
    <w:rsid w:val="71860464"/>
    <w:rsid w:val="71863C5C"/>
    <w:rsid w:val="71942E78"/>
    <w:rsid w:val="71967069"/>
    <w:rsid w:val="71B97219"/>
    <w:rsid w:val="71D47F47"/>
    <w:rsid w:val="720938A5"/>
    <w:rsid w:val="720C4CE2"/>
    <w:rsid w:val="7211192F"/>
    <w:rsid w:val="72117C71"/>
    <w:rsid w:val="72253F59"/>
    <w:rsid w:val="72303688"/>
    <w:rsid w:val="72407358"/>
    <w:rsid w:val="72591954"/>
    <w:rsid w:val="726F0D12"/>
    <w:rsid w:val="729369EF"/>
    <w:rsid w:val="72BA2638"/>
    <w:rsid w:val="72BE0C21"/>
    <w:rsid w:val="72CE627A"/>
    <w:rsid w:val="72DD0CA4"/>
    <w:rsid w:val="731507DF"/>
    <w:rsid w:val="731D2645"/>
    <w:rsid w:val="734870D9"/>
    <w:rsid w:val="734E2F70"/>
    <w:rsid w:val="73902265"/>
    <w:rsid w:val="739D17BD"/>
    <w:rsid w:val="73A41CCF"/>
    <w:rsid w:val="73D30FAF"/>
    <w:rsid w:val="741323A7"/>
    <w:rsid w:val="741948EE"/>
    <w:rsid w:val="7430613C"/>
    <w:rsid w:val="74570EE3"/>
    <w:rsid w:val="746407BB"/>
    <w:rsid w:val="74852ABA"/>
    <w:rsid w:val="749F7AF2"/>
    <w:rsid w:val="74E15034"/>
    <w:rsid w:val="750135D4"/>
    <w:rsid w:val="75116419"/>
    <w:rsid w:val="7531137E"/>
    <w:rsid w:val="754F3080"/>
    <w:rsid w:val="75933D7A"/>
    <w:rsid w:val="75D90FA9"/>
    <w:rsid w:val="75E1085E"/>
    <w:rsid w:val="762607B0"/>
    <w:rsid w:val="765048D2"/>
    <w:rsid w:val="76586C21"/>
    <w:rsid w:val="765F1739"/>
    <w:rsid w:val="766F4280"/>
    <w:rsid w:val="769B08D2"/>
    <w:rsid w:val="769E029C"/>
    <w:rsid w:val="76FE7385"/>
    <w:rsid w:val="77040121"/>
    <w:rsid w:val="77074FBA"/>
    <w:rsid w:val="77100549"/>
    <w:rsid w:val="771C38A3"/>
    <w:rsid w:val="774747D0"/>
    <w:rsid w:val="77712E2E"/>
    <w:rsid w:val="77E751FE"/>
    <w:rsid w:val="780F7780"/>
    <w:rsid w:val="78170E12"/>
    <w:rsid w:val="78575AD9"/>
    <w:rsid w:val="7865284E"/>
    <w:rsid w:val="786C6326"/>
    <w:rsid w:val="788058B3"/>
    <w:rsid w:val="78A764DE"/>
    <w:rsid w:val="78C36DE0"/>
    <w:rsid w:val="790A5F70"/>
    <w:rsid w:val="793119AE"/>
    <w:rsid w:val="793303EF"/>
    <w:rsid w:val="793766AD"/>
    <w:rsid w:val="79397558"/>
    <w:rsid w:val="795A4A47"/>
    <w:rsid w:val="796A40F0"/>
    <w:rsid w:val="797A595E"/>
    <w:rsid w:val="79810EBA"/>
    <w:rsid w:val="798A2F90"/>
    <w:rsid w:val="79DE4AC7"/>
    <w:rsid w:val="79F61D75"/>
    <w:rsid w:val="7A003E98"/>
    <w:rsid w:val="7A1267E6"/>
    <w:rsid w:val="7A2D3EA4"/>
    <w:rsid w:val="7A331B30"/>
    <w:rsid w:val="7A53292B"/>
    <w:rsid w:val="7A5A7FE5"/>
    <w:rsid w:val="7A5C7DEA"/>
    <w:rsid w:val="7A777AC1"/>
    <w:rsid w:val="7A7A53B1"/>
    <w:rsid w:val="7A8356F5"/>
    <w:rsid w:val="7A8E0023"/>
    <w:rsid w:val="7ACC3F7C"/>
    <w:rsid w:val="7AD02C89"/>
    <w:rsid w:val="7AE572F8"/>
    <w:rsid w:val="7B1D5654"/>
    <w:rsid w:val="7B2B7BA7"/>
    <w:rsid w:val="7B332E64"/>
    <w:rsid w:val="7B5739B9"/>
    <w:rsid w:val="7B6C0926"/>
    <w:rsid w:val="7B8E24C7"/>
    <w:rsid w:val="7B9E0FB2"/>
    <w:rsid w:val="7BAC1017"/>
    <w:rsid w:val="7BAF2DE9"/>
    <w:rsid w:val="7BB919A3"/>
    <w:rsid w:val="7BD415F7"/>
    <w:rsid w:val="7C157862"/>
    <w:rsid w:val="7C2117FF"/>
    <w:rsid w:val="7C8F4421"/>
    <w:rsid w:val="7D4848D3"/>
    <w:rsid w:val="7DAF0B47"/>
    <w:rsid w:val="7E2516BD"/>
    <w:rsid w:val="7E3A4559"/>
    <w:rsid w:val="7E6D1B39"/>
    <w:rsid w:val="7E852A49"/>
    <w:rsid w:val="7EE20267"/>
    <w:rsid w:val="7F076DA4"/>
    <w:rsid w:val="7F2900ED"/>
    <w:rsid w:val="7F456CA1"/>
    <w:rsid w:val="7F645481"/>
    <w:rsid w:val="7FA32023"/>
    <w:rsid w:val="7FC96E84"/>
    <w:rsid w:val="7FE802AB"/>
    <w:rsid w:val="7FFA1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1"/>
    <w:link w:val="41"/>
    <w:qFormat/>
    <w:uiPriority w:val="0"/>
    <w:pPr>
      <w:tabs>
        <w:tab w:val="left" w:pos="540"/>
      </w:tabs>
      <w:adjustRightInd w:val="0"/>
      <w:snapToGrid w:val="0"/>
      <w:spacing w:line="360" w:lineRule="auto"/>
      <w:jc w:val="left"/>
      <w:outlineLvl w:val="1"/>
    </w:pPr>
    <w:rPr>
      <w:rFonts w:ascii="Arial" w:hAnsi="Arial"/>
      <w:b/>
      <w:sz w:val="28"/>
      <w:szCs w:val="20"/>
    </w:rPr>
  </w:style>
  <w:style w:type="paragraph" w:styleId="5">
    <w:name w:val="heading 3"/>
    <w:basedOn w:val="1"/>
    <w:next w:val="1"/>
    <w:link w:val="40"/>
    <w:qFormat/>
    <w:uiPriority w:val="0"/>
    <w:pPr>
      <w:tabs>
        <w:tab w:val="left" w:pos="540"/>
      </w:tabs>
      <w:adjustRightInd w:val="0"/>
      <w:snapToGrid w:val="0"/>
      <w:spacing w:line="360" w:lineRule="auto"/>
      <w:jc w:val="left"/>
      <w:outlineLvl w:val="2"/>
    </w:pPr>
    <w:rPr>
      <w:b/>
      <w:sz w:val="24"/>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44"/>
    <w:qFormat/>
    <w:uiPriority w:val="0"/>
    <w:pPr>
      <w:spacing w:line="360" w:lineRule="auto"/>
      <w:ind w:left="179" w:leftChars="85" w:hanging="1"/>
    </w:pPr>
    <w:rPr>
      <w:b/>
      <w:sz w:val="24"/>
      <w:szCs w:val="20"/>
      <w:u w:val="single"/>
    </w:rPr>
  </w:style>
  <w:style w:type="paragraph" w:styleId="6">
    <w:name w:val="List 3"/>
    <w:basedOn w:val="1"/>
    <w:qFormat/>
    <w:uiPriority w:val="0"/>
    <w:pPr>
      <w:ind w:left="1260" w:hanging="420"/>
    </w:pPr>
    <w:rPr>
      <w:color w:val="000000"/>
      <w:kern w:val="1"/>
      <w:sz w:val="24"/>
      <w:szCs w:val="20"/>
    </w:rPr>
  </w:style>
  <w:style w:type="paragraph" w:styleId="7">
    <w:name w:val="Normal Indent"/>
    <w:basedOn w:val="1"/>
    <w:next w:val="1"/>
    <w:qFormat/>
    <w:uiPriority w:val="0"/>
    <w:pPr>
      <w:ind w:firstLine="420"/>
    </w:pPr>
    <w:rPr>
      <w:color w:val="000000"/>
      <w:kern w:val="1"/>
      <w:szCs w:val="20"/>
    </w:rPr>
  </w:style>
  <w:style w:type="paragraph" w:styleId="8">
    <w:name w:val="toa heading"/>
    <w:basedOn w:val="1"/>
    <w:next w:val="1"/>
    <w:qFormat/>
    <w:uiPriority w:val="0"/>
    <w:pPr>
      <w:spacing w:before="120"/>
    </w:pPr>
    <w:rPr>
      <w:rFonts w:ascii="Arial" w:hAnsi="Arial"/>
      <w:sz w:val="24"/>
      <w:szCs w:val="20"/>
    </w:rPr>
  </w:style>
  <w:style w:type="paragraph" w:styleId="9">
    <w:name w:val="annotation text"/>
    <w:basedOn w:val="1"/>
    <w:link w:val="42"/>
    <w:unhideWhenUsed/>
    <w:qFormat/>
    <w:uiPriority w:val="99"/>
    <w:pPr>
      <w:jc w:val="left"/>
    </w:pPr>
  </w:style>
  <w:style w:type="paragraph" w:styleId="10">
    <w:name w:val="Body Text 3"/>
    <w:basedOn w:val="1"/>
    <w:qFormat/>
    <w:uiPriority w:val="0"/>
    <w:pPr>
      <w:spacing w:after="120"/>
    </w:pPr>
    <w:rPr>
      <w:sz w:val="16"/>
      <w:szCs w:val="16"/>
    </w:rPr>
  </w:style>
  <w:style w:type="paragraph" w:styleId="11">
    <w:name w:val="Body Text"/>
    <w:basedOn w:val="1"/>
    <w:qFormat/>
    <w:uiPriority w:val="0"/>
    <w:pPr>
      <w:spacing w:after="120"/>
    </w:pPr>
  </w:style>
  <w:style w:type="paragraph" w:styleId="12">
    <w:name w:val="Body Text Indent"/>
    <w:basedOn w:val="1"/>
    <w:qFormat/>
    <w:uiPriority w:val="0"/>
    <w:pPr>
      <w:spacing w:after="120"/>
      <w:ind w:left="420" w:leftChars="200"/>
    </w:pPr>
  </w:style>
  <w:style w:type="paragraph" w:styleId="13">
    <w:name w:val="Plain Text"/>
    <w:basedOn w:val="1"/>
    <w:link w:val="43"/>
    <w:qFormat/>
    <w:uiPriority w:val="0"/>
    <w:rPr>
      <w:rFonts w:ascii="宋体" w:hAnsi="Courier New"/>
      <w:sz w:val="11"/>
      <w:szCs w:val="20"/>
    </w:rPr>
  </w:style>
  <w:style w:type="paragraph" w:styleId="14">
    <w:name w:val="Date"/>
    <w:basedOn w:val="1"/>
    <w:next w:val="1"/>
    <w:qFormat/>
    <w:uiPriority w:val="0"/>
    <w:pPr>
      <w:ind w:left="100" w:leftChars="2500"/>
    </w:pPr>
  </w:style>
  <w:style w:type="paragraph" w:styleId="15">
    <w:name w:val="Balloon Text"/>
    <w:basedOn w:val="1"/>
    <w:link w:val="45"/>
    <w:unhideWhenUsed/>
    <w:qFormat/>
    <w:uiPriority w:val="99"/>
    <w:rPr>
      <w:sz w:val="18"/>
      <w:szCs w:val="18"/>
    </w:rPr>
  </w:style>
  <w:style w:type="paragraph" w:styleId="16">
    <w:name w:val="footer"/>
    <w:basedOn w:val="1"/>
    <w:link w:val="46"/>
    <w:unhideWhenUsed/>
    <w:qFormat/>
    <w:uiPriority w:val="99"/>
    <w:pPr>
      <w:tabs>
        <w:tab w:val="center" w:pos="4153"/>
        <w:tab w:val="right" w:pos="8306"/>
      </w:tabs>
      <w:snapToGrid w:val="0"/>
      <w:jc w:val="left"/>
    </w:pPr>
    <w:rPr>
      <w:sz w:val="18"/>
      <w:szCs w:val="18"/>
    </w:rPr>
  </w:style>
  <w:style w:type="paragraph" w:styleId="17">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Body Text Indent 3"/>
    <w:basedOn w:val="1"/>
    <w:unhideWhenUsed/>
    <w:qFormat/>
    <w:uiPriority w:val="0"/>
    <w:pPr>
      <w:spacing w:after="120"/>
      <w:ind w:left="420" w:leftChars="200"/>
    </w:pPr>
    <w:rPr>
      <w:rFonts w:ascii="Calibri" w:hAnsi="Calibri"/>
      <w:kern w:val="0"/>
      <w:sz w:val="16"/>
      <w:szCs w:val="16"/>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0">
    <w:name w:val="Normal (Web)"/>
    <w:basedOn w:val="1"/>
    <w:qFormat/>
    <w:uiPriority w:val="0"/>
    <w:pPr>
      <w:widowControl/>
      <w:jc w:val="left"/>
    </w:pPr>
    <w:rPr>
      <w:rFonts w:ascii="宋体" w:hAnsi="宋体" w:cs="宋体"/>
      <w:kern w:val="0"/>
      <w:sz w:val="24"/>
      <w:szCs w:val="24"/>
    </w:rPr>
  </w:style>
  <w:style w:type="paragraph" w:styleId="21">
    <w:name w:val="annotation subject"/>
    <w:basedOn w:val="9"/>
    <w:next w:val="9"/>
    <w:link w:val="48"/>
    <w:unhideWhenUsed/>
    <w:qFormat/>
    <w:uiPriority w:val="99"/>
    <w:rPr>
      <w:b/>
      <w:bCs/>
    </w:rPr>
  </w:style>
  <w:style w:type="paragraph" w:styleId="22">
    <w:name w:val="Body Text First Indent 2"/>
    <w:basedOn w:val="12"/>
    <w:next w:val="11"/>
    <w:qFormat/>
    <w:uiPriority w:val="0"/>
    <w:pPr>
      <w:ind w:firstLine="420" w:firstLineChars="200"/>
    </w:pPr>
    <w:rPr>
      <w:kern w:val="0"/>
      <w:sz w:val="20"/>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FollowedHyperlink"/>
    <w:unhideWhenUsed/>
    <w:qFormat/>
    <w:uiPriority w:val="99"/>
    <w:rPr>
      <w:color w:val="2D64B3"/>
      <w:u w:val="none"/>
    </w:rPr>
  </w:style>
  <w:style w:type="character" w:styleId="29">
    <w:name w:val="Emphasis"/>
    <w:qFormat/>
    <w:uiPriority w:val="0"/>
    <w:rPr>
      <w:color w:val="CC0000"/>
    </w:rPr>
  </w:style>
  <w:style w:type="character" w:styleId="30">
    <w:name w:val="HTML Definition"/>
    <w:unhideWhenUsed/>
    <w:qFormat/>
    <w:uiPriority w:val="99"/>
  </w:style>
  <w:style w:type="character" w:styleId="31">
    <w:name w:val="HTML Variable"/>
    <w:unhideWhenUsed/>
    <w:qFormat/>
    <w:uiPriority w:val="99"/>
  </w:style>
  <w:style w:type="character" w:styleId="32">
    <w:name w:val="Hyperlink"/>
    <w:qFormat/>
    <w:uiPriority w:val="0"/>
    <w:rPr>
      <w:color w:val="0000FF"/>
      <w:u w:val="single"/>
    </w:rPr>
  </w:style>
  <w:style w:type="character" w:styleId="33">
    <w:name w:val="HTML Code"/>
    <w:unhideWhenUsed/>
    <w:qFormat/>
    <w:uiPriority w:val="99"/>
    <w:rPr>
      <w:rFonts w:ascii="Arial" w:hAnsi="Arial" w:cs="Arial"/>
      <w:sz w:val="20"/>
    </w:rPr>
  </w:style>
  <w:style w:type="character" w:styleId="34">
    <w:name w:val="annotation reference"/>
    <w:unhideWhenUsed/>
    <w:qFormat/>
    <w:uiPriority w:val="0"/>
    <w:rPr>
      <w:sz w:val="21"/>
      <w:szCs w:val="21"/>
    </w:rPr>
  </w:style>
  <w:style w:type="character" w:styleId="35">
    <w:name w:val="HTML Cite"/>
    <w:unhideWhenUsed/>
    <w:qFormat/>
    <w:uiPriority w:val="99"/>
  </w:style>
  <w:style w:type="character" w:styleId="36">
    <w:name w:val="HTML Keyboard"/>
    <w:unhideWhenUsed/>
    <w:qFormat/>
    <w:uiPriority w:val="99"/>
    <w:rPr>
      <w:rFonts w:ascii="Arial" w:hAnsi="Arial" w:cs="Arial"/>
      <w:sz w:val="20"/>
    </w:rPr>
  </w:style>
  <w:style w:type="character" w:styleId="37">
    <w:name w:val="HTML Sample"/>
    <w:unhideWhenUsed/>
    <w:qFormat/>
    <w:uiPriority w:val="99"/>
    <w:rPr>
      <w:rFonts w:hint="eastAsia" w:ascii="Arial" w:hAnsi="Arial" w:cs="Arial"/>
    </w:rPr>
  </w:style>
  <w:style w:type="paragraph" w:customStyle="1" w:styleId="38">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3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0">
    <w:name w:val="标题 3 Char"/>
    <w:link w:val="5"/>
    <w:qFormat/>
    <w:uiPriority w:val="0"/>
    <w:rPr>
      <w:rFonts w:ascii="Times New Roman" w:hAnsi="Times New Roman"/>
      <w:b/>
      <w:kern w:val="2"/>
      <w:sz w:val="24"/>
    </w:rPr>
  </w:style>
  <w:style w:type="character" w:customStyle="1" w:styleId="41">
    <w:name w:val="标题 2 Char"/>
    <w:link w:val="4"/>
    <w:qFormat/>
    <w:uiPriority w:val="0"/>
    <w:rPr>
      <w:rFonts w:ascii="Arial" w:hAnsi="Arial"/>
      <w:b/>
      <w:kern w:val="2"/>
      <w:sz w:val="28"/>
    </w:rPr>
  </w:style>
  <w:style w:type="character" w:customStyle="1" w:styleId="42">
    <w:name w:val="批注文字 Char"/>
    <w:link w:val="9"/>
    <w:semiHidden/>
    <w:qFormat/>
    <w:uiPriority w:val="99"/>
    <w:rPr>
      <w:kern w:val="2"/>
      <w:sz w:val="21"/>
      <w:szCs w:val="22"/>
    </w:rPr>
  </w:style>
  <w:style w:type="character" w:customStyle="1" w:styleId="43">
    <w:name w:val="纯文本 Char"/>
    <w:link w:val="13"/>
    <w:qFormat/>
    <w:uiPriority w:val="0"/>
    <w:rPr>
      <w:rFonts w:ascii="宋体" w:hAnsi="Courier New"/>
      <w:kern w:val="2"/>
      <w:sz w:val="11"/>
    </w:rPr>
  </w:style>
  <w:style w:type="character" w:customStyle="1" w:styleId="44">
    <w:name w:val="正文文本缩进 2 Char"/>
    <w:link w:val="2"/>
    <w:qFormat/>
    <w:uiPriority w:val="0"/>
    <w:rPr>
      <w:rFonts w:ascii="Times New Roman" w:hAnsi="Times New Roman"/>
      <w:b/>
      <w:kern w:val="2"/>
      <w:sz w:val="24"/>
      <w:u w:val="single"/>
    </w:rPr>
  </w:style>
  <w:style w:type="character" w:customStyle="1" w:styleId="45">
    <w:name w:val="批注框文本 Char"/>
    <w:link w:val="15"/>
    <w:semiHidden/>
    <w:qFormat/>
    <w:uiPriority w:val="99"/>
    <w:rPr>
      <w:kern w:val="2"/>
      <w:sz w:val="18"/>
      <w:szCs w:val="18"/>
    </w:rPr>
  </w:style>
  <w:style w:type="character" w:customStyle="1" w:styleId="46">
    <w:name w:val="页脚 Char"/>
    <w:link w:val="16"/>
    <w:qFormat/>
    <w:uiPriority w:val="99"/>
    <w:rPr>
      <w:kern w:val="2"/>
      <w:sz w:val="18"/>
      <w:szCs w:val="18"/>
    </w:rPr>
  </w:style>
  <w:style w:type="character" w:customStyle="1" w:styleId="47">
    <w:name w:val="页眉 Char"/>
    <w:link w:val="17"/>
    <w:qFormat/>
    <w:uiPriority w:val="99"/>
    <w:rPr>
      <w:kern w:val="2"/>
      <w:sz w:val="18"/>
      <w:szCs w:val="18"/>
    </w:rPr>
  </w:style>
  <w:style w:type="character" w:customStyle="1" w:styleId="48">
    <w:name w:val="批注主题 Char"/>
    <w:link w:val="21"/>
    <w:semiHidden/>
    <w:qFormat/>
    <w:uiPriority w:val="99"/>
    <w:rPr>
      <w:b/>
      <w:bCs/>
      <w:kern w:val="2"/>
      <w:sz w:val="21"/>
      <w:szCs w:val="22"/>
    </w:rPr>
  </w:style>
  <w:style w:type="character" w:customStyle="1" w:styleId="49">
    <w:name w:val="bds_more1"/>
    <w:basedOn w:val="25"/>
    <w:qFormat/>
    <w:uiPriority w:val="0"/>
  </w:style>
  <w:style w:type="character" w:customStyle="1" w:styleId="50">
    <w:name w:val="普通文字1 Char"/>
    <w:qFormat/>
    <w:uiPriority w:val="0"/>
    <w:rPr>
      <w:rFonts w:ascii="宋体" w:hAnsi="Courier New" w:eastAsia="宋体"/>
      <w:kern w:val="2"/>
      <w:sz w:val="21"/>
      <w:lang w:val="en-US" w:eastAsia="zh-CN" w:bidi="ar-SA"/>
    </w:rPr>
  </w:style>
  <w:style w:type="character" w:customStyle="1" w:styleId="51">
    <w:name w:val="legend"/>
    <w:qFormat/>
    <w:uiPriority w:val="0"/>
    <w:rPr>
      <w:rFonts w:ascii="Arial" w:hAnsi="Arial" w:cs="Arial"/>
      <w:b/>
      <w:color w:val="73B304"/>
      <w:sz w:val="16"/>
      <w:szCs w:val="16"/>
      <w:shd w:val="clear" w:color="auto" w:fill="FFFFFF"/>
    </w:rPr>
  </w:style>
  <w:style w:type="character" w:customStyle="1" w:styleId="52">
    <w:name w:val="release-day"/>
    <w:qFormat/>
    <w:uiPriority w:val="0"/>
    <w:rPr>
      <w:bdr w:val="single" w:color="BDEBB0" w:sz="4" w:space="0"/>
      <w:shd w:val="clear" w:color="auto" w:fill="F5FFF1"/>
    </w:rPr>
  </w:style>
  <w:style w:type="character" w:customStyle="1" w:styleId="53">
    <w:name w:val="未处理的提及"/>
    <w:unhideWhenUsed/>
    <w:qFormat/>
    <w:uiPriority w:val="99"/>
    <w:rPr>
      <w:color w:val="605E5C"/>
      <w:shd w:val="clear" w:color="auto" w:fill="E1DFDD"/>
    </w:rPr>
  </w:style>
  <w:style w:type="character" w:customStyle="1" w:styleId="54">
    <w:name w:val="num"/>
    <w:qFormat/>
    <w:uiPriority w:val="0"/>
    <w:rPr>
      <w:b/>
      <w:color w:val="FF7800"/>
    </w:rPr>
  </w:style>
  <w:style w:type="character" w:customStyle="1" w:styleId="55">
    <w:name w:val="Header Char"/>
    <w:qFormat/>
    <w:locked/>
    <w:uiPriority w:val="0"/>
    <w:rPr>
      <w:rFonts w:eastAsia="宋体"/>
      <w:kern w:val="2"/>
      <w:sz w:val="18"/>
      <w:szCs w:val="18"/>
      <w:lang w:val="en-US" w:eastAsia="zh-CN" w:bidi="ar-SA"/>
    </w:rPr>
  </w:style>
  <w:style w:type="character" w:customStyle="1" w:styleId="56">
    <w:name w:val="bds_more2"/>
    <w:basedOn w:val="25"/>
    <w:qFormat/>
    <w:uiPriority w:val="0"/>
  </w:style>
  <w:style w:type="character" w:customStyle="1" w:styleId="57">
    <w:name w:val="正文文本 (2)"/>
    <w:qFormat/>
    <w:uiPriority w:val="0"/>
    <w:rPr>
      <w:rFonts w:ascii="宋体" w:hAnsi="宋体" w:eastAsia="宋体" w:cs="宋体"/>
      <w:color w:val="000000"/>
      <w:spacing w:val="0"/>
      <w:w w:val="100"/>
      <w:position w:val="0"/>
      <w:sz w:val="20"/>
      <w:szCs w:val="20"/>
      <w:u w:val="none"/>
      <w:lang w:val="zh-TW" w:eastAsia="zh-TW" w:bidi="zh-TW"/>
    </w:rPr>
  </w:style>
  <w:style w:type="character" w:customStyle="1" w:styleId="58">
    <w:name w:val="bds_nopic1"/>
    <w:basedOn w:val="25"/>
    <w:qFormat/>
    <w:uiPriority w:val="0"/>
  </w:style>
  <w:style w:type="character" w:customStyle="1" w:styleId="59">
    <w:name w:val="普通文字 Char Char2"/>
    <w:semiHidden/>
    <w:qFormat/>
    <w:uiPriority w:val="0"/>
    <w:rPr>
      <w:rFonts w:ascii="宋体" w:hAnsi="Courier New" w:eastAsia="宋体"/>
      <w:kern w:val="2"/>
      <w:sz w:val="21"/>
      <w:szCs w:val="21"/>
      <w:lang w:val="en-US" w:eastAsia="zh-CN" w:bidi="ar-SA"/>
    </w:rPr>
  </w:style>
  <w:style w:type="character" w:customStyle="1" w:styleId="60">
    <w:name w:val="页脚 字符"/>
    <w:qFormat/>
    <w:uiPriority w:val="99"/>
  </w:style>
  <w:style w:type="character" w:customStyle="1" w:styleId="61">
    <w:name w:val="15"/>
    <w:qFormat/>
    <w:uiPriority w:val="0"/>
    <w:rPr>
      <w:rFonts w:hint="eastAsia" w:ascii="仿宋_GB2312" w:eastAsia="仿宋_GB2312"/>
      <w:b/>
      <w:bCs/>
      <w:sz w:val="32"/>
      <w:szCs w:val="32"/>
    </w:rPr>
  </w:style>
  <w:style w:type="character" w:customStyle="1" w:styleId="62">
    <w:name w:val="txtcontent11"/>
    <w:qFormat/>
    <w:uiPriority w:val="0"/>
    <w:rPr>
      <w:rFonts w:hint="default" w:ascii="ˎ̥" w:hAnsi="ˎ̥"/>
      <w:color w:val="000000"/>
      <w:sz w:val="21"/>
      <w:szCs w:val="21"/>
    </w:rPr>
  </w:style>
  <w:style w:type="character" w:customStyle="1" w:styleId="63">
    <w:name w:val="纯文本 Char1"/>
    <w:semiHidden/>
    <w:qFormat/>
    <w:uiPriority w:val="99"/>
    <w:rPr>
      <w:rFonts w:ascii="宋体" w:hAnsi="Courier New" w:cs="Courier New"/>
      <w:kern w:val="2"/>
      <w:sz w:val="21"/>
      <w:szCs w:val="21"/>
    </w:rPr>
  </w:style>
  <w:style w:type="character" w:customStyle="1" w:styleId="64">
    <w:name w:val="正文缩进2格 Char Char"/>
    <w:link w:val="65"/>
    <w:qFormat/>
    <w:uiPriority w:val="0"/>
    <w:rPr>
      <w:rFonts w:ascii="仿宋_GB2312" w:hAnsi="宋体" w:eastAsia="仿宋_GB2312"/>
      <w:kern w:val="2"/>
      <w:sz w:val="31"/>
      <w:szCs w:val="28"/>
      <w:lang w:val="en-US" w:eastAsia="zh-CN" w:bidi="ar-SA"/>
    </w:rPr>
  </w:style>
  <w:style w:type="paragraph" w:customStyle="1" w:styleId="65">
    <w:name w:val="正文缩进2格"/>
    <w:basedOn w:val="1"/>
    <w:link w:val="64"/>
    <w:qFormat/>
    <w:uiPriority w:val="0"/>
    <w:pPr>
      <w:spacing w:line="600" w:lineRule="exact"/>
      <w:ind w:firstLine="639" w:firstLineChars="206"/>
    </w:pPr>
    <w:rPr>
      <w:rFonts w:ascii="仿宋_GB2312" w:hAnsi="宋体" w:eastAsia="仿宋_GB2312"/>
      <w:sz w:val="31"/>
      <w:szCs w:val="28"/>
    </w:rPr>
  </w:style>
  <w:style w:type="character" w:customStyle="1" w:styleId="66">
    <w:name w:val="Char Char10"/>
    <w:qFormat/>
    <w:uiPriority w:val="0"/>
    <w:rPr>
      <w:rFonts w:ascii="宋体" w:hAnsi="Courier New" w:eastAsia="宋体"/>
      <w:kern w:val="2"/>
      <w:sz w:val="21"/>
      <w:szCs w:val="24"/>
      <w:lang w:val="en-US" w:eastAsia="zh-CN" w:bidi="ar-SA"/>
    </w:rPr>
  </w:style>
  <w:style w:type="character" w:customStyle="1" w:styleId="67">
    <w:name w:val="NormalCharacter"/>
    <w:semiHidden/>
    <w:qFormat/>
    <w:uiPriority w:val="0"/>
  </w:style>
  <w:style w:type="character" w:customStyle="1" w:styleId="68">
    <w:name w:val="bds_nopic"/>
    <w:basedOn w:val="25"/>
    <w:qFormat/>
    <w:uiPriority w:val="0"/>
  </w:style>
  <w:style w:type="character" w:customStyle="1" w:styleId="69">
    <w:name w:val="bds_nopic2"/>
    <w:basedOn w:val="25"/>
    <w:qFormat/>
    <w:uiPriority w:val="0"/>
  </w:style>
  <w:style w:type="character" w:customStyle="1" w:styleId="70">
    <w:name w:val="bds_more"/>
    <w:qFormat/>
    <w:uiPriority w:val="0"/>
    <w:rPr>
      <w:rFonts w:hint="eastAsia" w:ascii="宋体" w:hAnsi="宋体" w:eastAsia="宋体" w:cs="宋体"/>
    </w:rPr>
  </w:style>
  <w:style w:type="paragraph" w:customStyle="1" w:styleId="71">
    <w:name w:val="p22"/>
    <w:basedOn w:val="1"/>
    <w:qFormat/>
    <w:uiPriority w:val="0"/>
    <w:pPr>
      <w:widowControl/>
    </w:pPr>
    <w:rPr>
      <w:kern w:val="0"/>
      <w:szCs w:val="21"/>
    </w:rPr>
  </w:style>
  <w:style w:type="paragraph" w:customStyle="1" w:styleId="72">
    <w:name w:val="样式 首行缩进:  2 字符"/>
    <w:basedOn w:val="1"/>
    <w:qFormat/>
    <w:uiPriority w:val="0"/>
    <w:pPr>
      <w:spacing w:after="160" w:line="400" w:lineRule="exact"/>
      <w:ind w:firstLine="200" w:firstLineChars="200"/>
    </w:pPr>
    <w:rPr>
      <w:rFonts w:ascii="Calibri" w:hAnsi="Calibri" w:cs="宋体"/>
      <w:sz w:val="24"/>
    </w:rPr>
  </w:style>
  <w:style w:type="paragraph" w:customStyle="1" w:styleId="73">
    <w:name w:val="列出段落1"/>
    <w:basedOn w:val="1"/>
    <w:qFormat/>
    <w:uiPriority w:val="34"/>
    <w:pPr>
      <w:ind w:firstLine="420" w:firstLineChars="200"/>
    </w:pPr>
    <w:rPr>
      <w:szCs w:val="24"/>
    </w:rPr>
  </w:style>
  <w:style w:type="paragraph" w:customStyle="1" w:styleId="74">
    <w:name w:val="样式 标题 3 + (中文) 黑体 小四 非加粗 段前: 7.8 磅 段后: 0 磅 行距: 固定值 20 磅"/>
    <w:basedOn w:val="5"/>
    <w:qFormat/>
    <w:uiPriority w:val="0"/>
    <w:pPr>
      <w:keepNext/>
      <w:keepLines/>
      <w:tabs>
        <w:tab w:val="clear" w:pos="540"/>
      </w:tabs>
      <w:adjustRightInd/>
      <w:snapToGrid/>
      <w:spacing w:line="400" w:lineRule="exact"/>
      <w:jc w:val="both"/>
    </w:pPr>
    <w:rPr>
      <w:rFonts w:eastAsia="黑体" w:cs="宋体"/>
      <w:b w:val="0"/>
    </w:rPr>
  </w:style>
  <w:style w:type="paragraph" w:customStyle="1" w:styleId="75">
    <w:name w:val="Table Paragraph"/>
    <w:basedOn w:val="1"/>
    <w:qFormat/>
    <w:uiPriority w:val="1"/>
    <w:rPr>
      <w:rFonts w:ascii="宋体" w:hAnsi="宋体" w:cs="宋体"/>
      <w:lang w:val="zh-CN" w:bidi="zh-CN"/>
    </w:rPr>
  </w:style>
  <w:style w:type="paragraph" w:customStyle="1" w:styleId="76">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7">
    <w:name w:val="p0"/>
    <w:basedOn w:val="1"/>
    <w:qFormat/>
    <w:uiPriority w:val="0"/>
    <w:pPr>
      <w:widowControl/>
    </w:pPr>
    <w:rPr>
      <w:kern w:val="0"/>
      <w:szCs w:val="21"/>
    </w:rPr>
  </w:style>
  <w:style w:type="paragraph" w:customStyle="1" w:styleId="78">
    <w:name w:val="Char Char Char Char"/>
    <w:basedOn w:val="1"/>
    <w:qFormat/>
    <w:uiPriority w:val="0"/>
    <w:pPr>
      <w:widowControl/>
      <w:spacing w:after="160" w:line="240" w:lineRule="exact"/>
      <w:jc w:val="left"/>
    </w:pPr>
    <w:rPr>
      <w:rFonts w:ascii="Verdana" w:hAnsi="Verdana"/>
      <w:kern w:val="0"/>
      <w:szCs w:val="20"/>
    </w:rPr>
  </w:style>
  <w:style w:type="paragraph" w:customStyle="1" w:styleId="79">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80">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2">
    <w:name w:val="Char Char Char"/>
    <w:basedOn w:val="1"/>
    <w:qFormat/>
    <w:uiPriority w:val="0"/>
    <w:rPr>
      <w:rFonts w:ascii="Tahoma" w:hAnsi="Tahoma"/>
      <w:sz w:val="24"/>
      <w:szCs w:val="20"/>
    </w:rPr>
  </w:style>
  <w:style w:type="paragraph" w:styleId="83">
    <w:name w:val="List Paragraph"/>
    <w:basedOn w:val="1"/>
    <w:qFormat/>
    <w:uiPriority w:val="99"/>
    <w:pPr>
      <w:ind w:firstLine="420" w:firstLineChars="200"/>
    </w:pPr>
    <w:rPr>
      <w:rFonts w:ascii="宋体" w:hAnsi="宋体" w:cs="宋体"/>
      <w:bCs/>
      <w:color w:val="000000"/>
      <w:kern w:val="0"/>
      <w:sz w:val="24"/>
      <w:u w:val="single"/>
    </w:rPr>
  </w:style>
  <w:style w:type="paragraph" w:customStyle="1" w:styleId="84">
    <w:name w:val="p21"/>
    <w:basedOn w:val="1"/>
    <w:qFormat/>
    <w:uiPriority w:val="0"/>
    <w:pPr>
      <w:widowControl/>
    </w:pPr>
    <w:rPr>
      <w:kern w:val="0"/>
      <w:szCs w:val="21"/>
    </w:rPr>
  </w:style>
  <w:style w:type="paragraph" w:customStyle="1" w:styleId="8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6">
    <w:name w:val="保留正文"/>
    <w:basedOn w:val="11"/>
    <w:qFormat/>
    <w:uiPriority w:val="0"/>
    <w:pPr>
      <w:keepNext/>
      <w:spacing w:after="160"/>
    </w:pPr>
    <w:rPr>
      <w:szCs w:val="24"/>
    </w:rPr>
  </w:style>
  <w:style w:type="paragraph" w:customStyle="1" w:styleId="87">
    <w:name w:val="WPS Plain"/>
    <w:qFormat/>
    <w:uiPriority w:val="0"/>
    <w:rPr>
      <w:rFonts w:ascii="Times New Roman" w:hAnsi="Times New Roman" w:eastAsia="宋体" w:cs="Times New Roman"/>
      <w:sz w:val="21"/>
      <w:szCs w:val="22"/>
      <w:lang w:val="en-US" w:eastAsia="zh-CN" w:bidi="ar-SA"/>
    </w:rPr>
  </w:style>
  <w:style w:type="paragraph" w:customStyle="1" w:styleId="8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9">
    <w:name w:val="正文 New New New New"/>
    <w:qFormat/>
    <w:uiPriority w:val="0"/>
    <w:pPr>
      <w:widowControl w:val="0"/>
      <w:jc w:val="both"/>
    </w:pPr>
    <w:rPr>
      <w:rFonts w:ascii="Times New Roman" w:hAnsi="Times New Roman" w:eastAsia="宋体" w:cs="黑体"/>
      <w:sz w:val="21"/>
      <w:szCs w:val="24"/>
      <w:lang w:val="en-US" w:eastAsia="zh-CN" w:bidi="ar-SA"/>
    </w:rPr>
  </w:style>
  <w:style w:type="paragraph" w:customStyle="1" w:styleId="90">
    <w:name w:val="WPSOffice手动目录 1"/>
    <w:qFormat/>
    <w:uiPriority w:val="0"/>
    <w:rPr>
      <w:rFonts w:ascii="Times New Roman" w:hAnsi="Times New Roman" w:eastAsia="宋体" w:cs="Times New Roman"/>
      <w:lang w:val="en-US" w:eastAsia="zh-CN" w:bidi="ar-SA"/>
    </w:rPr>
  </w:style>
  <w:style w:type="paragraph" w:customStyle="1" w:styleId="9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缺省文本"/>
    <w:qFormat/>
    <w:uiPriority w:val="0"/>
    <w:pPr>
      <w:widowControl w:val="0"/>
      <w:autoSpaceDE w:val="0"/>
      <w:autoSpaceDN w:val="0"/>
      <w:adjustRightInd w:val="0"/>
    </w:pPr>
    <w:rPr>
      <w:rFonts w:ascii="Times New Roman" w:hAnsi="Times New Roman" w:eastAsia="宋体" w:cs="Times New Roman"/>
      <w:color w:val="000000"/>
      <w:sz w:val="21"/>
      <w:szCs w:val="24"/>
      <w:lang w:val="en-US" w:eastAsia="zh-CN" w:bidi="ar-SA"/>
    </w:rPr>
  </w:style>
  <w:style w:type="paragraph" w:customStyle="1" w:styleId="93">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Char"/>
    <w:basedOn w:val="1"/>
    <w:qFormat/>
    <w:uiPriority w:val="0"/>
    <w:pPr>
      <w:tabs>
        <w:tab w:val="left" w:pos="360"/>
      </w:tabs>
    </w:pPr>
    <w:rPr>
      <w:sz w:val="24"/>
      <w:szCs w:val="24"/>
    </w:rPr>
  </w:style>
  <w:style w:type="paragraph" w:customStyle="1" w:styleId="95">
    <w:name w:val="_Style 89"/>
    <w:basedOn w:val="1"/>
    <w:qFormat/>
    <w:uiPriority w:val="0"/>
    <w:pPr>
      <w:tabs>
        <w:tab w:val="left" w:pos="360"/>
      </w:tabs>
    </w:pPr>
    <w:rPr>
      <w:sz w:val="24"/>
      <w:szCs w:val="24"/>
    </w:rPr>
  </w:style>
  <w:style w:type="character" w:customStyle="1" w:styleId="96">
    <w:name w:val="font41"/>
    <w:qFormat/>
    <w:uiPriority w:val="0"/>
    <w:rPr>
      <w:rFonts w:hint="eastAsia" w:ascii="宋体" w:hAnsi="宋体" w:eastAsia="宋体" w:cs="宋体"/>
      <w:color w:val="000000"/>
      <w:sz w:val="32"/>
      <w:szCs w:val="32"/>
      <w:u w:val="none"/>
    </w:rPr>
  </w:style>
  <w:style w:type="character" w:customStyle="1" w:styleId="97">
    <w:name w:val="font31"/>
    <w:qFormat/>
    <w:uiPriority w:val="0"/>
    <w:rPr>
      <w:rFonts w:hint="default" w:ascii="Times New Roman" w:hAnsi="Times New Roman" w:cs="Times New Roman"/>
      <w:color w:val="000000"/>
      <w:sz w:val="32"/>
      <w:szCs w:val="32"/>
      <w:u w:val="none"/>
    </w:rPr>
  </w:style>
  <w:style w:type="table" w:customStyle="1" w:styleId="98">
    <w:name w:val="Table Normal"/>
    <w:unhideWhenUsed/>
    <w:qFormat/>
    <w:uiPriority w:val="0"/>
    <w:tblPr>
      <w:tblCellMar>
        <w:top w:w="0" w:type="dxa"/>
        <w:left w:w="0" w:type="dxa"/>
        <w:bottom w:w="0" w:type="dxa"/>
        <w:right w:w="0" w:type="dxa"/>
      </w:tblCellMar>
    </w:tblPr>
  </w:style>
  <w:style w:type="paragraph" w:customStyle="1" w:styleId="99">
    <w:name w:val="正文（培训）"/>
    <w:basedOn w:val="1"/>
    <w:qFormat/>
    <w:uiPriority w:val="0"/>
    <w:pPr>
      <w:snapToGrid w:val="0"/>
      <w:spacing w:line="360" w:lineRule="auto"/>
      <w:ind w:firstLine="440"/>
    </w:pPr>
    <w:rPr>
      <w:rFonts w:ascii="Hiragino Sans GB W3" w:hAnsi="Hiragino Sans GB W3" w:eastAsia="Hiragino Sans GB W3" w:cs="宋体"/>
      <w:szCs w:val="28"/>
    </w:rPr>
  </w:style>
  <w:style w:type="paragraph" w:customStyle="1" w:styleId="100">
    <w:name w:val="【模板】正文"/>
    <w:basedOn w:val="1"/>
    <w:qFormat/>
    <w:uiPriority w:val="0"/>
    <w:pPr>
      <w:wordWrap w:val="0"/>
      <w:spacing w:line="360" w:lineRule="auto"/>
      <w:ind w:firstLine="200" w:firstLineChars="200"/>
    </w:pPr>
    <w:rPr>
      <w:rFonts w:ascii="宋体" w:hAnsi="宋体" w:eastAsia="宋体" w:cs="宋体"/>
      <w:sz w:val="24"/>
    </w:rPr>
  </w:style>
  <w:style w:type="paragraph" w:customStyle="1" w:styleId="101">
    <w:name w:val="正文首行缩进2字符"/>
    <w:qFormat/>
    <w:uiPriority w:val="0"/>
    <w:pPr>
      <w:spacing w:line="360" w:lineRule="auto"/>
      <w:ind w:firstLine="200" w:firstLineChars="200"/>
      <w:jc w:val="both"/>
    </w:pPr>
    <w:rPr>
      <w:rFonts w:ascii="Times New Roman" w:hAnsi="Times New Roman" w:eastAsia="宋体" w:cs="Times New Roman"/>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62</Pages>
  <Words>4998</Words>
  <Characters>28494</Characters>
  <Lines>237</Lines>
  <Paragraphs>66</Paragraphs>
  <TotalTime>20</TotalTime>
  <ScaleCrop>false</ScaleCrop>
  <LinksUpToDate>false</LinksUpToDate>
  <CharactersWithSpaces>33426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2023-11-24T09:01:00Z</dcterms:created>
  <dc:creator>陈晓东</dc:creator>
  <cp:lastModifiedBy>李李有趣</cp:lastModifiedBy>
  <cp:lastPrinted>2021-06-10T03:08:00Z</cp:lastPrinted>
  <dcterms:modified xsi:type="dcterms:W3CDTF">2023-12-14T04:19:20Z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3506DA87EF6C45B09C0D314EB7C232D5_13</vt:lpwstr>
  </property>
</Properties>
</file>