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Cs/>
          <w:kern w:val="0"/>
          <w:sz w:val="30"/>
          <w:szCs w:val="30"/>
        </w:rPr>
      </w:pPr>
      <w:r>
        <w:rPr>
          <w:rFonts w:hint="eastAsia" w:ascii="宋体" w:hAnsi="宋体" w:cs="宋体"/>
          <w:b/>
          <w:bCs/>
          <w:sz w:val="72"/>
          <w:szCs w:val="72"/>
        </w:rPr>
        <w:t>竞争性磋商文件</w:t>
      </w:r>
    </w:p>
    <w:p>
      <w:pPr>
        <w:spacing w:after="240" w:line="360" w:lineRule="auto"/>
        <w:jc w:val="center"/>
        <w:rPr>
          <w:rFonts w:hint="eastAsia" w:ascii="宋体" w:hAnsi="宋体" w:cs="宋体"/>
          <w:bCs/>
          <w:kern w:val="0"/>
          <w:sz w:val="30"/>
          <w:szCs w:val="30"/>
        </w:rPr>
      </w:pPr>
    </w:p>
    <w:p>
      <w:pPr>
        <w:pStyle w:val="17"/>
        <w:widowControl/>
        <w:spacing w:line="460" w:lineRule="exact"/>
        <w:jc w:val="center"/>
        <w:rPr>
          <w:rFonts w:hint="default" w:eastAsia="宋体"/>
          <w:sz w:val="28"/>
          <w:szCs w:val="22"/>
          <w:lang w:val="en-US" w:eastAsia="zh-CN"/>
        </w:rPr>
      </w:pPr>
      <w:r>
        <w:rPr>
          <w:rFonts w:hint="eastAsia" w:ascii="宋体" w:hAnsi="宋体" w:cs="宋体"/>
          <w:bCs/>
          <w:sz w:val="30"/>
          <w:szCs w:val="30"/>
        </w:rPr>
        <w:t>项目编号：</w:t>
      </w:r>
      <w:r>
        <w:rPr>
          <w:rFonts w:hint="eastAsia" w:ascii="宋体" w:hAnsi="宋体" w:eastAsia="宋体" w:cs="宋体"/>
          <w:bCs/>
          <w:sz w:val="30"/>
          <w:szCs w:val="30"/>
        </w:rPr>
        <w:t>XJDH(CG)202</w:t>
      </w:r>
      <w:r>
        <w:rPr>
          <w:rFonts w:hint="eastAsia" w:cs="宋体"/>
          <w:bCs/>
          <w:sz w:val="30"/>
          <w:szCs w:val="30"/>
          <w:lang w:val="en-US" w:eastAsia="zh-CN"/>
        </w:rPr>
        <w:t>4</w:t>
      </w:r>
      <w:r>
        <w:rPr>
          <w:rFonts w:hint="eastAsia" w:ascii="宋体" w:hAnsi="宋体" w:eastAsia="宋体" w:cs="宋体"/>
          <w:bCs/>
          <w:sz w:val="30"/>
          <w:szCs w:val="30"/>
        </w:rPr>
        <w:t>-</w:t>
      </w:r>
      <w:r>
        <w:rPr>
          <w:rFonts w:hint="eastAsia" w:ascii="宋体" w:hAnsi="宋体" w:cs="宋体"/>
          <w:bCs/>
          <w:sz w:val="30"/>
          <w:szCs w:val="30"/>
          <w:lang w:val="en-US" w:eastAsia="zh-CN"/>
        </w:rPr>
        <w:t>0</w:t>
      </w:r>
      <w:r>
        <w:rPr>
          <w:rFonts w:hint="eastAsia" w:cs="宋体"/>
          <w:bCs/>
          <w:sz w:val="30"/>
          <w:szCs w:val="30"/>
          <w:lang w:val="en-US" w:eastAsia="zh-CN"/>
        </w:rPr>
        <w:t>05</w:t>
      </w:r>
    </w:p>
    <w:p>
      <w:pPr>
        <w:spacing w:after="240" w:line="360" w:lineRule="auto"/>
        <w:jc w:val="center"/>
        <w:rPr>
          <w:rFonts w:hint="eastAsia" w:ascii="宋体" w:hAnsi="宋体" w:cs="宋体"/>
          <w:bCs/>
          <w:kern w:val="0"/>
          <w:sz w:val="30"/>
          <w:szCs w:val="30"/>
        </w:rPr>
      </w:pPr>
    </w:p>
    <w:p>
      <w:pPr>
        <w:pStyle w:val="7"/>
        <w:spacing w:line="460" w:lineRule="exact"/>
        <w:rPr>
          <w:rFonts w:hint="eastAsia"/>
        </w:r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602" w:firstLineChars="200"/>
        <w:jc w:val="both"/>
        <w:textAlignment w:val="auto"/>
        <w:rPr>
          <w:rFonts w:hint="eastAsia" w:ascii="宋体" w:hAnsi="宋体" w:eastAsia="宋体" w:cs="宋体"/>
          <w:b w:val="0"/>
          <w:bCs w:val="0"/>
          <w:kern w:val="0"/>
          <w:sz w:val="30"/>
          <w:szCs w:val="30"/>
          <w:lang w:val="en-US" w:eastAsia="zh-CN" w:bidi="zh-CN"/>
        </w:rPr>
      </w:pPr>
      <w:r>
        <w:rPr>
          <w:rFonts w:hint="eastAsia" w:ascii="宋体" w:hAnsi="宋体" w:cs="宋体"/>
          <w:b/>
          <w:bCs/>
          <w:kern w:val="0"/>
          <w:sz w:val="30"/>
          <w:szCs w:val="30"/>
        </w:rPr>
        <w:t>项目名称：</w:t>
      </w:r>
      <w:r>
        <w:rPr>
          <w:rFonts w:hint="eastAsia" w:ascii="宋体" w:hAnsi="宋体" w:eastAsia="宋体" w:cs="宋体"/>
          <w:b w:val="0"/>
          <w:bCs w:val="0"/>
          <w:kern w:val="0"/>
          <w:sz w:val="30"/>
          <w:szCs w:val="30"/>
          <w:lang w:val="en-US" w:eastAsia="zh-CN" w:bidi="zh-CN"/>
        </w:rPr>
        <w:t>吐鲁番市鄯善县吐峪沟乡克尔火焰山村防渗渠建设项目</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560" w:firstLineChars="200"/>
        <w:jc w:val="both"/>
        <w:textAlignment w:val="auto"/>
        <w:rPr>
          <w:rFonts w:hint="eastAsia" w:ascii="仿宋" w:hAnsi="仿宋" w:eastAsia="仿宋" w:cs="仿宋"/>
          <w:color w:val="auto"/>
          <w:kern w:val="2"/>
          <w:sz w:val="28"/>
          <w:szCs w:val="28"/>
          <w:highlight w:val="none"/>
          <w:lang w:val="en-US" w:eastAsia="zh-CN" w:bidi="ar-SA"/>
        </w:rPr>
      </w:pPr>
    </w:p>
    <w:p>
      <w:pPr>
        <w:keepNext w:val="0"/>
        <w:keepLines w:val="0"/>
        <w:pageBreakBefore w:val="0"/>
        <w:widowControl w:val="0"/>
        <w:kinsoku/>
        <w:wordWrap/>
        <w:overflowPunct/>
        <w:topLinePunct w:val="0"/>
        <w:autoSpaceDE w:val="0"/>
        <w:autoSpaceDN w:val="0"/>
        <w:bidi w:val="0"/>
        <w:adjustRightInd/>
        <w:snapToGrid/>
        <w:spacing w:line="360" w:lineRule="auto"/>
        <w:ind w:firstLine="602" w:firstLineChars="200"/>
        <w:textAlignment w:val="auto"/>
        <w:rPr>
          <w:rFonts w:hint="default"/>
          <w:lang w:val="en-US"/>
        </w:rPr>
      </w:pPr>
      <w:r>
        <w:rPr>
          <w:rFonts w:hint="eastAsia" w:ascii="宋体" w:hAnsi="宋体" w:cs="宋体"/>
          <w:b/>
          <w:bCs/>
          <w:kern w:val="0"/>
          <w:sz w:val="30"/>
          <w:szCs w:val="30"/>
        </w:rPr>
        <w:t>采 购人</w:t>
      </w:r>
      <w:r>
        <w:rPr>
          <w:rFonts w:hint="eastAsia" w:ascii="宋体" w:hAnsi="宋体" w:cs="宋体"/>
          <w:kern w:val="0"/>
          <w:sz w:val="30"/>
          <w:szCs w:val="30"/>
        </w:rPr>
        <w:t>（盖章）</w:t>
      </w:r>
      <w:r>
        <w:rPr>
          <w:rFonts w:hint="eastAsia" w:ascii="宋体" w:hAnsi="宋体" w:cs="宋体"/>
          <w:bCs/>
          <w:kern w:val="0"/>
          <w:sz w:val="30"/>
          <w:szCs w:val="30"/>
        </w:rPr>
        <w:t>：</w:t>
      </w:r>
      <w:r>
        <w:rPr>
          <w:rFonts w:hint="eastAsia" w:cs="宋体"/>
          <w:b w:val="0"/>
          <w:bCs w:val="0"/>
          <w:kern w:val="0"/>
          <w:sz w:val="30"/>
          <w:szCs w:val="30"/>
          <w:lang w:val="en-US" w:eastAsia="zh-CN" w:bidi="zh-CN"/>
        </w:rPr>
        <w:t>鄯善县吐峪沟乡人民政府</w:t>
      </w:r>
    </w:p>
    <w:p>
      <w:pPr>
        <w:keepNext w:val="0"/>
        <w:keepLines w:val="0"/>
        <w:pageBreakBefore w:val="0"/>
        <w:widowControl w:val="0"/>
        <w:kinsoku/>
        <w:wordWrap/>
        <w:overflowPunct/>
        <w:topLinePunct w:val="0"/>
        <w:autoSpaceDE w:val="0"/>
        <w:autoSpaceDN w:val="0"/>
        <w:bidi w:val="0"/>
        <w:adjustRightInd/>
        <w:snapToGrid/>
        <w:spacing w:line="360" w:lineRule="auto"/>
        <w:ind w:firstLine="602" w:firstLineChars="200"/>
        <w:textAlignment w:val="auto"/>
        <w:rPr>
          <w:rFonts w:hint="default" w:eastAsia="宋体"/>
          <w:lang w:val="en-US" w:eastAsia="zh-CN"/>
        </w:rPr>
      </w:pPr>
      <w:r>
        <w:rPr>
          <w:rFonts w:hint="eastAsia" w:ascii="宋体" w:hAnsi="宋体" w:cs="宋体"/>
          <w:b/>
          <w:bCs/>
          <w:kern w:val="0"/>
          <w:sz w:val="30"/>
          <w:szCs w:val="30"/>
        </w:rPr>
        <w:t>联系人：</w:t>
      </w:r>
      <w:r>
        <w:rPr>
          <w:rFonts w:hint="eastAsia" w:cs="宋体"/>
          <w:b w:val="0"/>
          <w:bCs w:val="0"/>
          <w:kern w:val="0"/>
          <w:sz w:val="30"/>
          <w:szCs w:val="30"/>
          <w:lang w:val="en-US" w:eastAsia="zh-CN" w:bidi="zh-CN"/>
        </w:rPr>
        <w:t>曹宽</w:t>
      </w:r>
    </w:p>
    <w:p>
      <w:pPr>
        <w:keepNext w:val="0"/>
        <w:keepLines w:val="0"/>
        <w:pageBreakBefore w:val="0"/>
        <w:widowControl w:val="0"/>
        <w:kinsoku/>
        <w:wordWrap/>
        <w:overflowPunct/>
        <w:topLinePunct w:val="0"/>
        <w:autoSpaceDE w:val="0"/>
        <w:autoSpaceDN w:val="0"/>
        <w:bidi w:val="0"/>
        <w:adjustRightInd/>
        <w:snapToGrid/>
        <w:spacing w:line="360" w:lineRule="auto"/>
        <w:ind w:firstLine="602" w:firstLineChars="200"/>
        <w:textAlignment w:val="auto"/>
        <w:rPr>
          <w:rFonts w:hint="default" w:ascii="宋体" w:hAnsi="宋体" w:eastAsia="宋体" w:cs="宋体"/>
          <w:b w:val="0"/>
          <w:bCs w:val="0"/>
          <w:kern w:val="0"/>
          <w:sz w:val="30"/>
          <w:szCs w:val="30"/>
          <w:lang w:val="en-US" w:eastAsia="zh-CN" w:bidi="zh-CN"/>
        </w:rPr>
      </w:pPr>
      <w:r>
        <w:rPr>
          <w:rFonts w:hint="eastAsia" w:ascii="宋体" w:hAnsi="宋体" w:cs="宋体"/>
          <w:b/>
          <w:bCs/>
          <w:kern w:val="0"/>
          <w:sz w:val="30"/>
          <w:szCs w:val="30"/>
        </w:rPr>
        <w:t>电  话：</w:t>
      </w:r>
      <w:r>
        <w:rPr>
          <w:rFonts w:hint="eastAsia" w:cs="宋体"/>
          <w:b w:val="0"/>
          <w:bCs w:val="0"/>
          <w:kern w:val="0"/>
          <w:sz w:val="30"/>
          <w:szCs w:val="30"/>
          <w:lang w:val="en-US" w:eastAsia="zh-CN" w:bidi="zh-CN"/>
        </w:rPr>
        <w:t>15509956321</w:t>
      </w:r>
    </w:p>
    <w:p>
      <w:pPr>
        <w:keepNext w:val="0"/>
        <w:keepLines w:val="0"/>
        <w:pageBreakBefore w:val="0"/>
        <w:widowControl w:val="0"/>
        <w:kinsoku/>
        <w:wordWrap/>
        <w:overflowPunct/>
        <w:topLinePunct w:val="0"/>
        <w:autoSpaceDE w:val="0"/>
        <w:autoSpaceDN w:val="0"/>
        <w:bidi w:val="0"/>
        <w:adjustRightInd/>
        <w:snapToGrid/>
        <w:spacing w:line="360" w:lineRule="auto"/>
        <w:ind w:firstLine="602" w:firstLineChars="200"/>
        <w:textAlignment w:val="auto"/>
        <w:rPr>
          <w:rFonts w:hint="eastAsia" w:ascii="宋体" w:hAnsi="宋体" w:eastAsia="宋体" w:cs="宋体"/>
          <w:b w:val="0"/>
          <w:bCs w:val="0"/>
          <w:kern w:val="0"/>
          <w:sz w:val="30"/>
          <w:szCs w:val="30"/>
          <w:lang w:val="en-US" w:eastAsia="zh-CN" w:bidi="zh-CN"/>
        </w:rPr>
      </w:pPr>
      <w:r>
        <w:rPr>
          <w:rFonts w:hint="eastAsia" w:ascii="宋体" w:hAnsi="宋体" w:cs="宋体"/>
          <w:b/>
          <w:bCs/>
          <w:kern w:val="0"/>
          <w:sz w:val="30"/>
          <w:szCs w:val="30"/>
        </w:rPr>
        <w:t>地  址：</w:t>
      </w:r>
      <w:r>
        <w:rPr>
          <w:rFonts w:hint="eastAsia" w:cs="宋体"/>
          <w:b w:val="0"/>
          <w:bCs w:val="0"/>
          <w:kern w:val="0"/>
          <w:sz w:val="30"/>
          <w:szCs w:val="30"/>
          <w:lang w:val="en-US" w:eastAsia="zh-CN" w:bidi="zh-CN"/>
        </w:rPr>
        <w:t>鄯善县吐峪沟乡</w:t>
      </w:r>
    </w:p>
    <w:p>
      <w:pPr>
        <w:pStyle w:val="8"/>
        <w:keepNext w:val="0"/>
        <w:keepLines w:val="0"/>
        <w:pageBreakBefore w:val="0"/>
        <w:widowControl w:val="0"/>
        <w:kinsoku/>
        <w:wordWrap/>
        <w:overflowPunct/>
        <w:topLinePunct w:val="0"/>
        <w:autoSpaceDE w:val="0"/>
        <w:autoSpaceDN w:val="0"/>
        <w:bidi w:val="0"/>
        <w:adjustRightInd/>
        <w:snapToGrid/>
        <w:spacing w:line="300" w:lineRule="exact"/>
        <w:textAlignment w:val="auto"/>
      </w:pPr>
    </w:p>
    <w:p>
      <w:pPr>
        <w:keepNext w:val="0"/>
        <w:keepLines w:val="0"/>
        <w:pageBreakBefore w:val="0"/>
        <w:widowControl w:val="0"/>
        <w:kinsoku/>
        <w:wordWrap/>
        <w:overflowPunct/>
        <w:topLinePunct w:val="0"/>
        <w:autoSpaceDE w:val="0"/>
        <w:autoSpaceDN w:val="0"/>
        <w:bidi w:val="0"/>
        <w:adjustRightInd/>
        <w:snapToGrid/>
        <w:spacing w:line="360" w:lineRule="auto"/>
        <w:ind w:firstLine="602" w:firstLineChars="200"/>
        <w:textAlignment w:val="auto"/>
        <w:rPr>
          <w:rFonts w:hint="eastAsia" w:ascii="宋体" w:hAnsi="宋体" w:eastAsia="宋体" w:cs="宋体"/>
          <w:b w:val="0"/>
          <w:bCs w:val="0"/>
          <w:kern w:val="0"/>
          <w:sz w:val="30"/>
          <w:szCs w:val="30"/>
          <w:lang w:val="en-US" w:eastAsia="zh-CN" w:bidi="zh-CN"/>
        </w:rPr>
      </w:pPr>
      <w:r>
        <w:rPr>
          <w:rFonts w:hint="eastAsia" w:ascii="宋体" w:hAnsi="宋体" w:cs="宋体"/>
          <w:b/>
          <w:bCs/>
          <w:kern w:val="0"/>
          <w:sz w:val="30"/>
          <w:szCs w:val="30"/>
        </w:rPr>
        <w:t>采购代理机构</w:t>
      </w:r>
      <w:r>
        <w:rPr>
          <w:rFonts w:hint="eastAsia" w:ascii="宋体" w:hAnsi="宋体" w:cs="宋体"/>
          <w:kern w:val="0"/>
          <w:sz w:val="30"/>
          <w:szCs w:val="30"/>
        </w:rPr>
        <w:t>（盖章）</w:t>
      </w:r>
      <w:r>
        <w:rPr>
          <w:rFonts w:hint="eastAsia" w:ascii="宋体" w:hAnsi="宋体" w:cs="宋体"/>
          <w:b/>
          <w:bCs/>
          <w:kern w:val="0"/>
          <w:sz w:val="30"/>
          <w:szCs w:val="30"/>
        </w:rPr>
        <w:t>：</w:t>
      </w:r>
      <w:r>
        <w:rPr>
          <w:rFonts w:hint="eastAsia" w:ascii="宋体" w:hAnsi="宋体" w:eastAsia="宋体" w:cs="宋体"/>
          <w:b w:val="0"/>
          <w:bCs w:val="0"/>
          <w:kern w:val="0"/>
          <w:sz w:val="30"/>
          <w:szCs w:val="30"/>
          <w:lang w:val="en-US" w:eastAsia="zh-CN" w:bidi="zh-CN"/>
        </w:rPr>
        <w:t>新疆德宏招标代理有限公司</w:t>
      </w:r>
    </w:p>
    <w:p>
      <w:pPr>
        <w:keepNext w:val="0"/>
        <w:keepLines w:val="0"/>
        <w:pageBreakBefore w:val="0"/>
        <w:widowControl w:val="0"/>
        <w:kinsoku/>
        <w:wordWrap/>
        <w:overflowPunct/>
        <w:topLinePunct w:val="0"/>
        <w:autoSpaceDE w:val="0"/>
        <w:autoSpaceDN w:val="0"/>
        <w:bidi w:val="0"/>
        <w:adjustRightInd/>
        <w:snapToGrid/>
        <w:spacing w:line="360" w:lineRule="auto"/>
        <w:ind w:firstLine="602" w:firstLineChars="200"/>
        <w:textAlignment w:val="auto"/>
        <w:rPr>
          <w:rFonts w:hint="eastAsia"/>
        </w:rPr>
      </w:pPr>
      <w:r>
        <w:rPr>
          <w:rFonts w:hint="eastAsia" w:ascii="宋体" w:hAnsi="宋体" w:cs="宋体"/>
          <w:b/>
          <w:bCs/>
          <w:kern w:val="0"/>
          <w:sz w:val="30"/>
          <w:szCs w:val="30"/>
        </w:rPr>
        <w:t>联系人</w:t>
      </w:r>
      <w:r>
        <w:rPr>
          <w:rFonts w:hint="eastAsia" w:ascii="宋体" w:hAnsi="宋体" w:cs="宋体"/>
          <w:b/>
          <w:bCs/>
          <w:sz w:val="30"/>
          <w:szCs w:val="30"/>
        </w:rPr>
        <w:t>：</w:t>
      </w:r>
      <w:r>
        <w:rPr>
          <w:rFonts w:hint="eastAsia" w:cs="宋体"/>
          <w:b w:val="0"/>
          <w:bCs w:val="0"/>
          <w:kern w:val="0"/>
          <w:sz w:val="30"/>
          <w:szCs w:val="30"/>
          <w:lang w:val="en-US" w:eastAsia="zh-CN" w:bidi="zh-CN"/>
        </w:rPr>
        <w:t>唐婷</w:t>
      </w:r>
    </w:p>
    <w:p>
      <w:pPr>
        <w:keepNext w:val="0"/>
        <w:keepLines w:val="0"/>
        <w:pageBreakBefore w:val="0"/>
        <w:widowControl w:val="0"/>
        <w:kinsoku/>
        <w:wordWrap/>
        <w:overflowPunct/>
        <w:topLinePunct w:val="0"/>
        <w:autoSpaceDE w:val="0"/>
        <w:autoSpaceDN w:val="0"/>
        <w:bidi w:val="0"/>
        <w:adjustRightInd/>
        <w:snapToGrid/>
        <w:spacing w:line="360" w:lineRule="auto"/>
        <w:ind w:firstLine="602" w:firstLineChars="200"/>
        <w:textAlignment w:val="auto"/>
        <w:rPr>
          <w:rFonts w:hint="default" w:ascii="宋体" w:hAnsi="宋体" w:eastAsia="宋体" w:cs="宋体"/>
          <w:b w:val="0"/>
          <w:bCs w:val="0"/>
          <w:kern w:val="0"/>
          <w:sz w:val="30"/>
          <w:szCs w:val="30"/>
          <w:lang w:val="en-US" w:eastAsia="zh-CN" w:bidi="zh-CN"/>
        </w:rPr>
      </w:pPr>
      <w:r>
        <w:rPr>
          <w:rFonts w:hint="eastAsia" w:ascii="宋体" w:hAnsi="宋体" w:cs="宋体"/>
          <w:b/>
          <w:bCs/>
          <w:kern w:val="0"/>
          <w:sz w:val="30"/>
          <w:szCs w:val="30"/>
        </w:rPr>
        <w:t>电  话</w:t>
      </w:r>
      <w:r>
        <w:rPr>
          <w:rFonts w:hint="eastAsia" w:ascii="宋体" w:hAnsi="宋体" w:cs="宋体"/>
          <w:b/>
          <w:bCs/>
          <w:sz w:val="30"/>
          <w:szCs w:val="30"/>
        </w:rPr>
        <w:t>：</w:t>
      </w:r>
      <w:r>
        <w:rPr>
          <w:rFonts w:hint="eastAsia" w:ascii="宋体" w:hAnsi="宋体" w:eastAsia="宋体" w:cs="宋体"/>
          <w:b w:val="0"/>
          <w:bCs w:val="0"/>
          <w:kern w:val="0"/>
          <w:sz w:val="30"/>
          <w:szCs w:val="30"/>
          <w:lang w:val="en-US" w:eastAsia="zh-CN" w:bidi="zh-CN"/>
        </w:rPr>
        <w:t>15026</w:t>
      </w:r>
      <w:r>
        <w:rPr>
          <w:rFonts w:hint="eastAsia" w:cs="宋体"/>
          <w:b w:val="0"/>
          <w:bCs w:val="0"/>
          <w:kern w:val="0"/>
          <w:sz w:val="30"/>
          <w:szCs w:val="30"/>
          <w:lang w:val="en-US" w:eastAsia="zh-CN" w:bidi="zh-CN"/>
        </w:rPr>
        <w:t>261454</w:t>
      </w:r>
    </w:p>
    <w:p>
      <w:pPr>
        <w:keepNext w:val="0"/>
        <w:keepLines w:val="0"/>
        <w:pageBreakBefore w:val="0"/>
        <w:widowControl w:val="0"/>
        <w:kinsoku/>
        <w:wordWrap/>
        <w:overflowPunct/>
        <w:topLinePunct w:val="0"/>
        <w:autoSpaceDE w:val="0"/>
        <w:autoSpaceDN w:val="0"/>
        <w:bidi w:val="0"/>
        <w:adjustRightInd/>
        <w:snapToGrid/>
        <w:spacing w:line="360" w:lineRule="auto"/>
        <w:ind w:firstLine="602" w:firstLineChars="200"/>
        <w:textAlignment w:val="auto"/>
        <w:rPr>
          <w:rFonts w:hint="eastAsia" w:ascii="宋体" w:hAnsi="宋体" w:eastAsia="宋体" w:cs="宋体"/>
          <w:b w:val="0"/>
          <w:bCs w:val="0"/>
          <w:kern w:val="0"/>
          <w:sz w:val="30"/>
          <w:szCs w:val="30"/>
          <w:lang w:val="en-US" w:eastAsia="zh-CN" w:bidi="zh-CN"/>
        </w:rPr>
        <w:sectPr>
          <w:headerReference r:id="rId5" w:type="first"/>
          <w:footerReference r:id="rId8" w:type="first"/>
          <w:headerReference r:id="rId3" w:type="default"/>
          <w:footerReference r:id="rId6" w:type="default"/>
          <w:headerReference r:id="rId4" w:type="even"/>
          <w:footerReference r:id="rId7" w:type="even"/>
          <w:pgSz w:w="11906" w:h="16838"/>
          <w:pgMar w:top="1644" w:right="1474" w:bottom="1531" w:left="1474" w:header="851" w:footer="794" w:gutter="0"/>
          <w:pgNumType w:start="0"/>
          <w:cols w:space="720" w:num="1"/>
          <w:titlePg/>
          <w:docGrid w:linePitch="312" w:charSpace="0"/>
        </w:sectPr>
      </w:pPr>
      <w:r>
        <w:rPr>
          <w:rFonts w:hint="eastAsia" w:ascii="宋体" w:hAnsi="宋体" w:cs="宋体"/>
          <w:b/>
          <w:bCs/>
          <w:kern w:val="0"/>
          <w:sz w:val="30"/>
          <w:szCs w:val="30"/>
        </w:rPr>
        <w:t>地  址：</w:t>
      </w:r>
      <w:r>
        <w:rPr>
          <w:rFonts w:hint="eastAsia" w:ascii="宋体" w:hAnsi="宋体" w:eastAsia="宋体" w:cs="宋体"/>
          <w:b w:val="0"/>
          <w:bCs w:val="0"/>
          <w:kern w:val="0"/>
          <w:sz w:val="30"/>
          <w:szCs w:val="30"/>
          <w:lang w:val="en-US" w:eastAsia="zh-CN" w:bidi="zh-CN"/>
        </w:rPr>
        <w:t>吐鲁番市高昌区青年路670号</w:t>
      </w: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lang w:val="en-US" w:eastAsia="zh-CN"/>
        </w:rPr>
      </w:pPr>
      <w:r>
        <w:rPr>
          <w:rFonts w:hint="eastAsia" w:ascii="微软雅黑" w:hAnsi="微软雅黑" w:eastAsia="微软雅黑" w:cs="微软雅黑"/>
          <w:b/>
          <w:bCs/>
          <w:color w:val="auto"/>
          <w:sz w:val="32"/>
          <w:szCs w:val="32"/>
          <w:highlight w:val="none"/>
          <w:lang w:val="en-US" w:eastAsia="zh-CN"/>
        </w:rPr>
        <w:t xml:space="preserve"> </w:t>
      </w:r>
      <w:bookmarkStart w:id="0" w:name="_Toc27580_WPSOffice_Level1"/>
    </w:p>
    <w:p>
      <w:pPr>
        <w:spacing w:before="0" w:beforeLines="0" w:after="0" w:afterLines="0" w:line="240" w:lineRule="auto"/>
        <w:ind w:left="0" w:leftChars="0" w:right="0" w:rightChars="0" w:firstLine="0" w:firstLineChars="0"/>
        <w:jc w:val="center"/>
        <w:rPr>
          <w:color w:val="auto"/>
          <w:highlight w:val="none"/>
        </w:rPr>
      </w:pPr>
      <w:bookmarkStart w:id="1" w:name="_Toc13968_WPSOffice_Type1"/>
      <w:r>
        <w:rPr>
          <w:rFonts w:ascii="宋体" w:hAnsi="宋体" w:eastAsia="宋体"/>
          <w:b/>
          <w:bCs/>
          <w:color w:val="auto"/>
          <w:sz w:val="40"/>
          <w:szCs w:val="44"/>
          <w:highlight w:val="none"/>
        </w:rPr>
        <w:t>目录</w:t>
      </w:r>
    </w:p>
    <w:p>
      <w:pPr>
        <w:pStyle w:val="36"/>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_Toc3822_WPSOffice_Level1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第一部分  磋商</w:t>
      </w:r>
      <w:r>
        <w:rPr>
          <w:rFonts w:hint="eastAsia" w:ascii="微软雅黑" w:hAnsi="微软雅黑" w:eastAsia="微软雅黑" w:cs="微软雅黑"/>
          <w:color w:val="auto"/>
          <w:sz w:val="24"/>
          <w:szCs w:val="24"/>
          <w:highlight w:val="none"/>
          <w:lang w:val="en-US" w:eastAsia="zh-CN"/>
        </w:rPr>
        <w:t>公告</w:t>
      </w:r>
      <w:r>
        <w:rPr>
          <w:color w:val="auto"/>
          <w:sz w:val="24"/>
          <w:szCs w:val="24"/>
          <w:highlight w:val="none"/>
        </w:rPr>
        <w:tab/>
      </w:r>
      <w:bookmarkStart w:id="2" w:name="_Toc3822_WPSOffice_Level1Page"/>
      <w:r>
        <w:rPr>
          <w:color w:val="auto"/>
          <w:sz w:val="24"/>
          <w:szCs w:val="24"/>
          <w:highlight w:val="none"/>
        </w:rPr>
        <w:t>4</w:t>
      </w:r>
      <w:bookmarkEnd w:id="2"/>
      <w:r>
        <w:rPr>
          <w:color w:val="auto"/>
          <w:sz w:val="24"/>
          <w:szCs w:val="24"/>
          <w:highlight w:val="none"/>
        </w:rPr>
        <w:fldChar w:fldCharType="end"/>
      </w:r>
    </w:p>
    <w:p>
      <w:pPr>
        <w:pStyle w:val="36"/>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_Toc27580_WPSOffice_Level1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第二部分 磋商须知</w:t>
      </w:r>
      <w:r>
        <w:rPr>
          <w:color w:val="auto"/>
          <w:sz w:val="24"/>
          <w:szCs w:val="24"/>
          <w:highlight w:val="none"/>
        </w:rPr>
        <w:tab/>
      </w:r>
      <w:bookmarkStart w:id="3" w:name="_Toc27580_WPSOffice_Level1Page"/>
      <w:r>
        <w:rPr>
          <w:color w:val="auto"/>
          <w:sz w:val="24"/>
          <w:szCs w:val="24"/>
          <w:highlight w:val="none"/>
        </w:rPr>
        <w:t>7</w:t>
      </w:r>
      <w:bookmarkEnd w:id="3"/>
      <w:r>
        <w:rPr>
          <w:color w:val="auto"/>
          <w:sz w:val="24"/>
          <w:szCs w:val="24"/>
          <w:highlight w:val="none"/>
        </w:rPr>
        <w:fldChar w:fldCharType="end"/>
      </w:r>
    </w:p>
    <w:p>
      <w:pPr>
        <w:pStyle w:val="36"/>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_Toc26743_WPSOffice_Level1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第三部分 采购项目需求</w:t>
      </w:r>
      <w:r>
        <w:rPr>
          <w:color w:val="auto"/>
          <w:sz w:val="24"/>
          <w:szCs w:val="24"/>
          <w:highlight w:val="none"/>
        </w:rPr>
        <w:tab/>
      </w:r>
      <w:bookmarkStart w:id="4" w:name="_Toc26743_WPSOffice_Level1Page"/>
      <w:r>
        <w:rPr>
          <w:color w:val="auto"/>
          <w:sz w:val="24"/>
          <w:szCs w:val="24"/>
          <w:highlight w:val="none"/>
        </w:rPr>
        <w:t>34</w:t>
      </w:r>
      <w:bookmarkEnd w:id="4"/>
      <w:r>
        <w:rPr>
          <w:color w:val="auto"/>
          <w:sz w:val="24"/>
          <w:szCs w:val="24"/>
          <w:highlight w:val="none"/>
        </w:rPr>
        <w:fldChar w:fldCharType="end"/>
      </w:r>
    </w:p>
    <w:p>
      <w:pPr>
        <w:pStyle w:val="36"/>
        <w:tabs>
          <w:tab w:val="right" w:leader="dot" w:pos="8848"/>
        </w:tabs>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_Toc2627_WPSOffice_Level1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第四部分 合同格式</w:t>
      </w:r>
      <w:r>
        <w:rPr>
          <w:color w:val="auto"/>
          <w:sz w:val="24"/>
          <w:szCs w:val="24"/>
          <w:highlight w:val="none"/>
        </w:rPr>
        <w:tab/>
      </w:r>
      <w:bookmarkStart w:id="5" w:name="_Toc2627_WPSOffice_Level1Page"/>
      <w:r>
        <w:rPr>
          <w:color w:val="auto"/>
          <w:sz w:val="24"/>
          <w:szCs w:val="24"/>
          <w:highlight w:val="none"/>
        </w:rPr>
        <w:t>38</w:t>
      </w:r>
      <w:bookmarkEnd w:id="5"/>
      <w:r>
        <w:rPr>
          <w:color w:val="auto"/>
          <w:sz w:val="24"/>
          <w:szCs w:val="24"/>
          <w:highlight w:val="none"/>
        </w:rPr>
        <w:fldChar w:fldCharType="end"/>
      </w:r>
    </w:p>
    <w:p>
      <w:pPr>
        <w:pStyle w:val="36"/>
        <w:tabs>
          <w:tab w:val="right" w:leader="dot" w:pos="8848"/>
        </w:tabs>
        <w:rPr>
          <w:color w:val="auto"/>
          <w:highlight w:val="none"/>
        </w:rPr>
      </w:pPr>
      <w:r>
        <w:rPr>
          <w:color w:val="auto"/>
          <w:sz w:val="24"/>
          <w:szCs w:val="24"/>
          <w:highlight w:val="none"/>
        </w:rPr>
        <w:fldChar w:fldCharType="begin"/>
      </w:r>
      <w:r>
        <w:rPr>
          <w:color w:val="auto"/>
          <w:sz w:val="24"/>
          <w:szCs w:val="24"/>
          <w:highlight w:val="none"/>
        </w:rPr>
        <w:instrText xml:space="preserve"> HYPERLINK \l _Toc10386_WPSOffice_Level1 </w:instrText>
      </w:r>
      <w:r>
        <w:rPr>
          <w:color w:val="auto"/>
          <w:sz w:val="24"/>
          <w:szCs w:val="24"/>
          <w:highlight w:val="none"/>
        </w:rPr>
        <w:fldChar w:fldCharType="separate"/>
      </w:r>
      <w:r>
        <w:rPr>
          <w:rFonts w:hint="eastAsia" w:ascii="微软雅黑" w:hAnsi="微软雅黑" w:eastAsia="微软雅黑" w:cs="微软雅黑"/>
          <w:color w:val="auto"/>
          <w:sz w:val="24"/>
          <w:szCs w:val="24"/>
          <w:highlight w:val="none"/>
        </w:rPr>
        <w:t>第五部分 响应文件格式</w:t>
      </w:r>
      <w:r>
        <w:rPr>
          <w:color w:val="auto"/>
          <w:sz w:val="24"/>
          <w:szCs w:val="24"/>
          <w:highlight w:val="none"/>
        </w:rPr>
        <w:tab/>
      </w:r>
      <w:bookmarkStart w:id="6" w:name="_Toc10386_WPSOffice_Level1Page"/>
      <w:r>
        <w:rPr>
          <w:color w:val="auto"/>
          <w:sz w:val="24"/>
          <w:szCs w:val="24"/>
          <w:highlight w:val="none"/>
        </w:rPr>
        <w:t>58</w:t>
      </w:r>
      <w:bookmarkEnd w:id="6"/>
      <w:r>
        <w:rPr>
          <w:color w:val="auto"/>
          <w:sz w:val="24"/>
          <w:szCs w:val="24"/>
          <w:highlight w:val="none"/>
        </w:rPr>
        <w:fldChar w:fldCharType="end"/>
      </w:r>
    </w:p>
    <w:bookmarkEnd w:id="1"/>
    <w:p>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9" w:type="default"/>
          <w:footerReference r:id="rId10" w:type="default"/>
          <w:pgSz w:w="11910" w:h="16840"/>
          <w:pgMar w:top="1984" w:right="1531" w:bottom="2098" w:left="1531" w:header="670" w:footer="1041" w:gutter="0"/>
          <w:pgNumType w:start="2"/>
          <w:cols w:space="720" w:num="1"/>
          <w:rtlGutter w:val="0"/>
          <w:docGrid w:linePitch="1" w:charSpace="0"/>
        </w:sectPr>
      </w:pP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313" w:firstLineChars="1100"/>
        <w:jc w:val="both"/>
        <w:textAlignment w:val="auto"/>
      </w:pPr>
      <w:r>
        <w:rPr>
          <w:rFonts w:hint="eastAsia" w:ascii="仿宋" w:hAnsi="仿宋" w:eastAsia="仿宋"/>
          <w:b/>
          <w:color w:val="000000"/>
          <w:sz w:val="30"/>
          <w:szCs w:val="30"/>
          <w:highlight w:val="none"/>
          <w:lang w:eastAsia="zh-CN"/>
        </w:rPr>
        <w:t>第一章</w:t>
      </w:r>
      <w:r>
        <w:rPr>
          <w:rFonts w:hint="eastAsia" w:ascii="仿宋" w:hAnsi="仿宋" w:eastAsia="仿宋"/>
          <w:b/>
          <w:color w:val="000000"/>
          <w:sz w:val="30"/>
          <w:szCs w:val="30"/>
          <w:highlight w:val="none"/>
          <w:lang w:val="en-US" w:eastAsia="zh-CN"/>
        </w:rPr>
        <w:t xml:space="preserve">  磋商</w:t>
      </w:r>
      <w:r>
        <w:rPr>
          <w:rFonts w:hint="eastAsia" w:ascii="仿宋" w:hAnsi="仿宋" w:eastAsia="仿宋"/>
          <w:b/>
          <w:color w:val="000000"/>
          <w:sz w:val="30"/>
          <w:szCs w:val="30"/>
          <w:highlight w:val="none"/>
        </w:rPr>
        <w:t>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90" w:lineRule="exact"/>
        <w:textAlignment w:val="auto"/>
        <w:rPr>
          <w:rFonts w:ascii="仿宋" w:hAnsi="仿宋" w:eastAsia="仿宋" w:cs="仿宋"/>
          <w:sz w:val="28"/>
          <w:szCs w:val="28"/>
        </w:rPr>
      </w:pPr>
      <w:r>
        <w:rPr>
          <w:rFonts w:hint="eastAsia" w:ascii="仿宋" w:hAnsi="仿宋" w:eastAsia="仿宋" w:cs="仿宋"/>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39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highlight w:val="none"/>
          <w:lang w:val="en-US" w:eastAsia="zh-CN"/>
        </w:rPr>
        <w:t>吐鲁番市鄯善县吐峪沟乡克尔火焰山村防渗渠建设项目的潜</w:t>
      </w:r>
      <w:r>
        <w:rPr>
          <w:rFonts w:hint="eastAsia" w:ascii="仿宋" w:hAnsi="仿宋" w:eastAsia="仿宋" w:cs="仿宋"/>
          <w:sz w:val="28"/>
          <w:szCs w:val="28"/>
        </w:rPr>
        <w:t>在投标人应在</w:t>
      </w:r>
      <w:r>
        <w:rPr>
          <w:rFonts w:hint="eastAsia" w:ascii="仿宋" w:hAnsi="仿宋" w:eastAsia="仿宋" w:cs="仿宋"/>
          <w:i w:val="0"/>
          <w:caps w:val="0"/>
          <w:color w:val="000000"/>
          <w:spacing w:val="0"/>
          <w:sz w:val="27"/>
          <w:szCs w:val="27"/>
        </w:rPr>
        <w:t>新疆政府采购网政采云平台（www.zcygov.cn） </w:t>
      </w:r>
      <w:r>
        <w:rPr>
          <w:rFonts w:hint="eastAsia" w:ascii="仿宋" w:hAnsi="仿宋" w:eastAsia="仿宋" w:cs="仿宋"/>
          <w:sz w:val="28"/>
          <w:szCs w:val="28"/>
        </w:rPr>
        <w:t>获取</w:t>
      </w:r>
      <w:r>
        <w:rPr>
          <w:rFonts w:hint="eastAsia" w:ascii="仿宋" w:hAnsi="仿宋" w:eastAsia="仿宋" w:cs="仿宋"/>
          <w:sz w:val="28"/>
          <w:szCs w:val="28"/>
          <w:lang w:eastAsia="zh-CN"/>
        </w:rPr>
        <w:t>竞争性磋商</w:t>
      </w:r>
      <w:r>
        <w:rPr>
          <w:rFonts w:hint="eastAsia" w:ascii="仿宋" w:hAnsi="仿宋" w:eastAsia="仿宋" w:cs="仿宋"/>
          <w:sz w:val="28"/>
          <w:szCs w:val="28"/>
        </w:rPr>
        <w:t>文件，</w:t>
      </w:r>
      <w:r>
        <w:rPr>
          <w:rFonts w:hint="eastAsia" w:ascii="仿宋" w:hAnsi="仿宋" w:eastAsia="仿宋" w:cs="仿宋"/>
          <w:color w:val="auto"/>
          <w:sz w:val="28"/>
          <w:szCs w:val="28"/>
        </w:rPr>
        <w:t>并于</w:t>
      </w:r>
      <w:r>
        <w:rPr>
          <w:rFonts w:ascii="仿宋" w:hAnsi="仿宋" w:eastAsia="仿宋" w:cs="仿宋"/>
          <w:color w:val="000000" w:themeColor="text1"/>
          <w:sz w:val="28"/>
          <w:szCs w:val="28"/>
          <w:highlight w:val="none"/>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日</w:t>
      </w:r>
      <w:r>
        <w:rPr>
          <w:rFonts w:hint="eastAsia" w:ascii="仿宋" w:hAnsi="仿宋" w:eastAsia="仿宋" w:cs="仿宋"/>
          <w:color w:val="000000" w:themeColor="text1"/>
          <w:sz w:val="28"/>
          <w:szCs w:val="28"/>
          <w:lang w:val="en-US" w:eastAsia="zh-CN"/>
          <w14:textFill>
            <w14:solidFill>
              <w14:schemeClr w14:val="tx1"/>
            </w14:solidFill>
          </w14:textFill>
        </w:rPr>
        <w:t>11</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00</w:t>
      </w:r>
      <w:r>
        <w:rPr>
          <w:rFonts w:hint="eastAsia" w:ascii="仿宋" w:hAnsi="仿宋" w:eastAsia="仿宋" w:cs="仿宋"/>
          <w:color w:val="000000" w:themeColor="text1"/>
          <w:sz w:val="28"/>
          <w:szCs w:val="28"/>
          <w14:textFill>
            <w14:solidFill>
              <w14:schemeClr w14:val="tx1"/>
            </w14:solidFill>
          </w14:textFill>
        </w:rPr>
        <w:t>（北京时间）前递交</w:t>
      </w:r>
      <w:r>
        <w:rPr>
          <w:rFonts w:hint="eastAsia" w:ascii="仿宋" w:hAnsi="仿宋" w:eastAsia="仿宋" w:cs="仿宋"/>
          <w:color w:val="000000" w:themeColor="text1"/>
          <w:sz w:val="28"/>
          <w:szCs w:val="28"/>
          <w:lang w:eastAsia="zh-CN"/>
          <w14:textFill>
            <w14:solidFill>
              <w14:schemeClr w14:val="tx1"/>
            </w14:solidFill>
          </w14:textFill>
        </w:rPr>
        <w:t>竞争性磋商</w:t>
      </w:r>
      <w:r>
        <w:rPr>
          <w:rFonts w:hint="eastAsia" w:ascii="仿宋" w:hAnsi="仿宋" w:eastAsia="仿宋" w:cs="仿宋"/>
          <w:color w:val="000000" w:themeColor="text1"/>
          <w:sz w:val="28"/>
          <w:szCs w:val="28"/>
          <w14:textFill>
            <w14:solidFill>
              <w14:schemeClr w14:val="tx1"/>
            </w14:solidFill>
          </w14:textFill>
        </w:rPr>
        <w:t>文件。</w:t>
      </w:r>
      <w:bookmarkStart w:id="7" w:name="_Toc28359002"/>
      <w:bookmarkStart w:id="8" w:name="_Toc35393621"/>
      <w:bookmarkStart w:id="9" w:name="_Toc28359079"/>
      <w:bookmarkStart w:id="10" w:name="_Toc35393790"/>
      <w:bookmarkStart w:id="11" w:name="_Hlk24379207"/>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hint="default" w:ascii="仿宋" w:hAnsi="仿宋" w:eastAsia="仿宋" w:cs="仿宋"/>
          <w:b/>
          <w:bCs/>
          <w:kern w:val="2"/>
          <w:sz w:val="28"/>
          <w:szCs w:val="28"/>
          <w:lang w:val="en-US" w:eastAsia="zh-CN"/>
        </w:rPr>
      </w:pPr>
      <w:r>
        <w:rPr>
          <w:rFonts w:hint="eastAsia" w:ascii="仿宋" w:hAnsi="仿宋" w:eastAsia="仿宋" w:cs="仿宋"/>
          <w:b/>
          <w:bCs/>
          <w:kern w:val="2"/>
          <w:sz w:val="28"/>
          <w:szCs w:val="28"/>
        </w:rPr>
        <w:t>一、项目基本情况</w:t>
      </w:r>
      <w:bookmarkEnd w:id="7"/>
      <w:bookmarkEnd w:id="8"/>
      <w:bookmarkEnd w:id="9"/>
      <w:bookmarkEnd w:id="10"/>
      <w:r>
        <w:rPr>
          <w:rFonts w:hint="eastAsia" w:ascii="仿宋" w:hAnsi="仿宋" w:eastAsia="仿宋" w:cs="仿宋"/>
          <w:b/>
          <w:bCs/>
          <w:kern w:val="2"/>
          <w:sz w:val="28"/>
          <w:szCs w:val="28"/>
          <w:lang w:val="en-US" w:eastAsia="zh-CN"/>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项目编号：</w:t>
      </w:r>
      <w:r>
        <w:rPr>
          <w:rFonts w:ascii="仿宋" w:hAnsi="仿宋" w:eastAsia="仿宋" w:cs="仿宋"/>
          <w:i w:val="0"/>
          <w:caps w:val="0"/>
          <w:color w:val="000000"/>
          <w:spacing w:val="0"/>
          <w:sz w:val="27"/>
          <w:szCs w:val="27"/>
        </w:rPr>
        <w:t>XJDH（CG）202</w:t>
      </w:r>
      <w:r>
        <w:rPr>
          <w:rFonts w:hint="eastAsia" w:ascii="仿宋" w:hAnsi="仿宋" w:eastAsia="仿宋" w:cs="仿宋"/>
          <w:i w:val="0"/>
          <w:caps w:val="0"/>
          <w:color w:val="000000"/>
          <w:spacing w:val="0"/>
          <w:sz w:val="27"/>
          <w:szCs w:val="27"/>
          <w:lang w:val="en-US" w:eastAsia="zh-CN"/>
        </w:rPr>
        <w:t>4</w:t>
      </w:r>
      <w:r>
        <w:rPr>
          <w:rFonts w:ascii="仿宋" w:hAnsi="仿宋" w:eastAsia="仿宋" w:cs="仿宋"/>
          <w:i w:val="0"/>
          <w:caps w:val="0"/>
          <w:color w:val="000000"/>
          <w:spacing w:val="0"/>
          <w:sz w:val="27"/>
          <w:szCs w:val="27"/>
        </w:rPr>
        <w:t>-</w:t>
      </w:r>
      <w:r>
        <w:rPr>
          <w:rFonts w:hint="eastAsia" w:ascii="仿宋" w:hAnsi="仿宋" w:eastAsia="仿宋" w:cs="仿宋"/>
          <w:i w:val="0"/>
          <w:caps w:val="0"/>
          <w:color w:val="000000"/>
          <w:spacing w:val="0"/>
          <w:sz w:val="27"/>
          <w:szCs w:val="27"/>
          <w:lang w:val="en-US" w:eastAsia="zh-CN"/>
        </w:rPr>
        <w:t>005</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项目名称：</w:t>
      </w:r>
      <w:bookmarkEnd w:id="11"/>
      <w:r>
        <w:rPr>
          <w:rFonts w:hint="eastAsia" w:ascii="仿宋" w:hAnsi="仿宋" w:eastAsia="仿宋" w:cs="仿宋"/>
          <w:sz w:val="28"/>
          <w:szCs w:val="28"/>
          <w:highlight w:val="none"/>
          <w:lang w:val="en-US" w:eastAsia="zh-CN"/>
        </w:rPr>
        <w:t>吐鲁番市鄯善县吐峪沟乡克尔火焰山村防渗渠建设项目</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采购方式：竞争性磋商</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预算金额：1980000元</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最高限价：1738386.39 元</w:t>
      </w:r>
    </w:p>
    <w:p>
      <w:pPr>
        <w:bidi w:val="0"/>
        <w:spacing w:line="360" w:lineRule="auto"/>
        <w:ind w:firstLine="280" w:firstLineChars="100"/>
        <w:jc w:val="left"/>
        <w:rPr>
          <w:rFonts w:hint="eastAsia" w:ascii="仿宋" w:hAnsi="仿宋" w:eastAsia="仿宋" w:cs="仿宋"/>
          <w:i w:val="0"/>
          <w:caps w:val="0"/>
          <w:color w:val="000000"/>
          <w:spacing w:val="0"/>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采购内容：</w:t>
      </w:r>
      <w:r>
        <w:rPr>
          <w:rFonts w:hint="eastAsia" w:ascii="仿宋" w:hAnsi="仿宋" w:eastAsia="仿宋" w:cs="仿宋"/>
          <w:i w:val="0"/>
          <w:caps w:val="0"/>
          <w:color w:val="000000"/>
          <w:spacing w:val="0"/>
          <w:sz w:val="28"/>
          <w:szCs w:val="28"/>
          <w:highlight w:val="none"/>
          <w:lang w:val="en-US" w:eastAsia="zh-CN"/>
        </w:rPr>
        <w:t>新建防渗渠4.2公里，设计流量0.5m³。（具体工程量清单详见</w:t>
      </w:r>
      <w:r>
        <w:rPr>
          <w:rFonts w:hint="eastAsia" w:ascii="仿宋" w:hAnsi="仿宋" w:eastAsia="仿宋" w:cs="仿宋"/>
          <w:sz w:val="28"/>
          <w:szCs w:val="28"/>
          <w:lang w:eastAsia="zh-CN"/>
        </w:rPr>
        <w:t>竞争性磋商</w:t>
      </w:r>
      <w:r>
        <w:rPr>
          <w:rFonts w:hint="eastAsia" w:ascii="仿宋" w:hAnsi="仿宋" w:eastAsia="仿宋" w:cs="仿宋"/>
          <w:i w:val="0"/>
          <w:caps w:val="0"/>
          <w:color w:val="000000"/>
          <w:spacing w:val="0"/>
          <w:sz w:val="28"/>
          <w:szCs w:val="28"/>
          <w:highlight w:val="none"/>
          <w:lang w:val="en-US" w:eastAsia="zh-CN"/>
        </w:rPr>
        <w:t>文件）</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default" w:ascii="仿宋" w:hAnsi="仿宋" w:eastAsia="仿宋" w:cs="仿宋"/>
          <w:i w:val="0"/>
          <w:caps w:val="0"/>
          <w:color w:val="0000FF"/>
          <w:spacing w:val="0"/>
          <w:kern w:val="0"/>
          <w:sz w:val="28"/>
          <w:szCs w:val="28"/>
          <w:highlight w:val="none"/>
          <w:lang w:val="en-US" w:eastAsia="zh-CN" w:bidi="ar-SA"/>
        </w:rPr>
      </w:pPr>
      <w:r>
        <w:rPr>
          <w:rFonts w:hint="eastAsia" w:ascii="仿宋" w:hAnsi="仿宋" w:eastAsia="仿宋" w:cs="仿宋"/>
          <w:i w:val="0"/>
          <w:caps w:val="0"/>
          <w:color w:val="000000"/>
          <w:spacing w:val="0"/>
          <w:kern w:val="0"/>
          <w:sz w:val="28"/>
          <w:szCs w:val="28"/>
          <w:highlight w:val="none"/>
          <w:lang w:val="en-US" w:eastAsia="zh-CN" w:bidi="ar-SA"/>
        </w:rPr>
        <w:t>合同履行期限：</w:t>
      </w:r>
      <w:r>
        <w:rPr>
          <w:rFonts w:hint="eastAsia" w:ascii="仿宋" w:hAnsi="仿宋" w:eastAsia="仿宋" w:cs="仿宋"/>
          <w:i w:val="0"/>
          <w:caps w:val="0"/>
          <w:color w:val="000000" w:themeColor="text1"/>
          <w:spacing w:val="0"/>
          <w:kern w:val="0"/>
          <w:sz w:val="28"/>
          <w:szCs w:val="28"/>
          <w:highlight w:val="none"/>
          <w:lang w:val="en-US" w:eastAsia="zh-CN" w:bidi="ar-SA"/>
          <w14:textFill>
            <w14:solidFill>
              <w14:schemeClr w14:val="tx1"/>
            </w14:solidFill>
          </w14:textFill>
        </w:rPr>
        <w:t>合同签订后90日内</w:t>
      </w:r>
    </w:p>
    <w:p>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本项目（否）接受联合体投标</w:t>
      </w:r>
      <w:bookmarkStart w:id="12" w:name="_Toc28359080"/>
      <w:bookmarkStart w:id="13" w:name="_Toc35393622"/>
      <w:bookmarkStart w:id="14" w:name="_Toc28359003"/>
      <w:bookmarkStart w:id="15" w:name="_Toc35393791"/>
      <w:r>
        <w:rPr>
          <w:rFonts w:hint="eastAsia" w:ascii="仿宋" w:hAnsi="仿宋" w:eastAsia="仿宋" w:cs="仿宋"/>
          <w:kern w:val="2"/>
          <w:sz w:val="28"/>
          <w:szCs w:val="28"/>
          <w:lang w:val="en-US" w:eastAsia="zh-CN" w:bidi="ar-SA"/>
        </w:rPr>
        <w:t xml:space="preserve"> </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textAlignment w:val="auto"/>
        <w:rPr>
          <w:rFonts w:ascii="仿宋" w:hAnsi="仿宋" w:eastAsia="仿宋" w:cs="仿宋"/>
          <w:b/>
          <w:bCs/>
          <w:kern w:val="2"/>
          <w:sz w:val="28"/>
          <w:szCs w:val="28"/>
        </w:rPr>
      </w:pPr>
      <w:r>
        <w:rPr>
          <w:rFonts w:hint="eastAsia" w:ascii="仿宋" w:hAnsi="仿宋" w:eastAsia="仿宋" w:cs="仿宋"/>
          <w:b/>
          <w:bCs/>
          <w:kern w:val="2"/>
          <w:sz w:val="28"/>
          <w:szCs w:val="28"/>
        </w:rPr>
        <w:t>二、申请人的资格要求</w:t>
      </w:r>
      <w:bookmarkEnd w:id="12"/>
      <w:bookmarkEnd w:id="13"/>
      <w:bookmarkEnd w:id="14"/>
      <w:bookmarkEnd w:id="15"/>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ascii="仿宋" w:hAnsi="仿宋" w:eastAsia="仿宋" w:cs="仿宋"/>
          <w:i w:val="0"/>
          <w:caps w:val="0"/>
          <w:color w:val="000000"/>
          <w:spacing w:val="0"/>
          <w:sz w:val="27"/>
          <w:szCs w:val="27"/>
        </w:rPr>
      </w:pPr>
      <w:bookmarkStart w:id="16" w:name="_Toc35393792"/>
      <w:bookmarkStart w:id="17" w:name="_Toc28359081"/>
      <w:bookmarkStart w:id="18" w:name="_Toc28359004"/>
      <w:bookmarkStart w:id="19" w:name="_Toc35393623"/>
      <w:r>
        <w:rPr>
          <w:rFonts w:hint="eastAsia" w:ascii="仿宋" w:hAnsi="仿宋" w:eastAsia="仿宋" w:cs="仿宋"/>
          <w:i w:val="0"/>
          <w:caps w:val="0"/>
          <w:color w:val="000000"/>
          <w:spacing w:val="0"/>
          <w:sz w:val="28"/>
          <w:szCs w:val="28"/>
          <w:highlight w:val="none"/>
          <w:lang w:val="en-US" w:eastAsia="zh-CN"/>
        </w:rPr>
        <w:t>1</w:t>
      </w:r>
      <w:r>
        <w:rPr>
          <w:rFonts w:hint="eastAsia" w:ascii="仿宋" w:hAnsi="仿宋" w:eastAsia="仿宋" w:cs="仿宋"/>
          <w:i w:val="0"/>
          <w:caps w:val="0"/>
          <w:color w:val="000000"/>
          <w:spacing w:val="0"/>
          <w:sz w:val="28"/>
          <w:szCs w:val="28"/>
          <w:highlight w:val="none"/>
        </w:rPr>
        <w:t>.满足《中华人民共和国政府采购法》第二十二条规定；</w:t>
      </w:r>
      <w:r>
        <w:rPr>
          <w:rFonts w:ascii="仿宋" w:hAnsi="仿宋" w:eastAsia="仿宋" w:cs="仿宋"/>
          <w:i w:val="0"/>
          <w:caps w:val="0"/>
          <w:color w:val="000000"/>
          <w:spacing w:val="0"/>
          <w:sz w:val="27"/>
          <w:szCs w:val="27"/>
        </w:rPr>
        <w:t> </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仿宋" w:hAnsi="仿宋" w:eastAsia="仿宋" w:cs="仿宋"/>
          <w:i w:val="0"/>
          <w:caps w:val="0"/>
          <w:color w:val="000000"/>
          <w:spacing w:val="0"/>
          <w:sz w:val="27"/>
          <w:szCs w:val="27"/>
          <w:lang w:val="en-US" w:eastAsia="zh-CN"/>
        </w:rPr>
      </w:pPr>
      <w:r>
        <w:rPr>
          <w:rFonts w:hint="eastAsia" w:ascii="仿宋" w:hAnsi="仿宋" w:eastAsia="仿宋" w:cs="仿宋"/>
          <w:i w:val="0"/>
          <w:caps w:val="0"/>
          <w:color w:val="000000"/>
          <w:spacing w:val="0"/>
          <w:sz w:val="27"/>
          <w:szCs w:val="27"/>
        </w:rPr>
        <w:t>2.落实政府采购政策需满足的资格要求</w:t>
      </w:r>
      <w:r>
        <w:rPr>
          <w:rFonts w:hint="eastAsia" w:ascii="仿宋" w:hAnsi="仿宋" w:eastAsia="仿宋" w:cs="仿宋"/>
          <w:i w:val="0"/>
          <w:caps w:val="0"/>
          <w:color w:val="000000"/>
          <w:spacing w:val="0"/>
          <w:sz w:val="27"/>
          <w:szCs w:val="27"/>
          <w:lang w:val="en-US" w:eastAsia="zh-CN"/>
        </w:rPr>
        <w:t>:供应商为中小企业</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280" w:firstLineChars="100"/>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lang w:val="en-US" w:eastAsia="zh-CN"/>
        </w:rPr>
        <w:t>3</w:t>
      </w:r>
      <w:r>
        <w:rPr>
          <w:rFonts w:hint="eastAsia" w:ascii="仿宋" w:hAnsi="仿宋" w:eastAsia="仿宋" w:cs="仿宋"/>
          <w:i w:val="0"/>
          <w:caps w:val="0"/>
          <w:color w:val="000000"/>
          <w:spacing w:val="0"/>
          <w:sz w:val="28"/>
          <w:szCs w:val="28"/>
          <w:highlight w:val="none"/>
        </w:rPr>
        <w:t>.本项目的特定资格要求：</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lang w:val="en-US" w:eastAsia="zh-CN"/>
        </w:rPr>
        <w:t>（1）</w:t>
      </w:r>
      <w:r>
        <w:rPr>
          <w:rFonts w:hint="eastAsia" w:ascii="仿宋" w:hAnsi="仿宋" w:eastAsia="仿宋" w:cs="仿宋"/>
          <w:i w:val="0"/>
          <w:caps w:val="0"/>
          <w:color w:val="000000"/>
          <w:spacing w:val="0"/>
          <w:sz w:val="28"/>
          <w:szCs w:val="28"/>
          <w:highlight w:val="none"/>
        </w:rPr>
        <w:t>具有独立承担民事责任能力的在中华人民共和国境内注册的法人营业执照原件；</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仿宋" w:hAnsi="仿宋" w:eastAsia="仿宋" w:cs="仿宋"/>
          <w:i w:val="0"/>
          <w:caps w:val="0"/>
          <w:color w:val="000000"/>
          <w:spacing w:val="0"/>
          <w:sz w:val="28"/>
          <w:szCs w:val="28"/>
          <w:highlight w:val="none"/>
        </w:rPr>
      </w:pPr>
      <w:r>
        <w:rPr>
          <w:rFonts w:hint="eastAsia" w:ascii="仿宋" w:hAnsi="仿宋" w:eastAsia="仿宋" w:cs="仿宋"/>
          <w:i w:val="0"/>
          <w:caps w:val="0"/>
          <w:color w:val="000000"/>
          <w:spacing w:val="0"/>
          <w:sz w:val="28"/>
          <w:szCs w:val="28"/>
          <w:highlight w:val="none"/>
          <w:lang w:eastAsia="zh-CN"/>
        </w:rPr>
        <w:t>（</w:t>
      </w:r>
      <w:r>
        <w:rPr>
          <w:rFonts w:hint="eastAsia" w:ascii="仿宋" w:hAnsi="仿宋" w:eastAsia="仿宋" w:cs="仿宋"/>
          <w:i w:val="0"/>
          <w:caps w:val="0"/>
          <w:color w:val="000000"/>
          <w:spacing w:val="0"/>
          <w:sz w:val="28"/>
          <w:szCs w:val="28"/>
          <w:highlight w:val="none"/>
          <w:lang w:val="en-US" w:eastAsia="zh-CN"/>
        </w:rPr>
        <w:t>2</w:t>
      </w:r>
      <w:r>
        <w:rPr>
          <w:rFonts w:hint="eastAsia" w:ascii="仿宋" w:hAnsi="仿宋" w:eastAsia="仿宋" w:cs="仿宋"/>
          <w:i w:val="0"/>
          <w:caps w:val="0"/>
          <w:color w:val="000000"/>
          <w:spacing w:val="0"/>
          <w:sz w:val="28"/>
          <w:szCs w:val="28"/>
          <w:highlight w:val="none"/>
          <w:lang w:eastAsia="zh-CN"/>
        </w:rPr>
        <w:t>）</w:t>
      </w:r>
      <w:r>
        <w:rPr>
          <w:rFonts w:hint="eastAsia" w:ascii="仿宋" w:hAnsi="仿宋" w:eastAsia="仿宋" w:cs="仿宋"/>
          <w:i w:val="0"/>
          <w:caps w:val="0"/>
          <w:color w:val="000000"/>
          <w:spacing w:val="0"/>
          <w:sz w:val="28"/>
          <w:szCs w:val="28"/>
          <w:highlight w:val="none"/>
        </w:rPr>
        <w:t>法</w:t>
      </w:r>
      <w:r>
        <w:rPr>
          <w:rFonts w:hint="eastAsia" w:ascii="仿宋" w:hAnsi="仿宋" w:eastAsia="仿宋" w:cs="仿宋"/>
          <w:i w:val="0"/>
          <w:caps w:val="0"/>
          <w:color w:val="auto"/>
          <w:spacing w:val="0"/>
          <w:sz w:val="28"/>
          <w:szCs w:val="28"/>
          <w:highlight w:val="none"/>
          <w:lang w:eastAsia="zh-CN"/>
        </w:rPr>
        <w:t>定代表</w:t>
      </w:r>
      <w:r>
        <w:rPr>
          <w:rFonts w:hint="eastAsia" w:ascii="仿宋" w:hAnsi="仿宋" w:eastAsia="仿宋" w:cs="仿宋"/>
          <w:i w:val="0"/>
          <w:caps w:val="0"/>
          <w:color w:val="000000"/>
          <w:spacing w:val="0"/>
          <w:sz w:val="28"/>
          <w:szCs w:val="28"/>
          <w:highlight w:val="none"/>
        </w:rPr>
        <w:t>人须提供法定代表人资格证明书及身份证或法</w:t>
      </w:r>
      <w:r>
        <w:rPr>
          <w:rFonts w:hint="eastAsia" w:ascii="仿宋" w:hAnsi="仿宋" w:eastAsia="仿宋" w:cs="仿宋"/>
          <w:i w:val="0"/>
          <w:caps w:val="0"/>
          <w:color w:val="auto"/>
          <w:spacing w:val="0"/>
          <w:sz w:val="28"/>
          <w:szCs w:val="28"/>
          <w:highlight w:val="none"/>
          <w:lang w:eastAsia="zh-CN"/>
        </w:rPr>
        <w:t>定代表</w:t>
      </w:r>
      <w:r>
        <w:rPr>
          <w:rFonts w:hint="eastAsia" w:ascii="仿宋" w:hAnsi="仿宋" w:eastAsia="仿宋" w:cs="仿宋"/>
          <w:i w:val="0"/>
          <w:caps w:val="0"/>
          <w:color w:val="000000"/>
          <w:spacing w:val="0"/>
          <w:sz w:val="28"/>
          <w:szCs w:val="28"/>
          <w:highlight w:val="none"/>
        </w:rPr>
        <w:t>人授权委托书及被授权人身份证；</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lang w:val="en-US" w:eastAsia="zh-CN"/>
        </w:rPr>
        <w:t>（3）资质等级及范围：水利水电工程施工总承包叁级及以上资质；项目经理疆内企业须具备水利专业注册建造师贰级及以上注册资格，并具备有效的安全生产考核合格证书;</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left="0" w:right="0" w:firstLine="420"/>
        <w:textAlignment w:val="auto"/>
        <w:rPr>
          <w:rFonts w:hint="eastAsia"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lang w:val="en-US" w:eastAsia="zh-CN"/>
        </w:rPr>
        <w:t>（4）投标人近三年有相应的业绩，并在人员、设备、资金等方面具有相应的施工能力，有安全生产许可证，疆外企业需办理（2024）区外进疆建筑企业办理信息报送册。</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560" w:firstLineChars="200"/>
        <w:textAlignment w:val="auto"/>
        <w:rPr>
          <w:rFonts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8"/>
          <w:szCs w:val="28"/>
          <w:highlight w:val="none"/>
          <w:lang w:val="en-US" w:eastAsia="zh-CN"/>
        </w:rPr>
        <w:t>（5）</w:t>
      </w:r>
      <w:r>
        <w:rPr>
          <w:rFonts w:hint="eastAsia" w:ascii="仿宋" w:hAnsi="仿宋" w:eastAsia="仿宋" w:cs="仿宋"/>
          <w:i w:val="0"/>
          <w:caps w:val="0"/>
          <w:color w:val="000000"/>
          <w:spacing w:val="0"/>
          <w:sz w:val="28"/>
          <w:szCs w:val="28"/>
          <w:highlight w:val="none"/>
        </w:rPr>
        <w:t>凡拟参加本次招标项目的投标人，</w:t>
      </w:r>
      <w:r>
        <w:rPr>
          <w:rFonts w:ascii="仿宋" w:hAnsi="仿宋" w:eastAsia="仿宋" w:cs="仿宋"/>
          <w:i w:val="0"/>
          <w:caps w:val="0"/>
          <w:color w:val="000000"/>
          <w:spacing w:val="0"/>
          <w:sz w:val="27"/>
          <w:szCs w:val="27"/>
        </w:rPr>
        <w:t>投标人未被“信用中国(www.creditchina.gov.cn)”网站列入“失信被执行人、重大税收违法失信主体”；未被“中国政府采购网(www.ccgp.gov.cn)”列入“政府采购严重违法失信行为信息记录名单”（尚在处罚期内的），将拒绝其参加本次采购活动；</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560" w:firstLineChars="200"/>
        <w:textAlignment w:val="auto"/>
        <w:rPr>
          <w:rFonts w:hint="default" w:ascii="仿宋" w:hAnsi="仿宋" w:eastAsia="仿宋" w:cs="仿宋"/>
          <w:i w:val="0"/>
          <w:caps w:val="0"/>
          <w:color w:val="000000"/>
          <w:spacing w:val="0"/>
          <w:sz w:val="28"/>
          <w:szCs w:val="28"/>
          <w:highlight w:val="none"/>
          <w:lang w:val="en-US" w:eastAsia="zh-CN"/>
        </w:rPr>
      </w:pPr>
      <w:r>
        <w:rPr>
          <w:rFonts w:hint="eastAsia" w:ascii="仿宋" w:hAnsi="仿宋" w:eastAsia="仿宋" w:cs="仿宋"/>
          <w:i w:val="0"/>
          <w:caps w:val="0"/>
          <w:color w:val="000000"/>
          <w:spacing w:val="0"/>
          <w:sz w:val="28"/>
          <w:szCs w:val="28"/>
          <w:highlight w:val="none"/>
          <w:lang w:val="en-US" w:eastAsia="zh-CN"/>
        </w:rPr>
        <w:t>（6）</w:t>
      </w:r>
      <w:r>
        <w:rPr>
          <w:rFonts w:hint="eastAsia" w:ascii="仿宋" w:hAnsi="仿宋" w:eastAsia="仿宋" w:cs="仿宋"/>
          <w:i w:val="0"/>
          <w:caps w:val="0"/>
          <w:color w:val="000000"/>
          <w:spacing w:val="0"/>
          <w:sz w:val="28"/>
          <w:szCs w:val="28"/>
          <w:highlight w:val="none"/>
        </w:rPr>
        <w:t>与招标人存在利害关系可能影响招标公正性的法人、其他组织或者个人，不得参加投标；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80" w:lineRule="exact"/>
        <w:ind w:right="0" w:firstLine="560" w:firstLineChars="200"/>
        <w:textAlignment w:val="auto"/>
        <w:rPr>
          <w:rFonts w:hint="eastAsia" w:ascii="仿宋" w:hAnsi="仿宋" w:eastAsia="仿宋" w:cs="仿宋"/>
          <w:i w:val="0"/>
          <w:caps w:val="0"/>
          <w:color w:val="000000"/>
          <w:spacing w:val="0"/>
          <w:sz w:val="28"/>
          <w:szCs w:val="28"/>
          <w:highlight w:val="none"/>
          <w:lang w:eastAsia="zh-CN"/>
        </w:rPr>
      </w:pPr>
      <w:r>
        <w:rPr>
          <w:rFonts w:hint="eastAsia" w:ascii="仿宋" w:hAnsi="仿宋" w:eastAsia="仿宋" w:cs="仿宋"/>
          <w:i w:val="0"/>
          <w:caps w:val="0"/>
          <w:color w:val="000000"/>
          <w:spacing w:val="0"/>
          <w:sz w:val="28"/>
          <w:szCs w:val="28"/>
          <w:highlight w:val="none"/>
          <w:lang w:val="en-US" w:eastAsia="zh-CN"/>
        </w:rPr>
        <w:t>（7）其它法律法规规定要求的政策</w:t>
      </w:r>
      <w:r>
        <w:rPr>
          <w:rFonts w:hint="eastAsia" w:ascii="仿宋" w:hAnsi="仿宋" w:eastAsia="仿宋" w:cs="仿宋"/>
          <w:i w:val="0"/>
          <w:caps w:val="0"/>
          <w:color w:val="000000"/>
          <w:spacing w:val="0"/>
          <w:sz w:val="28"/>
          <w:szCs w:val="28"/>
          <w:highlight w:val="none"/>
        </w:rPr>
        <w:t>；</w:t>
      </w:r>
    </w:p>
    <w:p>
      <w:pPr>
        <w:keepNext w:val="0"/>
        <w:keepLines w:val="0"/>
        <w:pageBreakBefore w:val="0"/>
        <w:kinsoku/>
        <w:wordWrap/>
        <w:overflowPunct/>
        <w:topLinePunct w:val="0"/>
        <w:autoSpaceDE/>
        <w:autoSpaceDN/>
        <w:bidi w:val="0"/>
        <w:adjustRightInd/>
        <w:snapToGrid/>
        <w:spacing w:line="480" w:lineRule="exact"/>
        <w:textAlignment w:val="auto"/>
        <w:rPr>
          <w:rFonts w:ascii="仿宋" w:hAnsi="仿宋" w:eastAsia="仿宋" w:cs="仿宋"/>
          <w:b/>
          <w:bCs/>
          <w:sz w:val="28"/>
          <w:szCs w:val="28"/>
        </w:rPr>
      </w:pPr>
      <w:r>
        <w:rPr>
          <w:rFonts w:hint="eastAsia" w:ascii="仿宋" w:hAnsi="仿宋" w:eastAsia="仿宋" w:cs="仿宋"/>
          <w:b/>
          <w:bCs/>
          <w:sz w:val="28"/>
          <w:szCs w:val="28"/>
        </w:rPr>
        <w:t>三、获取</w:t>
      </w:r>
      <w:r>
        <w:rPr>
          <w:rFonts w:hint="eastAsia" w:ascii="仿宋" w:hAnsi="仿宋" w:eastAsia="仿宋" w:cs="仿宋"/>
          <w:b/>
          <w:bCs/>
          <w:sz w:val="28"/>
          <w:szCs w:val="28"/>
          <w:lang w:eastAsia="zh-CN"/>
        </w:rPr>
        <w:t>竞争性磋商</w:t>
      </w:r>
      <w:r>
        <w:rPr>
          <w:rFonts w:hint="eastAsia" w:ascii="仿宋" w:hAnsi="仿宋" w:eastAsia="仿宋" w:cs="仿宋"/>
          <w:b/>
          <w:bCs/>
          <w:sz w:val="28"/>
          <w:szCs w:val="28"/>
        </w:rPr>
        <w:t>文件</w:t>
      </w:r>
      <w:bookmarkEnd w:id="16"/>
      <w:bookmarkEnd w:id="17"/>
      <w:bookmarkEnd w:id="18"/>
      <w:bookmarkEnd w:id="19"/>
    </w:p>
    <w:p>
      <w:pPr>
        <w:keepNext w:val="0"/>
        <w:keepLines w:val="0"/>
        <w:pageBreakBefore w:val="0"/>
        <w:kinsoku/>
        <w:wordWrap/>
        <w:overflowPunct/>
        <w:topLinePunct w:val="0"/>
        <w:autoSpaceDE/>
        <w:autoSpaceDN/>
        <w:bidi w:val="0"/>
        <w:adjustRightInd/>
        <w:snapToGrid/>
        <w:spacing w:line="480" w:lineRule="exact"/>
        <w:ind w:firstLine="562" w:firstLineChars="200"/>
        <w:textAlignment w:val="auto"/>
        <w:rPr>
          <w:rFonts w:ascii="仿宋" w:hAnsi="仿宋" w:eastAsia="仿宋" w:cs="仿宋"/>
          <w:color w:val="0000FF"/>
          <w:sz w:val="28"/>
          <w:szCs w:val="28"/>
          <w:highlight w:val="none"/>
        </w:rPr>
      </w:pPr>
      <w:r>
        <w:rPr>
          <w:rFonts w:hint="eastAsia" w:ascii="仿宋" w:hAnsi="仿宋" w:eastAsia="仿宋" w:cs="仿宋"/>
          <w:b/>
          <w:bCs/>
          <w:color w:val="auto"/>
          <w:sz w:val="28"/>
          <w:szCs w:val="28"/>
        </w:rPr>
        <w:t>时间：</w:t>
      </w:r>
      <w:r>
        <w:rPr>
          <w:rFonts w:ascii="仿宋" w:hAnsi="仿宋" w:eastAsia="仿宋" w:cs="仿宋"/>
          <w:color w:val="000000" w:themeColor="text1"/>
          <w:sz w:val="28"/>
          <w:szCs w:val="28"/>
          <w:highlight w:val="none"/>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4年1</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26</w:t>
      </w:r>
      <w:r>
        <w:rPr>
          <w:rFonts w:hint="eastAsia" w:ascii="仿宋" w:hAnsi="仿宋" w:eastAsia="仿宋" w:cs="仿宋"/>
          <w:color w:val="000000" w:themeColor="text1"/>
          <w:sz w:val="28"/>
          <w:szCs w:val="28"/>
          <w:highlight w:val="none"/>
          <w14:textFill>
            <w14:solidFill>
              <w14:schemeClr w14:val="tx1"/>
            </w14:solidFill>
          </w14:textFill>
        </w:rPr>
        <w:t>日至</w:t>
      </w:r>
      <w:r>
        <w:rPr>
          <w:rFonts w:ascii="仿宋" w:hAnsi="仿宋" w:eastAsia="仿宋" w:cs="仿宋"/>
          <w:color w:val="000000" w:themeColor="text1"/>
          <w:sz w:val="28"/>
          <w:szCs w:val="28"/>
          <w:highlight w:val="none"/>
          <w14:textFill>
            <w14:solidFill>
              <w14:schemeClr w14:val="tx1"/>
            </w14:solidFill>
          </w14:textFill>
        </w:rPr>
        <w:t xml:space="preserve"> 202</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sz w:val="28"/>
          <w:szCs w:val="28"/>
          <w:highlight w:val="none"/>
          <w14:textFill>
            <w14:solidFill>
              <w14:schemeClr w14:val="tx1"/>
            </w14:solidFill>
          </w14:textFill>
        </w:rPr>
        <w:t>日，每天上午</w:t>
      </w:r>
      <w:r>
        <w:rPr>
          <w:rFonts w:ascii="仿宋" w:hAnsi="仿宋" w:eastAsia="仿宋" w:cs="仿宋"/>
          <w:color w:val="000000" w:themeColor="text1"/>
          <w:sz w:val="28"/>
          <w:szCs w:val="28"/>
          <w:highlight w:val="none"/>
          <w14:textFill>
            <w14:solidFill>
              <w14:schemeClr w14:val="tx1"/>
            </w14:solidFill>
          </w14:textFill>
        </w:rPr>
        <w:t>10:00</w:t>
      </w:r>
      <w:r>
        <w:rPr>
          <w:rFonts w:hint="eastAsia" w:ascii="仿宋" w:hAnsi="仿宋" w:eastAsia="仿宋" w:cs="仿宋"/>
          <w:color w:val="000000" w:themeColor="text1"/>
          <w:sz w:val="28"/>
          <w:szCs w:val="28"/>
          <w:highlight w:val="none"/>
          <w14:textFill>
            <w14:solidFill>
              <w14:schemeClr w14:val="tx1"/>
            </w14:solidFill>
          </w14:textFill>
        </w:rPr>
        <w:t>至</w:t>
      </w:r>
      <w:r>
        <w:rPr>
          <w:rFonts w:hint="eastAsia" w:ascii="仿宋" w:hAnsi="仿宋" w:eastAsia="仿宋" w:cs="仿宋"/>
          <w:color w:val="000000" w:themeColor="text1"/>
          <w:sz w:val="28"/>
          <w:szCs w:val="28"/>
          <w:highlight w:val="none"/>
          <w:lang w:val="en-US" w:eastAsia="zh-CN"/>
          <w14:textFill>
            <w14:solidFill>
              <w14:schemeClr w14:val="tx1"/>
            </w14:solidFill>
          </w14:textFill>
        </w:rPr>
        <w:t>13</w:t>
      </w:r>
      <w:r>
        <w:rPr>
          <w:rFonts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ascii="仿宋" w:hAnsi="仿宋" w:eastAsia="仿宋" w:cs="仿宋"/>
          <w:color w:val="000000" w:themeColor="text1"/>
          <w:sz w:val="28"/>
          <w:szCs w:val="28"/>
          <w:highlight w:val="none"/>
          <w14:textFill>
            <w14:solidFill>
              <w14:schemeClr w14:val="tx1"/>
            </w14:solidFill>
          </w14:textFill>
        </w:rPr>
        <w:t>0</w:t>
      </w:r>
      <w:r>
        <w:rPr>
          <w:rFonts w:hint="eastAsia" w:ascii="仿宋" w:hAnsi="仿宋" w:eastAsia="仿宋" w:cs="仿宋"/>
          <w:color w:val="000000" w:themeColor="text1"/>
          <w:sz w:val="28"/>
          <w:szCs w:val="28"/>
          <w:highlight w:val="none"/>
          <w:lang w:val="en-US" w:eastAsia="zh-CN"/>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下午</w:t>
      </w:r>
      <w:r>
        <w:rPr>
          <w:rFonts w:hint="eastAsia" w:ascii="仿宋" w:hAnsi="仿宋" w:eastAsia="仿宋" w:cs="仿宋"/>
          <w:color w:val="000000" w:themeColor="text1"/>
          <w:sz w:val="28"/>
          <w:szCs w:val="28"/>
          <w:highlight w:val="none"/>
          <w:lang w:val="en-US" w:eastAsia="zh-CN"/>
          <w14:textFill>
            <w14:solidFill>
              <w14:schemeClr w14:val="tx1"/>
            </w14:solidFill>
          </w14:textFill>
        </w:rPr>
        <w:t>15</w:t>
      </w:r>
      <w:r>
        <w:rPr>
          <w:rFonts w:ascii="仿宋" w:hAnsi="仿宋" w:eastAsia="仿宋" w:cs="仿宋"/>
          <w:color w:val="000000" w:themeColor="text1"/>
          <w:sz w:val="28"/>
          <w:szCs w:val="28"/>
          <w:highlight w:val="none"/>
          <w14:textFill>
            <w14:solidFill>
              <w14:schemeClr w14:val="tx1"/>
            </w14:solidFill>
          </w14:textFill>
        </w:rPr>
        <w:t>:30</w:t>
      </w:r>
      <w:r>
        <w:rPr>
          <w:rFonts w:hint="eastAsia" w:ascii="仿宋" w:hAnsi="仿宋" w:eastAsia="仿宋" w:cs="仿宋"/>
          <w:color w:val="000000" w:themeColor="text1"/>
          <w:sz w:val="28"/>
          <w:szCs w:val="28"/>
          <w:highlight w:val="none"/>
          <w14:textFill>
            <w14:solidFill>
              <w14:schemeClr w14:val="tx1"/>
            </w14:solidFill>
          </w14:textFill>
        </w:rPr>
        <w:t>至</w:t>
      </w:r>
      <w:r>
        <w:rPr>
          <w:rFonts w:hint="eastAsia" w:ascii="仿宋" w:hAnsi="仿宋" w:eastAsia="仿宋" w:cs="仿宋"/>
          <w:color w:val="000000" w:themeColor="text1"/>
          <w:sz w:val="28"/>
          <w:szCs w:val="28"/>
          <w:highlight w:val="none"/>
          <w:lang w:val="en-US" w:eastAsia="zh-CN"/>
          <w14:textFill>
            <w14:solidFill>
              <w14:schemeClr w14:val="tx1"/>
            </w14:solidFill>
          </w14:textFill>
        </w:rPr>
        <w:t>19</w:t>
      </w:r>
      <w:r>
        <w:rPr>
          <w:rFonts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ascii="仿宋" w:hAnsi="仿宋" w:eastAsia="仿宋" w:cs="仿宋"/>
          <w:color w:val="000000" w:themeColor="text1"/>
          <w:sz w:val="28"/>
          <w:szCs w:val="28"/>
          <w:highlight w:val="none"/>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（北京时间，法定节假日除外）</w:t>
      </w:r>
    </w:p>
    <w:p>
      <w:pPr>
        <w:keepNext w:val="0"/>
        <w:keepLines w:val="0"/>
        <w:pageBreakBefore w:val="0"/>
        <w:kinsoku/>
        <w:wordWrap/>
        <w:overflowPunct/>
        <w:topLinePunct w:val="0"/>
        <w:autoSpaceDE/>
        <w:autoSpaceDN/>
        <w:bidi w:val="0"/>
        <w:adjustRightInd/>
        <w:snapToGrid/>
        <w:spacing w:line="480" w:lineRule="exact"/>
        <w:ind w:firstLine="551" w:firstLineChars="196"/>
        <w:textAlignment w:val="auto"/>
        <w:rPr>
          <w:rFonts w:ascii="仿宋" w:hAnsi="仿宋" w:eastAsia="仿宋" w:cs="仿宋"/>
          <w:sz w:val="28"/>
          <w:szCs w:val="28"/>
        </w:rPr>
      </w:pPr>
      <w:r>
        <w:rPr>
          <w:rFonts w:hint="eastAsia" w:ascii="仿宋" w:hAnsi="仿宋" w:eastAsia="仿宋" w:cs="仿宋"/>
          <w:b/>
          <w:bCs/>
          <w:sz w:val="28"/>
          <w:szCs w:val="28"/>
        </w:rPr>
        <w:t>地点：</w:t>
      </w:r>
      <w:r>
        <w:rPr>
          <w:rFonts w:hint="eastAsia" w:ascii="仿宋" w:hAnsi="仿宋" w:eastAsia="仿宋" w:cs="仿宋"/>
          <w:i w:val="0"/>
          <w:caps w:val="0"/>
          <w:color w:val="000000"/>
          <w:spacing w:val="0"/>
          <w:sz w:val="27"/>
          <w:szCs w:val="27"/>
        </w:rPr>
        <w:t>政采云平台线上获取</w:t>
      </w:r>
    </w:p>
    <w:p>
      <w:pPr>
        <w:keepNext w:val="0"/>
        <w:keepLines w:val="0"/>
        <w:pageBreakBefore w:val="0"/>
        <w:kinsoku/>
        <w:wordWrap/>
        <w:overflowPunct/>
        <w:topLinePunct w:val="0"/>
        <w:autoSpaceDE/>
        <w:autoSpaceDN/>
        <w:bidi w:val="0"/>
        <w:adjustRightInd/>
        <w:snapToGrid/>
        <w:spacing w:line="480" w:lineRule="exact"/>
        <w:ind w:firstLine="551" w:firstLineChars="196"/>
        <w:textAlignment w:val="auto"/>
        <w:rPr>
          <w:rFonts w:ascii="仿宋" w:hAnsi="仿宋" w:eastAsia="仿宋" w:cs="仿宋"/>
          <w:sz w:val="28"/>
          <w:szCs w:val="28"/>
        </w:rPr>
      </w:pPr>
      <w:r>
        <w:rPr>
          <w:rFonts w:hint="eastAsia" w:ascii="仿宋" w:hAnsi="仿宋" w:eastAsia="仿宋" w:cs="仿宋"/>
          <w:b/>
          <w:bCs/>
          <w:sz w:val="28"/>
          <w:szCs w:val="28"/>
        </w:rPr>
        <w:t>方式：</w:t>
      </w:r>
      <w:r>
        <w:rPr>
          <w:rFonts w:ascii="仿宋" w:hAnsi="仿宋" w:eastAsia="仿宋" w:cs="仿宋"/>
          <w:i w:val="0"/>
          <w:caps w:val="0"/>
          <w:color w:val="000000"/>
          <w:spacing w:val="0"/>
          <w:sz w:val="27"/>
          <w:szCs w:val="27"/>
        </w:rPr>
        <w:t>供应商登录政采云平台https://www.zcygov.cn/在线申请获取采购文件（进入“项目采购”应用，在获取采购文件菜单中选择项目，申请获取采购文件）过期不予受理。未按上述要求获取采购文件的，其响应文件不予接收。平台操作过</w:t>
      </w:r>
      <w:r>
        <w:rPr>
          <w:rFonts w:hint="eastAsia" w:ascii="仿宋" w:hAnsi="仿宋" w:eastAsia="仿宋" w:cs="仿宋"/>
          <w:i w:val="0"/>
          <w:caps w:val="0"/>
          <w:color w:val="000000"/>
          <w:spacing w:val="0"/>
          <w:sz w:val="27"/>
          <w:szCs w:val="27"/>
          <w:lang w:eastAsia="zh-CN"/>
        </w:rPr>
        <w:t>程</w:t>
      </w:r>
      <w:r>
        <w:rPr>
          <w:rFonts w:ascii="仿宋" w:hAnsi="仿宋" w:eastAsia="仿宋" w:cs="仿宋"/>
          <w:i w:val="0"/>
          <w:caps w:val="0"/>
          <w:color w:val="000000"/>
          <w:spacing w:val="0"/>
          <w:sz w:val="27"/>
          <w:szCs w:val="27"/>
        </w:rPr>
        <w:t>中如需帮助，可联系政采云平台客服热线 95763获取技术支持。 </w:t>
      </w:r>
    </w:p>
    <w:p>
      <w:pPr>
        <w:keepNext w:val="0"/>
        <w:keepLines w:val="0"/>
        <w:pageBreakBefore w:val="0"/>
        <w:kinsoku/>
        <w:wordWrap/>
        <w:overflowPunct/>
        <w:topLinePunct w:val="0"/>
        <w:autoSpaceDE/>
        <w:autoSpaceDN/>
        <w:bidi w:val="0"/>
        <w:adjustRightInd/>
        <w:snapToGrid/>
        <w:spacing w:line="480" w:lineRule="exact"/>
        <w:ind w:firstLine="551" w:firstLineChars="196"/>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售价：</w:t>
      </w:r>
      <w:r>
        <w:rPr>
          <w:rFonts w:hint="eastAsia" w:ascii="仿宋" w:hAnsi="仿宋" w:eastAsia="仿宋" w:cs="仿宋"/>
          <w:b w:val="0"/>
          <w:bCs w:val="0"/>
          <w:sz w:val="28"/>
          <w:szCs w:val="28"/>
          <w:highlight w:val="none"/>
          <w:lang w:val="en-US" w:eastAsia="zh-CN"/>
        </w:rPr>
        <w:t>0</w:t>
      </w:r>
      <w:r>
        <w:rPr>
          <w:rFonts w:hint="eastAsia" w:ascii="仿宋" w:hAnsi="仿宋" w:eastAsia="仿宋" w:cs="仿宋"/>
          <w:b w:val="0"/>
          <w:bCs w:val="0"/>
          <w:color w:val="auto"/>
          <w:sz w:val="28"/>
          <w:szCs w:val="28"/>
          <w:highlight w:val="none"/>
        </w:rPr>
        <w:t>元</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份</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b/>
          <w:bCs/>
          <w:sz w:val="28"/>
          <w:szCs w:val="28"/>
        </w:rPr>
      </w:pPr>
      <w:bookmarkStart w:id="20" w:name="_Toc28359005"/>
      <w:bookmarkStart w:id="21" w:name="_Toc28359082"/>
      <w:bookmarkStart w:id="22" w:name="_Toc35393793"/>
      <w:bookmarkStart w:id="23" w:name="_Toc35393624"/>
      <w:r>
        <w:rPr>
          <w:rFonts w:hint="eastAsia" w:ascii="仿宋" w:hAnsi="仿宋" w:eastAsia="仿宋" w:cs="仿宋"/>
          <w:b/>
          <w:bCs/>
          <w:sz w:val="28"/>
          <w:szCs w:val="28"/>
        </w:rPr>
        <w:t>四、提交</w:t>
      </w:r>
      <w:bookmarkEnd w:id="20"/>
      <w:bookmarkEnd w:id="21"/>
      <w:r>
        <w:rPr>
          <w:rFonts w:hint="eastAsia" w:ascii="仿宋" w:hAnsi="仿宋" w:eastAsia="仿宋" w:cs="仿宋"/>
          <w:b/>
          <w:bCs/>
          <w:sz w:val="28"/>
          <w:szCs w:val="28"/>
          <w:lang w:eastAsia="zh-CN"/>
        </w:rPr>
        <w:t>竞争性磋商</w:t>
      </w:r>
      <w:r>
        <w:rPr>
          <w:rFonts w:hint="eastAsia" w:ascii="仿宋" w:hAnsi="仿宋" w:eastAsia="仿宋" w:cs="仿宋"/>
          <w:b/>
          <w:bCs/>
          <w:sz w:val="28"/>
          <w:szCs w:val="28"/>
        </w:rPr>
        <w:t>文件截止时间、开标时间和地点</w:t>
      </w:r>
      <w:bookmarkEnd w:id="22"/>
      <w:bookmarkEnd w:id="23"/>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sz w:val="28"/>
          <w:szCs w:val="28"/>
          <w:highlight w:val="none"/>
          <w:lang w:eastAsia="zh-CN"/>
        </w:rPr>
        <w:t>磋商文件</w:t>
      </w:r>
      <w:r>
        <w:rPr>
          <w:rFonts w:hint="eastAsia" w:ascii="仿宋" w:hAnsi="仿宋" w:eastAsia="仿宋" w:cs="仿宋"/>
          <w:sz w:val="28"/>
          <w:szCs w:val="28"/>
          <w:highlight w:val="none"/>
        </w:rPr>
        <w:t>截止时间：</w:t>
      </w:r>
      <w:r>
        <w:rPr>
          <w:rFonts w:hint="eastAsia" w:ascii="仿宋" w:hAnsi="仿宋" w:eastAsia="仿宋" w:cs="仿宋"/>
          <w:color w:val="000000" w:themeColor="text1"/>
          <w:sz w:val="28"/>
          <w:szCs w:val="28"/>
          <w:highlight w:val="none"/>
          <w14:textFill>
            <w14:solidFill>
              <w14:schemeClr w14:val="tx1"/>
            </w14:solidFill>
          </w14:textFill>
        </w:rPr>
        <w:t>202</w:t>
      </w:r>
      <w:r>
        <w:rPr>
          <w:rFonts w:hint="eastAsia" w:ascii="仿宋" w:hAnsi="仿宋" w:eastAsia="仿宋" w:cs="仿宋"/>
          <w:color w:val="000000" w:themeColor="text1"/>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日</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0（北京时间）</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i w:val="0"/>
          <w:caps w:val="0"/>
          <w:color w:val="000000"/>
          <w:spacing w:val="0"/>
          <w:sz w:val="27"/>
          <w:szCs w:val="27"/>
          <w:highlight w:val="none"/>
        </w:rPr>
      </w:pPr>
      <w:r>
        <w:rPr>
          <w:rFonts w:hint="eastAsia" w:ascii="仿宋" w:hAnsi="仿宋" w:eastAsia="仿宋" w:cs="仿宋"/>
          <w:sz w:val="28"/>
          <w:szCs w:val="28"/>
          <w:highlight w:val="none"/>
          <w:lang w:val="en-US" w:eastAsia="zh-CN"/>
        </w:rPr>
        <w:t>投标地点：</w:t>
      </w:r>
      <w:r>
        <w:rPr>
          <w:rFonts w:hint="eastAsia" w:ascii="仿宋" w:hAnsi="仿宋" w:eastAsia="仿宋" w:cs="仿宋"/>
          <w:i w:val="0"/>
          <w:caps w:val="0"/>
          <w:color w:val="000000"/>
          <w:spacing w:val="0"/>
          <w:sz w:val="27"/>
          <w:szCs w:val="27"/>
          <w:highlight w:val="none"/>
        </w:rPr>
        <w:t>政采云投标客户端投标</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开标时间</w:t>
      </w:r>
      <w:r>
        <w:rPr>
          <w:rFonts w:hint="eastAsia" w:ascii="仿宋" w:hAnsi="仿宋" w:eastAsia="仿宋" w:cs="仿宋"/>
          <w:color w:val="0000FF"/>
          <w:sz w:val="28"/>
          <w:szCs w:val="28"/>
          <w:highlight w:val="none"/>
        </w:rPr>
        <w:t>：</w:t>
      </w:r>
      <w:r>
        <w:rPr>
          <w:rFonts w:hint="eastAsia" w:ascii="仿宋" w:hAnsi="仿宋" w:eastAsia="仿宋" w:cs="仿宋"/>
          <w:color w:val="000000" w:themeColor="text1"/>
          <w:sz w:val="28"/>
          <w:szCs w:val="28"/>
          <w:highlight w:val="none"/>
          <w14:textFill>
            <w14:solidFill>
              <w14:schemeClr w14:val="tx1"/>
            </w14:solidFill>
          </w14:textFill>
        </w:rPr>
        <w:t>20</w:t>
      </w:r>
      <w:r>
        <w:rPr>
          <w:rFonts w:hint="eastAsia" w:ascii="仿宋" w:hAnsi="仿宋" w:eastAsia="仿宋" w:cs="仿宋"/>
          <w:color w:val="000000" w:themeColor="text1"/>
          <w:sz w:val="28"/>
          <w:szCs w:val="28"/>
          <w:highlight w:val="none"/>
          <w:lang w:val="en-US" w:eastAsia="zh-CN"/>
          <w14:textFill>
            <w14:solidFill>
              <w14:schemeClr w14:val="tx1"/>
            </w14:solidFill>
          </w14:textFill>
        </w:rPr>
        <w:t>24</w:t>
      </w:r>
      <w:r>
        <w:rPr>
          <w:rFonts w:hint="eastAsia" w:ascii="仿宋" w:hAnsi="仿宋" w:eastAsia="仿宋" w:cs="仿宋"/>
          <w:color w:val="000000" w:themeColor="text1"/>
          <w:sz w:val="28"/>
          <w:szCs w:val="28"/>
          <w:highlight w:val="none"/>
          <w14:textFill>
            <w14:solidFill>
              <w14:schemeClr w14:val="tx1"/>
            </w14:solidFill>
          </w14:textFill>
        </w:rPr>
        <w:t>年</w:t>
      </w: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sz w:val="28"/>
          <w:szCs w:val="28"/>
          <w:highlight w:val="none"/>
          <w14:textFill>
            <w14:solidFill>
              <w14:schemeClr w14:val="tx1"/>
            </w14:solidFill>
          </w14:textFill>
        </w:rPr>
        <w:t>月</w:t>
      </w:r>
      <w:r>
        <w:rPr>
          <w:rFonts w:hint="eastAsia" w:ascii="仿宋" w:hAnsi="仿宋" w:eastAsia="仿宋" w:cs="仿宋"/>
          <w:color w:val="000000" w:themeColor="text1"/>
          <w:sz w:val="28"/>
          <w:szCs w:val="28"/>
          <w:highlight w:val="non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14:textFill>
            <w14:solidFill>
              <w14:schemeClr w14:val="tx1"/>
            </w14:solidFill>
          </w14:textFill>
        </w:rPr>
        <w:t>日</w:t>
      </w:r>
      <w:r>
        <w:rPr>
          <w:rFonts w:hint="eastAsia" w:ascii="仿宋" w:hAnsi="仿宋" w:eastAsia="仿宋" w:cs="仿宋"/>
          <w:color w:val="000000" w:themeColor="text1"/>
          <w:sz w:val="28"/>
          <w:szCs w:val="28"/>
          <w:highlight w:val="none"/>
          <w:lang w:val="en-US" w:eastAsia="zh-CN"/>
          <w14:textFill>
            <w14:solidFill>
              <w14:schemeClr w14:val="tx1"/>
            </w14:solidFill>
          </w14:textFill>
        </w:rPr>
        <w:t>11</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0</w:t>
      </w:r>
      <w:r>
        <w:rPr>
          <w:rFonts w:hint="eastAsia" w:ascii="仿宋" w:hAnsi="仿宋" w:eastAsia="仿宋" w:cs="仿宋"/>
          <w:color w:val="000000" w:themeColor="text1"/>
          <w:sz w:val="28"/>
          <w:szCs w:val="28"/>
          <w:highlight w:val="none"/>
          <w14:textFill>
            <w14:solidFill>
              <w14:schemeClr w14:val="tx1"/>
            </w14:solidFill>
          </w14:textFill>
        </w:rPr>
        <w:t>0（北京时间）</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eastAsia="zh-CN"/>
        </w:rPr>
        <w:t>开标</w:t>
      </w:r>
      <w:r>
        <w:rPr>
          <w:rFonts w:hint="eastAsia" w:ascii="仿宋" w:hAnsi="仿宋" w:eastAsia="仿宋" w:cs="仿宋"/>
          <w:b w:val="0"/>
          <w:bCs w:val="0"/>
          <w:sz w:val="28"/>
          <w:szCs w:val="28"/>
        </w:rPr>
        <w:t>地点：</w:t>
      </w:r>
      <w:bookmarkStart w:id="24" w:name="_Toc35393794"/>
      <w:bookmarkStart w:id="25" w:name="_Toc28359007"/>
      <w:bookmarkStart w:id="26" w:name="_Toc35393625"/>
      <w:bookmarkStart w:id="27" w:name="_Toc28359084"/>
      <w:r>
        <w:rPr>
          <w:rFonts w:hint="eastAsia" w:ascii="仿宋" w:hAnsi="仿宋" w:eastAsia="仿宋" w:cs="仿宋"/>
          <w:i w:val="0"/>
          <w:caps w:val="0"/>
          <w:color w:val="000000"/>
          <w:spacing w:val="0"/>
          <w:sz w:val="27"/>
          <w:szCs w:val="27"/>
        </w:rPr>
        <w:t>政采云投标客户端投标</w:t>
      </w:r>
    </w:p>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b/>
          <w:bCs/>
          <w:sz w:val="28"/>
          <w:szCs w:val="28"/>
        </w:rPr>
      </w:pPr>
      <w:r>
        <w:rPr>
          <w:rFonts w:hint="eastAsia" w:ascii="仿宋" w:hAnsi="仿宋" w:eastAsia="仿宋" w:cs="仿宋"/>
          <w:b/>
          <w:bCs/>
          <w:sz w:val="28"/>
          <w:szCs w:val="28"/>
        </w:rPr>
        <w:t>五、公告期限</w:t>
      </w:r>
      <w:bookmarkEnd w:id="24"/>
      <w:bookmarkEnd w:id="25"/>
      <w:bookmarkEnd w:id="26"/>
      <w:bookmarkEnd w:id="27"/>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自本公告发布之日起</w:t>
      </w:r>
      <w:r>
        <w:rPr>
          <w:rFonts w:hint="eastAsia" w:ascii="仿宋" w:hAnsi="仿宋" w:eastAsia="仿宋" w:cs="仿宋"/>
          <w:sz w:val="28"/>
          <w:szCs w:val="28"/>
          <w:lang w:val="en-US" w:eastAsia="zh-CN"/>
        </w:rPr>
        <w:t>5</w:t>
      </w:r>
      <w:r>
        <w:rPr>
          <w:rFonts w:hint="eastAsia" w:ascii="仿宋" w:hAnsi="仿宋" w:eastAsia="仿宋" w:cs="仿宋"/>
          <w:sz w:val="28"/>
          <w:szCs w:val="28"/>
        </w:rPr>
        <w:t>个工作日</w:t>
      </w:r>
    </w:p>
    <w:p>
      <w:pPr>
        <w:keepNext w:val="0"/>
        <w:keepLines w:val="0"/>
        <w:pageBreakBefore w:val="0"/>
        <w:numPr>
          <w:ilvl w:val="0"/>
          <w:numId w:val="1"/>
        </w:numPr>
        <w:kinsoku/>
        <w:wordWrap/>
        <w:overflowPunct/>
        <w:topLinePunct w:val="0"/>
        <w:autoSpaceDE/>
        <w:autoSpaceDN/>
        <w:bidi w:val="0"/>
        <w:adjustRightInd/>
        <w:snapToGrid/>
        <w:spacing w:line="500" w:lineRule="exact"/>
        <w:textAlignment w:val="auto"/>
        <w:rPr>
          <w:rFonts w:ascii="仿宋" w:hAnsi="仿宋" w:eastAsia="仿宋" w:cs="仿宋"/>
          <w:sz w:val="28"/>
          <w:szCs w:val="28"/>
        </w:rPr>
      </w:pPr>
      <w:bookmarkStart w:id="28" w:name="_Toc35393796"/>
      <w:bookmarkStart w:id="29" w:name="_Toc28359008"/>
      <w:bookmarkStart w:id="30" w:name="_Toc35393627"/>
      <w:bookmarkStart w:id="31" w:name="_Toc28359085"/>
      <w:r>
        <w:rPr>
          <w:rFonts w:hint="eastAsia" w:ascii="仿宋" w:hAnsi="仿宋" w:eastAsia="仿宋" w:cs="仿宋"/>
          <w:b/>
          <w:bCs/>
          <w:sz w:val="28"/>
          <w:szCs w:val="28"/>
        </w:rPr>
        <w:t>其他补充事宜</w:t>
      </w:r>
      <w:r>
        <w:rPr>
          <w:rFonts w:ascii="仿宋" w:hAnsi="仿宋" w:eastAsia="仿宋" w:cs="仿宋"/>
          <w:sz w:val="28"/>
          <w:szCs w:val="28"/>
        </w:rPr>
        <w:t xml:space="preserve"> </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本项目公告</w:t>
      </w:r>
      <w:r>
        <w:rPr>
          <w:rFonts w:hint="eastAsia" w:ascii="仿宋" w:hAnsi="仿宋" w:eastAsia="仿宋" w:cs="仿宋"/>
          <w:color w:val="auto"/>
          <w:sz w:val="28"/>
          <w:szCs w:val="28"/>
          <w:highlight w:val="none"/>
        </w:rPr>
        <w:t>期限为</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个工作日，</w:t>
      </w:r>
      <w:r>
        <w:rPr>
          <w:rFonts w:hint="eastAsia" w:ascii="仿宋" w:hAnsi="仿宋" w:eastAsia="仿宋" w:cs="仿宋"/>
          <w:color w:val="auto"/>
          <w:sz w:val="28"/>
          <w:szCs w:val="28"/>
        </w:rPr>
        <w:t>供应商认为</w:t>
      </w:r>
      <w:r>
        <w:rPr>
          <w:rFonts w:hint="eastAsia" w:ascii="仿宋" w:hAnsi="仿宋" w:eastAsia="仿宋" w:cs="仿宋"/>
          <w:color w:val="auto"/>
          <w:sz w:val="28"/>
          <w:szCs w:val="28"/>
          <w:lang w:eastAsia="zh-CN"/>
        </w:rPr>
        <w:t>竞争性磋商</w:t>
      </w:r>
      <w:r>
        <w:rPr>
          <w:rFonts w:hint="eastAsia" w:ascii="仿宋" w:hAnsi="仿宋" w:eastAsia="仿宋" w:cs="仿宋"/>
          <w:color w:val="auto"/>
          <w:sz w:val="28"/>
          <w:szCs w:val="28"/>
        </w:rPr>
        <w:t>文件文件使自己的权益受到损害的，可以自收到</w:t>
      </w:r>
      <w:r>
        <w:rPr>
          <w:rFonts w:hint="eastAsia" w:ascii="仿宋" w:hAnsi="仿宋" w:eastAsia="仿宋" w:cs="仿宋"/>
          <w:color w:val="auto"/>
          <w:sz w:val="28"/>
          <w:szCs w:val="28"/>
          <w:lang w:eastAsia="zh-CN"/>
        </w:rPr>
        <w:t>竞争性磋商</w:t>
      </w:r>
      <w:r>
        <w:rPr>
          <w:rFonts w:hint="eastAsia" w:ascii="仿宋" w:hAnsi="仿宋" w:eastAsia="仿宋" w:cs="仿宋"/>
          <w:color w:val="auto"/>
          <w:sz w:val="28"/>
          <w:szCs w:val="28"/>
        </w:rPr>
        <w:t>文件文件之日（发售截止日之后收到招标文件的，以发售截止日为准）或者</w:t>
      </w:r>
      <w:r>
        <w:rPr>
          <w:rFonts w:hint="eastAsia" w:ascii="仿宋" w:hAnsi="仿宋" w:eastAsia="仿宋" w:cs="仿宋"/>
          <w:color w:val="auto"/>
          <w:sz w:val="28"/>
          <w:szCs w:val="28"/>
          <w:lang w:eastAsia="zh-CN"/>
        </w:rPr>
        <w:t>竞争性磋商</w:t>
      </w:r>
      <w:r>
        <w:rPr>
          <w:rFonts w:hint="eastAsia" w:ascii="仿宋" w:hAnsi="仿宋" w:eastAsia="仿宋" w:cs="仿宋"/>
          <w:color w:val="auto"/>
          <w:sz w:val="28"/>
          <w:szCs w:val="28"/>
        </w:rPr>
        <w:t>文件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15个工作日内向同级政府采购监督管理部门投诉。</w:t>
      </w:r>
    </w:p>
    <w:p>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textAlignment w:val="auto"/>
        <w:rPr>
          <w:rFonts w:hint="eastAsia"/>
        </w:rPr>
      </w:pPr>
      <w:r>
        <w:rPr>
          <w:rFonts w:hint="eastAsia" w:ascii="仿宋" w:hAnsi="仿宋" w:eastAsia="仿宋" w:cs="仿宋"/>
          <w:color w:val="auto"/>
          <w:kern w:val="2"/>
          <w:sz w:val="28"/>
          <w:szCs w:val="28"/>
          <w:lang w:val="en-US" w:eastAsia="zh-CN" w:bidi="ar-SA"/>
        </w:rPr>
        <w:t>2、本项目采用全流程不见面电子开评标，供应商需要使用CA加密设备，供应商可通过新疆数字证书认证中心官网（https://www.xjca.com.cn/）或下载“新疆政务通”APP自行进行申领。</w:t>
      </w:r>
      <w:r>
        <w:rPr>
          <w:rFonts w:hint="eastAsia" w:ascii="仿宋" w:hAnsi="仿宋" w:eastAsia="仿宋" w:cs="仿宋"/>
          <w:color w:val="auto"/>
          <w:kern w:val="2"/>
          <w:sz w:val="28"/>
          <w:szCs w:val="28"/>
          <w:lang w:val="en-US" w:eastAsia="zh-CN" w:bidi="ar-SA"/>
        </w:rPr>
        <w:br w:type="textWrapping"/>
      </w:r>
      <w:r>
        <w:rPr>
          <w:rFonts w:hint="eastAsia" w:ascii="仿宋" w:hAnsi="仿宋" w:eastAsia="仿宋" w:cs="仿宋"/>
          <w:color w:val="auto"/>
          <w:kern w:val="2"/>
          <w:sz w:val="28"/>
          <w:szCs w:val="28"/>
          <w:lang w:val="en-US" w:eastAsia="zh-CN" w:bidi="ar-SA"/>
        </w:rPr>
        <w:t xml:space="preserve">   3、本项目实行网上投标，采用加密电子投标响应文件(供应商须使用CA加密设备通过政采云电子投标客户端制作投标响应文件)。若供应商参与投标，自行承担投标一切费用。</w:t>
      </w:r>
      <w:r>
        <w:rPr>
          <w:rFonts w:hint="eastAsia" w:ascii="仿宋" w:hAnsi="仿宋" w:eastAsia="仿宋" w:cs="仿宋"/>
          <w:color w:val="auto"/>
          <w:kern w:val="2"/>
          <w:sz w:val="28"/>
          <w:szCs w:val="28"/>
          <w:lang w:val="en-US" w:eastAsia="zh-CN" w:bidi="ar-SA"/>
        </w:rPr>
        <w:br w:type="textWrapping"/>
      </w:r>
      <w:r>
        <w:rPr>
          <w:rFonts w:hint="eastAsia" w:ascii="仿宋" w:hAnsi="仿宋" w:eastAsia="仿宋" w:cs="仿宋"/>
          <w:color w:val="auto"/>
          <w:kern w:val="2"/>
          <w:sz w:val="28"/>
          <w:szCs w:val="28"/>
          <w:lang w:val="en-US" w:eastAsia="zh-CN" w:bidi="ar-SA"/>
        </w:rPr>
        <w:t xml:space="preserve">   4、各投标人在开标前应确保成为新疆政府采购网正式注册入库供应商，并完成CA数字证书申领。因未注册入库、未办理CA数字证书等原因造成无法投标或投标失败等后果由供应商自行承担。</w:t>
      </w:r>
      <w:r>
        <w:rPr>
          <w:rFonts w:hint="eastAsia" w:ascii="仿宋" w:hAnsi="仿宋" w:eastAsia="仿宋" w:cs="仿宋"/>
          <w:color w:val="auto"/>
          <w:kern w:val="2"/>
          <w:sz w:val="28"/>
          <w:szCs w:val="28"/>
          <w:lang w:val="en-US" w:eastAsia="zh-CN" w:bidi="ar-SA"/>
        </w:rPr>
        <w:br w:type="textWrapping"/>
      </w:r>
      <w:r>
        <w:rPr>
          <w:rFonts w:hint="eastAsia" w:ascii="仿宋" w:hAnsi="仿宋" w:eastAsia="仿宋" w:cs="仿宋"/>
          <w:color w:val="auto"/>
          <w:kern w:val="2"/>
          <w:sz w:val="28"/>
          <w:szCs w:val="28"/>
          <w:lang w:val="en-US" w:eastAsia="zh-CN" w:bidi="ar-SA"/>
        </w:rPr>
        <w:t xml:space="preserve">   5、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r>
        <w:rPr>
          <w:rFonts w:hint="eastAsia" w:ascii="仿宋" w:hAnsi="仿宋" w:eastAsia="仿宋" w:cs="仿宋"/>
          <w:color w:val="auto"/>
          <w:kern w:val="2"/>
          <w:sz w:val="28"/>
          <w:szCs w:val="28"/>
          <w:lang w:val="en-US" w:eastAsia="zh-CN" w:bidi="ar-SA"/>
        </w:rPr>
        <w:br w:type="textWrapping"/>
      </w:r>
      <w:r>
        <w:rPr>
          <w:rFonts w:hint="eastAsia" w:ascii="仿宋" w:hAnsi="仿宋" w:eastAsia="仿宋" w:cs="仿宋"/>
          <w:color w:val="auto"/>
          <w:kern w:val="2"/>
          <w:sz w:val="28"/>
          <w:szCs w:val="28"/>
          <w:lang w:val="en-US" w:eastAsia="zh-CN" w:bidi="ar-SA"/>
        </w:rPr>
        <w:t xml:space="preserve">   6、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r>
        <w:rPr>
          <w:rFonts w:hint="eastAsia" w:ascii="仿宋" w:hAnsi="仿宋" w:eastAsia="仿宋" w:cs="仿宋"/>
          <w:color w:val="auto"/>
          <w:kern w:val="2"/>
          <w:sz w:val="28"/>
          <w:szCs w:val="28"/>
          <w:lang w:val="en-US" w:eastAsia="zh-CN" w:bidi="ar-SA"/>
        </w:rPr>
        <w:br w:type="textWrapping"/>
      </w:r>
      <w:r>
        <w:rPr>
          <w:rFonts w:hint="eastAsia" w:ascii="仿宋" w:hAnsi="仿宋" w:eastAsia="仿宋" w:cs="仿宋"/>
          <w:color w:val="auto"/>
          <w:kern w:val="2"/>
          <w:sz w:val="28"/>
          <w:szCs w:val="28"/>
          <w:lang w:val="en-US" w:eastAsia="zh-CN" w:bidi="ar-SA"/>
        </w:rPr>
        <w:t xml:space="preserve">   7、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r>
        <w:rPr>
          <w:rFonts w:hint="eastAsia" w:ascii="仿宋" w:hAnsi="仿宋" w:eastAsia="仿宋" w:cs="仿宋"/>
          <w:color w:val="auto"/>
          <w:kern w:val="2"/>
          <w:sz w:val="28"/>
          <w:szCs w:val="28"/>
          <w:lang w:val="en-US" w:eastAsia="zh-CN" w:bidi="ar-SA"/>
        </w:rPr>
        <w:br w:type="textWrapping"/>
      </w:r>
      <w:r>
        <w:rPr>
          <w:rFonts w:hint="eastAsia" w:ascii="仿宋" w:hAnsi="仿宋" w:eastAsia="仿宋" w:cs="仿宋"/>
          <w:color w:val="auto"/>
          <w:kern w:val="2"/>
          <w:sz w:val="28"/>
          <w:szCs w:val="28"/>
          <w:lang w:val="en-US" w:eastAsia="zh-CN" w:bidi="ar-SA"/>
        </w:rPr>
        <w:t xml:space="preserve">  8、请投标单位随时关注本项目的澄清、答疑、变更事项</w:t>
      </w:r>
      <w:r>
        <w:rPr>
          <w:rFonts w:hint="eastAsia" w:ascii="仿宋" w:hAnsi="仿宋" w:eastAsia="仿宋" w:cs="仿宋"/>
          <w:i w:val="0"/>
          <w:caps w:val="0"/>
          <w:color w:val="000000"/>
          <w:spacing w:val="0"/>
          <w:sz w:val="27"/>
          <w:szCs w:val="27"/>
        </w:rPr>
        <w:t>。</w:t>
      </w:r>
    </w:p>
    <w:p>
      <w:pPr>
        <w:keepNext w:val="0"/>
        <w:keepLines w:val="0"/>
        <w:pageBreakBefore w:val="0"/>
        <w:numPr>
          <w:ilvl w:val="0"/>
          <w:numId w:val="0"/>
        </w:numPr>
        <w:kinsoku/>
        <w:wordWrap/>
        <w:overflowPunct/>
        <w:topLinePunct w:val="0"/>
        <w:autoSpaceDE/>
        <w:autoSpaceDN/>
        <w:bidi w:val="0"/>
        <w:adjustRightInd/>
        <w:snapToGrid/>
        <w:spacing w:line="518" w:lineRule="exact"/>
        <w:textAlignment w:val="auto"/>
        <w:rPr>
          <w:rFonts w:ascii="仿宋" w:hAnsi="仿宋" w:eastAsia="仿宋" w:cs="仿宋"/>
          <w:sz w:val="28"/>
          <w:szCs w:val="28"/>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对本次招标提出询问，请按以下方式联系</w:t>
      </w:r>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rPr>
      </w:pPr>
      <w:bookmarkStart w:id="32" w:name="_Toc28359086"/>
      <w:bookmarkStart w:id="33" w:name="_Toc28359009"/>
      <w:r>
        <w:rPr>
          <w:rFonts w:hint="eastAsia" w:ascii="仿宋" w:hAnsi="仿宋" w:eastAsia="仿宋" w:cs="仿宋"/>
          <w:b/>
          <w:bCs/>
          <w:sz w:val="28"/>
          <w:szCs w:val="28"/>
        </w:rPr>
        <w:t>1、采购人信息</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名  称：</w:t>
      </w:r>
      <w:r>
        <w:rPr>
          <w:rFonts w:hint="eastAsia" w:ascii="仿宋" w:hAnsi="仿宋" w:eastAsia="仿宋" w:cs="仿宋"/>
          <w:sz w:val="28"/>
          <w:szCs w:val="28"/>
          <w:lang w:val="en-US" w:eastAsia="zh-CN"/>
        </w:rPr>
        <w:t>鄯善县吐峪沟乡人民政府</w:t>
      </w:r>
    </w:p>
    <w:p>
      <w:pPr>
        <w:pageBreakBefore w:val="0"/>
        <w:kinsoku/>
        <w:wordWrap/>
        <w:overflowPunct/>
        <w:topLinePunct w:val="0"/>
        <w:bidi w:val="0"/>
        <w:snapToGrid/>
        <w:spacing w:line="4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地  址：</w:t>
      </w:r>
      <w:r>
        <w:rPr>
          <w:rFonts w:hint="eastAsia" w:ascii="仿宋" w:hAnsi="仿宋" w:eastAsia="仿宋" w:cs="仿宋"/>
          <w:sz w:val="28"/>
          <w:szCs w:val="28"/>
          <w:lang w:val="en-US" w:eastAsia="zh-CN"/>
        </w:rPr>
        <w:t>鄯善县吐峪沟乡</w:t>
      </w:r>
    </w:p>
    <w:p>
      <w:pPr>
        <w:pageBreakBefore w:val="0"/>
        <w:kinsoku/>
        <w:wordWrap/>
        <w:overflowPunct/>
        <w:topLinePunct w:val="0"/>
        <w:bidi w:val="0"/>
        <w:snapToGrid/>
        <w:spacing w:line="4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sz w:val="28"/>
          <w:szCs w:val="28"/>
          <w:lang w:val="en-US" w:eastAsia="zh-CN"/>
        </w:rPr>
        <w:t>15509956321</w:t>
      </w:r>
    </w:p>
    <w:p>
      <w:pPr>
        <w:pageBreakBefore w:val="0"/>
        <w:kinsoku/>
        <w:wordWrap/>
        <w:overflowPunct/>
        <w:topLinePunct w:val="0"/>
        <w:bidi w:val="0"/>
        <w:snapToGrid/>
        <w:spacing w:line="400" w:lineRule="exact"/>
        <w:ind w:firstLine="562" w:firstLineChars="200"/>
        <w:textAlignment w:val="auto"/>
        <w:rPr>
          <w:rFonts w:ascii="仿宋" w:hAnsi="仿宋" w:eastAsia="仿宋" w:cs="仿宋"/>
          <w:b/>
          <w:bCs/>
          <w:sz w:val="28"/>
          <w:szCs w:val="28"/>
        </w:rPr>
      </w:pPr>
      <w:r>
        <w:rPr>
          <w:rFonts w:ascii="仿宋" w:hAnsi="仿宋" w:eastAsia="仿宋" w:cs="仿宋"/>
          <w:b/>
          <w:bCs/>
          <w:sz w:val="28"/>
          <w:szCs w:val="28"/>
        </w:rPr>
        <w:t>2</w:t>
      </w:r>
      <w:r>
        <w:rPr>
          <w:rFonts w:hint="eastAsia" w:ascii="仿宋" w:hAnsi="仿宋" w:eastAsia="仿宋" w:cs="仿宋"/>
          <w:b/>
          <w:bCs/>
          <w:sz w:val="28"/>
          <w:szCs w:val="28"/>
        </w:rPr>
        <w:t>、采购代理机构信息</w:t>
      </w:r>
      <w:bookmarkEnd w:id="32"/>
      <w:bookmarkEnd w:id="33"/>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名  称：新疆德宏招标代理有限公司 </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地　址：吐鲁番市高昌区青年路670号 </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唐婷</w:t>
      </w:r>
    </w:p>
    <w:p>
      <w:pPr>
        <w:pageBreakBefore w:val="0"/>
        <w:kinsoku/>
        <w:wordWrap/>
        <w:overflowPunct/>
        <w:topLinePunct w:val="0"/>
        <w:bidi w:val="0"/>
        <w:snapToGrid/>
        <w:spacing w:line="400" w:lineRule="exact"/>
        <w:ind w:firstLine="560" w:firstLineChars="200"/>
        <w:textAlignment w:val="auto"/>
        <w:rPr>
          <w:rFonts w:hint="default" w:eastAsia="仿宋"/>
          <w:sz w:val="28"/>
          <w:lang w:val="en-US" w:eastAsia="zh-CN"/>
        </w:rPr>
      </w:pPr>
      <w:r>
        <w:rPr>
          <w:rFonts w:hint="eastAsia" w:ascii="仿宋" w:hAnsi="仿宋" w:eastAsia="仿宋" w:cs="仿宋"/>
          <w:sz w:val="28"/>
          <w:szCs w:val="28"/>
        </w:rPr>
        <w:t>联系方式：</w:t>
      </w:r>
      <w:r>
        <w:rPr>
          <w:rFonts w:hint="eastAsia" w:ascii="仿宋" w:hAnsi="仿宋" w:eastAsia="仿宋" w:cs="仿宋"/>
          <w:sz w:val="28"/>
          <w:szCs w:val="28"/>
          <w:lang w:val="en-US" w:eastAsia="zh-CN"/>
        </w:rPr>
        <w:t>15026261454</w:t>
      </w:r>
    </w:p>
    <w:p>
      <w:pPr>
        <w:pageBreakBefore w:val="0"/>
        <w:kinsoku/>
        <w:wordWrap/>
        <w:overflowPunct/>
        <w:topLinePunct w:val="0"/>
        <w:bidi w:val="0"/>
        <w:snapToGrid/>
        <w:spacing w:line="400" w:lineRule="exact"/>
        <w:textAlignment w:val="auto"/>
        <w:rPr>
          <w:sz w:val="28"/>
        </w:rPr>
      </w:pPr>
    </w:p>
    <w:p>
      <w:pPr>
        <w:bidi w:val="0"/>
        <w:rPr>
          <w:rFonts w:ascii="Times New Roman" w:hAnsi="Times New Roman" w:eastAsia="宋体" w:cs="Times New Roman"/>
          <w:kern w:val="2"/>
          <w:sz w:val="21"/>
          <w:szCs w:val="21"/>
          <w:lang w:val="en-US" w:eastAsia="zh-CN" w:bidi="ar-SA"/>
        </w:rPr>
      </w:pPr>
    </w:p>
    <w:p>
      <w:pPr>
        <w:pStyle w:val="18"/>
        <w:rPr>
          <w:rFonts w:hint="eastAsia" w:ascii="微软雅黑" w:hAnsi="微软雅黑" w:eastAsia="微软雅黑" w:cs="微软雅黑"/>
          <w:b/>
          <w:bCs/>
          <w:color w:val="auto"/>
          <w:sz w:val="32"/>
          <w:szCs w:val="32"/>
          <w:highlight w:val="none"/>
          <w:lang w:val="en-US" w:eastAsia="zh-CN"/>
        </w:rPr>
      </w:pPr>
    </w:p>
    <w:p>
      <w:pPr>
        <w:pStyle w:val="18"/>
        <w:rPr>
          <w:rFonts w:hint="eastAsia" w:ascii="微软雅黑" w:hAnsi="微软雅黑" w:eastAsia="微软雅黑" w:cs="微软雅黑"/>
          <w:b/>
          <w:bCs/>
          <w:color w:val="auto"/>
          <w:sz w:val="32"/>
          <w:szCs w:val="32"/>
          <w:highlight w:val="none"/>
          <w:lang w:val="en-US" w:eastAsia="zh-CN"/>
        </w:rPr>
      </w:pPr>
    </w:p>
    <w:p>
      <w:pPr>
        <w:pStyle w:val="18"/>
        <w:rPr>
          <w:rFonts w:hint="eastAsia" w:ascii="微软雅黑" w:hAnsi="微软雅黑" w:eastAsia="微软雅黑" w:cs="微软雅黑"/>
          <w:b/>
          <w:bCs/>
          <w:color w:val="auto"/>
          <w:sz w:val="32"/>
          <w:szCs w:val="32"/>
          <w:highlight w:val="none"/>
          <w:lang w:val="en-US" w:eastAsia="zh-CN"/>
        </w:rPr>
      </w:pPr>
    </w:p>
    <w:p>
      <w:pPr>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宋体" w:hAnsi="宋体" w:eastAsia="宋体" w:cs="宋体"/>
          <w:color w:val="auto"/>
          <w:sz w:val="24"/>
          <w:szCs w:val="24"/>
          <w:highlight w:val="none"/>
        </w:rPr>
      </w:pPr>
      <w:r>
        <w:rPr>
          <w:rFonts w:hint="eastAsia" w:ascii="微软雅黑" w:hAnsi="微软雅黑" w:eastAsia="微软雅黑" w:cs="微软雅黑"/>
          <w:b/>
          <w:bCs/>
          <w:color w:val="auto"/>
          <w:sz w:val="32"/>
          <w:szCs w:val="32"/>
          <w:highlight w:val="none"/>
        </w:rPr>
        <w:t>第二部分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磋商须知</w:t>
      </w:r>
      <w:bookmarkEnd w:id="0"/>
    </w:p>
    <w:p>
      <w:pPr>
        <w:keepNext w:val="0"/>
        <w:keepLines w:val="0"/>
        <w:pageBreakBefore w:val="0"/>
        <w:widowControl w:val="0"/>
        <w:numPr>
          <w:ilvl w:val="0"/>
          <w:numId w:val="2"/>
        </w:numPr>
        <w:kinsoku/>
        <w:wordWrap/>
        <w:overflowPunct/>
        <w:topLinePunct w:val="0"/>
        <w:autoSpaceDE w:val="0"/>
        <w:autoSpaceDN w:val="0"/>
        <w:bidi w:val="0"/>
        <w:adjustRightInd/>
        <w:snapToGrid/>
        <w:spacing w:line="440" w:lineRule="exact"/>
        <w:ind w:left="2660" w:leftChars="0" w:firstLine="640" w:firstLineChars="0"/>
        <w:jc w:val="left"/>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磋商须知前附表 </w:t>
      </w:r>
    </w:p>
    <w:tbl>
      <w:tblPr>
        <w:tblStyle w:val="19"/>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2470"/>
        <w:gridCol w:w="5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168" w:type="dxa"/>
            <w:noWrap w:val="0"/>
            <w:vAlign w:val="center"/>
          </w:tcPr>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条款号</w:t>
            </w:r>
          </w:p>
        </w:tc>
        <w:tc>
          <w:tcPr>
            <w:tcW w:w="2470" w:type="dxa"/>
            <w:noWrap w:val="0"/>
            <w:vAlign w:val="center"/>
          </w:tcPr>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条 款 名 称</w:t>
            </w:r>
          </w:p>
        </w:tc>
        <w:tc>
          <w:tcPr>
            <w:tcW w:w="5426" w:type="dxa"/>
            <w:noWrap w:val="0"/>
            <w:vAlign w:val="center"/>
          </w:tcPr>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168"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w:t>
            </w:r>
          </w:p>
        </w:tc>
        <w:tc>
          <w:tcPr>
            <w:tcW w:w="2470"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项目名称</w:t>
            </w:r>
          </w:p>
        </w:tc>
        <w:tc>
          <w:tcPr>
            <w:tcW w:w="5426" w:type="dxa"/>
            <w:noWrap w:val="0"/>
            <w:vAlign w:val="center"/>
          </w:tcPr>
          <w:p>
            <w:pPr>
              <w:pStyle w:val="28"/>
              <w:widowControl/>
              <w:spacing w:line="334" w:lineRule="exact"/>
              <w:rPr>
                <w:rFonts w:hint="default" w:ascii="宋体" w:hAnsi="宋体" w:eastAsia="宋体" w:cs="宋体"/>
                <w:color w:val="auto"/>
                <w:kern w:val="0"/>
                <w:sz w:val="22"/>
                <w:szCs w:val="22"/>
                <w:highlight w:val="none"/>
                <w:lang w:val="en-US" w:eastAsia="zh-CN"/>
              </w:rPr>
            </w:pPr>
            <w:bookmarkStart w:id="34" w:name="EBab956008dbe54ba7a71901d90aab5e33"/>
            <w:bookmarkEnd w:id="34"/>
            <w:r>
              <w:rPr>
                <w:rFonts w:hint="eastAsia" w:ascii="宋体" w:hAnsi="宋体" w:eastAsia="宋体" w:cs="宋体"/>
                <w:color w:val="auto"/>
                <w:kern w:val="0"/>
                <w:sz w:val="22"/>
                <w:szCs w:val="22"/>
                <w:highlight w:val="none"/>
                <w:lang w:val="en-US" w:eastAsia="zh-CN"/>
              </w:rPr>
              <w:t>吐鲁番市鄯善县吐峪沟乡克尔火焰山村防渗渠建设项目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168"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质量及验收：</w:t>
            </w:r>
          </w:p>
        </w:tc>
        <w:tc>
          <w:tcPr>
            <w:tcW w:w="5426" w:type="dxa"/>
            <w:noWrap w:val="0"/>
            <w:vAlign w:val="center"/>
          </w:tcPr>
          <w:p>
            <w:pPr>
              <w:pStyle w:val="28"/>
              <w:widowControl/>
              <w:spacing w:line="334" w:lineRule="exac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质量标准：</w:t>
            </w:r>
            <w:bookmarkStart w:id="35" w:name="EB842ea8786d484386adc9fd3f4803a0e9"/>
            <w:bookmarkEnd w:id="35"/>
            <w:r>
              <w:rPr>
                <w:rFonts w:hint="eastAsia" w:ascii="宋体" w:hAnsi="宋体" w:eastAsia="宋体" w:cs="宋体"/>
                <w:color w:val="auto"/>
                <w:kern w:val="0"/>
                <w:sz w:val="22"/>
                <w:szCs w:val="22"/>
                <w:highlight w:val="none"/>
                <w:lang w:val="en-US" w:eastAsia="zh-CN"/>
              </w:rPr>
              <w:t>合格</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按照国家相关规定及合同约定进行验收。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168"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信誉要求（不良行为记录）</w:t>
            </w:r>
          </w:p>
        </w:tc>
        <w:tc>
          <w:tcPr>
            <w:tcW w:w="5426" w:type="dxa"/>
            <w:noWrap w:val="0"/>
            <w:vAlign w:val="center"/>
          </w:tcPr>
          <w:p>
            <w:pPr>
              <w:pStyle w:val="28"/>
              <w:widowControl/>
              <w:spacing w:line="334" w:lineRule="exact"/>
              <w:rPr>
                <w:rFonts w:hint="eastAsia" w:ascii="宋体" w:hAnsi="宋体" w:eastAsia="宋体" w:cs="宋体"/>
                <w:color w:val="auto"/>
                <w:kern w:val="0"/>
                <w:sz w:val="22"/>
                <w:szCs w:val="22"/>
                <w:highlight w:val="none"/>
                <w:lang w:val="en-US" w:eastAsia="zh-CN"/>
              </w:rPr>
            </w:pPr>
            <w:bookmarkStart w:id="36" w:name="EB797d1b4079594a778b9f2da7a47c4236"/>
            <w:bookmarkEnd w:id="36"/>
            <w:r>
              <w:rPr>
                <w:rFonts w:hint="eastAsia" w:ascii="宋体" w:hAnsi="宋体" w:eastAsia="宋体" w:cs="宋体"/>
                <w:color w:val="auto"/>
                <w:kern w:val="0"/>
                <w:sz w:val="22"/>
                <w:szCs w:val="22"/>
                <w:highlight w:val="none"/>
                <w:lang w:val="en-US" w:eastAsia="zh-CN"/>
              </w:rPr>
              <w:t xml:space="preserve">投标人未被“信用中国(www.creditchina.gov.cn)”网站列入“失信被执行人、重大税收违法失信主体”；未被“中国政府采购网(www.ccgp.gov.cn)”列入“政府采购严重违法失信行为信息记录名单”（尚在处罚期内的），将拒绝其参加本次采购活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168"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踏勘现场</w:t>
            </w:r>
          </w:p>
        </w:tc>
        <w:tc>
          <w:tcPr>
            <w:tcW w:w="5426" w:type="dxa"/>
            <w:noWrap w:val="0"/>
            <w:vAlign w:val="center"/>
          </w:tcPr>
          <w:p>
            <w:pPr>
              <w:pStyle w:val="28"/>
              <w:widowControl/>
              <w:spacing w:line="334" w:lineRule="exact"/>
              <w:rPr>
                <w:rFonts w:hint="eastAsia" w:ascii="宋体" w:hAnsi="宋体" w:eastAsia="宋体" w:cs="宋体"/>
                <w:color w:val="auto"/>
                <w:kern w:val="0"/>
                <w:sz w:val="22"/>
                <w:szCs w:val="22"/>
                <w:highlight w:val="none"/>
                <w:lang w:val="en-US" w:eastAsia="zh-CN"/>
              </w:rPr>
            </w:pPr>
            <w:bookmarkStart w:id="37" w:name="EB711ab04762684375a014a19528cf06dd"/>
            <w:bookmarkEnd w:id="37"/>
            <w:r>
              <w:rPr>
                <w:rFonts w:hint="eastAsia" w:ascii="宋体" w:hAnsi="宋体" w:eastAsia="宋体" w:cs="宋体"/>
                <w:color w:val="auto"/>
                <w:kern w:val="0"/>
                <w:sz w:val="22"/>
                <w:szCs w:val="22"/>
                <w:highlight w:val="none"/>
                <w:lang w:val="en-US" w:eastAsia="zh-CN"/>
              </w:rPr>
              <w:t>☑不组织</w:t>
            </w:r>
          </w:p>
          <w:p>
            <w:pPr>
              <w:pStyle w:val="28"/>
              <w:widowControl/>
              <w:spacing w:line="334" w:lineRule="exact"/>
              <w:rPr>
                <w:rFonts w:hint="eastAsia" w:ascii="宋体" w:hAnsi="宋体" w:eastAsia="宋体" w:cs="宋体"/>
                <w:color w:val="auto"/>
                <w:kern w:val="0"/>
                <w:sz w:val="22"/>
                <w:szCs w:val="22"/>
                <w:highlight w:val="none"/>
                <w:lang w:val="en-US" w:eastAsia="zh-CN"/>
              </w:rPr>
            </w:pPr>
            <w:bookmarkStart w:id="38" w:name="EBafd1a84b6f804a9890ee96b9f6d8258d"/>
            <w:bookmarkEnd w:id="38"/>
            <w:r>
              <w:rPr>
                <w:rFonts w:hint="eastAsia" w:ascii="宋体" w:hAnsi="宋体" w:eastAsia="宋体" w:cs="宋体"/>
                <w:color w:val="auto"/>
                <w:kern w:val="0"/>
                <w:sz w:val="22"/>
                <w:szCs w:val="22"/>
                <w:highlight w:val="none"/>
                <w:lang w:val="en-US" w:eastAsia="zh-CN"/>
              </w:rPr>
              <w:t>□组织，</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踏勘时间：</w:t>
            </w:r>
            <w:bookmarkStart w:id="39" w:name="EB29d5e1ef164c4dffb6d1d51a9bb4054e"/>
            <w:bookmarkEnd w:id="39"/>
            <w:r>
              <w:rPr>
                <w:rFonts w:hint="eastAsia" w:ascii="宋体" w:hAnsi="宋体" w:eastAsia="宋体" w:cs="宋体"/>
                <w:color w:val="auto"/>
                <w:kern w:val="0"/>
                <w:sz w:val="22"/>
                <w:szCs w:val="22"/>
                <w:highlight w:val="none"/>
                <w:lang w:val="en-US" w:eastAsia="zh-CN"/>
              </w:rPr>
              <w:t>/</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踏勘集中地点：</w:t>
            </w:r>
            <w:bookmarkStart w:id="40" w:name="EB7d3ba06a341f4914bebd605d4573d668"/>
            <w:bookmarkEnd w:id="40"/>
            <w:r>
              <w:rPr>
                <w:rFonts w:hint="eastAsia" w:ascii="宋体" w:hAnsi="宋体" w:eastAsia="宋体" w:cs="宋体"/>
                <w:color w:val="auto"/>
                <w:kern w:val="0"/>
                <w:sz w:val="22"/>
                <w:szCs w:val="22"/>
                <w:highlight w:val="none"/>
                <w:lang w:val="en-US" w:eastAsia="zh-CN"/>
              </w:rPr>
              <w:t>/</w:t>
            </w:r>
          </w:p>
          <w:p>
            <w:pPr>
              <w:pStyle w:val="28"/>
              <w:widowControl/>
              <w:spacing w:line="334" w:lineRule="exac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踏勘联系人及方式：/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磋商响应有效期</w:t>
            </w:r>
          </w:p>
        </w:tc>
        <w:tc>
          <w:tcPr>
            <w:tcW w:w="5426" w:type="dxa"/>
            <w:noWrap w:val="0"/>
            <w:vAlign w:val="center"/>
          </w:tcPr>
          <w:p>
            <w:pPr>
              <w:pStyle w:val="28"/>
              <w:widowControl/>
              <w:spacing w:line="334" w:lineRule="exact"/>
              <w:rPr>
                <w:rFonts w:hint="eastAsia" w:ascii="宋体" w:hAnsi="宋体" w:eastAsia="宋体" w:cs="宋体"/>
                <w:color w:val="auto"/>
                <w:kern w:val="0"/>
                <w:sz w:val="22"/>
                <w:szCs w:val="22"/>
                <w:highlight w:val="none"/>
                <w:lang w:val="en-US" w:eastAsia="zh-CN"/>
              </w:rPr>
            </w:pPr>
            <w:bookmarkStart w:id="41" w:name="EBdaf02b35eef04948bb826c544b7758c6"/>
            <w:bookmarkEnd w:id="41"/>
            <w:r>
              <w:rPr>
                <w:rFonts w:hint="eastAsia" w:ascii="宋体" w:hAnsi="宋体" w:eastAsia="宋体" w:cs="宋体"/>
                <w:color w:val="auto"/>
                <w:kern w:val="0"/>
                <w:sz w:val="22"/>
                <w:szCs w:val="22"/>
                <w:highlight w:val="none"/>
                <w:lang w:val="en-US" w:eastAsia="zh-CN"/>
              </w:rPr>
              <w:t xml:space="preserve"> 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评审方法</w:t>
            </w:r>
          </w:p>
        </w:tc>
        <w:tc>
          <w:tcPr>
            <w:tcW w:w="5426" w:type="dxa"/>
            <w:noWrap w:val="0"/>
            <w:vAlign w:val="top"/>
          </w:tcPr>
          <w:p>
            <w:pPr>
              <w:pStyle w:val="28"/>
              <w:widowControl/>
              <w:spacing w:line="334" w:lineRule="exact"/>
              <w:rPr>
                <w:rFonts w:hint="default" w:ascii="宋体" w:hAnsi="宋体" w:eastAsia="宋体" w:cs="宋体"/>
                <w:color w:val="auto"/>
                <w:kern w:val="0"/>
                <w:sz w:val="22"/>
                <w:szCs w:val="22"/>
                <w:highlight w:val="none"/>
                <w:lang w:val="en-US" w:eastAsia="zh-CN"/>
              </w:rPr>
            </w:pPr>
            <w:bookmarkStart w:id="42" w:name="EB93f4d92dc67243458e6fe4614c19bd8f"/>
            <w:bookmarkEnd w:id="42"/>
            <w:bookmarkStart w:id="43" w:name="EB8d5c7d73ca244b28bcae3699d53bc511"/>
            <w:bookmarkEnd w:id="43"/>
            <w:r>
              <w:rPr>
                <w:rFonts w:hint="eastAsia" w:ascii="宋体" w:hAnsi="宋体" w:eastAsia="宋体" w:cs="宋体"/>
                <w:color w:val="auto"/>
                <w:kern w:val="0"/>
                <w:sz w:val="22"/>
                <w:szCs w:val="22"/>
                <w:highlight w:val="none"/>
                <w:lang w:val="en-US" w:eastAsia="zh-CN"/>
              </w:rPr>
              <w:t xml:space="preserve">综合评分法。经磋商确定最终采购需求和提交最后报价的供应商后，由磋商小组采用综合评分法对提交最后报价的供应商的响应文件和最后报价进行综合评分。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zh-CN" w:eastAsia="zh-CN"/>
              </w:rPr>
            </w:pPr>
            <w:r>
              <w:rPr>
                <w:rFonts w:hint="eastAsia" w:ascii="宋体" w:hAnsi="宋体" w:eastAsia="宋体" w:cs="宋体"/>
                <w:color w:val="auto"/>
                <w:kern w:val="0"/>
                <w:sz w:val="22"/>
                <w:szCs w:val="22"/>
                <w:highlight w:val="none"/>
                <w:lang w:val="en-US" w:eastAsia="zh-CN"/>
              </w:rPr>
              <w:t>★报价</w:t>
            </w:r>
          </w:p>
        </w:tc>
        <w:tc>
          <w:tcPr>
            <w:tcW w:w="5426" w:type="dxa"/>
            <w:noWrap w:val="0"/>
            <w:vAlign w:val="top"/>
          </w:tcPr>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本工程的投标报价采用总价方式进行报价。</w:t>
            </w:r>
          </w:p>
          <w:p>
            <w:pPr>
              <w:pStyle w:val="28"/>
              <w:widowControl/>
              <w:spacing w:line="334" w:lineRule="exact"/>
              <w:rPr>
                <w:rFonts w:hint="eastAsia" w:ascii="宋体" w:hAnsi="宋体" w:eastAsia="宋体" w:cs="宋体"/>
                <w:color w:val="auto"/>
                <w:kern w:val="0"/>
                <w:sz w:val="22"/>
                <w:szCs w:val="22"/>
                <w:highlight w:val="none"/>
                <w:lang w:val="zh-CN" w:eastAsia="zh-CN"/>
              </w:rPr>
            </w:pPr>
            <w:r>
              <w:rPr>
                <w:rFonts w:hint="eastAsia" w:ascii="宋体" w:hAnsi="宋体" w:eastAsia="宋体" w:cs="宋体"/>
                <w:color w:val="auto"/>
                <w:kern w:val="0"/>
                <w:sz w:val="22"/>
                <w:szCs w:val="22"/>
                <w:highlight w:val="none"/>
                <w:lang w:val="en-US" w:eastAsia="zh-CN"/>
              </w:rPr>
              <w:t>报价（含首次报价或最后报价）超出本项目采购预算金额的为无效报价，其响应文件将被认定为无效响应。 供应商最后报价下浮金额，视为总价让利（不改变清单投标单价）。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8</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zh-CN" w:eastAsia="zh-CN"/>
              </w:rPr>
            </w:pPr>
            <w:r>
              <w:rPr>
                <w:rFonts w:hint="eastAsia" w:ascii="宋体" w:hAnsi="宋体" w:eastAsia="宋体" w:cs="宋体"/>
                <w:color w:val="auto"/>
                <w:kern w:val="0"/>
                <w:sz w:val="22"/>
                <w:szCs w:val="22"/>
                <w:highlight w:val="none"/>
                <w:lang w:val="en-US" w:eastAsia="zh-CN"/>
              </w:rPr>
              <w:t>磋商保证金</w:t>
            </w:r>
          </w:p>
        </w:tc>
        <w:tc>
          <w:tcPr>
            <w:tcW w:w="5426" w:type="dxa"/>
            <w:noWrap w:val="0"/>
            <w:vAlign w:val="top"/>
          </w:tcPr>
          <w:p>
            <w:pPr>
              <w:pStyle w:val="10"/>
              <w:spacing w:line="460" w:lineRule="exact"/>
              <w:jc w:val="left"/>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投标保证金缴纳方式：政府采购保证金也以支票、汇票、本票或者金融机构、担保机构、电子保函出具的保函等非现金形式提交。</w:t>
            </w:r>
          </w:p>
          <w:p>
            <w:pPr>
              <w:pStyle w:val="10"/>
              <w:spacing w:line="4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w:t>
            </w:r>
            <w:r>
              <w:rPr>
                <w:rFonts w:hint="eastAsia" w:ascii="宋体" w:hAnsi="宋体" w:eastAsia="宋体" w:cs="宋体"/>
                <w:color w:val="auto"/>
                <w:kern w:val="0"/>
                <w:sz w:val="22"/>
                <w:szCs w:val="22"/>
                <w:highlight w:val="none"/>
                <w:lang w:val="zh-CN" w:eastAsia="zh-CN" w:bidi="ar-SA"/>
              </w:rPr>
              <w:t>投</w:t>
            </w:r>
            <w:r>
              <w:rPr>
                <w:rFonts w:hint="eastAsia" w:ascii="宋体" w:hAnsi="宋体" w:eastAsia="宋体" w:cs="宋体"/>
                <w:color w:val="auto"/>
                <w:kern w:val="0"/>
                <w:sz w:val="22"/>
                <w:szCs w:val="22"/>
                <w:highlight w:val="none"/>
                <w:lang w:val="en-US" w:eastAsia="zh-CN" w:bidi="ar-SA"/>
              </w:rPr>
              <w:t>标保证金金额：</w:t>
            </w:r>
            <w:r>
              <w:rPr>
                <w:rFonts w:hint="eastAsia" w:hAnsi="宋体" w:cs="宋体"/>
                <w:color w:val="auto"/>
                <w:kern w:val="0"/>
                <w:sz w:val="22"/>
                <w:szCs w:val="22"/>
                <w:highlight w:val="none"/>
                <w:lang w:val="en-US" w:eastAsia="zh-CN" w:bidi="ar-SA"/>
              </w:rPr>
              <w:t>35000</w:t>
            </w:r>
            <w:r>
              <w:rPr>
                <w:rFonts w:hint="eastAsia" w:ascii="宋体" w:hAnsi="宋体" w:eastAsia="宋体" w:cs="宋体"/>
                <w:color w:val="auto"/>
                <w:kern w:val="0"/>
                <w:sz w:val="22"/>
                <w:szCs w:val="22"/>
                <w:highlight w:val="none"/>
                <w:lang w:val="en-US" w:eastAsia="zh-CN" w:bidi="ar-SA"/>
              </w:rPr>
              <w:t>元（大写：</w:t>
            </w:r>
            <w:r>
              <w:rPr>
                <w:rFonts w:hint="eastAsia" w:hAnsi="宋体" w:cs="宋体"/>
                <w:color w:val="auto"/>
                <w:kern w:val="0"/>
                <w:sz w:val="22"/>
                <w:szCs w:val="22"/>
                <w:highlight w:val="none"/>
                <w:lang w:val="en-US" w:eastAsia="zh-CN" w:bidi="ar-SA"/>
              </w:rPr>
              <w:t>叁万伍仟元整</w:t>
            </w:r>
            <w:r>
              <w:rPr>
                <w:rFonts w:hint="eastAsia" w:ascii="宋体" w:hAnsi="宋体" w:eastAsia="宋体" w:cs="宋体"/>
                <w:color w:val="auto"/>
                <w:kern w:val="0"/>
                <w:sz w:val="22"/>
                <w:szCs w:val="22"/>
                <w:highlight w:val="none"/>
                <w:lang w:val="en-US" w:eastAsia="zh-CN" w:bidi="ar-SA"/>
              </w:rPr>
              <w:t>）。</w:t>
            </w:r>
          </w:p>
          <w:p>
            <w:pPr>
              <w:pStyle w:val="10"/>
              <w:spacing w:line="4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支付方式：须从投标单位基本账户汇款缴纳，转出账户必须与投标单位名称一致，否则不予受理。</w:t>
            </w:r>
          </w:p>
          <w:p>
            <w:pPr>
              <w:pStyle w:val="10"/>
              <w:spacing w:line="4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投标保证金递交至以下账户：</w:t>
            </w:r>
          </w:p>
          <w:p>
            <w:pPr>
              <w:pStyle w:val="10"/>
              <w:spacing w:line="4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账户名称：新疆德宏招标代理有限公司</w:t>
            </w:r>
          </w:p>
          <w:p>
            <w:pPr>
              <w:pStyle w:val="10"/>
              <w:spacing w:line="4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开户银行：吐鲁番市农村信用合作联社</w:t>
            </w:r>
          </w:p>
          <w:p>
            <w:pPr>
              <w:pStyle w:val="10"/>
              <w:spacing w:line="4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行    号：4028 8300 0203</w:t>
            </w:r>
          </w:p>
          <w:p>
            <w:pPr>
              <w:pStyle w:val="10"/>
              <w:spacing w:line="4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账    号：8380 1001 2010 1039 33983（电汇时请在汇款备注栏注明磋商编号）</w:t>
            </w:r>
          </w:p>
          <w:p>
            <w:pPr>
              <w:pStyle w:val="10"/>
              <w:spacing w:line="460" w:lineRule="exact"/>
              <w:jc w:val="left"/>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联系电话：0995-8553008</w:t>
            </w:r>
          </w:p>
          <w:p>
            <w:pPr>
              <w:pStyle w:val="10"/>
              <w:spacing w:line="4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退投标保证金程序：需对开收据,提供公司基本账户的单位名称、开户行名称、账号、行号。</w:t>
            </w:r>
          </w:p>
          <w:p>
            <w:pPr>
              <w:pStyle w:val="10"/>
              <w:spacing w:line="4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注：请于202</w:t>
            </w:r>
            <w:r>
              <w:rPr>
                <w:rFonts w:hint="eastAsia" w:hAnsi="宋体" w:cs="宋体"/>
                <w:color w:val="auto"/>
                <w:kern w:val="0"/>
                <w:sz w:val="22"/>
                <w:szCs w:val="22"/>
                <w:highlight w:val="none"/>
                <w:lang w:val="en-US" w:eastAsia="zh-CN" w:bidi="ar-SA"/>
              </w:rPr>
              <w:t>4</w:t>
            </w:r>
            <w:r>
              <w:rPr>
                <w:rFonts w:hint="eastAsia" w:ascii="宋体" w:hAnsi="宋体" w:eastAsia="宋体" w:cs="宋体"/>
                <w:color w:val="auto"/>
                <w:kern w:val="0"/>
                <w:sz w:val="22"/>
                <w:szCs w:val="22"/>
                <w:highlight w:val="none"/>
                <w:lang w:val="en-US" w:eastAsia="zh-CN" w:bidi="ar-SA"/>
              </w:rPr>
              <w:t>年</w:t>
            </w:r>
            <w:r>
              <w:rPr>
                <w:rFonts w:hint="eastAsia" w:hAnsi="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lang w:val="en-US" w:eastAsia="zh-CN" w:bidi="ar-SA"/>
              </w:rPr>
              <w:t>月</w:t>
            </w:r>
            <w:r>
              <w:rPr>
                <w:rFonts w:hint="eastAsia" w:hAnsi="宋体" w:cs="宋体"/>
                <w:color w:val="auto"/>
                <w:kern w:val="0"/>
                <w:sz w:val="22"/>
                <w:szCs w:val="22"/>
                <w:highlight w:val="none"/>
                <w:lang w:val="en-US" w:eastAsia="zh-CN" w:bidi="ar-SA"/>
              </w:rPr>
              <w:t xml:space="preserve">5 </w:t>
            </w:r>
            <w:r>
              <w:rPr>
                <w:rFonts w:hint="eastAsia" w:ascii="宋体" w:hAnsi="宋体" w:eastAsia="宋体" w:cs="宋体"/>
                <w:color w:val="auto"/>
                <w:kern w:val="0"/>
                <w:sz w:val="22"/>
                <w:szCs w:val="22"/>
                <w:highlight w:val="none"/>
                <w:lang w:val="en-US" w:eastAsia="zh-CN" w:bidi="ar-SA"/>
              </w:rPr>
              <w:t>日1</w:t>
            </w:r>
            <w:r>
              <w:rPr>
                <w:rFonts w:hint="eastAsia" w:hAnsi="宋体" w:cs="宋体"/>
                <w:color w:val="auto"/>
                <w:kern w:val="0"/>
                <w:sz w:val="22"/>
                <w:szCs w:val="22"/>
                <w:highlight w:val="none"/>
                <w:lang w:val="en-US" w:eastAsia="zh-CN" w:bidi="ar-SA"/>
              </w:rPr>
              <w:t>1</w:t>
            </w:r>
            <w:r>
              <w:rPr>
                <w:rFonts w:hint="eastAsia" w:ascii="宋体" w:hAnsi="宋体" w:eastAsia="宋体" w:cs="宋体"/>
                <w:color w:val="auto"/>
                <w:kern w:val="0"/>
                <w:sz w:val="22"/>
                <w:szCs w:val="22"/>
                <w:highlight w:val="none"/>
                <w:lang w:val="en-US" w:eastAsia="zh-CN" w:bidi="ar-SA"/>
              </w:rPr>
              <w:t>:</w:t>
            </w:r>
            <w:r>
              <w:rPr>
                <w:rFonts w:hint="eastAsia" w:hAnsi="宋体" w:cs="宋体"/>
                <w:color w:val="auto"/>
                <w:kern w:val="0"/>
                <w:sz w:val="22"/>
                <w:szCs w:val="22"/>
                <w:highlight w:val="none"/>
                <w:lang w:val="en-US" w:eastAsia="zh-CN" w:bidi="ar-SA"/>
              </w:rPr>
              <w:t>0</w:t>
            </w:r>
            <w:r>
              <w:rPr>
                <w:rFonts w:hint="eastAsia" w:ascii="宋体" w:hAnsi="宋体" w:eastAsia="宋体" w:cs="宋体"/>
                <w:color w:val="auto"/>
                <w:kern w:val="0"/>
                <w:sz w:val="22"/>
                <w:szCs w:val="22"/>
                <w:highlight w:val="none"/>
                <w:lang w:val="en-US" w:eastAsia="zh-CN" w:bidi="ar-SA"/>
              </w:rPr>
              <w:t>0 （北京时间，以到账时间为准）汇至招标文件指定账户。</w:t>
            </w:r>
          </w:p>
          <w:p>
            <w:pPr>
              <w:pStyle w:val="10"/>
              <w:spacing w:line="4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2、电子保函</w:t>
            </w:r>
          </w:p>
          <w:p>
            <w:pPr>
              <w:pStyle w:val="10"/>
              <w:spacing w:line="4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备注：</w:t>
            </w:r>
            <w:r>
              <w:rPr>
                <w:rFonts w:hint="default" w:ascii="宋体" w:hAnsi="宋体" w:eastAsia="宋体" w:cs="宋体"/>
                <w:color w:val="auto"/>
                <w:kern w:val="0"/>
                <w:sz w:val="22"/>
                <w:szCs w:val="22"/>
                <w:highlight w:val="none"/>
                <w:lang w:val="en-US" w:eastAsia="zh-CN" w:bidi="ar-SA"/>
              </w:rPr>
              <w:t>①</w:t>
            </w:r>
            <w:r>
              <w:rPr>
                <w:rFonts w:hint="eastAsia" w:ascii="宋体" w:hAnsi="宋体" w:eastAsia="宋体" w:cs="宋体"/>
                <w:color w:val="auto"/>
                <w:kern w:val="0"/>
                <w:sz w:val="22"/>
                <w:szCs w:val="22"/>
                <w:highlight w:val="none"/>
                <w:lang w:val="en-US" w:eastAsia="zh-CN" w:bidi="ar-SA"/>
              </w:rPr>
              <w:t>电子保函须磋商文件规定的投标截止时间前办理完成；</w:t>
            </w:r>
            <w:r>
              <w:rPr>
                <w:rFonts w:hint="default" w:ascii="宋体" w:hAnsi="宋体" w:eastAsia="宋体" w:cs="宋体"/>
                <w:color w:val="auto"/>
                <w:kern w:val="0"/>
                <w:sz w:val="22"/>
                <w:szCs w:val="22"/>
                <w:highlight w:val="none"/>
                <w:lang w:val="en-US" w:eastAsia="zh-CN" w:bidi="ar-SA"/>
              </w:rPr>
              <w:t>②</w:t>
            </w:r>
            <w:r>
              <w:rPr>
                <w:rFonts w:hint="eastAsia" w:ascii="宋体" w:hAnsi="宋体" w:eastAsia="宋体" w:cs="宋体"/>
                <w:color w:val="auto"/>
                <w:kern w:val="0"/>
                <w:sz w:val="22"/>
                <w:szCs w:val="22"/>
                <w:highlight w:val="none"/>
                <w:lang w:val="en-US" w:eastAsia="zh-CN" w:bidi="ar-SA"/>
              </w:rPr>
              <w:t>电子保函金额不得少于保证金金额；</w:t>
            </w:r>
            <w:r>
              <w:rPr>
                <w:rFonts w:hint="default" w:ascii="宋体" w:hAnsi="宋体" w:eastAsia="宋体" w:cs="宋体"/>
                <w:color w:val="auto"/>
                <w:kern w:val="0"/>
                <w:sz w:val="22"/>
                <w:szCs w:val="22"/>
                <w:highlight w:val="none"/>
                <w:lang w:val="en-US" w:eastAsia="zh-CN" w:bidi="ar-SA"/>
              </w:rPr>
              <w:t>③</w:t>
            </w:r>
            <w:r>
              <w:rPr>
                <w:rFonts w:hint="eastAsia" w:ascii="宋体" w:hAnsi="宋体" w:eastAsia="宋体" w:cs="宋体"/>
                <w:color w:val="auto"/>
                <w:kern w:val="0"/>
                <w:sz w:val="22"/>
                <w:szCs w:val="22"/>
                <w:highlight w:val="none"/>
                <w:lang w:val="en-US" w:eastAsia="zh-CN" w:bidi="ar-SA"/>
              </w:rPr>
              <w:t>电子保函是针对本项目开具的 ④电子保函是标文件中组成部分；⑤投标单位通过的电子保函必须真实有效，否则后果自负</w:t>
            </w:r>
          </w:p>
          <w:p>
            <w:pPr>
              <w:pStyle w:val="10"/>
              <w:spacing w:line="4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zh-CN" w:eastAsia="zh-CN" w:bidi="ar-SA"/>
              </w:rPr>
              <w:t xml:space="preserve">* </w:t>
            </w:r>
            <w:r>
              <w:rPr>
                <w:rFonts w:hint="eastAsia" w:ascii="宋体" w:hAnsi="宋体" w:eastAsia="宋体" w:cs="宋体"/>
                <w:color w:val="auto"/>
                <w:kern w:val="0"/>
                <w:sz w:val="22"/>
                <w:szCs w:val="22"/>
                <w:highlight w:val="none"/>
                <w:lang w:val="en-US" w:eastAsia="zh-CN" w:bidi="ar-SA"/>
              </w:rPr>
              <w:t>各投标单位缴纳磋商保证金时需在附加信息及用途栏内注明磋商保证金、项目名称；磋商保证金于投标截止时间前确认到账，若供应商未按照上述规定缴纳磋商保证金,响应文件将被拒绝评审。</w:t>
            </w:r>
          </w:p>
          <w:p>
            <w:pPr>
              <w:pStyle w:val="10"/>
              <w:spacing w:line="460" w:lineRule="exact"/>
              <w:jc w:val="left"/>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 退投标保证金程序：</w:t>
            </w:r>
          </w:p>
          <w:p>
            <w:pPr>
              <w:pStyle w:val="28"/>
              <w:widowControl/>
              <w:numPr>
                <w:ilvl w:val="0"/>
                <w:numId w:val="0"/>
              </w:numPr>
              <w:spacing w:line="334" w:lineRule="exac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1.需对开收据,提供本公司基本账户的单位名称、开户行名称、账号、行号；2.采购代理机构应当自中标通知书发出之日起5个工作日内退还未中标人的投标保证金。（投标供应商未及时提供符合要求的退还保证金收据，如印章不清晰无法辨认、项目名称错误、字迹模糊不清无法辨认、日期错误等，除外；造成逾期退还保证金的，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9</w:t>
            </w:r>
          </w:p>
        </w:tc>
        <w:tc>
          <w:tcPr>
            <w:tcW w:w="2470" w:type="dxa"/>
            <w:noWrap w:val="0"/>
            <w:vAlign w:val="top"/>
          </w:tcPr>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合格供应商的资格要求</w:t>
            </w:r>
          </w:p>
          <w:p>
            <w:pPr>
              <w:pStyle w:val="28"/>
              <w:widowControl/>
              <w:spacing w:line="334" w:lineRule="exact"/>
              <w:rPr>
                <w:rFonts w:hint="eastAsia" w:ascii="宋体" w:hAnsi="宋体" w:eastAsia="宋体" w:cs="宋体"/>
                <w:color w:val="auto"/>
                <w:kern w:val="0"/>
                <w:sz w:val="22"/>
                <w:szCs w:val="22"/>
                <w:highlight w:val="none"/>
                <w:lang w:val="en-US" w:eastAsia="zh-CN"/>
              </w:rPr>
            </w:pPr>
          </w:p>
        </w:tc>
        <w:tc>
          <w:tcPr>
            <w:tcW w:w="5426" w:type="dxa"/>
            <w:noWrap w:val="0"/>
            <w:vAlign w:val="top"/>
          </w:tcPr>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（1）具有独立承担民事责任能力的在中华人民共和国境内注册的法人营业执照原件；</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（2）法定代表人须提供法定代表人资格证明书及身份证或法定代表人授权委托书及被授权人身份证；</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资质等级及范围：水利水电工程施工总承包叁级及以上资质；项目经理疆内企业须具备水利专业注册建造师贰级及以上注册资格，疆外需办理企业（2024）区外进疆建筑企业办理信息报送册。（4）投标人近三年有相应的业绩，并在人员、设备、资金等方面具有相应的施工能力，有安全生产许可证，</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凡拟参加本次招标项目的投标人，投标人未被“信用中国(www.creditchina.gov.cn)”网站列入“失信被执行人、重大税收违法失信主体”；未被“中国政府采购网(www.ccgp.gov.cn)”列入“政府采购严重违法失信行为信息记录名单”（尚在处罚期内的），将拒绝其参加本次采购活动；</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6）与招标人存在利害关系可能影响招标公正性的法人、其他组织或者个人，不得参加投标；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（7）其它法律法规规定要求的政策；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10</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是否为专门面向中小企业采购</w:t>
            </w:r>
          </w:p>
        </w:tc>
        <w:tc>
          <w:tcPr>
            <w:tcW w:w="5426" w:type="dxa"/>
            <w:noWrap w:val="0"/>
            <w:vAlign w:val="top"/>
          </w:tcPr>
          <w:p>
            <w:pPr>
              <w:pStyle w:val="28"/>
              <w:widowControl/>
              <w:spacing w:line="334" w:lineRule="exac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 xml:space="preserve">  否 （</w:t>
            </w:r>
            <w:r>
              <w:rPr>
                <w:rFonts w:hint="eastAsia" w:ascii="宋体" w:hAnsi="宋体" w:eastAsia="宋体" w:cs="宋体"/>
                <w:color w:val="auto"/>
                <w:kern w:val="0"/>
                <w:sz w:val="22"/>
                <w:szCs w:val="22"/>
                <w:highlight w:val="none"/>
                <w:lang w:val="en-US" w:eastAsia="zh-CN"/>
              </w:rPr>
              <w:sym w:font="Wingdings 2" w:char="0052"/>
            </w:r>
            <w:r>
              <w:rPr>
                <w:rFonts w:hint="eastAsia" w:ascii="宋体" w:hAnsi="宋体" w:eastAsia="宋体" w:cs="宋体"/>
                <w:color w:val="auto"/>
                <w:kern w:val="0"/>
                <w:sz w:val="22"/>
                <w:szCs w:val="22"/>
                <w:highlight w:val="none"/>
                <w:lang w:val="en-US" w:eastAsia="zh-CN"/>
              </w:rPr>
              <w:t>是、</w:t>
            </w:r>
            <w:r>
              <w:rPr>
                <w:rFonts w:hint="eastAsia" w:ascii="宋体" w:hAnsi="宋体" w:eastAsia="宋体" w:cs="宋体"/>
                <w:color w:val="auto"/>
                <w:kern w:val="0"/>
                <w:sz w:val="22"/>
                <w:szCs w:val="22"/>
                <w:highlight w:val="none"/>
                <w:lang w:val="en-US" w:eastAsia="zh-CN"/>
              </w:rPr>
              <w:sym w:font="Wingdings 2" w:char="00A3"/>
            </w:r>
            <w:r>
              <w:rPr>
                <w:rFonts w:hint="eastAsia" w:ascii="宋体" w:hAnsi="宋体" w:eastAsia="宋体" w:cs="宋体"/>
                <w:color w:val="auto"/>
                <w:kern w:val="0"/>
                <w:sz w:val="22"/>
                <w:szCs w:val="22"/>
                <w:highlight w:val="none"/>
                <w:lang w:val="en-US" w:eastAsia="zh-CN"/>
              </w:rPr>
              <w:t>否）（专门面向中小企业采购，供应商需出具《中小企业声明函》，非专门面向中小企业采购，小型、微型企业应出具《中小企业声明函》，对报价给予3%的扣除，用扣除后的价格参与评审）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11</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 xml:space="preserve"> 付款方式</w:t>
            </w:r>
          </w:p>
        </w:tc>
        <w:tc>
          <w:tcPr>
            <w:tcW w:w="5426" w:type="dxa"/>
            <w:noWrap w:val="0"/>
            <w:vAlign w:val="center"/>
          </w:tcPr>
          <w:p>
            <w:pPr>
              <w:pStyle w:val="28"/>
              <w:widowControl/>
              <w:spacing w:line="334"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以甲乙双方签订的合同为准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12</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联合体的其他资格要求</w:t>
            </w:r>
          </w:p>
        </w:tc>
        <w:tc>
          <w:tcPr>
            <w:tcW w:w="5426" w:type="dxa"/>
            <w:noWrap w:val="0"/>
            <w:vAlign w:val="center"/>
          </w:tcPr>
          <w:p>
            <w:pPr>
              <w:pStyle w:val="28"/>
              <w:widowControl/>
              <w:spacing w:line="334"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不允许联合体投标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13</w:t>
            </w:r>
          </w:p>
        </w:tc>
        <w:tc>
          <w:tcPr>
            <w:tcW w:w="2470"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项目预算金额及最高限价</w:t>
            </w:r>
          </w:p>
        </w:tc>
        <w:tc>
          <w:tcPr>
            <w:tcW w:w="5426" w:type="dxa"/>
            <w:noWrap w:val="0"/>
            <w:vAlign w:val="top"/>
          </w:tcPr>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 xml:space="preserve">项目预算金额：1980000元； </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最高限价</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：1738386.39元（各投标单位报价不得超过最高限价，否则将按废标处理。）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14</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项目资金来源</w:t>
            </w:r>
          </w:p>
        </w:tc>
        <w:tc>
          <w:tcPr>
            <w:tcW w:w="5426" w:type="dxa"/>
            <w:noWrap w:val="0"/>
            <w:vAlign w:val="center"/>
          </w:tcPr>
          <w:p>
            <w:pPr>
              <w:pStyle w:val="28"/>
              <w:widowControl/>
              <w:spacing w:line="334" w:lineRule="exact"/>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2024年中央财政以工代赈资金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15</w:t>
            </w:r>
          </w:p>
        </w:tc>
        <w:tc>
          <w:tcPr>
            <w:tcW w:w="2470"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计划工期及保修期</w:t>
            </w:r>
          </w:p>
        </w:tc>
        <w:tc>
          <w:tcPr>
            <w:tcW w:w="5426" w:type="dxa"/>
            <w:noWrap w:val="0"/>
            <w:vAlign w:val="center"/>
          </w:tcPr>
          <w:p>
            <w:pPr>
              <w:pStyle w:val="28"/>
              <w:widowControl/>
              <w:spacing w:line="334" w:lineRule="exact"/>
              <w:jc w:val="left"/>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工期：90 天</w:t>
            </w:r>
          </w:p>
          <w:p>
            <w:pPr>
              <w:pStyle w:val="28"/>
              <w:widowControl/>
              <w:spacing w:line="334"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工程质量保修期：本工程保修期为二年（工程移交后，开始算保修期）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16</w:t>
            </w:r>
          </w:p>
        </w:tc>
        <w:tc>
          <w:tcPr>
            <w:tcW w:w="2470" w:type="dxa"/>
            <w:noWrap w:val="0"/>
            <w:vAlign w:val="top"/>
          </w:tcPr>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响应文件提交截止时间</w:t>
            </w:r>
          </w:p>
        </w:tc>
        <w:tc>
          <w:tcPr>
            <w:tcW w:w="5426" w:type="dxa"/>
            <w:noWrap w:val="0"/>
            <w:vAlign w:val="top"/>
          </w:tcPr>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2024年2月5日</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11:00（北京时间）</w:t>
            </w:r>
            <w:r>
              <w:rPr>
                <w:rFonts w:hint="eastAsia" w:ascii="宋体" w:hAnsi="宋体" w:eastAsia="宋体" w:cs="宋体"/>
                <w:color w:val="0000FF"/>
                <w:kern w:val="0"/>
                <w:sz w:val="22"/>
                <w:szCs w:val="22"/>
                <w:highlight w:val="none"/>
                <w:lang w:val="en-US" w:eastAsia="zh-CN"/>
              </w:rPr>
              <w:t>　</w:t>
            </w:r>
            <w:r>
              <w:rPr>
                <w:rFonts w:hint="eastAsia" w:ascii="宋体" w:hAnsi="宋体" w:eastAsia="宋体" w:cs="宋体"/>
                <w:color w:val="auto"/>
                <w:kern w:val="0"/>
                <w:sz w:val="22"/>
                <w:szCs w:val="22"/>
                <w:highlight w:val="none"/>
                <w:lang w:val="en-US" w:eastAsia="zh-CN"/>
              </w:rPr>
              <w:t>　　　　　　　　　　　　</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响应文件递交至：政采云投标客户端投标（https://www.zcygov.cn/），本项目采用不见面开标，加密的电子磋商文件在投标截止时间前通过CA在政采云平台上传。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17</w:t>
            </w:r>
          </w:p>
        </w:tc>
        <w:tc>
          <w:tcPr>
            <w:tcW w:w="2470" w:type="dxa"/>
            <w:noWrap w:val="0"/>
            <w:vAlign w:val="center"/>
          </w:tcPr>
          <w:p>
            <w:pPr>
              <w:pStyle w:val="28"/>
              <w:widowControl/>
              <w:spacing w:line="334" w:lineRule="exact"/>
              <w:ind w:firstLine="220" w:firstLineChars="100"/>
              <w:jc w:val="both"/>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磋商时间及地点</w:t>
            </w:r>
          </w:p>
        </w:tc>
        <w:tc>
          <w:tcPr>
            <w:tcW w:w="5426" w:type="dxa"/>
            <w:noWrap w:val="0"/>
            <w:vAlign w:val="top"/>
          </w:tcPr>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磋商时间</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：2024年2月5日11:00（北京时间）</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磋商地点：政采云投标客户端https://www.zcygov.cn/磋商文件开启当日，供应商无需到达开标现场，仅需通过政采云平台“不见面”开标大厅完成远程解密。大厅操作提示：①开标前一小时在系统进行在线签到②30分钟内完成在线解密③开标结束后30分钟内完成“开标一览表”在线签章。注意：如未在规定时间进行以上操作，将导致投标（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19</w:t>
            </w:r>
          </w:p>
        </w:tc>
        <w:tc>
          <w:tcPr>
            <w:tcW w:w="2470" w:type="dxa"/>
            <w:noWrap w:val="0"/>
            <w:vAlign w:val="top"/>
          </w:tcPr>
          <w:p>
            <w:pPr>
              <w:pStyle w:val="28"/>
              <w:widowControl/>
              <w:spacing w:line="334" w:lineRule="exact"/>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采购人是否委托磋商小组直接确定成交供应商</w:t>
            </w:r>
          </w:p>
        </w:tc>
        <w:tc>
          <w:tcPr>
            <w:tcW w:w="5426" w:type="dxa"/>
            <w:noWrap w:val="0"/>
            <w:vAlign w:val="center"/>
          </w:tcPr>
          <w:p>
            <w:pPr>
              <w:pStyle w:val="28"/>
              <w:widowControl/>
              <w:spacing w:line="334" w:lineRule="exact"/>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20</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是否提交履约保证金</w:t>
            </w:r>
          </w:p>
        </w:tc>
        <w:tc>
          <w:tcPr>
            <w:tcW w:w="5426" w:type="dxa"/>
            <w:noWrap w:val="0"/>
            <w:vAlign w:val="center"/>
          </w:tcPr>
          <w:p>
            <w:pPr>
              <w:pStyle w:val="28"/>
              <w:widowControl/>
              <w:spacing w:line="334" w:lineRule="exact"/>
              <w:jc w:val="both"/>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2"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21</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其他政府采购政策</w:t>
            </w:r>
          </w:p>
        </w:tc>
        <w:tc>
          <w:tcPr>
            <w:tcW w:w="5426" w:type="dxa"/>
            <w:noWrap w:val="0"/>
            <w:vAlign w:val="top"/>
          </w:tcPr>
          <w:p>
            <w:pPr>
              <w:pStyle w:val="28"/>
              <w:widowControl/>
              <w:numPr>
                <w:ilvl w:val="0"/>
                <w:numId w:val="3"/>
              </w:numPr>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满足《中华人民共和国政府采购法》第二十二条规定；</w:t>
            </w:r>
            <w:r>
              <w:rPr>
                <w:rFonts w:hint="eastAsia" w:ascii="宋体" w:hAnsi="宋体" w:eastAsia="宋体" w:cs="宋体"/>
                <w:color w:val="auto"/>
                <w:kern w:val="0"/>
                <w:sz w:val="22"/>
                <w:szCs w:val="22"/>
                <w:highlight w:val="none"/>
                <w:lang w:val="en-US" w:eastAsia="zh-CN"/>
              </w:rPr>
              <w:br w:type="textWrapping"/>
            </w:r>
            <w:r>
              <w:rPr>
                <w:rFonts w:hint="eastAsia" w:ascii="宋体" w:hAnsi="宋体" w:eastAsia="宋体" w:cs="宋体"/>
                <w:color w:val="auto"/>
                <w:kern w:val="0"/>
                <w:sz w:val="22"/>
                <w:szCs w:val="22"/>
                <w:highlight w:val="none"/>
                <w:lang w:val="en-US" w:eastAsia="zh-CN"/>
              </w:rPr>
              <w:t>（二）落实政府采购政策需满足的资格要求：供应商为中小企业</w:t>
            </w:r>
          </w:p>
          <w:p>
            <w:pPr>
              <w:pStyle w:val="28"/>
              <w:widowControl/>
              <w:numPr>
                <w:ilvl w:val="0"/>
                <w:numId w:val="0"/>
              </w:numPr>
              <w:spacing w:line="334" w:lineRule="exact"/>
              <w:ind w:leftChars="0"/>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（三）本项目行业属于建筑业</w:t>
            </w:r>
          </w:p>
          <w:p>
            <w:pPr>
              <w:pStyle w:val="42"/>
              <w:spacing w:line="420" w:lineRule="exact"/>
              <w:jc w:val="both"/>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（四）</w:t>
            </w:r>
            <w:r>
              <w:rPr>
                <w:rFonts w:hint="eastAsia" w:ascii="宋体" w:hAnsi="宋体" w:eastAsia="宋体" w:cs="宋体"/>
                <w:color w:val="auto"/>
                <w:kern w:val="0"/>
                <w:sz w:val="22"/>
                <w:szCs w:val="22"/>
                <w:highlight w:val="none"/>
                <w:lang w:val="en-US" w:eastAsia="zh-CN" w:bidi="ar-SA"/>
              </w:rPr>
              <w:t>支持中小企业发展：对符合规定的小微企业报价给予3%—5%的扣除用扣除后的价格参加评审。</w:t>
            </w:r>
            <w:r>
              <w:rPr>
                <w:rFonts w:hint="eastAsia" w:ascii="宋体" w:hAnsi="宋体" w:eastAsia="宋体" w:cs="宋体"/>
                <w:color w:val="auto"/>
                <w:kern w:val="0"/>
                <w:sz w:val="22"/>
                <w:szCs w:val="22"/>
                <w:highlight w:val="none"/>
                <w:lang w:val="en-US" w:eastAsia="zh-CN"/>
              </w:rPr>
              <w:t>本项目</w:t>
            </w:r>
            <w:r>
              <w:rPr>
                <w:rFonts w:hint="eastAsia" w:ascii="宋体" w:hAnsi="宋体" w:cs="宋体"/>
                <w:color w:val="auto"/>
                <w:kern w:val="0"/>
                <w:sz w:val="22"/>
                <w:szCs w:val="22"/>
                <w:highlight w:val="none"/>
                <w:lang w:val="en-US" w:eastAsia="zh-CN"/>
              </w:rPr>
              <w:t>专门</w:t>
            </w:r>
            <w:r>
              <w:rPr>
                <w:rFonts w:hint="eastAsia" w:ascii="宋体" w:hAnsi="宋体" w:eastAsia="宋体" w:cs="宋体"/>
                <w:color w:val="auto"/>
                <w:kern w:val="0"/>
                <w:sz w:val="22"/>
                <w:szCs w:val="22"/>
                <w:highlight w:val="none"/>
                <w:lang w:val="en-US" w:eastAsia="zh-CN"/>
              </w:rPr>
              <w:t>面向中小企业，不做价格扣除。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7"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22</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磋商文件份数</w:t>
            </w:r>
          </w:p>
        </w:tc>
        <w:tc>
          <w:tcPr>
            <w:tcW w:w="5426" w:type="dxa"/>
            <w:noWrap w:val="0"/>
            <w:vAlign w:val="center"/>
          </w:tcPr>
          <w:p>
            <w:pPr>
              <w:pStyle w:val="28"/>
              <w:widowControl/>
              <w:spacing w:line="334" w:lineRule="exact"/>
              <w:jc w:val="lef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加密的电子响应文件应在递交截止时间前通过政采云平台上传完成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23</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实质性要求和条件</w:t>
            </w:r>
          </w:p>
        </w:tc>
        <w:tc>
          <w:tcPr>
            <w:tcW w:w="5426" w:type="dxa"/>
            <w:noWrap w:val="0"/>
            <w:vAlign w:val="top"/>
          </w:tcPr>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实质性要求和条件：除法律、法规和规章规定外，采购文件中用“拒绝”、“不接受”、“无效”、“不得”等文字规定或采购文件初步审查表中的内容以及标注“★”符号的条款为实质性要求条款（即重要条款），对其中任何一条的偏离，在评标时将其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24</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报价说明</w:t>
            </w:r>
          </w:p>
        </w:tc>
        <w:tc>
          <w:tcPr>
            <w:tcW w:w="5426"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采用竞争性磋商，通过磋商，仅对满足竞争性磋商文件实质性要求的供应商，进行第二次最终报价，但最终报价不得高于第一次报价，否则其投标将被否决。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168"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24</w:t>
            </w:r>
          </w:p>
        </w:tc>
        <w:tc>
          <w:tcPr>
            <w:tcW w:w="2470" w:type="dxa"/>
            <w:noWrap w:val="0"/>
            <w:vAlign w:val="top"/>
          </w:tcPr>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磋商文件解密时长</w:t>
            </w:r>
          </w:p>
        </w:tc>
        <w:tc>
          <w:tcPr>
            <w:tcW w:w="5426" w:type="dxa"/>
            <w:noWrap w:val="0"/>
            <w:vAlign w:val="top"/>
          </w:tcPr>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磋商文件解密时长：30分钟（过时未进行解密的磋商文件，开标现场不进行解密时间延长。）</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开标当日仅需在任意地点通过政采云平台不见面开标系统（登录地址详见网站操作手册）完成远程解密、提疑澄清、开标唱标、结果公布等交互环节。供应商必须在规定的时间内使用能正确解密响应文件的“CA锁”完成远程解密，因供应商原因未能解密、解密失败或解密超时，视为供应商撤销其响应文件，系统内磋商文件将被退回；因网上招投标平台发生故障，导致无法按时完成磋商文件解密或开、评标工作无法进行的，可根据实际情况相应延迟解密时间或调整开、评标时间。</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（友情提示：若供应商已领取副锁（含多把副锁）请注意正副锁的使用差别，务必使用生成磋商文件的那把锁解密）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25</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备注</w:t>
            </w:r>
          </w:p>
        </w:tc>
        <w:tc>
          <w:tcPr>
            <w:tcW w:w="5426" w:type="dxa"/>
            <w:noWrap w:val="0"/>
            <w:vAlign w:val="top"/>
          </w:tcPr>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1、各供应商必须针对项目制作磋商文件并报价，磋商文件均必须满足招标文件份数与制作等要求，否则将导致投标被拒绝。</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2、当出现下列情形之一，磋商文件将予以退回：</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（1）供应商在磋商文件递交截止时间前未成功上传加密电子磋商文件；</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（2）供应商使用解密的CA数字证书与上传加密磋商文件使用的CA数字证书不一致；</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（3）供应商解密时CA数字证书已过期，导致无法正常解密；</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（4）加密磋商文件时，CA数字证书未过期，解密时，显示CA数字证书已过期，导致无法正常解密；</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（5）未在规定的磋商文件解密时间内进行解密的；</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 xml:space="preserve">（6）供应商个人原因导致无法解密的其他情形。 </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3、供应商应在投标截止时间前将投标时使用的计算机安装相关的浏览器（推荐使用谷歌浏览器）、CA驱动等软件，方便磋商文件解密时能够正常解密。</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4、供应商需在投标截止时间前自行测试开标时使用的计算机，如因供应商自身原因导致磋商文件解密失败的，由供应商自行承担相应后果。</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5、本次采购，供应商须按招标文件第二章“投标须知”中规定的内容提交磋商文件。并根据第六章“磋商文件格式”中的全部内容进行磋商文件的编制，在评标过程中若发现供应商的磋商文件内容未按照招标文件编制，编制内容存在缺失或提供无效资料的，将导致投标被拒绝。所有资料均不允许在投标截止时间后补正</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注：</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1、无论何种原因，在磋商文件中未提供相应材料的，评审小组将视同其未提供。</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2、各供应商应在开标前应确保成为新疆政府采购网正式注册入库供应商，并完成CA数字证书（符合国密标准）申领。如需咨询，请联系新疆CA服务热线0991-2819290；</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w:t>
            </w:r>
          </w:p>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4、供应商首次参加政府采购活动的，可前往新疆政府采购网（ http://www.ccgp-xinjiang.gov.cn/）下载操作指南。（步骤：进入新疆政府采购网（http://www.ccgp-xinjiang.gov.cn/）点击主页面的办事指南—选择并下载供应商政采云平台操作指南。）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7" w:hRule="atLeast"/>
          <w:jc w:val="center"/>
        </w:trPr>
        <w:tc>
          <w:tcPr>
            <w:tcW w:w="1168" w:type="dxa"/>
            <w:noWrap w:val="0"/>
            <w:vAlign w:val="center"/>
          </w:tcPr>
          <w:p>
            <w:pPr>
              <w:pStyle w:val="28"/>
              <w:widowControl/>
              <w:spacing w:line="334" w:lineRule="exact"/>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w:t>
            </w:r>
          </w:p>
        </w:tc>
        <w:tc>
          <w:tcPr>
            <w:tcW w:w="2470" w:type="dxa"/>
            <w:noWrap w:val="0"/>
            <w:vAlign w:val="center"/>
          </w:tcPr>
          <w:p>
            <w:pPr>
              <w:pStyle w:val="28"/>
              <w:widowControl/>
              <w:spacing w:line="334" w:lineRule="exact"/>
              <w:jc w:val="center"/>
              <w:rPr>
                <w:rFonts w:hint="eastAsia" w:ascii="宋体" w:hAnsi="宋体" w:eastAsia="宋体" w:cs="宋体"/>
                <w:color w:val="auto"/>
                <w:kern w:val="0"/>
                <w:sz w:val="22"/>
                <w:szCs w:val="22"/>
                <w:highlight w:val="none"/>
                <w:lang w:val="en-US" w:eastAsia="zh-CN"/>
              </w:rPr>
            </w:pPr>
          </w:p>
          <w:p>
            <w:pPr>
              <w:pStyle w:val="28"/>
              <w:widowControl/>
              <w:spacing w:line="334" w:lineRule="exact"/>
              <w:jc w:val="center"/>
              <w:rPr>
                <w:rFonts w:hint="default"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其他备注</w:t>
            </w:r>
          </w:p>
        </w:tc>
        <w:tc>
          <w:tcPr>
            <w:tcW w:w="5426" w:type="dxa"/>
            <w:noWrap w:val="0"/>
            <w:vAlign w:val="top"/>
          </w:tcPr>
          <w:p>
            <w:pPr>
              <w:pStyle w:val="28"/>
              <w:widowControl/>
              <w:spacing w:line="334"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中标的供应商在领取中标通知书时须向招标代理机构递交纸质磋商文件正本壹份、副本贰份，格式为PDF的电子磋商文件（U盘存储，与提交政采云平台的磋商文件内容一致）</w:t>
            </w:r>
          </w:p>
        </w:tc>
      </w:tr>
    </w:tbl>
    <w:p>
      <w:pPr>
        <w:pStyle w:val="28"/>
        <w:widowControl/>
        <w:spacing w:line="334" w:lineRule="exact"/>
        <w:rPr>
          <w:rFonts w:hint="eastAsia" w:ascii="宋体" w:hAnsi="宋体" w:eastAsia="宋体" w:cs="宋体"/>
          <w:color w:val="auto"/>
          <w:kern w:val="0"/>
          <w:sz w:val="24"/>
          <w:szCs w:val="24"/>
          <w:highlight w:val="none"/>
          <w:lang w:val="en-US" w:eastAsia="zh-CN"/>
        </w:rPr>
      </w:pPr>
    </w:p>
    <w:p>
      <w:pPr>
        <w:pStyle w:val="28"/>
        <w:widowControl/>
        <w:spacing w:line="334" w:lineRule="exact"/>
        <w:rPr>
          <w:rFonts w:hint="eastAsia" w:ascii="宋体" w:hAnsi="宋体" w:eastAsia="宋体" w:cs="宋体"/>
          <w:color w:val="auto"/>
          <w:kern w:val="0"/>
          <w:sz w:val="24"/>
          <w:szCs w:val="24"/>
          <w:highlight w:val="none"/>
          <w:lang w:val="en-US" w:eastAsia="zh-CN"/>
        </w:rPr>
      </w:pPr>
    </w:p>
    <w:p>
      <w:pPr>
        <w:pStyle w:val="28"/>
        <w:widowControl/>
        <w:spacing w:line="334" w:lineRule="exact"/>
        <w:rPr>
          <w:rFonts w:hint="eastAsia" w:ascii="宋体" w:hAnsi="宋体" w:eastAsia="宋体" w:cs="宋体"/>
          <w:color w:val="auto"/>
          <w:kern w:val="0"/>
          <w:sz w:val="24"/>
          <w:szCs w:val="24"/>
          <w:highlight w:val="none"/>
          <w:lang w:val="en-US" w:eastAsia="zh-CN"/>
        </w:rPr>
      </w:pPr>
    </w:p>
    <w:p>
      <w:pPr>
        <w:pStyle w:val="28"/>
        <w:widowControl/>
        <w:spacing w:line="334" w:lineRule="exact"/>
        <w:rPr>
          <w:rFonts w:hint="eastAsia" w:ascii="宋体" w:hAnsi="宋体" w:eastAsia="宋体" w:cs="宋体"/>
          <w:color w:val="auto"/>
          <w:kern w:val="0"/>
          <w:sz w:val="24"/>
          <w:szCs w:val="24"/>
          <w:highlight w:val="none"/>
          <w:lang w:val="en-US" w:eastAsia="zh-CN"/>
        </w:rPr>
      </w:pPr>
    </w:p>
    <w:p>
      <w:pPr>
        <w:pStyle w:val="28"/>
        <w:widowControl/>
        <w:spacing w:line="334" w:lineRule="exact"/>
        <w:rPr>
          <w:rFonts w:hint="eastAsia" w:ascii="宋体" w:hAnsi="宋体" w:eastAsia="宋体" w:cs="宋体"/>
          <w:color w:val="auto"/>
          <w:kern w:val="0"/>
          <w:sz w:val="24"/>
          <w:szCs w:val="24"/>
          <w:highlight w:val="none"/>
          <w:lang w:val="en-US" w:eastAsia="zh-CN"/>
        </w:rPr>
      </w:pPr>
    </w:p>
    <w:p>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pPr>
        <w:keepNext w:val="0"/>
        <w:keepLines w:val="0"/>
        <w:pageBreakBefore w:val="0"/>
        <w:widowControl w:val="0"/>
        <w:numPr>
          <w:ilvl w:val="0"/>
          <w:numId w:val="4"/>
        </w:numPr>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 xml:space="preserve">磋商须知 </w:t>
      </w:r>
    </w:p>
    <w:p>
      <w:pPr>
        <w:pStyle w:val="9"/>
        <w:numPr>
          <w:ilvl w:val="0"/>
          <w:numId w:val="0"/>
        </w:numPr>
        <w:ind w:right="0" w:rightChars="0"/>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olor w:val="auto"/>
          <w:highlight w:val="none"/>
        </w:rPr>
      </w:pPr>
      <w:r>
        <w:rPr>
          <w:rFonts w:hint="eastAsia" w:ascii="宋体" w:hAnsi="宋体" w:eastAsia="宋体" w:cs="宋体"/>
          <w:b/>
          <w:bCs/>
          <w:color w:val="auto"/>
          <w:sz w:val="30"/>
          <w:szCs w:val="30"/>
          <w:highlight w:val="none"/>
        </w:rPr>
        <w:t>一</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rPr>
        <w:t>说 明</w:t>
      </w:r>
    </w:p>
    <w:p>
      <w:pPr>
        <w:pStyle w:val="9"/>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 xml:space="preserve">适用范围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本文件适用于本竞争性磋商的采购项目。 </w:t>
      </w:r>
    </w:p>
    <w:p>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本项目的采购人、供应商及各方当事人均适用本须知。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 </w:t>
      </w:r>
      <w:r>
        <w:rPr>
          <w:rFonts w:hint="eastAsia" w:ascii="宋体" w:hAnsi="宋体" w:eastAsia="宋体" w:cs="宋体"/>
          <w:b/>
          <w:bCs/>
          <w:color w:val="auto"/>
          <w:sz w:val="24"/>
          <w:szCs w:val="24"/>
          <w:highlight w:val="none"/>
        </w:rPr>
        <w:t>定义</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 </w:t>
      </w:r>
      <w:r>
        <w:rPr>
          <w:rFonts w:hint="eastAsia" w:ascii="宋体" w:hAnsi="宋体" w:eastAsia="宋体" w:cs="宋体"/>
          <w:color w:val="auto"/>
          <w:sz w:val="24"/>
          <w:szCs w:val="24"/>
          <w:highlight w:val="none"/>
        </w:rPr>
        <w:t xml:space="preserve">监管部门：指同级或以上人民政府财政部门。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 </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是指采购人已拥有一笔财政性资金或资金来源已落实。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2.3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依法进行政府采购的国家机关、事业单位、团体组织</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2.4 </w:t>
      </w:r>
      <w:r>
        <w:rPr>
          <w:rFonts w:hint="eastAsia" w:cs="宋体"/>
          <w:color w:val="auto"/>
          <w:sz w:val="24"/>
          <w:szCs w:val="24"/>
          <w:highlight w:val="none"/>
          <w:lang w:val="en-US" w:eastAsia="zh-CN"/>
        </w:rPr>
        <w:t>代理</w:t>
      </w:r>
      <w:r>
        <w:rPr>
          <w:rFonts w:hint="eastAsia" w:ascii="宋体" w:hAnsi="宋体" w:eastAsia="宋体" w:cs="宋体"/>
          <w:color w:val="auto"/>
          <w:sz w:val="24"/>
          <w:szCs w:val="24"/>
          <w:highlight w:val="none"/>
          <w:lang w:val="en-US" w:eastAsia="zh-CN"/>
        </w:rPr>
        <w:t>采购机构</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新疆德宏招标代理有限公司</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 </w:t>
      </w:r>
      <w:r>
        <w:rPr>
          <w:rFonts w:hint="eastAsia" w:ascii="宋体" w:hAnsi="宋体" w:eastAsia="宋体" w:cs="宋体"/>
          <w:color w:val="auto"/>
          <w:sz w:val="24"/>
          <w:szCs w:val="24"/>
          <w:highlight w:val="none"/>
        </w:rPr>
        <w:t>磋商小组：磋商小组是依法组建的专门负责本次磋商及评审工作的</w:t>
      </w:r>
      <w:r>
        <w:rPr>
          <w:rFonts w:hint="eastAsia" w:ascii="宋体" w:hAnsi="宋体" w:eastAsia="宋体" w:cs="宋体"/>
          <w:color w:val="auto"/>
          <w:sz w:val="24"/>
          <w:szCs w:val="24"/>
          <w:highlight w:val="none"/>
          <w:lang w:val="en-US" w:eastAsia="zh-CN"/>
        </w:rPr>
        <w:t>人员</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 </w:t>
      </w:r>
      <w:r>
        <w:rPr>
          <w:rFonts w:hint="eastAsia" w:ascii="宋体" w:hAnsi="宋体" w:eastAsia="宋体" w:cs="宋体"/>
          <w:color w:val="auto"/>
          <w:sz w:val="24"/>
          <w:szCs w:val="24"/>
          <w:highlight w:val="none"/>
        </w:rPr>
        <w:t xml:space="preserve">供应商：符合资格要求，响应采购、依法成立的企业法人、其他组织或自然人。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2.7 </w:t>
      </w:r>
      <w:r>
        <w:rPr>
          <w:rFonts w:hint="eastAsia" w:ascii="宋体" w:hAnsi="宋体" w:eastAsia="宋体" w:cs="宋体"/>
          <w:color w:val="auto"/>
          <w:sz w:val="24"/>
          <w:szCs w:val="24"/>
          <w:highlight w:val="none"/>
        </w:rPr>
        <w:t xml:space="preserve">成交供应商：经合法磋商程序评选出来并经采购人确认的获得本项目成交资格的供应商。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 </w:t>
      </w:r>
      <w:r>
        <w:rPr>
          <w:rFonts w:hint="eastAsia" w:ascii="宋体" w:hAnsi="宋体" w:eastAsia="宋体" w:cs="宋体"/>
          <w:color w:val="auto"/>
          <w:sz w:val="24"/>
          <w:szCs w:val="24"/>
          <w:highlight w:val="none"/>
        </w:rPr>
        <w:t xml:space="preserve">日期：指公历日。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 </w:t>
      </w:r>
      <w:r>
        <w:rPr>
          <w:rFonts w:hint="eastAsia" w:ascii="宋体" w:hAnsi="宋体" w:eastAsia="宋体" w:cs="宋体"/>
          <w:color w:val="auto"/>
          <w:sz w:val="24"/>
          <w:szCs w:val="24"/>
          <w:highlight w:val="none"/>
        </w:rPr>
        <w:t xml:space="preserve">时间：指北京时间。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 </w:t>
      </w:r>
      <w:r>
        <w:rPr>
          <w:rFonts w:hint="eastAsia" w:ascii="宋体" w:hAnsi="宋体" w:eastAsia="宋体" w:cs="宋体"/>
          <w:b/>
          <w:bCs/>
          <w:color w:val="auto"/>
          <w:sz w:val="24"/>
          <w:szCs w:val="24"/>
          <w:highlight w:val="none"/>
        </w:rPr>
        <w:t>合格的供应商</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供应商须符合第一部分“磋商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4 </w:t>
      </w:r>
      <w:r>
        <w:rPr>
          <w:rFonts w:hint="eastAsia" w:ascii="宋体" w:hAnsi="宋体" w:eastAsia="宋体" w:cs="宋体"/>
          <w:b/>
          <w:bCs/>
          <w:color w:val="auto"/>
          <w:sz w:val="24"/>
          <w:szCs w:val="24"/>
          <w:highlight w:val="none"/>
        </w:rPr>
        <w:t>合格的货物</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服务</w:t>
      </w:r>
      <w:r>
        <w:rPr>
          <w:rFonts w:hint="eastAsia" w:ascii="宋体" w:hAnsi="宋体" w:eastAsia="宋体" w:cs="宋体"/>
          <w:b/>
          <w:bCs/>
          <w:color w:val="auto"/>
          <w:sz w:val="24"/>
          <w:szCs w:val="24"/>
          <w:highlight w:val="none"/>
          <w:lang w:val="en-US" w:eastAsia="zh-CN"/>
        </w:rPr>
        <w:t>和工程</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4.1 </w:t>
      </w:r>
      <w:r>
        <w:rPr>
          <w:rFonts w:hint="eastAsia" w:ascii="宋体" w:hAnsi="宋体" w:eastAsia="宋体" w:cs="宋体"/>
          <w:color w:val="auto"/>
          <w:sz w:val="24"/>
          <w:szCs w:val="24"/>
          <w:highlight w:val="none"/>
        </w:rPr>
        <w:t xml:space="preserve">“货物”是指供应商制造或符合磋商文件要求的货物等。供应商的货物必须是其合法生产、合法来源的符合国家有关标准要求的货物，并满足磋商文件规定的规格、参数、质量、价格、有效期、售后服务等要求。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“服务”是指除货物和工程以外的其他政府采购对象，其中包括供应商须承担的运输、安装、技术支持、培训以及磋商文件规定的其它伴随服务。</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highlight w:val="none"/>
        </w:rPr>
      </w:pPr>
      <w:r>
        <w:rPr>
          <w:rFonts w:hint="eastAsia" w:ascii="宋体" w:hAnsi="宋体" w:eastAsia="宋体" w:cs="宋体"/>
          <w:color w:val="auto"/>
          <w:sz w:val="24"/>
          <w:szCs w:val="24"/>
          <w:highlight w:val="none"/>
          <w:lang w:val="en-US" w:eastAsia="zh-CN"/>
        </w:rPr>
        <w:t xml:space="preserve">4.3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是指建设工程，包括建筑物和构筑物的新建、改建、扩建、装修、拆除、修缮等。</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4.4 </w:t>
      </w:r>
      <w:r>
        <w:rPr>
          <w:rFonts w:hint="eastAsia" w:ascii="宋体" w:hAnsi="宋体" w:eastAsia="宋体" w:cs="宋体"/>
          <w:color w:val="auto"/>
          <w:sz w:val="24"/>
          <w:szCs w:val="24"/>
          <w:highlight w:val="none"/>
        </w:rPr>
        <w:t xml:space="preserve">政府采购应当采购本国产品，确需采购进口产品的，依据《政府采购进口产品管理办法》执行。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4.5 </w:t>
      </w:r>
      <w:r>
        <w:rPr>
          <w:rFonts w:hint="eastAsia" w:ascii="宋体" w:hAnsi="宋体" w:eastAsia="宋体" w:cs="宋体"/>
          <w:color w:val="auto"/>
          <w:sz w:val="24"/>
          <w:szCs w:val="24"/>
          <w:highlight w:val="none"/>
        </w:rPr>
        <w:t xml:space="preserve">本文件所称进口产品是指通过中国海关报关验放进入中国境内且产自关境外的产品。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4.6 </w:t>
      </w:r>
      <w:r>
        <w:rPr>
          <w:rFonts w:hint="eastAsia" w:ascii="宋体" w:hAnsi="宋体" w:eastAsia="宋体" w:cs="宋体"/>
          <w:color w:val="auto"/>
          <w:sz w:val="24"/>
          <w:szCs w:val="24"/>
          <w:highlight w:val="none"/>
        </w:rPr>
        <w:t xml:space="preserve">供应商应保证，采购人在中华人民共和国使用货物或服务的任何一部分时，采购人免受第三方提出侵犯其专利权、商标权或其它知识产权的起诉。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5 </w:t>
      </w:r>
      <w:r>
        <w:rPr>
          <w:rFonts w:hint="eastAsia" w:ascii="宋体" w:hAnsi="宋体" w:eastAsia="宋体" w:cs="宋体"/>
          <w:b/>
          <w:bCs/>
          <w:color w:val="auto"/>
          <w:sz w:val="24"/>
          <w:szCs w:val="24"/>
          <w:highlight w:val="none"/>
        </w:rPr>
        <w:t>磋商费用</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供应商应承担所有与准备和参加项目磋商有关的费用。不论磋商的结果如何，采购人及</w:t>
      </w:r>
      <w:r>
        <w:rPr>
          <w:rFonts w:hint="eastAsia" w:cs="宋体"/>
          <w:color w:val="auto"/>
          <w:sz w:val="24"/>
          <w:szCs w:val="24"/>
          <w:highlight w:val="none"/>
          <w:lang w:val="en-US" w:eastAsia="zh-CN"/>
        </w:rPr>
        <w:t>招标代理有限公司</w:t>
      </w:r>
      <w:r>
        <w:rPr>
          <w:rFonts w:hint="eastAsia" w:ascii="宋体" w:hAnsi="宋体" w:eastAsia="宋体" w:cs="宋体"/>
          <w:color w:val="auto"/>
          <w:sz w:val="24"/>
          <w:szCs w:val="24"/>
          <w:highlight w:val="none"/>
        </w:rPr>
        <w:t xml:space="preserve">均无义务和责任承担这些费用。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6 </w:t>
      </w:r>
      <w:r>
        <w:rPr>
          <w:rFonts w:hint="eastAsia" w:ascii="宋体" w:hAnsi="宋体" w:eastAsia="宋体" w:cs="宋体"/>
          <w:b/>
          <w:bCs/>
          <w:color w:val="auto"/>
          <w:sz w:val="24"/>
          <w:szCs w:val="24"/>
          <w:highlight w:val="none"/>
        </w:rPr>
        <w:t>其他</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所有时间均为24小时制北京时间，所有货币单位均为人民币元，所使用的计量单位均以《中华人民共和国法定计量单位》为准（特别注明除外）。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654" w:firstLineChars="13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磋商文件</w:t>
      </w:r>
    </w:p>
    <w:p>
      <w:pPr>
        <w:pStyle w:val="9"/>
        <w:numPr>
          <w:ilvl w:val="0"/>
          <w:numId w:val="0"/>
        </w:numPr>
        <w:ind w:right="0" w:rightChars="0"/>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 </w:t>
      </w:r>
      <w:r>
        <w:rPr>
          <w:rFonts w:hint="eastAsia" w:ascii="宋体" w:hAnsi="宋体" w:eastAsia="宋体" w:cs="宋体"/>
          <w:color w:val="auto"/>
          <w:sz w:val="24"/>
          <w:szCs w:val="24"/>
          <w:highlight w:val="none"/>
        </w:rPr>
        <w:t xml:space="preserve">磋商文件的编制依据与构成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7.1 </w:t>
      </w:r>
      <w:r>
        <w:rPr>
          <w:rFonts w:hint="eastAsia" w:ascii="宋体" w:hAnsi="宋体" w:eastAsia="宋体" w:cs="宋体"/>
          <w:color w:val="auto"/>
          <w:sz w:val="24"/>
          <w:szCs w:val="24"/>
          <w:highlight w:val="none"/>
        </w:rPr>
        <w:t xml:space="preserve">本项目磋商文件的编制依据是《中华人民共和国政府采购法》及其实施条例、《政府采购竞争性磋商采购方式管理暂行办法》及其配套的法规、规章政策。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7.2 </w:t>
      </w:r>
      <w:r>
        <w:rPr>
          <w:rFonts w:hint="eastAsia" w:ascii="宋体" w:hAnsi="宋体" w:eastAsia="宋体" w:cs="宋体"/>
          <w:color w:val="auto"/>
          <w:sz w:val="24"/>
          <w:szCs w:val="24"/>
          <w:highlight w:val="none"/>
        </w:rPr>
        <w:t xml:space="preserve">要求提供的服务、货物、磋商过程和合同条件在磋商文件中均有说明。磋商文件以中文文字编写。由下列文件以及在磋商过程中发出的澄清、修改和补充文件组成，内容包括：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磋商须知；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合同格式；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响应文件格式；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其他文件格式。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7.3 </w:t>
      </w:r>
      <w:r>
        <w:rPr>
          <w:rFonts w:hint="eastAsia" w:ascii="宋体" w:hAnsi="宋体" w:eastAsia="宋体" w:cs="宋体"/>
          <w:color w:val="auto"/>
          <w:sz w:val="24"/>
          <w:szCs w:val="24"/>
          <w:highlight w:val="none"/>
        </w:rPr>
        <w:t xml:space="preserve">供应商应认真阅读、并充分理解磋商文件的全部内容（包括所有的补充、修改内容、重要事项、格式、条款和技术规范、参数及要求等）。供应商没有按照磋商文件要求提交全部资料，或者响应文件没有对磋商文件在各方面都作出实质性响应是供应商的风险，有可能导致其响应被拒绝，或被确定为响应无效。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 xml:space="preserve">磋商文件的澄清和修改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8.1 </w:t>
      </w:r>
      <w:r>
        <w:rPr>
          <w:rFonts w:hint="eastAsia" w:ascii="宋体" w:hAnsi="宋体" w:eastAsia="宋体" w:cs="宋体"/>
          <w:color w:val="auto"/>
          <w:sz w:val="24"/>
          <w:szCs w:val="24"/>
          <w:highlight w:val="none"/>
        </w:rPr>
        <w:t>提交首次响应文件截止之日前，采购人、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可以对已发出的磋商文件进行必要的澄清或者修改，澄清或者修改的内容作为磋商文件的组成部分。澄清或者修改的内容可能影响响应文件编制的，采购人、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应当在提交首次响应文件截止时间至少5日前，以书面形式通知所有获取磋商文件的供应商；不足5日的，采购人、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应当顺延提交首次响应文件截止时间。同时在磋商文件指定的政府采购信息发布媒体上发布变更公告。潜在供应商在收到上述通知后，应以书面形式向采购人或</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回复确认。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8.2 </w:t>
      </w:r>
      <w:r>
        <w:rPr>
          <w:rFonts w:hint="eastAsia" w:ascii="宋体" w:hAnsi="宋体" w:eastAsia="宋体" w:cs="宋体"/>
          <w:color w:val="auto"/>
          <w:sz w:val="24"/>
          <w:szCs w:val="24"/>
          <w:highlight w:val="none"/>
        </w:rPr>
        <w:t>磋商文件的澄清或者修改内容作为磋商文件的组成部分，并对供应商具有约束力。当磋商文件、磋商文件的澄清或修改在同一内容的表述上不一致时，以最后发出的文件内容为准。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rPr>
        <w:t xml:space="preserve">答疑会或现场考察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9.1 </w:t>
      </w:r>
      <w:r>
        <w:rPr>
          <w:rFonts w:hint="eastAsia" w:ascii="宋体" w:hAnsi="宋体" w:eastAsia="宋体" w:cs="宋体"/>
          <w:color w:val="auto"/>
          <w:sz w:val="24"/>
          <w:szCs w:val="24"/>
          <w:highlight w:val="none"/>
        </w:rPr>
        <w:t xml:space="preserve">除磋商须知前附表中另有规定，本项目不举行磋商前答疑会及现场考察。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9.2 </w:t>
      </w:r>
      <w:r>
        <w:rPr>
          <w:rFonts w:hint="eastAsia" w:ascii="宋体" w:hAnsi="宋体" w:eastAsia="宋体" w:cs="宋体"/>
          <w:color w:val="auto"/>
          <w:sz w:val="24"/>
          <w:szCs w:val="24"/>
          <w:highlight w:val="none"/>
        </w:rPr>
        <w:t>如举行磋商前答疑会或现场考察的，则按以下规定：已获取磋商文件的潜在供应商对本项目提出疑问的，需在答疑会或现场考察召开日前至少一个工作日将问题以书面形式（加盖公章）提交至</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将以书面形式通知所有获取磋商文件的潜在供应商代表于磋商须知前附表规定的时间和地点出席答疑会或现场考察。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9.3 </w:t>
      </w:r>
      <w:r>
        <w:rPr>
          <w:rFonts w:hint="eastAsia" w:ascii="宋体" w:hAnsi="宋体" w:eastAsia="宋体" w:cs="宋体"/>
          <w:color w:val="auto"/>
          <w:sz w:val="24"/>
          <w:szCs w:val="24"/>
          <w:highlight w:val="none"/>
        </w:rPr>
        <w:t xml:space="preserve">已获取磋商文件的供应商如不出席答疑会或现场考察视为对磋商文件所有内容无任何异议。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3092" w:firstLineChars="11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响应文件的编制</w:t>
      </w:r>
    </w:p>
    <w:p>
      <w:pPr>
        <w:pStyle w:val="9"/>
        <w:numPr>
          <w:ilvl w:val="0"/>
          <w:numId w:val="0"/>
        </w:numPr>
        <w:ind w:leftChars="200" w:right="0" w:rightChars="0"/>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10 </w:t>
      </w:r>
      <w:r>
        <w:rPr>
          <w:rFonts w:hint="eastAsia" w:ascii="宋体" w:hAnsi="宋体" w:eastAsia="宋体" w:cs="宋体"/>
          <w:color w:val="auto"/>
          <w:sz w:val="24"/>
          <w:szCs w:val="24"/>
          <w:highlight w:val="none"/>
        </w:rPr>
        <w:t xml:space="preserve">响应文件的构成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供应商编写的响应文件应包括价格部分、商务部分和技术部分。供应商</w:t>
      </w:r>
      <w:r>
        <w:rPr>
          <w:rFonts w:hint="eastAsia" w:cs="宋体"/>
          <w:color w:val="auto"/>
          <w:sz w:val="24"/>
          <w:szCs w:val="24"/>
          <w:highlight w:val="none"/>
          <w:lang w:val="en-US" w:eastAsia="zh-CN"/>
        </w:rPr>
        <w:t>可以</w:t>
      </w:r>
      <w:r>
        <w:rPr>
          <w:rFonts w:hint="eastAsia" w:ascii="宋体" w:hAnsi="宋体" w:eastAsia="宋体" w:cs="宋体"/>
          <w:color w:val="auto"/>
          <w:sz w:val="24"/>
          <w:szCs w:val="24"/>
          <w:highlight w:val="none"/>
        </w:rPr>
        <w:t>参考磋商文件第五部分</w:t>
      </w:r>
      <w:r>
        <w:rPr>
          <w:rFonts w:hint="eastAsia" w:ascii="宋体" w:hAnsi="宋体" w:eastAsia="宋体" w:cs="宋体"/>
          <w:b/>
          <w:bCs/>
          <w:color w:val="auto"/>
          <w:sz w:val="24"/>
          <w:szCs w:val="24"/>
          <w:highlight w:val="none"/>
        </w:rPr>
        <w:t>响应文件格式</w:t>
      </w:r>
      <w:r>
        <w:rPr>
          <w:rFonts w:hint="eastAsia" w:ascii="宋体" w:hAnsi="宋体" w:eastAsia="宋体" w:cs="宋体"/>
          <w:color w:val="auto"/>
          <w:sz w:val="24"/>
          <w:szCs w:val="24"/>
          <w:highlight w:val="none"/>
        </w:rPr>
        <w:t xml:space="preserve">顺序编排响应文件。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 xml:space="preserve">响应文件的语言及编写原则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响应文件的语言：响应文件、供应商与</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就磋商项目的文件和来往信件，应以中文书写。供应商提供的支持文件、技术资料和印刷的文献可以用其他语言，但相应实质性内容须附有中文翻译本，在解释响应文件的修改内容时以中文翻译本为准。对中文翻译有异议的，以权威机构的译本为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11.2 </w:t>
      </w:r>
      <w:r>
        <w:rPr>
          <w:rFonts w:hint="eastAsia" w:ascii="宋体" w:hAnsi="宋体" w:eastAsia="宋体" w:cs="宋体"/>
          <w:color w:val="auto"/>
          <w:sz w:val="24"/>
          <w:szCs w:val="24"/>
          <w:highlight w:val="none"/>
        </w:rPr>
        <w:t xml:space="preserve">计量单位：除在磋商文件的技术规格中另有规定外，计量单位应使用中华人民共和国法定计量单位(国际单位制和国家选定的其他计量单位)。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11.3 </w:t>
      </w:r>
      <w:r>
        <w:rPr>
          <w:rFonts w:hint="eastAsia" w:ascii="宋体" w:hAnsi="宋体" w:eastAsia="宋体" w:cs="宋体"/>
          <w:color w:val="auto"/>
          <w:sz w:val="24"/>
          <w:szCs w:val="24"/>
          <w:highlight w:val="none"/>
        </w:rPr>
        <w:t>供应商应完整、真实、准确地填写磋商文件中提供的磋商函、</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w:t>
      </w:r>
      <w:r>
        <w:rPr>
          <w:rFonts w:hint="eastAsia" w:ascii="宋体" w:hAnsi="宋体" w:eastAsia="宋体" w:cs="宋体"/>
          <w:color w:val="auto"/>
          <w:sz w:val="24"/>
          <w:szCs w:val="24"/>
          <w:highlight w:val="none"/>
          <w:lang w:eastAsia="zh-CN"/>
        </w:rPr>
        <w:t>报价明细表</w:t>
      </w:r>
      <w:r>
        <w:rPr>
          <w:rFonts w:hint="eastAsia" w:ascii="宋体" w:hAnsi="宋体" w:eastAsia="宋体" w:cs="宋体"/>
          <w:color w:val="auto"/>
          <w:sz w:val="24"/>
          <w:szCs w:val="24"/>
          <w:highlight w:val="none"/>
        </w:rPr>
        <w:t xml:space="preserve">（如适用）以及磋商文件中规定的其它所有内容。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11.4 </w:t>
      </w:r>
      <w:r>
        <w:rPr>
          <w:rFonts w:hint="eastAsia" w:ascii="宋体" w:hAnsi="宋体" w:eastAsia="宋体" w:cs="宋体"/>
          <w:color w:val="auto"/>
          <w:sz w:val="24"/>
          <w:szCs w:val="24"/>
          <w:highlight w:val="none"/>
        </w:rPr>
        <w:t xml:space="preserve">供应商对磋商文件中多个包组进行投标的，其响应文件的编制应当按每个包组的要求分别编制、装订和封装。供应商应对响应文件进装订，对未经装订的响应文件可能发生的文件散落或缺损，由此造成的后果和责任由供应商承担。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11.5 </w:t>
      </w:r>
      <w:r>
        <w:rPr>
          <w:rFonts w:hint="eastAsia" w:ascii="宋体" w:hAnsi="宋体" w:eastAsia="宋体" w:cs="宋体"/>
          <w:color w:val="auto"/>
          <w:sz w:val="24"/>
          <w:szCs w:val="24"/>
          <w:highlight w:val="none"/>
        </w:rPr>
        <w:t>供应商必须对响应文件所提供的全部资料的真实性承担法律责任，并无条件接受采购人、</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及监管部门等对其中任何资料进行核实的要求。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11.6 </w:t>
      </w:r>
      <w:r>
        <w:rPr>
          <w:rFonts w:hint="eastAsia" w:ascii="宋体" w:hAnsi="宋体" w:eastAsia="宋体" w:cs="宋体"/>
          <w:color w:val="auto"/>
          <w:sz w:val="24"/>
          <w:szCs w:val="24"/>
          <w:highlight w:val="none"/>
        </w:rPr>
        <w:t xml:space="preserve">如果因为供应商的响应文件只填写和提供了本磋商文件要求的部分内容和附件，或没有提供磋商文件中所要求的全部资料及数据，由此造成的后果和责任由供应商承担。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 xml:space="preserve">首次报价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12.1 </w:t>
      </w:r>
      <w:r>
        <w:rPr>
          <w:rFonts w:hint="eastAsia" w:ascii="宋体" w:hAnsi="宋体" w:eastAsia="宋体" w:cs="宋体"/>
          <w:color w:val="auto"/>
          <w:sz w:val="24"/>
          <w:szCs w:val="24"/>
          <w:highlight w:val="none"/>
        </w:rPr>
        <w:t>供应商对所提供的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均以人民币报价。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12.2 </w:t>
      </w:r>
      <w:r>
        <w:rPr>
          <w:rFonts w:hint="eastAsia" w:ascii="宋体" w:hAnsi="宋体" w:eastAsia="宋体" w:cs="宋体"/>
          <w:color w:val="auto"/>
          <w:sz w:val="24"/>
          <w:szCs w:val="24"/>
          <w:highlight w:val="none"/>
        </w:rPr>
        <w:t xml:space="preserve">首次报价超过本项目预算金额的按无效响应处理。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12.3 </w:t>
      </w:r>
      <w:r>
        <w:rPr>
          <w:rFonts w:hint="eastAsia" w:ascii="宋体" w:hAnsi="宋体" w:eastAsia="宋体" w:cs="宋体"/>
          <w:color w:val="auto"/>
          <w:sz w:val="24"/>
          <w:szCs w:val="24"/>
          <w:highlight w:val="none"/>
        </w:rPr>
        <w:t>供应商应按照“</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”中采购项目技术或服务要求规定的内容、责任范围进行首次报价，并按《</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要求报出首次价格。首次报价总价中不得包含磋商文件要求以外的内容，否则，在评审时不予核减。首次报价总价中不得缺漏磋商文件所要求的内容，否则，被视为包含在首次报价总价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一览表（首次报价表）》中若出现免费项及赠送项则视同该部分价包含在总报价中。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 xml:space="preserve">12.4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》内容应包含：</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w:t>
      </w:r>
      <w:r>
        <w:rPr>
          <w:rFonts w:hint="eastAsia" w:cs="宋体"/>
          <w:color w:val="auto"/>
          <w:kern w:val="0"/>
          <w:sz w:val="24"/>
          <w:szCs w:val="24"/>
          <w:highlight w:val="none"/>
          <w:lang w:val="en-US" w:eastAsia="zh-CN" w:bidi="ar"/>
        </w:rPr>
        <w:t>及投标总价单</w:t>
      </w:r>
      <w:r>
        <w:rPr>
          <w:rFonts w:hint="eastAsia" w:ascii="宋体" w:hAnsi="宋体" w:eastAsia="宋体" w:cs="宋体"/>
          <w:color w:val="auto"/>
          <w:kern w:val="0"/>
          <w:sz w:val="24"/>
          <w:szCs w:val="24"/>
          <w:highlight w:val="none"/>
          <w:lang w:val="en-US" w:eastAsia="zh-CN" w:bidi="ar"/>
        </w:rPr>
        <w:t>为准</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本项目</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文件中投标总价单必须由投标单位注册造价工程师签字并盖专用章，否则视为不响应磋商文件。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12.5 </w:t>
      </w:r>
      <w:r>
        <w:rPr>
          <w:rFonts w:hint="eastAsia" w:ascii="宋体" w:hAnsi="宋体" w:eastAsia="宋体" w:cs="宋体"/>
          <w:color w:val="auto"/>
          <w:sz w:val="24"/>
          <w:szCs w:val="24"/>
          <w:highlight w:val="none"/>
        </w:rPr>
        <w:t>除</w:t>
      </w:r>
      <w:r>
        <w:rPr>
          <w:rFonts w:hint="eastAsia" w:ascii="宋体" w:hAnsi="宋体" w:eastAsia="宋体" w:cs="宋体"/>
          <w:b/>
          <w:bCs/>
          <w:color w:val="auto"/>
          <w:sz w:val="24"/>
          <w:szCs w:val="24"/>
          <w:highlight w:val="none"/>
        </w:rPr>
        <w:t>磋商须知前附表</w:t>
      </w:r>
      <w:r>
        <w:rPr>
          <w:rFonts w:hint="eastAsia" w:ascii="宋体" w:hAnsi="宋体" w:eastAsia="宋体" w:cs="宋体"/>
          <w:color w:val="auto"/>
          <w:sz w:val="24"/>
          <w:szCs w:val="24"/>
          <w:highlight w:val="none"/>
        </w:rPr>
        <w:t xml:space="preserve">中另有规定，供应商所报的磋商价在合同执行过程中是固定不变的，不得以任何理由予以变更。任何包含价格调整要求的磋商被认为是非实质性响应响应而予以拒绝。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12.6 </w:t>
      </w:r>
      <w:r>
        <w:rPr>
          <w:rFonts w:hint="eastAsia" w:ascii="宋体" w:hAnsi="宋体" w:eastAsia="宋体" w:cs="宋体"/>
          <w:color w:val="auto"/>
          <w:sz w:val="24"/>
          <w:szCs w:val="24"/>
          <w:highlight w:val="none"/>
        </w:rPr>
        <w:t xml:space="preserve">除磋商须知前附表中允许有备选方案外，本次磋商不接受选择性报价，不接受具有附加条件的报价， 否则将被视为无效响应。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rPr>
        <w:t xml:space="preserve">联合体投标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 </w:t>
      </w:r>
      <w:r>
        <w:rPr>
          <w:rFonts w:hint="eastAsia" w:ascii="宋体" w:hAnsi="宋体" w:eastAsia="宋体" w:cs="宋体"/>
          <w:color w:val="auto"/>
          <w:sz w:val="24"/>
          <w:szCs w:val="24"/>
          <w:highlight w:val="none"/>
        </w:rPr>
        <w:t xml:space="preserve">磋商文件第一部分“磋商邀请”中拒绝接受联合体投标的，则不接受联合体磋商。如果“磋商邀请” 中允许联合体投标的，则必须满足：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13.1.1 </w:t>
      </w:r>
      <w:r>
        <w:rPr>
          <w:rFonts w:hint="eastAsia" w:ascii="宋体" w:hAnsi="宋体" w:eastAsia="宋体" w:cs="宋体"/>
          <w:color w:val="auto"/>
          <w:sz w:val="24"/>
          <w:szCs w:val="24"/>
          <w:highlight w:val="none"/>
        </w:rPr>
        <w:t xml:space="preserve">以联合体形式参加磋商的，联合体各方均必须符合《中华人民共和国政府采购法》第二十二条规定，联合体中有同类资质的供应商按照联合体分工承担相同工作的，按照资质等级较低的供应商确定资质等级。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13.1.2 </w:t>
      </w:r>
      <w:r>
        <w:rPr>
          <w:rFonts w:hint="eastAsia" w:ascii="宋体" w:hAnsi="宋体" w:eastAsia="宋体" w:cs="宋体"/>
          <w:color w:val="auto"/>
          <w:sz w:val="24"/>
          <w:szCs w:val="24"/>
          <w:highlight w:val="none"/>
        </w:rPr>
        <w:t xml:space="preserve">联合体磋商的，必须提供各方签订的共同投标协议，明确约定各方承担的工作和相应的责任。联合体各方签订共同磋商协议后，不得再以自己名义单独在同一项目（或包组）中磋商，也不得组成新的联合体参加同一项目（或包组）磋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13.1.3 </w:t>
      </w:r>
      <w:r>
        <w:rPr>
          <w:rFonts w:hint="eastAsia" w:ascii="宋体" w:hAnsi="宋体" w:eastAsia="宋体" w:cs="宋体"/>
          <w:color w:val="auto"/>
          <w:sz w:val="24"/>
          <w:szCs w:val="24"/>
          <w:highlight w:val="none"/>
        </w:rPr>
        <w:t xml:space="preserve">联合体磋商的，可以由联合体中的一方或者共同提交磋商保证金，以一方名义提交投磋商证金的，对联合体各方均具有约束力。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13.1.4 </w:t>
      </w:r>
      <w:r>
        <w:rPr>
          <w:rFonts w:hint="eastAsia" w:ascii="宋体" w:hAnsi="宋体" w:eastAsia="宋体" w:cs="宋体"/>
          <w:color w:val="auto"/>
          <w:sz w:val="24"/>
          <w:szCs w:val="24"/>
          <w:highlight w:val="none"/>
        </w:rPr>
        <w:t xml:space="preserve">联合体成交的，联合体各方应当共同与采购人签订合同。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13.1.5 </w:t>
      </w:r>
      <w:r>
        <w:rPr>
          <w:rFonts w:hint="eastAsia" w:ascii="宋体" w:hAnsi="宋体" w:eastAsia="宋体" w:cs="宋体"/>
          <w:color w:val="auto"/>
          <w:sz w:val="24"/>
          <w:szCs w:val="24"/>
          <w:highlight w:val="none"/>
        </w:rPr>
        <w:t>联合体在报名登记时，提交经联合体各方盖章的联合体磋商协议，以确认联合体的牵头人及成员。</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 xml:space="preserve">证明供应商合格的资格文件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14.1 </w:t>
      </w:r>
      <w:r>
        <w:rPr>
          <w:rFonts w:hint="eastAsia" w:ascii="宋体" w:hAnsi="宋体" w:eastAsia="宋体" w:cs="宋体"/>
          <w:color w:val="auto"/>
          <w:sz w:val="24"/>
          <w:szCs w:val="24"/>
          <w:highlight w:val="none"/>
        </w:rPr>
        <w:t xml:space="preserve">供应商应提交证明其有资格参加磋商和被确定为成交供应商后有能力履行合同的文件，以及证明其提供的合同项下，服务的合格性符合磋商文件规定的文件，并作为响应文件的一部分。如果供应商为联合体，应提交联合体各方的资格证明文件、共同磋商协议并注明主体方及各方拟承担的工作和责任。否则，将导致其响应无效。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14.2 </w:t>
      </w:r>
      <w:r>
        <w:rPr>
          <w:rFonts w:hint="eastAsia" w:ascii="宋体" w:hAnsi="宋体" w:eastAsia="宋体" w:cs="宋体"/>
          <w:color w:val="auto"/>
          <w:sz w:val="24"/>
          <w:szCs w:val="24"/>
          <w:highlight w:val="none"/>
        </w:rPr>
        <w:t>供应商提交的资格证明文件应满足第一部分“磋商</w:t>
      </w:r>
      <w:r>
        <w:rPr>
          <w:rFonts w:hint="eastAsia" w:cs="宋体"/>
          <w:color w:val="auto"/>
          <w:sz w:val="24"/>
          <w:szCs w:val="24"/>
          <w:highlight w:val="none"/>
          <w:lang w:val="en-US" w:eastAsia="zh-CN"/>
        </w:rPr>
        <w:t>公告</w:t>
      </w:r>
      <w:r>
        <w:rPr>
          <w:rFonts w:hint="eastAsia" w:ascii="宋体" w:hAnsi="宋体" w:eastAsia="宋体" w:cs="宋体"/>
          <w:color w:val="auto"/>
          <w:sz w:val="24"/>
          <w:szCs w:val="24"/>
          <w:highlight w:val="none"/>
        </w:rPr>
        <w:t xml:space="preserve">”供应商资格要求的全部条款。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 xml:space="preserve">证明标的的合格性和符合磋商文件规定的文件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15.1 </w:t>
      </w:r>
      <w:r>
        <w:rPr>
          <w:rFonts w:hint="eastAsia" w:ascii="宋体" w:hAnsi="宋体" w:eastAsia="宋体" w:cs="宋体"/>
          <w:color w:val="auto"/>
          <w:sz w:val="24"/>
          <w:szCs w:val="24"/>
          <w:highlight w:val="none"/>
        </w:rPr>
        <w:t>供应商应提交证明文件，证明其拟磋商的</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的合格性符合磋商文件规定。该证明文件作为响应文件的一部分。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15.2 工程</w:t>
      </w:r>
      <w:r>
        <w:rPr>
          <w:rFonts w:hint="eastAsia" w:ascii="宋体" w:hAnsi="宋体" w:eastAsia="宋体" w:cs="宋体"/>
          <w:color w:val="auto"/>
          <w:sz w:val="24"/>
          <w:szCs w:val="24"/>
          <w:highlight w:val="none"/>
        </w:rPr>
        <w:t>合格性的证明文件应包括</w:t>
      </w:r>
      <w:r>
        <w:rPr>
          <w:rFonts w:hint="eastAsia" w:ascii="宋体" w:hAnsi="宋体" w:eastAsia="宋体" w:cs="宋体"/>
          <w:color w:val="auto"/>
          <w:sz w:val="24"/>
          <w:szCs w:val="24"/>
          <w:highlight w:val="none"/>
          <w:lang w:val="en-US" w:eastAsia="zh-CN"/>
        </w:rPr>
        <w:t>标价的工程量清单</w:t>
      </w:r>
      <w:r>
        <w:rPr>
          <w:rFonts w:hint="eastAsia" w:ascii="宋体" w:hAnsi="宋体" w:eastAsia="宋体" w:cs="宋体"/>
          <w:color w:val="auto"/>
          <w:sz w:val="24"/>
          <w:szCs w:val="24"/>
          <w:highlight w:val="none"/>
        </w:rPr>
        <w:t xml:space="preserve">中对货物和服务原产地的说明。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 xml:space="preserve">15.3 </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与磋商文件的要求相一致的文件，可以是文字资料、图纸和数据，它包括：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15.3.1 工程</w:t>
      </w:r>
      <w:r>
        <w:rPr>
          <w:rFonts w:hint="eastAsia" w:ascii="宋体" w:hAnsi="宋体" w:eastAsia="宋体" w:cs="宋体"/>
          <w:color w:val="auto"/>
          <w:sz w:val="24"/>
          <w:szCs w:val="24"/>
          <w:highlight w:val="none"/>
        </w:rPr>
        <w:t xml:space="preserve">主要技术指标和性能的详细说明；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15.3.2 工程</w:t>
      </w:r>
      <w:r>
        <w:rPr>
          <w:rFonts w:hint="eastAsia" w:ascii="宋体" w:hAnsi="宋体" w:eastAsia="宋体" w:cs="宋体"/>
          <w:color w:val="auto"/>
          <w:sz w:val="24"/>
          <w:szCs w:val="24"/>
          <w:highlight w:val="none"/>
        </w:rPr>
        <w:t xml:space="preserve">正常使用所必须的备件和专用工具清单，包括备件和专用工具的货源及现行价格；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15.3.3</w:t>
      </w:r>
      <w:r>
        <w:rPr>
          <w:rFonts w:hint="eastAsia" w:ascii="宋体" w:hAnsi="宋体" w:eastAsia="宋体" w:cs="宋体"/>
          <w:color w:val="auto"/>
          <w:sz w:val="24"/>
          <w:szCs w:val="24"/>
          <w:highlight w:val="none"/>
        </w:rPr>
        <w:t>对照磋商文件技术规格，逐条说明所提供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已对磋商文件的技术规格作出了实质性的响应，并申明与技术规格条文的偏差和例外。对有具体参数要求的指标，供应商应提供所投设备的具体参数值。供应商在阐述时应注意磋商文件的技术规格中指出的工艺、材料和设备的标准。供应商在磋商中要实质上满足磋商文件的要求。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 </w:t>
      </w:r>
      <w:r>
        <w:rPr>
          <w:rFonts w:hint="eastAsia" w:ascii="宋体" w:hAnsi="宋体" w:eastAsia="宋体" w:cs="宋体"/>
          <w:color w:val="auto"/>
          <w:sz w:val="24"/>
          <w:szCs w:val="24"/>
          <w:highlight w:val="none"/>
        </w:rPr>
        <w:t xml:space="preserve">不允许偏离的实质性条款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 </w:t>
      </w:r>
      <w:r>
        <w:rPr>
          <w:rFonts w:hint="eastAsia" w:ascii="宋体" w:hAnsi="宋体" w:eastAsia="宋体" w:cs="宋体"/>
          <w:color w:val="auto"/>
          <w:sz w:val="24"/>
          <w:szCs w:val="24"/>
          <w:highlight w:val="none"/>
        </w:rPr>
        <w:t xml:space="preserve">响应文件必须对磋商文件中实质性条款的要求进行响应，不能出现负偏离，否则将导致响应无效。不允许负偏离的实质性条款如下：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16.1.1 </w:t>
      </w:r>
      <w:r>
        <w:rPr>
          <w:rFonts w:hint="eastAsia" w:ascii="宋体" w:hAnsi="宋体" w:eastAsia="宋体" w:cs="宋体"/>
          <w:color w:val="auto"/>
          <w:sz w:val="24"/>
          <w:szCs w:val="24"/>
          <w:highlight w:val="none"/>
        </w:rPr>
        <w:t xml:space="preserve">加注“★部分”条款；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16.1.2 </w:t>
      </w:r>
      <w:r>
        <w:rPr>
          <w:rFonts w:hint="eastAsia" w:ascii="宋体" w:hAnsi="宋体" w:eastAsia="宋体" w:cs="宋体"/>
          <w:color w:val="auto"/>
          <w:sz w:val="24"/>
          <w:szCs w:val="24"/>
          <w:highlight w:val="none"/>
        </w:rPr>
        <w:t xml:space="preserve">磋商文件规定的其他必须响应的内容。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16.2 </w:t>
      </w:r>
      <w:r>
        <w:rPr>
          <w:rFonts w:hint="eastAsia" w:ascii="宋体" w:hAnsi="宋体" w:eastAsia="宋体" w:cs="宋体"/>
          <w:color w:val="auto"/>
          <w:sz w:val="24"/>
          <w:szCs w:val="24"/>
          <w:highlight w:val="none"/>
        </w:rPr>
        <w:t>响应文件中技术规格、参数或其他内容优于磋商文件的要求视作正偏离，不构成响应无效，供应商对这种优于</w:t>
      </w:r>
      <w:r>
        <w:rPr>
          <w:rFonts w:hint="eastAsia" w:ascii="宋体" w:hAnsi="宋体" w:eastAsia="宋体" w:cs="宋体"/>
          <w:color w:val="auto"/>
          <w:sz w:val="24"/>
          <w:szCs w:val="24"/>
          <w:highlight w:val="none"/>
          <w:lang w:eastAsia="zh-CN"/>
        </w:rPr>
        <w:t>采购项目需求</w:t>
      </w:r>
      <w:r>
        <w:rPr>
          <w:rFonts w:hint="eastAsia" w:ascii="宋体" w:hAnsi="宋体" w:eastAsia="宋体" w:cs="宋体"/>
          <w:color w:val="auto"/>
          <w:sz w:val="24"/>
          <w:szCs w:val="24"/>
          <w:highlight w:val="none"/>
        </w:rPr>
        <w:t>要求的情况必须单独说明。</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 xml:space="preserve">磋商保证金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17.1 </w:t>
      </w:r>
      <w:r>
        <w:rPr>
          <w:rFonts w:hint="eastAsia" w:ascii="宋体" w:hAnsi="宋体" w:eastAsia="宋体" w:cs="宋体"/>
          <w:color w:val="auto"/>
          <w:sz w:val="24"/>
          <w:szCs w:val="24"/>
          <w:highlight w:val="none"/>
        </w:rPr>
        <w:t xml:space="preserve">供应商应按磋商须知前附表中规定的金额、期限缴纳磋商保证金，并作为其响应文件的组成部分。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17.2 采</w:t>
      </w:r>
      <w:r>
        <w:rPr>
          <w:rFonts w:hint="eastAsia" w:ascii="宋体" w:hAnsi="宋体" w:eastAsia="宋体" w:cs="宋体"/>
          <w:color w:val="auto"/>
          <w:sz w:val="24"/>
          <w:szCs w:val="24"/>
          <w:highlight w:val="none"/>
        </w:rPr>
        <w:t>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应当在采购活动结束后退还供应商的磋商保证金，但因供应商自身原因导致无法及时退还的除外。未成交供应商的磋商保证金应当在成交通知书发出后5个工作日内退还，成交供应商的磋商保证金应当在采购合同签订后5个工作日内退还。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 </w:t>
      </w:r>
      <w:r>
        <w:rPr>
          <w:rFonts w:hint="eastAsia" w:ascii="宋体" w:hAnsi="宋体" w:eastAsia="宋体" w:cs="宋体"/>
          <w:color w:val="auto"/>
          <w:sz w:val="24"/>
          <w:szCs w:val="24"/>
          <w:highlight w:val="none"/>
        </w:rPr>
        <w:t xml:space="preserve">有下列情形之一的，磋商保证金不予退还：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17.3.1 </w:t>
      </w:r>
      <w:r>
        <w:rPr>
          <w:rFonts w:hint="eastAsia" w:ascii="宋体" w:hAnsi="宋体" w:eastAsia="宋体" w:cs="宋体"/>
          <w:color w:val="auto"/>
          <w:sz w:val="24"/>
          <w:szCs w:val="24"/>
          <w:highlight w:val="none"/>
        </w:rPr>
        <w:t xml:space="preserve">供应商在提交响应文件截止时间后撤回响应文件的；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17.3.2 </w:t>
      </w:r>
      <w:r>
        <w:rPr>
          <w:rFonts w:hint="eastAsia" w:ascii="宋体" w:hAnsi="宋体" w:eastAsia="宋体" w:cs="宋体"/>
          <w:color w:val="auto"/>
          <w:sz w:val="24"/>
          <w:szCs w:val="24"/>
          <w:highlight w:val="none"/>
        </w:rPr>
        <w:t xml:space="preserve">供应商在响应文件中提供虚假材料的；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17.3.3 </w:t>
      </w:r>
      <w:r>
        <w:rPr>
          <w:rFonts w:hint="eastAsia" w:ascii="宋体" w:hAnsi="宋体" w:eastAsia="宋体" w:cs="宋体"/>
          <w:color w:val="auto"/>
          <w:sz w:val="24"/>
          <w:szCs w:val="24"/>
          <w:highlight w:val="none"/>
        </w:rPr>
        <w:t xml:space="preserve">除因不可抗力或磋商文件认可的情形以外，成交供应商不与采购人签订合同的；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17.3.4 </w:t>
      </w:r>
      <w:r>
        <w:rPr>
          <w:rFonts w:hint="eastAsia" w:ascii="宋体" w:hAnsi="宋体" w:eastAsia="宋体" w:cs="宋体"/>
          <w:color w:val="auto"/>
          <w:sz w:val="24"/>
          <w:szCs w:val="24"/>
          <w:highlight w:val="none"/>
        </w:rPr>
        <w:t xml:space="preserve">供应商与采购人、其他供应商恶意串通的；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17.3.5 </w:t>
      </w:r>
      <w:r>
        <w:rPr>
          <w:rFonts w:hint="eastAsia" w:ascii="宋体" w:hAnsi="宋体" w:eastAsia="宋体" w:cs="宋体"/>
          <w:color w:val="auto"/>
          <w:sz w:val="24"/>
          <w:szCs w:val="24"/>
          <w:highlight w:val="none"/>
        </w:rPr>
        <w:t xml:space="preserve">磋商文件规定的其他情形。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 </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18.1 </w:t>
      </w:r>
      <w:r>
        <w:rPr>
          <w:rFonts w:hint="eastAsia" w:ascii="宋体" w:hAnsi="宋体" w:eastAsia="宋体" w:cs="宋体"/>
          <w:color w:val="auto"/>
          <w:sz w:val="24"/>
          <w:szCs w:val="24"/>
          <w:highlight w:val="none"/>
        </w:rPr>
        <w:t>响应文件的有效期</w:t>
      </w:r>
      <w:r>
        <w:rPr>
          <w:rFonts w:hint="eastAsia" w:ascii="宋体" w:hAnsi="宋体" w:eastAsia="宋体" w:cs="宋体"/>
          <w:color w:val="auto"/>
          <w:sz w:val="24"/>
          <w:szCs w:val="24"/>
          <w:highlight w:val="none"/>
          <w:lang w:val="en-US" w:eastAsia="zh-CN"/>
        </w:rPr>
        <w:t>见磋商须知前附表之规定</w:t>
      </w:r>
      <w:r>
        <w:rPr>
          <w:rFonts w:hint="eastAsia" w:ascii="宋体" w:hAnsi="宋体" w:eastAsia="宋体" w:cs="宋体"/>
          <w:color w:val="auto"/>
          <w:sz w:val="24"/>
          <w:szCs w:val="24"/>
          <w:highlight w:val="none"/>
        </w:rPr>
        <w:t>，响应文件应在此期限内保持有效。磋商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有效期不足的响应文件将被视为非实质性响应，视为无效响应文件。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18.2 </w:t>
      </w:r>
      <w:r>
        <w:rPr>
          <w:rFonts w:hint="eastAsia" w:ascii="宋体" w:hAnsi="宋体" w:eastAsia="宋体" w:cs="宋体"/>
          <w:color w:val="auto"/>
          <w:sz w:val="24"/>
          <w:szCs w:val="24"/>
          <w:highlight w:val="none"/>
        </w:rPr>
        <w:t>特殊情况下，在原磋商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有效期截止之前，</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可要求供应商延长磋商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有效期。这种要求与答复均应以书面形式提交。供应商可拒绝</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的这种要求，其磋商保证金将被无息退还，但其磋商在原磋商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有效期期满后将不再有效。同意延长磋商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 xml:space="preserve">有效期的供应商将不会被要求和允许修正其磋商，而只会被要求相应地延长其磋商保证金的有效期。在这种情况下，本须知有关磋商保证金的退还和没收的规定将在延长了的有效期内继续有效。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 </w:t>
      </w:r>
      <w:r>
        <w:rPr>
          <w:rFonts w:hint="eastAsia" w:ascii="宋体" w:hAnsi="宋体" w:eastAsia="宋体" w:cs="宋体"/>
          <w:color w:val="auto"/>
          <w:sz w:val="24"/>
          <w:szCs w:val="24"/>
          <w:highlight w:val="none"/>
        </w:rPr>
        <w:t xml:space="preserve">响应文件的式样和签署 </w:t>
      </w:r>
    </w:p>
    <w:p>
      <w:pPr>
        <w:spacing w:line="440" w:lineRule="exact"/>
        <w:ind w:firstLine="480" w:firstLineChars="200"/>
        <w:rPr>
          <w:rFonts w:hint="eastAsia"/>
          <w:color w:val="auto"/>
          <w:sz w:val="24"/>
          <w:szCs w:val="24"/>
          <w:highlight w:val="none"/>
        </w:rPr>
      </w:pPr>
      <w:r>
        <w:rPr>
          <w:rFonts w:hint="eastAsia" w:ascii="宋体" w:hAnsi="宋体" w:eastAsia="宋体" w:cs="宋体"/>
          <w:color w:val="auto"/>
          <w:sz w:val="24"/>
          <w:szCs w:val="24"/>
          <w:highlight w:val="none"/>
          <w:lang w:val="en-US" w:eastAsia="zh-CN"/>
        </w:rPr>
        <w:t xml:space="preserve">19.1 </w:t>
      </w:r>
      <w:r>
        <w:rPr>
          <w:rFonts w:hint="eastAsia" w:ascii="宋体" w:hAnsi="宋体" w:eastAsia="宋体" w:cs="宋体"/>
          <w:color w:val="auto"/>
          <w:sz w:val="24"/>
          <w:szCs w:val="24"/>
          <w:highlight w:val="none"/>
        </w:rPr>
        <w:t>响应文件的式样：</w:t>
      </w:r>
      <w:r>
        <w:rPr>
          <w:rFonts w:hint="eastAsia"/>
          <w:color w:val="auto"/>
          <w:sz w:val="24"/>
          <w:szCs w:val="24"/>
          <w:highlight w:val="none"/>
        </w:rPr>
        <w:t xml:space="preserve">在政采云平台上传加密的电子响应文件。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 </w:t>
      </w:r>
      <w:r>
        <w:rPr>
          <w:rFonts w:hint="eastAsia" w:ascii="宋体" w:hAnsi="宋体" w:eastAsia="宋体" w:cs="宋体"/>
          <w:color w:val="auto"/>
          <w:sz w:val="24"/>
          <w:szCs w:val="24"/>
          <w:highlight w:val="none"/>
        </w:rPr>
        <w:t xml:space="preserve">响应文件的签署及盖章：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19.2.1 </w:t>
      </w:r>
      <w:r>
        <w:rPr>
          <w:rFonts w:hint="eastAsia" w:ascii="宋体" w:hAnsi="宋体" w:eastAsia="宋体" w:cs="宋体"/>
          <w:color w:val="auto"/>
          <w:sz w:val="24"/>
          <w:szCs w:val="24"/>
          <w:highlight w:val="none"/>
        </w:rPr>
        <w:t xml:space="preserve">响应文件要求签名或盖章的内容（磋商文件第五部分“响应文件格式”中要求法人代表或授权委托人签名或盖章）必须由法定代表人或经其正式授权的代表签字或盖章，由授权代表签字或盖章的， 必须将书面形式出具的《法定代表人授权委托书》附在响应文件中。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rPr>
      </w:pPr>
      <w:r>
        <w:rPr>
          <w:rFonts w:hint="eastAsia" w:ascii="宋体" w:hAnsi="宋体" w:eastAsia="宋体" w:cs="宋体"/>
          <w:color w:val="auto"/>
          <w:sz w:val="24"/>
          <w:szCs w:val="24"/>
          <w:highlight w:val="none"/>
          <w:lang w:val="en-US" w:eastAsia="zh-CN"/>
        </w:rPr>
        <w:t>19.2.2</w:t>
      </w:r>
      <w:r>
        <w:rPr>
          <w:rFonts w:hint="eastAsia"/>
          <w:color w:val="auto"/>
          <w:sz w:val="24"/>
          <w:szCs w:val="24"/>
          <w:highlight w:val="none"/>
        </w:rPr>
        <w:t>响应文件要求盖公章的内容（磋商文件第五部分“响应文件格式”中要求盖供应商公章）必须加盖供应商公章。</w:t>
      </w:r>
    </w:p>
    <w:p>
      <w:pPr>
        <w:rPr>
          <w:rFonts w:hint="eastAsia" w:ascii="宋体" w:hAnsi="宋体" w:eastAsia="宋体" w:cs="宋体"/>
          <w:color w:val="auto"/>
          <w:sz w:val="24"/>
          <w:szCs w:val="24"/>
          <w:highlight w:val="none"/>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811" w:firstLineChars="100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rPr>
        <w:t>响应文件的递交</w:t>
      </w: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jc w:val="both"/>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20 </w:t>
      </w:r>
      <w:r>
        <w:rPr>
          <w:rFonts w:hint="eastAsia" w:cs="宋体"/>
          <w:b/>
          <w:bCs/>
          <w:color w:val="auto"/>
          <w:sz w:val="24"/>
          <w:szCs w:val="24"/>
          <w:highlight w:val="none"/>
          <w:lang w:val="en-US" w:eastAsia="zh-CN"/>
        </w:rPr>
        <w:t>加密 电子响应文件</w:t>
      </w:r>
      <w:r>
        <w:rPr>
          <w:rFonts w:hint="eastAsia" w:ascii="宋体" w:hAnsi="宋体" w:eastAsia="宋体" w:cs="宋体"/>
          <w:b/>
          <w:bCs/>
          <w:color w:val="auto"/>
          <w:sz w:val="24"/>
          <w:szCs w:val="24"/>
          <w:highlight w:val="none"/>
        </w:rPr>
        <w:t xml:space="preserve"> </w:t>
      </w:r>
    </w:p>
    <w:p>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20.1</w:t>
      </w:r>
      <w:r>
        <w:rPr>
          <w:rFonts w:hint="eastAsia"/>
          <w:color w:val="auto"/>
          <w:sz w:val="24"/>
          <w:szCs w:val="24"/>
          <w:highlight w:val="none"/>
          <w:lang w:val="en-US" w:eastAsia="zh-CN"/>
        </w:rPr>
        <w:t xml:space="preserve"> 本项目采用不见面开标，供应商须在投标截止时间前通过CA在政采云平台上传加密的电子响应文件。供应商对不见面开评标系统的技术操作咨询，可通过 （https://www.xjca.com.cn/）或下载“新疆政务通”APP自行进行申领。自助查询，也可在政采云帮助中心常见问题解答和操作流程讲解视频中自助查询，网址为：（https://www.xjca.com.cn/）“项目采购”—“操作流程-电子招投标”— “政府采购项目电子交易管理操作指南-供应商”版面获取操作指南，同时对所有无法解决的问题可通过钉钉群及政采云在线客服获取服务支持</w:t>
      </w:r>
      <w:r>
        <w:rPr>
          <w:rFonts w:hint="eastAsia"/>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21 </w:t>
      </w:r>
      <w:r>
        <w:rPr>
          <w:rFonts w:hint="eastAsia" w:ascii="宋体" w:hAnsi="宋体" w:eastAsia="宋体" w:cs="宋体"/>
          <w:b/>
          <w:bCs/>
          <w:color w:val="auto"/>
          <w:sz w:val="24"/>
          <w:szCs w:val="24"/>
          <w:highlight w:val="none"/>
        </w:rPr>
        <w:t>磋商响应截止</w:t>
      </w:r>
      <w:r>
        <w:rPr>
          <w:rFonts w:hint="eastAsia" w:ascii="宋体" w:hAnsi="宋体" w:eastAsia="宋体" w:cs="宋体"/>
          <w:color w:val="auto"/>
          <w:sz w:val="24"/>
          <w:szCs w:val="24"/>
          <w:highlight w:val="none"/>
        </w:rPr>
        <w:t xml:space="preserve"> </w:t>
      </w:r>
    </w:p>
    <w:p>
      <w:pPr>
        <w:spacing w:line="440" w:lineRule="exact"/>
        <w:ind w:firstLine="480" w:firstLineChars="200"/>
        <w:rPr>
          <w:rFonts w:hint="eastAsia" w:eastAsia="宋体"/>
          <w:color w:val="auto"/>
          <w:sz w:val="24"/>
          <w:szCs w:val="24"/>
          <w:highlight w:val="none"/>
          <w:lang w:eastAsia="zh-CN"/>
        </w:rPr>
      </w:pPr>
      <w:r>
        <w:rPr>
          <w:rFonts w:hint="eastAsia"/>
          <w:color w:val="auto"/>
          <w:sz w:val="24"/>
          <w:szCs w:val="24"/>
          <w:highlight w:val="none"/>
          <w:lang w:val="en-US"/>
        </w:rPr>
        <w:t xml:space="preserve">21.1 </w:t>
      </w:r>
      <w:r>
        <w:rPr>
          <w:rFonts w:hint="eastAsia"/>
          <w:color w:val="auto"/>
          <w:sz w:val="24"/>
          <w:szCs w:val="24"/>
          <w:highlight w:val="none"/>
        </w:rPr>
        <w:t>供应商应在磋商文件第一部分“磋商</w:t>
      </w:r>
      <w:r>
        <w:rPr>
          <w:rFonts w:hint="eastAsia"/>
          <w:color w:val="auto"/>
          <w:sz w:val="24"/>
          <w:szCs w:val="24"/>
          <w:highlight w:val="none"/>
          <w:lang w:val="en-US" w:eastAsia="zh-CN"/>
        </w:rPr>
        <w:t>公告</w:t>
      </w:r>
      <w:r>
        <w:rPr>
          <w:rFonts w:hint="eastAsia"/>
          <w:color w:val="auto"/>
          <w:sz w:val="24"/>
          <w:szCs w:val="24"/>
          <w:highlight w:val="none"/>
        </w:rPr>
        <w:t>”中规定的截止日期和时间前将</w:t>
      </w:r>
      <w:r>
        <w:rPr>
          <w:rFonts w:hint="eastAsia"/>
          <w:color w:val="auto"/>
          <w:sz w:val="24"/>
          <w:szCs w:val="24"/>
          <w:highlight w:val="none"/>
          <w:lang w:val="en-US" w:eastAsia="zh-CN"/>
        </w:rPr>
        <w:t>电子</w:t>
      </w:r>
      <w:r>
        <w:rPr>
          <w:rFonts w:hint="eastAsia"/>
          <w:color w:val="auto"/>
          <w:sz w:val="24"/>
          <w:szCs w:val="24"/>
          <w:highlight w:val="none"/>
        </w:rPr>
        <w:t>响应文件</w:t>
      </w:r>
      <w:r>
        <w:rPr>
          <w:rFonts w:hint="eastAsia"/>
          <w:color w:val="auto"/>
          <w:sz w:val="24"/>
          <w:szCs w:val="24"/>
          <w:highlight w:val="none"/>
          <w:lang w:val="en-US" w:eastAsia="zh-CN"/>
        </w:rPr>
        <w:t>递交上传</w:t>
      </w:r>
      <w:r>
        <w:rPr>
          <w:rFonts w:hint="eastAsia"/>
          <w:color w:val="auto"/>
          <w:sz w:val="24"/>
          <w:szCs w:val="24"/>
          <w:highlight w:val="none"/>
        </w:rPr>
        <w:t>至新疆政府采购云平台</w:t>
      </w:r>
      <w:r>
        <w:rPr>
          <w:rFonts w:hint="eastAsia"/>
          <w:color w:val="auto"/>
          <w:sz w:val="24"/>
          <w:szCs w:val="24"/>
          <w:highlight w:val="none"/>
          <w:lang w:val="en-US" w:eastAsia="zh-CN"/>
        </w:rPr>
        <w:t>（https://www.xjca.com.cn/）</w:t>
      </w:r>
      <w:r>
        <w:rPr>
          <w:rFonts w:hint="eastAsia"/>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21.2 </w:t>
      </w:r>
      <w:r>
        <w:rPr>
          <w:rFonts w:hint="eastAsia" w:ascii="宋体" w:hAnsi="宋体" w:eastAsia="宋体" w:cs="宋体"/>
          <w:color w:val="auto"/>
          <w:sz w:val="24"/>
          <w:szCs w:val="24"/>
          <w:highlight w:val="none"/>
        </w:rPr>
        <w:t>为使供应商准备响应时有充分时间对磋商文件的修改部分进行研究，采购人或者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可适当推迟响应截止期，但应发布公告并书面通知所有获取磋商文件的潜在供应商。在此情况下，采购人或者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和供应商受响应截止期制约的所有权利和义务均应延长至新的截止期。 </w:t>
      </w:r>
    </w:p>
    <w:p>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21.3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将拒收在磋商文件规定的响应截止时间之后送达的响应文件及未报名获取磋商文件的供应商递交的响应文件。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22 </w:t>
      </w:r>
      <w:r>
        <w:rPr>
          <w:rFonts w:hint="eastAsia" w:ascii="宋体" w:hAnsi="宋体" w:eastAsia="宋体" w:cs="宋体"/>
          <w:b/>
          <w:bCs/>
          <w:color w:val="auto"/>
          <w:sz w:val="24"/>
          <w:szCs w:val="24"/>
          <w:highlight w:val="none"/>
        </w:rPr>
        <w:t>响应文件的修改和撤回</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供应商在响应文件提交截止期前，可以对所提交的响应文件进行补充、修改或者撤回，并书面通知采购单位。补充、修改的内容应当按磋商文件要求签署、盖章，并作为响应文件的组成部分。补充、修改的内容和响应文件不一致的，以补充、修改的内容为准。在响应文件递交截止期时点之后，磋商供应商不得撤回其响应文件，不得对其响应文件做任何修改和补充。</w:t>
      </w:r>
    </w:p>
    <w:p>
      <w:pPr>
        <w:pStyle w:val="9"/>
        <w:rPr>
          <w:rFonts w:hint="eastAsia"/>
          <w:color w:val="auto"/>
          <w:highlight w:val="none"/>
        </w:rPr>
      </w:pPr>
    </w:p>
    <w:p>
      <w:pPr>
        <w:keepNext w:val="0"/>
        <w:keepLines w:val="0"/>
        <w:pageBreakBefore w:val="0"/>
        <w:widowControl w:val="0"/>
        <w:numPr>
          <w:ilvl w:val="0"/>
          <w:numId w:val="5"/>
        </w:numPr>
        <w:kinsoku/>
        <w:wordWrap/>
        <w:overflowPunct/>
        <w:topLinePunct w:val="0"/>
        <w:autoSpaceDE w:val="0"/>
        <w:autoSpaceDN w:val="0"/>
        <w:bidi w:val="0"/>
        <w:adjustRightInd/>
        <w:snapToGrid/>
        <w:spacing w:line="440" w:lineRule="exact"/>
        <w:ind w:right="0" w:rightChars="0"/>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bCs/>
          <w:color w:val="auto"/>
          <w:sz w:val="28"/>
          <w:szCs w:val="28"/>
          <w:highlight w:val="none"/>
          <w:lang w:val="en-US" w:eastAsia="zh-CN"/>
        </w:rPr>
        <w:t>程序</w:t>
      </w:r>
    </w:p>
    <w:p>
      <w:pPr>
        <w:pStyle w:val="9"/>
        <w:numPr>
          <w:ilvl w:val="0"/>
          <w:numId w:val="0"/>
        </w:numPr>
        <w:ind w:right="0" w:rightChars="0"/>
        <w:rPr>
          <w:rFonts w:hint="eastAsia"/>
          <w:color w:val="auto"/>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 开启</w:t>
      </w:r>
    </w:p>
    <w:p>
      <w:pPr>
        <w:pageBreakBefore w:val="0"/>
        <w:kinsoku/>
        <w:wordWrap/>
        <w:overflowPunct/>
        <w:topLinePunct w:val="0"/>
        <w:bidi w:val="0"/>
        <w:snapToGrid/>
        <w:spacing w:line="40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rPr>
        <w:t>23.1 开启会议</w:t>
      </w:r>
      <w:r>
        <w:rPr>
          <w:rFonts w:hint="eastAsia"/>
          <w:color w:val="auto"/>
          <w:sz w:val="24"/>
          <w:szCs w:val="24"/>
          <w:highlight w:val="none"/>
        </w:rPr>
        <w:t>由</w:t>
      </w:r>
      <w:r>
        <w:rPr>
          <w:rFonts w:hint="eastAsia"/>
          <w:color w:val="auto"/>
          <w:sz w:val="24"/>
          <w:szCs w:val="24"/>
          <w:highlight w:val="none"/>
          <w:lang w:val="en-US" w:eastAsia="zh-CN"/>
        </w:rPr>
        <w:t>采购人和招标代理公司</w:t>
      </w:r>
      <w:r>
        <w:rPr>
          <w:rFonts w:hint="eastAsia"/>
          <w:color w:val="auto"/>
          <w:sz w:val="24"/>
          <w:szCs w:val="24"/>
          <w:highlight w:val="none"/>
        </w:rPr>
        <w:t>主持并在磋商邀请中规定的日期、时间和地点组织公开</w:t>
      </w:r>
      <w:r>
        <w:rPr>
          <w:rFonts w:hint="eastAsia"/>
          <w:color w:val="auto"/>
          <w:sz w:val="24"/>
          <w:szCs w:val="24"/>
          <w:highlight w:val="none"/>
          <w:lang w:val="en-US"/>
        </w:rPr>
        <w:t>开启</w:t>
      </w:r>
      <w:r>
        <w:rPr>
          <w:rFonts w:hint="eastAsia"/>
          <w:color w:val="auto"/>
          <w:sz w:val="24"/>
          <w:szCs w:val="24"/>
          <w:highlight w:val="none"/>
        </w:rPr>
        <w:t>。允许</w:t>
      </w:r>
      <w:r>
        <w:rPr>
          <w:rFonts w:hint="eastAsia"/>
          <w:color w:val="auto"/>
          <w:sz w:val="24"/>
          <w:szCs w:val="24"/>
          <w:highlight w:val="none"/>
          <w:lang w:val="en-US"/>
        </w:rPr>
        <w:t>供应商</w:t>
      </w:r>
      <w:r>
        <w:rPr>
          <w:rFonts w:hint="eastAsia"/>
          <w:color w:val="auto"/>
          <w:sz w:val="24"/>
          <w:szCs w:val="24"/>
          <w:highlight w:val="none"/>
        </w:rPr>
        <w:t>的法定代表人或其授权人参加</w:t>
      </w:r>
      <w:r>
        <w:rPr>
          <w:rFonts w:hint="eastAsia"/>
          <w:color w:val="auto"/>
          <w:sz w:val="24"/>
          <w:szCs w:val="24"/>
          <w:highlight w:val="none"/>
          <w:lang w:val="en-US"/>
        </w:rPr>
        <w:t>开启会议</w:t>
      </w:r>
      <w:r>
        <w:rPr>
          <w:rFonts w:hint="eastAsia"/>
          <w:color w:val="auto"/>
          <w:sz w:val="24"/>
          <w:szCs w:val="24"/>
          <w:highlight w:val="none"/>
        </w:rPr>
        <w:t>。</w:t>
      </w:r>
    </w:p>
    <w:p>
      <w:pPr>
        <w:spacing w:line="440" w:lineRule="exact"/>
        <w:ind w:firstLine="480" w:firstLineChars="200"/>
        <w:rPr>
          <w:rFonts w:hint="eastAsia"/>
          <w:color w:val="auto"/>
          <w:sz w:val="24"/>
          <w:szCs w:val="24"/>
          <w:highlight w:val="none"/>
          <w:lang w:val="en-US"/>
        </w:rPr>
      </w:pPr>
      <w:r>
        <w:rPr>
          <w:rFonts w:hint="eastAsia"/>
          <w:color w:val="auto"/>
          <w:sz w:val="24"/>
          <w:szCs w:val="24"/>
          <w:highlight w:val="none"/>
          <w:lang w:val="en-US"/>
        </w:rPr>
        <w:t xml:space="preserve">23.2 </w:t>
      </w:r>
      <w:r>
        <w:rPr>
          <w:rFonts w:hint="eastAsia"/>
          <w:color w:val="auto"/>
          <w:sz w:val="24"/>
          <w:szCs w:val="24"/>
          <w:highlight w:val="none"/>
          <w:lang w:val="en-US" w:eastAsia="zh-CN"/>
        </w:rPr>
        <w:t>电子响应文件解密，</w:t>
      </w:r>
      <w:r>
        <w:rPr>
          <w:rFonts w:hint="eastAsia"/>
          <w:color w:val="auto"/>
          <w:sz w:val="24"/>
          <w:szCs w:val="24"/>
          <w:highlight w:val="none"/>
        </w:rPr>
        <w:t>由</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lang w:val="en-US" w:eastAsia="zh-CN"/>
        </w:rPr>
        <w:t>开启解密</w:t>
      </w:r>
      <w:r>
        <w:rPr>
          <w:rFonts w:hint="eastAsia"/>
          <w:color w:val="auto"/>
          <w:sz w:val="24"/>
          <w:szCs w:val="24"/>
          <w:highlight w:val="none"/>
          <w:lang w:val="en-US"/>
        </w:rPr>
        <w:t>。</w:t>
      </w:r>
    </w:p>
    <w:p>
      <w:pPr>
        <w:spacing w:line="440" w:lineRule="exact"/>
        <w:ind w:firstLine="480" w:firstLineChars="200"/>
        <w:rPr>
          <w:rFonts w:hint="eastAsia"/>
          <w:color w:val="auto"/>
          <w:sz w:val="24"/>
          <w:szCs w:val="24"/>
          <w:highlight w:val="none"/>
        </w:rPr>
      </w:pPr>
      <w:r>
        <w:rPr>
          <w:rFonts w:hint="eastAsia"/>
          <w:color w:val="auto"/>
          <w:sz w:val="24"/>
          <w:szCs w:val="24"/>
          <w:highlight w:val="none"/>
          <w:lang w:val="en-US"/>
        </w:rPr>
        <w:t xml:space="preserve">23.3  </w:t>
      </w:r>
      <w:r>
        <w:rPr>
          <w:rFonts w:hint="eastAsia"/>
          <w:color w:val="auto"/>
          <w:sz w:val="24"/>
          <w:szCs w:val="24"/>
          <w:highlight w:val="none"/>
        </w:rPr>
        <w:t>供应商代表对</w:t>
      </w:r>
      <w:r>
        <w:rPr>
          <w:rFonts w:hint="eastAsia"/>
          <w:color w:val="auto"/>
          <w:sz w:val="24"/>
          <w:szCs w:val="24"/>
          <w:highlight w:val="none"/>
          <w:lang w:val="en-US"/>
        </w:rPr>
        <w:t>开启</w:t>
      </w:r>
      <w:r>
        <w:rPr>
          <w:rFonts w:hint="eastAsia"/>
          <w:color w:val="auto"/>
          <w:sz w:val="24"/>
          <w:szCs w:val="24"/>
          <w:highlight w:val="none"/>
        </w:rPr>
        <w:t>过程和</w:t>
      </w:r>
      <w:r>
        <w:rPr>
          <w:rFonts w:hint="eastAsia"/>
          <w:color w:val="auto"/>
          <w:sz w:val="24"/>
          <w:szCs w:val="24"/>
          <w:highlight w:val="none"/>
          <w:lang w:val="en-US"/>
        </w:rPr>
        <w:t>开启</w:t>
      </w:r>
      <w:r>
        <w:rPr>
          <w:rFonts w:hint="eastAsia"/>
          <w:color w:val="auto"/>
          <w:sz w:val="24"/>
          <w:szCs w:val="24"/>
          <w:highlight w:val="none"/>
        </w:rPr>
        <w:t>记录有疑问，以及认为采购人、</w:t>
      </w:r>
      <w:r>
        <w:rPr>
          <w:rFonts w:hint="eastAsia"/>
          <w:color w:val="auto"/>
          <w:sz w:val="24"/>
          <w:szCs w:val="24"/>
          <w:highlight w:val="none"/>
          <w:lang w:val="en-US" w:eastAsia="zh-CN"/>
        </w:rPr>
        <w:t>招标代理公司</w:t>
      </w:r>
      <w:r>
        <w:rPr>
          <w:rFonts w:hint="eastAsia"/>
          <w:color w:val="auto"/>
          <w:sz w:val="24"/>
          <w:szCs w:val="24"/>
          <w:highlight w:val="none"/>
        </w:rPr>
        <w:t>相关工作人员有需要回避的情形的，应当场提出询问或者回避申请。采购人、</w:t>
      </w:r>
      <w:r>
        <w:rPr>
          <w:rFonts w:hint="eastAsia"/>
          <w:color w:val="auto"/>
          <w:sz w:val="24"/>
          <w:szCs w:val="24"/>
          <w:highlight w:val="none"/>
          <w:lang w:val="en-US" w:eastAsia="zh-CN"/>
        </w:rPr>
        <w:t>招标代理公司</w:t>
      </w:r>
      <w:r>
        <w:rPr>
          <w:rFonts w:hint="eastAsia"/>
          <w:color w:val="auto"/>
          <w:sz w:val="24"/>
          <w:szCs w:val="24"/>
          <w:highlight w:val="none"/>
          <w:lang w:val="en-US"/>
        </w:rPr>
        <w:t>工作人员</w:t>
      </w:r>
      <w:r>
        <w:rPr>
          <w:rFonts w:hint="eastAsia"/>
          <w:color w:val="auto"/>
          <w:sz w:val="24"/>
          <w:szCs w:val="24"/>
          <w:highlight w:val="none"/>
        </w:rPr>
        <w:t xml:space="preserve">对供应商代表提出的询问或者回避申请应当及时处理。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4 资格审查</w:t>
      </w:r>
      <w:r>
        <w:rPr>
          <w:rFonts w:hint="eastAsia" w:ascii="宋体" w:hAnsi="宋体" w:eastAsia="宋体" w:cs="宋体"/>
          <w:color w:val="auto"/>
          <w:sz w:val="24"/>
          <w:szCs w:val="24"/>
          <w:highlight w:val="none"/>
        </w:rPr>
        <w:t xml:space="preserve"> </w:t>
      </w:r>
    </w:p>
    <w:p>
      <w:pPr>
        <w:spacing w:line="440" w:lineRule="exact"/>
        <w:ind w:firstLine="482" w:firstLineChars="200"/>
        <w:rPr>
          <w:rFonts w:hint="eastAsia"/>
          <w:b/>
          <w:bCs/>
          <w:color w:val="auto"/>
          <w:sz w:val="24"/>
          <w:szCs w:val="24"/>
          <w:highlight w:val="none"/>
        </w:rPr>
      </w:pPr>
      <w:r>
        <w:rPr>
          <w:rFonts w:hint="eastAsia"/>
          <w:b/>
          <w:bCs/>
          <w:color w:val="auto"/>
          <w:sz w:val="24"/>
          <w:szCs w:val="24"/>
          <w:highlight w:val="none"/>
          <w:lang w:val="en-US"/>
        </w:rPr>
        <w:t>24.1 采购人</w:t>
      </w:r>
      <w:r>
        <w:rPr>
          <w:rFonts w:hint="eastAsia"/>
          <w:b/>
          <w:bCs/>
          <w:color w:val="auto"/>
          <w:sz w:val="24"/>
          <w:szCs w:val="24"/>
          <w:highlight w:val="none"/>
        </w:rPr>
        <w:t>依法对供应商资格进行审查。资格审查是审查供应商</w:t>
      </w:r>
      <w:r>
        <w:rPr>
          <w:rFonts w:hint="eastAsia"/>
          <w:b/>
          <w:bCs/>
          <w:color w:val="auto"/>
          <w:sz w:val="24"/>
          <w:szCs w:val="24"/>
          <w:highlight w:val="none"/>
          <w:lang w:val="en-US"/>
        </w:rPr>
        <w:t>资格证明</w:t>
      </w:r>
      <w:r>
        <w:rPr>
          <w:rFonts w:hint="eastAsia"/>
          <w:b/>
          <w:bCs/>
          <w:color w:val="auto"/>
          <w:sz w:val="24"/>
          <w:szCs w:val="24"/>
          <w:highlight w:val="none"/>
        </w:rPr>
        <w:t>文件是否对磋商文件</w:t>
      </w:r>
      <w:r>
        <w:rPr>
          <w:rFonts w:hint="eastAsia"/>
          <w:b/>
          <w:bCs/>
          <w:color w:val="auto"/>
          <w:sz w:val="24"/>
          <w:szCs w:val="24"/>
          <w:highlight w:val="none"/>
          <w:lang w:val="en-US"/>
        </w:rPr>
        <w:t>资格条件</w:t>
      </w:r>
      <w:r>
        <w:rPr>
          <w:rFonts w:hint="eastAsia"/>
          <w:b/>
          <w:bCs/>
          <w:color w:val="auto"/>
          <w:sz w:val="24"/>
          <w:szCs w:val="24"/>
          <w:highlight w:val="none"/>
        </w:rPr>
        <w:t>作出实质性的响应，审查细则详见</w:t>
      </w:r>
      <w:r>
        <w:rPr>
          <w:rFonts w:hint="eastAsia"/>
          <w:b/>
          <w:bCs/>
          <w:color w:val="auto"/>
          <w:sz w:val="24"/>
          <w:szCs w:val="24"/>
          <w:highlight w:val="none"/>
          <w:lang w:val="en-US"/>
        </w:rPr>
        <w:t>磋商须知第七部分：《资格性审查表》</w:t>
      </w:r>
      <w:r>
        <w:rPr>
          <w:rFonts w:hint="eastAsia"/>
          <w:b/>
          <w:bCs/>
          <w:color w:val="auto"/>
          <w:sz w:val="24"/>
          <w:szCs w:val="24"/>
          <w:highlight w:val="none"/>
        </w:rPr>
        <w:t>。对</w:t>
      </w:r>
      <w:r>
        <w:rPr>
          <w:rFonts w:hint="eastAsia"/>
          <w:b/>
          <w:bCs/>
          <w:color w:val="auto"/>
          <w:sz w:val="24"/>
          <w:szCs w:val="24"/>
          <w:highlight w:val="none"/>
          <w:lang w:val="en-US"/>
        </w:rPr>
        <w:t>资格证明文件提供不全或</w:t>
      </w:r>
      <w:r>
        <w:rPr>
          <w:rFonts w:hint="eastAsia"/>
          <w:b/>
          <w:bCs/>
          <w:color w:val="auto"/>
          <w:sz w:val="24"/>
          <w:szCs w:val="24"/>
          <w:highlight w:val="none"/>
        </w:rPr>
        <w:t>资格性审查不通过的磋商供应商，</w:t>
      </w:r>
      <w:r>
        <w:rPr>
          <w:rFonts w:hint="eastAsia"/>
          <w:b/>
          <w:bCs/>
          <w:color w:val="auto"/>
          <w:sz w:val="24"/>
          <w:szCs w:val="24"/>
          <w:highlight w:val="none"/>
          <w:lang w:val="en-US"/>
        </w:rPr>
        <w:t>将</w:t>
      </w:r>
      <w:r>
        <w:rPr>
          <w:rFonts w:hint="eastAsia"/>
          <w:b/>
          <w:bCs/>
          <w:color w:val="auto"/>
          <w:sz w:val="24"/>
          <w:szCs w:val="24"/>
          <w:highlight w:val="none"/>
        </w:rPr>
        <w:t>由</w:t>
      </w:r>
      <w:r>
        <w:rPr>
          <w:rFonts w:hint="eastAsia"/>
          <w:b/>
          <w:bCs/>
          <w:color w:val="auto"/>
          <w:sz w:val="24"/>
          <w:szCs w:val="24"/>
          <w:highlight w:val="none"/>
          <w:lang w:val="en-US"/>
        </w:rPr>
        <w:t>采购人</w:t>
      </w:r>
      <w:r>
        <w:rPr>
          <w:rFonts w:hint="eastAsia"/>
          <w:b/>
          <w:bCs/>
          <w:color w:val="auto"/>
          <w:sz w:val="24"/>
          <w:szCs w:val="24"/>
          <w:highlight w:val="none"/>
        </w:rPr>
        <w:t>现场告知</w:t>
      </w:r>
      <w:r>
        <w:rPr>
          <w:rFonts w:hint="eastAsia"/>
          <w:b/>
          <w:bCs/>
          <w:color w:val="auto"/>
          <w:sz w:val="24"/>
          <w:szCs w:val="24"/>
          <w:highlight w:val="none"/>
          <w:lang w:val="en-US"/>
        </w:rPr>
        <w:t>其不得</w:t>
      </w:r>
      <w:r>
        <w:rPr>
          <w:rFonts w:hint="eastAsia"/>
          <w:b/>
          <w:bCs/>
          <w:color w:val="auto"/>
          <w:sz w:val="24"/>
          <w:szCs w:val="24"/>
          <w:highlight w:val="none"/>
        </w:rPr>
        <w:t xml:space="preserve">参与磋商。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25 </w:t>
      </w:r>
      <w:r>
        <w:rPr>
          <w:rFonts w:hint="eastAsia" w:ascii="宋体" w:hAnsi="宋体" w:eastAsia="宋体" w:cs="宋体"/>
          <w:b/>
          <w:bCs/>
          <w:color w:val="auto"/>
          <w:sz w:val="24"/>
          <w:szCs w:val="24"/>
          <w:highlight w:val="none"/>
        </w:rPr>
        <w:t>磋商小组</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 </w:t>
      </w:r>
      <w:r>
        <w:rPr>
          <w:rFonts w:hint="eastAsia" w:ascii="宋体" w:hAnsi="宋体" w:eastAsia="宋体" w:cs="宋体"/>
          <w:color w:val="auto"/>
          <w:sz w:val="24"/>
          <w:szCs w:val="24"/>
          <w:highlight w:val="none"/>
        </w:rPr>
        <w:t xml:space="preserve">磋商小组根据采购项目的特点进行组建，并负责磋商工作。磋商小组由采购人代表和评审专家共3 人以上单数组成，其中评审专家人数不得少于磋商小组成员总数的三分之二。评标专家依法从政府采购评审专家库内相关的专家名单中随机抽取。采购人代表人数、专家人数构成将按照磋商须知前附表中确定。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25.2 </w:t>
      </w:r>
      <w:r>
        <w:rPr>
          <w:rFonts w:hint="eastAsia" w:ascii="宋体" w:hAnsi="宋体" w:eastAsia="宋体" w:cs="宋体"/>
          <w:color w:val="auto"/>
          <w:sz w:val="24"/>
          <w:szCs w:val="24"/>
          <w:highlight w:val="none"/>
        </w:rPr>
        <w:t xml:space="preserve">磋商基本原则：磋商工作根据《中华人民共和国政府采购法》及其实施条例、《政府采购竞争性磋商采购方式管理暂行办法》、《财政部关于政府采购竞争性磋商采购方式管理暂行办法有关问题的补充通知》以及相关配套的法律法规和政策规定进行。磋商小组将按照磋商文件规定的程序与各供应商单独进行磋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 </w:t>
      </w:r>
      <w:r>
        <w:rPr>
          <w:rFonts w:hint="eastAsia" w:ascii="宋体" w:hAnsi="宋体" w:eastAsia="宋体" w:cs="宋体"/>
          <w:color w:val="auto"/>
          <w:sz w:val="24"/>
          <w:szCs w:val="24"/>
          <w:highlight w:val="none"/>
        </w:rPr>
        <w:t>磋商小组名单在评审结果确定前严格保密。评审专家有下列情形之一的，受到邀请应主动提出回避， 采购当事人也可以要求该评审专家回避</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25.3.1 </w:t>
      </w:r>
      <w:r>
        <w:rPr>
          <w:rFonts w:hint="eastAsia" w:ascii="宋体" w:hAnsi="宋体" w:eastAsia="宋体" w:cs="宋体"/>
          <w:color w:val="auto"/>
          <w:sz w:val="24"/>
          <w:szCs w:val="24"/>
          <w:highlight w:val="none"/>
        </w:rPr>
        <w:t xml:space="preserve">参加采购活动前3年内与参加该采购项目的供应商存在劳动关系或担任过供应商的董事、监事或是供应商的控股股东或者实际控制人；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25.3.2 </w:t>
      </w:r>
      <w:r>
        <w:rPr>
          <w:rFonts w:hint="eastAsia" w:ascii="宋体" w:hAnsi="宋体" w:eastAsia="宋体" w:cs="宋体"/>
          <w:color w:val="auto"/>
          <w:sz w:val="24"/>
          <w:szCs w:val="24"/>
          <w:highlight w:val="none"/>
        </w:rPr>
        <w:t xml:space="preserve">与参加该采购项目的供应商的法定代表人或者负责人有夫妻、直系血亲、三代以内旁系血亲或者近姻亲关系；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25.3.3 </w:t>
      </w:r>
      <w:r>
        <w:rPr>
          <w:rFonts w:hint="eastAsia" w:ascii="宋体" w:hAnsi="宋体" w:eastAsia="宋体" w:cs="宋体"/>
          <w:color w:val="auto"/>
          <w:sz w:val="24"/>
          <w:szCs w:val="24"/>
          <w:highlight w:val="none"/>
        </w:rPr>
        <w:t xml:space="preserve">与参加该采购项目的供应商有其他可能影响政府采购活动公平、公正进行的关系。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 </w:t>
      </w:r>
      <w:r>
        <w:rPr>
          <w:rFonts w:hint="eastAsia" w:ascii="宋体" w:hAnsi="宋体" w:eastAsia="宋体" w:cs="宋体"/>
          <w:color w:val="auto"/>
          <w:sz w:val="24"/>
          <w:szCs w:val="24"/>
          <w:highlight w:val="none"/>
        </w:rPr>
        <w:t xml:space="preserve">磋商小组负责具体评审事务，并独立履行下列职责：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25.4.1 </w:t>
      </w:r>
      <w:r>
        <w:rPr>
          <w:rFonts w:hint="eastAsia" w:ascii="宋体" w:hAnsi="宋体" w:eastAsia="宋体" w:cs="宋体"/>
          <w:color w:val="auto"/>
          <w:sz w:val="24"/>
          <w:szCs w:val="24"/>
          <w:highlight w:val="none"/>
        </w:rPr>
        <w:t xml:space="preserve">审查、评审响应文件是否符合磋商文件的商务、技术等实质性要求；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25.4.2 </w:t>
      </w:r>
      <w:r>
        <w:rPr>
          <w:rFonts w:hint="eastAsia" w:ascii="宋体" w:hAnsi="宋体" w:eastAsia="宋体" w:cs="宋体"/>
          <w:color w:val="auto"/>
          <w:sz w:val="24"/>
          <w:szCs w:val="24"/>
          <w:highlight w:val="none"/>
        </w:rPr>
        <w:t xml:space="preserve">要求供应商对响应文件有关事项作出澄清或者说明；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25.4.3 </w:t>
      </w:r>
      <w:r>
        <w:rPr>
          <w:rFonts w:hint="eastAsia" w:ascii="宋体" w:hAnsi="宋体" w:eastAsia="宋体" w:cs="宋体"/>
          <w:color w:val="auto"/>
          <w:sz w:val="24"/>
          <w:szCs w:val="24"/>
          <w:highlight w:val="none"/>
        </w:rPr>
        <w:t xml:space="preserve">对响应文件进行比较和评价；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25.4.4 </w:t>
      </w:r>
      <w:r>
        <w:rPr>
          <w:rFonts w:hint="eastAsia" w:ascii="宋体" w:hAnsi="宋体" w:eastAsia="宋体" w:cs="宋体"/>
          <w:color w:val="auto"/>
          <w:sz w:val="24"/>
          <w:szCs w:val="24"/>
          <w:highlight w:val="none"/>
        </w:rPr>
        <w:t xml:space="preserve">确定成交候选供应商名单，以及根据采购人委托直接确定成交供应商；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25.4.5 </w:t>
      </w:r>
      <w:r>
        <w:rPr>
          <w:rFonts w:hint="eastAsia" w:ascii="宋体" w:hAnsi="宋体" w:eastAsia="宋体" w:cs="宋体"/>
          <w:color w:val="auto"/>
          <w:sz w:val="24"/>
          <w:szCs w:val="24"/>
          <w:highlight w:val="none"/>
        </w:rPr>
        <w:t>向采购人、</w:t>
      </w:r>
      <w:r>
        <w:rPr>
          <w:rFonts w:hint="eastAsia" w:cs="宋体"/>
          <w:color w:val="auto"/>
          <w:sz w:val="24"/>
          <w:szCs w:val="24"/>
          <w:highlight w:val="none"/>
          <w:lang w:val="en-US" w:eastAsia="zh-CN"/>
        </w:rPr>
        <w:t>高昌区财政局采购办</w:t>
      </w:r>
      <w:r>
        <w:rPr>
          <w:rFonts w:hint="eastAsia" w:ascii="宋体" w:hAnsi="宋体" w:eastAsia="宋体" w:cs="宋体"/>
          <w:color w:val="auto"/>
          <w:sz w:val="24"/>
          <w:szCs w:val="24"/>
          <w:highlight w:val="none"/>
          <w:lang w:eastAsia="zh-CN"/>
        </w:rPr>
        <w:t>和</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或者有关部门报告磋商中发现的违法行为。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25.5 </w:t>
      </w:r>
      <w:r>
        <w:rPr>
          <w:rFonts w:hint="eastAsia" w:ascii="宋体" w:hAnsi="宋体" w:eastAsia="宋体" w:cs="宋体"/>
          <w:color w:val="auto"/>
          <w:sz w:val="24"/>
          <w:szCs w:val="24"/>
          <w:highlight w:val="none"/>
        </w:rPr>
        <w:t xml:space="preserve">磋商小组和有关工作人员不得透露对响应文件的评审和比较以及与磋商有关的其他情况。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25.6 </w:t>
      </w:r>
      <w:r>
        <w:rPr>
          <w:rFonts w:hint="eastAsia" w:ascii="宋体" w:hAnsi="宋体" w:eastAsia="宋体" w:cs="宋体"/>
          <w:color w:val="auto"/>
          <w:sz w:val="24"/>
          <w:szCs w:val="24"/>
          <w:highlight w:val="none"/>
        </w:rPr>
        <w:t xml:space="preserve">磋商小组将按照磋商文件中确定的评标方法和评标标准进行磋商。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25.7 </w:t>
      </w:r>
      <w:r>
        <w:rPr>
          <w:rFonts w:hint="eastAsia" w:ascii="宋体" w:hAnsi="宋体" w:eastAsia="宋体" w:cs="宋体"/>
          <w:color w:val="auto"/>
          <w:sz w:val="24"/>
          <w:szCs w:val="24"/>
          <w:highlight w:val="none"/>
        </w:rPr>
        <w:t xml:space="preserve">磋商小组对磋商文件中描述有歧意或前后不一致的地方，有权进行评判，但对同一条款的评判应适用于每个磋商供应商。 </w:t>
      </w:r>
    </w:p>
    <w:p>
      <w:pPr>
        <w:pageBreakBefore w:val="0"/>
        <w:kinsoku/>
        <w:wordWrap/>
        <w:overflowPunct/>
        <w:topLinePunct w:val="0"/>
        <w:bidi w:val="0"/>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25.8 </w:t>
      </w:r>
      <w:r>
        <w:rPr>
          <w:rFonts w:hint="eastAsia" w:ascii="宋体" w:hAnsi="宋体" w:eastAsia="宋体" w:cs="宋体"/>
          <w:color w:val="auto"/>
          <w:sz w:val="24"/>
          <w:szCs w:val="24"/>
          <w:highlight w:val="none"/>
        </w:rPr>
        <w:t>磋商中因磋商小组成员缺席、回避或者健康等特殊原因导致磋商小组成不符合相关法律法规规定的</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应当依法补足后继续磋商。被更换的磋商小组成员所作出的评审意见无效。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25.9 </w:t>
      </w:r>
      <w:r>
        <w:rPr>
          <w:rFonts w:hint="eastAsia" w:ascii="宋体" w:hAnsi="宋体" w:eastAsia="宋体" w:cs="宋体"/>
          <w:color w:val="auto"/>
          <w:sz w:val="24"/>
          <w:szCs w:val="24"/>
          <w:highlight w:val="none"/>
        </w:rPr>
        <w:t>无法及时补足磋商小组成员的，采购人或者</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应当停止评标活动，封存所有响应文件和开标、磋商资料，依法重新组建磋商小组进行磋商。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25.10 </w:t>
      </w:r>
      <w:r>
        <w:rPr>
          <w:rFonts w:hint="eastAsia" w:cs="宋体"/>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应当将变更、重新组建评磋商小组的情况予以记录，并随采购文件一并存档。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 </w:t>
      </w:r>
      <w:r>
        <w:rPr>
          <w:rFonts w:hint="eastAsia" w:ascii="宋体" w:hAnsi="宋体" w:eastAsia="宋体" w:cs="宋体"/>
          <w:b/>
          <w:bCs/>
          <w:color w:val="auto"/>
          <w:sz w:val="24"/>
          <w:szCs w:val="24"/>
          <w:highlight w:val="none"/>
        </w:rPr>
        <w:t>磋商过程</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26.1 </w:t>
      </w:r>
      <w:r>
        <w:rPr>
          <w:rFonts w:hint="eastAsia" w:ascii="宋体" w:hAnsi="宋体" w:eastAsia="宋体" w:cs="宋体"/>
          <w:b/>
          <w:bCs/>
          <w:color w:val="auto"/>
          <w:sz w:val="24"/>
          <w:szCs w:val="24"/>
          <w:highlight w:val="none"/>
        </w:rPr>
        <w:t>符合性审查</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color w:val="auto"/>
          <w:highlight w:val="none"/>
        </w:rPr>
      </w:pPr>
      <w:r>
        <w:rPr>
          <w:rFonts w:hint="eastAsia" w:ascii="宋体" w:hAnsi="宋体" w:eastAsia="宋体" w:cs="宋体"/>
          <w:b/>
          <w:bCs/>
          <w:color w:val="auto"/>
          <w:sz w:val="24"/>
          <w:szCs w:val="24"/>
          <w:highlight w:val="none"/>
          <w:lang w:val="en-US" w:eastAsia="zh-CN"/>
        </w:rPr>
        <w:t>2</w:t>
      </w:r>
      <w:r>
        <w:rPr>
          <w:rFonts w:hint="eastAsia"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磋商小组在对响应文件的有效性、完整性和响应程序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响应文件应当采用书面形式，并由法定代表人或其授权代表签字或加盖公章，供应商为自然人的，应当由本人签字并附身份证明。 对符合性审查不通过的响应文件磋商小组将按无效响应处理，由磋商小组现场告知该磋商供应商，其响应文件作无效处理，不参与磋商。 </w:t>
      </w:r>
      <w:r>
        <w:rPr>
          <w:rFonts w:hint="eastAsia" w:ascii="宋体" w:hAnsi="宋体" w:eastAsia="宋体" w:cs="宋体"/>
          <w:b/>
          <w:bCs/>
          <w:color w:val="auto"/>
          <w:sz w:val="24"/>
          <w:szCs w:val="24"/>
          <w:highlight w:val="none"/>
        </w:rPr>
        <w:t>审查细则详见</w:t>
      </w:r>
      <w:r>
        <w:rPr>
          <w:rFonts w:hint="eastAsia" w:cs="宋体"/>
          <w:b/>
          <w:bCs/>
          <w:color w:val="auto"/>
          <w:sz w:val="24"/>
          <w:szCs w:val="24"/>
          <w:highlight w:val="none"/>
          <w:lang w:val="en-US" w:eastAsia="zh-CN"/>
        </w:rPr>
        <w:t>磋商须知</w:t>
      </w:r>
      <w:r>
        <w:rPr>
          <w:rFonts w:hint="eastAsia" w:ascii="宋体" w:hAnsi="宋体" w:eastAsia="宋体" w:cs="宋体"/>
          <w:b/>
          <w:bCs/>
          <w:color w:val="auto"/>
          <w:sz w:val="24"/>
          <w:szCs w:val="24"/>
          <w:highlight w:val="none"/>
          <w:lang w:val="en-US" w:eastAsia="zh-CN"/>
        </w:rPr>
        <w:t>第</w:t>
      </w:r>
      <w:r>
        <w:rPr>
          <w:rFonts w:hint="eastAsia"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26.2 </w:t>
      </w:r>
      <w:r>
        <w:rPr>
          <w:rFonts w:hint="eastAsia" w:ascii="宋体" w:hAnsi="宋体" w:eastAsia="宋体" w:cs="宋体"/>
          <w:b/>
          <w:bCs/>
          <w:color w:val="auto"/>
          <w:sz w:val="24"/>
          <w:szCs w:val="24"/>
          <w:highlight w:val="none"/>
        </w:rPr>
        <w:t>磋商</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26.2.1 </w:t>
      </w:r>
      <w:r>
        <w:rPr>
          <w:rFonts w:hint="eastAsia" w:ascii="宋体" w:hAnsi="宋体" w:eastAsia="宋体" w:cs="宋体"/>
          <w:color w:val="auto"/>
          <w:sz w:val="24"/>
          <w:szCs w:val="24"/>
          <w:highlight w:val="none"/>
        </w:rPr>
        <w:t>磋商小组所有成员集中与单一供应商分别进行</w:t>
      </w:r>
      <w:r>
        <w:rPr>
          <w:rFonts w:hint="eastAsia" w:cs="宋体"/>
          <w:color w:val="auto"/>
          <w:sz w:val="24"/>
          <w:szCs w:val="24"/>
          <w:highlight w:val="none"/>
          <w:lang w:val="en-US" w:eastAsia="zh-CN"/>
        </w:rPr>
        <w:t>线上</w:t>
      </w:r>
      <w:r>
        <w:rPr>
          <w:rFonts w:hint="eastAsia" w:ascii="宋体" w:hAnsi="宋体" w:eastAsia="宋体" w:cs="宋体"/>
          <w:color w:val="auto"/>
          <w:sz w:val="24"/>
          <w:szCs w:val="24"/>
          <w:highlight w:val="none"/>
        </w:rPr>
        <w:t xml:space="preserve">磋商，并给予所有参加磋商的供应商平等的磋商机会。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26.2.3 </w:t>
      </w:r>
      <w:r>
        <w:rPr>
          <w:rFonts w:hint="eastAsia" w:ascii="宋体" w:hAnsi="宋体" w:eastAsia="宋体" w:cs="宋体"/>
          <w:color w:val="auto"/>
          <w:sz w:val="24"/>
          <w:szCs w:val="24"/>
          <w:highlight w:val="none"/>
        </w:rPr>
        <w:t>磋商小组对各供应商的最后报价进行审查，认为供应商的最后报价明显低于其他通过资格、符合性审查供应商的报价，有可能影响</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质量或者不能诚信履约的，</w:t>
      </w:r>
      <w:r>
        <w:rPr>
          <w:rFonts w:hint="eastAsia"/>
          <w:color w:val="auto"/>
          <w:sz w:val="24"/>
          <w:szCs w:val="24"/>
          <w:highlight w:val="none"/>
        </w:rPr>
        <w:t>应当要求其在</w:t>
      </w:r>
      <w:r>
        <w:rPr>
          <w:rFonts w:hint="eastAsia"/>
          <w:color w:val="auto"/>
          <w:sz w:val="24"/>
          <w:szCs w:val="24"/>
          <w:highlight w:val="none"/>
          <w:lang w:val="en-US" w:eastAsia="zh-CN"/>
        </w:rPr>
        <w:t>政采云不见面开评标大厅</w:t>
      </w:r>
      <w:r>
        <w:rPr>
          <w:rFonts w:hint="eastAsia"/>
          <w:color w:val="auto"/>
          <w:sz w:val="24"/>
          <w:szCs w:val="24"/>
          <w:highlight w:val="none"/>
        </w:rPr>
        <w:t>提供书面说明，必要时提交相关证明材料；供应商不能证明其报价合理性的，磋商小组应当将其作为无效响应处理。</w:t>
      </w:r>
      <w:r>
        <w:rPr>
          <w:rFonts w:hint="eastAsia"/>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26.2.4 </w:t>
      </w:r>
      <w:r>
        <w:rPr>
          <w:rFonts w:hint="eastAsia" w:ascii="宋体" w:hAnsi="宋体" w:eastAsia="宋体" w:cs="宋体"/>
          <w:color w:val="auto"/>
          <w:sz w:val="24"/>
          <w:szCs w:val="24"/>
          <w:highlight w:val="none"/>
        </w:rPr>
        <w:t xml:space="preserve">供应商的报价出现前后不一致的情况，磋商小组将要求供应商根据磋商文件要求修正报价。修正后的报价经供应商确认后具有约束力，供应商不确认的，其响应无效。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 </w:t>
      </w:r>
      <w:r>
        <w:rPr>
          <w:rFonts w:hint="eastAsia" w:ascii="宋体" w:hAnsi="宋体" w:eastAsia="宋体" w:cs="宋体"/>
          <w:color w:val="auto"/>
          <w:sz w:val="24"/>
          <w:szCs w:val="24"/>
          <w:highlight w:val="none"/>
        </w:rPr>
        <w:t xml:space="preserve">报价按照下列规定修正：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26.2.5.1 </w:t>
      </w:r>
      <w:r>
        <w:rPr>
          <w:rFonts w:hint="eastAsia" w:ascii="宋体" w:hAnsi="宋体" w:eastAsia="宋体" w:cs="宋体"/>
          <w:color w:val="auto"/>
          <w:sz w:val="24"/>
          <w:szCs w:val="24"/>
          <w:highlight w:val="none"/>
        </w:rPr>
        <w:t>响应文件中</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一览表（首次报价表）内容与响应文件中相应内容不一致的，以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一览表（首次报价表）为准；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26.2.5.2 </w:t>
      </w:r>
      <w:r>
        <w:rPr>
          <w:rFonts w:hint="eastAsia" w:ascii="宋体" w:hAnsi="宋体" w:eastAsia="宋体" w:cs="宋体"/>
          <w:color w:val="auto"/>
          <w:sz w:val="24"/>
          <w:szCs w:val="24"/>
          <w:highlight w:val="none"/>
        </w:rPr>
        <w:t xml:space="preserve">大写金额和小写金额不一致的，以大写金额为准；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26.2.5.3 </w:t>
      </w:r>
      <w:r>
        <w:rPr>
          <w:rFonts w:hint="eastAsia" w:ascii="宋体" w:hAnsi="宋体" w:eastAsia="宋体" w:cs="宋体"/>
          <w:color w:val="auto"/>
          <w:sz w:val="24"/>
          <w:szCs w:val="24"/>
          <w:highlight w:val="none"/>
        </w:rPr>
        <w:t>单价金额小数点或者百分比有明显错位的，以</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 xml:space="preserve">一览表的总价为准，并修改单价；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26.2.5.4 </w:t>
      </w:r>
      <w:r>
        <w:rPr>
          <w:rFonts w:hint="eastAsia" w:ascii="宋体" w:hAnsi="宋体" w:eastAsia="宋体" w:cs="宋体"/>
          <w:color w:val="auto"/>
          <w:sz w:val="24"/>
          <w:szCs w:val="24"/>
          <w:highlight w:val="none"/>
        </w:rPr>
        <w:t xml:space="preserve">总价金额与按单价汇总金额不一致的，以单价金额计算结果为准。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26.2.5.5 </w:t>
      </w:r>
      <w:r>
        <w:rPr>
          <w:rFonts w:hint="eastAsia" w:ascii="宋体" w:hAnsi="宋体" w:eastAsia="宋体" w:cs="宋体"/>
          <w:color w:val="auto"/>
          <w:sz w:val="24"/>
          <w:szCs w:val="24"/>
          <w:highlight w:val="none"/>
        </w:rPr>
        <w:t xml:space="preserve">同时出现两种以上不一致的，按照前款规定的顺序修正。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26.2.6 </w:t>
      </w:r>
      <w:r>
        <w:rPr>
          <w:rFonts w:hint="eastAsia" w:ascii="宋体" w:hAnsi="宋体" w:eastAsia="宋体" w:cs="宋体"/>
          <w:color w:val="auto"/>
          <w:sz w:val="24"/>
          <w:szCs w:val="24"/>
          <w:highlight w:val="none"/>
        </w:rPr>
        <w:t xml:space="preserve">在磋商过程中，磋商小组可以根据磋商文件和磋商情况实质性变动采购需求中的技术、服务要求以及合同草案条款，但不得变动磋商文件中的其他内容。实质性变动的内容，须经采购人代表确认。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26.2.7 </w:t>
      </w:r>
      <w:r>
        <w:rPr>
          <w:rFonts w:hint="eastAsia" w:ascii="宋体" w:hAnsi="宋体" w:eastAsia="宋体" w:cs="宋体"/>
          <w:color w:val="auto"/>
          <w:sz w:val="24"/>
          <w:szCs w:val="24"/>
          <w:highlight w:val="none"/>
        </w:rPr>
        <w:t>对磋商文件作出的实质性变动是磋商文件的有效组成部分，磋商小组应当以书面形式同时通知所有参加磋商的供应商，供应商应当按照磋商文件的变动情况和磋商小组的要求重新提交响应文件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并由其法定代表人或授权代表签字或者加盖公章。供应商为自然人的，应当由本人签字并附身份证明。 </w:t>
      </w:r>
    </w:p>
    <w:p>
      <w:pPr>
        <w:spacing w:line="440" w:lineRule="exact"/>
        <w:ind w:firstLine="480" w:firstLineChars="200"/>
        <w:rPr>
          <w:rFonts w:hint="eastAsia"/>
          <w:b/>
          <w:bCs/>
          <w:color w:val="auto"/>
          <w:sz w:val="24"/>
          <w:szCs w:val="24"/>
          <w:highlight w:val="none"/>
        </w:rPr>
      </w:pPr>
      <w:r>
        <w:rPr>
          <w:rFonts w:hint="eastAsia" w:ascii="宋体" w:hAnsi="宋体" w:eastAsia="宋体" w:cs="宋体"/>
          <w:color w:val="auto"/>
          <w:sz w:val="24"/>
          <w:szCs w:val="24"/>
          <w:highlight w:val="none"/>
          <w:lang w:val="en-US" w:eastAsia="zh-CN"/>
        </w:rPr>
        <w:t xml:space="preserve">26.2.8 </w:t>
      </w:r>
      <w:r>
        <w:rPr>
          <w:rFonts w:hint="eastAsia"/>
          <w:color w:val="auto"/>
          <w:sz w:val="24"/>
          <w:szCs w:val="24"/>
          <w:highlight w:val="none"/>
        </w:rPr>
        <w:t>磋商文件能够详细说明采购标的的技术、服务要求的，磋商结束后，磋商小组应当要求所有实质性响应的供应商在规定的时间内</w:t>
      </w:r>
      <w:r>
        <w:rPr>
          <w:rFonts w:hint="eastAsia"/>
          <w:color w:val="auto"/>
          <w:sz w:val="24"/>
          <w:szCs w:val="24"/>
          <w:highlight w:val="none"/>
          <w:lang w:val="en-US" w:eastAsia="zh-CN"/>
        </w:rPr>
        <w:t>在政采云不见面开评标大厅</w:t>
      </w:r>
      <w:r>
        <w:rPr>
          <w:rFonts w:hint="eastAsia"/>
          <w:color w:val="auto"/>
          <w:sz w:val="24"/>
          <w:szCs w:val="24"/>
          <w:highlight w:val="none"/>
        </w:rPr>
        <w:t>提交最后报价，提交最后报价的供应商不得少于3家。</w:t>
      </w:r>
      <w:r>
        <w:rPr>
          <w:rFonts w:hint="eastAsia"/>
          <w:b/>
          <w:bCs/>
          <w:color w:val="auto"/>
          <w:sz w:val="24"/>
          <w:szCs w:val="24"/>
          <w:highlight w:val="none"/>
          <w:lang w:val="en-US" w:eastAsia="zh-CN"/>
        </w:rPr>
        <w:t>供应商进入政采云平台“项目采购”-“开标评标”模块，在政采云不见面开评标大厅中，等待招标代理公司经办人开启二次报价，供应商根据系统提示填写二次报价，并签章确认提交。</w:t>
      </w:r>
      <w:r>
        <w:rPr>
          <w:rFonts w:hint="eastAsia"/>
          <w:b/>
          <w:bCs/>
          <w:color w:val="auto"/>
          <w:sz w:val="24"/>
          <w:szCs w:val="24"/>
          <w:highlight w:val="none"/>
        </w:rPr>
        <w:t xml:space="preserve"> </w:t>
      </w:r>
    </w:p>
    <w:p>
      <w:pPr>
        <w:spacing w:line="440" w:lineRule="exact"/>
        <w:ind w:firstLine="480" w:firstLineChars="200"/>
        <w:rPr>
          <w:rFonts w:hint="eastAsia" w:ascii="宋体" w:hAnsi="宋体" w:eastAsia="宋体" w:cs="宋体"/>
          <w:color w:val="auto"/>
          <w:sz w:val="24"/>
          <w:szCs w:val="24"/>
          <w:highlight w:val="none"/>
        </w:rPr>
      </w:pPr>
      <w:r>
        <w:rPr>
          <w:rFonts w:hint="eastAsia"/>
          <w:color w:val="auto"/>
          <w:sz w:val="24"/>
          <w:szCs w:val="24"/>
          <w:highlight w:val="none"/>
        </w:rPr>
        <w:t>如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响应文件的有效组成部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26.2.9 </w:t>
      </w:r>
      <w:r>
        <w:rPr>
          <w:rFonts w:hint="eastAsia" w:ascii="宋体" w:hAnsi="宋体" w:eastAsia="宋体" w:cs="宋体"/>
          <w:color w:val="auto"/>
          <w:sz w:val="24"/>
          <w:szCs w:val="24"/>
          <w:highlight w:val="none"/>
        </w:rPr>
        <w:t xml:space="preserve">在磋商过程中，供应商提交的澄清文件和最终响应文件，由供应商法定代表人或其授权代表签署后生效，供应商应受其约束。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26.3 </w:t>
      </w:r>
      <w:r>
        <w:rPr>
          <w:rFonts w:hint="eastAsia" w:ascii="宋体" w:hAnsi="宋体" w:eastAsia="宋体" w:cs="宋体"/>
          <w:color w:val="auto"/>
          <w:sz w:val="24"/>
          <w:szCs w:val="24"/>
          <w:highlight w:val="none"/>
        </w:rPr>
        <w:t>已提交响应文件的供应商，在提交最后报价之前，可以根据磋商情况退出磋商。</w:t>
      </w:r>
      <w:r>
        <w:rPr>
          <w:rFonts w:hint="eastAsia" w:ascii="宋体" w:hAnsi="宋体" w:eastAsia="宋体" w:cs="宋体"/>
          <w:color w:val="auto"/>
          <w:sz w:val="24"/>
          <w:szCs w:val="24"/>
          <w:highlight w:val="none"/>
          <w:lang w:val="en-US" w:eastAsia="zh-CN"/>
        </w:rPr>
        <w:t>未作最后报价供应商视为自动退出磋商。供应商下轮报价可与上轮报价一致。</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26.4 </w:t>
      </w:r>
      <w:r>
        <w:rPr>
          <w:rFonts w:hint="eastAsia" w:cs="宋体"/>
          <w:color w:val="auto"/>
          <w:sz w:val="24"/>
          <w:szCs w:val="24"/>
          <w:highlight w:val="none"/>
          <w:lang w:val="en-US" w:eastAsia="zh-CN"/>
        </w:rPr>
        <w:t>招标代理</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对磋商过程和重要磋商内容进行记录。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27 </w:t>
      </w:r>
      <w:r>
        <w:rPr>
          <w:rFonts w:hint="eastAsia" w:ascii="宋体" w:hAnsi="宋体" w:eastAsia="宋体" w:cs="宋体"/>
          <w:b/>
          <w:bCs/>
          <w:color w:val="auto"/>
          <w:sz w:val="24"/>
          <w:szCs w:val="24"/>
          <w:highlight w:val="none"/>
        </w:rPr>
        <w:t>最后报价</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磋商结束后，作出实质性响应的供应商应在规定的时间内密封提交最后报价（最后报价时间视磋商进程由磋商小组决定）。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 </w:t>
      </w:r>
      <w:r>
        <w:rPr>
          <w:rFonts w:hint="eastAsia" w:ascii="宋体" w:hAnsi="宋体" w:eastAsia="宋体" w:cs="宋体"/>
          <w:b/>
          <w:bCs/>
          <w:color w:val="auto"/>
          <w:sz w:val="24"/>
          <w:szCs w:val="24"/>
          <w:highlight w:val="none"/>
        </w:rPr>
        <w:t>评标方法</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28.1 </w:t>
      </w:r>
      <w:r>
        <w:rPr>
          <w:rFonts w:hint="eastAsia" w:ascii="宋体" w:hAnsi="宋体" w:eastAsia="宋体" w:cs="宋体"/>
          <w:color w:val="auto"/>
          <w:sz w:val="24"/>
          <w:szCs w:val="24"/>
          <w:highlight w:val="none"/>
        </w:rPr>
        <w:t xml:space="preserve">本项目采用综合评分法。磋商小组对资格、符合性审查合格的响应文件进行商务、技术和价格评审， 如有多个包组则按各包组的自然顺序进行评审。磋商小组的评审按照客观、公正、审慎的原则，根据磋商文件规定的评标程序、评审方法和评审标准，就每个供应商的商务状况、技术状况及其对磋商文件要求的响应情况进行评审和比较，独立评出各供应商的商务得分、技术得分。各评委的评分算术平均值即为该供应商的商务得分和技术得分；然后评出磋商报价得分；最后将商务得分、技术得分和磋商报价得分汇总得出综合得分（商务得分、技术得分、磋商报价得分分值按四舍五入原则精确到小数点后两位）。 </w:t>
      </w:r>
    </w:p>
    <w:p>
      <w:pPr>
        <w:pStyle w:val="9"/>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综合得分＝商务得分+技术得分+磋商报价得分</w:t>
      </w:r>
    </w:p>
    <w:p>
      <w:pPr>
        <w:pStyle w:val="9"/>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28.2 </w:t>
      </w:r>
      <w:r>
        <w:rPr>
          <w:rFonts w:hint="eastAsia" w:ascii="宋体" w:hAnsi="宋体" w:eastAsia="宋体" w:cs="宋体"/>
          <w:color w:val="auto"/>
          <w:sz w:val="24"/>
          <w:szCs w:val="24"/>
          <w:highlight w:val="none"/>
        </w:rPr>
        <w:t xml:space="preserve">商务、技术评分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 xml:space="preserve">28.2.1 </w:t>
      </w:r>
      <w:r>
        <w:rPr>
          <w:rFonts w:hint="eastAsia" w:ascii="宋体" w:hAnsi="宋体" w:eastAsia="宋体" w:cs="宋体"/>
          <w:color w:val="auto"/>
          <w:sz w:val="24"/>
          <w:szCs w:val="24"/>
          <w:highlight w:val="none"/>
        </w:rPr>
        <w:t>磋商小组对供应商的商务、技术状况及响应程度进行评议和比较，并依据评分标准，评出其商务、技术评分。详细评分标准见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 </w:t>
      </w:r>
      <w:r>
        <w:rPr>
          <w:rFonts w:hint="eastAsia" w:ascii="宋体" w:hAnsi="宋体" w:eastAsia="宋体" w:cs="宋体"/>
          <w:color w:val="auto"/>
          <w:sz w:val="24"/>
          <w:szCs w:val="24"/>
          <w:highlight w:val="none"/>
        </w:rPr>
        <w:t xml:space="preserve">磋商报价评分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28.3.1 </w:t>
      </w:r>
      <w:r>
        <w:rPr>
          <w:rFonts w:hint="eastAsia" w:ascii="宋体" w:hAnsi="宋体" w:eastAsia="宋体" w:cs="宋体"/>
          <w:color w:val="auto"/>
          <w:sz w:val="24"/>
          <w:szCs w:val="24"/>
          <w:highlight w:val="none"/>
        </w:rPr>
        <w:t>磋商报价评分采用低价优先的原则计算，即满足磋商文件要求且最后报价最低的供应商的价格为磋商基准价，该供应商的价格分为满分，落实政府采购政策进行价格调整的，以调整后的价格计算磋商基准价和磋商报价，详细评分标准见</w:t>
      </w:r>
      <w:r>
        <w:rPr>
          <w:rFonts w:hint="eastAsia" w:ascii="宋体" w:hAnsi="宋体" w:eastAsia="宋体" w:cs="宋体"/>
          <w:b w:val="0"/>
          <w:bCs w:val="0"/>
          <w:color w:val="auto"/>
          <w:sz w:val="24"/>
          <w:szCs w:val="24"/>
          <w:highlight w:val="none"/>
          <w:lang w:val="en-US" w:eastAsia="zh-CN"/>
        </w:rPr>
        <w:t>磋商须知第七部分《</w:t>
      </w:r>
      <w:r>
        <w:rPr>
          <w:rFonts w:hint="eastAsia" w:ascii="宋体" w:hAnsi="宋体" w:eastAsia="宋体" w:cs="宋体"/>
          <w:b w:val="0"/>
          <w:bCs w:val="0"/>
          <w:color w:val="auto"/>
          <w:sz w:val="24"/>
          <w:szCs w:val="24"/>
          <w:highlight w:val="none"/>
        </w:rPr>
        <w:t>评分标准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rPr>
        <w:t xml:space="preserve">。其他供应商的价格分统一按照下列公式计算：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磋商报价得分=(磋商基准价/最后磋商报价)×价格权重×100</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28.4 </w:t>
      </w:r>
      <w:r>
        <w:rPr>
          <w:rFonts w:hint="eastAsia" w:ascii="宋体" w:hAnsi="宋体" w:eastAsia="宋体" w:cs="宋体"/>
          <w:b/>
          <w:bCs/>
          <w:color w:val="auto"/>
          <w:sz w:val="24"/>
          <w:szCs w:val="24"/>
          <w:highlight w:val="none"/>
          <w:lang w:val="zh-CN"/>
        </w:rPr>
        <w:t>小微企业（监狱企业、残疾人福利性单位视同小微企业）价格扣除（仅非预留份额的采购项目或者采购包适用）</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 xml:space="preserve">28.4.1 </w:t>
      </w:r>
      <w:r>
        <w:rPr>
          <w:rFonts w:hint="eastAsia" w:ascii="宋体" w:hAnsi="宋体" w:eastAsia="宋体" w:cs="宋体"/>
          <w:color w:val="auto"/>
          <w:sz w:val="24"/>
          <w:szCs w:val="24"/>
          <w:highlight w:val="none"/>
          <w:lang w:val="zh-CN"/>
        </w:rPr>
        <w:t>对于经主管预算单位统筹后未预留份额专门面向中小企业采购的采购项目，以及预留份额项目中的非预留部分采购包，对符合《政府采购促进中小企业发展管理办法》（财库〔2020〕46 号）规定的小微企业报价给予</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28.4.2</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接受大中型企业与小微企业组成联合体的采购项目，对联合协议约定小微企业的合同份额占到合同总金额30%以上的，对联合体的报价给予</w:t>
      </w:r>
      <w:r>
        <w:rPr>
          <w:rFonts w:hint="eastAsia"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zh-CN"/>
        </w:rPr>
        <w:t>%</w:t>
      </w:r>
      <w:r>
        <w:rPr>
          <w:rFonts w:hint="eastAsia" w:ascii="宋体" w:hAnsi="宋体" w:eastAsia="宋体" w:cs="宋体"/>
          <w:color w:val="auto"/>
          <w:sz w:val="24"/>
          <w:szCs w:val="24"/>
          <w:highlight w:val="none"/>
          <w:lang w:val="zh-CN"/>
        </w:rPr>
        <w:t>的扣除，用扣除后的价格参加评审。</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28.4.3</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允许大中型企业向一家或者多家小微企业分包的采购项目，对于分包意向协议约定小微企业的合同份额占到合同总金额30%以上的，对大中型企业的报价给予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zh-CN"/>
        </w:rPr>
        <w:t>%的扣除，用扣除后的价格参加评审。</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参加政府采购活动的中小企业应当提供《中小企业声明函》原件。监狱企业应当提供监狱企业证明复印件。残疾人福利性单位应当提供《残疾人福利性单位声明函》原件。</w:t>
      </w:r>
      <w:r>
        <w:rPr>
          <w:rFonts w:hint="eastAsia" w:cs="宋体"/>
          <w:color w:val="auto"/>
          <w:sz w:val="24"/>
          <w:szCs w:val="24"/>
          <w:highlight w:val="none"/>
          <w:lang w:val="en-US" w:eastAsia="zh-CN"/>
        </w:rPr>
        <w:t>以上</w:t>
      </w:r>
      <w:r>
        <w:rPr>
          <w:rFonts w:hint="eastAsia" w:ascii="宋体" w:hAnsi="宋体" w:eastAsia="宋体" w:cs="宋体"/>
          <w:color w:val="auto"/>
          <w:sz w:val="24"/>
          <w:szCs w:val="24"/>
          <w:highlight w:val="none"/>
          <w:lang w:val="zh-CN"/>
        </w:rPr>
        <w:t>格式详见</w:t>
      </w:r>
      <w:r>
        <w:rPr>
          <w:rFonts w:hint="eastAsia" w:cs="宋体"/>
          <w:color w:val="auto"/>
          <w:sz w:val="24"/>
          <w:szCs w:val="24"/>
          <w:highlight w:val="none"/>
          <w:lang w:val="en-US" w:eastAsia="zh-CN"/>
        </w:rPr>
        <w:t>磋商文件</w:t>
      </w:r>
      <w:r>
        <w:rPr>
          <w:rFonts w:hint="eastAsia" w:ascii="宋体" w:hAnsi="宋体" w:eastAsia="宋体" w:cs="宋体"/>
          <w:color w:val="auto"/>
          <w:sz w:val="24"/>
          <w:szCs w:val="24"/>
          <w:highlight w:val="none"/>
          <w:lang w:val="zh-CN"/>
        </w:rPr>
        <w:t>第五部分响应文件格式</w:t>
      </w:r>
      <w:r>
        <w:rPr>
          <w:rFonts w:hint="eastAsia" w:cs="宋体"/>
          <w:color w:val="auto"/>
          <w:sz w:val="24"/>
          <w:szCs w:val="24"/>
          <w:highlight w:val="none"/>
          <w:lang w:val="zh-CN"/>
        </w:rPr>
        <w:t>，</w:t>
      </w:r>
      <w:r>
        <w:rPr>
          <w:rFonts w:hint="eastAsia" w:ascii="宋体" w:hAnsi="宋体" w:eastAsia="宋体" w:cs="宋体"/>
          <w:color w:val="auto"/>
          <w:sz w:val="24"/>
          <w:szCs w:val="24"/>
          <w:highlight w:val="none"/>
          <w:lang w:val="zh-CN"/>
        </w:rPr>
        <w:t>未提供的视为放弃享受小微企业价格扣除优惠政策。</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5 </w:t>
      </w:r>
      <w:r>
        <w:rPr>
          <w:rFonts w:hint="eastAsia" w:ascii="宋体" w:hAnsi="宋体" w:eastAsia="宋体" w:cs="宋体"/>
          <w:color w:val="auto"/>
          <w:sz w:val="24"/>
          <w:szCs w:val="24"/>
          <w:highlight w:val="none"/>
          <w:lang w:val="zh-CN"/>
        </w:rPr>
        <w:t>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w:t>
      </w:r>
      <w:r>
        <w:rPr>
          <w:rFonts w:hint="eastAsia"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zh-CN"/>
        </w:rPr>
        <w:t>依据《政府采购促进中小企业发展管理办法》（财库〔2020〕46 号）规定享受扶持政策的小微企业，不得将合同分包给大中型企业。</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28.5 </w:t>
      </w:r>
      <w:r>
        <w:rPr>
          <w:rFonts w:hint="eastAsia" w:ascii="宋体" w:hAnsi="宋体" w:eastAsia="宋体" w:cs="宋体"/>
          <w:b/>
          <w:bCs/>
          <w:color w:val="auto"/>
          <w:sz w:val="24"/>
          <w:szCs w:val="24"/>
          <w:highlight w:val="none"/>
        </w:rPr>
        <w:t>节能产品、环境标志产品政府采购政策执行</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cs="宋体"/>
          <w:color w:val="auto"/>
          <w:sz w:val="24"/>
          <w:szCs w:val="24"/>
          <w:highlight w:val="none"/>
          <w:lang w:val="en-US" w:eastAsia="zh-CN"/>
        </w:rPr>
        <w:t xml:space="preserve">28.5.1 </w:t>
      </w: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9号）相关要求，依据品目清单和认证证书实施政府优先采购和强制采购。本项目采购的产品属于品目清单范围的，应当依据国家确定的认证机构出具的、处于有效期之内的节能产品、环境标志产品认证证书，对获得证书的产品实施政府优先采购或强制采购。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28.5.2 采购标的</w:t>
      </w:r>
      <w:r>
        <w:rPr>
          <w:rFonts w:hint="eastAsia" w:ascii="宋体" w:hAnsi="宋体" w:eastAsia="宋体" w:cs="宋体"/>
          <w:color w:val="auto"/>
          <w:sz w:val="24"/>
          <w:szCs w:val="24"/>
          <w:highlight w:val="none"/>
        </w:rPr>
        <w:t>属于《节能产品政府采购品目清单》、《环境标志产品政府采购品目清单》中优先采购产品类别产品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须提供由《参与实施政府采购节能产品认证机构名录》、《参与实施政府采购环境标志产品认证机构名录》中确定的认证机构出具的、处于有效期之内的节能产品认证证书或环境标志产品认证证书（复印件加盖供应商公章）</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将按照“第</w:t>
      </w: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 xml:space="preserve">部分 </w:t>
      </w:r>
      <w:r>
        <w:rPr>
          <w:rFonts w:hint="eastAsia"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标准”给予加分。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价格项加分：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1、（节能清单部分产品的价格/投标报价）×3%×价格项满分值</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2、（环境清单部分产品的价格/投标报价）×3%×价格项满分值</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技术项加分：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1、（节能清单部分产品的价格/投标报价）×3%×技术项满分值</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2、（环境清单部分产品的价格/投标报价）×3%×技术项满分值</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注：1、供应商须提供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期《节能产品政府采购清单》关于投标产品当前页的打印件；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lang w:val="zh-CN"/>
        </w:rPr>
      </w:pPr>
      <w:r>
        <w:rPr>
          <w:rFonts w:hint="eastAsia" w:ascii="宋体" w:hAnsi="宋体" w:eastAsia="宋体" w:cs="宋体"/>
          <w:color w:val="auto"/>
          <w:sz w:val="24"/>
          <w:szCs w:val="24"/>
          <w:highlight w:val="none"/>
        </w:rPr>
        <w:t>2、供应商提供</w:t>
      </w:r>
      <w:r>
        <w:rPr>
          <w:rFonts w:hint="eastAsia" w:ascii="宋体" w:hAnsi="宋体" w:eastAsia="宋体" w:cs="宋体"/>
          <w:color w:val="auto"/>
          <w:sz w:val="24"/>
          <w:szCs w:val="24"/>
          <w:highlight w:val="none"/>
          <w:lang w:val="en-US" w:eastAsia="zh-CN"/>
        </w:rPr>
        <w:t>最新一</w:t>
      </w:r>
      <w:r>
        <w:rPr>
          <w:rFonts w:hint="eastAsia" w:ascii="宋体" w:hAnsi="宋体" w:eastAsia="宋体" w:cs="宋体"/>
          <w:color w:val="auto"/>
          <w:sz w:val="24"/>
          <w:szCs w:val="24"/>
          <w:highlight w:val="none"/>
        </w:rPr>
        <w:t>期《环境标志产品政府采购清单》关于投标产品当前页的打印件；</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29 </w:t>
      </w:r>
      <w:r>
        <w:rPr>
          <w:rFonts w:hint="eastAsia" w:ascii="宋体" w:hAnsi="宋体" w:eastAsia="宋体" w:cs="宋体"/>
          <w:b/>
          <w:bCs/>
          <w:color w:val="auto"/>
          <w:sz w:val="24"/>
          <w:szCs w:val="24"/>
          <w:highlight w:val="none"/>
        </w:rPr>
        <w:t>授标与定标原则</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29.1 </w:t>
      </w:r>
      <w:r>
        <w:rPr>
          <w:rFonts w:hint="eastAsia" w:ascii="宋体" w:hAnsi="宋体" w:eastAsia="宋体" w:cs="宋体"/>
          <w:color w:val="auto"/>
          <w:sz w:val="24"/>
          <w:szCs w:val="24"/>
          <w:highlight w:val="none"/>
        </w:rPr>
        <w:t xml:space="preserve">磋商小组按照磋商文件确定的评标方法、步骤、标准，对响应文件进行评审，并出具书面评标报告。磋商小组成员对需要共同认定的事项存在争议的，应当按照少数服从多数的原则作出结论。持不同意见的磋商小组成员应当在评标报告上签署不同意见及理由，否则视为同意评标报告。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29.2 </w:t>
      </w:r>
      <w:r>
        <w:rPr>
          <w:rFonts w:hint="eastAsia" w:ascii="宋体" w:hAnsi="宋体" w:eastAsia="宋体" w:cs="宋体"/>
          <w:color w:val="auto"/>
          <w:sz w:val="24"/>
          <w:szCs w:val="24"/>
          <w:highlight w:val="none"/>
        </w:rPr>
        <w:t xml:space="preserve">磋商小组根据评审结果，按评审后得分由高到低的顺序排列成交候选供应商名次。得分相同的，按磋商报价由低到高顺序排列。综合得分且磋商报价相同的，按技术部分得分由高到低顺序排列。综合得分、价格及技术得分均相同的，由磋商小组通过表决的方式，以少数服从多数原则，决定成交候选供应商排列顺序。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29.3 </w:t>
      </w:r>
      <w:r>
        <w:rPr>
          <w:rFonts w:hint="eastAsia" w:ascii="宋体" w:hAnsi="宋体" w:eastAsia="宋体" w:cs="宋体"/>
          <w:color w:val="auto"/>
          <w:sz w:val="24"/>
          <w:szCs w:val="24"/>
          <w:highlight w:val="none"/>
        </w:rPr>
        <w:t xml:space="preserve">推荐综合得分排名第一的供应商为第一成交候选供应商，排名第二的供应商为第二成交候选供应商， 排名第三的供应商为第三成交候选供应商。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29.4 </w:t>
      </w:r>
      <w:r>
        <w:rPr>
          <w:rFonts w:hint="eastAsia" w:ascii="宋体" w:hAnsi="宋体" w:eastAsia="宋体" w:cs="宋体"/>
          <w:color w:val="auto"/>
          <w:sz w:val="24"/>
          <w:szCs w:val="24"/>
          <w:highlight w:val="none"/>
        </w:rPr>
        <w:t>根据磋商小组的磋商结果，采购人在评标报告推荐的成交候选供应商中按顺序依法确定1名成交供应商。</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29.5 </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评标结束后2个工作日内将评标报告送采购人，采购人在收到评标报告之日起5个工作日内在评标报告确定的成交候选供应商名单中按顺序确定成交供应商。采购人未在5个工作日内按评标报告推荐的成交候选供应商顺序确定成交供应商，又不能说明合法理由的，视同按评标报告推荐的顺序确定排名第一的成交候选供应商为成交供应商。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30 </w:t>
      </w:r>
      <w:r>
        <w:rPr>
          <w:rFonts w:hint="eastAsia" w:ascii="宋体" w:hAnsi="宋体" w:eastAsia="宋体" w:cs="宋体"/>
          <w:b/>
          <w:bCs/>
          <w:color w:val="auto"/>
          <w:sz w:val="24"/>
          <w:szCs w:val="24"/>
          <w:highlight w:val="none"/>
        </w:rPr>
        <w:t>成交通知书</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30.1 </w:t>
      </w:r>
      <w:r>
        <w:rPr>
          <w:rFonts w:hint="eastAsia"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自成交供应商确定之日起2个工作日内，在磋商文件指定的媒体上发布成交公告，成交</w:t>
      </w:r>
      <w:r>
        <w:rPr>
          <w:rFonts w:hint="eastAsia" w:cs="宋体"/>
          <w:color w:val="auto"/>
          <w:sz w:val="24"/>
          <w:szCs w:val="24"/>
          <w:highlight w:val="none"/>
          <w:lang w:val="en-US" w:eastAsia="zh-CN"/>
        </w:rPr>
        <w:t>结果</w:t>
      </w:r>
      <w:r>
        <w:rPr>
          <w:rFonts w:hint="eastAsia" w:ascii="宋体" w:hAnsi="宋体" w:eastAsia="宋体" w:cs="宋体"/>
          <w:color w:val="auto"/>
          <w:sz w:val="24"/>
          <w:szCs w:val="24"/>
          <w:highlight w:val="none"/>
        </w:rPr>
        <w:t>公告期限为</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个工作日。同时向成交供应商发出《成交通知书》。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30.2 </w:t>
      </w:r>
      <w:r>
        <w:rPr>
          <w:rFonts w:hint="eastAsia" w:ascii="宋体" w:hAnsi="宋体" w:eastAsia="宋体" w:cs="宋体"/>
          <w:color w:val="auto"/>
          <w:sz w:val="24"/>
          <w:szCs w:val="24"/>
          <w:highlight w:val="none"/>
        </w:rPr>
        <w:t xml:space="preserve">《成交通知书》是合同的一个组成部分，《成交通知书》对采购人和成交供应商均具有同等的法律效力；《成交通知书》发出后，采购人改变成交结果，或者成交供应商放弃成交资格，应当承担相应的法律责任。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30.3 </w:t>
      </w:r>
      <w:r>
        <w:rPr>
          <w:rFonts w:hint="eastAsia" w:ascii="宋体" w:hAnsi="宋体" w:eastAsia="宋体" w:cs="宋体"/>
          <w:color w:val="auto"/>
          <w:sz w:val="24"/>
          <w:szCs w:val="24"/>
          <w:highlight w:val="none"/>
        </w:rPr>
        <w:t xml:space="preserve">《成交通知书》将作为授予合同资格的合法依据，是合同的一个组成部分。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30.4 </w:t>
      </w:r>
      <w:r>
        <w:rPr>
          <w:rFonts w:hint="eastAsia" w:ascii="宋体" w:hAnsi="宋体" w:eastAsia="宋体" w:cs="宋体"/>
          <w:color w:val="auto"/>
          <w:sz w:val="24"/>
          <w:szCs w:val="24"/>
          <w:highlight w:val="none"/>
        </w:rPr>
        <w:t>成交供应商为享受中小企业扶持政策的小微企业及视同小微企业的残疾人福利性单位的，</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val="en-US" w:eastAsia="zh-CN"/>
        </w:rPr>
        <w:t>工作人员</w:t>
      </w:r>
      <w:r>
        <w:rPr>
          <w:rFonts w:hint="eastAsia" w:ascii="宋体" w:hAnsi="宋体" w:eastAsia="宋体" w:cs="宋体"/>
          <w:color w:val="auto"/>
          <w:sz w:val="24"/>
          <w:szCs w:val="24"/>
          <w:highlight w:val="none"/>
        </w:rPr>
        <w:t xml:space="preserve">随成交结果同时公告其《中小企业声明函》、《残疾人福利性单位声明函》，接受社会监督。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31 </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 </w:t>
      </w:r>
      <w:r>
        <w:rPr>
          <w:rFonts w:hint="eastAsia" w:ascii="宋体" w:hAnsi="宋体" w:eastAsia="宋体" w:cs="宋体"/>
          <w:color w:val="auto"/>
          <w:sz w:val="24"/>
          <w:szCs w:val="24"/>
          <w:highlight w:val="none"/>
        </w:rPr>
        <w:t xml:space="preserve">在采购活动中，出现下列情形之一的，应予废标：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31.1.1 </w:t>
      </w:r>
      <w:r>
        <w:rPr>
          <w:rFonts w:hint="eastAsia" w:ascii="宋体" w:hAnsi="宋体" w:eastAsia="宋体" w:cs="宋体"/>
          <w:color w:val="auto"/>
          <w:sz w:val="24"/>
          <w:szCs w:val="24"/>
          <w:highlight w:val="none"/>
        </w:rPr>
        <w:t xml:space="preserve">因情况变化，不再符合规定的竞争性磋商采购方式适用情形的；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31.1.2 </w:t>
      </w:r>
      <w:r>
        <w:rPr>
          <w:rFonts w:hint="eastAsia" w:ascii="宋体" w:hAnsi="宋体" w:eastAsia="宋体" w:cs="宋体"/>
          <w:color w:val="auto"/>
          <w:sz w:val="24"/>
          <w:szCs w:val="24"/>
          <w:highlight w:val="none"/>
        </w:rPr>
        <w:t xml:space="preserve">出现影响采购公正的违法、违规行为的；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31.1.3 </w:t>
      </w:r>
      <w:r>
        <w:rPr>
          <w:rFonts w:hint="eastAsia" w:ascii="宋体" w:hAnsi="宋体" w:eastAsia="宋体" w:cs="宋体"/>
          <w:color w:val="auto"/>
          <w:sz w:val="24"/>
          <w:szCs w:val="24"/>
          <w:highlight w:val="none"/>
        </w:rPr>
        <w:t>除本须知2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.2.8规定的情形外，在采购过程中符合要求的供应商或者报价未超过采购预算的供应商不足3家的。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32 </w:t>
      </w:r>
      <w:r>
        <w:rPr>
          <w:rFonts w:hint="eastAsia" w:ascii="宋体" w:hAnsi="宋体" w:eastAsia="宋体" w:cs="宋体"/>
          <w:b/>
          <w:bCs/>
          <w:color w:val="auto"/>
          <w:sz w:val="24"/>
          <w:szCs w:val="24"/>
          <w:highlight w:val="none"/>
        </w:rPr>
        <w:t>询问、质疑、投诉</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 </w:t>
      </w:r>
      <w:r>
        <w:rPr>
          <w:rFonts w:hint="eastAsia" w:ascii="宋体" w:hAnsi="宋体" w:eastAsia="宋体" w:cs="宋体"/>
          <w:color w:val="auto"/>
          <w:sz w:val="24"/>
          <w:szCs w:val="24"/>
          <w:highlight w:val="none"/>
        </w:rPr>
        <w:t xml:space="preserve">询问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32.1.1 </w:t>
      </w:r>
      <w:r>
        <w:rPr>
          <w:rFonts w:hint="eastAsia" w:ascii="宋体" w:hAnsi="宋体" w:eastAsia="宋体" w:cs="宋体"/>
          <w:color w:val="auto"/>
          <w:sz w:val="24"/>
          <w:szCs w:val="24"/>
          <w:highlight w:val="none"/>
        </w:rPr>
        <w:t>供应商对政府采购活动事项（磋商文件、采购过程、成交或者成交结果）有疑问的，可以向采购人或者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lang w:eastAsia="zh-CN"/>
        </w:rPr>
        <w:t>心</w:t>
      </w:r>
      <w:r>
        <w:rPr>
          <w:rFonts w:hint="eastAsia" w:ascii="宋体" w:hAnsi="宋体" w:eastAsia="宋体" w:cs="宋体"/>
          <w:color w:val="auto"/>
          <w:sz w:val="24"/>
          <w:szCs w:val="24"/>
          <w:highlight w:val="none"/>
        </w:rPr>
        <w:t xml:space="preserve">提出询问，询问可以口头方式提出，也可以书面方式提出。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32.1.2 </w:t>
      </w:r>
      <w:r>
        <w:rPr>
          <w:rFonts w:hint="eastAsia" w:ascii="宋体" w:hAnsi="宋体" w:eastAsia="宋体" w:cs="宋体"/>
          <w:color w:val="auto"/>
          <w:sz w:val="24"/>
          <w:szCs w:val="24"/>
          <w:highlight w:val="none"/>
        </w:rPr>
        <w:t>采购人或者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在三个工作日内对供应商依法提出的询问作出答复。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32.2 </w:t>
      </w:r>
      <w:r>
        <w:rPr>
          <w:rFonts w:hint="eastAsia" w:ascii="宋体" w:hAnsi="宋体" w:eastAsia="宋体" w:cs="宋体"/>
          <w:color w:val="auto"/>
          <w:sz w:val="24"/>
          <w:szCs w:val="24"/>
          <w:highlight w:val="none"/>
        </w:rPr>
        <w:t>质疑</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.1 提出质疑的供应商应当是参与所质疑项目采购活动的供应商。潜在供应商依法获取其可质疑的采购文件的，可以对采购文件提出质疑。</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.2供应商认为采购文件、采购过程和采购结果使自己的权益受到损害的，可以在知道或应知其权益受到损害之日起七个工作日内，以书面形式向</w:t>
      </w:r>
      <w:r>
        <w:rPr>
          <w:rFonts w:hint="eastAsia"/>
          <w:color w:val="auto"/>
          <w:sz w:val="24"/>
          <w:szCs w:val="24"/>
          <w:highlight w:val="none"/>
          <w:lang w:val="en-US" w:eastAsia="zh-CN"/>
        </w:rPr>
        <w:t>招标代理公司</w:t>
      </w:r>
      <w:r>
        <w:rPr>
          <w:rFonts w:hint="eastAsia" w:ascii="宋体" w:hAnsi="宋体"/>
          <w:color w:val="auto"/>
          <w:sz w:val="24"/>
          <w:szCs w:val="24"/>
          <w:highlight w:val="none"/>
        </w:rPr>
        <w:t>及采购人提出质疑。上述应知其权益受到损害之日，是指：</w:t>
      </w:r>
    </w:p>
    <w:p>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.2.1</w:t>
      </w:r>
      <w:r>
        <w:rPr>
          <w:rFonts w:hint="eastAsia" w:hAnsi="宋体" w:cs="宋体"/>
          <w:color w:val="auto"/>
          <w:kern w:val="0"/>
          <w:sz w:val="24"/>
          <w:szCs w:val="24"/>
          <w:highlight w:val="none"/>
        </w:rPr>
        <w:t>对可以质疑的采购文件提出质疑的，为收到采购文件之日或者采购文件公告期限届满之日；</w:t>
      </w:r>
    </w:p>
    <w:p>
      <w:pPr>
        <w:snapToGrid w:val="0"/>
        <w:spacing w:line="480" w:lineRule="exact"/>
        <w:ind w:firstLine="480" w:firstLineChars="200"/>
        <w:rPr>
          <w:rFonts w:hint="eastAsia" w:hAnsi="宋体" w:eastAsia="宋体" w:cs="宋体"/>
          <w:color w:val="auto"/>
          <w:kern w:val="0"/>
          <w:sz w:val="24"/>
          <w:szCs w:val="24"/>
          <w:highlight w:val="none"/>
          <w:lang w:eastAsia="zh-CN"/>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.2.2</w:t>
      </w:r>
      <w:r>
        <w:rPr>
          <w:rFonts w:hint="eastAsia" w:hAnsi="宋体" w:cs="宋体"/>
          <w:color w:val="auto"/>
          <w:kern w:val="0"/>
          <w:sz w:val="24"/>
          <w:szCs w:val="24"/>
          <w:highlight w:val="none"/>
        </w:rPr>
        <w:t>对采购过程提出质疑的，为各采购程序环节结束之日；</w:t>
      </w:r>
    </w:p>
    <w:p>
      <w:pPr>
        <w:snapToGrid w:val="0"/>
        <w:spacing w:line="480" w:lineRule="exact"/>
        <w:ind w:firstLine="480" w:firstLineChars="200"/>
        <w:rPr>
          <w:rFonts w:hint="eastAsia" w:hAnsi="宋体" w:cs="宋体"/>
          <w:color w:val="auto"/>
          <w:kern w:val="0"/>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2.2</w:t>
      </w:r>
      <w:r>
        <w:rPr>
          <w:rFonts w:hint="eastAsia" w:ascii="宋体" w:hAnsi="宋体"/>
          <w:color w:val="auto"/>
          <w:sz w:val="24"/>
          <w:szCs w:val="24"/>
          <w:highlight w:val="none"/>
        </w:rPr>
        <w:t>.2.3</w:t>
      </w:r>
      <w:r>
        <w:rPr>
          <w:rFonts w:hint="eastAsia" w:hAnsi="宋体" w:cs="宋体"/>
          <w:color w:val="auto"/>
          <w:kern w:val="0"/>
          <w:sz w:val="24"/>
          <w:szCs w:val="24"/>
          <w:highlight w:val="none"/>
        </w:rPr>
        <w:t>对中标或者成交结果提出质疑的，为中标或者成交结果公告期限届满之日。</w:t>
      </w:r>
    </w:p>
    <w:p>
      <w:pPr>
        <w:snapToGrid w:val="0"/>
        <w:spacing w:line="480" w:lineRule="exact"/>
        <w:ind w:firstLine="480" w:firstLineChars="200"/>
        <w:rPr>
          <w:rFonts w:hAnsi="宋体" w:cs="宋体"/>
          <w:color w:val="auto"/>
          <w:kern w:val="0"/>
          <w:sz w:val="24"/>
          <w:szCs w:val="24"/>
          <w:highlight w:val="none"/>
        </w:rPr>
      </w:pPr>
      <w:r>
        <w:rPr>
          <w:rFonts w:hint="eastAsia" w:hAnsi="宋体" w:cs="宋体"/>
          <w:color w:val="auto"/>
          <w:kern w:val="0"/>
          <w:sz w:val="24"/>
          <w:szCs w:val="24"/>
          <w:highlight w:val="none"/>
        </w:rPr>
        <w:t>供应商应当在法定质疑期内一次性提出针对同一采购程序环节的质疑。供应商如在法定期限内对同一采购程序环节提出多次质疑的，</w:t>
      </w:r>
      <w:r>
        <w:rPr>
          <w:rFonts w:hint="eastAsia" w:cs="宋体"/>
          <w:b/>
          <w:color w:val="auto"/>
          <w:kern w:val="0"/>
          <w:sz w:val="24"/>
          <w:szCs w:val="24"/>
          <w:highlight w:val="none"/>
          <w:lang w:val="en-US" w:eastAsia="zh-CN"/>
        </w:rPr>
        <w:t>招标代理公司</w:t>
      </w:r>
      <w:r>
        <w:rPr>
          <w:rFonts w:hint="eastAsia" w:hAnsi="宋体" w:cs="宋体"/>
          <w:b/>
          <w:color w:val="auto"/>
          <w:kern w:val="0"/>
          <w:sz w:val="24"/>
          <w:szCs w:val="24"/>
          <w:highlight w:val="none"/>
        </w:rPr>
        <w:t>、采购人将只对供应商第一次质疑作出答复。</w:t>
      </w:r>
    </w:p>
    <w:p>
      <w:pPr>
        <w:snapToGrid w:val="0"/>
        <w:spacing w:line="480" w:lineRule="exact"/>
        <w:ind w:firstLine="480" w:firstLineChars="200"/>
        <w:rPr>
          <w:rFonts w:ascii="宋体" w:hAnsi="宋体"/>
          <w:color w:val="auto"/>
          <w:sz w:val="24"/>
          <w:szCs w:val="24"/>
          <w:highlight w:val="none"/>
        </w:rPr>
      </w:pPr>
      <w:r>
        <w:rPr>
          <w:rFonts w:hint="eastAsia"/>
          <w:color w:val="auto"/>
          <w:sz w:val="24"/>
          <w:szCs w:val="24"/>
          <w:highlight w:val="none"/>
          <w:lang w:val="en-US" w:eastAsia="zh-CN"/>
        </w:rPr>
        <w:t>32</w:t>
      </w:r>
      <w:r>
        <w:rPr>
          <w:rFonts w:hint="eastAsia" w:ascii="宋体" w:hAnsi="宋体"/>
          <w:color w:val="auto"/>
          <w:sz w:val="24"/>
          <w:szCs w:val="24"/>
          <w:highlight w:val="none"/>
        </w:rPr>
        <w:t>.3质疑函必须按照本招标文件中《质疑函范本》要求的格式和内容进行填写。供应商如组成联合体参加投标，则《质疑函范本》中要求签字、盖章、加盖公章之处，联合体各方均须按要求签字、盖章、加盖公章。</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.4 采购人只接收以纸质原件形式送达的质疑。</w:t>
      </w:r>
    </w:p>
    <w:p>
      <w:pPr>
        <w:pageBreakBefore w:val="0"/>
        <w:kinsoku/>
        <w:wordWrap/>
        <w:overflowPunct/>
        <w:topLinePunct w:val="0"/>
        <w:bidi w:val="0"/>
        <w:snapToGrid/>
        <w:spacing w:line="400" w:lineRule="exact"/>
        <w:ind w:firstLine="480" w:firstLineChars="200"/>
        <w:textAlignment w:val="auto"/>
        <w:rPr>
          <w:rFonts w:hint="default" w:ascii="宋体" w:hAnsi="宋体" w:eastAsia="仿宋" w:cs="仿宋"/>
          <w:color w:val="auto"/>
          <w:sz w:val="24"/>
          <w:szCs w:val="24"/>
          <w:highlight w:val="none"/>
          <w:lang w:val="en-US" w:eastAsia="zh-CN"/>
        </w:rPr>
      </w:pPr>
      <w:r>
        <w:rPr>
          <w:rFonts w:hint="eastAsia" w:ascii="宋体" w:hAnsi="宋体"/>
          <w:color w:val="auto"/>
          <w:sz w:val="24"/>
          <w:szCs w:val="24"/>
          <w:highlight w:val="none"/>
        </w:rPr>
        <w:t>质疑接收人：</w:t>
      </w:r>
      <w:r>
        <w:rPr>
          <w:rFonts w:hint="eastAsia"/>
          <w:color w:val="auto"/>
          <w:sz w:val="24"/>
          <w:szCs w:val="24"/>
          <w:highlight w:val="none"/>
          <w:lang w:val="en-US" w:eastAsia="zh-CN"/>
        </w:rPr>
        <w:t>鄯善县吐峪沟乡人民政府</w:t>
      </w:r>
    </w:p>
    <w:p>
      <w:pPr>
        <w:snapToGrid w:val="0"/>
        <w:spacing w:line="480" w:lineRule="exact"/>
        <w:ind w:firstLine="480" w:firstLineChars="200"/>
        <w:rPr>
          <w:rFonts w:hint="default"/>
          <w:color w:val="auto"/>
          <w:sz w:val="24"/>
          <w:szCs w:val="24"/>
          <w:highlight w:val="none"/>
          <w:lang w:val="en-US" w:eastAsia="zh-CN"/>
        </w:rPr>
      </w:pPr>
      <w:r>
        <w:rPr>
          <w:rFonts w:hint="eastAsia" w:ascii="宋体" w:hAnsi="宋体"/>
          <w:color w:val="auto"/>
          <w:sz w:val="24"/>
          <w:szCs w:val="24"/>
          <w:highlight w:val="none"/>
        </w:rPr>
        <w:t>联系地址：</w:t>
      </w:r>
      <w:r>
        <w:rPr>
          <w:rFonts w:hint="eastAsia"/>
          <w:color w:val="auto"/>
          <w:sz w:val="24"/>
          <w:szCs w:val="24"/>
          <w:highlight w:val="none"/>
          <w:lang w:val="en-US" w:eastAsia="zh-CN"/>
        </w:rPr>
        <w:t>鄯善县吐峪沟乡</w:t>
      </w:r>
    </w:p>
    <w:p>
      <w:pPr>
        <w:snapToGrid w:val="0"/>
        <w:spacing w:line="48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联系电话：</w:t>
      </w:r>
      <w:r>
        <w:rPr>
          <w:rFonts w:hint="eastAsia" w:ascii="仿宋" w:hAnsi="仿宋" w:eastAsia="仿宋" w:cs="仿宋"/>
          <w:sz w:val="28"/>
          <w:szCs w:val="28"/>
          <w:lang w:val="en-US" w:eastAsia="zh-CN"/>
        </w:rPr>
        <w:t>15509956321</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 以下情形的质疑不予受理</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.5.1 内容不符合《政府采购质疑和投诉办法》第十二条规定的质疑。</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.5.2 超出政府采购法定期限的质疑。</w:t>
      </w:r>
    </w:p>
    <w:p>
      <w:pPr>
        <w:snapToGrid w:val="0"/>
        <w:spacing w:line="48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.5.3 以传真、电子邮件等方式递交的非原件形式的质疑。</w:t>
      </w:r>
    </w:p>
    <w:p>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.5.4 未参加投标活动的供应商或在投标活动中自身权益未受到损害的供</w:t>
      </w:r>
      <w:r>
        <w:rPr>
          <w:rFonts w:hint="eastAsia" w:ascii="宋体" w:hAnsi="宋体" w:eastAsia="宋体" w:cs="Times New Roman"/>
          <w:color w:val="auto"/>
          <w:sz w:val="24"/>
          <w:szCs w:val="24"/>
          <w:highlight w:val="none"/>
        </w:rPr>
        <w:t>应商所提出的质疑。</w:t>
      </w:r>
    </w:p>
    <w:p>
      <w:pPr>
        <w:snapToGrid w:val="0"/>
        <w:spacing w:line="48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.5.5供应商组成联合体参加投标，联合体中任何一方或多方未按要求签字、盖章、加盖公章的质疑。</w:t>
      </w:r>
    </w:p>
    <w:p>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.5.</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无具体</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事项内容，或未提供有效线索，难以查证的</w:t>
      </w:r>
      <w:r>
        <w:rPr>
          <w:rFonts w:hint="eastAsia" w:ascii="宋体" w:hAnsi="宋体" w:eastAsia="宋体" w:cs="Times New Roman"/>
          <w:color w:val="auto"/>
          <w:sz w:val="24"/>
          <w:szCs w:val="24"/>
          <w:highlight w:val="none"/>
          <w:lang w:eastAsia="zh-CN"/>
        </w:rPr>
        <w:t>。</w:t>
      </w:r>
    </w:p>
    <w:p>
      <w:pPr>
        <w:snapToGrid w:val="0"/>
        <w:spacing w:line="48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.5.7</w:t>
      </w:r>
      <w:r>
        <w:rPr>
          <w:rFonts w:hint="eastAsia" w:ascii="宋体" w:hAnsi="宋体" w:eastAsia="宋体" w:cs="Times New Roman"/>
          <w:color w:val="auto"/>
          <w:sz w:val="24"/>
          <w:szCs w:val="24"/>
          <w:highlight w:val="none"/>
        </w:rPr>
        <w:t>所</w:t>
      </w:r>
      <w:r>
        <w:rPr>
          <w:rFonts w:hint="eastAsia" w:ascii="宋体" w:hAnsi="宋体" w:eastAsia="宋体" w:cs="Times New Roman"/>
          <w:color w:val="auto"/>
          <w:sz w:val="24"/>
          <w:szCs w:val="24"/>
          <w:highlight w:val="none"/>
          <w:lang w:val="en-US" w:eastAsia="zh-CN"/>
        </w:rPr>
        <w:t>质疑</w:t>
      </w:r>
      <w:r>
        <w:rPr>
          <w:rFonts w:hint="eastAsia" w:ascii="宋体" w:hAnsi="宋体" w:eastAsia="宋体" w:cs="Times New Roman"/>
          <w:color w:val="auto"/>
          <w:sz w:val="24"/>
          <w:szCs w:val="24"/>
          <w:highlight w:val="none"/>
        </w:rPr>
        <w:t>事项已进行处理，或正在行政复议、仲裁、诉讼、投诉等其他程序的</w:t>
      </w:r>
      <w:r>
        <w:rPr>
          <w:rFonts w:hint="eastAsia" w:ascii="宋体" w:hAnsi="宋体" w:eastAsia="宋体" w:cs="Times New Roman"/>
          <w:color w:val="auto"/>
          <w:sz w:val="24"/>
          <w:szCs w:val="24"/>
          <w:highlight w:val="none"/>
          <w:lang w:eastAsia="zh-CN"/>
        </w:rPr>
        <w:t>。</w:t>
      </w:r>
    </w:p>
    <w:p>
      <w:pPr>
        <w:snapToGrid w:val="0"/>
        <w:spacing w:line="48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r>
        <w:rPr>
          <w:rFonts w:hint="eastAsia" w:cs="Times New Roman"/>
          <w:color w:val="auto"/>
          <w:sz w:val="24"/>
          <w:szCs w:val="24"/>
          <w:highlight w:val="none"/>
          <w:lang w:val="en-US" w:eastAsia="zh-CN"/>
        </w:rPr>
        <w:t>2</w:t>
      </w:r>
      <w:r>
        <w:rPr>
          <w:rFonts w:hint="eastAsia" w:ascii="宋体" w:hAnsi="宋体" w:eastAsia="宋体" w:cs="Times New Roman"/>
          <w:color w:val="auto"/>
          <w:sz w:val="24"/>
          <w:szCs w:val="24"/>
          <w:highlight w:val="none"/>
          <w:lang w:val="en-US" w:eastAsia="zh-CN"/>
        </w:rPr>
        <w:t>.5.8不属于本中心管辖范围的质疑。</w:t>
      </w:r>
    </w:p>
    <w:p>
      <w:pPr>
        <w:snapToGrid w:val="0"/>
        <w:spacing w:line="480" w:lineRule="exact"/>
        <w:ind w:firstLine="468" w:firstLineChars="195"/>
        <w:rPr>
          <w:rFonts w:hint="eastAsia"/>
          <w:color w:val="auto"/>
          <w:highlight w:val="none"/>
        </w:rPr>
      </w:pPr>
      <w:r>
        <w:rPr>
          <w:rFonts w:hint="eastAsia" w:ascii="宋体" w:hAnsi="宋体"/>
          <w:color w:val="auto"/>
          <w:sz w:val="24"/>
          <w:szCs w:val="24"/>
          <w:highlight w:val="none"/>
        </w:rPr>
        <w:t>3</w:t>
      </w:r>
      <w:r>
        <w:rPr>
          <w:rFonts w:hint="eastAsia"/>
          <w:color w:val="auto"/>
          <w:sz w:val="24"/>
          <w:szCs w:val="24"/>
          <w:highlight w:val="none"/>
          <w:lang w:val="en-US" w:eastAsia="zh-CN"/>
        </w:rPr>
        <w:t>2</w:t>
      </w:r>
      <w:r>
        <w:rPr>
          <w:rFonts w:hint="eastAsia" w:ascii="宋体" w:hAnsi="宋体"/>
          <w:color w:val="auto"/>
          <w:sz w:val="24"/>
          <w:szCs w:val="24"/>
          <w:highlight w:val="none"/>
        </w:rPr>
        <w:t xml:space="preserve">.6  </w:t>
      </w:r>
      <w:r>
        <w:rPr>
          <w:rFonts w:hint="eastAsia" w:ascii="宋体" w:hAnsi="宋体"/>
          <w:b/>
          <w:color w:val="auto"/>
          <w:sz w:val="24"/>
          <w:szCs w:val="24"/>
          <w:highlight w:val="none"/>
        </w:rPr>
        <w:t>供应商提出书面质疑必须有理、有据，不得捏造事实、提供虚假材料进行恶意质疑。否则，一经查实，</w:t>
      </w:r>
      <w:r>
        <w:rPr>
          <w:rFonts w:hint="eastAsia"/>
          <w:b/>
          <w:color w:val="auto"/>
          <w:sz w:val="24"/>
          <w:szCs w:val="24"/>
          <w:highlight w:val="none"/>
          <w:lang w:val="en-US" w:eastAsia="zh-CN"/>
        </w:rPr>
        <w:t>招标代理公司</w:t>
      </w:r>
      <w:r>
        <w:rPr>
          <w:rFonts w:hint="eastAsia" w:ascii="宋体" w:hAnsi="宋体"/>
          <w:b/>
          <w:color w:val="auto"/>
          <w:sz w:val="24"/>
          <w:szCs w:val="24"/>
          <w:highlight w:val="none"/>
        </w:rPr>
        <w:t>有权依据政府采购的有关规定，报请政府采购监管部门对该供应商进行相应的行政处罚和记录该供应商的失信信息。</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 </w:t>
      </w:r>
      <w:r>
        <w:rPr>
          <w:rFonts w:hint="eastAsia" w:ascii="宋体" w:hAnsi="宋体" w:eastAsia="宋体" w:cs="宋体"/>
          <w:color w:val="auto"/>
          <w:sz w:val="24"/>
          <w:szCs w:val="24"/>
          <w:highlight w:val="none"/>
        </w:rPr>
        <w:t xml:space="preserve">投诉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32.3.1 </w:t>
      </w:r>
      <w:r>
        <w:rPr>
          <w:rFonts w:hint="eastAsia" w:ascii="宋体" w:hAnsi="宋体" w:eastAsia="宋体" w:cs="宋体"/>
          <w:color w:val="auto"/>
          <w:sz w:val="24"/>
          <w:szCs w:val="24"/>
          <w:highlight w:val="none"/>
        </w:rPr>
        <w:t>质疑供应商对</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的答复不满意，或者</w:t>
      </w:r>
      <w:r>
        <w:rPr>
          <w:rFonts w:hint="eastAsia" w:cs="宋体"/>
          <w:color w:val="auto"/>
          <w:sz w:val="24"/>
          <w:szCs w:val="24"/>
          <w:highlight w:val="none"/>
          <w:lang w:val="en-US" w:eastAsia="zh-CN"/>
        </w:rPr>
        <w:t>招标代理公司</w:t>
      </w:r>
      <w:r>
        <w:rPr>
          <w:rFonts w:hint="eastAsia" w:ascii="宋体" w:hAnsi="宋体" w:eastAsia="宋体" w:cs="宋体"/>
          <w:color w:val="auto"/>
          <w:sz w:val="24"/>
          <w:szCs w:val="24"/>
          <w:highlight w:val="none"/>
        </w:rPr>
        <w:t xml:space="preserve">未在规定时间内作出答复的，可以在答复期满后十五个工作日内向同级财政部门提起投诉。 入不良行为记录名单，禁止其1 至3年内参加政府采购活动：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32.3.3.1 </w:t>
      </w:r>
      <w:r>
        <w:rPr>
          <w:rFonts w:hint="eastAsia" w:ascii="宋体" w:hAnsi="宋体" w:eastAsia="宋体" w:cs="宋体"/>
          <w:color w:val="auto"/>
          <w:sz w:val="24"/>
          <w:szCs w:val="24"/>
          <w:highlight w:val="none"/>
        </w:rPr>
        <w:t xml:space="preserve">捏造事实；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32.3.3.2 </w:t>
      </w:r>
      <w:r>
        <w:rPr>
          <w:rFonts w:hint="eastAsia" w:ascii="宋体" w:hAnsi="宋体" w:eastAsia="宋体" w:cs="宋体"/>
          <w:color w:val="auto"/>
          <w:sz w:val="24"/>
          <w:szCs w:val="24"/>
          <w:highlight w:val="none"/>
        </w:rPr>
        <w:t xml:space="preserve">提供虚假材料；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32.3.3.3 </w:t>
      </w:r>
      <w:r>
        <w:rPr>
          <w:rFonts w:hint="eastAsia" w:ascii="宋体" w:hAnsi="宋体" w:eastAsia="宋体" w:cs="宋体"/>
          <w:color w:val="auto"/>
          <w:sz w:val="24"/>
          <w:szCs w:val="24"/>
          <w:highlight w:val="none"/>
        </w:rPr>
        <w:t xml:space="preserve">以非法手段取得证明材料。证据来源的合法性存在明显疑问，投诉人无法证明其取得方式合法的，视为以非法手段取得证明材料。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33 </w:t>
      </w:r>
      <w:r>
        <w:rPr>
          <w:rFonts w:hint="eastAsia" w:ascii="宋体" w:hAnsi="宋体" w:eastAsia="宋体" w:cs="宋体"/>
          <w:b/>
          <w:bCs/>
          <w:color w:val="auto"/>
          <w:sz w:val="24"/>
          <w:szCs w:val="24"/>
          <w:highlight w:val="none"/>
        </w:rPr>
        <w:t>特别说明</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 </w:t>
      </w:r>
      <w:r>
        <w:rPr>
          <w:rFonts w:hint="eastAsia" w:ascii="宋体" w:hAnsi="宋体" w:eastAsia="宋体" w:cs="宋体"/>
          <w:color w:val="auto"/>
          <w:sz w:val="24"/>
          <w:szCs w:val="24"/>
          <w:highlight w:val="none"/>
        </w:rPr>
        <w:t xml:space="preserve">有下列情形之一的，视为供应商串通投标，其响应无效：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33.1.1 </w:t>
      </w:r>
      <w:r>
        <w:rPr>
          <w:rFonts w:hint="eastAsia" w:ascii="宋体" w:hAnsi="宋体" w:eastAsia="宋体" w:cs="宋体"/>
          <w:color w:val="auto"/>
          <w:sz w:val="24"/>
          <w:szCs w:val="24"/>
          <w:highlight w:val="none"/>
        </w:rPr>
        <w:t xml:space="preserve">不同供应商的响应文件由同一单位或者个人编制；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33.1.2 </w:t>
      </w:r>
      <w:r>
        <w:rPr>
          <w:rFonts w:hint="eastAsia" w:ascii="宋体" w:hAnsi="宋体" w:eastAsia="宋体" w:cs="宋体"/>
          <w:color w:val="auto"/>
          <w:sz w:val="24"/>
          <w:szCs w:val="24"/>
          <w:highlight w:val="none"/>
        </w:rPr>
        <w:t xml:space="preserve">不同供应商委托同一单位或者个人办理投标事宜；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33.1.3 </w:t>
      </w:r>
      <w:r>
        <w:rPr>
          <w:rFonts w:hint="eastAsia" w:ascii="宋体" w:hAnsi="宋体" w:eastAsia="宋体" w:cs="宋体"/>
          <w:color w:val="auto"/>
          <w:sz w:val="24"/>
          <w:szCs w:val="24"/>
          <w:highlight w:val="none"/>
        </w:rPr>
        <w:t xml:space="preserve">不同供应商的响应文件载明的项目管理成员或者联系人员为同一人；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33.1.4 </w:t>
      </w:r>
      <w:r>
        <w:rPr>
          <w:rFonts w:hint="eastAsia" w:ascii="宋体" w:hAnsi="宋体" w:eastAsia="宋体" w:cs="宋体"/>
          <w:color w:val="auto"/>
          <w:sz w:val="24"/>
          <w:szCs w:val="24"/>
          <w:highlight w:val="none"/>
        </w:rPr>
        <w:t xml:space="preserve">不同供应商的响应文件异常一致或者磋商报价呈规律性差异；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33.1.5 </w:t>
      </w:r>
      <w:r>
        <w:rPr>
          <w:rFonts w:hint="eastAsia" w:ascii="宋体" w:hAnsi="宋体" w:eastAsia="宋体" w:cs="宋体"/>
          <w:color w:val="auto"/>
          <w:sz w:val="24"/>
          <w:szCs w:val="24"/>
          <w:highlight w:val="none"/>
        </w:rPr>
        <w:t xml:space="preserve">不同供应商的响应文件相互混装；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33.1.6 </w:t>
      </w:r>
      <w:r>
        <w:rPr>
          <w:rFonts w:hint="eastAsia" w:ascii="宋体" w:hAnsi="宋体" w:eastAsia="宋体" w:cs="宋体"/>
          <w:color w:val="auto"/>
          <w:sz w:val="24"/>
          <w:szCs w:val="24"/>
          <w:highlight w:val="none"/>
        </w:rPr>
        <w:t xml:space="preserve">不同供应商的磋商保证金从同一单位或者个人的账户转出。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 </w:t>
      </w:r>
      <w:r>
        <w:rPr>
          <w:rFonts w:hint="eastAsia" w:ascii="宋体" w:hAnsi="宋体" w:eastAsia="宋体" w:cs="宋体"/>
          <w:color w:val="auto"/>
          <w:sz w:val="24"/>
          <w:szCs w:val="24"/>
          <w:highlight w:val="none"/>
        </w:rPr>
        <w:t xml:space="preserve">供应商存在下列情况之一的，其响应无效: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33.2.1 </w:t>
      </w:r>
      <w:r>
        <w:rPr>
          <w:rFonts w:hint="eastAsia" w:ascii="宋体" w:hAnsi="宋体" w:eastAsia="宋体" w:cs="宋体"/>
          <w:color w:val="auto"/>
          <w:sz w:val="24"/>
          <w:szCs w:val="24"/>
          <w:highlight w:val="none"/>
        </w:rPr>
        <w:t xml:space="preserve">未按照磋商文件的规定提交磋商保证金的；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33.2.2 </w:t>
      </w:r>
      <w:r>
        <w:rPr>
          <w:rFonts w:hint="eastAsia" w:ascii="宋体" w:hAnsi="宋体" w:eastAsia="宋体" w:cs="宋体"/>
          <w:color w:val="auto"/>
          <w:sz w:val="24"/>
          <w:szCs w:val="24"/>
          <w:highlight w:val="none"/>
        </w:rPr>
        <w:t xml:space="preserve">响应文件未按磋商文件要求签署、盖章及响应文件的份数、编制不符合磋商文件要求的；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33.2.3 </w:t>
      </w:r>
      <w:r>
        <w:rPr>
          <w:rFonts w:hint="eastAsia" w:ascii="宋体" w:hAnsi="宋体" w:eastAsia="宋体" w:cs="宋体"/>
          <w:color w:val="auto"/>
          <w:sz w:val="24"/>
          <w:szCs w:val="24"/>
          <w:highlight w:val="none"/>
        </w:rPr>
        <w:t xml:space="preserve">不具备磋商文件中规定的资格要求的；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33.2.4 </w:t>
      </w:r>
      <w:r>
        <w:rPr>
          <w:rFonts w:hint="eastAsia" w:ascii="宋体" w:hAnsi="宋体" w:eastAsia="宋体" w:cs="宋体"/>
          <w:color w:val="auto"/>
          <w:sz w:val="24"/>
          <w:szCs w:val="24"/>
          <w:highlight w:val="none"/>
        </w:rPr>
        <w:t xml:space="preserve">报价超过磋商文件中规定的预算金额或者最高限价的；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33.2.5 </w:t>
      </w:r>
      <w:r>
        <w:rPr>
          <w:rFonts w:hint="eastAsia" w:ascii="宋体" w:hAnsi="宋体" w:eastAsia="宋体" w:cs="宋体"/>
          <w:color w:val="auto"/>
          <w:sz w:val="24"/>
          <w:szCs w:val="24"/>
          <w:highlight w:val="none"/>
        </w:rPr>
        <w:t xml:space="preserve">响应文件含有采购人不能接受的附加条件的；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33.2.6 </w:t>
      </w:r>
      <w:r>
        <w:rPr>
          <w:rFonts w:hint="eastAsia" w:ascii="宋体" w:hAnsi="宋体" w:eastAsia="宋体" w:cs="宋体"/>
          <w:color w:val="auto"/>
          <w:sz w:val="24"/>
          <w:szCs w:val="24"/>
          <w:highlight w:val="none"/>
        </w:rPr>
        <w:t>法律、法规和磋商文件规定的其他无效情形。</w:t>
      </w: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left="3080"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val="en-US" w:eastAsia="zh-CN"/>
        </w:rPr>
        <w:t>六、</w:t>
      </w:r>
      <w:r>
        <w:rPr>
          <w:rFonts w:hint="eastAsia" w:ascii="宋体" w:hAnsi="宋体" w:eastAsia="宋体" w:cs="宋体"/>
          <w:b/>
          <w:bCs/>
          <w:color w:val="auto"/>
          <w:sz w:val="28"/>
          <w:szCs w:val="28"/>
          <w:highlight w:val="none"/>
        </w:rPr>
        <w:t>授予合同</w:t>
      </w:r>
      <w:r>
        <w:rPr>
          <w:rFonts w:hint="eastAsia" w:ascii="宋体" w:hAnsi="宋体" w:eastAsia="宋体" w:cs="宋体"/>
          <w:color w:val="auto"/>
          <w:sz w:val="24"/>
          <w:szCs w:val="24"/>
          <w:highlight w:val="none"/>
        </w:rPr>
        <w:t xml:space="preserve"> </w:t>
      </w:r>
    </w:p>
    <w:p>
      <w:pPr>
        <w:pStyle w:val="9"/>
        <w:numPr>
          <w:ilvl w:val="0"/>
          <w:numId w:val="0"/>
        </w:numPr>
        <w:ind w:left="3080" w:leftChars="0" w:right="0" w:rightChars="0"/>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34 </w:t>
      </w:r>
      <w:r>
        <w:rPr>
          <w:rFonts w:hint="eastAsia" w:ascii="宋体" w:hAnsi="宋体" w:eastAsia="宋体" w:cs="宋体"/>
          <w:b/>
          <w:bCs/>
          <w:color w:val="auto"/>
          <w:sz w:val="24"/>
          <w:szCs w:val="24"/>
          <w:highlight w:val="none"/>
        </w:rPr>
        <w:t>合同的订立</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34.1 </w:t>
      </w:r>
      <w:r>
        <w:rPr>
          <w:rFonts w:hint="eastAsia" w:ascii="宋体" w:hAnsi="宋体" w:eastAsia="宋体" w:cs="宋体"/>
          <w:color w:val="auto"/>
          <w:sz w:val="24"/>
          <w:szCs w:val="24"/>
          <w:highlight w:val="none"/>
        </w:rPr>
        <w:t xml:space="preserve">采购人应当自成交通知书发出之日起三十日内，按照磋商文件和成交供应商响应文件的约定，与成交供应商签订书面合同。所签订的合同不得对磋商文件和成交供应商响应文件作实质性修改。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34.2 </w:t>
      </w:r>
      <w:r>
        <w:rPr>
          <w:rFonts w:hint="eastAsia" w:ascii="宋体" w:hAnsi="宋体" w:eastAsia="宋体" w:cs="宋体"/>
          <w:color w:val="auto"/>
          <w:sz w:val="24"/>
          <w:szCs w:val="24"/>
          <w:highlight w:val="none"/>
        </w:rPr>
        <w:t xml:space="preserve">采购人不得向成交供应商提出任何不合理的要求，作为签订合同的条件，不得与成交供应商私下订立背离合同实质性内容的协议。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34.3 </w:t>
      </w:r>
      <w:r>
        <w:rPr>
          <w:rFonts w:hint="eastAsia" w:ascii="宋体" w:hAnsi="宋体" w:eastAsia="宋体" w:cs="宋体"/>
          <w:color w:val="auto"/>
          <w:sz w:val="24"/>
          <w:szCs w:val="24"/>
          <w:highlight w:val="none"/>
        </w:rPr>
        <w:t xml:space="preserve">自政府采购合同签订之日起两个工作日内，采购人应将政府采购合同在省级以上人民政府财政部门指定的媒体上公告，但政府采购合同中涉及国家秘密、商业秘密的内容除外。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34.4 </w:t>
      </w:r>
      <w:r>
        <w:rPr>
          <w:rFonts w:hint="eastAsia" w:ascii="宋体" w:hAnsi="宋体" w:eastAsia="宋体" w:cs="宋体"/>
          <w:color w:val="auto"/>
          <w:sz w:val="24"/>
          <w:szCs w:val="24"/>
          <w:highlight w:val="none"/>
        </w:rPr>
        <w:t xml:space="preserve">政府采购合同签订之日起七个工作日内，采购人应将政府采购合同副本报同级监管部门备案和有关部门备案。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35 </w:t>
      </w:r>
      <w:r>
        <w:rPr>
          <w:rFonts w:hint="eastAsia" w:ascii="宋体" w:hAnsi="宋体" w:eastAsia="宋体" w:cs="宋体"/>
          <w:b/>
          <w:bCs/>
          <w:color w:val="auto"/>
          <w:sz w:val="24"/>
          <w:szCs w:val="24"/>
          <w:highlight w:val="none"/>
        </w:rPr>
        <w:t>合同的履行</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35.1 </w:t>
      </w:r>
      <w:r>
        <w:rPr>
          <w:rFonts w:hint="eastAsia" w:ascii="宋体" w:hAnsi="宋体" w:eastAsia="宋体" w:cs="宋体"/>
          <w:color w:val="auto"/>
          <w:sz w:val="24"/>
          <w:szCs w:val="24"/>
          <w:highlight w:val="none"/>
        </w:rPr>
        <w:t>政府采购合同订立后，合同各方不得擅自变更、中止或者终止合同。政府采购合同需要变更的，采购人应将有关合同变更内容，以书面形式报同级监管部门备案；因特殊情况需要中止或终止合同的， 采购人应将中止或终止合同的理由以及相应措施，以书面形式报同级监管部门备案。</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35.2 </w:t>
      </w:r>
      <w:r>
        <w:rPr>
          <w:rFonts w:hint="eastAsia" w:ascii="宋体" w:hAnsi="宋体" w:eastAsia="宋体" w:cs="宋体"/>
          <w:color w:val="auto"/>
          <w:sz w:val="24"/>
          <w:szCs w:val="24"/>
          <w:highlight w:val="none"/>
        </w:rPr>
        <w:t xml:space="preserve">政府采购合同履行中，采购人需追加与合同标的相同的货物、工程或者服务的，在不改变合同其他条款的前提下，可以与供应商签订补充合同，但所有补充合同的采购金额不得超过原合同采购金额的百分之十。签订补充合同的必须按规定备案。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35.3 </w:t>
      </w:r>
      <w:r>
        <w:rPr>
          <w:rFonts w:hint="eastAsia" w:ascii="宋体" w:hAnsi="宋体" w:eastAsia="宋体" w:cs="宋体"/>
          <w:color w:val="auto"/>
          <w:sz w:val="24"/>
          <w:szCs w:val="24"/>
          <w:highlight w:val="none"/>
        </w:rPr>
        <w:t xml:space="preserve">成交供应商如为依据《政府采购促进中小企业发展管理办法》规定享受扶持政策获得政府采购合同的，小微企业不得将合同分包给大中型企业，中型企业不得将合同分包给大型企业。 </w:t>
      </w:r>
    </w:p>
    <w:p>
      <w:pPr>
        <w:pStyle w:val="9"/>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 xml:space="preserve">36 </w:t>
      </w:r>
      <w:r>
        <w:rPr>
          <w:rFonts w:hint="eastAsia" w:ascii="宋体" w:hAnsi="宋体" w:eastAsia="宋体" w:cs="宋体"/>
          <w:b/>
          <w:bCs/>
          <w:color w:val="auto"/>
          <w:sz w:val="24"/>
          <w:szCs w:val="24"/>
          <w:highlight w:val="none"/>
        </w:rPr>
        <w:t>验收</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36.1 </w:t>
      </w:r>
      <w:r>
        <w:rPr>
          <w:rFonts w:hint="eastAsia" w:ascii="宋体" w:hAnsi="宋体" w:eastAsia="宋体" w:cs="宋体"/>
          <w:color w:val="auto"/>
          <w:sz w:val="24"/>
          <w:szCs w:val="24"/>
          <w:highlight w:val="none"/>
        </w:rPr>
        <w:t xml:space="preserve">采购人应当及时对采购项目进行验收。采购人可以邀请参加本项目的其他供应商或者第三方机构参与验收。参与验收的供应商或者第三方机构的意见作为验收书的参考资料一并存档。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36.2 </w:t>
      </w:r>
      <w:r>
        <w:rPr>
          <w:rFonts w:hint="eastAsia" w:ascii="宋体" w:hAnsi="宋体" w:eastAsia="宋体" w:cs="宋体"/>
          <w:color w:val="auto"/>
          <w:sz w:val="24"/>
          <w:szCs w:val="24"/>
          <w:highlight w:val="none"/>
        </w:rPr>
        <w:t>在验收时，供应商应向采购人提供</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的相关资料，按采购人提出的方式验收。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36.3 </w:t>
      </w:r>
      <w:r>
        <w:rPr>
          <w:rFonts w:hint="eastAsia" w:ascii="宋体" w:hAnsi="宋体" w:eastAsia="宋体" w:cs="宋体"/>
          <w:color w:val="auto"/>
          <w:sz w:val="24"/>
          <w:szCs w:val="24"/>
          <w:highlight w:val="none"/>
        </w:rPr>
        <w:t>由采购人对</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 xml:space="preserve">的质量、规格和数量及其他进行检验。如发现质量、规格和数量等任何一项与磋商文件要求规定不符，采购人有权拒绝接受。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36.4 </w:t>
      </w:r>
      <w:r>
        <w:rPr>
          <w:rFonts w:hint="eastAsia" w:ascii="宋体" w:hAnsi="宋体" w:eastAsia="宋体" w:cs="宋体"/>
          <w:color w:val="auto"/>
          <w:sz w:val="24"/>
          <w:szCs w:val="24"/>
          <w:highlight w:val="none"/>
        </w:rPr>
        <w:t>采购人应当加强对成交供应商的履约管理，并按照采购合同约定，及时向成交供应商支付采购资金。对于成交供应商违反采购合同约定的行为，采购人应当及时处理，依法追究其违约责任。</w:t>
      </w:r>
    </w:p>
    <w:p>
      <w:pPr>
        <w:rPr>
          <w:rFonts w:hint="eastAsia"/>
          <w:color w:val="auto"/>
          <w:highlight w:val="none"/>
          <w:lang w:val="zh-CN" w:eastAsia="zh-CN"/>
        </w:rPr>
      </w:pPr>
    </w:p>
    <w:p>
      <w:pPr>
        <w:rPr>
          <w:rFonts w:hint="eastAsia"/>
          <w:color w:val="auto"/>
          <w:highlight w:val="none"/>
          <w:lang w:val="zh-CN" w:eastAsia="zh-CN"/>
        </w:rPr>
      </w:pPr>
      <w:r>
        <w:rPr>
          <w:rFonts w:hint="eastAsia"/>
          <w:color w:val="auto"/>
          <w:highlight w:val="none"/>
          <w:lang w:val="zh-CN" w:eastAsia="zh-CN"/>
        </w:rPr>
        <w:br w:type="page"/>
      </w:r>
    </w:p>
    <w:p>
      <w:pPr>
        <w:pStyle w:val="9"/>
        <w:ind w:firstLine="1405" w:firstLineChars="500"/>
        <w:rPr>
          <w:rFonts w:hint="eastAsia"/>
          <w:color w:val="auto"/>
          <w:highlight w:val="none"/>
          <w:lang w:val="zh-CN" w:eastAsia="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rPr>
        <w:t>评</w:t>
      </w:r>
      <w:r>
        <w:rPr>
          <w:rFonts w:hint="eastAsia" w:ascii="宋体" w:hAnsi="宋体" w:eastAsia="宋体" w:cs="宋体"/>
          <w:b/>
          <w:bCs/>
          <w:color w:val="auto"/>
          <w:sz w:val="28"/>
          <w:szCs w:val="28"/>
          <w:highlight w:val="none"/>
          <w:lang w:val="en-US" w:eastAsia="zh-CN"/>
        </w:rPr>
        <w:t>审</w:t>
      </w:r>
      <w:r>
        <w:rPr>
          <w:rFonts w:hint="eastAsia" w:ascii="宋体" w:hAnsi="宋体" w:eastAsia="宋体" w:cs="宋体"/>
          <w:b/>
          <w:bCs/>
          <w:color w:val="auto"/>
          <w:sz w:val="28"/>
          <w:szCs w:val="28"/>
          <w:highlight w:val="none"/>
        </w:rPr>
        <w:t>标准</w:t>
      </w:r>
    </w:p>
    <w:p>
      <w:pPr>
        <w:rPr>
          <w:rFonts w:hint="eastAsia"/>
          <w:color w:val="auto"/>
          <w:highlight w:val="none"/>
          <w:lang w:val="zh-CN"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bidi="zh-CN"/>
        </w:rPr>
        <w:t>3</w:t>
      </w:r>
      <w:r>
        <w:rPr>
          <w:rFonts w:hint="eastAsia" w:cs="宋体"/>
          <w:b/>
          <w:bCs/>
          <w:color w:val="auto"/>
          <w:sz w:val="30"/>
          <w:szCs w:val="30"/>
          <w:highlight w:val="none"/>
          <w:lang w:val="en-US" w:eastAsia="zh-CN" w:bidi="zh-CN"/>
        </w:rPr>
        <w:t>7</w:t>
      </w:r>
      <w:r>
        <w:rPr>
          <w:rFonts w:hint="eastAsia" w:ascii="宋体" w:hAnsi="宋体" w:eastAsia="宋体" w:cs="宋体"/>
          <w:b/>
          <w:bCs/>
          <w:color w:val="auto"/>
          <w:sz w:val="30"/>
          <w:szCs w:val="30"/>
          <w:highlight w:val="none"/>
          <w:lang w:val="en-US" w:eastAsia="zh-CN" w:bidi="zh-CN"/>
        </w:rPr>
        <w:t xml:space="preserve"> </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资格</w:t>
      </w:r>
      <w:r>
        <w:rPr>
          <w:rFonts w:hint="eastAsia" w:cs="宋体"/>
          <w:b/>
          <w:bCs/>
          <w:color w:val="auto"/>
          <w:sz w:val="30"/>
          <w:szCs w:val="30"/>
          <w:highlight w:val="none"/>
          <w:lang w:val="en-US" w:eastAsia="zh-CN"/>
        </w:rPr>
        <w:t>性</w:t>
      </w:r>
      <w:r>
        <w:rPr>
          <w:rFonts w:hint="eastAsia" w:ascii="宋体" w:hAnsi="宋体" w:eastAsia="宋体" w:cs="宋体"/>
          <w:b/>
          <w:bCs/>
          <w:color w:val="auto"/>
          <w:sz w:val="30"/>
          <w:szCs w:val="30"/>
          <w:highlight w:val="none"/>
        </w:rPr>
        <w:t xml:space="preserve">审查表 </w:t>
      </w:r>
    </w:p>
    <w:tbl>
      <w:tblPr>
        <w:tblStyle w:val="19"/>
        <w:tblpPr w:leftFromText="180" w:rightFromText="180" w:vertAnchor="text" w:horzAnchor="page" w:tblpX="1592" w:tblpY="316"/>
        <w:tblOverlap w:val="never"/>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7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778" w:type="dxa"/>
            <w:noWrap w:val="0"/>
            <w:vAlign w:val="center"/>
          </w:tcPr>
          <w:p>
            <w:pPr>
              <w:snapToGrid w:val="0"/>
              <w:spacing w:line="240" w:lineRule="auto"/>
              <w:jc w:val="center"/>
              <w:rPr>
                <w:rFonts w:ascii="幼圆" w:hAnsi="Times New Roman" w:eastAsia="幼圆" w:cs="Times New Roman"/>
                <w:b/>
                <w:color w:val="auto"/>
                <w:sz w:val="21"/>
                <w:szCs w:val="21"/>
                <w:highlight w:val="none"/>
              </w:rPr>
            </w:pPr>
            <w:r>
              <w:rPr>
                <w:rFonts w:hint="eastAsia" w:ascii="幼圆" w:hAnsi="Times New Roman" w:eastAsia="幼圆" w:cs="Times New Roman"/>
                <w:b/>
                <w:color w:val="auto"/>
                <w:sz w:val="21"/>
                <w:szCs w:val="21"/>
                <w:highlight w:val="none"/>
              </w:rPr>
              <w:t>序号</w:t>
            </w:r>
          </w:p>
        </w:tc>
        <w:tc>
          <w:tcPr>
            <w:tcW w:w="7841" w:type="dxa"/>
            <w:noWrap w:val="0"/>
            <w:vAlign w:val="center"/>
          </w:tcPr>
          <w:p>
            <w:pPr>
              <w:snapToGrid w:val="0"/>
              <w:spacing w:line="240" w:lineRule="auto"/>
              <w:jc w:val="center"/>
              <w:rPr>
                <w:rFonts w:ascii="幼圆" w:hAnsi="Times New Roman" w:eastAsia="幼圆" w:cs="Times New Roman"/>
                <w:b/>
                <w:color w:val="auto"/>
                <w:sz w:val="21"/>
                <w:szCs w:val="21"/>
                <w:highlight w:val="none"/>
              </w:rPr>
            </w:pPr>
            <w:r>
              <w:rPr>
                <w:rFonts w:hint="eastAsia" w:ascii="幼圆" w:hAnsi="Times New Roman" w:eastAsia="幼圆" w:cs="Times New Roman"/>
                <w:b/>
                <w:color w:val="auto"/>
                <w:sz w:val="21"/>
                <w:szCs w:val="21"/>
                <w:highlight w:val="none"/>
              </w:rPr>
              <w:t>资格审查响应内容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trPr>
        <w:tc>
          <w:tcPr>
            <w:tcW w:w="778" w:type="dxa"/>
            <w:noWrap w:val="0"/>
            <w:vAlign w:val="center"/>
          </w:tcPr>
          <w:p>
            <w:pPr>
              <w:spacing w:line="240" w:lineRule="auto"/>
              <w:jc w:val="center"/>
              <w:rPr>
                <w:rFonts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w:t>
            </w:r>
          </w:p>
        </w:tc>
        <w:tc>
          <w:tcPr>
            <w:tcW w:w="7841" w:type="dxa"/>
            <w:noWrap w:val="0"/>
            <w:vAlign w:val="center"/>
          </w:tcPr>
          <w:p>
            <w:pPr>
              <w:spacing w:line="240" w:lineRule="auto"/>
              <w:rPr>
                <w:rFonts w:hint="eastAsia" w:ascii="宋体" w:hAnsi="宋体" w:eastAsia="宋体" w:cs="Times New Roman"/>
                <w:iCs/>
                <w:color w:val="auto"/>
                <w:sz w:val="21"/>
                <w:szCs w:val="21"/>
                <w:highlight w:val="none"/>
                <w:lang w:eastAsia="zh-CN"/>
              </w:rPr>
            </w:pPr>
            <w:r>
              <w:rPr>
                <w:rFonts w:hint="eastAsia" w:cs="Times New Roman"/>
                <w:iCs/>
                <w:color w:val="auto"/>
                <w:sz w:val="21"/>
                <w:szCs w:val="21"/>
                <w:highlight w:val="none"/>
                <w:lang w:val="en-US" w:eastAsia="zh-CN"/>
              </w:rPr>
              <w:t>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78" w:type="dxa"/>
            <w:noWrap w:val="0"/>
            <w:vAlign w:val="center"/>
          </w:tcPr>
          <w:p>
            <w:pPr>
              <w:spacing w:line="24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841" w:type="dxa"/>
            <w:noWrap w:val="0"/>
            <w:vAlign w:val="center"/>
          </w:tcPr>
          <w:p>
            <w:pPr>
              <w:snapToGrid w:val="0"/>
              <w:spacing w:line="240" w:lineRule="auto"/>
              <w:jc w:val="left"/>
              <w:rPr>
                <w:rFonts w:hint="default"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资质证书（水利水电工程施工总承包叁级及以上资质</w:t>
            </w:r>
            <w:r>
              <w:rPr>
                <w:rFonts w:hint="eastAsia" w:cs="Times New Roman"/>
                <w:iCs/>
                <w:color w:val="auto"/>
                <w:sz w:val="21"/>
                <w:szCs w:val="21"/>
                <w:highlight w:val="none"/>
                <w:lang w:val="en-US" w:eastAsia="zh-CN"/>
              </w:rPr>
              <w:t>）、</w:t>
            </w:r>
            <w:r>
              <w:rPr>
                <w:rFonts w:hint="eastAsia" w:ascii="宋体" w:hAnsi="宋体" w:eastAsia="宋体" w:cs="Times New Roman"/>
                <w:iCs/>
                <w:color w:val="auto"/>
                <w:sz w:val="21"/>
                <w:szCs w:val="21"/>
                <w:highlight w:val="none"/>
              </w:rPr>
              <w:t>安全生产许可证，项目经理资格：水利专业注册建造师贰级及以上注册资格，具备有效的安全生产考核合格证书</w:t>
            </w:r>
            <w:r>
              <w:rPr>
                <w:rFonts w:hint="eastAsia" w:cs="Times New Roman"/>
                <w:iCs/>
                <w:color w:val="auto"/>
                <w:sz w:val="21"/>
                <w:szCs w:val="21"/>
                <w:highlight w:val="none"/>
                <w:lang w:eastAsia="zh-CN"/>
              </w:rPr>
              <w:t>。</w:t>
            </w:r>
            <w:r>
              <w:rPr>
                <w:rFonts w:hint="eastAsia" w:ascii="宋体" w:hAnsi="宋体" w:eastAsia="宋体" w:cs="Times New Roman"/>
                <w:iCs/>
                <w:color w:val="auto"/>
                <w:sz w:val="21"/>
                <w:szCs w:val="21"/>
                <w:highlight w:val="none"/>
                <w:lang w:val="en-US" w:eastAsia="zh-CN"/>
              </w:rPr>
              <w:t>（2024）区外进疆建筑企业办理信息报送册。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778" w:type="dxa"/>
            <w:noWrap w:val="0"/>
            <w:vAlign w:val="center"/>
          </w:tcPr>
          <w:p>
            <w:pPr>
              <w:spacing w:line="24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w:t>
            </w:r>
          </w:p>
        </w:tc>
        <w:tc>
          <w:tcPr>
            <w:tcW w:w="7841" w:type="dxa"/>
            <w:noWrap w:val="0"/>
            <w:vAlign w:val="center"/>
          </w:tcPr>
          <w:p>
            <w:pPr>
              <w:snapToGrid w:val="0"/>
              <w:spacing w:line="240" w:lineRule="auto"/>
              <w:jc w:val="left"/>
              <w:rPr>
                <w:rFonts w:hint="default" w:ascii="宋体" w:hAnsi="宋体" w:eastAsia="宋体" w:cs="Times New Roman"/>
                <w:iCs/>
                <w:color w:val="auto"/>
                <w:sz w:val="21"/>
                <w:szCs w:val="21"/>
                <w:highlight w:val="none"/>
                <w:lang w:val="en-US" w:eastAsia="zh-CN"/>
              </w:rPr>
            </w:pPr>
            <w:r>
              <w:rPr>
                <w:rFonts w:hint="eastAsia" w:ascii="宋体" w:hAnsi="宋体" w:eastAsia="宋体" w:cs="Times New Roman"/>
                <w:iCs/>
                <w:color w:val="auto"/>
                <w:sz w:val="21"/>
                <w:szCs w:val="21"/>
                <w:highlight w:val="none"/>
                <w:lang w:val="en-US" w:eastAsia="zh-CN"/>
              </w:rPr>
              <w:t>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778" w:type="dxa"/>
            <w:noWrap w:val="0"/>
            <w:vAlign w:val="center"/>
          </w:tcPr>
          <w:p>
            <w:pPr>
              <w:spacing w:line="240" w:lineRule="auto"/>
              <w:jc w:val="center"/>
              <w:rPr>
                <w:rFonts w:hint="eastAsia" w:ascii="宋体" w:hAnsi="宋体" w:eastAsia="宋体" w:cs="Times New Roman"/>
                <w:color w:val="auto"/>
                <w:sz w:val="21"/>
                <w:szCs w:val="21"/>
                <w:highlight w:val="none"/>
                <w:lang w:eastAsia="zh-CN"/>
              </w:rPr>
            </w:pPr>
            <w:r>
              <w:rPr>
                <w:rFonts w:hint="eastAsia" w:cs="Times New Roman"/>
                <w:color w:val="auto"/>
                <w:sz w:val="21"/>
                <w:szCs w:val="21"/>
                <w:highlight w:val="none"/>
                <w:lang w:val="en-US" w:eastAsia="zh-CN"/>
              </w:rPr>
              <w:t>4</w:t>
            </w:r>
          </w:p>
        </w:tc>
        <w:tc>
          <w:tcPr>
            <w:tcW w:w="7841" w:type="dxa"/>
            <w:noWrap w:val="0"/>
            <w:vAlign w:val="center"/>
          </w:tcPr>
          <w:p>
            <w:pPr>
              <w:snapToGrid w:val="0"/>
              <w:spacing w:line="240" w:lineRule="auto"/>
              <w:jc w:val="left"/>
              <w:rPr>
                <w:rFonts w:ascii="宋体" w:hAnsi="宋体" w:eastAsia="宋体" w:cs="Times New Roman"/>
                <w:iCs/>
                <w:color w:val="auto"/>
                <w:sz w:val="21"/>
                <w:szCs w:val="21"/>
                <w:highlight w:val="none"/>
              </w:rPr>
            </w:pPr>
            <w:r>
              <w:rPr>
                <w:rFonts w:hint="eastAsia" w:ascii="宋体" w:hAnsi="宋体" w:eastAsia="宋体" w:cs="Times New Roman"/>
                <w:iCs/>
                <w:color w:val="auto"/>
                <w:sz w:val="21"/>
                <w:szCs w:val="21"/>
                <w:highlight w:val="none"/>
              </w:rPr>
              <w:t>法定代表人须提供法定代表人资格证明书及身份证或法定代表人授权委托书及被授权人身份证；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atLeast"/>
        </w:trPr>
        <w:tc>
          <w:tcPr>
            <w:tcW w:w="778" w:type="dxa"/>
            <w:noWrap w:val="0"/>
            <w:vAlign w:val="center"/>
          </w:tcPr>
          <w:p>
            <w:pPr>
              <w:spacing w:line="240" w:lineRule="auto"/>
              <w:jc w:val="center"/>
              <w:rPr>
                <w:rFonts w:hint="eastAsia" w:ascii="宋体" w:hAnsi="宋体" w:eastAsia="宋体" w:cs="Times New Roman"/>
                <w:color w:val="auto"/>
                <w:sz w:val="21"/>
                <w:szCs w:val="21"/>
                <w:highlight w:val="none"/>
                <w:lang w:eastAsia="zh-CN"/>
              </w:rPr>
            </w:pPr>
            <w:r>
              <w:rPr>
                <w:rFonts w:hint="eastAsia" w:cs="Times New Roman"/>
                <w:color w:val="auto"/>
                <w:sz w:val="21"/>
                <w:szCs w:val="21"/>
                <w:highlight w:val="none"/>
                <w:lang w:val="en-US" w:eastAsia="zh-CN"/>
              </w:rPr>
              <w:t>5</w:t>
            </w:r>
          </w:p>
        </w:tc>
        <w:tc>
          <w:tcPr>
            <w:tcW w:w="7841" w:type="dxa"/>
            <w:noWrap w:val="0"/>
            <w:vAlign w:val="center"/>
          </w:tcPr>
          <w:p>
            <w:pPr>
              <w:snapToGrid w:val="0"/>
              <w:spacing w:line="240" w:lineRule="auto"/>
              <w:jc w:val="left"/>
              <w:rPr>
                <w:rFonts w:hint="default" w:ascii="宋体" w:hAnsi="宋体" w:eastAsia="宋体" w:cs="Times New Roman"/>
                <w:iCs/>
                <w:color w:val="auto"/>
                <w:sz w:val="21"/>
                <w:szCs w:val="21"/>
                <w:highlight w:val="none"/>
                <w:lang w:val="en-US"/>
              </w:rPr>
            </w:pPr>
            <w:r>
              <w:rPr>
                <w:rFonts w:hint="eastAsia" w:cs="Times New Roman"/>
                <w:iCs/>
                <w:color w:val="auto"/>
                <w:sz w:val="21"/>
                <w:szCs w:val="21"/>
                <w:highlight w:val="none"/>
                <w:lang w:val="en-US" w:eastAsia="zh-CN"/>
              </w:rPr>
              <w:t>磋商保证金缴纳凭证或保函。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8619" w:type="dxa"/>
            <w:gridSpan w:val="2"/>
            <w:noWrap w:val="0"/>
            <w:vAlign w:val="center"/>
          </w:tcPr>
          <w:p>
            <w:pPr>
              <w:snapToGrid w:val="0"/>
              <w:spacing w:line="240" w:lineRule="auto"/>
              <w:jc w:val="left"/>
              <w:rPr>
                <w:rFonts w:ascii="宋体" w:hAnsi="宋体" w:eastAsia="宋体" w:cs="Times New Roman"/>
                <w:color w:val="auto"/>
                <w:sz w:val="21"/>
                <w:szCs w:val="21"/>
                <w:highlight w:val="none"/>
              </w:rPr>
            </w:pPr>
            <w:r>
              <w:rPr>
                <w:b/>
                <w:bCs/>
                <w:color w:val="auto"/>
                <w:sz w:val="21"/>
                <w:highlight w:val="none"/>
              </w:rPr>
              <w:t>说明：供应商必须满足</w:t>
            </w:r>
            <w:r>
              <w:rPr>
                <w:rFonts w:hint="eastAsia"/>
                <w:b/>
                <w:bCs/>
                <w:color w:val="auto"/>
                <w:sz w:val="21"/>
                <w:highlight w:val="none"/>
              </w:rPr>
              <w:t>资格</w:t>
            </w:r>
            <w:r>
              <w:rPr>
                <w:rFonts w:hint="eastAsia"/>
                <w:b/>
                <w:bCs/>
                <w:color w:val="auto"/>
                <w:sz w:val="21"/>
                <w:highlight w:val="none"/>
                <w:lang w:val="en-US" w:eastAsia="zh-CN"/>
              </w:rPr>
              <w:t>性</w:t>
            </w:r>
            <w:r>
              <w:rPr>
                <w:rFonts w:hint="eastAsia"/>
                <w:b/>
                <w:bCs/>
                <w:color w:val="auto"/>
                <w:sz w:val="21"/>
                <w:highlight w:val="none"/>
              </w:rPr>
              <w:t>审查表</w:t>
            </w:r>
            <w:r>
              <w:rPr>
                <w:b/>
                <w:bCs/>
                <w:color w:val="auto"/>
                <w:sz w:val="21"/>
                <w:highlight w:val="none"/>
              </w:rPr>
              <w:t xml:space="preserve">内所有条款，否则被认定为无效响应。 </w:t>
            </w:r>
          </w:p>
        </w:tc>
      </w:tr>
    </w:tbl>
    <w:p>
      <w:pPr>
        <w:pStyle w:val="9"/>
        <w:ind w:left="0" w:leftChars="0" w:firstLine="0" w:firstLineChars="0"/>
        <w:rPr>
          <w:rFonts w:hint="eastAsia" w:cs="宋体"/>
          <w:b/>
          <w:bCs/>
          <w:color w:val="auto"/>
          <w:sz w:val="30"/>
          <w:szCs w:val="30"/>
          <w:highlight w:val="none"/>
          <w:lang w:val="en-US" w:eastAsia="zh-CN"/>
        </w:rPr>
      </w:pPr>
    </w:p>
    <w:p>
      <w:pPr>
        <w:pStyle w:val="9"/>
        <w:ind w:firstLine="904" w:firstLineChars="300"/>
        <w:rPr>
          <w:rFonts w:hint="eastAsia" w:cs="宋体"/>
          <w:b/>
          <w:bCs/>
          <w:color w:val="auto"/>
          <w:sz w:val="30"/>
          <w:szCs w:val="30"/>
          <w:highlight w:val="none"/>
          <w:lang w:val="en-US" w:eastAsia="zh-CN"/>
        </w:rPr>
      </w:pPr>
    </w:p>
    <w:p>
      <w:pPr>
        <w:pStyle w:val="9"/>
        <w:ind w:firstLine="904" w:firstLineChars="300"/>
        <w:rPr>
          <w:rFonts w:hint="eastAsia" w:cs="宋体"/>
          <w:b/>
          <w:bCs/>
          <w:color w:val="auto"/>
          <w:sz w:val="30"/>
          <w:szCs w:val="30"/>
          <w:highlight w:val="none"/>
          <w:lang w:val="en-US" w:eastAsia="zh-CN"/>
        </w:rPr>
      </w:pPr>
    </w:p>
    <w:p>
      <w:pPr>
        <w:pStyle w:val="9"/>
        <w:ind w:firstLine="904" w:firstLineChars="300"/>
        <w:rPr>
          <w:rFonts w:hint="eastAsia" w:cs="宋体"/>
          <w:b/>
          <w:bCs/>
          <w:color w:val="auto"/>
          <w:sz w:val="30"/>
          <w:szCs w:val="30"/>
          <w:highlight w:val="none"/>
          <w:lang w:val="en-US" w:eastAsia="zh-CN"/>
        </w:rPr>
      </w:pPr>
      <w:r>
        <w:rPr>
          <w:rFonts w:hint="eastAsia" w:cs="宋体"/>
          <w:b/>
          <w:bCs/>
          <w:color w:val="auto"/>
          <w:sz w:val="30"/>
          <w:szCs w:val="30"/>
          <w:highlight w:val="none"/>
          <w:lang w:val="en-US" w:eastAsia="zh-CN"/>
        </w:rPr>
        <w:br w:type="page"/>
      </w:r>
    </w:p>
    <w:p>
      <w:pPr>
        <w:pStyle w:val="9"/>
        <w:ind w:firstLine="904" w:firstLineChars="300"/>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 xml:space="preserve">38 </w:t>
      </w:r>
      <w:r>
        <w:rPr>
          <w:rFonts w:hint="eastAsia" w:ascii="宋体" w:hAnsi="宋体" w:eastAsia="宋体" w:cs="宋体"/>
          <w:b/>
          <w:bCs/>
          <w:color w:val="auto"/>
          <w:sz w:val="30"/>
          <w:szCs w:val="30"/>
          <w:highlight w:val="none"/>
        </w:rPr>
        <w:t>符合性审查表</w:t>
      </w:r>
    </w:p>
    <w:tbl>
      <w:tblPr>
        <w:tblStyle w:val="19"/>
        <w:tblpPr w:leftFromText="180" w:rightFromText="180" w:vertAnchor="page" w:horzAnchor="page" w:tblpX="1279" w:tblpY="3504"/>
        <w:tblOverlap w:val="never"/>
        <w:tblW w:w="95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8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22" w:type="dxa"/>
            <w:noWrap w:val="0"/>
            <w:vAlign w:val="top"/>
          </w:tcPr>
          <w:p>
            <w:pPr>
              <w:pStyle w:val="31"/>
              <w:spacing w:before="94" w:line="600" w:lineRule="auto"/>
              <w:ind w:left="181" w:right="68"/>
              <w:jc w:val="center"/>
              <w:rPr>
                <w:b/>
                <w:bCs/>
                <w:color w:val="auto"/>
                <w:sz w:val="21"/>
                <w:highlight w:val="none"/>
              </w:rPr>
            </w:pPr>
            <w:r>
              <w:rPr>
                <w:b/>
                <w:bCs/>
                <w:color w:val="auto"/>
                <w:sz w:val="21"/>
                <w:highlight w:val="none"/>
              </w:rPr>
              <w:t xml:space="preserve">序号 </w:t>
            </w:r>
          </w:p>
        </w:tc>
        <w:tc>
          <w:tcPr>
            <w:tcW w:w="8768" w:type="dxa"/>
            <w:noWrap w:val="0"/>
            <w:vAlign w:val="top"/>
          </w:tcPr>
          <w:p>
            <w:pPr>
              <w:pStyle w:val="31"/>
              <w:spacing w:before="94" w:line="600" w:lineRule="auto"/>
              <w:ind w:right="4062" w:firstLine="3795" w:firstLineChars="1800"/>
              <w:jc w:val="both"/>
              <w:rPr>
                <w:b/>
                <w:bCs/>
                <w:color w:val="auto"/>
                <w:sz w:val="21"/>
                <w:highlight w:val="none"/>
              </w:rPr>
            </w:pPr>
            <w:r>
              <w:rPr>
                <w:rFonts w:hint="eastAsia"/>
                <w:b/>
                <w:bCs/>
                <w:color w:val="auto"/>
                <w:sz w:val="21"/>
                <w:highlight w:val="none"/>
                <w:lang w:val="en-US" w:eastAsia="zh-CN"/>
              </w:rPr>
              <w:t>评审</w:t>
            </w:r>
            <w:r>
              <w:rPr>
                <w:b/>
                <w:bCs/>
                <w:color w:val="auto"/>
                <w:sz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4" w:hRule="atLeast"/>
          <w:jc w:val="center"/>
        </w:trPr>
        <w:tc>
          <w:tcPr>
            <w:tcW w:w="822" w:type="dxa"/>
            <w:noWrap w:val="0"/>
            <w:vAlign w:val="top"/>
          </w:tcPr>
          <w:p>
            <w:pPr>
              <w:pStyle w:val="31"/>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1</w:t>
            </w:r>
          </w:p>
        </w:tc>
        <w:tc>
          <w:tcPr>
            <w:tcW w:w="8768" w:type="dxa"/>
            <w:noWrap w:val="0"/>
            <w:vAlign w:val="center"/>
          </w:tcPr>
          <w:p>
            <w:pPr>
              <w:pStyle w:val="31"/>
              <w:spacing w:before="94" w:line="600" w:lineRule="auto"/>
              <w:ind w:left="110"/>
              <w:jc w:val="left"/>
              <w:rPr>
                <w:color w:val="auto"/>
                <w:sz w:val="21"/>
                <w:highlight w:val="none"/>
              </w:rPr>
            </w:pPr>
            <w:r>
              <w:rPr>
                <w:color w:val="auto"/>
                <w:sz w:val="21"/>
                <w:highlight w:val="none"/>
              </w:rPr>
              <w:t>响应文件的编制、签署及盖章是否符合磋商文件的要求。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22" w:type="dxa"/>
            <w:noWrap w:val="0"/>
            <w:vAlign w:val="top"/>
          </w:tcPr>
          <w:p>
            <w:pPr>
              <w:pStyle w:val="31"/>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2</w:t>
            </w:r>
          </w:p>
        </w:tc>
        <w:tc>
          <w:tcPr>
            <w:tcW w:w="8768" w:type="dxa"/>
            <w:noWrap w:val="0"/>
            <w:vAlign w:val="center"/>
          </w:tcPr>
          <w:p>
            <w:pPr>
              <w:pStyle w:val="31"/>
              <w:spacing w:before="94" w:line="600" w:lineRule="auto"/>
              <w:ind w:left="110"/>
              <w:jc w:val="left"/>
              <w:rPr>
                <w:color w:val="auto"/>
                <w:sz w:val="21"/>
                <w:highlight w:val="none"/>
              </w:rPr>
            </w:pPr>
            <w:r>
              <w:rPr>
                <w:color w:val="auto"/>
                <w:sz w:val="21"/>
                <w:highlight w:val="none"/>
              </w:rPr>
              <w:t>磋商报价（首次报价或最后报价）是否超过磋商文件中规定的</w:t>
            </w:r>
            <w:r>
              <w:rPr>
                <w:rFonts w:hint="eastAsia"/>
                <w:color w:val="auto"/>
                <w:sz w:val="21"/>
                <w:highlight w:val="none"/>
                <w:lang w:val="en-US" w:eastAsia="zh-CN"/>
              </w:rPr>
              <w:t>控制价</w:t>
            </w:r>
            <w:r>
              <w:rPr>
                <w:color w:val="auto"/>
                <w:sz w:val="21"/>
                <w:highlight w:val="none"/>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22" w:type="dxa"/>
            <w:noWrap w:val="0"/>
            <w:vAlign w:val="top"/>
          </w:tcPr>
          <w:p>
            <w:pPr>
              <w:pStyle w:val="31"/>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3</w:t>
            </w:r>
          </w:p>
        </w:tc>
        <w:tc>
          <w:tcPr>
            <w:tcW w:w="8768" w:type="dxa"/>
            <w:noWrap w:val="0"/>
            <w:vAlign w:val="center"/>
          </w:tcPr>
          <w:p>
            <w:pPr>
              <w:pStyle w:val="31"/>
              <w:spacing w:before="95" w:line="600" w:lineRule="auto"/>
              <w:ind w:left="110"/>
              <w:jc w:val="left"/>
              <w:rPr>
                <w:color w:val="auto"/>
                <w:sz w:val="21"/>
                <w:highlight w:val="none"/>
              </w:rPr>
            </w:pPr>
            <w:r>
              <w:rPr>
                <w:color w:val="auto"/>
                <w:sz w:val="21"/>
                <w:highlight w:val="none"/>
              </w:rPr>
              <w:t>响应文件是否含有采购人不能接受的附加条件的。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22" w:type="dxa"/>
            <w:noWrap w:val="0"/>
            <w:vAlign w:val="top"/>
          </w:tcPr>
          <w:p>
            <w:pPr>
              <w:pStyle w:val="31"/>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4</w:t>
            </w:r>
          </w:p>
        </w:tc>
        <w:tc>
          <w:tcPr>
            <w:tcW w:w="8768" w:type="dxa"/>
            <w:noWrap w:val="0"/>
            <w:vAlign w:val="center"/>
          </w:tcPr>
          <w:p>
            <w:pPr>
              <w:pStyle w:val="31"/>
              <w:spacing w:before="94" w:line="600" w:lineRule="auto"/>
              <w:ind w:left="110"/>
              <w:jc w:val="left"/>
              <w:rPr>
                <w:color w:val="auto"/>
                <w:sz w:val="21"/>
                <w:highlight w:val="none"/>
              </w:rPr>
            </w:pPr>
            <w:r>
              <w:rPr>
                <w:rFonts w:hint="eastAsia"/>
                <w:color w:val="auto"/>
                <w:sz w:val="21"/>
                <w:highlight w:val="none"/>
                <w:lang w:val="en-US" w:eastAsia="zh-CN"/>
              </w:rPr>
              <w:t>磋商响应</w:t>
            </w:r>
            <w:r>
              <w:rPr>
                <w:color w:val="auto"/>
                <w:sz w:val="21"/>
                <w:highlight w:val="none"/>
              </w:rPr>
              <w:t>有效期是否满足磋商文件要求。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22" w:type="dxa"/>
            <w:noWrap w:val="0"/>
            <w:vAlign w:val="top"/>
          </w:tcPr>
          <w:p>
            <w:pPr>
              <w:pStyle w:val="31"/>
              <w:spacing w:before="106" w:line="600" w:lineRule="auto"/>
              <w:ind w:left="10"/>
              <w:jc w:val="center"/>
              <w:rPr>
                <w:rFonts w:hint="eastAsia" w:ascii="Times New Roman" w:eastAsia="宋体"/>
                <w:color w:val="auto"/>
                <w:w w:val="100"/>
                <w:sz w:val="21"/>
                <w:highlight w:val="none"/>
                <w:lang w:val="en-US" w:eastAsia="zh-CN"/>
              </w:rPr>
            </w:pPr>
            <w:r>
              <w:rPr>
                <w:rFonts w:hint="eastAsia" w:ascii="Times New Roman"/>
                <w:color w:val="auto"/>
                <w:w w:val="100"/>
                <w:sz w:val="21"/>
                <w:highlight w:val="none"/>
                <w:lang w:val="en-US" w:eastAsia="zh-CN"/>
              </w:rPr>
              <w:t>5</w:t>
            </w:r>
          </w:p>
        </w:tc>
        <w:tc>
          <w:tcPr>
            <w:tcW w:w="8768" w:type="dxa"/>
            <w:noWrap w:val="0"/>
            <w:vAlign w:val="center"/>
          </w:tcPr>
          <w:p>
            <w:pPr>
              <w:pStyle w:val="31"/>
              <w:spacing w:before="94" w:line="600" w:lineRule="auto"/>
              <w:ind w:left="110"/>
              <w:jc w:val="left"/>
              <w:rPr>
                <w:rFonts w:hint="default" w:eastAsia="宋体"/>
                <w:color w:val="auto"/>
                <w:sz w:val="21"/>
                <w:highlight w:val="none"/>
                <w:lang w:val="en-US" w:eastAsia="zh-CN"/>
              </w:rPr>
            </w:pPr>
            <w:r>
              <w:rPr>
                <w:rFonts w:hint="eastAsia"/>
                <w:color w:val="auto"/>
                <w:sz w:val="21"/>
                <w:highlight w:val="none"/>
                <w:lang w:val="en-US" w:eastAsia="zh-CN"/>
              </w:rPr>
              <w:t>磋商文件</w:t>
            </w:r>
            <w:r>
              <w:rPr>
                <w:color w:val="auto"/>
                <w:sz w:val="21"/>
                <w:highlight w:val="none"/>
              </w:rPr>
              <w:t>的签名盖章符合规定；施工招标项目工程量  清单封面需有造价专业人员签字和印章（由造价专业人员 在工程量清单封面签字并加盖执业印章</w:t>
            </w:r>
            <w:r>
              <w:rPr>
                <w:spacing w:val="-3"/>
              </w:rPr>
              <w:t>）</w:t>
            </w:r>
            <w:r>
              <w:rPr>
                <w:rFonts w:hint="eastAsia"/>
                <w:color w:val="0000FF"/>
                <w:sz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22" w:type="dxa"/>
            <w:noWrap w:val="0"/>
            <w:vAlign w:val="top"/>
          </w:tcPr>
          <w:p>
            <w:pPr>
              <w:pStyle w:val="31"/>
              <w:spacing w:before="106"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6</w:t>
            </w:r>
          </w:p>
        </w:tc>
        <w:tc>
          <w:tcPr>
            <w:tcW w:w="8768" w:type="dxa"/>
            <w:noWrap w:val="0"/>
            <w:vAlign w:val="center"/>
          </w:tcPr>
          <w:p>
            <w:pPr>
              <w:pStyle w:val="31"/>
              <w:spacing w:before="94" w:line="600" w:lineRule="auto"/>
              <w:ind w:left="110"/>
              <w:jc w:val="left"/>
              <w:rPr>
                <w:rFonts w:hint="eastAsia" w:eastAsia="宋体"/>
                <w:color w:val="auto"/>
                <w:sz w:val="21"/>
                <w:highlight w:val="none"/>
                <w:lang w:eastAsia="zh-CN"/>
              </w:rPr>
            </w:pPr>
            <w:r>
              <w:rPr>
                <w:color w:val="auto"/>
                <w:sz w:val="21"/>
                <w:highlight w:val="none"/>
              </w:rPr>
              <w:t>响应文件是否完全满足磋商文件的</w:t>
            </w:r>
            <w:r>
              <w:rPr>
                <w:rFonts w:hint="eastAsia"/>
                <w:color w:val="auto"/>
                <w:sz w:val="21"/>
                <w:highlight w:val="none"/>
                <w:lang w:val="en-US" w:eastAsia="zh-CN"/>
              </w:rPr>
              <w:t>实质性条款</w:t>
            </w:r>
            <w:r>
              <w:rPr>
                <w:color w:val="auto"/>
                <w:sz w:val="21"/>
                <w:highlight w:val="none"/>
              </w:rPr>
              <w:t>（即标注★</w:t>
            </w:r>
            <w:r>
              <w:rPr>
                <w:rFonts w:hint="eastAsia"/>
                <w:color w:val="auto"/>
                <w:sz w:val="21"/>
                <w:highlight w:val="none"/>
              </w:rPr>
              <w:t>部分</w:t>
            </w:r>
            <w:r>
              <w:rPr>
                <w:color w:val="auto"/>
                <w:sz w:val="21"/>
                <w:highlight w:val="none"/>
              </w:rPr>
              <w:t>条款）且无负偏离的。</w:t>
            </w:r>
            <w:r>
              <w:rPr>
                <w:rFonts w:hint="eastAsia"/>
                <w:color w:val="auto"/>
                <w:sz w:val="21"/>
                <w:highlight w:val="none"/>
                <w:lang w:eastAsia="zh-CN"/>
              </w:rPr>
              <w:t>（</w:t>
            </w:r>
            <w:r>
              <w:rPr>
                <w:rFonts w:hint="eastAsia"/>
                <w:color w:val="auto"/>
                <w:sz w:val="21"/>
                <w:highlight w:val="none"/>
                <w:lang w:val="en-US" w:eastAsia="zh-CN"/>
              </w:rPr>
              <w:t>包括</w:t>
            </w:r>
            <w:r>
              <w:rPr>
                <w:rFonts w:hint="eastAsia"/>
                <w:color w:val="auto"/>
                <w:sz w:val="21"/>
                <w:highlight w:val="none"/>
              </w:rPr>
              <w:t>计划工期符合招标文件规定</w:t>
            </w:r>
            <w:r>
              <w:rPr>
                <w:rFonts w:hint="eastAsia"/>
                <w:color w:val="auto"/>
                <w:sz w:val="21"/>
                <w:highlight w:val="none"/>
                <w:lang w:eastAsia="zh-CN"/>
              </w:rPr>
              <w:t>、投标范围及内容符合招标文件规定）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822" w:type="dxa"/>
            <w:noWrap w:val="0"/>
            <w:vAlign w:val="top"/>
          </w:tcPr>
          <w:p>
            <w:pPr>
              <w:pStyle w:val="31"/>
              <w:spacing w:before="113" w:line="600" w:lineRule="auto"/>
              <w:ind w:left="10"/>
              <w:jc w:val="center"/>
              <w:rPr>
                <w:rFonts w:hint="eastAsia" w:ascii="Times New Roman" w:eastAsia="宋体"/>
                <w:color w:val="auto"/>
                <w:sz w:val="21"/>
                <w:highlight w:val="none"/>
                <w:lang w:eastAsia="zh-CN"/>
              </w:rPr>
            </w:pPr>
            <w:r>
              <w:rPr>
                <w:rFonts w:hint="eastAsia" w:ascii="Times New Roman"/>
                <w:color w:val="auto"/>
                <w:w w:val="100"/>
                <w:sz w:val="21"/>
                <w:highlight w:val="none"/>
                <w:lang w:val="en-US" w:eastAsia="zh-CN"/>
              </w:rPr>
              <w:t>7</w:t>
            </w:r>
          </w:p>
        </w:tc>
        <w:tc>
          <w:tcPr>
            <w:tcW w:w="8768" w:type="dxa"/>
            <w:noWrap w:val="0"/>
            <w:vAlign w:val="center"/>
          </w:tcPr>
          <w:p>
            <w:pPr>
              <w:pStyle w:val="31"/>
              <w:spacing w:before="99" w:line="600" w:lineRule="auto"/>
              <w:ind w:left="110"/>
              <w:jc w:val="left"/>
              <w:rPr>
                <w:color w:val="auto"/>
                <w:sz w:val="21"/>
                <w:highlight w:val="none"/>
              </w:rPr>
            </w:pPr>
            <w:r>
              <w:rPr>
                <w:color w:val="auto"/>
                <w:sz w:val="21"/>
                <w:highlight w:val="none"/>
              </w:rPr>
              <w:t>响应文件是否存在法律、法规和磋商文件规定的其他无效情形。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9590" w:type="dxa"/>
            <w:gridSpan w:val="2"/>
            <w:noWrap w:val="0"/>
            <w:vAlign w:val="top"/>
          </w:tcPr>
          <w:p>
            <w:pPr>
              <w:pStyle w:val="31"/>
              <w:spacing w:before="94" w:line="600" w:lineRule="auto"/>
              <w:ind w:left="107"/>
              <w:rPr>
                <w:color w:val="auto"/>
                <w:sz w:val="21"/>
                <w:highlight w:val="none"/>
              </w:rPr>
            </w:pPr>
            <w:r>
              <w:rPr>
                <w:b/>
                <w:bCs/>
                <w:color w:val="auto"/>
                <w:sz w:val="21"/>
                <w:highlight w:val="none"/>
              </w:rPr>
              <w:t xml:space="preserve">说明：供应商必须满足符合性审查表内所有条款，否则被认定为无效响应。 </w:t>
            </w:r>
          </w:p>
        </w:tc>
      </w:tr>
    </w:tbl>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0"/>
          <w:szCs w:val="30"/>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0"/>
          <w:szCs w:val="30"/>
          <w:highlight w:val="none"/>
          <w:lang w:val="en-US" w:eastAsia="zh-CN"/>
        </w:rPr>
      </w:pPr>
    </w:p>
    <w:p>
      <w:pPr>
        <w:pStyle w:val="18"/>
        <w:rPr>
          <w:rFonts w:hint="eastAsia" w:ascii="宋体" w:hAnsi="宋体" w:eastAsia="宋体" w:cs="宋体"/>
          <w:b/>
          <w:bCs/>
          <w:color w:val="auto"/>
          <w:sz w:val="30"/>
          <w:szCs w:val="30"/>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30"/>
          <w:szCs w:val="30"/>
          <w:highlight w:val="none"/>
          <w:lang w:val="en-US" w:eastAsia="zh-CN"/>
        </w:rPr>
        <w:br w:type="page"/>
      </w:r>
      <w:r>
        <w:rPr>
          <w:rFonts w:hint="eastAsia" w:cs="宋体"/>
          <w:b/>
          <w:bCs/>
          <w:color w:val="auto"/>
          <w:sz w:val="30"/>
          <w:szCs w:val="30"/>
          <w:highlight w:val="none"/>
          <w:lang w:val="en-US" w:eastAsia="zh-CN"/>
        </w:rPr>
        <w:t>39</w:t>
      </w:r>
      <w:r>
        <w:rPr>
          <w:rFonts w:hint="eastAsia" w:ascii="宋体" w:hAnsi="宋体" w:eastAsia="宋体" w:cs="宋体"/>
          <w:b/>
          <w:bCs/>
          <w:color w:val="auto"/>
          <w:sz w:val="30"/>
          <w:szCs w:val="30"/>
          <w:highlight w:val="none"/>
          <w:lang w:val="en-US" w:eastAsia="zh-CN"/>
        </w:rPr>
        <w:t xml:space="preserve"> 评分标准</w:t>
      </w:r>
      <w:r>
        <w:rPr>
          <w:rFonts w:hint="eastAsia" w:ascii="宋体" w:hAnsi="宋体" w:eastAsia="宋体" w:cs="宋体"/>
          <w:color w:val="auto"/>
          <w:sz w:val="24"/>
          <w:szCs w:val="24"/>
          <w:highlight w:val="none"/>
        </w:rPr>
        <w:t xml:space="preserve"> </w:t>
      </w:r>
    </w:p>
    <w:p>
      <w:pPr>
        <w:pStyle w:val="39"/>
        <w:shd w:val="clear" w:color="auto" w:fill="FFFFFF"/>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满足招磋商文件要求且最后投标价格最低的投标报价为磋商基准价，磋商报价得分=（磋商基准价／最后磋商报价）×价格权值×100，计算分数时四舍五入取小数点后两位。【说明：</w:t>
      </w:r>
      <w:r>
        <w:rPr>
          <w:rFonts w:hint="eastAsia" w:ascii="仿宋" w:hAnsi="仿宋" w:eastAsia="仿宋" w:cs="仿宋"/>
          <w:b/>
          <w:sz w:val="24"/>
          <w:szCs w:val="24"/>
        </w:rPr>
        <w:t>商务标部分满分</w:t>
      </w:r>
      <w:r>
        <w:rPr>
          <w:rFonts w:hint="eastAsia" w:ascii="仿宋" w:hAnsi="仿宋" w:eastAsia="仿宋" w:cs="仿宋"/>
          <w:b/>
          <w:sz w:val="24"/>
          <w:szCs w:val="24"/>
          <w:lang w:val="en-US" w:eastAsia="zh-CN"/>
        </w:rPr>
        <w:t>14</w:t>
      </w:r>
      <w:r>
        <w:rPr>
          <w:rFonts w:hint="eastAsia" w:ascii="仿宋" w:hAnsi="仿宋" w:eastAsia="仿宋" w:cs="仿宋"/>
          <w:b/>
          <w:sz w:val="24"/>
          <w:szCs w:val="24"/>
        </w:rPr>
        <w:t>分，技术标部分满分</w:t>
      </w:r>
      <w:r>
        <w:rPr>
          <w:rFonts w:hint="eastAsia" w:ascii="仿宋" w:hAnsi="仿宋" w:eastAsia="仿宋" w:cs="仿宋"/>
          <w:b/>
          <w:sz w:val="24"/>
          <w:szCs w:val="24"/>
          <w:lang w:val="en-US" w:eastAsia="zh-CN"/>
        </w:rPr>
        <w:t>56</w:t>
      </w:r>
      <w:r>
        <w:rPr>
          <w:rFonts w:hint="eastAsia" w:ascii="仿宋" w:hAnsi="仿宋" w:eastAsia="仿宋" w:cs="仿宋"/>
          <w:b/>
          <w:sz w:val="24"/>
          <w:szCs w:val="24"/>
        </w:rPr>
        <w:t>分，经济标部分满分</w:t>
      </w:r>
      <w:r>
        <w:rPr>
          <w:rFonts w:hint="eastAsia" w:ascii="仿宋" w:hAnsi="仿宋" w:eastAsia="仿宋" w:cs="仿宋"/>
          <w:b/>
          <w:sz w:val="24"/>
          <w:szCs w:val="24"/>
          <w:lang w:val="en-US" w:eastAsia="zh-CN"/>
        </w:rPr>
        <w:t>3</w:t>
      </w:r>
      <w:r>
        <w:rPr>
          <w:rFonts w:hint="eastAsia" w:ascii="仿宋" w:hAnsi="仿宋" w:eastAsia="仿宋" w:cs="仿宋"/>
          <w:b/>
          <w:sz w:val="24"/>
          <w:szCs w:val="24"/>
        </w:rPr>
        <w:t>0分</w:t>
      </w:r>
      <w:r>
        <w:rPr>
          <w:rFonts w:hint="eastAsia" w:ascii="仿宋" w:hAnsi="仿宋" w:eastAsia="仿宋" w:cs="仿宋"/>
          <w:sz w:val="24"/>
          <w:szCs w:val="24"/>
        </w:rPr>
        <w:t>。】</w:t>
      </w:r>
    </w:p>
    <w:tbl>
      <w:tblPr>
        <w:tblStyle w:val="19"/>
        <w:tblW w:w="101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892"/>
        <w:gridCol w:w="844"/>
        <w:gridCol w:w="6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3193" w:type="dxa"/>
            <w:gridSpan w:val="2"/>
            <w:noWrap w:val="0"/>
            <w:vAlign w:val="top"/>
          </w:tcPr>
          <w:p>
            <w:pPr>
              <w:shd w:val="clear" w:color="auto" w:fill="FFFFFF"/>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评审因素</w:t>
            </w:r>
          </w:p>
        </w:tc>
        <w:tc>
          <w:tcPr>
            <w:tcW w:w="844" w:type="dxa"/>
            <w:noWrap w:val="0"/>
            <w:vAlign w:val="center"/>
          </w:tcPr>
          <w:p>
            <w:pPr>
              <w:shd w:val="clear" w:color="auto" w:fill="FFFFFF"/>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分值</w:t>
            </w:r>
          </w:p>
        </w:tc>
        <w:tc>
          <w:tcPr>
            <w:tcW w:w="6075" w:type="dxa"/>
            <w:noWrap w:val="0"/>
            <w:vAlign w:val="center"/>
          </w:tcPr>
          <w:p>
            <w:pPr>
              <w:shd w:val="clear" w:color="auto" w:fill="FFFFFF"/>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3193" w:type="dxa"/>
            <w:gridSpan w:val="2"/>
            <w:noWrap w:val="0"/>
            <w:vAlign w:val="center"/>
          </w:tcPr>
          <w:p>
            <w:pPr>
              <w:shd w:val="clear" w:color="auto" w:fill="FFFFFF"/>
              <w:spacing w:line="500" w:lineRule="exact"/>
              <w:jc w:val="center"/>
              <w:rPr>
                <w:rFonts w:hint="eastAsia" w:ascii="仿宋" w:hAnsi="仿宋" w:eastAsia="仿宋" w:cs="仿宋"/>
                <w:sz w:val="24"/>
                <w:szCs w:val="24"/>
              </w:rPr>
            </w:pPr>
          </w:p>
          <w:p>
            <w:pPr>
              <w:shd w:val="clear" w:color="auto" w:fill="FFFFFF"/>
              <w:spacing w:line="500" w:lineRule="exact"/>
              <w:jc w:val="center"/>
              <w:rPr>
                <w:rFonts w:hint="eastAsia" w:ascii="仿宋" w:hAnsi="仿宋" w:eastAsia="仿宋" w:cs="仿宋"/>
                <w:sz w:val="24"/>
                <w:szCs w:val="24"/>
              </w:rPr>
            </w:pPr>
            <w:r>
              <w:rPr>
                <w:rFonts w:hint="eastAsia" w:ascii="仿宋" w:hAnsi="仿宋" w:eastAsia="仿宋" w:cs="仿宋"/>
                <w:sz w:val="24"/>
                <w:szCs w:val="24"/>
              </w:rPr>
              <w:t>价格部分（</w:t>
            </w:r>
            <w:r>
              <w:rPr>
                <w:rFonts w:hint="eastAsia" w:ascii="仿宋" w:hAnsi="仿宋" w:eastAsia="仿宋" w:cs="仿宋"/>
                <w:sz w:val="24"/>
                <w:szCs w:val="24"/>
                <w:lang w:val="en-US" w:eastAsia="zh-CN"/>
              </w:rPr>
              <w:t>3</w:t>
            </w:r>
            <w:r>
              <w:rPr>
                <w:rFonts w:hint="eastAsia" w:ascii="仿宋" w:hAnsi="仿宋" w:eastAsia="仿宋" w:cs="仿宋"/>
                <w:sz w:val="24"/>
                <w:szCs w:val="24"/>
              </w:rPr>
              <w:t>0分）</w:t>
            </w:r>
          </w:p>
        </w:tc>
        <w:tc>
          <w:tcPr>
            <w:tcW w:w="844" w:type="dxa"/>
            <w:noWrap w:val="0"/>
            <w:vAlign w:val="center"/>
          </w:tcPr>
          <w:p>
            <w:pPr>
              <w:shd w:val="clear" w:color="auto" w:fill="FFFFFF"/>
              <w:spacing w:line="50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0</w:t>
            </w:r>
          </w:p>
        </w:tc>
        <w:tc>
          <w:tcPr>
            <w:tcW w:w="6075" w:type="dxa"/>
            <w:noWrap w:val="0"/>
            <w:vAlign w:val="center"/>
          </w:tcPr>
          <w:p>
            <w:pPr>
              <w:shd w:val="clear" w:color="auto" w:fill="FFFFFF"/>
              <w:spacing w:line="240" w:lineRule="auto"/>
              <w:jc w:val="left"/>
              <w:rPr>
                <w:rFonts w:hint="eastAsia" w:ascii="仿宋" w:hAnsi="仿宋" w:eastAsia="仿宋" w:cs="仿宋"/>
                <w:sz w:val="24"/>
                <w:szCs w:val="24"/>
              </w:rPr>
            </w:pPr>
            <w:r>
              <w:rPr>
                <w:rFonts w:hint="eastAsia" w:ascii="仿宋" w:hAnsi="仿宋" w:eastAsia="仿宋" w:cs="仿宋"/>
                <w:sz w:val="24"/>
                <w:szCs w:val="24"/>
              </w:rPr>
              <w:t>采用低价优先法计算，即满足磋商文件要求且最后投标价格最低的报价为磋商基准价，其价格分为满分。</w:t>
            </w:r>
          </w:p>
          <w:p>
            <w:pPr>
              <w:shd w:val="clear" w:color="auto" w:fill="FFFFFF"/>
              <w:spacing w:line="240" w:lineRule="auto"/>
              <w:jc w:val="left"/>
              <w:rPr>
                <w:rFonts w:hint="eastAsia" w:ascii="仿宋" w:hAnsi="仿宋" w:eastAsia="仿宋" w:cs="仿宋"/>
                <w:sz w:val="24"/>
                <w:szCs w:val="24"/>
              </w:rPr>
            </w:pPr>
            <w:r>
              <w:rPr>
                <w:rFonts w:hint="eastAsia" w:ascii="仿宋" w:hAnsi="仿宋" w:eastAsia="仿宋" w:cs="仿宋"/>
                <w:sz w:val="24"/>
                <w:szCs w:val="24"/>
              </w:rPr>
              <w:t>其他供应商的价格分统一按照下列公式计算磋商报价得分=（磋商基准价／最后磋商报价）×价格权值×100（小数点保留两位）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1301" w:type="dxa"/>
            <w:vMerge w:val="restart"/>
            <w:noWrap w:val="0"/>
            <w:vAlign w:val="center"/>
          </w:tcPr>
          <w:p>
            <w:pPr>
              <w:shd w:val="clear" w:color="auto" w:fill="FFFFFF"/>
              <w:spacing w:line="500" w:lineRule="exact"/>
              <w:jc w:val="center"/>
              <w:rPr>
                <w:rFonts w:hint="eastAsia" w:ascii="仿宋" w:hAnsi="仿宋" w:eastAsia="仿宋" w:cs="仿宋"/>
                <w:sz w:val="24"/>
                <w:szCs w:val="24"/>
              </w:rPr>
            </w:pPr>
            <w:r>
              <w:rPr>
                <w:rFonts w:hint="eastAsia" w:ascii="仿宋" w:hAnsi="仿宋" w:eastAsia="仿宋" w:cs="仿宋"/>
                <w:sz w:val="24"/>
                <w:szCs w:val="24"/>
              </w:rPr>
              <w:t>技术部分（</w:t>
            </w:r>
            <w:r>
              <w:rPr>
                <w:rFonts w:hint="eastAsia" w:ascii="仿宋" w:hAnsi="仿宋" w:eastAsia="仿宋" w:cs="仿宋"/>
                <w:sz w:val="24"/>
                <w:szCs w:val="24"/>
                <w:lang w:val="en-US" w:eastAsia="zh-CN"/>
              </w:rPr>
              <w:t>56</w:t>
            </w:r>
            <w:r>
              <w:rPr>
                <w:rFonts w:hint="eastAsia" w:ascii="仿宋" w:hAnsi="仿宋" w:eastAsia="仿宋" w:cs="仿宋"/>
                <w:sz w:val="24"/>
                <w:szCs w:val="24"/>
              </w:rPr>
              <w:t>分）</w:t>
            </w:r>
          </w:p>
        </w:tc>
        <w:tc>
          <w:tcPr>
            <w:tcW w:w="1892" w:type="dxa"/>
            <w:vMerge w:val="restart"/>
            <w:noWrap w:val="0"/>
            <w:vAlign w:val="center"/>
          </w:tcPr>
          <w:p>
            <w:pPr>
              <w:spacing w:line="42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sz w:val="24"/>
                <w:szCs w:val="24"/>
                <w:lang w:eastAsia="zh-CN"/>
              </w:rPr>
              <w:t>管理人员投入</w:t>
            </w:r>
          </w:p>
        </w:tc>
        <w:tc>
          <w:tcPr>
            <w:tcW w:w="844" w:type="dxa"/>
            <w:noWrap w:val="0"/>
            <w:vAlign w:val="center"/>
          </w:tcPr>
          <w:p>
            <w:pPr>
              <w:pStyle w:val="17"/>
              <w:spacing w:line="420" w:lineRule="exact"/>
              <w:ind w:left="0" w:leftChars="0" w:right="-55" w:rightChars="-25"/>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0-5</w:t>
            </w:r>
          </w:p>
        </w:tc>
        <w:tc>
          <w:tcPr>
            <w:tcW w:w="6075" w:type="dxa"/>
            <w:noWrap w:val="0"/>
            <w:vAlign w:val="center"/>
          </w:tcPr>
          <w:p>
            <w:pPr>
              <w:shd w:val="clear" w:color="auto" w:fill="FFFFFF"/>
              <w:spacing w:line="240" w:lineRule="auto"/>
              <w:jc w:val="left"/>
              <w:rPr>
                <w:rFonts w:hint="eastAsia"/>
              </w:rPr>
            </w:pPr>
            <w:r>
              <w:rPr>
                <w:rFonts w:hint="eastAsia" w:ascii="仿宋" w:hAnsi="仿宋" w:eastAsia="仿宋" w:cs="仿宋"/>
                <w:sz w:val="24"/>
                <w:szCs w:val="24"/>
                <w:lang w:eastAsia="zh-CN"/>
              </w:rPr>
              <w:t>项目管理人员针对工程实际配置且合理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jc w:val="center"/>
        </w:trPr>
        <w:tc>
          <w:tcPr>
            <w:tcW w:w="1301" w:type="dxa"/>
            <w:vMerge w:val="continue"/>
            <w:noWrap w:val="0"/>
            <w:vAlign w:val="center"/>
          </w:tcPr>
          <w:p>
            <w:pPr>
              <w:shd w:val="clear" w:color="auto" w:fill="FFFFFF"/>
              <w:spacing w:line="500" w:lineRule="exact"/>
              <w:jc w:val="center"/>
              <w:rPr>
                <w:rFonts w:hint="eastAsia" w:ascii="仿宋" w:hAnsi="仿宋" w:eastAsia="仿宋" w:cs="仿宋"/>
                <w:sz w:val="24"/>
                <w:szCs w:val="24"/>
              </w:rPr>
            </w:pPr>
          </w:p>
        </w:tc>
        <w:tc>
          <w:tcPr>
            <w:tcW w:w="1892" w:type="dxa"/>
            <w:vMerge w:val="continue"/>
            <w:noWrap w:val="0"/>
            <w:vAlign w:val="center"/>
          </w:tcPr>
          <w:p>
            <w:pPr>
              <w:spacing w:line="420" w:lineRule="exact"/>
              <w:ind w:left="0" w:leftChars="0" w:right="0" w:rightChars="0"/>
              <w:jc w:val="center"/>
              <w:rPr>
                <w:rFonts w:hint="eastAsia" w:ascii="宋体" w:hAnsi="宋体"/>
                <w:sz w:val="18"/>
              </w:rPr>
            </w:pPr>
          </w:p>
        </w:tc>
        <w:tc>
          <w:tcPr>
            <w:tcW w:w="844" w:type="dxa"/>
            <w:noWrap w:val="0"/>
            <w:vAlign w:val="center"/>
          </w:tcPr>
          <w:p>
            <w:pPr>
              <w:pStyle w:val="17"/>
              <w:spacing w:line="420" w:lineRule="exact"/>
              <w:ind w:left="0" w:leftChars="0" w:right="-55" w:rightChars="-25"/>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0-5</w:t>
            </w:r>
          </w:p>
        </w:tc>
        <w:tc>
          <w:tcPr>
            <w:tcW w:w="6075" w:type="dxa"/>
            <w:noWrap w:val="0"/>
            <w:vAlign w:val="center"/>
          </w:tcPr>
          <w:p>
            <w:pPr>
              <w:pStyle w:val="8"/>
              <w:rPr>
                <w:rFonts w:hint="eastAsia" w:ascii="宋体" w:hAnsi="宋体"/>
                <w:sz w:val="18"/>
                <w:lang w:eastAsia="zh-CN"/>
              </w:rPr>
            </w:pPr>
            <w:r>
              <w:rPr>
                <w:rFonts w:hint="eastAsia" w:ascii="仿宋" w:hAnsi="仿宋" w:eastAsia="仿宋" w:cs="仿宋"/>
                <w:sz w:val="24"/>
                <w:szCs w:val="24"/>
                <w:lang w:val="zh-CN" w:eastAsia="zh-CN" w:bidi="zh-CN"/>
              </w:rPr>
              <w:t>项目管理人员配置能满足该工程管理需要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301" w:type="dxa"/>
            <w:vMerge w:val="continue"/>
            <w:noWrap w:val="0"/>
            <w:vAlign w:val="top"/>
          </w:tcPr>
          <w:p>
            <w:pPr>
              <w:shd w:val="clear" w:color="auto" w:fill="FFFFFF"/>
              <w:spacing w:line="500" w:lineRule="exact"/>
              <w:jc w:val="center"/>
              <w:rPr>
                <w:rFonts w:hint="eastAsia" w:ascii="仿宋" w:hAnsi="仿宋" w:eastAsia="仿宋" w:cs="仿宋"/>
                <w:sz w:val="24"/>
                <w:szCs w:val="24"/>
              </w:rPr>
            </w:pPr>
          </w:p>
        </w:tc>
        <w:tc>
          <w:tcPr>
            <w:tcW w:w="1892" w:type="dxa"/>
            <w:vMerge w:val="restart"/>
            <w:noWrap w:val="0"/>
            <w:vAlign w:val="center"/>
          </w:tcPr>
          <w:p>
            <w:pPr>
              <w:spacing w:line="360" w:lineRule="exact"/>
              <w:jc w:val="center"/>
              <w:rPr>
                <w:rFonts w:hint="eastAsia" w:ascii="仿宋" w:hAnsi="仿宋" w:eastAsia="仿宋" w:cs="仿宋"/>
                <w:color w:val="auto"/>
                <w:sz w:val="24"/>
                <w:szCs w:val="24"/>
              </w:rPr>
            </w:pPr>
            <w:r>
              <w:rPr>
                <w:rFonts w:hint="eastAsia" w:ascii="仿宋" w:hAnsi="仿宋" w:eastAsia="仿宋" w:cs="仿宋"/>
                <w:sz w:val="24"/>
                <w:szCs w:val="24"/>
                <w:lang w:eastAsia="zh-CN"/>
              </w:rPr>
              <w:t>技术难点及相应解决方案</w:t>
            </w:r>
          </w:p>
        </w:tc>
        <w:tc>
          <w:tcPr>
            <w:tcW w:w="844" w:type="dxa"/>
            <w:noWrap w:val="0"/>
            <w:vAlign w:val="center"/>
          </w:tcPr>
          <w:p>
            <w:pPr>
              <w:pStyle w:val="17"/>
              <w:spacing w:line="420" w:lineRule="exact"/>
              <w:ind w:left="0" w:leftChars="0" w:right="-55" w:rightChars="-25"/>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lang w:val="en-US" w:eastAsia="zh-CN"/>
              </w:rPr>
              <w:t>0-5</w:t>
            </w:r>
          </w:p>
        </w:tc>
        <w:tc>
          <w:tcPr>
            <w:tcW w:w="6075" w:type="dxa"/>
            <w:noWrap w:val="0"/>
            <w:vAlign w:val="center"/>
          </w:tcPr>
          <w:p>
            <w:pPr>
              <w:ind w:left="0" w:leftChars="0" w:right="0" w:right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技术难点及相应解决方案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1301" w:type="dxa"/>
            <w:vMerge w:val="continue"/>
            <w:noWrap w:val="0"/>
            <w:vAlign w:val="top"/>
          </w:tcPr>
          <w:p>
            <w:pPr>
              <w:shd w:val="clear" w:color="auto" w:fill="FFFFFF"/>
              <w:spacing w:line="500" w:lineRule="exact"/>
              <w:jc w:val="center"/>
              <w:rPr>
                <w:rFonts w:hint="eastAsia" w:ascii="仿宋" w:hAnsi="仿宋" w:eastAsia="仿宋" w:cs="仿宋"/>
                <w:sz w:val="24"/>
                <w:szCs w:val="24"/>
              </w:rPr>
            </w:pPr>
          </w:p>
        </w:tc>
        <w:tc>
          <w:tcPr>
            <w:tcW w:w="1892" w:type="dxa"/>
            <w:vMerge w:val="continue"/>
            <w:noWrap w:val="0"/>
            <w:vAlign w:val="center"/>
          </w:tcPr>
          <w:p>
            <w:pPr>
              <w:spacing w:line="360" w:lineRule="exact"/>
              <w:ind w:left="0" w:leftChars="0" w:right="0" w:rightChars="0"/>
              <w:jc w:val="center"/>
              <w:rPr>
                <w:rFonts w:hint="eastAsia" w:ascii="仿宋" w:hAnsi="仿宋" w:eastAsia="仿宋" w:cs="仿宋"/>
                <w:color w:val="auto"/>
                <w:sz w:val="24"/>
                <w:szCs w:val="24"/>
              </w:rPr>
            </w:pPr>
          </w:p>
        </w:tc>
        <w:tc>
          <w:tcPr>
            <w:tcW w:w="844" w:type="dxa"/>
            <w:noWrap w:val="0"/>
            <w:vAlign w:val="center"/>
          </w:tcPr>
          <w:p>
            <w:pPr>
              <w:pStyle w:val="17"/>
              <w:spacing w:line="420" w:lineRule="exact"/>
              <w:ind w:left="0" w:leftChars="0" w:right="-55" w:rightChars="-25"/>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lang w:val="en-US" w:eastAsia="zh-CN"/>
              </w:rPr>
              <w:t>0-5</w:t>
            </w:r>
          </w:p>
        </w:tc>
        <w:tc>
          <w:tcPr>
            <w:tcW w:w="6075" w:type="dxa"/>
            <w:noWrap w:val="0"/>
            <w:vAlign w:val="center"/>
          </w:tcPr>
          <w:p>
            <w:pPr>
              <w:ind w:left="0" w:leftChars="0" w:right="0" w:right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施工重点难点解决的方案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2" w:hRule="atLeast"/>
          <w:jc w:val="center"/>
        </w:trPr>
        <w:tc>
          <w:tcPr>
            <w:tcW w:w="1301" w:type="dxa"/>
            <w:vMerge w:val="continue"/>
            <w:noWrap w:val="0"/>
            <w:vAlign w:val="top"/>
          </w:tcPr>
          <w:p>
            <w:pPr>
              <w:shd w:val="clear" w:color="auto" w:fill="FFFFFF"/>
              <w:spacing w:line="500" w:lineRule="exact"/>
              <w:jc w:val="center"/>
              <w:rPr>
                <w:rFonts w:hint="eastAsia" w:ascii="仿宋" w:hAnsi="仿宋" w:eastAsia="仿宋" w:cs="仿宋"/>
                <w:sz w:val="24"/>
                <w:szCs w:val="24"/>
              </w:rPr>
            </w:pPr>
          </w:p>
        </w:tc>
        <w:tc>
          <w:tcPr>
            <w:tcW w:w="1892" w:type="dxa"/>
            <w:noWrap w:val="0"/>
            <w:vAlign w:val="center"/>
          </w:tcPr>
          <w:p>
            <w:pPr>
              <w:spacing w:line="360" w:lineRule="exact"/>
              <w:ind w:left="0" w:leftChars="0" w:right="0" w:rightChars="0"/>
              <w:jc w:val="center"/>
              <w:rPr>
                <w:rFonts w:hint="eastAsia" w:ascii="仿宋" w:hAnsi="仿宋" w:eastAsia="仿宋" w:cs="仿宋"/>
                <w:sz w:val="24"/>
                <w:szCs w:val="24"/>
              </w:rPr>
            </w:pPr>
            <w:r>
              <w:rPr>
                <w:rFonts w:hint="eastAsia" w:ascii="仿宋" w:hAnsi="仿宋" w:eastAsia="仿宋" w:cs="仿宋"/>
                <w:sz w:val="24"/>
                <w:szCs w:val="24"/>
              </w:rPr>
              <w:t>质量安全文明施工保证措施</w:t>
            </w:r>
          </w:p>
        </w:tc>
        <w:tc>
          <w:tcPr>
            <w:tcW w:w="844" w:type="dxa"/>
            <w:noWrap w:val="0"/>
            <w:vAlign w:val="center"/>
          </w:tcPr>
          <w:p>
            <w:pPr>
              <w:spacing w:line="420" w:lineRule="exact"/>
              <w:ind w:left="0" w:leftChars="0" w:right="-55" w:rightChars="-25"/>
              <w:jc w:val="center"/>
              <w:rPr>
                <w:rFonts w:hint="default"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0-5</w:t>
            </w:r>
          </w:p>
        </w:tc>
        <w:tc>
          <w:tcPr>
            <w:tcW w:w="6075" w:type="dxa"/>
            <w:noWrap w:val="0"/>
            <w:vAlign w:val="top"/>
          </w:tcPr>
          <w:p>
            <w:pPr>
              <w:ind w:left="0" w:leftChars="0" w:right="0" w:rightChars="0"/>
              <w:rPr>
                <w:rFonts w:hint="eastAsia" w:ascii="仿宋" w:hAnsi="仿宋" w:eastAsia="仿宋" w:cs="仿宋"/>
                <w:sz w:val="24"/>
                <w:szCs w:val="24"/>
                <w:lang w:eastAsia="zh-CN"/>
              </w:rPr>
            </w:pPr>
            <w:r>
              <w:rPr>
                <w:rFonts w:hint="eastAsia" w:ascii="仿宋" w:hAnsi="仿宋" w:eastAsia="仿宋" w:cs="仿宋"/>
                <w:sz w:val="24"/>
                <w:szCs w:val="24"/>
              </w:rPr>
              <w:t>有具体可行的保证措施，有具体的违约责任，管理机构健全，管理制度健全，质量检测能力与手段完善</w:t>
            </w:r>
            <w:r>
              <w:rPr>
                <w:rFonts w:hint="eastAsia" w:ascii="仿宋" w:hAnsi="仿宋" w:eastAsia="仿宋" w:cs="仿宋"/>
                <w:color w:val="000000"/>
                <w:szCs w:val="21"/>
              </w:rPr>
              <w:t>得力得</w:t>
            </w:r>
            <w:r>
              <w:rPr>
                <w:rFonts w:hint="eastAsia" w:ascii="仿宋" w:hAnsi="仿宋" w:eastAsia="仿宋" w:cs="仿宋"/>
                <w:color w:val="000000"/>
                <w:szCs w:val="21"/>
                <w:lang w:val="en-US" w:eastAsia="zh-CN"/>
              </w:rPr>
              <w:t>5</w:t>
            </w:r>
            <w:r>
              <w:rPr>
                <w:rFonts w:hint="eastAsia" w:ascii="仿宋" w:hAnsi="仿宋" w:eastAsia="仿宋" w:cs="仿宋"/>
                <w:color w:val="000000"/>
                <w:szCs w:val="21"/>
              </w:rPr>
              <w:t>分，一般得</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1301" w:type="dxa"/>
            <w:vMerge w:val="continue"/>
            <w:noWrap w:val="0"/>
            <w:vAlign w:val="top"/>
          </w:tcPr>
          <w:p>
            <w:pPr>
              <w:shd w:val="clear" w:color="auto" w:fill="FFFFFF"/>
              <w:spacing w:line="500" w:lineRule="exact"/>
              <w:jc w:val="center"/>
              <w:rPr>
                <w:rFonts w:hint="eastAsia" w:ascii="仿宋" w:hAnsi="仿宋" w:eastAsia="仿宋" w:cs="仿宋"/>
                <w:sz w:val="24"/>
                <w:szCs w:val="24"/>
              </w:rPr>
            </w:pPr>
          </w:p>
        </w:tc>
        <w:tc>
          <w:tcPr>
            <w:tcW w:w="1892" w:type="dxa"/>
            <w:noWrap w:val="0"/>
            <w:vAlign w:val="center"/>
          </w:tcPr>
          <w:p>
            <w:pPr>
              <w:spacing w:line="36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施工组织设计</w:t>
            </w:r>
          </w:p>
        </w:tc>
        <w:tc>
          <w:tcPr>
            <w:tcW w:w="844" w:type="dxa"/>
            <w:noWrap w:val="0"/>
            <w:vAlign w:val="center"/>
          </w:tcPr>
          <w:p>
            <w:pPr>
              <w:spacing w:line="420" w:lineRule="exact"/>
              <w:ind w:left="0" w:leftChars="0" w:right="-55" w:rightChars="-25"/>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0-9</w:t>
            </w:r>
          </w:p>
        </w:tc>
        <w:tc>
          <w:tcPr>
            <w:tcW w:w="6075" w:type="dxa"/>
            <w:noWrap w:val="0"/>
            <w:vAlign w:val="top"/>
          </w:tcPr>
          <w:p>
            <w:pPr>
              <w:ind w:left="0" w:leftChars="0" w:right="0" w:rightChars="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内容完整性和编制水平   ①施工条件②施工导流③料场的选</w:t>
            </w:r>
            <w:r>
              <w:rPr>
                <w:rFonts w:hint="eastAsia" w:ascii="仿宋" w:hAnsi="仿宋" w:eastAsia="仿宋" w:cs="仿宋"/>
                <w:color w:val="auto"/>
                <w:sz w:val="24"/>
                <w:szCs w:val="24"/>
                <w:lang w:eastAsia="zh-CN"/>
              </w:rPr>
              <w:t>泽</w:t>
            </w:r>
            <w:r>
              <w:rPr>
                <w:rFonts w:hint="eastAsia" w:ascii="仿宋" w:hAnsi="仿宋" w:eastAsia="仿宋" w:cs="仿宋"/>
                <w:color w:val="auto"/>
                <w:sz w:val="24"/>
                <w:szCs w:val="24"/>
              </w:rPr>
              <w:t>与开采④主体工程施工⑤施工交通运输⑥施工工厂设施⑦施工总布置⑧施工总进度⑨主要技术供应</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内容是完整，资料充分得满分9分，内容不完整不合格，资料不充分，缺项的扣分，扣完为止。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01" w:type="dxa"/>
            <w:vMerge w:val="continue"/>
            <w:noWrap w:val="0"/>
            <w:vAlign w:val="top"/>
          </w:tcPr>
          <w:p>
            <w:pPr>
              <w:shd w:val="clear" w:color="auto" w:fill="FFFFFF"/>
              <w:spacing w:line="500" w:lineRule="exact"/>
              <w:jc w:val="center"/>
              <w:rPr>
                <w:rFonts w:hint="eastAsia" w:ascii="仿宋" w:hAnsi="仿宋" w:eastAsia="仿宋" w:cs="仿宋"/>
                <w:sz w:val="24"/>
                <w:szCs w:val="24"/>
              </w:rPr>
            </w:pPr>
          </w:p>
        </w:tc>
        <w:tc>
          <w:tcPr>
            <w:tcW w:w="1892" w:type="dxa"/>
            <w:noWrap w:val="0"/>
            <w:vAlign w:val="center"/>
          </w:tcPr>
          <w:p>
            <w:pPr>
              <w:spacing w:line="36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施工方案与技术措施 </w:t>
            </w:r>
          </w:p>
        </w:tc>
        <w:tc>
          <w:tcPr>
            <w:tcW w:w="844" w:type="dxa"/>
            <w:noWrap w:val="0"/>
            <w:vAlign w:val="center"/>
          </w:tcPr>
          <w:p>
            <w:pPr>
              <w:spacing w:line="420" w:lineRule="exact"/>
              <w:ind w:left="0" w:leftChars="0" w:right="-55" w:rightChars="-25"/>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0-6</w:t>
            </w:r>
          </w:p>
        </w:tc>
        <w:tc>
          <w:tcPr>
            <w:tcW w:w="6075" w:type="dxa"/>
            <w:noWrap w:val="0"/>
            <w:vAlign w:val="top"/>
          </w:tcPr>
          <w:p>
            <w:pPr>
              <w:ind w:left="0" w:leftChars="0" w:right="0" w:right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 ①工程特点及施工重点和难点分析②施工程序、工艺符合工程实际和有关施工规程规范,且投入的设备和人力计划安排合理；③各工序工作历时安排合理且有详细计算说明。内容完整</w:t>
            </w:r>
            <w:r>
              <w:rPr>
                <w:rFonts w:hint="eastAsia" w:ascii="仿宋" w:hAnsi="仿宋" w:eastAsia="仿宋" w:cs="仿宋"/>
                <w:color w:val="auto"/>
                <w:sz w:val="24"/>
                <w:szCs w:val="24"/>
                <w:lang w:val="en-US" w:eastAsia="zh-CN"/>
              </w:rPr>
              <w:t>合格</w:t>
            </w:r>
            <w:r>
              <w:rPr>
                <w:rFonts w:hint="eastAsia" w:ascii="仿宋" w:hAnsi="仿宋" w:eastAsia="仿宋" w:cs="仿宋"/>
                <w:color w:val="auto"/>
                <w:sz w:val="24"/>
                <w:szCs w:val="24"/>
              </w:rPr>
              <w:t>，资料充分得满分</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内容</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完整</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合格，资料</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充分，</w:t>
            </w:r>
            <w:r>
              <w:rPr>
                <w:rFonts w:hint="eastAsia" w:ascii="仿宋" w:hAnsi="仿宋" w:eastAsia="仿宋" w:cs="仿宋"/>
                <w:color w:val="auto"/>
                <w:sz w:val="24"/>
                <w:szCs w:val="24"/>
              </w:rPr>
              <w:t>缺项</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扣分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1301" w:type="dxa"/>
            <w:vMerge w:val="continue"/>
            <w:noWrap w:val="0"/>
            <w:vAlign w:val="top"/>
          </w:tcPr>
          <w:p>
            <w:pPr>
              <w:shd w:val="clear" w:color="auto" w:fill="FFFFFF"/>
              <w:spacing w:line="500" w:lineRule="exact"/>
              <w:jc w:val="center"/>
              <w:rPr>
                <w:rFonts w:hint="eastAsia" w:ascii="仿宋" w:hAnsi="仿宋" w:eastAsia="仿宋" w:cs="仿宋"/>
                <w:sz w:val="24"/>
                <w:szCs w:val="24"/>
              </w:rPr>
            </w:pPr>
          </w:p>
        </w:tc>
        <w:tc>
          <w:tcPr>
            <w:tcW w:w="1892" w:type="dxa"/>
            <w:noWrap w:val="0"/>
            <w:vAlign w:val="center"/>
          </w:tcPr>
          <w:p>
            <w:pPr>
              <w:rPr>
                <w:rFonts w:hint="eastAsia" w:ascii="仿宋" w:hAnsi="仿宋" w:eastAsia="仿宋" w:cs="仿宋"/>
                <w:color w:val="auto"/>
                <w:sz w:val="24"/>
                <w:szCs w:val="24"/>
              </w:rPr>
            </w:pPr>
            <w:r>
              <w:rPr>
                <w:rFonts w:hint="eastAsia" w:ascii="仿宋" w:hAnsi="仿宋" w:eastAsia="仿宋" w:cs="仿宋"/>
                <w:color w:val="auto"/>
                <w:sz w:val="24"/>
                <w:szCs w:val="24"/>
              </w:rPr>
              <w:t>质量管理体系与措施</w:t>
            </w:r>
          </w:p>
        </w:tc>
        <w:tc>
          <w:tcPr>
            <w:tcW w:w="844" w:type="dxa"/>
            <w:noWrap w:val="0"/>
            <w:vAlign w:val="center"/>
          </w:tcPr>
          <w:p>
            <w:pPr>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0-3</w:t>
            </w:r>
          </w:p>
        </w:tc>
        <w:tc>
          <w:tcPr>
            <w:tcW w:w="6075" w:type="dxa"/>
            <w:noWrap w:val="0"/>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 xml:space="preserve"> ①质量保证体系健全、职责明确；②工程所用原材料、中间产品、金属结构等检测的种类、数量符合相关规程规范；③质量检测设备、数量满足要求。</w:t>
            </w:r>
          </w:p>
          <w:p>
            <w:pPr>
              <w:rPr>
                <w:rFonts w:hint="eastAsia" w:ascii="仿宋" w:hAnsi="仿宋" w:eastAsia="仿宋" w:cs="仿宋"/>
                <w:color w:val="auto"/>
                <w:sz w:val="24"/>
                <w:szCs w:val="24"/>
              </w:rPr>
            </w:pPr>
            <w:r>
              <w:rPr>
                <w:rFonts w:hint="eastAsia" w:ascii="仿宋" w:hAnsi="仿宋" w:eastAsia="仿宋" w:cs="仿宋"/>
                <w:color w:val="auto"/>
                <w:sz w:val="24"/>
                <w:szCs w:val="24"/>
              </w:rPr>
              <w:t>内容完整</w:t>
            </w:r>
            <w:r>
              <w:rPr>
                <w:rFonts w:hint="eastAsia" w:ascii="仿宋" w:hAnsi="仿宋" w:eastAsia="仿宋" w:cs="仿宋"/>
                <w:color w:val="auto"/>
                <w:sz w:val="24"/>
                <w:szCs w:val="24"/>
                <w:lang w:val="en-US" w:eastAsia="zh-CN"/>
              </w:rPr>
              <w:t>合格</w:t>
            </w:r>
            <w:r>
              <w:rPr>
                <w:rFonts w:hint="eastAsia" w:ascii="仿宋" w:hAnsi="仿宋" w:eastAsia="仿宋" w:cs="仿宋"/>
                <w:color w:val="auto"/>
                <w:sz w:val="24"/>
                <w:szCs w:val="24"/>
              </w:rPr>
              <w:t>，资料充分得满分</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内容</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完整</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合格，资料</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充分，</w:t>
            </w:r>
            <w:r>
              <w:rPr>
                <w:rFonts w:hint="eastAsia" w:ascii="仿宋" w:hAnsi="仿宋" w:eastAsia="仿宋" w:cs="仿宋"/>
                <w:color w:val="auto"/>
                <w:sz w:val="24"/>
                <w:szCs w:val="24"/>
              </w:rPr>
              <w:t>缺项</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扣分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301" w:type="dxa"/>
            <w:vMerge w:val="continue"/>
            <w:noWrap w:val="0"/>
            <w:vAlign w:val="top"/>
          </w:tcPr>
          <w:p>
            <w:pPr>
              <w:shd w:val="clear" w:color="auto" w:fill="FFFFFF"/>
              <w:spacing w:line="500" w:lineRule="exact"/>
              <w:jc w:val="center"/>
              <w:rPr>
                <w:rFonts w:hint="eastAsia" w:ascii="仿宋" w:hAnsi="仿宋" w:eastAsia="仿宋" w:cs="仿宋"/>
                <w:sz w:val="24"/>
                <w:szCs w:val="24"/>
              </w:rPr>
            </w:pPr>
          </w:p>
        </w:tc>
        <w:tc>
          <w:tcPr>
            <w:tcW w:w="1892" w:type="dxa"/>
            <w:noWrap w:val="0"/>
            <w:vAlign w:val="center"/>
          </w:tcPr>
          <w:p>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工程进度计划与措施 </w:t>
            </w:r>
          </w:p>
        </w:tc>
        <w:tc>
          <w:tcPr>
            <w:tcW w:w="844" w:type="dxa"/>
            <w:noWrap w:val="0"/>
            <w:vAlign w:val="center"/>
          </w:tcPr>
          <w:p>
            <w:pPr>
              <w:spacing w:line="420" w:lineRule="exact"/>
              <w:ind w:right="-55" w:rightChars="-25"/>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0-3</w:t>
            </w:r>
          </w:p>
        </w:tc>
        <w:tc>
          <w:tcPr>
            <w:tcW w:w="6075" w:type="dxa"/>
            <w:noWrap w:val="0"/>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工程施工流程、进度计划横道图（或者网络图）中的关键线路以及措施合理得3分，较为合理得2分，不合理不得分。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4" w:hRule="atLeast"/>
          <w:jc w:val="center"/>
        </w:trPr>
        <w:tc>
          <w:tcPr>
            <w:tcW w:w="1301" w:type="dxa"/>
            <w:vMerge w:val="continue"/>
            <w:noWrap w:val="0"/>
            <w:vAlign w:val="top"/>
          </w:tcPr>
          <w:p>
            <w:pPr>
              <w:shd w:val="clear" w:color="auto" w:fill="FFFFFF"/>
              <w:spacing w:line="500" w:lineRule="exact"/>
              <w:jc w:val="center"/>
              <w:rPr>
                <w:rFonts w:hint="eastAsia" w:ascii="仿宋" w:hAnsi="仿宋" w:eastAsia="仿宋" w:cs="仿宋"/>
                <w:sz w:val="24"/>
                <w:szCs w:val="24"/>
              </w:rPr>
            </w:pPr>
          </w:p>
        </w:tc>
        <w:tc>
          <w:tcPr>
            <w:tcW w:w="1892" w:type="dxa"/>
            <w:noWrap w:val="0"/>
            <w:vAlign w:val="center"/>
          </w:tcPr>
          <w:p>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资源配备计划</w:t>
            </w:r>
          </w:p>
        </w:tc>
        <w:tc>
          <w:tcPr>
            <w:tcW w:w="844" w:type="dxa"/>
            <w:noWrap w:val="0"/>
            <w:vAlign w:val="center"/>
          </w:tcPr>
          <w:p>
            <w:pPr>
              <w:spacing w:line="420" w:lineRule="exact"/>
              <w:ind w:right="-55" w:rightChars="-25"/>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0-3</w:t>
            </w:r>
          </w:p>
        </w:tc>
        <w:tc>
          <w:tcPr>
            <w:tcW w:w="6075" w:type="dxa"/>
            <w:noWrap w:val="0"/>
            <w:vAlign w:val="top"/>
          </w:tcPr>
          <w:p>
            <w:pPr>
              <w:rPr>
                <w:rFonts w:hint="eastAsia" w:ascii="仿宋" w:hAnsi="仿宋" w:eastAsia="仿宋" w:cs="仿宋"/>
                <w:color w:val="auto"/>
                <w:sz w:val="24"/>
                <w:szCs w:val="24"/>
              </w:rPr>
            </w:pPr>
            <w:r>
              <w:rPr>
                <w:rFonts w:hint="eastAsia" w:ascii="仿宋" w:hAnsi="仿宋" w:eastAsia="仿宋" w:cs="仿宋"/>
                <w:color w:val="auto"/>
                <w:sz w:val="24"/>
                <w:szCs w:val="24"/>
              </w:rPr>
              <w:t>①劳动力安排计划合理且有计算说明；</w:t>
            </w:r>
          </w:p>
          <w:p>
            <w:pPr>
              <w:rPr>
                <w:rFonts w:hint="eastAsia" w:ascii="仿宋" w:hAnsi="仿宋" w:eastAsia="仿宋" w:cs="仿宋"/>
                <w:color w:val="auto"/>
                <w:sz w:val="24"/>
                <w:szCs w:val="24"/>
              </w:rPr>
            </w:pPr>
            <w:r>
              <w:rPr>
                <w:rFonts w:hint="eastAsia" w:ascii="仿宋" w:hAnsi="仿宋" w:eastAsia="仿宋" w:cs="仿宋"/>
                <w:color w:val="auto"/>
                <w:sz w:val="24"/>
                <w:szCs w:val="24"/>
              </w:rPr>
              <w:t>②主要材料用量计划安排合理且有计算说明；</w:t>
            </w:r>
          </w:p>
          <w:p>
            <w:pPr>
              <w:rPr>
                <w:rFonts w:hint="eastAsia" w:ascii="仿宋" w:hAnsi="仿宋" w:eastAsia="仿宋" w:cs="仿宋"/>
                <w:color w:val="auto"/>
                <w:sz w:val="24"/>
                <w:szCs w:val="24"/>
              </w:rPr>
            </w:pPr>
            <w:r>
              <w:rPr>
                <w:rFonts w:hint="eastAsia" w:ascii="仿宋" w:hAnsi="仿宋" w:eastAsia="仿宋" w:cs="仿宋"/>
                <w:color w:val="auto"/>
                <w:sz w:val="24"/>
                <w:szCs w:val="24"/>
              </w:rPr>
              <w:t>③主要施工机械设备使用计划合理且有计算说明。</w:t>
            </w:r>
          </w:p>
          <w:p>
            <w:pPr>
              <w:rPr>
                <w:rFonts w:hint="eastAsia"/>
                <w:color w:val="auto"/>
              </w:rPr>
            </w:pPr>
            <w:r>
              <w:rPr>
                <w:rFonts w:hint="eastAsia" w:ascii="仿宋" w:hAnsi="仿宋" w:eastAsia="仿宋" w:cs="仿宋"/>
                <w:color w:val="auto"/>
                <w:sz w:val="24"/>
                <w:szCs w:val="24"/>
              </w:rPr>
              <w:t>内容完整</w:t>
            </w:r>
            <w:r>
              <w:rPr>
                <w:rFonts w:hint="eastAsia" w:ascii="仿宋" w:hAnsi="仿宋" w:eastAsia="仿宋" w:cs="仿宋"/>
                <w:color w:val="auto"/>
                <w:sz w:val="24"/>
                <w:szCs w:val="24"/>
                <w:lang w:val="en-US" w:eastAsia="zh-CN"/>
              </w:rPr>
              <w:t>合格</w:t>
            </w:r>
            <w:r>
              <w:rPr>
                <w:rFonts w:hint="eastAsia" w:ascii="仿宋" w:hAnsi="仿宋" w:eastAsia="仿宋" w:cs="仿宋"/>
                <w:color w:val="auto"/>
                <w:sz w:val="24"/>
                <w:szCs w:val="24"/>
              </w:rPr>
              <w:t>，资料充分得满分</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内容不完整不合格，资料不充分，缺项的扣分，扣完为止。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301" w:type="dxa"/>
            <w:vMerge w:val="continue"/>
            <w:noWrap w:val="0"/>
            <w:vAlign w:val="top"/>
          </w:tcPr>
          <w:p>
            <w:pPr>
              <w:shd w:val="clear" w:color="auto" w:fill="FFFFFF"/>
              <w:spacing w:line="500" w:lineRule="exact"/>
              <w:jc w:val="center"/>
              <w:rPr>
                <w:rFonts w:hint="eastAsia" w:ascii="仿宋" w:hAnsi="仿宋" w:eastAsia="仿宋" w:cs="仿宋"/>
                <w:sz w:val="24"/>
                <w:szCs w:val="24"/>
              </w:rPr>
            </w:pPr>
          </w:p>
        </w:tc>
        <w:tc>
          <w:tcPr>
            <w:tcW w:w="1892" w:type="dxa"/>
            <w:noWrap w:val="0"/>
            <w:vAlign w:val="center"/>
          </w:tcPr>
          <w:p>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 xml:space="preserve">环境保护管理体系与措施 </w:t>
            </w:r>
          </w:p>
        </w:tc>
        <w:tc>
          <w:tcPr>
            <w:tcW w:w="844" w:type="dxa"/>
            <w:noWrap w:val="0"/>
            <w:vAlign w:val="center"/>
          </w:tcPr>
          <w:p>
            <w:pPr>
              <w:spacing w:line="420" w:lineRule="exact"/>
              <w:ind w:right="-55" w:rightChars="-25"/>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0-4</w:t>
            </w:r>
          </w:p>
        </w:tc>
        <w:tc>
          <w:tcPr>
            <w:tcW w:w="6075" w:type="dxa"/>
            <w:noWrap w:val="0"/>
            <w:vAlign w:val="center"/>
          </w:tcPr>
          <w:p>
            <w:pPr>
              <w:jc w:val="both"/>
              <w:rPr>
                <w:rFonts w:hint="eastAsia" w:ascii="仿宋" w:hAnsi="仿宋" w:eastAsia="仿宋" w:cs="仿宋"/>
                <w:color w:val="auto"/>
                <w:sz w:val="24"/>
                <w:szCs w:val="24"/>
              </w:rPr>
            </w:pPr>
            <w:r>
              <w:rPr>
                <w:rFonts w:hint="eastAsia" w:ascii="仿宋" w:hAnsi="仿宋" w:eastAsia="仿宋" w:cs="仿宋"/>
                <w:color w:val="auto"/>
                <w:sz w:val="24"/>
                <w:szCs w:val="24"/>
              </w:rPr>
              <w:t>环境保护管理资源配置合理、措施合理</w:t>
            </w:r>
            <w:r>
              <w:rPr>
                <w:rFonts w:hint="eastAsia" w:ascii="仿宋" w:hAnsi="仿宋" w:eastAsia="仿宋" w:cs="仿宋"/>
                <w:color w:val="auto"/>
                <w:sz w:val="24"/>
                <w:szCs w:val="24"/>
                <w:lang w:val="en-US" w:eastAsia="zh-CN"/>
              </w:rPr>
              <w:t>得4分，较为合理得2分，不合理不得分</w:t>
            </w:r>
            <w:r>
              <w:rPr>
                <w:rFonts w:hint="eastAsia" w:ascii="仿宋" w:hAns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1301" w:type="dxa"/>
            <w:vMerge w:val="continue"/>
            <w:noWrap w:val="0"/>
            <w:vAlign w:val="top"/>
          </w:tcPr>
          <w:p>
            <w:pPr>
              <w:shd w:val="clear" w:color="auto" w:fill="FFFFFF"/>
              <w:spacing w:line="500" w:lineRule="exact"/>
              <w:jc w:val="center"/>
              <w:rPr>
                <w:rFonts w:hint="eastAsia" w:ascii="仿宋" w:hAnsi="仿宋" w:eastAsia="仿宋" w:cs="仿宋"/>
                <w:sz w:val="24"/>
                <w:szCs w:val="24"/>
              </w:rPr>
            </w:pPr>
          </w:p>
        </w:tc>
        <w:tc>
          <w:tcPr>
            <w:tcW w:w="1892" w:type="dxa"/>
            <w:noWrap w:val="0"/>
            <w:vAlign w:val="center"/>
          </w:tcPr>
          <w:p>
            <w:pPr>
              <w:spacing w:line="36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安全管理体系与措施</w:t>
            </w:r>
          </w:p>
        </w:tc>
        <w:tc>
          <w:tcPr>
            <w:tcW w:w="844" w:type="dxa"/>
            <w:noWrap w:val="0"/>
            <w:vAlign w:val="center"/>
          </w:tcPr>
          <w:p>
            <w:pPr>
              <w:spacing w:line="420" w:lineRule="exact"/>
              <w:ind w:right="-55" w:rightChars="-25"/>
              <w:jc w:val="center"/>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0-3</w:t>
            </w:r>
          </w:p>
        </w:tc>
        <w:tc>
          <w:tcPr>
            <w:tcW w:w="6075" w:type="dxa"/>
            <w:noWrap w:val="0"/>
            <w:vAlign w:val="center"/>
          </w:tcPr>
          <w:p>
            <w:pPr>
              <w:rPr>
                <w:rFonts w:hint="eastAsia" w:ascii="仿宋" w:hAnsi="仿宋" w:eastAsia="仿宋" w:cs="仿宋"/>
                <w:color w:val="auto"/>
                <w:sz w:val="24"/>
                <w:szCs w:val="24"/>
              </w:rPr>
            </w:pPr>
            <w:r>
              <w:rPr>
                <w:rFonts w:hint="eastAsia"/>
                <w:color w:val="auto"/>
              </w:rPr>
              <w:t xml:space="preserve"> </w:t>
            </w:r>
            <w:r>
              <w:rPr>
                <w:rFonts w:hint="eastAsia" w:ascii="仿宋" w:hAnsi="仿宋" w:eastAsia="仿宋" w:cs="仿宋"/>
                <w:color w:val="auto"/>
                <w:sz w:val="24"/>
                <w:szCs w:val="24"/>
              </w:rPr>
              <w:t>①安全生产责任制健全、职责明确；②安全管理资源配置合理、措施符合相关安全技术（操作）规程；③配置的特种作业人员符合要求，具有相应的上岗证书。</w:t>
            </w:r>
          </w:p>
          <w:p>
            <w:pPr>
              <w:rPr>
                <w:rFonts w:hint="default" w:eastAsia="仿宋"/>
                <w:color w:val="auto"/>
                <w:lang w:val="en-US" w:eastAsia="zh-CN"/>
              </w:rPr>
            </w:pPr>
            <w:r>
              <w:rPr>
                <w:rFonts w:hint="eastAsia" w:ascii="仿宋" w:hAnsi="仿宋" w:eastAsia="仿宋" w:cs="仿宋"/>
                <w:color w:val="auto"/>
                <w:sz w:val="24"/>
                <w:szCs w:val="24"/>
              </w:rPr>
              <w:t>内容完整合格，资料充分得满分</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；内容</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完整</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合格，资料</w:t>
            </w:r>
            <w:r>
              <w:rPr>
                <w:rFonts w:hint="eastAsia" w:ascii="仿宋" w:hAnsi="仿宋" w:eastAsia="仿宋" w:cs="仿宋"/>
                <w:color w:val="auto"/>
                <w:sz w:val="24"/>
                <w:szCs w:val="24"/>
                <w:lang w:val="en-US" w:eastAsia="zh-CN"/>
              </w:rPr>
              <w:t>不</w:t>
            </w:r>
            <w:r>
              <w:rPr>
                <w:rFonts w:hint="eastAsia" w:ascii="仿宋" w:hAnsi="仿宋" w:eastAsia="仿宋" w:cs="仿宋"/>
                <w:color w:val="auto"/>
                <w:sz w:val="24"/>
                <w:szCs w:val="24"/>
                <w:lang w:eastAsia="zh-CN"/>
              </w:rPr>
              <w:t>充分，</w:t>
            </w:r>
            <w:r>
              <w:rPr>
                <w:rFonts w:hint="eastAsia" w:ascii="仿宋" w:hAnsi="仿宋" w:eastAsia="仿宋" w:cs="仿宋"/>
                <w:color w:val="auto"/>
                <w:sz w:val="24"/>
                <w:szCs w:val="24"/>
              </w:rPr>
              <w:t>缺项</w:t>
            </w:r>
            <w:r>
              <w:rPr>
                <w:rFonts w:hint="eastAsia" w:ascii="仿宋" w:hAnsi="仿宋" w:eastAsia="仿宋" w:cs="仿宋"/>
                <w:color w:val="auto"/>
                <w:sz w:val="24"/>
                <w:szCs w:val="24"/>
                <w:lang w:val="en-US" w:eastAsia="zh-CN"/>
              </w:rPr>
              <w:t>的</w:t>
            </w:r>
            <w:r>
              <w:rPr>
                <w:rFonts w:hint="eastAsia" w:ascii="仿宋" w:hAnsi="仿宋" w:eastAsia="仿宋" w:cs="仿宋"/>
                <w:color w:val="auto"/>
                <w:sz w:val="24"/>
                <w:szCs w:val="24"/>
              </w:rPr>
              <w:t>扣分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301" w:type="dxa"/>
            <w:vMerge w:val="restart"/>
            <w:noWrap w:val="0"/>
            <w:vAlign w:val="top"/>
          </w:tcPr>
          <w:p>
            <w:pPr>
              <w:shd w:val="clear" w:color="auto" w:fill="FFFFFF"/>
              <w:spacing w:line="500" w:lineRule="exact"/>
              <w:jc w:val="center"/>
              <w:rPr>
                <w:rFonts w:hint="eastAsia" w:ascii="仿宋" w:hAnsi="仿宋" w:eastAsia="仿宋" w:cs="仿宋"/>
                <w:sz w:val="24"/>
                <w:szCs w:val="24"/>
              </w:rPr>
            </w:pPr>
          </w:p>
          <w:p>
            <w:pPr>
              <w:shd w:val="clear" w:color="auto" w:fill="FFFFFF"/>
              <w:spacing w:line="500" w:lineRule="exact"/>
              <w:jc w:val="center"/>
              <w:rPr>
                <w:rFonts w:hint="eastAsia" w:ascii="仿宋" w:hAnsi="仿宋" w:eastAsia="仿宋" w:cs="仿宋"/>
                <w:sz w:val="24"/>
                <w:szCs w:val="24"/>
              </w:rPr>
            </w:pPr>
          </w:p>
          <w:p>
            <w:pPr>
              <w:shd w:val="clear" w:color="auto" w:fill="FFFFFF"/>
              <w:spacing w:line="500" w:lineRule="exact"/>
              <w:jc w:val="center"/>
              <w:rPr>
                <w:rFonts w:hint="eastAsia" w:ascii="仿宋" w:hAnsi="仿宋" w:eastAsia="仿宋" w:cs="仿宋"/>
                <w:sz w:val="24"/>
                <w:szCs w:val="24"/>
              </w:rPr>
            </w:pPr>
          </w:p>
          <w:p>
            <w:pPr>
              <w:shd w:val="clear" w:color="auto" w:fill="FFFFFF"/>
              <w:spacing w:line="500" w:lineRule="exact"/>
              <w:jc w:val="center"/>
              <w:rPr>
                <w:rFonts w:hint="eastAsia" w:ascii="仿宋" w:hAnsi="仿宋" w:eastAsia="仿宋" w:cs="仿宋"/>
                <w:sz w:val="24"/>
                <w:szCs w:val="24"/>
              </w:rPr>
            </w:pPr>
          </w:p>
          <w:p>
            <w:pPr>
              <w:shd w:val="clear" w:color="auto" w:fill="FFFFFF"/>
              <w:spacing w:line="500" w:lineRule="exact"/>
              <w:jc w:val="center"/>
              <w:rPr>
                <w:rFonts w:hint="eastAsia" w:ascii="仿宋" w:hAnsi="仿宋" w:eastAsia="仿宋" w:cs="仿宋"/>
                <w:sz w:val="24"/>
                <w:szCs w:val="24"/>
              </w:rPr>
            </w:pPr>
          </w:p>
          <w:p>
            <w:pPr>
              <w:shd w:val="clear" w:color="auto" w:fill="FFFFFF"/>
              <w:spacing w:line="500" w:lineRule="exact"/>
              <w:jc w:val="center"/>
              <w:rPr>
                <w:rFonts w:hint="eastAsia" w:ascii="仿宋" w:hAnsi="仿宋" w:eastAsia="仿宋" w:cs="仿宋"/>
                <w:sz w:val="24"/>
                <w:szCs w:val="24"/>
              </w:rPr>
            </w:pPr>
            <w:r>
              <w:rPr>
                <w:rFonts w:hint="eastAsia" w:ascii="仿宋" w:hAnsi="仿宋" w:eastAsia="仿宋" w:cs="仿宋"/>
                <w:sz w:val="24"/>
                <w:szCs w:val="24"/>
              </w:rPr>
              <w:t>商务部分（</w:t>
            </w:r>
            <w:r>
              <w:rPr>
                <w:rFonts w:hint="eastAsia" w:ascii="仿宋" w:hAnsi="仿宋" w:eastAsia="仿宋" w:cs="仿宋"/>
                <w:sz w:val="24"/>
                <w:szCs w:val="24"/>
                <w:lang w:val="en-US" w:eastAsia="zh-CN"/>
              </w:rPr>
              <w:t>14</w:t>
            </w:r>
            <w:r>
              <w:rPr>
                <w:rFonts w:hint="eastAsia" w:ascii="仿宋" w:hAnsi="仿宋" w:eastAsia="仿宋" w:cs="仿宋"/>
                <w:sz w:val="24"/>
                <w:szCs w:val="24"/>
              </w:rPr>
              <w:t>分）</w:t>
            </w:r>
          </w:p>
        </w:tc>
        <w:tc>
          <w:tcPr>
            <w:tcW w:w="1892" w:type="dxa"/>
            <w:noWrap w:val="0"/>
            <w:vAlign w:val="center"/>
          </w:tcPr>
          <w:p>
            <w:pPr>
              <w:spacing w:line="360" w:lineRule="exact"/>
              <w:ind w:left="0" w:leftChars="0" w:right="0" w:rightChars="0"/>
              <w:jc w:val="center"/>
              <w:rPr>
                <w:rFonts w:hint="eastAsia" w:ascii="仿宋" w:hAnsi="仿宋" w:eastAsia="仿宋" w:cs="仿宋"/>
                <w:color w:val="FF0000"/>
                <w:sz w:val="24"/>
                <w:szCs w:val="24"/>
                <w:lang w:eastAsia="zh-CN"/>
              </w:rPr>
            </w:pPr>
            <w:r>
              <w:rPr>
                <w:rFonts w:hint="eastAsia" w:ascii="仿宋" w:hAnsi="仿宋" w:eastAsia="仿宋" w:cs="仿宋"/>
                <w:sz w:val="24"/>
                <w:szCs w:val="24"/>
              </w:rPr>
              <w:t>信用等级</w:t>
            </w:r>
          </w:p>
        </w:tc>
        <w:tc>
          <w:tcPr>
            <w:tcW w:w="844" w:type="dxa"/>
            <w:noWrap w:val="0"/>
            <w:vAlign w:val="center"/>
          </w:tcPr>
          <w:p>
            <w:pPr>
              <w:pStyle w:val="17"/>
              <w:spacing w:line="420" w:lineRule="exact"/>
              <w:ind w:left="0" w:leftChars="0" w:right="-55" w:rightChars="-25"/>
              <w:jc w:val="center"/>
              <w:rPr>
                <w:rFonts w:hint="default" w:ascii="仿宋" w:hAnsi="仿宋" w:eastAsia="仿宋" w:cs="仿宋"/>
                <w:color w:val="FF0000"/>
                <w:kern w:val="0"/>
                <w:sz w:val="24"/>
                <w:szCs w:val="24"/>
                <w:lang w:val="en-US" w:eastAsia="zh-CN"/>
              </w:rPr>
            </w:pPr>
            <w:r>
              <w:rPr>
                <w:rFonts w:hint="eastAsia" w:ascii="仿宋" w:hAnsi="仿宋" w:eastAsia="仿宋" w:cs="仿宋"/>
                <w:lang w:val="en-US" w:eastAsia="zh-CN"/>
              </w:rPr>
              <w:t>0-3</w:t>
            </w:r>
          </w:p>
        </w:tc>
        <w:tc>
          <w:tcPr>
            <w:tcW w:w="6075"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①经水利部认定为施工类AAA级的，得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pPr>
              <w:rPr>
                <w:rFonts w:hint="eastAsia" w:ascii="仿宋" w:hAnsi="仿宋" w:eastAsia="仿宋" w:cs="仿宋"/>
                <w:sz w:val="24"/>
                <w:szCs w:val="24"/>
              </w:rPr>
            </w:pPr>
            <w:r>
              <w:rPr>
                <w:rFonts w:hint="eastAsia" w:ascii="仿宋" w:hAnsi="仿宋" w:eastAsia="仿宋" w:cs="仿宋"/>
                <w:sz w:val="24"/>
                <w:szCs w:val="24"/>
              </w:rPr>
              <w:t>②经水利部认定为施工类AA级的，得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pPr>
              <w:rPr>
                <w:rFonts w:hint="eastAsia" w:ascii="仿宋" w:hAnsi="仿宋" w:eastAsia="仿宋" w:cs="仿宋"/>
                <w:sz w:val="24"/>
                <w:szCs w:val="24"/>
              </w:rPr>
            </w:pPr>
            <w:r>
              <w:rPr>
                <w:rFonts w:hint="eastAsia" w:ascii="仿宋" w:hAnsi="仿宋" w:eastAsia="仿宋" w:cs="仿宋"/>
                <w:sz w:val="24"/>
                <w:szCs w:val="24"/>
              </w:rPr>
              <w:t>③经水利部认定为施工类A级的，得</w:t>
            </w:r>
            <w:r>
              <w:rPr>
                <w:rFonts w:hint="eastAsia" w:ascii="仿宋" w:hAnsi="仿宋" w:eastAsia="仿宋" w:cs="仿宋"/>
                <w:sz w:val="24"/>
                <w:szCs w:val="24"/>
                <w:lang w:val="en-US" w:eastAsia="zh-CN"/>
              </w:rPr>
              <w:t>1</w:t>
            </w:r>
            <w:r>
              <w:rPr>
                <w:rFonts w:hint="eastAsia" w:ascii="仿宋" w:hAnsi="仿宋" w:eastAsia="仿宋" w:cs="仿宋"/>
                <w:sz w:val="24"/>
                <w:szCs w:val="24"/>
              </w:rPr>
              <w:t>分；</w:t>
            </w:r>
          </w:p>
          <w:p>
            <w:pPr>
              <w:ind w:left="0" w:leftChars="0" w:right="0" w:rightChars="0"/>
              <w:rPr>
                <w:rFonts w:hint="eastAsia" w:ascii="仿宋" w:hAnsi="仿宋" w:eastAsia="仿宋" w:cs="仿宋"/>
                <w:color w:val="FF0000"/>
                <w:sz w:val="24"/>
                <w:szCs w:val="24"/>
              </w:rPr>
            </w:pPr>
            <w:r>
              <w:rPr>
                <w:rFonts w:hint="eastAsia" w:ascii="仿宋" w:hAnsi="仿宋" w:eastAsia="仿宋" w:cs="仿宋"/>
                <w:sz w:val="24"/>
                <w:szCs w:val="24"/>
              </w:rPr>
              <w:t>④经水利部认定为施工类BBB级，或者在我区无处于有效期内的一般不良行为记录的，得</w:t>
            </w:r>
            <w:r>
              <w:rPr>
                <w:rFonts w:hint="eastAsia" w:ascii="仿宋" w:hAnsi="仿宋" w:eastAsia="仿宋" w:cs="仿宋"/>
                <w:sz w:val="24"/>
                <w:szCs w:val="24"/>
                <w:lang w:val="en-US" w:eastAsia="zh-CN"/>
              </w:rPr>
              <w:t>0.5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1301" w:type="dxa"/>
            <w:vMerge w:val="continue"/>
            <w:noWrap w:val="0"/>
            <w:vAlign w:val="top"/>
          </w:tcPr>
          <w:p>
            <w:pPr>
              <w:shd w:val="clear" w:color="auto" w:fill="FFFFFF"/>
              <w:spacing w:line="500" w:lineRule="exact"/>
              <w:jc w:val="center"/>
              <w:rPr>
                <w:rFonts w:hint="eastAsia" w:ascii="仿宋" w:hAnsi="仿宋" w:eastAsia="仿宋" w:cs="仿宋"/>
                <w:sz w:val="24"/>
                <w:szCs w:val="24"/>
              </w:rPr>
            </w:pPr>
          </w:p>
        </w:tc>
        <w:tc>
          <w:tcPr>
            <w:tcW w:w="1892" w:type="dxa"/>
            <w:noWrap w:val="0"/>
            <w:vAlign w:val="center"/>
          </w:tcPr>
          <w:p>
            <w:pPr>
              <w:spacing w:line="360" w:lineRule="exact"/>
              <w:ind w:left="0" w:leftChars="0" w:right="0" w:rightChars="0"/>
              <w:jc w:val="center"/>
              <w:rPr>
                <w:rFonts w:hint="eastAsia" w:ascii="仿宋" w:hAnsi="仿宋" w:eastAsia="仿宋" w:cs="仿宋"/>
                <w:color w:val="FF0000"/>
                <w:sz w:val="24"/>
                <w:szCs w:val="24"/>
              </w:rPr>
            </w:pPr>
            <w:r>
              <w:rPr>
                <w:rFonts w:hint="eastAsia" w:ascii="仿宋" w:hAnsi="仿宋" w:eastAsia="仿宋" w:cs="仿宋"/>
                <w:sz w:val="24"/>
                <w:szCs w:val="24"/>
              </w:rPr>
              <w:t>水利安全生产标准化等级</w:t>
            </w:r>
          </w:p>
        </w:tc>
        <w:tc>
          <w:tcPr>
            <w:tcW w:w="844" w:type="dxa"/>
            <w:noWrap w:val="0"/>
            <w:vAlign w:val="center"/>
          </w:tcPr>
          <w:p>
            <w:pPr>
              <w:spacing w:line="420" w:lineRule="exact"/>
              <w:ind w:left="0" w:leftChars="0" w:right="-55" w:rightChars="-25"/>
              <w:jc w:val="center"/>
              <w:rPr>
                <w:rFonts w:hint="default" w:ascii="仿宋" w:hAnsi="仿宋" w:eastAsia="仿宋" w:cs="仿宋"/>
                <w:color w:val="FF0000"/>
                <w:lang w:val="en-US" w:eastAsia="zh-CN"/>
              </w:rPr>
            </w:pPr>
            <w:r>
              <w:rPr>
                <w:rFonts w:hint="eastAsia" w:ascii="仿宋" w:hAnsi="仿宋" w:eastAsia="仿宋" w:cs="仿宋"/>
                <w:kern w:val="0"/>
                <w:sz w:val="24"/>
                <w:szCs w:val="24"/>
                <w:lang w:val="en-US" w:eastAsia="zh-CN" w:bidi="ar-SA"/>
              </w:rPr>
              <w:t>0-3</w:t>
            </w:r>
          </w:p>
        </w:tc>
        <w:tc>
          <w:tcPr>
            <w:tcW w:w="6075" w:type="dxa"/>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经水利部评定为一级的，得</w:t>
            </w:r>
            <w:r>
              <w:rPr>
                <w:rFonts w:hint="eastAsia" w:ascii="仿宋" w:hAnsi="仿宋" w:eastAsia="仿宋" w:cs="仿宋"/>
                <w:sz w:val="24"/>
                <w:szCs w:val="24"/>
                <w:lang w:val="en-US" w:eastAsia="zh-CN"/>
              </w:rPr>
              <w:t>3</w:t>
            </w:r>
            <w:r>
              <w:rPr>
                <w:rFonts w:hint="eastAsia" w:ascii="仿宋" w:hAnsi="仿宋" w:eastAsia="仿宋" w:cs="仿宋"/>
                <w:sz w:val="24"/>
                <w:szCs w:val="24"/>
              </w:rPr>
              <w:t>分；</w:t>
            </w:r>
          </w:p>
          <w:p>
            <w:pPr>
              <w:jc w:val="left"/>
              <w:rPr>
                <w:rFonts w:hint="eastAsia" w:ascii="仿宋" w:hAnsi="仿宋" w:eastAsia="仿宋" w:cs="仿宋"/>
                <w:sz w:val="24"/>
                <w:szCs w:val="24"/>
              </w:rPr>
            </w:pPr>
            <w:r>
              <w:rPr>
                <w:rFonts w:hint="eastAsia" w:ascii="仿宋" w:hAnsi="仿宋" w:eastAsia="仿宋" w:cs="仿宋"/>
                <w:sz w:val="24"/>
                <w:szCs w:val="24"/>
              </w:rPr>
              <w:t>经省级水行政主管部门评定为二级的，得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p>
            <w:pPr>
              <w:ind w:left="0" w:leftChars="0" w:right="0" w:rightChars="0"/>
              <w:jc w:val="left"/>
              <w:rPr>
                <w:rFonts w:hint="eastAsia" w:ascii="仿宋" w:hAnsi="仿宋" w:eastAsia="仿宋" w:cs="仿宋"/>
                <w:color w:val="FF0000"/>
                <w:sz w:val="24"/>
                <w:szCs w:val="24"/>
              </w:rPr>
            </w:pPr>
            <w:r>
              <w:rPr>
                <w:rFonts w:hint="eastAsia" w:ascii="仿宋" w:hAnsi="仿宋" w:eastAsia="仿宋" w:cs="仿宋"/>
                <w:sz w:val="24"/>
                <w:szCs w:val="24"/>
              </w:rPr>
              <w:t>经省级水行政主管部门评定为三级的，得1分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1301" w:type="dxa"/>
            <w:vMerge w:val="continue"/>
            <w:noWrap w:val="0"/>
            <w:vAlign w:val="top"/>
          </w:tcPr>
          <w:p>
            <w:pPr>
              <w:shd w:val="clear" w:color="auto" w:fill="FFFFFF"/>
              <w:spacing w:line="500" w:lineRule="exact"/>
              <w:jc w:val="center"/>
              <w:rPr>
                <w:rFonts w:hint="eastAsia" w:ascii="仿宋" w:hAnsi="仿宋" w:eastAsia="仿宋" w:cs="仿宋"/>
                <w:sz w:val="24"/>
                <w:szCs w:val="24"/>
              </w:rPr>
            </w:pPr>
          </w:p>
        </w:tc>
        <w:tc>
          <w:tcPr>
            <w:tcW w:w="1892" w:type="dxa"/>
            <w:noWrap w:val="0"/>
            <w:vAlign w:val="center"/>
          </w:tcPr>
          <w:p>
            <w:pPr>
              <w:spacing w:line="420" w:lineRule="exact"/>
              <w:ind w:left="0" w:leftChars="0" w:right="0" w:rightChars="0"/>
              <w:jc w:val="center"/>
              <w:rPr>
                <w:rFonts w:hint="eastAsia" w:ascii="仿宋" w:hAnsi="仿宋" w:eastAsia="仿宋" w:cs="仿宋"/>
                <w:color w:val="FF0000"/>
                <w:sz w:val="24"/>
                <w:szCs w:val="24"/>
              </w:rPr>
            </w:pPr>
            <w:r>
              <w:rPr>
                <w:rFonts w:hint="eastAsia" w:ascii="仿宋" w:hAnsi="仿宋" w:eastAsia="仿宋" w:cs="仿宋"/>
                <w:color w:val="auto"/>
                <w:sz w:val="24"/>
                <w:szCs w:val="24"/>
              </w:rPr>
              <w:t xml:space="preserve">近三年是否有同类工程业绩 </w:t>
            </w:r>
          </w:p>
        </w:tc>
        <w:tc>
          <w:tcPr>
            <w:tcW w:w="844" w:type="dxa"/>
            <w:noWrap w:val="0"/>
            <w:vAlign w:val="center"/>
          </w:tcPr>
          <w:p>
            <w:pPr>
              <w:spacing w:line="420" w:lineRule="exact"/>
              <w:ind w:left="0" w:leftChars="0" w:right="0" w:rightChars="0"/>
              <w:jc w:val="center"/>
              <w:rPr>
                <w:rFonts w:hint="eastAsia" w:ascii="仿宋" w:hAnsi="仿宋" w:eastAsia="仿宋" w:cs="仿宋"/>
                <w:color w:val="FF0000"/>
                <w:lang w:val="en-US" w:eastAsia="zh-CN"/>
              </w:rPr>
            </w:pPr>
            <w:r>
              <w:rPr>
                <w:rFonts w:hint="eastAsia" w:ascii="仿宋" w:hAnsi="仿宋" w:eastAsia="仿宋" w:cs="仿宋"/>
                <w:color w:val="auto"/>
                <w:kern w:val="0"/>
                <w:sz w:val="24"/>
                <w:szCs w:val="24"/>
                <w:lang w:val="en-US" w:eastAsia="zh-CN"/>
              </w:rPr>
              <w:t>0-4</w:t>
            </w:r>
          </w:p>
        </w:tc>
        <w:tc>
          <w:tcPr>
            <w:tcW w:w="6075" w:type="dxa"/>
            <w:noWrap w:val="0"/>
            <w:vAlign w:val="center"/>
          </w:tcPr>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①近三年（从投标截止日往前推算，以合同签订日期为准，下同）承接过类似工程，且单项合同额大于本招标工程评标基准价的（以合同文件为准，下同），并有证明文件（合同或者验收文件，下同）的，得2分，每多一项加</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rPr>
              <w:t>分，最多得</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rPr>
              <w:t>分；</w:t>
            </w:r>
          </w:p>
          <w:p>
            <w:pP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② 近三年承接过类似工程，且单项合同额小于本招标工程3个及以上，且有证明文件的，得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rPr>
              <w:t>分</w:t>
            </w:r>
          </w:p>
          <w:p>
            <w:pPr>
              <w:ind w:left="0" w:leftChars="0" w:right="0" w:rightChars="0"/>
              <w:rPr>
                <w:rFonts w:hint="eastAsia" w:ascii="仿宋" w:hAnsi="仿宋" w:eastAsia="仿宋" w:cs="仿宋"/>
                <w:color w:val="FF0000"/>
                <w:sz w:val="24"/>
                <w:szCs w:val="24"/>
              </w:rPr>
            </w:pPr>
            <w:r>
              <w:rPr>
                <w:rFonts w:hint="eastAsia" w:ascii="仿宋" w:hAnsi="仿宋" w:eastAsia="仿宋" w:cs="仿宋"/>
                <w:color w:val="auto"/>
                <w:sz w:val="24"/>
                <w:szCs w:val="24"/>
                <w:lang w:val="zh-CN"/>
              </w:rPr>
              <w:t>③近三年未承接过类似工程的得</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val="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1301" w:type="dxa"/>
            <w:vMerge w:val="continue"/>
            <w:noWrap w:val="0"/>
            <w:vAlign w:val="top"/>
          </w:tcPr>
          <w:p>
            <w:pPr>
              <w:shd w:val="clear" w:color="auto" w:fill="FFFFFF"/>
              <w:spacing w:line="500" w:lineRule="exact"/>
              <w:jc w:val="center"/>
              <w:rPr>
                <w:rFonts w:hint="eastAsia" w:ascii="仿宋" w:hAnsi="仿宋" w:eastAsia="仿宋" w:cs="仿宋"/>
                <w:sz w:val="24"/>
                <w:szCs w:val="24"/>
              </w:rPr>
            </w:pPr>
          </w:p>
        </w:tc>
        <w:tc>
          <w:tcPr>
            <w:tcW w:w="1892" w:type="dxa"/>
            <w:noWrap w:val="0"/>
            <w:vAlign w:val="center"/>
          </w:tcPr>
          <w:p>
            <w:pPr>
              <w:spacing w:line="360" w:lineRule="exact"/>
              <w:ind w:left="0" w:leftChars="0" w:right="0" w:rightChars="0"/>
              <w:jc w:val="center"/>
              <w:rPr>
                <w:rFonts w:hint="eastAsia" w:ascii="仿宋" w:hAnsi="仿宋" w:eastAsia="仿宋" w:cs="仿宋"/>
                <w:color w:val="auto"/>
                <w:sz w:val="24"/>
                <w:szCs w:val="24"/>
              </w:rPr>
            </w:pPr>
            <w:r>
              <w:rPr>
                <w:rFonts w:hint="eastAsia" w:ascii="仿宋" w:hAnsi="仿宋" w:eastAsia="仿宋" w:cs="仿宋"/>
                <w:sz w:val="24"/>
                <w:szCs w:val="24"/>
              </w:rPr>
              <w:t xml:space="preserve">使用工程所在地劳动力承诺  </w:t>
            </w:r>
          </w:p>
        </w:tc>
        <w:tc>
          <w:tcPr>
            <w:tcW w:w="844" w:type="dxa"/>
            <w:noWrap w:val="0"/>
            <w:vAlign w:val="center"/>
          </w:tcPr>
          <w:p>
            <w:pPr>
              <w:spacing w:line="420" w:lineRule="exact"/>
              <w:ind w:left="0" w:leftChars="0" w:right="-55" w:rightChars="-25"/>
              <w:jc w:val="center"/>
              <w:rPr>
                <w:rFonts w:hint="default" w:ascii="仿宋" w:hAnsi="仿宋" w:eastAsia="仿宋" w:cs="仿宋"/>
                <w:color w:val="auto"/>
                <w:lang w:val="en-US" w:eastAsia="zh-CN"/>
              </w:rPr>
            </w:pPr>
            <w:r>
              <w:rPr>
                <w:rFonts w:hint="eastAsia" w:ascii="仿宋" w:hAnsi="仿宋" w:eastAsia="仿宋" w:cs="仿宋"/>
                <w:kern w:val="0"/>
                <w:sz w:val="24"/>
                <w:szCs w:val="24"/>
                <w:lang w:val="en-US" w:eastAsia="zh-CN" w:bidi="ar-SA"/>
              </w:rPr>
              <w:t>0-4</w:t>
            </w:r>
          </w:p>
        </w:tc>
        <w:tc>
          <w:tcPr>
            <w:tcW w:w="6075" w:type="dxa"/>
            <w:noWrap w:val="0"/>
            <w:vAlign w:val="top"/>
          </w:tcPr>
          <w:p>
            <w:pPr>
              <w:rPr>
                <w:rFonts w:hint="eastAsia" w:ascii="仿宋" w:hAnsi="仿宋" w:eastAsia="仿宋" w:cs="仿宋"/>
                <w:sz w:val="24"/>
                <w:szCs w:val="24"/>
              </w:rPr>
            </w:pPr>
            <w:r>
              <w:rPr>
                <w:rFonts w:hint="eastAsia" w:ascii="仿宋" w:hAnsi="仿宋" w:eastAsia="仿宋" w:cs="仿宋"/>
                <w:sz w:val="24"/>
                <w:szCs w:val="24"/>
              </w:rPr>
              <w:t>1.具有优先使用工程所在地建档立卡贫困劳动力承诺的得</w:t>
            </w:r>
            <w:r>
              <w:rPr>
                <w:rFonts w:hint="eastAsia" w:ascii="仿宋" w:hAnsi="仿宋" w:eastAsia="仿宋" w:cs="仿宋"/>
                <w:sz w:val="24"/>
                <w:szCs w:val="24"/>
                <w:lang w:val="en-US" w:eastAsia="zh-CN"/>
              </w:rPr>
              <w:t>4</w:t>
            </w:r>
            <w:r>
              <w:rPr>
                <w:rFonts w:hint="eastAsia" w:ascii="仿宋" w:hAnsi="仿宋" w:eastAsia="仿宋" w:cs="仿宋"/>
                <w:sz w:val="24"/>
                <w:szCs w:val="24"/>
              </w:rPr>
              <w:t>分</w:t>
            </w:r>
          </w:p>
          <w:p>
            <w:pPr>
              <w:ind w:left="0" w:leftChars="0" w:right="0" w:rightChars="0"/>
              <w:rPr>
                <w:rFonts w:hint="eastAsia" w:ascii="仿宋" w:hAnsi="仿宋" w:eastAsia="仿宋" w:cs="仿宋"/>
                <w:color w:val="auto"/>
                <w:sz w:val="24"/>
                <w:szCs w:val="24"/>
              </w:rPr>
            </w:pPr>
            <w:r>
              <w:rPr>
                <w:rFonts w:hint="eastAsia" w:ascii="仿宋" w:hAnsi="仿宋" w:eastAsia="仿宋" w:cs="仿宋"/>
                <w:sz w:val="24"/>
                <w:szCs w:val="24"/>
              </w:rPr>
              <w:t>2.具有使用当地农民工不低于50%承诺的得</w:t>
            </w:r>
            <w:r>
              <w:rPr>
                <w:rFonts w:hint="eastAsia" w:ascii="仿宋" w:hAnsi="仿宋" w:eastAsia="仿宋" w:cs="仿宋"/>
                <w:sz w:val="24"/>
                <w:szCs w:val="24"/>
                <w:lang w:val="en-US" w:eastAsia="zh-CN"/>
              </w:rPr>
              <w:t>2</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3193" w:type="dxa"/>
            <w:gridSpan w:val="2"/>
            <w:noWrap w:val="0"/>
            <w:vAlign w:val="top"/>
          </w:tcPr>
          <w:p>
            <w:pPr>
              <w:shd w:val="clear" w:color="auto" w:fill="FFFFFF"/>
              <w:spacing w:line="500" w:lineRule="exact"/>
              <w:jc w:val="center"/>
              <w:rPr>
                <w:rFonts w:hint="eastAsia" w:ascii="仿宋" w:hAnsi="仿宋" w:eastAsia="仿宋" w:cs="仿宋"/>
                <w:sz w:val="24"/>
                <w:szCs w:val="24"/>
              </w:rPr>
            </w:pPr>
            <w:r>
              <w:rPr>
                <w:rFonts w:hint="eastAsia" w:ascii="仿宋" w:hAnsi="仿宋" w:eastAsia="仿宋" w:cs="仿宋"/>
                <w:sz w:val="24"/>
                <w:szCs w:val="24"/>
              </w:rPr>
              <w:t>合计</w:t>
            </w:r>
          </w:p>
        </w:tc>
        <w:tc>
          <w:tcPr>
            <w:tcW w:w="6919" w:type="dxa"/>
            <w:gridSpan w:val="2"/>
            <w:noWrap w:val="0"/>
            <w:vAlign w:val="center"/>
          </w:tcPr>
          <w:p>
            <w:pPr>
              <w:shd w:val="clear" w:color="auto" w:fill="FFFFFF"/>
              <w:spacing w:line="500" w:lineRule="exact"/>
              <w:jc w:val="center"/>
              <w:rPr>
                <w:rFonts w:hint="eastAsia" w:ascii="仿宋" w:hAnsi="仿宋" w:eastAsia="仿宋" w:cs="仿宋"/>
                <w:sz w:val="24"/>
                <w:szCs w:val="24"/>
              </w:rPr>
            </w:pPr>
            <w:r>
              <w:rPr>
                <w:rFonts w:hint="eastAsia" w:ascii="仿宋" w:hAnsi="仿宋" w:eastAsia="仿宋" w:cs="仿宋"/>
                <w:sz w:val="24"/>
                <w:szCs w:val="24"/>
              </w:rPr>
              <w:t>100分</w:t>
            </w:r>
          </w:p>
        </w:tc>
      </w:tr>
    </w:tbl>
    <w:p>
      <w:pPr>
        <w:pStyle w:val="15"/>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bookmarkStart w:id="44" w:name="_Toc26743_WPSOffice_Level1"/>
    </w:p>
    <w:p>
      <w:pPr>
        <w:pStyle w:val="2"/>
        <w:rPr>
          <w:rFonts w:hint="eastAsia" w:ascii="微软雅黑" w:hAnsi="微软雅黑" w:eastAsia="微软雅黑" w:cs="微软雅黑"/>
          <w:b/>
          <w:bCs/>
          <w:color w:val="auto"/>
          <w:sz w:val="32"/>
          <w:szCs w:val="32"/>
          <w:highlight w:val="none"/>
        </w:rPr>
      </w:pPr>
    </w:p>
    <w:p>
      <w:pPr>
        <w:pStyle w:val="11"/>
        <w:rPr>
          <w:rFonts w:hint="eastAsia"/>
        </w:rPr>
      </w:pPr>
    </w:p>
    <w:p>
      <w:pPr>
        <w:rPr>
          <w:rFonts w:hint="eastAsia"/>
        </w:rPr>
      </w:pPr>
    </w:p>
    <w:p>
      <w:pPr>
        <w:pStyle w:val="2"/>
        <w:rPr>
          <w:rFonts w:hint="eastAsia"/>
        </w:rPr>
      </w:pPr>
    </w:p>
    <w:p>
      <w:pPr>
        <w:rPr>
          <w:rFonts w:hint="eastAsia"/>
        </w:rPr>
      </w:pPr>
      <w:r>
        <w:rPr>
          <w:rFonts w:hint="eastAsia"/>
        </w:rPr>
        <w:br w:type="page"/>
      </w:r>
    </w:p>
    <w:p>
      <w:pPr>
        <w:pStyle w:val="8"/>
        <w:rPr>
          <w:rFonts w:hint="eastAsia"/>
        </w:rPr>
      </w:pPr>
    </w:p>
    <w:p>
      <w:pPr>
        <w:pStyle w:val="8"/>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ind w:firstLine="640" w:firstLineChars="20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第三部分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lang w:val="en-US" w:eastAsia="zh-CN"/>
        </w:rPr>
        <w:t>采购项目需求</w:t>
      </w:r>
      <w:bookmarkEnd w:id="44"/>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采购项目需求</w:t>
      </w:r>
      <w:r>
        <w:rPr>
          <w:rFonts w:hint="eastAsia" w:ascii="宋体" w:hAnsi="宋体" w:eastAsia="宋体" w:cs="宋体"/>
          <w:b/>
          <w:bCs/>
          <w:color w:val="auto"/>
          <w:sz w:val="24"/>
          <w:szCs w:val="24"/>
          <w:highlight w:val="none"/>
        </w:rPr>
        <w:t>中标注“★部分”条款为实质性条款，供应商如在任何一条负偏离则导致响应无效。</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I 商务要求</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19"/>
        <w:tblW w:w="985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1471"/>
        <w:gridCol w:w="7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836"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序号 </w:t>
            </w:r>
          </w:p>
        </w:tc>
        <w:tc>
          <w:tcPr>
            <w:tcW w:w="147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条款名称 </w:t>
            </w:r>
          </w:p>
        </w:tc>
        <w:tc>
          <w:tcPr>
            <w:tcW w:w="754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891" w:firstLineChars="1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说   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jc w:val="center"/>
        </w:trPr>
        <w:tc>
          <w:tcPr>
            <w:tcW w:w="836"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p>
        </w:tc>
        <w:tc>
          <w:tcPr>
            <w:tcW w:w="147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tc>
        <w:tc>
          <w:tcPr>
            <w:tcW w:w="754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详见本项目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第一部分</w:t>
            </w:r>
            <w:r>
              <w:rPr>
                <w:rFonts w:hint="eastAsia" w:cs="宋体"/>
                <w:color w:val="auto"/>
                <w:sz w:val="24"/>
                <w:szCs w:val="24"/>
                <w:highlight w:val="none"/>
                <w:lang w:val="en-US" w:eastAsia="zh-CN"/>
              </w:rPr>
              <w:t>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资格要求”。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836"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p>
        </w:tc>
        <w:tc>
          <w:tcPr>
            <w:tcW w:w="147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★完工期 </w:t>
            </w:r>
          </w:p>
        </w:tc>
        <w:tc>
          <w:tcPr>
            <w:tcW w:w="754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合同签订生效后 </w:t>
            </w:r>
            <w:r>
              <w:rPr>
                <w:rFonts w:hint="eastAsia" w:cs="宋体"/>
                <w:color w:val="auto"/>
                <w:sz w:val="24"/>
                <w:szCs w:val="24"/>
                <w:highlight w:val="none"/>
                <w:lang w:val="en-US" w:eastAsia="zh-CN"/>
              </w:rPr>
              <w:t>90</w:t>
            </w:r>
            <w:r>
              <w:rPr>
                <w:rFonts w:hint="eastAsia" w:ascii="宋体" w:hAnsi="宋体" w:eastAsia="宋体" w:cs="宋体"/>
                <w:color w:val="auto"/>
                <w:sz w:val="24"/>
                <w:szCs w:val="24"/>
                <w:highlight w:val="none"/>
                <w:lang w:val="en-US" w:eastAsia="zh-CN"/>
              </w:rPr>
              <w:t>日历日</w:t>
            </w:r>
            <w:r>
              <w:rPr>
                <w:rFonts w:hint="eastAsia" w:ascii="宋体" w:hAnsi="宋体" w:eastAsia="宋体" w:cs="宋体"/>
                <w:color w:val="auto"/>
                <w:sz w:val="24"/>
                <w:szCs w:val="24"/>
                <w:highlight w:val="none"/>
              </w:rPr>
              <w:t>内完成</w:t>
            </w:r>
            <w:r>
              <w:rPr>
                <w:rFonts w:hint="eastAsia" w:ascii="宋体" w:hAnsi="宋体" w:eastAsia="宋体" w:cs="宋体"/>
                <w:color w:val="auto"/>
                <w:sz w:val="24"/>
                <w:szCs w:val="24"/>
                <w:highlight w:val="none"/>
                <w:lang w:val="en-US" w:eastAsia="zh-CN"/>
              </w:rPr>
              <w:t>竣工验收</w:t>
            </w:r>
            <w:r>
              <w:rPr>
                <w:rFonts w:hint="eastAsia" w:ascii="宋体" w:hAnsi="宋体" w:eastAsia="宋体" w:cs="宋体"/>
                <w:color w:val="auto"/>
                <w:sz w:val="24"/>
                <w:szCs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jc w:val="center"/>
        </w:trPr>
        <w:tc>
          <w:tcPr>
            <w:tcW w:w="836"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p>
        </w:tc>
        <w:tc>
          <w:tcPr>
            <w:tcW w:w="147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★质保期 </w:t>
            </w:r>
          </w:p>
        </w:tc>
        <w:tc>
          <w:tcPr>
            <w:tcW w:w="754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eastAsia="宋体"/>
                <w:color w:val="auto"/>
                <w:sz w:val="24"/>
                <w:highlight w:val="none"/>
                <w:lang w:val="en-US" w:eastAsia="zh-CN"/>
              </w:rPr>
              <w:t>符合国家规定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jc w:val="center"/>
        </w:trPr>
        <w:tc>
          <w:tcPr>
            <w:tcW w:w="836"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  </w:t>
            </w:r>
          </w:p>
        </w:tc>
        <w:tc>
          <w:tcPr>
            <w:tcW w:w="147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施工地点 </w:t>
            </w:r>
          </w:p>
        </w:tc>
        <w:tc>
          <w:tcPr>
            <w:tcW w:w="754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采购人指定地点。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836"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  </w:t>
            </w:r>
          </w:p>
        </w:tc>
        <w:tc>
          <w:tcPr>
            <w:tcW w:w="147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报价要求 </w:t>
            </w:r>
          </w:p>
        </w:tc>
        <w:tc>
          <w:tcPr>
            <w:tcW w:w="754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1、本项目的报价和结算支付均以人民币为货币单位。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2、供应商报价应包括设计、采购、运输、安装、相关部门验收及保修期内的维护保养等所有含税费用，以及供应商认为必要的其他货物、材料、工程、服务。</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3、如出现任何遗漏内容需产生额外费用，均由成交供应商自行承担，采购人将不再另支付任何费用。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4、供应商的报价文件应包括单价和总价，总价是对采购的所有内容所计算的总价，为合同总价；其填报的明细单价则应是供应商对本采购项目所包含的具体的服务进行详细列示的计算单价。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5、供应商应被认为在填报报价之前，已经仔细阅读了本</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文件的所有有关章节以及审查了所有相关资料，已确保本次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的所有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范围内的各种价格风险均已包含在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的报价内。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0" w:hRule="atLeast"/>
          <w:jc w:val="center"/>
        </w:trPr>
        <w:tc>
          <w:tcPr>
            <w:tcW w:w="836"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  </w:t>
            </w:r>
          </w:p>
        </w:tc>
        <w:tc>
          <w:tcPr>
            <w:tcW w:w="147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质量要求和质量保修期 </w:t>
            </w:r>
          </w:p>
        </w:tc>
        <w:tc>
          <w:tcPr>
            <w:tcW w:w="754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1、质量：符合国家有关施工质量验收标准的合格工程或合同约定。工程规范以现行的或承担具体施工任务期间国家和行业新颁布施行的规范、规程为准。</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2、材料、设备、施工须达到现行中华人民共和国以及省、自治区、直辖市或行业的工程建设标准、规范的要求及验收标准及有关规范为质量评定验收标准。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3、质量保修期：</w:t>
            </w:r>
            <w:r>
              <w:rPr>
                <w:rFonts w:hint="eastAsia" w:ascii="宋体" w:hAnsi="宋体" w:eastAsia="宋体" w:cs="宋体"/>
                <w:color w:val="auto"/>
                <w:sz w:val="24"/>
                <w:szCs w:val="24"/>
                <w:highlight w:val="none"/>
                <w:lang w:val="en-US" w:eastAsia="zh-CN"/>
              </w:rPr>
              <w:t>按</w:t>
            </w:r>
            <w:r>
              <w:rPr>
                <w:rFonts w:hint="eastAsia" w:ascii="宋体" w:hAnsi="宋体" w:eastAsia="宋体" w:cs="宋体"/>
                <w:color w:val="auto"/>
                <w:sz w:val="24"/>
                <w:szCs w:val="24"/>
                <w:highlight w:val="none"/>
              </w:rPr>
              <w:t>国务院《建设工程质量管理条例》第四十</w:t>
            </w:r>
            <w:r>
              <w:rPr>
                <w:rFonts w:hint="eastAsia" w:ascii="宋体" w:hAnsi="宋体" w:eastAsia="宋体" w:cs="宋体"/>
                <w:color w:val="auto"/>
                <w:sz w:val="24"/>
                <w:szCs w:val="24"/>
                <w:highlight w:val="none"/>
                <w:lang w:val="en-US" w:eastAsia="zh-CN"/>
              </w:rPr>
              <w:t>条相关</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val="en-US" w:eastAsia="zh-CN"/>
              </w:rPr>
              <w:t>执行。</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4、质量保修响应时间：属于保修范围的项目，应在接到采购人通知后的 24 小时内内派人保修。如未能在规定时间内派人保修的，采购人可自行或委托第三方保修，费用由成交供应商支付。发生紧急抢修事故的，成交供应商在接到通知后，应立即到达事故现场抢修。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37" w:hRule="atLeast"/>
          <w:jc w:val="center"/>
        </w:trPr>
        <w:tc>
          <w:tcPr>
            <w:tcW w:w="836"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  </w:t>
            </w:r>
          </w:p>
        </w:tc>
        <w:tc>
          <w:tcPr>
            <w:tcW w:w="147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验收 </w:t>
            </w:r>
          </w:p>
        </w:tc>
        <w:tc>
          <w:tcPr>
            <w:tcW w:w="754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1、采购人在收到成交供应商提交的竣工报告后组织验收，并在验收后 14 天内予以认可或提出修改意见。验收不合格，成交供应商应按要求修改后再次提请采购人验收，并承担因自身原因造成修改的费用。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2、采购人在收到成交供应商提交的竣工报告后不组织验收，或验收后不提出修改意见，视为竣工报告已被认可。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4、竣工报告被认可，则表明已完成合同工程，并视为通过竣工验收，采购人应向成交供应商颁发工程竣工验收证书。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836"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8</w:t>
            </w:r>
          </w:p>
        </w:tc>
        <w:tc>
          <w:tcPr>
            <w:tcW w:w="147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付款方式 </w:t>
            </w:r>
          </w:p>
        </w:tc>
        <w:tc>
          <w:tcPr>
            <w:tcW w:w="754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甲乙双方签订的合同为准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2" w:hRule="atLeast"/>
          <w:jc w:val="center"/>
        </w:trPr>
        <w:tc>
          <w:tcPr>
            <w:tcW w:w="836"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9  </w:t>
            </w:r>
          </w:p>
        </w:tc>
        <w:tc>
          <w:tcPr>
            <w:tcW w:w="147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项目要求 </w:t>
            </w:r>
          </w:p>
        </w:tc>
        <w:tc>
          <w:tcPr>
            <w:tcW w:w="754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1、成交人必须遵照采购人的管理及安排，按采购人的内容、质量、时间要求制作,所有的服务必须达到采购人的要求。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2、项目建设工作完成后应按要求及时清理现场工作。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3、★成交供应商必须在施工过程中注意自身及周边安全，负责施工过程中的所有事故处理和费用。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4、为便于与采购人就活动细节等方面进行适时沟通联系、及时处理和反馈,并使项目按质、按量、按时、有序实施，成交人应保证有固定专人负责联络工作。本项目必须有一个完善且固定的策划和组织管理团队，供应商须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中详细列出参与本项目的人员名单。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792" w:hRule="atLeast"/>
          <w:jc w:val="center"/>
        </w:trPr>
        <w:tc>
          <w:tcPr>
            <w:tcW w:w="836"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10.  </w:t>
            </w:r>
          </w:p>
        </w:tc>
        <w:tc>
          <w:tcPr>
            <w:tcW w:w="1471"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其它要求 </w:t>
            </w:r>
          </w:p>
        </w:tc>
        <w:tc>
          <w:tcPr>
            <w:tcW w:w="7549"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1、成交供应商施工前后，需负责原有地面拆旧，杂物清理及外运；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2、成交供应商需严格按照采购人需求及设计效果图保质保量施工，不得偷工减料； </w:t>
            </w:r>
          </w:p>
          <w:p>
            <w:pPr>
              <w:keepNext w:val="0"/>
              <w:keepLines w:val="0"/>
              <w:pageBreakBefore w:val="0"/>
              <w:widowControl w:val="0"/>
              <w:kinsoku/>
              <w:wordWrap/>
              <w:overflowPunct/>
              <w:topLinePunct w:val="0"/>
              <w:autoSpaceDE w:val="0"/>
              <w:autoSpaceDN w:val="0"/>
              <w:bidi w:val="0"/>
              <w:adjustRightInd/>
              <w:snapToGrid/>
              <w:spacing w:line="440" w:lineRule="exact"/>
              <w:jc w:val="lef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 xml:space="preserve">3、施工中使用的原材料必须为原厂全新材料，不得翻旧利旧，保证设计效果质量。 </w:t>
            </w:r>
          </w:p>
        </w:tc>
      </w:tr>
    </w:tbl>
    <w:p>
      <w:pPr>
        <w:tabs>
          <w:tab w:val="left" w:pos="562"/>
        </w:tabs>
        <w:bidi w:val="0"/>
        <w:jc w:val="left"/>
        <w:rPr>
          <w:rFonts w:hint="eastAsia"/>
          <w:color w:val="auto"/>
          <w:highlight w:val="none"/>
          <w:lang w:val="zh-CN" w:eastAsia="zh-CN"/>
        </w:rPr>
        <w:sectPr>
          <w:footerReference r:id="rId11" w:type="default"/>
          <w:pgSz w:w="11910" w:h="16840"/>
          <w:pgMar w:top="1417" w:right="1531" w:bottom="1417" w:left="1531" w:header="670" w:footer="1041" w:gutter="0"/>
          <w:cols w:space="720" w:num="1"/>
          <w:rtlGutter w:val="0"/>
          <w:docGrid w:linePitch="1" w:charSpace="0"/>
        </w:sect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II  技术要求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pStyle w:val="3"/>
        <w:keepNext w:val="0"/>
        <w:keepLines w:val="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工程量清单</w:t>
      </w:r>
    </w:p>
    <w:p>
      <w:pPr>
        <w:spacing w:line="360" w:lineRule="auto"/>
        <w:outlineLvl w:val="1"/>
        <w:rPr>
          <w:rFonts w:hint="eastAsia" w:ascii="宋体" w:hAnsi="宋体" w:eastAsia="宋体" w:cs="宋体"/>
          <w:b/>
          <w:color w:val="000000"/>
          <w:sz w:val="24"/>
          <w:szCs w:val="24"/>
        </w:rPr>
      </w:pPr>
      <w:bookmarkStart w:id="45" w:name="_Toc482807229"/>
      <w:bookmarkStart w:id="46" w:name="_Toc426713155"/>
      <w:bookmarkStart w:id="47" w:name="_Toc480213788"/>
      <w:bookmarkStart w:id="48" w:name="_Toc480213219"/>
      <w:r>
        <w:rPr>
          <w:rFonts w:hint="eastAsia" w:ascii="宋体" w:hAnsi="宋体" w:eastAsia="宋体" w:cs="宋体"/>
          <w:b/>
          <w:color w:val="000000"/>
          <w:sz w:val="24"/>
          <w:szCs w:val="24"/>
        </w:rPr>
        <w:t>１　工程量清单说明</w:t>
      </w:r>
      <w:bookmarkEnd w:id="45"/>
      <w:bookmarkEnd w:id="46"/>
      <w:bookmarkEnd w:id="47"/>
      <w:bookmarkEnd w:id="48"/>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　工程量清单应与招标文件中的投标人须知、通用合同条款、专用合同条款、技术标准和要求（合同技术条款）、图纸及《水利工程工程量清单计价规范》（ＧＢ５０５０１—２００７）等一起阅读和理解。</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工程量清单仅是投标人投标报价的共同基础。除另有约定外，工程量清单中的工程量是根据招标设计图纸按《水利工程工程量清单计价规范》（ＧＢ５０５０１—２００７）计算规则计算的用于投标报价的估算工程量，不作为最终结算工程量。最终结算工程量是承包人实际完成并符合技术标准和要求（合同技术条款） 和《水利工程工程量清单计价规范》（ＧＢ５０５０１—２００７）计算规则等规定，按施工图纸计算的有效工程量。</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　工程量清单中各项目的工作内容和要求应符合相关技术标准和要求（合同技术条款）以及《水利工程工程量清单计价规范》（ＧＢ５０５０１—２００７）的规定。</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1.4工程价款的支付遵循合同条款的约定。</w:t>
      </w:r>
    </w:p>
    <w:p>
      <w:pPr>
        <w:spacing w:line="360" w:lineRule="auto"/>
        <w:outlineLvl w:val="1"/>
        <w:rPr>
          <w:rFonts w:hint="eastAsia" w:ascii="宋体" w:hAnsi="宋体" w:eastAsia="宋体" w:cs="宋体"/>
          <w:b/>
          <w:color w:val="000000"/>
          <w:sz w:val="24"/>
          <w:szCs w:val="24"/>
        </w:rPr>
      </w:pPr>
      <w:bookmarkStart w:id="49" w:name="_Toc480213220"/>
      <w:bookmarkStart w:id="50" w:name="_Toc482807230"/>
      <w:bookmarkStart w:id="51" w:name="_Toc426713156"/>
      <w:bookmarkStart w:id="52" w:name="_Toc480213789"/>
      <w:bookmarkStart w:id="53" w:name="_Toc264888980"/>
      <w:r>
        <w:rPr>
          <w:rFonts w:hint="eastAsia" w:ascii="宋体" w:hAnsi="宋体" w:eastAsia="宋体" w:cs="宋体"/>
          <w:b/>
          <w:color w:val="000000"/>
          <w:sz w:val="24"/>
          <w:szCs w:val="24"/>
        </w:rPr>
        <w:t>2 、投标报价说明</w:t>
      </w:r>
      <w:bookmarkEnd w:id="49"/>
      <w:bookmarkEnd w:id="50"/>
      <w:bookmarkEnd w:id="51"/>
      <w:bookmarkEnd w:id="52"/>
      <w:bookmarkEnd w:id="53"/>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2.1　工程量清单报价表组成</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工程量清单报价表由以下表格组成：</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 投标总价。</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工程项目总价表。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分类分项工程量清单计价表。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 措施项目清单计价表。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 其它项目清单计价表。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 计日工项目计价表。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 工程单价汇总表。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 工程单价费（税）率汇总表。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 投标人生产电、风、水、砂石基础单价汇总表。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 投标人生产混凝土配合比材料费表。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 招标人供应材料价格汇总表（若招标人提供）。</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 投标人自行采购主要材料预算价格汇总表。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 招标人提供施工机械台时（班）费汇总表（若招标人提供）。</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14． 投标人自备施工机械台时（班）费汇总表。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15． 总价项目分类分项工程分解表。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16． 工程单价计算表。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17． 人工费单价汇总表。</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2.2　工程量清单报价表填写规定</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 除招标文件另有规定外，投标人不得随意增加、删除或涂改招标文件工程量清单中的任何内容。工程量清单中列明的所有需要填写的单价和合价，投标人均应填写；未填写的单价和合价，视为已包括在工程量清单的其它单价和合价中。</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 工程量清单中的工程单价是完成工程量清单中一个质量合格的规定计量单位项目所需的直接费（包括人工费、材料费、机械使用费和季节、夜间、高原、风沙等原因增加的直接费）、</w:t>
      </w:r>
      <w:r>
        <w:rPr>
          <w:rFonts w:hint="eastAsia" w:ascii="宋体" w:hAnsi="宋体" w:eastAsia="宋体" w:cs="宋体"/>
          <w:sz w:val="24"/>
          <w:szCs w:val="24"/>
        </w:rPr>
        <w:t>间接</w:t>
      </w:r>
      <w:r>
        <w:rPr>
          <w:rFonts w:hint="eastAsia" w:ascii="宋体" w:hAnsi="宋体" w:eastAsia="宋体" w:cs="宋体"/>
          <w:color w:val="000000"/>
          <w:sz w:val="24"/>
          <w:szCs w:val="24"/>
        </w:rPr>
        <w:t>费、企业利润和税金，并考虑到风险因素。投标人应根据规定的工程单价组成内容，按招标文件和《水利工程工程量清单计价规范》（ＧＢ５０５０１—２００７）附录Ａ 和附录Ｂ中的“主要工作内容” 确定工程单价。除另有规定外，对有效工程量以外的超挖、超填工程量，施工附加量，加工、运输损耗量等，所消耗的人工、材料和机械费用，均应摊入相应有效工程量的工程单价内。</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 投标金额（价格）均应以人民币表示。</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 投标总价应按工程项目总价表合计金额填写。</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 工程项目总价表中一级项目名称按招标文件工程项目总价表中的相应名称填写，并按分类分项工程量清单计价表中相应项目合计金额填写。</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 分类分项工程量清单计价表中的序号、项目编码、项目名称、计量单位、工程数量和合同技术条款章节号，按招标文件分类分项工程量清单计价表中的相应内容填写，并填写相应项目的单价和合价。</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 措施项目清单计价表中的序号、项目名称按招标文件措施项目清单计价表中的相应内容填写，并填写相应措施项目的金额和合计金额。</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 其它项目清单计价表中的序号、项目名称、金额，按招标文件其它项目清单计价表中的相应内容填写。</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 计日工项目计价表的序号、人工、材料、机械的名称、型号规格以及计量单位，按招标文件计日工项目计价表中的相应内容填写，并填写相应项目单价。</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 辅助表格填写：</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（1）工程单价汇总表，按工程单价计算表中的相应内容、价格（费率）填写。</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（2）工程单价费（税）率汇总表，按工程单价计算表中的相应内容、费（税）率填写。</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（3）投标人生产电、风、水、砂石基础单价汇总表，按基础单价分析计算成果的相应内容、价格填写，并附相应基础单价的分析计算书。</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投标人生产混凝土配合比材料费表，按表中工程部位、混凝土强度等级（附抗渗、抗冻等级）、水泥强度等级、级配、水灰比、相应材料用量和单价填写，填写的单价必须与工程单价计算表中采用的相应混凝土材料单价一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招标人供应材料价格汇总表，按招标人供应的材料名称、型号规格、计量单位和供应价填写，并填写经分析计算后的相应材料预算价格，填写的预算价格必须与工程单价计算表中采用的相应材料预算价格一致（若招标人提供）。</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（6）投标人自行采购主要材料预算价格汇总表，按表中的序号、材料名称、型号规格、计量单位和预算价填写，填写的预算价必须与工程单价计算表中采用的相应材料预算价格一致。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招标人提供施工机械台时（班）费汇总表，按招标人提供的机械名称、型号规格和招标人收取的台时（班）折旧费填写；投标人填写的台时（班）费用合计金额必须与工程单价计算表中相应的施工机械台时（班）费单价一致（若招标人提供）。</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（8）投标人自备施工机械台时（班） 费汇总表，按表中的序号、机械名称、型号规格、一类费用和二类费用填写，填写的台时（班）费合计金额必须与工程单价计算表中相应的施工机械台时（班）费单价一致。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（9）投标人应参照分类分项工程量清单计价表格式编制总价项目分类分项工程分解表，每个总价项目分类分项工程一份。</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10）投标金额大于或等于投标总标价万分之五的工程项目，必须编报工程单价计算表。工程单价计算表，按表中的施工方法、序号、名称、型号规格、计量单位、数量、单价、合价填写，填写的人工、材料和机械等基础价格，必须与人工费价汇总表、基础材料单价汇总表、主要材料预算价格汇总表及施工机械台时（班）费汇总表中的单价相一致，填写的</w:t>
      </w:r>
      <w:r>
        <w:rPr>
          <w:rFonts w:hint="eastAsia" w:ascii="宋体" w:hAnsi="宋体" w:eastAsia="宋体" w:cs="宋体"/>
          <w:sz w:val="24"/>
          <w:szCs w:val="24"/>
        </w:rPr>
        <w:t>间接费、</w:t>
      </w:r>
      <w:r>
        <w:rPr>
          <w:rFonts w:hint="eastAsia" w:ascii="宋体" w:hAnsi="宋体" w:eastAsia="宋体" w:cs="宋体"/>
          <w:color w:val="000000"/>
          <w:sz w:val="24"/>
          <w:szCs w:val="24"/>
        </w:rPr>
        <w:t>企业利润和税金等费（税）率必须与工程单价费（税）率汇总表中的费（税）率相一致。</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（11）人工费单价汇总表应按人工费单价计算表的内容、价格填写，并附相应的人工费单价计算表。</w:t>
      </w:r>
    </w:p>
    <w:p>
      <w:pPr>
        <w:pStyle w:val="3"/>
        <w:keepNext w:val="0"/>
        <w:keepLines w:val="0"/>
        <w:ind w:firstLine="480" w:firstLineChars="200"/>
        <w:rPr>
          <w:rFonts w:hint="eastAsia" w:ascii="宋体" w:hAnsi="宋体" w:eastAsia="宋体" w:cs="宋体"/>
          <w:b w:val="0"/>
          <w:bCs w:val="0"/>
          <w:color w:val="000000"/>
          <w:kern w:val="2"/>
          <w:sz w:val="24"/>
          <w:szCs w:val="24"/>
        </w:rPr>
      </w:pPr>
      <w:bookmarkStart w:id="54" w:name="_Toc482807231"/>
      <w:bookmarkStart w:id="55" w:name="_Toc480213221"/>
      <w:bookmarkStart w:id="56" w:name="_Toc479701881"/>
      <w:bookmarkStart w:id="57" w:name="_Toc441856012"/>
      <w:bookmarkStart w:id="58" w:name="_Toc480213790"/>
      <w:r>
        <w:rPr>
          <w:rFonts w:hint="eastAsia" w:ascii="宋体" w:hAnsi="宋体" w:eastAsia="宋体" w:cs="宋体"/>
          <w:b w:val="0"/>
          <w:bCs w:val="0"/>
          <w:color w:val="000000"/>
          <w:kern w:val="2"/>
          <w:sz w:val="24"/>
          <w:szCs w:val="24"/>
        </w:rPr>
        <w:t>（12）单价中各项取费及管道安装费的计取参照《新疆农村人畜饮水工程初步设计编制纲要》（2002-12-01实施）的有关规定。</w:t>
      </w:r>
      <w:bookmarkEnd w:id="54"/>
      <w:bookmarkEnd w:id="55"/>
      <w:bookmarkEnd w:id="56"/>
      <w:bookmarkEnd w:id="57"/>
      <w:bookmarkEnd w:id="58"/>
    </w:p>
    <w:p>
      <w:pPr>
        <w:rPr>
          <w:rFonts w:hint="eastAsia" w:ascii="宋体" w:hAnsi="宋体" w:eastAsia="宋体" w:cs="宋体"/>
          <w:sz w:val="24"/>
          <w:szCs w:val="24"/>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二、图纸（</w:t>
      </w:r>
      <w:r>
        <w:rPr>
          <w:rFonts w:hint="eastAsia" w:cs="宋体"/>
          <w:b/>
          <w:bCs/>
          <w:color w:val="auto"/>
          <w:sz w:val="24"/>
          <w:szCs w:val="24"/>
          <w:highlight w:val="none"/>
          <w:lang w:val="en-US" w:eastAsia="zh-CN"/>
        </w:rPr>
        <w:t>如有，</w:t>
      </w:r>
      <w:r>
        <w:rPr>
          <w:rFonts w:hint="eastAsia" w:ascii="宋体" w:hAnsi="宋体" w:eastAsia="宋体" w:cs="宋体"/>
          <w:b/>
          <w:bCs/>
          <w:color w:val="auto"/>
          <w:sz w:val="24"/>
          <w:szCs w:val="24"/>
          <w:highlight w:val="none"/>
        </w:rPr>
        <w:t>另附）</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outlineLvl w:val="0"/>
        <w:rPr>
          <w:rFonts w:hint="eastAsia" w:ascii="宋体" w:hAnsi="宋体" w:eastAsia="宋体" w:cs="宋体"/>
          <w:b/>
          <w:sz w:val="24"/>
          <w:szCs w:val="24"/>
        </w:rPr>
      </w:pPr>
      <w:r>
        <w:rPr>
          <w:rFonts w:hint="eastAsia" w:ascii="宋体" w:hAnsi="宋体" w:eastAsia="宋体" w:cs="宋体"/>
          <w:b/>
          <w:sz w:val="24"/>
          <w:szCs w:val="24"/>
          <w:lang w:val="en-US" w:eastAsia="zh-CN"/>
        </w:rPr>
        <w:t xml:space="preserve">第四部分   </w:t>
      </w:r>
      <w:r>
        <w:rPr>
          <w:rFonts w:hint="eastAsia" w:ascii="宋体" w:hAnsi="宋体" w:eastAsia="宋体" w:cs="宋体"/>
          <w:b/>
          <w:sz w:val="24"/>
          <w:szCs w:val="24"/>
        </w:rPr>
        <w:t>合同条款及格式</w:t>
      </w:r>
    </w:p>
    <w:p>
      <w:pPr>
        <w:rPr>
          <w:rFonts w:hint="eastAsia" w:ascii="宋体" w:hAnsi="宋体" w:eastAsia="宋体" w:cs="宋体"/>
          <w:sz w:val="24"/>
          <w:szCs w:val="24"/>
        </w:rPr>
      </w:pPr>
    </w:p>
    <w:p>
      <w:pPr>
        <w:spacing w:line="360" w:lineRule="auto"/>
        <w:jc w:val="center"/>
        <w:outlineLvl w:val="1"/>
        <w:rPr>
          <w:rFonts w:hint="eastAsia" w:ascii="宋体" w:hAnsi="宋体" w:eastAsia="宋体" w:cs="宋体"/>
          <w:b/>
          <w:sz w:val="24"/>
          <w:szCs w:val="24"/>
        </w:rPr>
      </w:pPr>
      <w:bookmarkStart w:id="59" w:name="_Toc482807171"/>
      <w:bookmarkStart w:id="60" w:name="_Toc409091998"/>
      <w:r>
        <w:rPr>
          <w:rFonts w:hint="eastAsia" w:ascii="宋体" w:hAnsi="宋体" w:eastAsia="宋体" w:cs="宋体"/>
          <w:b/>
          <w:sz w:val="24"/>
          <w:szCs w:val="24"/>
        </w:rPr>
        <w:t>第一节 通用合同条款</w:t>
      </w:r>
      <w:bookmarkEnd w:id="59"/>
      <w:bookmarkEnd w:id="60"/>
    </w:p>
    <w:p>
      <w:pPr>
        <w:pStyle w:val="4"/>
        <w:ind w:left="0" w:leftChars="0" w:firstLine="0" w:firstLineChars="0"/>
        <w:rPr>
          <w:rFonts w:hint="eastAsia" w:ascii="宋体" w:hAnsi="宋体" w:eastAsia="宋体" w:cs="宋体"/>
          <w:b w:val="0"/>
          <w:sz w:val="24"/>
          <w:szCs w:val="24"/>
        </w:rPr>
      </w:pPr>
      <w:bookmarkStart w:id="61" w:name="_Toc480213162"/>
      <w:bookmarkStart w:id="62" w:name="_Toc480213731"/>
      <w:bookmarkStart w:id="63" w:name="_Toc482807172"/>
      <w:bookmarkStart w:id="64" w:name="_Toc479701822"/>
      <w:r>
        <w:rPr>
          <w:rFonts w:hint="eastAsia" w:ascii="宋体" w:hAnsi="宋体" w:eastAsia="宋体" w:cs="宋体"/>
          <w:b w:val="0"/>
          <w:sz w:val="24"/>
          <w:szCs w:val="24"/>
        </w:rPr>
        <w:t>1、一般约定</w:t>
      </w:r>
      <w:bookmarkEnd w:id="61"/>
      <w:bookmarkEnd w:id="62"/>
      <w:bookmarkEnd w:id="63"/>
      <w:bookmarkEnd w:id="64"/>
    </w:p>
    <w:p>
      <w:pPr>
        <w:spacing w:line="360" w:lineRule="auto"/>
        <w:rPr>
          <w:rFonts w:hint="eastAsia" w:ascii="宋体" w:hAnsi="宋体" w:eastAsia="宋体" w:cs="宋体"/>
          <w:b/>
          <w:sz w:val="24"/>
          <w:szCs w:val="24"/>
        </w:rPr>
      </w:pPr>
      <w:r>
        <w:rPr>
          <w:rFonts w:hint="eastAsia" w:ascii="宋体" w:hAnsi="宋体" w:eastAsia="宋体" w:cs="宋体"/>
          <w:b/>
          <w:sz w:val="24"/>
          <w:szCs w:val="24"/>
        </w:rPr>
        <w:t>1.1 词语定义</w:t>
      </w:r>
    </w:p>
    <w:p>
      <w:pPr>
        <w:spacing w:line="360" w:lineRule="auto"/>
        <w:rPr>
          <w:rFonts w:hint="eastAsia" w:ascii="宋体" w:hAnsi="宋体" w:eastAsia="宋体" w:cs="宋体"/>
          <w:sz w:val="24"/>
          <w:szCs w:val="24"/>
        </w:rPr>
      </w:pPr>
      <w:r>
        <w:rPr>
          <w:rFonts w:hint="eastAsia" w:ascii="宋体" w:hAnsi="宋体" w:eastAsia="宋体" w:cs="宋体"/>
          <w:sz w:val="24"/>
          <w:szCs w:val="24"/>
        </w:rPr>
        <w:t>通用合同条款、专用合同条款中的下列词语应具有本款所赋予的含义。</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1.1.1 合同</w:t>
      </w:r>
    </w:p>
    <w:p>
      <w:pPr>
        <w:spacing w:line="360" w:lineRule="auto"/>
        <w:rPr>
          <w:rFonts w:hint="eastAsia" w:ascii="宋体" w:hAnsi="宋体" w:eastAsia="宋体" w:cs="宋体"/>
          <w:sz w:val="24"/>
          <w:szCs w:val="24"/>
        </w:rPr>
      </w:pPr>
      <w:r>
        <w:rPr>
          <w:rFonts w:hint="eastAsia" w:ascii="宋体" w:hAnsi="宋体" w:eastAsia="宋体" w:cs="宋体"/>
          <w:sz w:val="24"/>
          <w:szCs w:val="24"/>
        </w:rPr>
        <w:t>1.1.1.1 合同文件（或称合同）：指合同协议书、中标通知书、投标函及投标函附录、专用合同条款、通用合同条款、技术标准和要求、图纸、已标价工程量清单，以及其他合同文件。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1.1.1.2 合同协议书：指第1.5 款所指的合同协议书。</w:t>
      </w:r>
    </w:p>
    <w:p>
      <w:pPr>
        <w:spacing w:line="360" w:lineRule="auto"/>
        <w:rPr>
          <w:rFonts w:hint="eastAsia" w:ascii="宋体" w:hAnsi="宋体" w:eastAsia="宋体" w:cs="宋体"/>
          <w:sz w:val="24"/>
          <w:szCs w:val="24"/>
        </w:rPr>
      </w:pPr>
      <w:r>
        <w:rPr>
          <w:rFonts w:hint="eastAsia" w:ascii="宋体" w:hAnsi="宋体" w:eastAsia="宋体" w:cs="宋体"/>
          <w:sz w:val="24"/>
          <w:szCs w:val="24"/>
        </w:rPr>
        <w:t>1.1.1.3 中标通知书：指发包人通知承包人中标的函件。</w:t>
      </w:r>
    </w:p>
    <w:p>
      <w:pPr>
        <w:spacing w:line="360" w:lineRule="auto"/>
        <w:rPr>
          <w:rFonts w:hint="eastAsia" w:ascii="宋体" w:hAnsi="宋体" w:eastAsia="宋体" w:cs="宋体"/>
          <w:sz w:val="24"/>
          <w:szCs w:val="24"/>
        </w:rPr>
      </w:pPr>
      <w:r>
        <w:rPr>
          <w:rFonts w:hint="eastAsia" w:ascii="宋体" w:hAnsi="宋体" w:eastAsia="宋体" w:cs="宋体"/>
          <w:sz w:val="24"/>
          <w:szCs w:val="24"/>
        </w:rPr>
        <w:t>1.1.1.4 投标函：指构成合同文件组成部分的由承包人填写并签署的投标函。</w:t>
      </w:r>
    </w:p>
    <w:p>
      <w:pPr>
        <w:spacing w:line="360" w:lineRule="auto"/>
        <w:rPr>
          <w:rFonts w:hint="eastAsia" w:ascii="宋体" w:hAnsi="宋体" w:eastAsia="宋体" w:cs="宋体"/>
          <w:sz w:val="24"/>
          <w:szCs w:val="24"/>
        </w:rPr>
      </w:pPr>
      <w:r>
        <w:rPr>
          <w:rFonts w:hint="eastAsia" w:ascii="宋体" w:hAnsi="宋体" w:eastAsia="宋体" w:cs="宋体"/>
          <w:sz w:val="24"/>
          <w:szCs w:val="24"/>
        </w:rPr>
        <w:t>1.1.1.5 投标函附录：指附在投标函后构成合同文件的投标函附录。</w:t>
      </w:r>
    </w:p>
    <w:p>
      <w:pPr>
        <w:spacing w:line="360" w:lineRule="auto"/>
        <w:rPr>
          <w:rFonts w:hint="eastAsia" w:ascii="宋体" w:hAnsi="宋体" w:eastAsia="宋体" w:cs="宋体"/>
          <w:sz w:val="24"/>
          <w:szCs w:val="24"/>
        </w:rPr>
      </w:pPr>
      <w:r>
        <w:rPr>
          <w:rFonts w:hint="eastAsia" w:ascii="宋体" w:hAnsi="宋体" w:eastAsia="宋体" w:cs="宋体"/>
          <w:sz w:val="24"/>
          <w:szCs w:val="24"/>
        </w:rPr>
        <w:t>1.1.1.6 技术标准和要求：指构成合同文件组成部分的名为技术标准和要求（合同技术条款）的文件，包括合同双方当事人约定对其所作的修改或补充。</w:t>
      </w:r>
    </w:p>
    <w:p>
      <w:pPr>
        <w:spacing w:line="360" w:lineRule="auto"/>
        <w:rPr>
          <w:rFonts w:hint="eastAsia" w:ascii="宋体" w:hAnsi="宋体" w:eastAsia="宋体" w:cs="宋体"/>
          <w:sz w:val="24"/>
          <w:szCs w:val="24"/>
        </w:rPr>
      </w:pPr>
      <w:r>
        <w:rPr>
          <w:rFonts w:hint="eastAsia" w:ascii="宋体" w:hAnsi="宋体" w:eastAsia="宋体" w:cs="宋体"/>
          <w:sz w:val="24"/>
          <w:szCs w:val="24"/>
        </w:rPr>
        <w:t>1.1.1.7 图纸：指列入合同的招标图纸、投标图纸和发包人按合同约定向承包人提供的施工图纸和其它图纸（包括配套说明和有关资料）。列入合同的招标图纸已成为合同文件的一部分， 具有合同效力， 主要用于在履行合同中作为衡量变更的依据， 但不能直接用于施工。经发包人确认进入合同的投标图纸亦成为合同文件的一部分， 用于在履行合同中检验承包人是否按其投标时承诺的条件进行施工的依据， 亦不能直接用于施工。</w:t>
      </w:r>
    </w:p>
    <w:p>
      <w:pPr>
        <w:spacing w:line="360" w:lineRule="auto"/>
        <w:rPr>
          <w:rFonts w:hint="eastAsia" w:ascii="宋体" w:hAnsi="宋体" w:eastAsia="宋体" w:cs="宋体"/>
          <w:sz w:val="24"/>
          <w:szCs w:val="24"/>
        </w:rPr>
      </w:pPr>
      <w:r>
        <w:rPr>
          <w:rFonts w:hint="eastAsia" w:ascii="宋体" w:hAnsi="宋体" w:eastAsia="宋体" w:cs="宋体"/>
          <w:sz w:val="24"/>
          <w:szCs w:val="24"/>
        </w:rPr>
        <w:t>1.1.1.8 已标价工程量清单：指构成合同文件组成部分的由承包人按照规定的格式和要求填写并标明价格的工程量清单。</w:t>
      </w:r>
    </w:p>
    <w:p>
      <w:pPr>
        <w:spacing w:line="360" w:lineRule="auto"/>
        <w:rPr>
          <w:rFonts w:hint="eastAsia" w:ascii="宋体" w:hAnsi="宋体" w:eastAsia="宋体" w:cs="宋体"/>
          <w:sz w:val="24"/>
          <w:szCs w:val="24"/>
        </w:rPr>
      </w:pPr>
      <w:r>
        <w:rPr>
          <w:rFonts w:hint="eastAsia" w:ascii="宋体" w:hAnsi="宋体" w:eastAsia="宋体" w:cs="宋体"/>
          <w:sz w:val="24"/>
          <w:szCs w:val="24"/>
        </w:rPr>
        <w:t>1.1.1.9 其他合同文件：指经合同双方当事人确认构成合同文件的其他文件。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1.1.2 合同当事人和人员</w:t>
      </w:r>
    </w:p>
    <w:p>
      <w:pPr>
        <w:spacing w:line="360" w:lineRule="auto"/>
        <w:rPr>
          <w:rFonts w:hint="eastAsia" w:ascii="宋体" w:hAnsi="宋体" w:eastAsia="宋体" w:cs="宋体"/>
          <w:sz w:val="24"/>
          <w:szCs w:val="24"/>
        </w:rPr>
      </w:pPr>
      <w:r>
        <w:rPr>
          <w:rFonts w:hint="eastAsia" w:ascii="宋体" w:hAnsi="宋体" w:eastAsia="宋体" w:cs="宋体"/>
          <w:sz w:val="24"/>
          <w:szCs w:val="24"/>
        </w:rPr>
        <w:t>1.1.2.1 合同当事人：指发包人和（或）承包人。</w:t>
      </w:r>
    </w:p>
    <w:p>
      <w:pPr>
        <w:spacing w:line="360" w:lineRule="auto"/>
        <w:rPr>
          <w:rFonts w:hint="eastAsia" w:ascii="宋体" w:hAnsi="宋体" w:eastAsia="宋体" w:cs="宋体"/>
          <w:sz w:val="24"/>
          <w:szCs w:val="24"/>
        </w:rPr>
      </w:pPr>
      <w:r>
        <w:rPr>
          <w:rFonts w:hint="eastAsia" w:ascii="宋体" w:hAnsi="宋体" w:eastAsia="宋体" w:cs="宋体"/>
          <w:sz w:val="24"/>
          <w:szCs w:val="24"/>
        </w:rPr>
        <w:t>1.1.2.2 发包人：指专用合同条款中指明并与承包人在合同协议书中签字的当事人。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1.1.2.3 承包人：指专用合同条款中指明并与发包人在合同协议书中签字的当事人。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1.1.2.4 承包人项目经理：指承包人派驻施工场地的全权负责人。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1.1.2.5分包人：指专用合同条款中指明的，从承包人处分包合同中某一部分工程，并与其签订分包合同的分包人。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1.1.2.6 监理人：指在专用合同条款中指明的，受发包人委托对合同履行实施管理的法人或其他组织。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1.1.2.7 总监理工程师（总监）：指由监理人委派常驻施工场地对合同履行实施管理的全权负责人。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 工程和设备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1.1.3.1 工程：指永久工程和（或）临时工程。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1.1.3.2 永久工程：指按合同约定建造并移交给发包人的工程，包括工程设备。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1.1.3.3 临时工程：指为完成合同约定的永久工程所修建的各类临时性工程，不包括施工设备。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1.1.3.4 单位工程：指专用合同条款中指明特定范围的永久工程。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1.1.3.5 工程设备：指构成或计划构成永久工程一部分的机电设备、金属结构设备、仪器装置及其他类似的设备和装置。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1.1.3.6 施工设备：指为完成合同约定的各项工作所需的设备、器具和其他物品，不包括临时工程和材料。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1.1.3.7 临时设施：指为完成合同约定的各项工作所服务的临时性生产和生活设施。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1.1.3.8 承包人设备：指承包人自带的施工设备。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1.1.3.9 施工场地（或称工地、现场）：指用于合同工程施工的场所，以及在合同中指定作为施工场地组成部分的其他场所，包括永久占地和临时占地。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1.1.3.10 永久占地：指发包人为建设本合同工程永久征用的场地。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1.1.3.11 临时占地：指发包人为建设本合同工程临时征用，承包人在完工后须按合同要求退还的场地。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 日期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1.1.4.1 开工通知：指监理人按第11.1 款通知承包人开工的函件。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1.1.4.2 开工日期：指监理人按第11.1 款发出的开工通知中写明的开工日期。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1.1.4.3 工期：指承包人在投标函中承诺的完成合同工程所需的期限，包括按第11.3 款、第11.4 款和第11.6 款约定所作的变更。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1.1.4.4 　竣工日期：即合同工程完工日期，指第1.1.4.3款约定工期届满时的日期。实际完工日期以合同工程完工证书中写明的日期为准。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1.1.4.5 　缺陷责任期：即工程质量保修期，指履行第19.2款约定的缺陷责任的期限，包括根据第19.3款约定所作的延长，具体期限由专用合同条款约定。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1.1.4.6 基准日期：指投标截止时间前28 天的日期。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1.1.4.7 天：除特别指明外，指日历天。合同中按天计算时间的，开始当天不计入，从次日开始计算。期限最后一天的截止时间为当天24:00。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 合同价格和费用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1.1.5.1 签约合同价：指签定合同时合同协议书中写明的，包括了暂列金额、暂估价的合同总金额。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1.1.5.2 合同价格：指承包人按合同约定完成了包括缺陷责任期内的全部承包工作后，发包人应付给承包人的金额，包括在履行合同过程中按合同约定进行的变更和调整。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1.1.5.3 费用：指为履行合同所发生的或将要发生的所有合理开支，包括管理费和应分摊的其他费用，但不包括利润。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1.1.5.4 暂列金额：指已标价工程量清单中所列的暂列金额，用于在签订协议书时尚未确定或不可预见变更的施工及其所需材料、工程设备、服务等的金额，包括以计日工方式支付的金额。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1.1.5.5 暂估价：指发包人在工程量清单中给定的用于支付必然发生但暂时不能确定价格的材料、设备以及专业工程的金额。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1.1.5.6 计日工：指对零星工作采取的一种计价方式，按合同中的计日工子目及其单价计价付款。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1.1.5.7 质量保证金（或称保留金）：指按第17.4.1项约定用于保证在缺陷责任期内履行缺陷修复义务的金额。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1.1.6 其他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1.1.6.1 书面形式：指合同文件、信函、电报、传真等可以有形地表现所载内容的形式。</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1.2 语言文字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除专用术语外，合同使用的语言文字为中文。必要时专用术语应附有中文注释。</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1.3 法律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适用于合同的法律包括中华人民共和国法律、行政法规、部门规章，以及工程所在地的地方法规、自治条例、单行条例和地方政府规章。</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1.4 合同文件的优先顺序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组成合同的各项文件应互相解释，互为说明。除专用合同条款另有约定外，解释合同文件的优先顺序如下：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(l）合同协议书；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(2）中标通知书；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(3）投标函及投标函附录；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(4）专用合同条款；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(5）通用合同条款；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(6）技术标准和要求；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(7）图纸；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(8）已确认的发包价总价及发包价单价；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(9）其他合同文件。</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1.5 合同协议书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承包人按中标通知书规定的时间与发包人签订合同协议书。除法律另有规定或合同另有约定外，发包人和承包人的法定代表人或其委托代理人在合同协议书上签字并盖单位章后，合同生效。</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1.6 图纸和承包人文件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　图纸的提供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发包人应按技术标准和要求（合同技术条款）约定的期限和数量将施工图纸以及其它图纸（包括配套说明和有关资料）提供给承包人。由于发包人未按时提供图纸造成工期延误的，按第１１．３款的约定办理。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1.6.2　承包人提供的文件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承包人提供的文件应按技术标准和要求（合同技术条款）约定的期限和数量提供给监理人。监理人应按技术标准和要求（合同技术条款）约定的期限批复承包人。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1.6.3　图纸的修改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设计人需要对已发给承包人的施工图纸进行修改时，监理人应在技术标准和要求（合同技术条款）约定的期限内签发施工图纸的修改图给承包人。承包人应按技术标准和要求（合同技术条款）的约定编制一份承包人实施计划提交监理人批准后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1.6.4 图纸的错误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承包人发现发包人提供的图纸存在明显错误或疏忽，应及时通知监理人。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1.6.5 图纸和承包人文件的保管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监理人和承包人均应在施工场地各保存一套完整的包含第1.6.1 项、第1.6.2 项、第1.6.3 项约定内容的图纸和承包人文件。</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1.7 联络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 与合同有关的通知、批准、证明、证书、指示、要求、请求、同意、意见、确定和决定等，均应采用书面形式。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　第1.7.1 项中的通知、批准、证明、证书、指示、要求、请求、同意、意见、确定和决定等来往函件，均应在合同约定的期限内送达指定地点和接收人，并办理签收手续。来往函件的送达期限在技术标准和要求（合同技术条款）中约定，送达地点在专用合同条款中约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1.7.3来往函件均应按合同约定的期限及时发出和答复，不得无故扣压和拖延，亦不得拒收。否则，由此造成的后果由责任方负责。</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1.8 转让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除合同另有约定外，未经对方当事人同意，一方当事人不得将合同权利全部或部分转让给第三人，也不得全部或部分转移合同义务。</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1.9 严禁贿赂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合同双方当事人不得以贿赂或变相贿赂的方式，谋取不当利益或损害对方权益。因贿赂造成对方损失的，行为人应赔偿损失，并承担相应的法律责任。</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1.10 化石、文物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1.10.2 承包人发现文物后不及时报告或隐瞒不报，致使文物丢失或损坏的，应赔偿损失，并承担相应的法律责任。</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1.11 专利技术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1.11.1 承包人在使用任何材料、承包人设备、工程设备或采用施工工艺时，因侵犯专利权或其他知识产权所引起的责任，由承包人承担，但由于遵照发包人提供的设计或技术标准和要求引起的除外。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1.11.2 承包人在投标文件中采用专利技术的，专利技术的使用费包含在投标报价内。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1.11.3 承包人的技术秘密和声明需要保密的资料和信息，发包人和监理人不得为合同以外的目的泄露给他人。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1.11.4　合同实施过程中，发包人要求承包人采用专利技术的，发包人应办理相应的使用手续，承包人应按发包人约定的条件使用，并承担使用专利技术的相关试验工作，所需费用由发包人承担。</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1.12 图纸和文件的保密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1.12.1 发包人提供的图纸和文件，未经发包人同意，承包人不得为合同以外的目的泄露给他人或公开发表与引用。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1.12.2 承包人提供的文件，未经承包人同意，发包人和监理人不得为合同以外的目的泄露给他人或公开发表与引用。</w:t>
      </w:r>
    </w:p>
    <w:p>
      <w:pPr>
        <w:pStyle w:val="5"/>
        <w:keepNext w:val="0"/>
        <w:keepLines w:val="0"/>
        <w:rPr>
          <w:rFonts w:hint="eastAsia" w:ascii="宋体" w:hAnsi="宋体" w:eastAsia="宋体" w:cs="宋体"/>
          <w:sz w:val="24"/>
          <w:szCs w:val="24"/>
        </w:rPr>
      </w:pPr>
      <w:bookmarkStart w:id="65" w:name="_Toc264888896"/>
      <w:bookmarkStart w:id="66" w:name="_Toc184635099"/>
      <w:bookmarkStart w:id="67" w:name="_Toc225315747"/>
      <w:r>
        <w:rPr>
          <w:rFonts w:hint="eastAsia" w:ascii="宋体" w:hAnsi="宋体" w:eastAsia="宋体" w:cs="宋体"/>
          <w:sz w:val="24"/>
          <w:szCs w:val="24"/>
        </w:rPr>
        <w:t>2．发包人义务</w:t>
      </w:r>
      <w:bookmarkEnd w:id="65"/>
      <w:bookmarkEnd w:id="66"/>
      <w:bookmarkEnd w:id="67"/>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2.1 遵守法律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发包人在履行合同过程中应遵守法律，并保证承包人免于承担因发包人违反法律而引起的任何责任。</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2.2 发出开工通知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发包人应委托监理人按第11.1 款的约定向承包人发出开工通知。</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2.3 提供施工场地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2.3.1　发包人应在合同双方签订合同协议书后的１４天内，将本合同工程的施工场地范围图提交给承包人。发包人提供的施工场地范围图应标明场地范围内永久占地与临时占地的范围和界限，以及指明提供给承包人用于施工场地布置的范围和界限及其有关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2.3.2　发包人提供的施工用地范围在专用合同条款中约定。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2.3.3　除专用合同条款另有约定外，发包人应按技术标准和要求（合同技术条款）的约定，向承包人提供施工场地内的工程地质图纸和报告，以及地下障碍物图纸等施工场地有关资料，并保证资料的真实、准确、完整。</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2.4 协助承包人办理证件和批件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发包人应协助承包人办理法律规定的有关施工证件和批件。</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2.5 组织设计交底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发包人应根据合同进度计划，组织设计单位向承包人进行设计交底。</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2.6 支付合同价款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发包人应按合同约定向承包人及时支付合同价款。</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2.7 组织竣工验收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发包人应按合同约定及时组织法人验收。</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2.8 其他义务</w:t>
      </w:r>
    </w:p>
    <w:p>
      <w:pPr>
        <w:spacing w:line="360" w:lineRule="auto"/>
        <w:ind w:firstLine="480" w:firstLineChars="200"/>
        <w:rPr>
          <w:rFonts w:hint="eastAsia" w:ascii="宋体" w:hAnsi="宋体" w:eastAsia="宋体" w:cs="宋体"/>
          <w:sz w:val="24"/>
          <w:szCs w:val="24"/>
        </w:rPr>
      </w:pPr>
      <w:bookmarkStart w:id="68" w:name="_Toc225315748"/>
      <w:bookmarkStart w:id="69" w:name="_Toc184635100"/>
      <w:r>
        <w:rPr>
          <w:rFonts w:hint="eastAsia" w:ascii="宋体" w:hAnsi="宋体" w:eastAsia="宋体" w:cs="宋体"/>
          <w:sz w:val="24"/>
          <w:szCs w:val="24"/>
        </w:rPr>
        <w:t>其它义务在专用合同条款中补充约定。</w:t>
      </w:r>
    </w:p>
    <w:p>
      <w:pPr>
        <w:pStyle w:val="5"/>
        <w:keepNext w:val="0"/>
        <w:keepLines w:val="0"/>
        <w:rPr>
          <w:rFonts w:hint="eastAsia" w:ascii="宋体" w:hAnsi="宋体" w:eastAsia="宋体" w:cs="宋体"/>
          <w:sz w:val="24"/>
          <w:szCs w:val="24"/>
        </w:rPr>
      </w:pPr>
      <w:bookmarkStart w:id="70" w:name="_Toc264888897"/>
      <w:r>
        <w:rPr>
          <w:rFonts w:hint="eastAsia" w:ascii="宋体" w:hAnsi="宋体" w:eastAsia="宋体" w:cs="宋体"/>
          <w:sz w:val="24"/>
          <w:szCs w:val="24"/>
        </w:rPr>
        <w:t>3、监理人</w:t>
      </w:r>
      <w:bookmarkEnd w:id="68"/>
      <w:bookmarkEnd w:id="69"/>
      <w:bookmarkEnd w:id="70"/>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3.1 监理人的职责和权力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3.1.1　监理人受发包人的委托，享有合同约定的权力。监理人的权力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3.1.2 监理人发出的任何指示应视为已得到发包人的批准，但监理人无权免除或变更合同约定的发包人和承包人的权利、义务和责任。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3.1.3 合同约定应由承包人承担的义务和责任，不因监理人对承包人提交文件的审查或批准，对工程、材料和设备的检查和检验，以及为实施监理作出的指示等职务行为而减轻或解除。</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3.2 总监理工程师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发包人应在发出开工通知前将总监理工程师的任命通知承包人。总监理工程师更换时，应在调离14 天前通知承包人。总监理工程师短期离开施工场地的，应委派代表代行其职责，并通知承包人。</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3.3 监理人员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3.3.1 总监理工程师可以授权其他监理人员负责执行其指派的一项或多项监理工作。总监理工程师应将被授权监理人员的姓名及其授权范围通知承包人。被授权的监理人员在授权范围内发出的指示视为己得到总监理工程师的同意，与总监理工程师发出的指示具有同等效力。总监理工程师撤销某项授权时，应将撤销授权的决定及时通知承包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3.3.3 承包人对总监理工程师授权的监理人员发出的指示有疑问的，可向总监理工程师提出书面异议，总监理工程师应在48小时内对该指示予以确认、更改或撤销。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3.3.4 除专用合同条款另有约定外，总监理工程师不应将第3.5 款约定应由总监理工程师作出确定的权力授权或委托给其他监理人员。</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3.4 监理人的指示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3.4.1 监理人应按第3.1 款的约定向承包人发出指示，监理人的指示应盖有监理人授权的施工场地机构章，并由总监理工程师或总监理工程师按第3.3.1 项约定授权的监理人员签字。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3.4.2 承包人收到监理人按第3.4.1 项作出的指示后应遵照执行。指示构成变更的，应按第15条处理。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3.4.4 除合同另有约定外，承包人只从总监理工程师或按第3.3.1 项被授权的监理人员处取得指示。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3.4.5 由于监理人未能按合同约定发出指示、指示延误或指示错误而导致承包人费用增加和（或）工期延误的，由发包人承担赔偿责任。</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3.5 商定或确定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3.5.1 合同约定总监理工程师应按照本款对任何事项进行商定或确定时，总监理工程师应与合同当事人协商，尽量达成一致。不能达成一致的，总监理工程师应认真研究后审慎确定。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3.5.2 总监理工程师应将商定或确定的事项通知合同当事人，并附详细依据。对总监理工程师的确定有异议的，构成争议，按照第24 条的约定处理。在争议解决前，双方应暂按总监理工程师的确定执行，按照第24 条的约定对总监理工程师的确定作出修改的，按修改后的结果执行。</w:t>
      </w:r>
    </w:p>
    <w:p>
      <w:pPr>
        <w:pStyle w:val="5"/>
        <w:keepNext w:val="0"/>
        <w:keepLines w:val="0"/>
        <w:rPr>
          <w:rFonts w:hint="eastAsia" w:ascii="宋体" w:hAnsi="宋体" w:eastAsia="宋体" w:cs="宋体"/>
          <w:sz w:val="24"/>
          <w:szCs w:val="24"/>
        </w:rPr>
      </w:pPr>
      <w:bookmarkStart w:id="71" w:name="_Toc264888898"/>
      <w:bookmarkStart w:id="72" w:name="_Toc225315749"/>
      <w:bookmarkStart w:id="73" w:name="_Toc184635101"/>
      <w:r>
        <w:rPr>
          <w:rFonts w:hint="eastAsia" w:ascii="宋体" w:hAnsi="宋体" w:eastAsia="宋体" w:cs="宋体"/>
          <w:sz w:val="24"/>
          <w:szCs w:val="24"/>
        </w:rPr>
        <w:t>4、承包人</w:t>
      </w:r>
      <w:bookmarkEnd w:id="71"/>
      <w:bookmarkEnd w:id="72"/>
      <w:bookmarkEnd w:id="73"/>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4.1 承包人的一般义务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4.1.1 遵守法律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承包人在履行合同过程中应遵守法律，并保证发包人免于承担因承包人违反法律而引起的任何责任。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4.1.2 依法纳税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承包人应按有关法律规定纳税，应缴纳的税金包括在合同价格内。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4.1.3 完成各项承包工作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按合同约定以及监理人根据第３．４款作出的指示，实施、完成全部工程，并修补工程中的任何缺陷。除第５．２款、第６．２款另有约定外，承包人应提供为完成合同工作所需的劳务、材料、施工设备、工程设备和其它物品，并按合同约定负责临时设施的设计、建造、运行、维护、管理和拆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4.1.4 对施工作业和施工方法的完备性负责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承包人应按合同约定的工作内容和施工进度要求，编制施工组织设计和施工措施计划，并对所有施工作业和施工方法的完备性和安全可靠性负责。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4.1.5 保证工程施工和人员的安全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承包人应按第9.2 款约定采取施工安全措施，确保工程及其人员、材料、设备和设施的安全，防止因工程施工造成的人身伤害和财产损失。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4.1.6 负责施工场地及其周边环境与生态的保护工作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承包人应按照第9.4 款约定负责施工场地及其周边环境与生态的保护工作。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4.1.7 避免施工对公众与他人的利益造成损害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在进行合同约定的各项工作时，不得侵害发包人与他人使用公用道路、水源、县政管网等公共设施的权利，避免对邻近的公共设施产生干扰。承包人占用或使用他人的施工场地，影响他人作业或生活的，应承担相应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4.1.8 为他人提供方便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承包人应按监理人的指示为他人在施工场地或附近实施与工程有关的其他各项工作提供可能的条件。除合同另有约定外，提供有关条件的内容和可能发生的费用，由监理人按第3.5 款商定或确定。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4.1.9 工程的维护和照管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除合同另有约定外，合同工程完工证书颁发前，承包人应负责照管和维护工程。合同工程完工证书颁发时尚有部分未完工程的，承包人还应负责该未完工程的照管和维护工作，直至完工后移交给发包人为止。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4.1.10 其他义务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其它义务在专用合同条款中补充约定。</w:t>
      </w:r>
    </w:p>
    <w:p>
      <w:pPr>
        <w:pStyle w:val="6"/>
        <w:jc w:val="both"/>
        <w:rPr>
          <w:rFonts w:hint="eastAsia" w:ascii="宋体" w:hAnsi="宋体" w:eastAsia="宋体" w:cs="宋体"/>
          <w:sz w:val="24"/>
          <w:szCs w:val="24"/>
        </w:rPr>
      </w:pPr>
      <w:r>
        <w:rPr>
          <w:rFonts w:hint="eastAsia" w:ascii="宋体" w:hAnsi="宋体" w:eastAsia="宋体" w:cs="宋体"/>
          <w:sz w:val="24"/>
          <w:szCs w:val="24"/>
        </w:rPr>
        <w:t>4.2 履约担保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承包人应保证其履约担保在发包人颁发合同工程完工证书前一直有效。发包人应在合同工程完工证书颁发后２８天内将履约担保退还给承包人。</w:t>
      </w:r>
    </w:p>
    <w:p>
      <w:pPr>
        <w:pStyle w:val="6"/>
        <w:jc w:val="both"/>
        <w:rPr>
          <w:rFonts w:hint="eastAsia" w:ascii="宋体" w:hAnsi="宋体" w:eastAsia="宋体" w:cs="宋体"/>
          <w:sz w:val="24"/>
          <w:szCs w:val="24"/>
        </w:rPr>
      </w:pPr>
      <w:r>
        <w:rPr>
          <w:rFonts w:hint="eastAsia" w:ascii="宋体" w:hAnsi="宋体" w:eastAsia="宋体" w:cs="宋体"/>
          <w:sz w:val="24"/>
          <w:szCs w:val="24"/>
        </w:rPr>
        <w:t>4.3 分包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4.3.1 承包人不得将其承包的全部工程转包给第三人，或将其承包的全部工程肢解后以分包的名义转包给第三人。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4.3.2 承包人不得将工程主体、关键性工作分包给第三人。除专用合同条款另有约定外，未经发包人同意，承包人不得将工程的其他部分或工作分包给第三人。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4.3.3 分包人的资格能力应与其分包工程的标准和规模相适应。</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4.3.4 按投标函附录约定分包工程的，承包人应向发包人和监理人提交分包合同副本。</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4.3.5 承包人应与分包人就分包工程向发包人承担连带责任。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4.3.6分包分为工程分包和劳务作业分包。工程分包应遵循合同约定或者经发包人书面认可。禁止承包人将本合同工程进行违法分包。分包人应具备与分包工程规模和标准相适应的资质和业绩，在人力、设备、资金等方面具有承担分包工程施工的能力。分包人应自行完成所承包的任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4.3.8承包人和分包人应当签订分包合同，并履行合同约定的义务。分包合同必须遵循承包合同的各项原则，满足承包合同中相应条款的要求。发包人可以对分包合同实施情况进行监督检查。承包人应将分包合同副本提交发包人和监理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4.3.9除第４．３．７项规定的指定分包外，承包人对其分包项目的实施以及分包人的行为向发包人负全部责任。承包人应对分包项目的工程进度、质量、安全、计量和验收等实施监督和管理。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4.3.10分包人应按专用合同条款的约定设立项目管理机构组织管理分包工程的施工活动。</w:t>
      </w:r>
    </w:p>
    <w:p>
      <w:pPr>
        <w:pStyle w:val="6"/>
        <w:jc w:val="both"/>
        <w:rPr>
          <w:rFonts w:hint="eastAsia" w:ascii="宋体" w:hAnsi="宋体" w:eastAsia="宋体" w:cs="宋体"/>
          <w:sz w:val="24"/>
          <w:szCs w:val="24"/>
        </w:rPr>
      </w:pPr>
      <w:r>
        <w:rPr>
          <w:rFonts w:hint="eastAsia" w:ascii="宋体" w:hAnsi="宋体" w:eastAsia="宋体" w:cs="宋体"/>
          <w:sz w:val="24"/>
          <w:szCs w:val="24"/>
        </w:rPr>
        <w:t>4.4承包人项目经理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4.4.1 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4.4.2 承包人项目经理应按合同约定以及监理人按第3 . 4 款作出的指示，负责组织合同工程的实施。在情况紧急且无法与监理人取得联系时，可采取保证工程和人员生命财产安令的紧急措施，并在采取措施后24小时内向监理人提交书面报告。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4.4.3 承包人为履行合同发出的一切函件均应盖有承包人授权的施工场地管理机构章，并由承包人项目经理或其授权代表签字。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4.5.4 承包人项目经理可以授权其下属人员履行其某项职责，但事先应将这些人员的姓名和授权范围通知监理人。</w:t>
      </w:r>
    </w:p>
    <w:p>
      <w:pPr>
        <w:pStyle w:val="6"/>
        <w:jc w:val="both"/>
        <w:rPr>
          <w:rFonts w:hint="eastAsia" w:ascii="宋体" w:hAnsi="宋体" w:eastAsia="宋体" w:cs="宋体"/>
          <w:sz w:val="24"/>
          <w:szCs w:val="24"/>
        </w:rPr>
      </w:pPr>
      <w:r>
        <w:rPr>
          <w:rFonts w:hint="eastAsia" w:ascii="宋体" w:hAnsi="宋体" w:eastAsia="宋体" w:cs="宋体"/>
          <w:sz w:val="24"/>
          <w:szCs w:val="24"/>
        </w:rPr>
        <w:t>4.5 承包人人员的管理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4.5.2 为完成合同约定的各项工作，承包人应向施工场地派遣或雇佣足够数量的下列人员：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(1）具有相应资格的专业技工和合格的普工；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(2）具有相应施工经验的技术人员；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(3）具有相应岗位资格的各级管理人员。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4.5.3 承包人安排在施工场地的主要管理人员和技术骨干应相对稳定。承包人更换主要管理人员和技术骨干时，应取得监理人的同意。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4.5.4 特殊岗位的工作人员均应持有相应的资格证明，监理人有权随时检查。监理人认为有必要时，可进行现场考核。</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4.6 撤换承包人项目经理和其他人员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承包人应对其项目经理和其他人员进行有效管理。监理人要求撤换不能胜任本职工作、行为不端或玩忽职守的承包人项目经理和其他人员的，承包人应予以撤换。</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4.7 保障承包人人员的合法权益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4.7.1 承包人应与其雇佣的人员签订劳动合同，并按时发放工资。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4.7.2 承包人应按劳动法的规定安排工作时间，保证其雇佣人员享有休息和休假的权利。因工程施工的特殊需要占用休假日或延长工作时间的，应不超过法律规定的限度，并按法律规定给予补休或付酬。</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4.7.3 承包人应为其雇佣人员提供必要的食宿条件，以及符合环境保护和卫生要求的生活环境，在远离城镇的施工场地，还应配备必要的伤病防治和急救的医务人员与医疗设施。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4.7.5 承包人应按有关法律规定和合同约定，为其雇佣人员办理保险。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4.7.6 承包人应负责处理其雇佣人员因工伤亡事故的善后事宜。</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4.8 工程价款应专款专用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发包人按合同约定支付给承包人的各项价款应专用于合同工程。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 承包人现场查勘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4.8.1 发包人应将其持有的现场地质勘探资料、水文气象资料提供给承包人，并对其准确胜负责。但承包人应对其阅读上述有关资料后所作出的解释和推断负责。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4.8.2 承包人应对施工场地和周围环境进行查勘，并收集有关地质、水文、气象条件、交通条件、风俗习惯以及其他为完成合同工作有关的当地资料。在全部合同工作中，应视为承包人己充分估计了应承担的责任和风险。</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4.9 不利物质条件</w:t>
      </w:r>
    </w:p>
    <w:p>
      <w:pPr>
        <w:spacing w:line="360" w:lineRule="auto"/>
        <w:ind w:firstLine="480" w:firstLineChars="200"/>
        <w:rPr>
          <w:rFonts w:hint="eastAsia" w:ascii="宋体" w:hAnsi="宋体" w:eastAsia="宋体" w:cs="宋体"/>
          <w:sz w:val="24"/>
          <w:szCs w:val="24"/>
        </w:rPr>
      </w:pPr>
      <w:bookmarkStart w:id="74" w:name="_Toc225315750"/>
      <w:bookmarkStart w:id="75" w:name="_Toc184635102"/>
      <w:r>
        <w:rPr>
          <w:rFonts w:hint="eastAsia" w:ascii="宋体" w:hAnsi="宋体" w:eastAsia="宋体" w:cs="宋体"/>
          <w:sz w:val="24"/>
          <w:szCs w:val="24"/>
        </w:rPr>
        <w:t>4.9.1除专用合同条款另有约定外，不利物质条件是指在施工中遭遇不可预见的外界障碍或自然条件造成施工受阻。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4.9.2承包人遇到不利物质条件时，应采取适应不利物质条件的合理措施继续施工，并及时通知监理人。承包人有权根据第23.1款的约定，要求延长工期及增加费用。监理人收到此类要求后，应在分析上述外界障碍或自然条件是否不可预见及不可预见程度的基础上，按照通用合同条款第１５条的约定办理。</w:t>
      </w:r>
    </w:p>
    <w:p>
      <w:pPr>
        <w:pStyle w:val="5"/>
        <w:keepNext w:val="0"/>
        <w:keepLines w:val="0"/>
        <w:rPr>
          <w:rFonts w:hint="eastAsia" w:ascii="宋体" w:hAnsi="宋体" w:eastAsia="宋体" w:cs="宋体"/>
          <w:sz w:val="24"/>
          <w:szCs w:val="24"/>
        </w:rPr>
      </w:pPr>
      <w:bookmarkStart w:id="76" w:name="_Toc264888899"/>
      <w:r>
        <w:rPr>
          <w:rFonts w:hint="eastAsia" w:ascii="宋体" w:hAnsi="宋体" w:eastAsia="宋体" w:cs="宋体"/>
          <w:sz w:val="24"/>
          <w:szCs w:val="24"/>
        </w:rPr>
        <w:t>5．材料和工程设备</w:t>
      </w:r>
      <w:bookmarkEnd w:id="74"/>
      <w:bookmarkEnd w:id="75"/>
      <w:bookmarkEnd w:id="76"/>
    </w:p>
    <w:p>
      <w:pPr>
        <w:spacing w:line="360" w:lineRule="auto"/>
        <w:rPr>
          <w:rFonts w:hint="eastAsia" w:ascii="宋体" w:hAnsi="宋体" w:eastAsia="宋体" w:cs="宋体"/>
          <w:b/>
          <w:sz w:val="24"/>
          <w:szCs w:val="24"/>
        </w:rPr>
      </w:pPr>
      <w:r>
        <w:rPr>
          <w:rFonts w:hint="eastAsia" w:ascii="宋体" w:hAnsi="宋体" w:eastAsia="宋体" w:cs="宋体"/>
          <w:b/>
          <w:sz w:val="24"/>
          <w:szCs w:val="24"/>
        </w:rPr>
        <w:t>5.1 承包人提供的材料和工程设备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5.1.1 除第５．２款约定由发包人提供的材料和工程设备外，承包人负责采购、运输和保管完成本合同工作所需的材料和工程设备。承包人应对其采购的材料和工程设备负责。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5.1.3 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6"/>
        <w:jc w:val="both"/>
        <w:rPr>
          <w:rFonts w:hint="eastAsia" w:ascii="宋体" w:hAnsi="宋体" w:eastAsia="宋体" w:cs="宋体"/>
          <w:sz w:val="24"/>
          <w:szCs w:val="24"/>
        </w:rPr>
      </w:pPr>
      <w:r>
        <w:rPr>
          <w:rFonts w:hint="eastAsia" w:ascii="宋体" w:hAnsi="宋体" w:eastAsia="宋体" w:cs="宋体"/>
          <w:sz w:val="24"/>
          <w:szCs w:val="24"/>
        </w:rPr>
        <w:t>5.2 发包人提供的材料和工程设备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5.2.1 发包人提供的材料和工程设备，应在专用合同条款中写明材料和工程设备的名称、规格、数量、价格、交货方式、交货地点和计划交货日期等。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5.2.2 承包人应根据合同进度计划的安排，向监理人报送要求发包人交货的日期计划。发包人应按照监理人与合同双方当事人商定的交货日期，向承包人提交材料和工程设备。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5.2.3发包人应在材料和工程设备到货７天前通知承包人，承包人应会同监理人在约定的时间内，赴交货地点共同进行验收。发包人提供的材料和工程设备运至交货地点验收后，由承包人负责接收、卸货、运输和保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5.2.4 发包人要求向承包人提前交货的，承包人不得拒绝，但发包人应承担承包人由此增加的费用。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5.2.5 承包人要求更改交货日期或地点的，应事先报请监理人批准。由于承包人要求更改交货时间或地点所增加的费用和（或）工期延误由承包人承担。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5.3 材料和工程设备专用于合同工程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5.3.1 运入施工场地的材料、工程设备，包括备品备件、安装专用工器具与随机资料，必须专用于合同工程，未经监理人同意，承包人不得运出施工场地或挪作他用。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5.4 禁止使用不合格的材料和工程设备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5.4.1 监理人有权拒绝承包人提供的不合格材料或工程设备，并要求承包人立即进行更换。监理人应在更换后再次进行检查和检验，由此增加的费用和（或）工期延误由承包人承担。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5.4.2 监理人发现承包人使用了不合格的材料和工程设备，应即时发出指示要求承包人立即改正，并禁止在工程中继续使用不合格的材料和工程设备。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5.4.3 发包人提供的材料或工程设备不符合合同要求的，承包人有权拒绝，并可要求发包人更换，由此增加的费用和（或）工期延误由发包人承担。</w:t>
      </w:r>
    </w:p>
    <w:p>
      <w:pPr>
        <w:pStyle w:val="5"/>
        <w:keepNext w:val="0"/>
        <w:keepLines w:val="0"/>
        <w:rPr>
          <w:rFonts w:hint="eastAsia" w:ascii="宋体" w:hAnsi="宋体" w:eastAsia="宋体" w:cs="宋体"/>
          <w:sz w:val="24"/>
          <w:szCs w:val="24"/>
        </w:rPr>
      </w:pPr>
      <w:bookmarkStart w:id="77" w:name="_Toc184635103"/>
      <w:bookmarkStart w:id="78" w:name="_Toc264888900"/>
      <w:bookmarkStart w:id="79" w:name="_Toc225315751"/>
      <w:r>
        <w:rPr>
          <w:rFonts w:hint="eastAsia" w:ascii="宋体" w:hAnsi="宋体" w:eastAsia="宋体" w:cs="宋体"/>
          <w:sz w:val="24"/>
          <w:szCs w:val="24"/>
        </w:rPr>
        <w:t>6、施工设备和临时设施</w:t>
      </w:r>
      <w:bookmarkEnd w:id="77"/>
      <w:bookmarkEnd w:id="78"/>
      <w:bookmarkEnd w:id="79"/>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6.1 承包人提供的施工设备和临时设施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6.1.1 承包人应按合同进度计划的要求，及时配置施工设备和修建临时设施。进入施工场地的承包人设备需经监理人核查后才能投入使用。承包人更换合同约定的承包人设备的，应报监理人批准。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6.1.2 除专用合同条款另有约定外，承包人应自行承担修建临时设施的费用，需要临时占地的，应由发包人办理申请手续并承担相应费用。</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6.2 发包人提供的施工设备和临时设施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发包人提供的施工设备或临时设施在专用合同条款中约定。</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6.3 要求承包人增加或更换施工设备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承包人使用的施工设备不能满足合同进度计划和（或）质量要求时，监理人有权要求承包人增加或更换施工设备，承包人应及时增加或更换，由此增加的费用和（或）工期延误由承包人承担。</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6.4 施工设备和临时设施专用于合同工程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6.4.1 除合同另有约定外，运入施工场地的所有施工设备以及在施工场地建设的临时设施应专用于合同工程。未经监理人同意，不得将上述施工设备和临时设施中的任何部分运出施工场地或挪作他用。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6.4.2 经监理人同意，承包人可根据合同进度计划撤走闲置的施工设备。</w:t>
      </w:r>
    </w:p>
    <w:p>
      <w:pPr>
        <w:pStyle w:val="5"/>
        <w:keepNext w:val="0"/>
        <w:keepLines w:val="0"/>
        <w:rPr>
          <w:rFonts w:hint="eastAsia" w:ascii="宋体" w:hAnsi="宋体" w:eastAsia="宋体" w:cs="宋体"/>
          <w:sz w:val="24"/>
          <w:szCs w:val="24"/>
        </w:rPr>
      </w:pPr>
      <w:bookmarkStart w:id="80" w:name="_Toc264888901"/>
      <w:bookmarkStart w:id="81" w:name="_Toc184635104"/>
      <w:bookmarkStart w:id="82" w:name="_Toc225315752"/>
      <w:r>
        <w:rPr>
          <w:rFonts w:hint="eastAsia" w:ascii="宋体" w:hAnsi="宋体" w:eastAsia="宋体" w:cs="宋体"/>
          <w:sz w:val="24"/>
          <w:szCs w:val="24"/>
        </w:rPr>
        <w:t>7．交通运输</w:t>
      </w:r>
      <w:bookmarkEnd w:id="80"/>
      <w:bookmarkEnd w:id="81"/>
      <w:bookmarkEnd w:id="82"/>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7.1 道路通行权和场外设施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合同条款另有约定外，承包人应根据合同工程的施工需要，负责办理取得出入施工场地的专用和临时道路的通行权，以及取得为工程建设所需修建场外设施的权利，并承担相关费用。发包人应协助承包人办理上述手续。</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7.2 场内施工道路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7.2.1除本合同约定由发包人提供的部分道路和交通设施外，承包人应负责修建、维修、养护和管理其施工所需的全部临时道路和交通设施（包括合同约定由发包人提供的部分道路和交通设施的维修、养护和管理），并承担相应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7.2.2承包人修建的临时道路和交通设施，应免费提供发包人、监理人以及与本合同有关的其他承包人使用。</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7.3 场外交通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7.3.1 承包人车辆外出行驶所需的场外公共道路的通行费、养路费和税款等由承包人承担。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7.3.2 承包人应遵守有关交通法规，严格按照道路和桥梁的限制荷重安全行驶，并服从交通管理部门的检查和监督。</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7.4 超大件和超重件的运输</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7.5 道路和桥梁的损坏责任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因承包人运输造成施工场地内外公共道路和桥梁损坏的，由承包人承担修复损坏的全部费用和可能引起的赔偿。</w:t>
      </w:r>
    </w:p>
    <w:p>
      <w:pPr>
        <w:pStyle w:val="5"/>
        <w:keepNext w:val="0"/>
        <w:keepLines w:val="0"/>
        <w:rPr>
          <w:rFonts w:hint="eastAsia" w:ascii="宋体" w:hAnsi="宋体" w:eastAsia="宋体" w:cs="宋体"/>
          <w:sz w:val="24"/>
          <w:szCs w:val="24"/>
        </w:rPr>
      </w:pPr>
      <w:bookmarkStart w:id="83" w:name="_Toc184635105"/>
      <w:bookmarkStart w:id="84" w:name="_Toc225315753"/>
      <w:bookmarkStart w:id="85" w:name="_Toc264888902"/>
      <w:r>
        <w:rPr>
          <w:rFonts w:hint="eastAsia" w:ascii="宋体" w:hAnsi="宋体" w:eastAsia="宋体" w:cs="宋体"/>
          <w:sz w:val="24"/>
          <w:szCs w:val="24"/>
        </w:rPr>
        <w:t>8．测量放线</w:t>
      </w:r>
      <w:bookmarkEnd w:id="83"/>
      <w:bookmarkEnd w:id="84"/>
      <w:bookmarkEnd w:id="85"/>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8.1 施工控制网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8.1.1 除专用合同条款另有约定外，施工控制网由承包人负责测设，发包人应在本合同协议书签订后的14天内，向承包人提供测量基准点、基准线和水准点及其相关资料。承包人应在收到上述资料后的28天内，将施测的施工控制网资料提交监理人审批。监理人应在收到报批件后的14天内批复承包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8.1.2 承包人应负责管理施工控制网点。施工控制网点丢失或损坏的，承包人应及时修复。承包人应承担施工控制网点的管理与修复费用，并在工程竣工后将施工控制网点移交发包人。</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8.2 施工测量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8.2.1 承包人应负责施工过程中的全部施工测量放线工作，并配置合格的人员、仪器、设备和其他物品。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8.2.2 监理人可以指示承包人进行抽样复测，当复测中发现错误或出现超过合同约定的误差时，承包人应按监理人指示进行修正或补测，并承担相应的复测费用。</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8.3 基准资料错误的责任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8.4 监理人使用施工控制网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监理人需要使用施工控制网的，承包人应提供必要的协助，发包人不再为此支付费用。</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8.5补充地质勘探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w:t>
      </w:r>
    </w:p>
    <w:p>
      <w:pPr>
        <w:pStyle w:val="5"/>
        <w:keepNext w:val="0"/>
        <w:keepLines w:val="0"/>
        <w:rPr>
          <w:rFonts w:hint="eastAsia" w:ascii="宋体" w:hAnsi="宋体" w:eastAsia="宋体" w:cs="宋体"/>
          <w:sz w:val="24"/>
          <w:szCs w:val="24"/>
        </w:rPr>
      </w:pPr>
      <w:bookmarkStart w:id="86" w:name="_Toc225315754"/>
      <w:bookmarkStart w:id="87" w:name="_Toc264888903"/>
      <w:bookmarkStart w:id="88" w:name="_Toc184635106"/>
      <w:r>
        <w:rPr>
          <w:rFonts w:hint="eastAsia" w:ascii="宋体" w:hAnsi="宋体" w:eastAsia="宋体" w:cs="宋体"/>
          <w:sz w:val="24"/>
          <w:szCs w:val="24"/>
        </w:rPr>
        <w:t>9．施工安全、治安保卫和环境保护</w:t>
      </w:r>
      <w:bookmarkEnd w:id="86"/>
      <w:bookmarkEnd w:id="87"/>
      <w:bookmarkEnd w:id="88"/>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9.1 发包人的施工安全责任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9.1.1 发包人应按合同约定履行安全职责。发包人委托监理人根据国家有关安全的法律、法规、强制性标准以及部门规章，对承包人的安全责任履行情况进行监督和检查。监理人的监督检查不减轻承包人应负的安全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9.1.2 发包人应对其现场机构雇佣的全部人员的工伤事故承担责任，但由于承包人原因造成发包人人员工伤的，应由承包人承担责任。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9.1.3 发包人应负责赔偿以下各种情况造成的第三者人身伤亡和财产损失：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(l）工程或工程的任何部分对土地的占用所造成的第三者财产损失；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(2）由于发包人原因在施工场地及其毗邻地带造成的第三者人身伤亡和财产损失。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9.1.5　发包人按照已标价工程量清单所列金额和合同约定的计量支付规定，支付安全作业环境及安全施工措施所需费用。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9.1.6发包人负责组织工程参建单位编制保证安全生产的措施方案。工程开工前，就落实保证安全生产的措施进行全面系统的布置，进一步明确承包人的安全生产责任。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9.1.7发包人负责在拆除工程和爆破工程施工14天前向有关部门或机构报送相关备案资料。</w:t>
      </w:r>
    </w:p>
    <w:p>
      <w:pPr>
        <w:pStyle w:val="6"/>
        <w:jc w:val="both"/>
        <w:rPr>
          <w:rFonts w:hint="eastAsia" w:ascii="宋体" w:hAnsi="宋体" w:eastAsia="宋体" w:cs="宋体"/>
          <w:sz w:val="24"/>
          <w:szCs w:val="24"/>
        </w:rPr>
      </w:pPr>
      <w:r>
        <w:rPr>
          <w:rFonts w:hint="eastAsia" w:ascii="宋体" w:hAnsi="宋体" w:eastAsia="宋体" w:cs="宋体"/>
          <w:sz w:val="24"/>
          <w:szCs w:val="24"/>
        </w:rPr>
        <w:t>9.2 承包人的施工安全责任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9.2.1 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9.2.2 承包人应加强施工作业安全管理，特别应加强易燃、易爆材料、火工器材、有毒与腐蚀性材料和其他危险品的管理，以及对爆破作业和地下工程施工等危险作业的管理。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9.2.3 承包人应严格按照国家安全标准制定施工安全操作规程，配备必要的安全生产和劳动保护设施，加强对承包人人员的安全教育，并发放安全工作手册和劳动保护用具。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9.2.4 承包人应按监理人的指示制定应对灾害的紧急预案，报送监理人审批。承包人还应按预案做好安全检查，配置必要的救助物资和器材，切实保护好有关人员的人身和财产安全。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9.2.5 合同约定的安全作业环境及安全施工措施所需费用应遵守有关规定，并包括在相关工作的合同价格中。因采取合同未约定的安全作业环境及安全施工措施增加的费用，由监理人按第3.5 款商定或确定。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9.2.6 承包人应对其履行合同所雇佣的全部人员，包括分包人人员的工伤事故承担责任，但由于发包人原因造成承包人人员工伤事故的，应由发包人承担责任。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9.2.7 由于承包人原因在施工场地内及其毗邻地带造成的第三者人员伤亡和财产损失，由承包人负责赔偿。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9.2.8承包人已标价工程量清单应包含工程安全作业环境及安全施工措施所需费用。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9.2.9承包人应建立健全安全生产责任制度和安全生产教育培训制度，制定安全生产规章制度和操作规程，保证本单位建立和完善安全生产条件所需资金的投入，对本工程进行定期和专项安全检查，并做好安全检查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9.2.10承包人应设立安全生产管理机构，施工现场应有专职安全生产管理人员。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9.2.11承包人应负责对特种作业人员进行专门的安全作业培训，并保证特种作业人员持证上岗。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9.2.12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9.2.13承包人在使用施工起重机械和整体提升脚手架、模板等自升式架设设施前，应组织有关单位进行验收。</w:t>
      </w:r>
    </w:p>
    <w:p>
      <w:pPr>
        <w:pStyle w:val="6"/>
        <w:jc w:val="both"/>
        <w:rPr>
          <w:rFonts w:hint="eastAsia" w:ascii="宋体" w:hAnsi="宋体" w:eastAsia="宋体" w:cs="宋体"/>
          <w:sz w:val="24"/>
          <w:szCs w:val="24"/>
        </w:rPr>
      </w:pPr>
      <w:r>
        <w:rPr>
          <w:rFonts w:hint="eastAsia" w:ascii="宋体" w:hAnsi="宋体" w:eastAsia="宋体" w:cs="宋体"/>
          <w:sz w:val="24"/>
          <w:szCs w:val="24"/>
        </w:rPr>
        <w:t>9.3 治安保卫</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9.3.1 除合同另有约定外，发包人应与当地公安部门协商，在现场建立治安管理机构或联防组织，统一管理施工场地的治安保卫事项，履行合同工程的治安保卫职责。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9.3.2 发包人和承包人除应协助现场治安管理机构或联防组织维护施工场地的社会治安外，还应做好包括生活区在内的各自管辖区的治安保卫工作。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6"/>
        <w:jc w:val="both"/>
        <w:rPr>
          <w:rFonts w:hint="eastAsia" w:ascii="宋体" w:hAnsi="宋体" w:eastAsia="宋体" w:cs="宋体"/>
          <w:sz w:val="24"/>
          <w:szCs w:val="24"/>
        </w:rPr>
      </w:pPr>
      <w:r>
        <w:rPr>
          <w:rFonts w:hint="eastAsia" w:ascii="宋体" w:hAnsi="宋体" w:eastAsia="宋体" w:cs="宋体"/>
          <w:sz w:val="24"/>
          <w:szCs w:val="24"/>
        </w:rPr>
        <w:t>9.4 环境保护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9.4.1 承包人在施工过程中，应遵守有关环境保护的法律，履行合同约定的环境保护义务，并对违反法律和合同约定义务所造成的环境破坏、人身伤害和财产损失负责。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9.4.2 承包人应按合同约定的环保工作内容，编制施工环保措施计划，报送监理人审批。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9.4.4 承包人应按合同约定采取有效措施，对施工开挖的边坡及时进行支护，维护排水设施，并进行水土保护，避免因施工造成的地质灾害。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9.4.5 承包人应按国家饮用水管理标准定期对饮用水源进行监测，防止施工活动污染饮用水源。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9.4.6 承包人应按合同约定，加强对噪声、粉尘、废气、废水和废油的控制，努力降低噪声，控制粉尘和废气浓度，做好废水和废油的治理和排放。</w:t>
      </w:r>
    </w:p>
    <w:p>
      <w:pPr>
        <w:pStyle w:val="6"/>
        <w:jc w:val="both"/>
        <w:rPr>
          <w:rFonts w:hint="eastAsia" w:ascii="宋体" w:hAnsi="宋体" w:eastAsia="宋体" w:cs="宋体"/>
          <w:sz w:val="24"/>
          <w:szCs w:val="24"/>
        </w:rPr>
      </w:pPr>
      <w:r>
        <w:rPr>
          <w:rFonts w:hint="eastAsia" w:ascii="宋体" w:hAnsi="宋体" w:eastAsia="宋体" w:cs="宋体"/>
          <w:sz w:val="24"/>
          <w:szCs w:val="24"/>
        </w:rPr>
        <w:t>9.5 事故处理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9.5.1发包人负责组织参建单位制定本工程的质量与安全事故应急预案，建立质量与安全事故应急处置指挥部。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9.5.2承包人应对施工现场易发生重大事故的部位、环节进行监控，配备救援器材、设备，并定期组织演练。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9.5.3工程开工前，承包人应根据本工程的特点制定施工现场施工质量与安全事故应急预案，并报发包人备案。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9.5.4施工过程中发生事故时，发包人、承包人应立即启动应急预案。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9.5.5事故调查处理由发包人按相关规定履行手续，承包人应配合。</w:t>
      </w:r>
    </w:p>
    <w:p>
      <w:pPr>
        <w:pStyle w:val="6"/>
        <w:jc w:val="both"/>
        <w:rPr>
          <w:rFonts w:hint="eastAsia" w:ascii="宋体" w:hAnsi="宋体" w:eastAsia="宋体" w:cs="宋体"/>
          <w:sz w:val="24"/>
          <w:szCs w:val="24"/>
        </w:rPr>
      </w:pPr>
      <w:r>
        <w:rPr>
          <w:rFonts w:hint="eastAsia" w:ascii="宋体" w:hAnsi="宋体" w:eastAsia="宋体" w:cs="宋体"/>
          <w:sz w:val="24"/>
          <w:szCs w:val="24"/>
        </w:rPr>
        <w:t>9.6　水土保持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9.6.1发包人应及时向承包人提供水土保持方案。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9.6.2承包人在施工过程中，应遵守有关水土保持的法律法规和规章，履行合同约定的水土保持义务，并对其违反法律和合同约定义务所造成的水土流失灾害、人身伤害和财产损失负责。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9.6.3承包人的水土保持措施计划，应满足技术标准和要求（合同技术条款）约定的要求。</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9.7文明工地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9.7.1发包人应按专用合同条款的约定，负责建立创建文明建设工地的组织机构，制定创建文明建设工地的规划和办法。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9.7.2承包人应按创建文明建设工地的规划和办法，履行职责，承担相应责任。所需费用应含在已标价工程量清单中。</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9.8防汛度汛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9.8.1发包人负责组织工程参建单位编制本工程的度汛方案和措施。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9.8.2承包人应根据发包人编制的本工程度汛方案和措施，制定相应的度汛方案，报发包人批准后实施。</w:t>
      </w:r>
    </w:p>
    <w:p>
      <w:pPr>
        <w:pStyle w:val="5"/>
        <w:keepNext w:val="0"/>
        <w:keepLines w:val="0"/>
        <w:rPr>
          <w:rFonts w:hint="eastAsia" w:ascii="宋体" w:hAnsi="宋体" w:eastAsia="宋体" w:cs="宋体"/>
          <w:sz w:val="24"/>
          <w:szCs w:val="24"/>
        </w:rPr>
      </w:pPr>
      <w:bookmarkStart w:id="89" w:name="_Toc184635107"/>
      <w:bookmarkStart w:id="90" w:name="_Toc225315755"/>
      <w:bookmarkStart w:id="91" w:name="_Toc264888904"/>
      <w:r>
        <w:rPr>
          <w:rFonts w:hint="eastAsia" w:ascii="宋体" w:hAnsi="宋体" w:eastAsia="宋体" w:cs="宋体"/>
          <w:sz w:val="24"/>
          <w:szCs w:val="24"/>
        </w:rPr>
        <w:t>10．进度计划</w:t>
      </w:r>
      <w:bookmarkEnd w:id="89"/>
      <w:bookmarkEnd w:id="90"/>
      <w:bookmarkEnd w:id="91"/>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10.1 合同进度计划</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10.2 合同进度计划的修订</w:t>
      </w:r>
    </w:p>
    <w:p>
      <w:pPr>
        <w:spacing w:line="360" w:lineRule="auto"/>
        <w:ind w:firstLine="480" w:firstLineChars="200"/>
        <w:rPr>
          <w:rFonts w:hint="eastAsia" w:ascii="宋体" w:hAnsi="宋体" w:eastAsia="宋体" w:cs="宋体"/>
          <w:sz w:val="24"/>
          <w:szCs w:val="24"/>
        </w:rPr>
      </w:pPr>
      <w:bookmarkStart w:id="92" w:name="_Toc184635108"/>
      <w:bookmarkStart w:id="93" w:name="_Toc225315756"/>
      <w:r>
        <w:rPr>
          <w:rFonts w:hint="eastAsia" w:ascii="宋体" w:hAnsi="宋体" w:eastAsia="宋体" w:cs="宋体"/>
          <w:sz w:val="24"/>
          <w:szCs w:val="24"/>
        </w:rPr>
        <w:t>不论何种原因造成工程的实际进度与第10．1款的合同进度计划不符时，承包人均应在14天内向监理人提交修订合同进度计划的申请报告，并附有关措施和相关资料，报监理人审批，监理人应在收到申请报告后的14天内批复。当监理人认为需要修订合同进度计划时，承包人应按监理人的指示，在14天内向监理人提交修订的合同进度计划，并附调整计划的相关资料，提交监理人审批。监理人应在收到进度计划后的14天内批复。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10.3单位工程进度计划</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监理人认为有必要时，承包人应按监理人指示的内容和期限，并根据合同进度计划的进度控制要求，编制单位工程进度计划，提交监理人审批。</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10.4提交资金流估算表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w:t>
      </w:r>
    </w:p>
    <w:p>
      <w:pPr>
        <w:spacing w:line="360" w:lineRule="auto"/>
        <w:ind w:firstLine="3754" w:firstLineChars="1558"/>
        <w:rPr>
          <w:rFonts w:hint="eastAsia" w:ascii="宋体" w:hAnsi="宋体" w:eastAsia="宋体" w:cs="宋体"/>
          <w:b/>
          <w:sz w:val="24"/>
          <w:szCs w:val="24"/>
        </w:rPr>
      </w:pPr>
    </w:p>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资金流估算表（参考格式）                         </w:t>
      </w:r>
      <w:r>
        <w:rPr>
          <w:rFonts w:hint="eastAsia" w:ascii="宋体" w:hAnsi="宋体" w:eastAsia="宋体" w:cs="宋体"/>
          <w:sz w:val="24"/>
          <w:szCs w:val="24"/>
        </w:rPr>
        <w:t xml:space="preserve"> 金额单位</w:t>
      </w:r>
    </w:p>
    <w:tbl>
      <w:tblPr>
        <w:tblStyle w:val="19"/>
        <w:tblW w:w="955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956"/>
        <w:gridCol w:w="955"/>
        <w:gridCol w:w="956"/>
        <w:gridCol w:w="955"/>
        <w:gridCol w:w="956"/>
        <w:gridCol w:w="955"/>
        <w:gridCol w:w="956"/>
        <w:gridCol w:w="955"/>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955" w:type="dxa"/>
            <w:noWrap w:val="0"/>
            <w:vAlign w:val="center"/>
          </w:tcPr>
          <w:p>
            <w:pPr>
              <w:spacing w:line="360" w:lineRule="auto"/>
              <w:ind w:firstLine="2584" w:firstLineChars="1077"/>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年</w:t>
            </w:r>
          </w:p>
        </w:tc>
        <w:tc>
          <w:tcPr>
            <w:tcW w:w="956" w:type="dxa"/>
            <w:noWrap w:val="0"/>
            <w:vAlign w:val="center"/>
          </w:tcPr>
          <w:p>
            <w:pPr>
              <w:spacing w:line="360" w:lineRule="auto"/>
              <w:ind w:left="1182"/>
              <w:jc w:val="center"/>
              <w:rPr>
                <w:rFonts w:hint="eastAsia" w:ascii="宋体"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月</w:t>
            </w:r>
          </w:p>
        </w:tc>
        <w:tc>
          <w:tcPr>
            <w:tcW w:w="955"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工程预付款</w:t>
            </w:r>
          </w:p>
        </w:tc>
        <w:tc>
          <w:tcPr>
            <w:tcW w:w="956"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完成工作量付款</w:t>
            </w:r>
          </w:p>
        </w:tc>
        <w:tc>
          <w:tcPr>
            <w:tcW w:w="955"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质量保证金扣留</w:t>
            </w:r>
          </w:p>
        </w:tc>
        <w:tc>
          <w:tcPr>
            <w:tcW w:w="956"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材料款扣除</w:t>
            </w:r>
          </w:p>
        </w:tc>
        <w:tc>
          <w:tcPr>
            <w:tcW w:w="955"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预付款扣还</w:t>
            </w:r>
          </w:p>
        </w:tc>
        <w:tc>
          <w:tcPr>
            <w:tcW w:w="956"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其它</w:t>
            </w:r>
          </w:p>
        </w:tc>
        <w:tc>
          <w:tcPr>
            <w:tcW w:w="95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应收款</w:t>
            </w:r>
          </w:p>
        </w:tc>
        <w:tc>
          <w:tcPr>
            <w:tcW w:w="956"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累计应收款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trPr>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c>
          <w:tcPr>
            <w:tcW w:w="955" w:type="dxa"/>
            <w:noWrap w:val="0"/>
            <w:vAlign w:val="top"/>
          </w:tcPr>
          <w:p>
            <w:pPr>
              <w:spacing w:line="360" w:lineRule="auto"/>
              <w:rPr>
                <w:rFonts w:hint="eastAsia" w:ascii="宋体" w:hAnsi="宋体" w:eastAsia="宋体" w:cs="宋体"/>
                <w:sz w:val="24"/>
                <w:szCs w:val="24"/>
              </w:rPr>
            </w:pPr>
          </w:p>
        </w:tc>
        <w:tc>
          <w:tcPr>
            <w:tcW w:w="956" w:type="dxa"/>
            <w:noWrap w:val="0"/>
            <w:vAlign w:val="top"/>
          </w:tcPr>
          <w:p>
            <w:pPr>
              <w:spacing w:line="360" w:lineRule="auto"/>
              <w:rPr>
                <w:rFonts w:hint="eastAsia" w:ascii="宋体" w:hAnsi="宋体" w:eastAsia="宋体" w:cs="宋体"/>
                <w:sz w:val="24"/>
                <w:szCs w:val="24"/>
              </w:rPr>
            </w:pPr>
          </w:p>
        </w:tc>
      </w:tr>
    </w:tbl>
    <w:p>
      <w:pPr>
        <w:pStyle w:val="5"/>
        <w:keepNext w:val="0"/>
        <w:keepLines w:val="0"/>
        <w:rPr>
          <w:rFonts w:hint="eastAsia" w:ascii="宋体" w:hAnsi="宋体" w:eastAsia="宋体" w:cs="宋体"/>
          <w:sz w:val="24"/>
          <w:szCs w:val="24"/>
        </w:rPr>
      </w:pPr>
      <w:bookmarkStart w:id="94" w:name="_Toc264888905"/>
      <w:r>
        <w:rPr>
          <w:rFonts w:hint="eastAsia" w:ascii="宋体" w:hAnsi="宋体" w:eastAsia="宋体" w:cs="宋体"/>
          <w:sz w:val="24"/>
          <w:szCs w:val="24"/>
        </w:rPr>
        <w:t>11、开工和竣工</w:t>
      </w:r>
      <w:bookmarkEnd w:id="92"/>
      <w:bookmarkEnd w:id="93"/>
      <w:bookmarkEnd w:id="94"/>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11.1 开工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11.1.1 监理人应在开工日期7 天前向承包人发出开工通知。监理人在发出开工通知前应获得发包人同意。工期自监理人发出的开工通知中载明的开工日期起计算。承包人应在开工日期后尽快施工。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11.1.2 承包人应按第10.1 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11.1.3若发包人未能按合同约定向承包人提供开工的必要条件，承包人有权要求延长工期。监理人应在收到承包人的书面要求后，按第3．5款的约定，与合同双方商定或确定增加的费用和延长的工期。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11.1.4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11.2 竣工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承包人应在第1.1.4.3目约定的期限内完成合同工程。合同工程实际完工日期在合同工程完工证书中明确。</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11.3 发包人的工期延误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在履行合同过程中，由于发包人的下列原因造成工期延误的，承包人有权要求发包人延长工期和（或）增加费用，并支付合理利润。需要修订合同进度计划的，按照第10.2 款的约定办理。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(l）增加合同工作内容；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(2）改变合同中任何一项工作的质量要求或其他特性；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(3）发包人迟延提供材料、工程设备或变更交货地点的；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(4）因发包人原因导致的暂停施工；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(5）提供图纸延误；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(6）未按合同约定及时支付预付款、进度款；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(7）发包人造成工期延误的其他原因。</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11.4 异常恶劣的气候条件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由于出现专用合同条款规定的异常恶劣气候的条件导致工期延误的，承包人有权要求发包人延长工期。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11.4.1 当工程所在地发生危及施工安全的异常恶劣气候时，发包人和承包人应按本合同通用合同条款第12条的约定，及时采取暂停施工或部分暂停施工措施。异常恶劣气候条件解除后，承包人应及时安排复工。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11.4.2 异常恶劣气候条件造成的工期延误和工程损坏，应由发包人与承包人参照本合同通用合同条款第21．3款的约定协商处理。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11.4.3 本合同工程界定异常恶劣气候条件的范围在专用合同条款中约定。</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11.5 承包人的工期延误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11.6 工期提前</w:t>
      </w:r>
    </w:p>
    <w:p>
      <w:pPr>
        <w:spacing w:line="360" w:lineRule="auto"/>
        <w:ind w:firstLine="480" w:firstLineChars="200"/>
        <w:rPr>
          <w:rFonts w:hint="eastAsia" w:ascii="宋体" w:hAnsi="宋体" w:eastAsia="宋体" w:cs="宋体"/>
          <w:sz w:val="24"/>
          <w:szCs w:val="24"/>
        </w:rPr>
      </w:pPr>
      <w:bookmarkStart w:id="95" w:name="_Toc184635109"/>
      <w:bookmarkStart w:id="96" w:name="_Toc225315757"/>
      <w:r>
        <w:rPr>
          <w:rFonts w:hint="eastAsia" w:ascii="宋体" w:hAnsi="宋体" w:eastAsia="宋体" w:cs="宋体"/>
          <w:sz w:val="24"/>
          <w:szCs w:val="24"/>
        </w:rPr>
        <w:t>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发包人要求提前完工的，双方协商一致后应签订提前完工协议，协议内容包括：</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提前的时间和修订后的进度计划；</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承包人的赶工措施；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发包人为赶工提供的条件；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赶工费用（包括利润和奖金）。</w:t>
      </w:r>
    </w:p>
    <w:p>
      <w:pPr>
        <w:pStyle w:val="5"/>
        <w:keepNext w:val="0"/>
        <w:keepLines w:val="0"/>
        <w:rPr>
          <w:rFonts w:hint="eastAsia" w:ascii="宋体" w:hAnsi="宋体" w:eastAsia="宋体" w:cs="宋体"/>
          <w:sz w:val="24"/>
          <w:szCs w:val="24"/>
        </w:rPr>
      </w:pPr>
      <w:bookmarkStart w:id="97" w:name="_Toc264888906"/>
      <w:r>
        <w:rPr>
          <w:rFonts w:hint="eastAsia" w:ascii="宋体" w:hAnsi="宋体" w:eastAsia="宋体" w:cs="宋体"/>
          <w:sz w:val="24"/>
          <w:szCs w:val="24"/>
        </w:rPr>
        <w:t>12．暂停施工</w:t>
      </w:r>
      <w:bookmarkEnd w:id="95"/>
      <w:bookmarkEnd w:id="96"/>
      <w:bookmarkEnd w:id="97"/>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12.1 承包人暂停施工的责任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因下列暂停施工增加的费用和（或）工期延误由承包人承担：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(1）承包人违约引起的暂停施工；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(2）由于承包人原因为工程合理施工和安全保障所必需的暂停施工；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(3）承包人擅自暂停施工；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(4）承包人其他原因引起的暂停施工；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(5）专用合同条款约定由承包人承担的其他暂停施工。</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12.2 发包人暂停施工的责任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由于发包人原因引起的暂停施工造成工期延误的，承包人有权要求发包人延长工期和（或）增加费用，并支付合理利润。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属于下列任何一种情况引起的暂停施工，均为发包人的责任：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由于发包人违约引起的暂停施工；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由于不可抗力的自然或社会因素引起的暂停施工；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专用合同条款中约定的其它由于发包人原因引起的暂停施工。</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12.3 监理人暂停施工指示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12.3.1 监理人认为有必要时，可向承包人作出暂停施工的指示，承包人应按监理人指示暂停施工。不论由于何种原因引起的暂停施工，暂停施工期间承包人应负责妥善保护工程并提供安全保障。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12.4 暂停施工后的复工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12.4.2 承包人无故拖延和拒绝复工的，由此增加的费用和工期延误由承包人承担；因发包人原因无法按时复工的，承包人有权要求发包人延长工期和（或）增加费用，并支付合理利润。</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12.5 暂停施工持续56 天以上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12.5.1 监理人发出暂停施工指示后56 天内未向承包人发出复工通知，除了该项停工属于第12.1 款的情况外，承包人可向监理人提交书面通知，要求监理人在收到书面通知后28天内准许已暂停施工的工程或其中一部分工程继续施工。如监理人逾期不予批准，则承包人可以通知监理人，将工程受影响的部分视为按第15.1(l）项的可取消工作。如暂停施工影响到整个工程，可视为发包人违约，应按第22.2 款的规定办理。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12.5.2 由于承包人责任引起的暂停施工，如承包人在收到监理人暂停施工指示后56 天内不认真采取有效的复工措施，造成工期延误，可视为承包人违约，应按第22.1 款的规定办理。</w:t>
      </w:r>
    </w:p>
    <w:p>
      <w:pPr>
        <w:pStyle w:val="5"/>
        <w:keepNext w:val="0"/>
        <w:keepLines w:val="0"/>
        <w:rPr>
          <w:rFonts w:hint="eastAsia" w:ascii="宋体" w:hAnsi="宋体" w:eastAsia="宋体" w:cs="宋体"/>
          <w:sz w:val="24"/>
          <w:szCs w:val="24"/>
        </w:rPr>
      </w:pPr>
      <w:bookmarkStart w:id="98" w:name="_Toc184635110"/>
      <w:bookmarkStart w:id="99" w:name="_Toc264888907"/>
      <w:bookmarkStart w:id="100" w:name="_Toc225315758"/>
      <w:r>
        <w:rPr>
          <w:rFonts w:hint="eastAsia" w:ascii="宋体" w:hAnsi="宋体" w:eastAsia="宋体" w:cs="宋体"/>
          <w:sz w:val="24"/>
          <w:szCs w:val="24"/>
        </w:rPr>
        <w:t>13．工程质量</w:t>
      </w:r>
      <w:bookmarkEnd w:id="98"/>
      <w:bookmarkEnd w:id="99"/>
      <w:bookmarkEnd w:id="100"/>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13.1 工程质量要求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13.1.1 工程质量验收按合同约定验收标准执行。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13.1.2 因承包人原因造成工程质量达不到合同约定验收标准的，监理人有权要求承包人返工直至符合合同要求为止，由此造成的费用增加和（或）工期延误由承包人承担。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13.1.3 因发包人原因造成工程质量达不到合同约定验收标准的，发包人应承担由于承包人返工造成的费用增加和（或）工期延误，并支付承包人合理利润。</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13.2 承包人的质量管理</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13.2.1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13.2.2 承包人应加强对施工人员的质量教育和技术培训，定期考核施工人员的劳动技能，严格执行规范和操作规程。</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13.3 承包人的质量检查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承包人应按合同约定对材料、工程设备以及工程的所有部位及其施工工艺进行全过程的质量检查和检验，并作详细记录，编制工程质量报表，报送监理人审查。</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13.4 监理人的质量检查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13.5 工程隐蔽部位覆盖前的检查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13.5.1 通知监理人检查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13.5.2 监理人未到场检查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监理人未按第13.5.l 项约定的时间进行检查的，除监理人另有指示外，承包人可自行完成覆盖工作，并作相应记录报送监理人，监理人应签字确认。监理人事后对检查记录有疑问的，可按第13.5.3 项的约定重新检查。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13.5.3 监理人重新检查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承包人按第13.5.1 项或第13.5.2 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13.5.4 承包人私自覆盖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承包人未通知监理人到场检查，私自将工程隐蔽部位覆盖的，监理人有权指示承包人钻孔探测或揭开检查，由此增加的费用和（或）工期延误由承包人承担。</w:t>
      </w:r>
    </w:p>
    <w:p>
      <w:pPr>
        <w:pStyle w:val="6"/>
        <w:jc w:val="both"/>
        <w:rPr>
          <w:rFonts w:hint="eastAsia" w:ascii="宋体" w:hAnsi="宋体" w:eastAsia="宋体" w:cs="宋体"/>
          <w:sz w:val="24"/>
          <w:szCs w:val="24"/>
        </w:rPr>
      </w:pPr>
      <w:r>
        <w:rPr>
          <w:rFonts w:hint="eastAsia" w:ascii="宋体" w:hAnsi="宋体" w:eastAsia="宋体" w:cs="宋体"/>
          <w:sz w:val="24"/>
          <w:szCs w:val="24"/>
        </w:rPr>
        <w:t>13.6 清除不合格工程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13.6.2 由于发包人提供的材料或工程设备不合格造成的工程不合格，需要承包人采取措施补救的，发包人应承担由此增加的费用和（或）工期延误，并支付承包人合理利润。</w:t>
      </w:r>
    </w:p>
    <w:p>
      <w:pPr>
        <w:pStyle w:val="6"/>
        <w:jc w:val="both"/>
        <w:rPr>
          <w:rFonts w:hint="eastAsia" w:ascii="宋体" w:hAnsi="宋体" w:eastAsia="宋体" w:cs="宋体"/>
          <w:sz w:val="24"/>
          <w:szCs w:val="24"/>
        </w:rPr>
      </w:pPr>
      <w:r>
        <w:rPr>
          <w:rFonts w:hint="eastAsia" w:ascii="宋体" w:hAnsi="宋体" w:eastAsia="宋体" w:cs="宋体"/>
          <w:sz w:val="24"/>
          <w:szCs w:val="24"/>
        </w:rPr>
        <w:t>13.7质量评定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13.7.1发包人应组织承包人进行工程项目划分，并确定单位工程、主要分部工程、重要隐蔽单元工程和关键部位单元工程。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13.7.2工程实施过程中，单位工程、主要分部工程、重要隐蔽单元工程和关键部位单元工程的项目划分需要调整时，承包人应报发包人确认。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13.7.3承包人应在单元（工序）工程质量自评合格后，报监理人核定质量等级并签证认可。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13.7.4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13.7.5承包人应在分部工程质量自评合格后，报监理人复核和发包人认定。发包人负责按有关规定完成分部工程质量结论报工程质量监督机构核备（核定）手续。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13.7.6承包人应在单位工程质量自评合格后，报监理人复核和发包人认定。发包人负责按有关规定完成单位工程质量结论报工程质量监督机构核定手续。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13.7.7除专用合同条款另有约定外，工程质量等级分为合格和优良，应分别达到约定的标准。</w:t>
      </w:r>
    </w:p>
    <w:p>
      <w:pPr>
        <w:pStyle w:val="5"/>
        <w:keepNext w:val="0"/>
        <w:keepLines w:val="0"/>
        <w:rPr>
          <w:rFonts w:hint="eastAsia" w:ascii="宋体" w:hAnsi="宋体" w:eastAsia="宋体" w:cs="宋体"/>
          <w:sz w:val="24"/>
          <w:szCs w:val="24"/>
        </w:rPr>
      </w:pPr>
      <w:bookmarkStart w:id="101" w:name="_Toc264888908"/>
      <w:r>
        <w:rPr>
          <w:rFonts w:hint="eastAsia" w:ascii="宋体" w:hAnsi="宋体" w:eastAsia="宋体" w:cs="宋体"/>
          <w:sz w:val="24"/>
          <w:szCs w:val="24"/>
        </w:rPr>
        <w:t>13.8质量事故处理</w:t>
      </w:r>
      <w:bookmarkEnd w:id="101"/>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13.8.1发生质量事故时，承包人应及时向发包人和监理人报告。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13.8.2质量事故调查处理由发包人按相关规定履行手续，承包人应配合。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13.8.3承包人应对质量缺陷进行备案。发包人委托监理人对质量缺陷备案情况进行监督检查并履行相关手续。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13.8.4除专用合同条款另有约定外，工程竣工验收时，发包人负责向竣工验收委员会汇报并提交历次质量缺陷处理的备案资料。</w:t>
      </w:r>
    </w:p>
    <w:p>
      <w:pPr>
        <w:pStyle w:val="5"/>
        <w:keepNext w:val="0"/>
        <w:keepLines w:val="0"/>
        <w:rPr>
          <w:rFonts w:hint="eastAsia" w:ascii="宋体" w:hAnsi="宋体" w:eastAsia="宋体" w:cs="宋体"/>
          <w:sz w:val="24"/>
          <w:szCs w:val="24"/>
        </w:rPr>
      </w:pPr>
      <w:bookmarkStart w:id="102" w:name="_Toc184635111"/>
      <w:bookmarkStart w:id="103" w:name="_Toc264888909"/>
      <w:bookmarkStart w:id="104" w:name="_Toc225315759"/>
      <w:r>
        <w:rPr>
          <w:rFonts w:hint="eastAsia" w:ascii="宋体" w:hAnsi="宋体" w:eastAsia="宋体" w:cs="宋体"/>
          <w:sz w:val="24"/>
          <w:szCs w:val="24"/>
        </w:rPr>
        <w:t>14．试验和检验</w:t>
      </w:r>
      <w:bookmarkEnd w:id="102"/>
      <w:bookmarkEnd w:id="103"/>
      <w:bookmarkEnd w:id="104"/>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14.1 材料、工程设备和工程的试验和检验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14.1.2 监理人未按合同约定派员参加试验和检验的，除监理人另有指示外，承包人可自行试验和检验，并应立即将试验和检验结果报送监理人，监理人应签字确认。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14.1.4承包人应按相关规定和标准对水泥、钢材等原材料与中间产品质量进行检验，并报监理人复核。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14.1.5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14.1.6对专用合同条款约定的试块、试件及有关材料，监理人实行见证取样。见证取样资料由承包人制备，记录应真实齐全，监理人、承包人等参与见证取样人员均应在相关文件上签字。</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14.2 现场材料试验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14.2.1 承包人根据合同约定或监理人指示进行的现场材料试验，应由承包人提供试验场所、试验人员、试验设备器材以及其他必要的试验条件。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14.2.2 监理人在必要时可以使用承包人的试验场所、试验设备器材以及其他试验条件，进行以工程质量检查为目的的复核性材料试验，承包人应予以协助。</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14.3 现场工艺试验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承包人应按合同约定或监理人指示进行现场工艺试验。对大型的现场工艺试验，监理人认为必要时，应由承包人根据监理人提出的工艺试验要求，编制工艺试验措施计划，报送监理人审批。</w:t>
      </w:r>
    </w:p>
    <w:p>
      <w:pPr>
        <w:pStyle w:val="5"/>
        <w:keepNext w:val="0"/>
        <w:keepLines w:val="0"/>
        <w:rPr>
          <w:rFonts w:hint="eastAsia" w:ascii="宋体" w:hAnsi="宋体" w:eastAsia="宋体" w:cs="宋体"/>
          <w:sz w:val="24"/>
          <w:szCs w:val="24"/>
        </w:rPr>
      </w:pPr>
      <w:bookmarkStart w:id="105" w:name="_Toc264888910"/>
      <w:bookmarkStart w:id="106" w:name="_Toc184635112"/>
      <w:bookmarkStart w:id="107" w:name="_Toc225315760"/>
      <w:r>
        <w:rPr>
          <w:rFonts w:hint="eastAsia" w:ascii="宋体" w:hAnsi="宋体" w:eastAsia="宋体" w:cs="宋体"/>
          <w:sz w:val="24"/>
          <w:szCs w:val="24"/>
        </w:rPr>
        <w:t>15．变更</w:t>
      </w:r>
      <w:bookmarkEnd w:id="105"/>
      <w:bookmarkEnd w:id="106"/>
      <w:bookmarkEnd w:id="107"/>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15.1 变更的范围和内容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在履行合同中发生以下情形之一，应按照本款规定进行变更。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（1）取消合同中任何一项工作，但被取消的工作不能转由发包人或其它人实施；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（2）改变合同中任何一项工作的质量或其它特性；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（3）改变合同工程的基线、标高、位置或尺寸；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（4）改变合同中任何一项工作的施工时间或改变已批准的施工工艺或顺序；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（5）为完成工程需要追加的额外工作；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（6）增加或减少专用合同条款中约定的关键项目工程量超过其工程总量的一定数量百分比。上述第(1)～ (6)款的变更内容引起工程施工组织和进度计划发生实质性变动和影响其原定的价格时，才予调整该项目的单价。第(6)款情形下单价调整方式在专用合同条款中约定。</w:t>
      </w:r>
    </w:p>
    <w:p>
      <w:pPr>
        <w:pStyle w:val="6"/>
        <w:jc w:val="both"/>
        <w:rPr>
          <w:rFonts w:hint="eastAsia" w:ascii="宋体" w:hAnsi="宋体" w:eastAsia="宋体" w:cs="宋体"/>
          <w:sz w:val="24"/>
          <w:szCs w:val="24"/>
        </w:rPr>
      </w:pPr>
      <w:r>
        <w:rPr>
          <w:rFonts w:hint="eastAsia" w:ascii="宋体" w:hAnsi="宋体" w:eastAsia="宋体" w:cs="宋体"/>
          <w:sz w:val="24"/>
          <w:szCs w:val="24"/>
        </w:rPr>
        <w:t>15.2 变更权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在履行合同过程中，经发包人同意，监理人可按第15.3 款约定的变更程序向承包人作出变更指示，承包人应遵照执行。没有监理人的变更指示，承包人不得擅自变更。</w:t>
      </w:r>
    </w:p>
    <w:p>
      <w:pPr>
        <w:pStyle w:val="6"/>
        <w:jc w:val="both"/>
        <w:rPr>
          <w:rFonts w:hint="eastAsia" w:ascii="宋体" w:hAnsi="宋体" w:eastAsia="宋体" w:cs="宋体"/>
          <w:sz w:val="24"/>
          <w:szCs w:val="24"/>
        </w:rPr>
      </w:pPr>
      <w:r>
        <w:rPr>
          <w:rFonts w:hint="eastAsia" w:ascii="宋体" w:hAnsi="宋体" w:eastAsia="宋体" w:cs="宋体"/>
          <w:sz w:val="24"/>
          <w:szCs w:val="24"/>
        </w:rPr>
        <w:t>15.3 变更程序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15.3.1变更的提出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(1）在合同履行过程中，可能发生第15.1 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 项约定发出变更指示。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(2）在合同履行过程中，发生第15.1 款约定情形的，监理人应按照第15.3.3 项约定向承包人发出变更指示。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(3）承包人收到监理人按合同约定发出的图纸和文件，经检查认为其中存在第15.1 款约定情形的，可向监理人提出书面变更建议。变更建议应阐明要求变更的依据，并附必要的图纸和说明。监理人收到承包人书面建议后，应与发包人共同研究，确认存在变更的，应在收到承包人书面建议后的14 天内作出变更指示。经研究后不同意作为变更的，应由监理人书面答复承包人。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(4）若承包人收到监理人的变更意向书后认为难以实施此项变更，应立即通知监理人，说明原因并附详细依据。监理人与承包人和发包人协商后确定撤销、改变或不改变原变更意向书。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15.3.2 变更估价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(l）除专用合同条款对期限另有约定外，承包人应在收到变更指示或变更意向书后的14 天内，向监理人提交变更报价书，报价内容应根据第15.4 款约定的估价原则，详细开列变更工作的价格组成及其依据，并附必要的施工方法说明和有关图纸。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(2）变更工作影响工期的，承包人应提出调整工期的具体细节。监理人认为有必要时，可要求承包人提交要求提前或延长工期的施工进度计划及相应施工措施等详细资料。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(3）除专用合同条款对期限另有约定外，监理人收到承包人变更报价书后的14 天内，根据第15.4 款约定的估价原则，按照第3.5 款商定或确定变更价格。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15.3.3 变更指示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(l）变更指示只能由监理人发出。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(2）变更指示应说明变更的目的、范围、变更内容以及变更的工程量及其进度和技术要求，并附有关图纸和文件。承包人收到变更指示后，应按变更指示进行变更工作。</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15.4 变更的估价原则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除专用合同条款另有约定外，因变更引起的价格调整按照本款约定处理。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15.4.1 己标价工程量清单中有适用于变更工作的子目的，采用该子目的单价。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15.4.2 己标价工程量清单中无适用于变更工作的子目，但有类似子目的，可在合理范围内参照类似子目的单价，由监理人按第3.5 款商定或确定变更工作的单价。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15.4.3 己标价工程量清单中无适用或类似子目的单价，可按照成本加利润的原则，由监理人按第3. 5 款商定或确定变更工作的单价。</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15.5 承包人的合理化建议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15.5.2 承包人提出的合理化建议降低了合同价格、缩短了工期或者提高了工程经济效益的，发包人可按国家有关规定在专用合同条款中约定给予奖励。</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15.6 暂列金额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暂列金额只能按照监理人的指示使用，并对合同价格进行相应调整。</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15.7 计日工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15.7.1 发包人认为有必要时，由监理人通知承包人以计日工方式实施变更的零星工作。其价款按列入已标价工程量清单中的计日工计价子目及其单价进行计算．,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15.7.2 采用计日工计价的任何一项变更工作，应从暂列金额中支付，承包人应在该项变更的实施过程中，每天提交以下报表和有关凭证报送监理人审批：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(l）工作名称、内容和数量；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(2）投入该工作所有人员的姓名、工种、级别和耗用工时；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(3）投入该工作的材料类别和数量；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(4）投入该工作的施工设备型号、台数和耗用台时；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(5）监理人要求提交的其他资料和凭证。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15.7.3 计日工由承包人汇总后，按第17.3 .2 项的约定列入进度付款申请单，由监理人复核并经发包人同意后列入进度付款。</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15.8 暂估价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15.8.1　发包人在工程量清单中给定暂估价的材料、工程设备和专业工程属于依法必须招标的范围并达到规定的规模标准的，若承包人不具备承担暂估价项目的能力或具备承担暂估价项目的能力但明确不参与投标的，由发包人和承包人组织招标；若承包人具备承担暂估价项目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关系在专用合同条款中约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15.8.2 发包人在工程量清单中给定暂估价的材料和工程设备不属于依法必须招标的范围或未达到规定的规模标准的，应由承包人按第5.1 款的约定提供。经监理人确认的材料、工程设备的价格与工程量清单中所列的暂估价的金额差以及相应的税金等其他费用列入合同价格。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15.8.3发包人在工程量清单中给定暂估价的专业工程不属于依法必须招标的范围或未达到规定的规模标准的，由监理人按照第15.4 款进行估价，但专用合同条款另有约定的除外。经估价的专业工程与工程量清单中所列的暂估价的金额差以及相应的税金等其他费用列入合同价格。</w:t>
      </w:r>
    </w:p>
    <w:p>
      <w:pPr>
        <w:pStyle w:val="5"/>
        <w:keepNext w:val="0"/>
        <w:keepLines w:val="0"/>
        <w:rPr>
          <w:rFonts w:hint="eastAsia" w:ascii="宋体" w:hAnsi="宋体" w:eastAsia="宋体" w:cs="宋体"/>
          <w:sz w:val="24"/>
          <w:szCs w:val="24"/>
        </w:rPr>
      </w:pPr>
      <w:bookmarkStart w:id="108" w:name="_Toc225315761"/>
      <w:bookmarkStart w:id="109" w:name="_Toc264888911"/>
      <w:bookmarkStart w:id="110" w:name="_Toc184635113"/>
      <w:r>
        <w:rPr>
          <w:rFonts w:hint="eastAsia" w:ascii="宋体" w:hAnsi="宋体" w:eastAsia="宋体" w:cs="宋体"/>
          <w:sz w:val="24"/>
          <w:szCs w:val="24"/>
        </w:rPr>
        <w:t>16．价格调整</w:t>
      </w:r>
      <w:bookmarkEnd w:id="108"/>
      <w:bookmarkEnd w:id="109"/>
      <w:bookmarkEnd w:id="110"/>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16.1 物价波动引起的价格调整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由于物价波动原因引起合同价格需要调整的，其价格调整方式在专用合同条款中约定。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16.1.1 采用价格指数调整价格差额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16.1.1.1 价格调整公式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因人工、材料和设备等价格波动影响合同价格时，根据投标函附录中的价格指数和权重表约定的数据，按以下公式计算差额并调整合同价格。</w:t>
      </w:r>
    </w:p>
    <w:p>
      <w:pPr>
        <w:spacing w:line="360" w:lineRule="auto"/>
        <w:ind w:firstLine="2520" w:firstLineChars="1050"/>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eastAsia="宋体" w:cs="宋体"/>
          <w:sz w:val="24"/>
          <w:szCs w:val="24"/>
          <w:vertAlign w:val="subscript"/>
        </w:rPr>
        <w:t xml:space="preserve">t1        </w:t>
      </w:r>
      <w:r>
        <w:rPr>
          <w:rFonts w:hint="eastAsia" w:ascii="宋体" w:hAnsi="宋体" w:eastAsia="宋体" w:cs="宋体"/>
          <w:sz w:val="24"/>
          <w:szCs w:val="24"/>
        </w:rPr>
        <w:t xml:space="preserve"> F</w:t>
      </w:r>
      <w:r>
        <w:rPr>
          <w:rFonts w:hint="eastAsia" w:ascii="宋体" w:hAnsi="宋体" w:eastAsia="宋体" w:cs="宋体"/>
          <w:sz w:val="24"/>
          <w:szCs w:val="24"/>
          <w:vertAlign w:val="subscript"/>
        </w:rPr>
        <w:t xml:space="preserve">t2         </w:t>
      </w:r>
      <w:r>
        <w:rPr>
          <w:rFonts w:hint="eastAsia" w:ascii="宋体" w:hAnsi="宋体" w:eastAsia="宋体" w:cs="宋体"/>
          <w:sz w:val="24"/>
          <w:szCs w:val="24"/>
        </w:rPr>
        <w:t>F</w:t>
      </w:r>
      <w:r>
        <w:rPr>
          <w:rFonts w:hint="eastAsia" w:ascii="宋体" w:hAnsi="宋体" w:eastAsia="宋体" w:cs="宋体"/>
          <w:sz w:val="24"/>
          <w:szCs w:val="24"/>
          <w:vertAlign w:val="subscript"/>
        </w:rPr>
        <w:t xml:space="preserve">t3                 </w:t>
      </w:r>
      <w:r>
        <w:rPr>
          <w:rFonts w:hint="eastAsia" w:ascii="宋体" w:hAnsi="宋体" w:eastAsia="宋体" w:cs="宋体"/>
          <w:sz w:val="24"/>
          <w:szCs w:val="24"/>
        </w:rPr>
        <w:t>F</w:t>
      </w:r>
      <w:r>
        <w:rPr>
          <w:rFonts w:hint="eastAsia" w:ascii="宋体" w:hAnsi="宋体" w:eastAsia="宋体" w:cs="宋体"/>
          <w:sz w:val="24"/>
          <w:szCs w:val="24"/>
          <w:vertAlign w:val="subscript"/>
        </w:rPr>
        <w:t>tn</w:t>
      </w:r>
    </w:p>
    <w:p>
      <w:pPr>
        <w:numPr>
          <w:ilvl w:val="0"/>
          <w:numId w:val="6"/>
        </w:numPr>
        <w:spacing w:line="360" w:lineRule="auto"/>
        <w:rPr>
          <w:rFonts w:hint="eastAsia" w:ascii="宋体" w:hAnsi="宋体" w:eastAsia="宋体" w:cs="宋体"/>
          <w:sz w:val="24"/>
          <w:szCs w:val="24"/>
        </w:rPr>
      </w:pPr>
      <w:r>
        <w:rPr>
          <w:rFonts w:hint="eastAsia" w:ascii="宋体" w:hAnsi="宋体" w:eastAsia="宋体" w:cs="宋体"/>
          <w:sz w:val="24"/>
          <w:szCs w:val="24"/>
        </w:rPr>
        <w:t>P=P</w:t>
      </w:r>
      <w:r>
        <w:rPr>
          <w:rFonts w:hint="eastAsia" w:ascii="宋体" w:hAnsi="宋体" w:eastAsia="宋体" w:cs="宋体"/>
          <w:sz w:val="24"/>
          <w:szCs w:val="24"/>
          <w:vertAlign w:val="subscript"/>
        </w:rPr>
        <w:t>O</w:t>
      </w:r>
      <w:r>
        <w:rPr>
          <w:rFonts w:hint="eastAsia" w:ascii="宋体" w:hAnsi="宋体" w:eastAsia="宋体" w:cs="宋体"/>
          <w:sz w:val="24"/>
          <w:szCs w:val="24"/>
        </w:rPr>
        <w:t>［A+｛B</w:t>
      </w:r>
      <w:r>
        <w:rPr>
          <w:rFonts w:hint="eastAsia" w:ascii="宋体" w:hAnsi="宋体" w:eastAsia="宋体" w:cs="宋体"/>
          <w:sz w:val="24"/>
          <w:szCs w:val="24"/>
          <w:vertAlign w:val="subscript"/>
        </w:rPr>
        <w:t>1</w:t>
      </w:r>
      <w:r>
        <w:rPr>
          <w:rFonts w:hint="eastAsia" w:ascii="宋体" w:hAnsi="宋体" w:eastAsia="宋体" w:cs="宋体"/>
          <w:sz w:val="24"/>
          <w:szCs w:val="24"/>
        </w:rPr>
        <w:t>×—＋B</w:t>
      </w:r>
      <w:r>
        <w:rPr>
          <w:rFonts w:hint="eastAsia" w:ascii="宋体" w:hAnsi="宋体" w:eastAsia="宋体" w:cs="宋体"/>
          <w:sz w:val="24"/>
          <w:szCs w:val="24"/>
          <w:vertAlign w:val="subscript"/>
        </w:rPr>
        <w:t>2</w:t>
      </w:r>
      <w:r>
        <w:rPr>
          <w:rFonts w:hint="eastAsia" w:ascii="宋体" w:hAnsi="宋体" w:eastAsia="宋体" w:cs="宋体"/>
          <w:sz w:val="24"/>
          <w:szCs w:val="24"/>
        </w:rPr>
        <w:t>×—＋B</w:t>
      </w:r>
      <w:r>
        <w:rPr>
          <w:rFonts w:hint="eastAsia" w:ascii="宋体" w:hAnsi="宋体" w:eastAsia="宋体" w:cs="宋体"/>
          <w:sz w:val="24"/>
          <w:szCs w:val="24"/>
          <w:vertAlign w:val="subscript"/>
        </w:rPr>
        <w:t>3</w:t>
      </w:r>
      <w:r>
        <w:rPr>
          <w:rFonts w:hint="eastAsia" w:ascii="宋体" w:hAnsi="宋体" w:eastAsia="宋体" w:cs="宋体"/>
          <w:sz w:val="24"/>
          <w:szCs w:val="24"/>
        </w:rPr>
        <w:t>×—＋…＋B</w:t>
      </w:r>
      <w:r>
        <w:rPr>
          <w:rFonts w:hint="eastAsia" w:ascii="宋体" w:hAnsi="宋体" w:eastAsia="宋体" w:cs="宋体"/>
          <w:sz w:val="24"/>
          <w:szCs w:val="24"/>
          <w:vertAlign w:val="subscript"/>
        </w:rPr>
        <w:t>n</w:t>
      </w:r>
      <w:r>
        <w:rPr>
          <w:rFonts w:hint="eastAsia" w:ascii="宋体" w:hAnsi="宋体" w:eastAsia="宋体" w:cs="宋体"/>
          <w:sz w:val="24"/>
          <w:szCs w:val="24"/>
        </w:rPr>
        <w:t xml:space="preserve">×—｝－1］ </w:t>
      </w:r>
    </w:p>
    <w:p>
      <w:pPr>
        <w:spacing w:line="360" w:lineRule="auto"/>
        <w:ind w:left="440" w:leftChars="200" w:firstLine="2040" w:firstLineChars="850"/>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eastAsia="宋体" w:cs="宋体"/>
          <w:sz w:val="24"/>
          <w:szCs w:val="24"/>
          <w:vertAlign w:val="subscript"/>
        </w:rPr>
        <w:t xml:space="preserve">01        </w:t>
      </w:r>
      <w:r>
        <w:rPr>
          <w:rFonts w:hint="eastAsia" w:ascii="宋体" w:hAnsi="宋体" w:eastAsia="宋体" w:cs="宋体"/>
          <w:sz w:val="24"/>
          <w:szCs w:val="24"/>
        </w:rPr>
        <w:t>F</w:t>
      </w:r>
      <w:r>
        <w:rPr>
          <w:rFonts w:hint="eastAsia" w:ascii="宋体" w:hAnsi="宋体" w:eastAsia="宋体" w:cs="宋体"/>
          <w:sz w:val="24"/>
          <w:szCs w:val="24"/>
          <w:vertAlign w:val="subscript"/>
        </w:rPr>
        <w:t xml:space="preserve">02       </w:t>
      </w:r>
      <w:r>
        <w:rPr>
          <w:rFonts w:hint="eastAsia" w:ascii="宋体" w:hAnsi="宋体" w:eastAsia="宋体" w:cs="宋体"/>
          <w:sz w:val="24"/>
          <w:szCs w:val="24"/>
        </w:rPr>
        <w:t>F</w:t>
      </w:r>
      <w:r>
        <w:rPr>
          <w:rFonts w:hint="eastAsia" w:ascii="宋体" w:hAnsi="宋体" w:eastAsia="宋体" w:cs="宋体"/>
          <w:sz w:val="24"/>
          <w:szCs w:val="24"/>
          <w:vertAlign w:val="subscript"/>
        </w:rPr>
        <w:t xml:space="preserve">03              </w:t>
      </w:r>
      <w:r>
        <w:rPr>
          <w:rFonts w:hint="eastAsia" w:ascii="宋体" w:hAnsi="宋体" w:eastAsia="宋体" w:cs="宋体"/>
          <w:sz w:val="24"/>
          <w:szCs w:val="24"/>
        </w:rPr>
        <w:t>F</w:t>
      </w:r>
      <w:r>
        <w:rPr>
          <w:rFonts w:hint="eastAsia" w:ascii="宋体" w:hAnsi="宋体" w:eastAsia="宋体" w:cs="宋体"/>
          <w:sz w:val="24"/>
          <w:szCs w:val="24"/>
          <w:vertAlign w:val="subscript"/>
        </w:rPr>
        <w:t>04</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式中：△ P 一需调整的价格差额；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P</w:t>
      </w:r>
      <w:r>
        <w:rPr>
          <w:rFonts w:hint="eastAsia" w:ascii="宋体" w:hAnsi="宋体" w:eastAsia="宋体" w:cs="宋体"/>
          <w:sz w:val="24"/>
          <w:szCs w:val="24"/>
          <w:vertAlign w:val="subscript"/>
        </w:rPr>
        <w:t>O</w:t>
      </w:r>
      <w:r>
        <w:rPr>
          <w:rFonts w:hint="eastAsia" w:ascii="宋体" w:hAnsi="宋体" w:eastAsia="宋体" w:cs="宋体"/>
          <w:sz w:val="24"/>
          <w:szCs w:val="24"/>
        </w:rPr>
        <w:t>一第17.3.3 项、第17.5 .2 项和第17.3.2 项约定的付款证书中承包人应得到的己完成工程量的金额。此项金额应不包括价格调整、不计质量保证金的扣留和支付、预付款的支付和扣回。第15条约定的变更及其他金额已按现行价格计价的，也不计在内；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A ---定值权重（即不调部分的权重）；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vertAlign w:val="subscript"/>
        </w:rPr>
        <w:t>1</w:t>
      </w:r>
      <w:r>
        <w:rPr>
          <w:rFonts w:hint="eastAsia" w:ascii="宋体" w:hAnsi="宋体" w:eastAsia="宋体" w:cs="宋体"/>
          <w:sz w:val="24"/>
          <w:szCs w:val="24"/>
        </w:rPr>
        <w:t>；B</w:t>
      </w:r>
      <w:r>
        <w:rPr>
          <w:rFonts w:hint="eastAsia" w:ascii="宋体" w:hAnsi="宋体" w:eastAsia="宋体" w:cs="宋体"/>
          <w:sz w:val="24"/>
          <w:szCs w:val="24"/>
          <w:vertAlign w:val="subscript"/>
        </w:rPr>
        <w:t>2</w:t>
      </w:r>
      <w:r>
        <w:rPr>
          <w:rFonts w:hint="eastAsia" w:ascii="宋体" w:hAnsi="宋体" w:eastAsia="宋体" w:cs="宋体"/>
          <w:sz w:val="24"/>
          <w:szCs w:val="24"/>
        </w:rPr>
        <w:t>；B</w:t>
      </w:r>
      <w:r>
        <w:rPr>
          <w:rFonts w:hint="eastAsia" w:ascii="宋体" w:hAnsi="宋体" w:eastAsia="宋体" w:cs="宋体"/>
          <w:sz w:val="24"/>
          <w:szCs w:val="24"/>
          <w:vertAlign w:val="subscript"/>
        </w:rPr>
        <w:t>3</w:t>
      </w:r>
      <w:r>
        <w:rPr>
          <w:rFonts w:hint="eastAsia" w:ascii="宋体" w:hAnsi="宋体" w:eastAsia="宋体" w:cs="宋体"/>
          <w:sz w:val="24"/>
          <w:szCs w:val="24"/>
        </w:rPr>
        <w:t>；……B</w:t>
      </w:r>
      <w:r>
        <w:rPr>
          <w:rFonts w:hint="eastAsia" w:ascii="宋体" w:hAnsi="宋体" w:eastAsia="宋体" w:cs="宋体"/>
          <w:sz w:val="24"/>
          <w:szCs w:val="24"/>
          <w:vertAlign w:val="subscript"/>
        </w:rPr>
        <w:t>n</w:t>
      </w:r>
      <w:r>
        <w:rPr>
          <w:rFonts w:hint="eastAsia" w:ascii="宋体" w:hAnsi="宋体" w:eastAsia="宋体" w:cs="宋体"/>
          <w:sz w:val="24"/>
          <w:szCs w:val="24"/>
        </w:rPr>
        <w:t>---各可调因子的变值权重（即可调部分的权重）为各可调因子在投标函投标总报价中所占的比例；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eastAsia="宋体" w:cs="宋体"/>
          <w:sz w:val="24"/>
          <w:szCs w:val="24"/>
          <w:vertAlign w:val="subscript"/>
        </w:rPr>
        <w:t>t1</w:t>
      </w:r>
      <w:r>
        <w:rPr>
          <w:rFonts w:hint="eastAsia" w:ascii="宋体" w:hAnsi="宋体" w:eastAsia="宋体" w:cs="宋体"/>
          <w:sz w:val="24"/>
          <w:szCs w:val="24"/>
        </w:rPr>
        <w:t>；F</w:t>
      </w:r>
      <w:r>
        <w:rPr>
          <w:rFonts w:hint="eastAsia" w:ascii="宋体" w:hAnsi="宋体" w:eastAsia="宋体" w:cs="宋体"/>
          <w:sz w:val="24"/>
          <w:szCs w:val="24"/>
          <w:vertAlign w:val="subscript"/>
        </w:rPr>
        <w:t>t2</w:t>
      </w:r>
      <w:r>
        <w:rPr>
          <w:rFonts w:hint="eastAsia" w:ascii="宋体" w:hAnsi="宋体" w:eastAsia="宋体" w:cs="宋体"/>
          <w:sz w:val="24"/>
          <w:szCs w:val="24"/>
        </w:rPr>
        <w:t>；F</w:t>
      </w:r>
      <w:r>
        <w:rPr>
          <w:rFonts w:hint="eastAsia" w:ascii="宋体" w:hAnsi="宋体" w:eastAsia="宋体" w:cs="宋体"/>
          <w:sz w:val="24"/>
          <w:szCs w:val="24"/>
          <w:vertAlign w:val="subscript"/>
        </w:rPr>
        <w:t>t3</w:t>
      </w:r>
      <w:r>
        <w:rPr>
          <w:rFonts w:hint="eastAsia" w:ascii="宋体" w:hAnsi="宋体" w:eastAsia="宋体" w:cs="宋体"/>
          <w:sz w:val="24"/>
          <w:szCs w:val="24"/>
        </w:rPr>
        <w:t>；……F</w:t>
      </w:r>
      <w:r>
        <w:rPr>
          <w:rFonts w:hint="eastAsia" w:ascii="宋体" w:hAnsi="宋体" w:eastAsia="宋体" w:cs="宋体"/>
          <w:sz w:val="24"/>
          <w:szCs w:val="24"/>
          <w:vertAlign w:val="subscript"/>
        </w:rPr>
        <w:t>tn</w:t>
      </w:r>
      <w:r>
        <w:rPr>
          <w:rFonts w:hint="eastAsia" w:ascii="宋体" w:hAnsi="宋体" w:eastAsia="宋体" w:cs="宋体"/>
          <w:sz w:val="24"/>
          <w:szCs w:val="24"/>
        </w:rPr>
        <w:t>---各可调因子的现行价格指数，指第17.3.3 项、第17.2.2 项和第17.3.2 项约定的付款证书相关周期最后一天的前42天的各可调因子的价格指数；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eastAsia="宋体" w:cs="宋体"/>
          <w:sz w:val="24"/>
          <w:szCs w:val="24"/>
          <w:vertAlign w:val="subscript"/>
        </w:rPr>
        <w:t>01</w:t>
      </w:r>
      <w:r>
        <w:rPr>
          <w:rFonts w:hint="eastAsia" w:ascii="宋体" w:hAnsi="宋体" w:eastAsia="宋体" w:cs="宋体"/>
          <w:sz w:val="24"/>
          <w:szCs w:val="24"/>
        </w:rPr>
        <w:t>；F</w:t>
      </w:r>
      <w:r>
        <w:rPr>
          <w:rFonts w:hint="eastAsia" w:ascii="宋体" w:hAnsi="宋体" w:eastAsia="宋体" w:cs="宋体"/>
          <w:sz w:val="24"/>
          <w:szCs w:val="24"/>
          <w:vertAlign w:val="subscript"/>
        </w:rPr>
        <w:t>02</w:t>
      </w:r>
      <w:r>
        <w:rPr>
          <w:rFonts w:hint="eastAsia" w:ascii="宋体" w:hAnsi="宋体" w:eastAsia="宋体" w:cs="宋体"/>
          <w:sz w:val="24"/>
          <w:szCs w:val="24"/>
        </w:rPr>
        <w:t>；F</w:t>
      </w:r>
      <w:r>
        <w:rPr>
          <w:rFonts w:hint="eastAsia" w:ascii="宋体" w:hAnsi="宋体" w:eastAsia="宋体" w:cs="宋体"/>
          <w:sz w:val="24"/>
          <w:szCs w:val="24"/>
          <w:vertAlign w:val="subscript"/>
        </w:rPr>
        <w:t>03</w:t>
      </w:r>
      <w:r>
        <w:rPr>
          <w:rFonts w:hint="eastAsia" w:ascii="宋体" w:hAnsi="宋体" w:eastAsia="宋体" w:cs="宋体"/>
          <w:sz w:val="24"/>
          <w:szCs w:val="24"/>
        </w:rPr>
        <w:t>；……F</w:t>
      </w:r>
      <w:r>
        <w:rPr>
          <w:rFonts w:hint="eastAsia" w:ascii="宋体" w:hAnsi="宋体" w:eastAsia="宋体" w:cs="宋体"/>
          <w:sz w:val="24"/>
          <w:szCs w:val="24"/>
          <w:vertAlign w:val="subscript"/>
        </w:rPr>
        <w:t>0n</w:t>
      </w:r>
      <w:r>
        <w:rPr>
          <w:rFonts w:hint="eastAsia" w:ascii="宋体" w:hAnsi="宋体" w:eastAsia="宋体" w:cs="宋体"/>
          <w:sz w:val="24"/>
          <w:szCs w:val="24"/>
        </w:rPr>
        <w:t>---各可调因子的基本价格指数，指基准日期的各可调因子的价格指数。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16.1.1.2 暂时确定调整差额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在计算调整差额时得不到现行价格指数的，可暂用上一次价格指数计算，并在以后的付款中再按实际价格指数进行调整。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16.1.1.3 权重的调整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按第15.1 款约定的变更导致原定合同中的权重不合理时，由监理人与承包人和发包人协商后进行调整。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16.1.1.4 承包人工期延误后的价格调整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由于承包人原因未在约定的工期内竣工的，则对原约定竣工日期后继续施工的工程，在使用第16.1.1. 1目价格调整公式时，应采用原约定竣工日期与实际竣工日期的两个价格指数中较低的一个作为现行价格指数。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16.1.2 采用造价信息调整价格差额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工程造价信息的来源以及价格调整的项目和系数在专用合同条款中约定。</w:t>
      </w:r>
    </w:p>
    <w:p>
      <w:pPr>
        <w:pStyle w:val="6"/>
        <w:jc w:val="both"/>
        <w:rPr>
          <w:rFonts w:hint="eastAsia" w:ascii="宋体" w:hAnsi="宋体" w:eastAsia="宋体" w:cs="宋体"/>
          <w:sz w:val="24"/>
          <w:szCs w:val="24"/>
        </w:rPr>
      </w:pPr>
      <w:r>
        <w:rPr>
          <w:rFonts w:hint="eastAsia" w:ascii="宋体" w:hAnsi="宋体" w:eastAsia="宋体" w:cs="宋体"/>
          <w:sz w:val="24"/>
          <w:szCs w:val="24"/>
        </w:rPr>
        <w:t>16.2 法律变化引起的价格调整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在基准日后，因法律变化导致承包人在合同履行中所需要的工程费用发生除第16.1 款约定以外的增减时，监理人应根据法律、国家或省、自治区、直辖县有关部门的规定，按第3.5 款商定或确定需调整的合同价款。</w:t>
      </w:r>
    </w:p>
    <w:p>
      <w:pPr>
        <w:pStyle w:val="5"/>
        <w:rPr>
          <w:rFonts w:hint="eastAsia" w:ascii="宋体" w:hAnsi="宋体" w:eastAsia="宋体" w:cs="宋体"/>
          <w:sz w:val="24"/>
          <w:szCs w:val="24"/>
        </w:rPr>
      </w:pPr>
      <w:bookmarkStart w:id="111" w:name="_Toc264888912"/>
      <w:bookmarkStart w:id="112" w:name="_Toc184635114"/>
      <w:bookmarkStart w:id="113" w:name="_Toc225315762"/>
      <w:r>
        <w:rPr>
          <w:rFonts w:hint="eastAsia" w:ascii="宋体" w:hAnsi="宋体" w:eastAsia="宋体" w:cs="宋体"/>
          <w:sz w:val="24"/>
          <w:szCs w:val="24"/>
        </w:rPr>
        <w:t>17．计量与支付</w:t>
      </w:r>
      <w:bookmarkEnd w:id="111"/>
      <w:bookmarkEnd w:id="112"/>
      <w:bookmarkEnd w:id="113"/>
    </w:p>
    <w:p>
      <w:pPr>
        <w:pStyle w:val="6"/>
        <w:jc w:val="both"/>
        <w:rPr>
          <w:rFonts w:hint="eastAsia" w:ascii="宋体" w:hAnsi="宋体" w:eastAsia="宋体" w:cs="宋体"/>
          <w:sz w:val="24"/>
          <w:szCs w:val="24"/>
        </w:rPr>
      </w:pPr>
      <w:r>
        <w:rPr>
          <w:rFonts w:hint="eastAsia" w:ascii="宋体" w:hAnsi="宋体" w:eastAsia="宋体" w:cs="宋体"/>
          <w:sz w:val="24"/>
          <w:szCs w:val="24"/>
        </w:rPr>
        <w:t>17.1 计量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17.1.1 计量单位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计量采用国家法定的计量单位。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17.1.2 计量方法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结算工程量应按工程量清单中约定的方法计量。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17.1.3 计量周期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除专用合同条款另有约定外，单价子目已完成工程量按月计量，总价子目的计量周期按批准的支付分解报告确定。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17.1.4 单价子目的计量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(l）已标价工程量清单中的单价子目工程量为估算工程量。结算工程量是承包人实际完成的，并按合同约定的计量方法进行计量的工程量。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(2）承包人对己完成的工程进行计量，向监理人提交进度付款申请单、己完成工程量报表和有关计量资料。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(3）监理人对承包人提交的工程量报表进行复核，以确定实际完成的工程量。对数量有异议的，可要求承包人按第8.2 款约定进行共同复核和抽样复测。承包人应协助监理人进行复核并按监理人要求提供补充计量资料。承包人未按监理人要求参加复核，监理人复核或修正的工程量视为承包人实际完成的工程量。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(4）监理人认为有必要时，可通知承包人共同进行联合测量、计量，承包人应遵照执行。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末按监理人要求派员参加的，监理人最终核实的工程量视为承包人完成该子目的准确工程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(6）监理人应在收到承包人提交的工程量报表后的7 天内进行复核，监理人未在约定时间内复核的，承包人提交的工程量报表中的工程量视为承包人实际完成的工程量，据此计算工程价款。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17.1.5 总价子目的计量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总价子目的分解和计量按照下述约定进行。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（１）总价子目的计量和支付应以总价为基础，不因第16.1款中的因素而进行调整。承包人实际完成的工程量，是进行工程目标管理和控制进度支付的依据。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２）承包人应按工程量清单的要求对总价子目进行分解，并在签订协议书后的２８天内将各子目的总价支付分解表提交监理人审批。分解表应标明其所属子目和分阶段需支付的金额。承包人应按批准的各总价子目支付周期，对已完成的总价子目进行计量，确定分项的应付金额列入进度付款申请单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（３）监理人对承包人提交的上述资料进行复核，以确定分阶段实际完成的工程量和工程形象目标。对其有异议的，可要求承包人按第８．２款约定进行共同复核和抽样复测。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（４）除按照第１５条约定的变更外，总价子目的工程量是承包人用于结算的最终工程量。</w:t>
      </w:r>
    </w:p>
    <w:p>
      <w:pPr>
        <w:pStyle w:val="6"/>
        <w:jc w:val="both"/>
        <w:rPr>
          <w:rFonts w:hint="eastAsia" w:ascii="宋体" w:hAnsi="宋体" w:eastAsia="宋体" w:cs="宋体"/>
          <w:sz w:val="24"/>
          <w:szCs w:val="24"/>
        </w:rPr>
      </w:pPr>
      <w:r>
        <w:rPr>
          <w:rFonts w:hint="eastAsia" w:ascii="宋体" w:hAnsi="宋体" w:eastAsia="宋体" w:cs="宋体"/>
          <w:sz w:val="24"/>
          <w:szCs w:val="24"/>
        </w:rPr>
        <w:t>17.2 预付款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17.2.1预付款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付款用于承包人为合同工程施工购置材料、工程设备、施工设备、修建临时设施以及组织施工队伍进场等，分为工程预付款和工程材料预付款。预付款必须专用于合同工程。预付款的额度和预付办法在专用合同条款中约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17.2.2预付款保函（担保）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（１）承包人应在收到第一次工程预付款的同时向发包人提交工程预付款担保，担保金额应与第一次工程预付款金额相同，工程预付款担保在第一次工程预付款被发包人扣回前一直有效。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（２）工程材料预付款的担保在专用合同条款中约定。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（３）预付款担保的担保金额可根据预付款扣回的金额相应递减。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17.2.3预付款的扣回与还清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预付款在进度付款中扣回，扣回与还清办法在专用合同条款中约定。在颁发合同工程完工证书前，由于不可抗力或其它原因解除合同时，预付款尚未扣清的，尚未扣清的预付款余额应作为承包人的到期应付款。</w:t>
      </w:r>
    </w:p>
    <w:p>
      <w:pPr>
        <w:pStyle w:val="6"/>
        <w:jc w:val="both"/>
        <w:rPr>
          <w:rFonts w:hint="eastAsia" w:ascii="宋体" w:hAnsi="宋体" w:eastAsia="宋体" w:cs="宋体"/>
          <w:sz w:val="24"/>
          <w:szCs w:val="24"/>
        </w:rPr>
      </w:pPr>
      <w:r>
        <w:rPr>
          <w:rFonts w:hint="eastAsia" w:ascii="宋体" w:hAnsi="宋体" w:eastAsia="宋体" w:cs="宋体"/>
          <w:sz w:val="24"/>
          <w:szCs w:val="24"/>
        </w:rPr>
        <w:t>17.3 工程进度付款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17.3.1 付款周期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付款周期同计量周期。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17.3.2 进度付款申请单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承包人应在每个付款周期末，按监理人批准的格式和专用合同条款约定的份数，向监理人提交进度付款中请单，并附相应的支持性证明文件。除专用合同条款另有约定外，进度付款申请单应包括下列内容：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(l）截至本次付款周期末己实施工程的价款；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(2）根据第15条应增加和扣减的变更金额；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(3）根据第23 条应增加和扣减的索赔金额；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(4）才浸据第17.2 款约定应支付的预付款和扣减的返还预付款；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(5）根据第17.4.1 项约定应扣减的质量保证金；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(6）根据合同应增加和扣减的其他金额。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17.3.3 进度付款证书和支付时间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(2）发包人应在监理人收到进度付款中请单后的28 天内，将进度应付款支付给承包人。发包人不按期支付的，按专用合同条款的约定支付逾期付款违约金。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(3）监理人出具进度付款证书，不应视为监理人己同意、批准或接受了承包人完成的该部分工作。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(4）进度付款涉及政府投资资金的，按照国库集中支付等国家相关规定和专用合同条款的约定办理。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17.3.4 工程进度付款的修正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在对以往历次已签发的进度付款证书进行汇总和复核中发现错、漏或重复的，监理人有权予以修正，承包人也有权提出修正申请。经双方复核同意的修正，应在本次进度付款中支付或扣除。</w:t>
      </w:r>
    </w:p>
    <w:p>
      <w:pPr>
        <w:pStyle w:val="6"/>
        <w:jc w:val="both"/>
        <w:rPr>
          <w:rFonts w:hint="eastAsia" w:ascii="宋体" w:hAnsi="宋体" w:eastAsia="宋体" w:cs="宋体"/>
          <w:sz w:val="24"/>
          <w:szCs w:val="24"/>
        </w:rPr>
      </w:pPr>
      <w:r>
        <w:rPr>
          <w:rFonts w:hint="eastAsia" w:ascii="宋体" w:hAnsi="宋体" w:eastAsia="宋体" w:cs="宋体"/>
          <w:sz w:val="24"/>
          <w:szCs w:val="24"/>
        </w:rPr>
        <w:t>17.4 质量保证金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17.4.1 监理人应从第一个工程进度付款周期开始，在发包人的进度付款中，按专用合同条款的约定扣留质量保证金，直至扣留的质量保证金总额达到专用合同条款约定的金额或比例为止。质量保证金的计算额度不包括预付款的支付与扣回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17.4.2合同工程完工证书颁发后1４天内，发包人将质量保证金总额的一半支付给承包人。在第1.1.4.5目约定的缺陷责任期（工程质量保修期） 满时，发包人将在３０个工作日内会同承包人按照合同约定的内容核实承包人是否完成保修责任。如无异议，发包人应当在核实后将剩余的质量保证金支付给承包人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17.4.3 在第1.1.4.5 目约定的缺陷责任期满时，承包人没有完成缺陷责任的，发包人有权扣留与未履行责任剩余工作所需金额相应的质量保证金余额，并有权根据第19.3 款约定要求延长缺陷责任期，直至完成剩余工作为止。</w:t>
      </w:r>
    </w:p>
    <w:p>
      <w:pPr>
        <w:pStyle w:val="6"/>
        <w:jc w:val="both"/>
        <w:rPr>
          <w:rFonts w:hint="eastAsia" w:ascii="宋体" w:hAnsi="宋体" w:eastAsia="宋体" w:cs="宋体"/>
          <w:sz w:val="24"/>
          <w:szCs w:val="24"/>
        </w:rPr>
      </w:pPr>
      <w:r>
        <w:rPr>
          <w:rFonts w:hint="eastAsia" w:ascii="宋体" w:hAnsi="宋体" w:eastAsia="宋体" w:cs="宋体"/>
          <w:sz w:val="24"/>
          <w:szCs w:val="24"/>
        </w:rPr>
        <w:t>17.5 竣工结算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17.2.1竣工（完工）付款申请单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１）承包人应在合同工程完工证书颁发后２８天内，按专用合同条款约定的份数向监理人提交完工付款申请单，并提供相关证明材料。完工付款申请单应包括下列内容：完工结算合同总价、发包人已支付承包人的工程价款、应扣留的质量保证金、应支付的完工付款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（２）监理人对完工付款申请单有异议的，有权要求承包人进行修正和提供补充资料。经监理人和承包人协商后，由承包人向监理人提交修正后的完工付款申请单。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17.2.2 竣工付款证书及支付时间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１）监理人在收到承包人提交的完工付款申请单后的１４天内完成核查，提出发包人到期应支付给承包人的价款送发包人审核并抄送承包人。发包人应在收到后１４天内审核完毕，由监理人向承包人出具经发包人签认的完工付款证书。监理人未在约定时间内核查，又未提出具体意见的，视为承包人提交的完工付款申请单已经监理人核查同意。发包人未在约定时间内审核又未提出具体意见的，监理人提出发包人到期应支付给承包人的价款视为已经发包人同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（２）发包人应在监理人出具完工付款证书后的１４天内，将应支付款支付给承包人。发包人不按期支付的，按第17.3.3（２）目的约定，将逾期付款违约金支付给承包人。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（３）承包人对发包人签认的完工付款证书有异议的，发包人可出具完工付款申请单中承包人已同意部分的临时付款证书。存在争议的部分，按第２４条的约定办理。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（４）完工付款涉及政府投资资金的，按第17.3.3（４）目的约定办理。</w:t>
      </w:r>
    </w:p>
    <w:p>
      <w:pPr>
        <w:pStyle w:val="6"/>
        <w:jc w:val="both"/>
        <w:rPr>
          <w:rFonts w:hint="eastAsia" w:ascii="宋体" w:hAnsi="宋体" w:eastAsia="宋体" w:cs="宋体"/>
          <w:sz w:val="24"/>
          <w:szCs w:val="24"/>
        </w:rPr>
      </w:pPr>
      <w:r>
        <w:rPr>
          <w:rFonts w:hint="eastAsia" w:ascii="宋体" w:hAnsi="宋体" w:eastAsia="宋体" w:cs="宋体"/>
          <w:sz w:val="24"/>
          <w:szCs w:val="24"/>
        </w:rPr>
        <w:t>17.6 最终结清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17.3.1 最终结清申请单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（１）工程质量保修责任终止证书签发后，承包人应按监理人批准的格式提交最终结清申请单。提交最终结清申请单的份数在专用合同条款中约定。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（２）发包人对最终结清申请单内容有异议的，有权要求承包人进行修正和提供补充资料，由承包人向监理人提交修正后的最终结清申请单。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17.3.2 最终结清证书和支付时间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己经监理人核查同意；发包人未在约定时间内审核又未提出具体意见的，监理人提出应支付给承包人的价款视为已经发包人同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(2）发包人应在监理人出具最终结清证书后的14 天内，将应支付款支付给承包人。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发包人不按期支付的，按第17.3.3(2）目的约定，将逾期付款违约金支付给承包人。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(3）承包人对发包人签认的最终结清证书有异议的，按第24条的约定办理。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(4）最终结清付款涉及政府投资资金的，按第17.3.3(4）目的约定办理。</w:t>
      </w:r>
    </w:p>
    <w:p>
      <w:pPr>
        <w:pStyle w:val="5"/>
        <w:keepNext w:val="0"/>
        <w:keepLines w:val="0"/>
        <w:rPr>
          <w:rFonts w:hint="eastAsia" w:ascii="宋体" w:hAnsi="宋体" w:eastAsia="宋体" w:cs="宋体"/>
          <w:sz w:val="24"/>
          <w:szCs w:val="24"/>
        </w:rPr>
      </w:pPr>
      <w:bookmarkStart w:id="114" w:name="_Toc264888913"/>
      <w:r>
        <w:rPr>
          <w:rFonts w:hint="eastAsia" w:ascii="宋体" w:hAnsi="宋体" w:eastAsia="宋体" w:cs="宋体"/>
          <w:sz w:val="24"/>
          <w:szCs w:val="24"/>
        </w:rPr>
        <w:t>17.7竣工财务决算</w:t>
      </w:r>
      <w:bookmarkEnd w:id="11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发包人负责编制本工程项目竣工财务决算，承包人应按专用合同条款的约定提供竣工财务决算编制所需的相关材料</w:t>
      </w:r>
    </w:p>
    <w:p>
      <w:pPr>
        <w:pStyle w:val="5"/>
        <w:keepNext w:val="0"/>
        <w:keepLines w:val="0"/>
        <w:rPr>
          <w:rFonts w:hint="eastAsia" w:ascii="宋体" w:hAnsi="宋体" w:eastAsia="宋体" w:cs="宋体"/>
          <w:sz w:val="24"/>
          <w:szCs w:val="24"/>
        </w:rPr>
      </w:pPr>
      <w:bookmarkStart w:id="115" w:name="_Toc264888914"/>
      <w:r>
        <w:rPr>
          <w:rFonts w:hint="eastAsia" w:ascii="宋体" w:hAnsi="宋体" w:eastAsia="宋体" w:cs="宋体"/>
          <w:sz w:val="24"/>
          <w:szCs w:val="24"/>
        </w:rPr>
        <w:t>17.8竣工审计</w:t>
      </w:r>
      <w:bookmarkEnd w:id="11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发包人负责完成本工程竣工审计手续，承包人应完成相关配合工作。</w:t>
      </w:r>
    </w:p>
    <w:p>
      <w:pPr>
        <w:pStyle w:val="5"/>
        <w:keepNext w:val="0"/>
        <w:keepLines w:val="0"/>
        <w:rPr>
          <w:rFonts w:hint="eastAsia" w:ascii="宋体" w:hAnsi="宋体" w:eastAsia="宋体" w:cs="宋体"/>
          <w:sz w:val="24"/>
          <w:szCs w:val="24"/>
        </w:rPr>
      </w:pPr>
      <w:bookmarkStart w:id="116" w:name="_Toc184635115"/>
      <w:bookmarkStart w:id="117" w:name="_Toc264888915"/>
      <w:bookmarkStart w:id="118" w:name="_Toc225315763"/>
      <w:r>
        <w:rPr>
          <w:rFonts w:hint="eastAsia" w:ascii="宋体" w:hAnsi="宋体" w:eastAsia="宋体" w:cs="宋体"/>
          <w:sz w:val="24"/>
          <w:szCs w:val="24"/>
        </w:rPr>
        <w:t>18．竣工验收</w:t>
      </w:r>
      <w:bookmarkEnd w:id="116"/>
      <w:bookmarkEnd w:id="117"/>
      <w:bookmarkEnd w:id="118"/>
    </w:p>
    <w:p>
      <w:pPr>
        <w:pStyle w:val="5"/>
        <w:keepNext w:val="0"/>
        <w:keepLines w:val="0"/>
        <w:rPr>
          <w:rFonts w:hint="eastAsia" w:ascii="宋体" w:hAnsi="宋体" w:eastAsia="宋体" w:cs="宋体"/>
          <w:sz w:val="24"/>
          <w:szCs w:val="24"/>
        </w:rPr>
      </w:pPr>
      <w:bookmarkStart w:id="119" w:name="_Toc264888916"/>
      <w:bookmarkStart w:id="120" w:name="_Toc225315764"/>
      <w:bookmarkStart w:id="121" w:name="_Toc184635116"/>
      <w:r>
        <w:rPr>
          <w:rFonts w:hint="eastAsia" w:ascii="宋体" w:hAnsi="宋体" w:eastAsia="宋体" w:cs="宋体"/>
          <w:sz w:val="24"/>
          <w:szCs w:val="24"/>
        </w:rPr>
        <w:t>18.1验收工作分类</w:t>
      </w:r>
      <w:bookmarkEnd w:id="119"/>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18.1.1 竣工验收指承包人完成了全部合同工作后，发包人按合同要求进行的验收。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18.1.2 国家验收是政府有关部门根据法律、规范、规程和政策要求，针对发包人全面组织实施的整个工程正式交付投运前的验收。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18.1.3 需要进行国家验收的，竣工验收是国家验收的一部分。竣工验收所采用的各项验收和评定标准应符合国家验收标准。发包人和承包人为竣工验收提供的各项竣工验收资料应符合国家验收的要求。</w:t>
      </w:r>
    </w:p>
    <w:p>
      <w:pPr>
        <w:pStyle w:val="5"/>
        <w:keepNext w:val="0"/>
        <w:keepLines w:val="0"/>
        <w:rPr>
          <w:rFonts w:hint="eastAsia" w:ascii="宋体" w:hAnsi="宋体" w:eastAsia="宋体" w:cs="宋体"/>
          <w:sz w:val="24"/>
          <w:szCs w:val="24"/>
        </w:rPr>
      </w:pPr>
      <w:bookmarkStart w:id="122" w:name="_Toc264888917"/>
      <w:r>
        <w:rPr>
          <w:rFonts w:hint="eastAsia" w:ascii="宋体" w:hAnsi="宋体" w:eastAsia="宋体" w:cs="宋体"/>
          <w:sz w:val="24"/>
          <w:szCs w:val="24"/>
        </w:rPr>
        <w:t>18.2　分部工程验收</w:t>
      </w:r>
      <w:bookmarkEnd w:id="122"/>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18.2.1　分部工程具备验收条件时，承包人应向发包人提交验收申请报告，发包人应在收到验收申请报告之日起１０个工作日内决定是否同意进行验收。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18.2.2除专用合同条款另有约定外，监理人主持分部工程验收，承包人应派符合条件的代表参加验收工作组。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18.2.3分部工程验收通过后，发包人向承包人发送分部工程验收鉴定书。承包人应及时完成分部工程验收鉴定书载明应由承包人处理的遗留问题。</w:t>
      </w:r>
    </w:p>
    <w:p>
      <w:pPr>
        <w:pStyle w:val="5"/>
        <w:keepNext w:val="0"/>
        <w:keepLines w:val="0"/>
        <w:rPr>
          <w:rFonts w:hint="eastAsia" w:ascii="宋体" w:hAnsi="宋体" w:eastAsia="宋体" w:cs="宋体"/>
          <w:sz w:val="24"/>
          <w:szCs w:val="24"/>
        </w:rPr>
      </w:pPr>
      <w:bookmarkStart w:id="123" w:name="_Toc264888918"/>
      <w:r>
        <w:rPr>
          <w:rFonts w:hint="eastAsia" w:ascii="宋体" w:hAnsi="宋体" w:eastAsia="宋体" w:cs="宋体"/>
          <w:sz w:val="24"/>
          <w:szCs w:val="24"/>
        </w:rPr>
        <w:t>18.3单位工程验收</w:t>
      </w:r>
      <w:bookmarkEnd w:id="123"/>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18.3.1单位工程具备验收条件时，承包人应向发包人提交验收申请报告，发包人应在收到验收申请报告之日起１０个工作日内决定是否同意进行验收。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18.3.2发包人主持单位工程验收，承包人应派符合条件的代表参加验收工作组。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18.3.3单位工程验收通过后，发包人向承包人发送单位工程验收鉴定书。承包人应及时完成单位工程验收鉴定书载明应由承包人处理的遗留问题。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18.3.4需提前投入使用的单位工程在专用合同条款中明确。</w:t>
      </w:r>
    </w:p>
    <w:p>
      <w:pPr>
        <w:pStyle w:val="5"/>
        <w:keepNext w:val="0"/>
        <w:keepLines w:val="0"/>
        <w:rPr>
          <w:rFonts w:hint="eastAsia" w:ascii="宋体" w:hAnsi="宋体" w:eastAsia="宋体" w:cs="宋体"/>
          <w:sz w:val="24"/>
          <w:szCs w:val="24"/>
        </w:rPr>
      </w:pPr>
      <w:bookmarkStart w:id="124" w:name="_Toc264888919"/>
      <w:r>
        <w:rPr>
          <w:rFonts w:hint="eastAsia" w:ascii="宋体" w:hAnsi="宋体" w:eastAsia="宋体" w:cs="宋体"/>
          <w:sz w:val="24"/>
          <w:szCs w:val="24"/>
        </w:rPr>
        <w:t>18.4合同工程完工验收</w:t>
      </w:r>
      <w:bookmarkEnd w:id="12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18.4.1合同工程具备验收条件时，承包人应向发包人提交验收申请报告，发包人应在收到验收申请报告之日起２０个工作日内决定是否同意进行验收。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18.4..2发包人主持合同工程完工验收，承包人应派代表参加验收工作组。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18.4..3合同工程完工验收通过后，发包人向承包人发送合同工程完工验收鉴定书。承包人应及时完成合同工程完工验收鉴定书载明应由承包人处理的遗留问题。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18.4..4合同工程完工验收通过后，发包人与承包人应在３０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３０个工作日内向承包人颁发合同工程完工证书。</w:t>
      </w:r>
    </w:p>
    <w:p>
      <w:pPr>
        <w:pStyle w:val="5"/>
        <w:keepNext w:val="0"/>
        <w:keepLines w:val="0"/>
        <w:rPr>
          <w:rFonts w:hint="eastAsia" w:ascii="宋体" w:hAnsi="宋体" w:eastAsia="宋体" w:cs="宋体"/>
          <w:sz w:val="24"/>
          <w:szCs w:val="24"/>
        </w:rPr>
      </w:pPr>
      <w:bookmarkStart w:id="125" w:name="_Toc264888920"/>
      <w:r>
        <w:rPr>
          <w:rFonts w:hint="eastAsia" w:ascii="宋体" w:hAnsi="宋体" w:eastAsia="宋体" w:cs="宋体"/>
          <w:sz w:val="24"/>
          <w:szCs w:val="24"/>
        </w:rPr>
        <w:t>18.5阶段验收</w:t>
      </w:r>
      <w:bookmarkEnd w:id="12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18.5.1工程建设具备阶段验收条件时，发包人负责提出阶段验收申请报告。承包人应派代表参加阶段验收，并作为被验收单位在验收鉴定书上签字。阶段验收的具体类别在专用合同条款中约定。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18.5.2承包人应及时完成阶段验收鉴定书载明应由承包人处理的遗留问题。</w:t>
      </w:r>
    </w:p>
    <w:p>
      <w:pPr>
        <w:pStyle w:val="5"/>
        <w:keepNext w:val="0"/>
        <w:keepLines w:val="0"/>
        <w:rPr>
          <w:rFonts w:hint="eastAsia" w:ascii="宋体" w:hAnsi="宋体" w:eastAsia="宋体" w:cs="宋体"/>
          <w:sz w:val="24"/>
          <w:szCs w:val="24"/>
        </w:rPr>
      </w:pPr>
      <w:bookmarkStart w:id="126" w:name="_Toc264888921"/>
      <w:r>
        <w:rPr>
          <w:rFonts w:hint="eastAsia" w:ascii="宋体" w:hAnsi="宋体" w:eastAsia="宋体" w:cs="宋体"/>
          <w:sz w:val="24"/>
          <w:szCs w:val="24"/>
        </w:rPr>
        <w:t>18.6专项验收</w:t>
      </w:r>
      <w:bookmarkEnd w:id="126"/>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18.6.1发包人负责提出专项验收申请报告。承包人应按专项验收的相关规定参加专项验收。专项验收的具体类别在专用合同条款中约定。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18.6.2承包人应及时完成专项验收成果性文件载明应由承包人处理的遗留问题。</w:t>
      </w:r>
    </w:p>
    <w:p>
      <w:pPr>
        <w:pStyle w:val="5"/>
        <w:keepNext w:val="0"/>
        <w:keepLines w:val="0"/>
        <w:rPr>
          <w:rFonts w:hint="eastAsia" w:ascii="宋体" w:hAnsi="宋体" w:eastAsia="宋体" w:cs="宋体"/>
          <w:sz w:val="24"/>
          <w:szCs w:val="24"/>
        </w:rPr>
      </w:pPr>
      <w:bookmarkStart w:id="127" w:name="_Toc264888922"/>
      <w:r>
        <w:rPr>
          <w:rFonts w:hint="eastAsia" w:ascii="宋体" w:hAnsi="宋体" w:eastAsia="宋体" w:cs="宋体"/>
          <w:sz w:val="24"/>
          <w:szCs w:val="24"/>
        </w:rPr>
        <w:t>18.7竣工验收</w:t>
      </w:r>
      <w:bookmarkEnd w:id="127"/>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18.7.1申请竣工验收前，发包人组织竣工验收自查，承包人应派代表参加。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18.7.2竣工验收分为竣工技术预验收和竣工验收两个阶段。发包人应通知承包人派代表参加技术预验收和竣工验收。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18.7.3专用合同条款约定工程需要进行技术鉴定的，承包人应提交有关资料并完成配合工作。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18.7.4竣工验收需要进行质量检测的，所需费用由发包人承担，但因承包人原因造成质量不合格的除外。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18.7.5工程质量保修期满以及竣工验收遗留问题和尾工处理完成并通过验收后，发包人负责将处理情况和验收成果报送竣工验收主持单位，申请领取工程竣工证书，并发送承包人。</w:t>
      </w:r>
    </w:p>
    <w:p>
      <w:pPr>
        <w:pStyle w:val="5"/>
        <w:keepNext w:val="0"/>
        <w:keepLines w:val="0"/>
        <w:rPr>
          <w:rFonts w:hint="eastAsia" w:ascii="宋体" w:hAnsi="宋体" w:eastAsia="宋体" w:cs="宋体"/>
          <w:sz w:val="24"/>
          <w:szCs w:val="24"/>
        </w:rPr>
      </w:pPr>
      <w:bookmarkStart w:id="128" w:name="_Toc264888923"/>
      <w:r>
        <w:rPr>
          <w:rFonts w:hint="eastAsia" w:ascii="宋体" w:hAnsi="宋体" w:eastAsia="宋体" w:cs="宋体"/>
          <w:sz w:val="24"/>
          <w:szCs w:val="24"/>
        </w:rPr>
        <w:t>18.8施工期运行</w:t>
      </w:r>
      <w:bookmarkEnd w:id="128"/>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18.8.1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18.8.2在施工期运行中发现工程或工程设备损坏或存在缺陷的，由承包人按第19.2款约定进行修复。 </w:t>
      </w:r>
    </w:p>
    <w:p>
      <w:pPr>
        <w:pStyle w:val="5"/>
        <w:keepNext w:val="0"/>
        <w:keepLines w:val="0"/>
        <w:rPr>
          <w:rFonts w:hint="eastAsia" w:ascii="宋体" w:hAnsi="宋体" w:eastAsia="宋体" w:cs="宋体"/>
          <w:sz w:val="24"/>
          <w:szCs w:val="24"/>
        </w:rPr>
      </w:pPr>
      <w:bookmarkStart w:id="129" w:name="_Toc264888924"/>
      <w:r>
        <w:rPr>
          <w:rFonts w:hint="eastAsia" w:ascii="宋体" w:hAnsi="宋体" w:eastAsia="宋体" w:cs="宋体"/>
          <w:sz w:val="24"/>
          <w:szCs w:val="24"/>
        </w:rPr>
        <w:t>18.9试运行</w:t>
      </w:r>
      <w:bookmarkEnd w:id="129"/>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18.9.1除专用合同条款另有约定外，承包人应按规定进行工程及工程设备试运行，负责提供试运行所需的人员、器材和必要的条件，并承担全部试运行费用。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18.9.2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5"/>
        <w:keepNext w:val="0"/>
        <w:keepLines w:val="0"/>
        <w:rPr>
          <w:rFonts w:hint="eastAsia" w:ascii="宋体" w:hAnsi="宋体" w:eastAsia="宋体" w:cs="宋体"/>
          <w:sz w:val="24"/>
          <w:szCs w:val="24"/>
        </w:rPr>
      </w:pPr>
      <w:bookmarkStart w:id="130" w:name="_Toc264888925"/>
      <w:r>
        <w:rPr>
          <w:rFonts w:hint="eastAsia" w:ascii="宋体" w:hAnsi="宋体" w:eastAsia="宋体" w:cs="宋体"/>
          <w:sz w:val="24"/>
          <w:szCs w:val="24"/>
        </w:rPr>
        <w:t>18.10竣工（完工）清场</w:t>
      </w:r>
      <w:bookmarkEnd w:id="130"/>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18.10.1工程项目竣工（完工）清场的工作范围和内容在技术标准和要求（合同技术条款）中约定。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18.10.2承包人未按监理人的要求恢复临时占地，或者场地清理未达到合同约定的，发包人有权委托其它人恢复或清理，所发生的金额从拟支付给承包人的款项中扣除。</w:t>
      </w:r>
    </w:p>
    <w:p>
      <w:pPr>
        <w:pStyle w:val="5"/>
        <w:keepNext w:val="0"/>
        <w:keepLines w:val="0"/>
        <w:rPr>
          <w:rFonts w:hint="eastAsia" w:ascii="宋体" w:hAnsi="宋体" w:eastAsia="宋体" w:cs="宋体"/>
          <w:sz w:val="24"/>
          <w:szCs w:val="24"/>
        </w:rPr>
      </w:pPr>
      <w:bookmarkStart w:id="131" w:name="_Toc264888926"/>
      <w:r>
        <w:rPr>
          <w:rFonts w:hint="eastAsia" w:ascii="宋体" w:hAnsi="宋体" w:eastAsia="宋体" w:cs="宋体"/>
          <w:sz w:val="24"/>
          <w:szCs w:val="24"/>
        </w:rPr>
        <w:t>18.11施工队伍的撤离</w:t>
      </w:r>
      <w:bookmarkEnd w:id="131"/>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w:t>
      </w:r>
    </w:p>
    <w:p>
      <w:pPr>
        <w:pStyle w:val="5"/>
        <w:keepNext w:val="0"/>
        <w:keepLines w:val="0"/>
        <w:rPr>
          <w:rFonts w:hint="eastAsia" w:ascii="宋体" w:hAnsi="宋体" w:eastAsia="宋体" w:cs="宋体"/>
          <w:sz w:val="24"/>
          <w:szCs w:val="24"/>
        </w:rPr>
      </w:pPr>
      <w:bookmarkStart w:id="132" w:name="_Toc264888927"/>
      <w:r>
        <w:rPr>
          <w:rFonts w:hint="eastAsia" w:ascii="宋体" w:hAnsi="宋体" w:eastAsia="宋体" w:cs="宋体"/>
          <w:sz w:val="24"/>
          <w:szCs w:val="24"/>
        </w:rPr>
        <w:t>19、缺陷责任与保修责任</w:t>
      </w:r>
      <w:bookmarkEnd w:id="120"/>
      <w:bookmarkEnd w:id="121"/>
      <w:bookmarkEnd w:id="132"/>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19.1 缺陷责任期的起算时间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合同条款另有约定外，缺陷责任期（工程质量保修期）从工程通过合同工程完工验收后开始计算。在合同工程完工验收前，已经发包人提前验收的单位工程或部分工程，若未投入使用，其缺陷责任期（工程质量保修期） 亦从工程通过合同工程完工验收后开始计算；若已投入使用，其缺陷责任期（工程质量保修期）从通过单位工程或部分工程投入使用验收后开始计算。缺陷责任期（工程质量保修期）的期限在专用合同条款中约定。</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19.2 缺陷责任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19.2.1 承包人应在缺陷责任期内对己交付使用的工程承担缺陷责任。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19.2.2 缺陷责任期内，发包人对己接收使用的工程负责日常维护工作。发包人在使用过程中，发现己接收的工程存在新的缺陷或已修复的缺陷部位或部件又遭损坏的，承包人应负责修复，直至检验合格为止。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19.2.4 承包人不能在合理时间内修复缺陷的，发包人可自行修复或委托其他人修复，所需费用和利润的承担，按第19.2.3 项约定办理。</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19.3 缺陷责任期的延长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由于承包人原因造成某项缺陷或损坏使某项工程或工程设备不能按原．定目标使用而需要再次检查、检验和修复的，发包人有权要求承包人相应延长缺陷责任期，但缺陷责任期最长不超过2年。</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19.4 进一步试验和试运行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任何一项缺陷或损坏修复后，经检查证明其影响了工程或工程设备的使用性能，承包人应重新进行合同约定的试验和试运行，试验和试运行的全部费用应由责任方承担。</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19.5 承包人的进入权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缺陷责任期内承包人为缺陷修复工作需要，有权进入工程现场，但应遵守发包人的保安和保密规定。</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19.6 缺陷责任期终止证书（工程质量保修责任终止证书）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合同工程完工验收或投入使用验收后，发包人与承包人应办理工程交接手续，承包人应向发包人递交工程质量保修书。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缺陷责任期（工程质量保修期）满后30个工作日内，发包人应向承包人颁发工程质量保修责任终止证书，并退还剩余的质量保证金，但保修责任范围内的质量缺陷未处理完成的应除外。</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19.7 保修责任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5"/>
        <w:keepNext w:val="0"/>
        <w:keepLines w:val="0"/>
        <w:rPr>
          <w:rFonts w:hint="eastAsia" w:ascii="宋体" w:hAnsi="宋体" w:eastAsia="宋体" w:cs="宋体"/>
          <w:sz w:val="24"/>
          <w:szCs w:val="24"/>
        </w:rPr>
      </w:pPr>
      <w:bookmarkStart w:id="133" w:name="_Toc264888928"/>
      <w:bookmarkStart w:id="134" w:name="_Toc225315765"/>
      <w:bookmarkStart w:id="135" w:name="_Toc184635117"/>
      <w:r>
        <w:rPr>
          <w:rFonts w:hint="eastAsia" w:ascii="宋体" w:hAnsi="宋体" w:eastAsia="宋体" w:cs="宋体"/>
          <w:sz w:val="24"/>
          <w:szCs w:val="24"/>
        </w:rPr>
        <w:t>20、保险</w:t>
      </w:r>
      <w:bookmarkEnd w:id="133"/>
      <w:bookmarkEnd w:id="134"/>
      <w:bookmarkEnd w:id="135"/>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20.1 工程保险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20.2 人员工伤事故的保险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20.2.1 承包人员工伤事故的保险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承包人应依照有关法律规定参加工伤保险，为其履行合同所雇佣的全部人员，缴纳工伤保险费，并要求其分包人也进行此项保险。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20.2.2 发包人员工伤事故的保险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发包人应依照有关法律规定参加工伤保险，为其现场机构雇佣的全部人员，缴纳工伤保险费，并要求其监理人也进行此项保险。</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20.3 人身意外伤害险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20.3.1 发包人应在整个施工期间为其现场机构雇用的全部人员，投保人身意外伤害险，缴纳保险费，并要求其监理人也进行此项保险。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20.3.2 承包人应在整个施工期间为其现场机构雇用的全部人员，投保人身意外伤害险，缴纳保险费，并要求其分包人也进行此项保险。</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20.4 第三者责任险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20.4.2 在缺陷责任期终止证书颁发前，承包人应以承包人和发包人的共同名义，投保第20.4.1 项约定的第三者责任险，其保险费率、保险金额等有关内容在专用合同条款中约定。</w:t>
      </w:r>
    </w:p>
    <w:p>
      <w:pPr>
        <w:pStyle w:val="6"/>
        <w:jc w:val="both"/>
        <w:rPr>
          <w:rFonts w:hint="eastAsia" w:ascii="宋体" w:hAnsi="宋体" w:eastAsia="宋体" w:cs="宋体"/>
          <w:sz w:val="24"/>
          <w:szCs w:val="24"/>
        </w:rPr>
      </w:pPr>
      <w:r>
        <w:rPr>
          <w:rFonts w:hint="eastAsia" w:ascii="宋体" w:hAnsi="宋体" w:eastAsia="宋体" w:cs="宋体"/>
          <w:sz w:val="24"/>
          <w:szCs w:val="24"/>
        </w:rPr>
        <w:t>20.5 其他保险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除专用合同条款另有约定外，承包人应为其施工设备、进场的材料和工程设备等办理保险。</w:t>
      </w:r>
    </w:p>
    <w:p>
      <w:pPr>
        <w:pStyle w:val="6"/>
        <w:jc w:val="both"/>
        <w:rPr>
          <w:rFonts w:hint="eastAsia" w:ascii="宋体" w:hAnsi="宋体" w:eastAsia="宋体" w:cs="宋体"/>
          <w:sz w:val="24"/>
          <w:szCs w:val="24"/>
        </w:rPr>
      </w:pPr>
      <w:r>
        <w:rPr>
          <w:rFonts w:hint="eastAsia" w:ascii="宋体" w:hAnsi="宋体" w:eastAsia="宋体" w:cs="宋体"/>
          <w:sz w:val="24"/>
          <w:szCs w:val="24"/>
        </w:rPr>
        <w:t>20.6 对各项保险的一般要求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20.6.1 保险凭证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承包人应在专用合同条款约定的期限内向发包人提交各项保险生效的证据和保险单副本，保险单必须与专用合同条款约定的条件保持一致。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20.6.2 保险合同条款的变动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承包人需要变动保险合同条款时，应事先征得发包人同意，并通知监理人。保险人作出变动的，承包人应在收到保险人通知后立即通知发包人和监理人。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20.6.3 持续保险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承包人应与保险人保持联系，使保险人能够随时了解工程实施中的变动，并确保按保险合同条款要求持续保险。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20.6.4 保险金不足的补偿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保险金不足以补偿损失时，应由承包人和发包人各自负责补偿的范围和金额在专用合同条款中约定。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20.6.5 未按约定投保的补救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(l）由于负有投保义务的一方当事人未按合同约定办理保险，或未能使保险持续有效的，另一方当事人可代为办理，所需费用由对方当事人承担。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(2）由于负有投保义务的一方当事人未按合同约定办理某项保险，导致受益人未能得到保险人的赔偿，原应从该项保险得到的保险金应由负有投保义务的一方当事人支付。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20.6.6 报告义务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当保险事故发生时，投保人应按照保险单规定的条件和期限及时向保险人报告。</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20.7风险责任的转移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工程通过合同工程完工验收并移交给发包人后，原由承包人应承担的风险责任，以及保险的责任、权利和义务同时转移给发包人，但承包人在缺陷责任期（工程质量保修期）前造成损失和损坏情形除外。</w:t>
      </w:r>
    </w:p>
    <w:p>
      <w:pPr>
        <w:pStyle w:val="5"/>
        <w:keepNext w:val="0"/>
        <w:keepLines w:val="0"/>
        <w:rPr>
          <w:rFonts w:hint="eastAsia" w:ascii="宋体" w:hAnsi="宋体" w:eastAsia="宋体" w:cs="宋体"/>
          <w:sz w:val="24"/>
          <w:szCs w:val="24"/>
        </w:rPr>
      </w:pPr>
      <w:bookmarkStart w:id="136" w:name="_Toc225315766"/>
      <w:bookmarkStart w:id="137" w:name="_Toc264888929"/>
      <w:bookmarkStart w:id="138" w:name="_Toc184635118"/>
      <w:r>
        <w:rPr>
          <w:rFonts w:hint="eastAsia" w:ascii="宋体" w:hAnsi="宋体" w:eastAsia="宋体" w:cs="宋体"/>
          <w:sz w:val="24"/>
          <w:szCs w:val="24"/>
        </w:rPr>
        <w:t>21、不可抗力</w:t>
      </w:r>
      <w:bookmarkEnd w:id="136"/>
      <w:bookmarkEnd w:id="137"/>
      <w:bookmarkEnd w:id="138"/>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21.1 不可抗力的确认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21.1.2 不可抗力发生后，发包人和承包人应及时认真统计所造成的损失，收集不可抗力造成损失的证据。合同双方对是否属于不可抗力或其损失的意见不一致的，由监理人按第3.5 款商定或确定。发生争议时，按第24条的约定办理。</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21.2 不可抗力的通知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21.2.1 合同一方当事人遇到不可抗力事件，使其履行合同义务受到阻碍时，应立即通知合同另一方当事人和监理人，书面说明不可抗力和受阻碍的详细情况，并提供必要的证明。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21.2.2 如不可抗力持续发生，合同一方当事人应及时向合同另一方当事人和监理人提交中间报告，说明不可抗力和履行合同受阻的情况，并于不可抗力事件结束后28天内提交最终报告及有关资料。</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21.3 不可抗力后果及其处理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21.3.1 不可抗力造成损害的责任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除专用合同条款另有约定外，不可抗力导致的人员伤亡、财产损失、费用增加和（或）工期延误等后果，由合同双方按以下原则承担：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(1）永久工程，包括己运至施工场地的材料和工程设备的损害，以及因工程损害造成的第三者人员伤亡和财产损失由发包人承担；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(2）承包人设备的损坏由承包人承担；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(3）发包人和承包人各自承担其人员伤亡和其他财产损失及其相关费用；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(4）承包人的停工损失由承包人承担，但停工期间应监理人要求照管工程和清理、修复工程的金额由发包人承担；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(5）不能按期竣工的，应合理延长工期，承包人不需支付逾期竣工违约金。发包人要求赶工的，承包人应采取赶工措施，赶工费用由发包人承担。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21.3.2 延迟履行期间发生的不可抗力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合同一方当事人延迟履行，在延迟履行期间发生不可抗力的，不免除其责任。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21.3.3 避免和减少不可抗力损失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不可抗力发生后，发包人和承包人均应采取措施尽量避免和减少损失的扩大，任何一方没有采取有效措施导致损失扩大的，应对扩大的损失承担责任。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21.3.4 因不可抗力解除合同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合同一方当事人因不可抗力不能履行合同的，应当及时通知对方解除合同。合同解除后，承包人应按照第22.2.5 项约定撤离施工场地。已经订货的材料、设备由订货方负责退货或解除订货合同，不能退还的货款和因退货、解除订货合同发生的费用，由发包人承担，因未及时退货造成的损失由责任方承担。合同解除后的付款，参照第22.2.4 项约定，由监理人按第3.5 款商定或确定。</w:t>
      </w:r>
    </w:p>
    <w:p>
      <w:pPr>
        <w:pStyle w:val="5"/>
        <w:keepNext w:val="0"/>
        <w:keepLines w:val="0"/>
        <w:rPr>
          <w:rFonts w:hint="eastAsia" w:ascii="宋体" w:hAnsi="宋体" w:eastAsia="宋体" w:cs="宋体"/>
          <w:sz w:val="24"/>
          <w:szCs w:val="24"/>
        </w:rPr>
      </w:pPr>
      <w:bookmarkStart w:id="139" w:name="_Toc225315767"/>
      <w:bookmarkStart w:id="140" w:name="_Toc264888930"/>
      <w:bookmarkStart w:id="141" w:name="_Toc184635119"/>
      <w:r>
        <w:rPr>
          <w:rFonts w:hint="eastAsia" w:ascii="宋体" w:hAnsi="宋体" w:eastAsia="宋体" w:cs="宋体"/>
          <w:sz w:val="24"/>
          <w:szCs w:val="24"/>
        </w:rPr>
        <w:t>22、违约</w:t>
      </w:r>
      <w:bookmarkEnd w:id="139"/>
      <w:bookmarkEnd w:id="140"/>
      <w:bookmarkEnd w:id="141"/>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22.1 承包人违约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在履行合同过程中发生的下列情况属承包人违约：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（１）承包人违反第1．8款或第4．3款的约定，私自将合同的全部或部分权利转让给其他人，或私自将合同的全部或部分义务转移给其他人；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（２）承包人违反第5．3款或第6．4款的约定，未经监理人批准，私自将已按合同约定进入施工场地的施工设备、临时设施或材料撤离施工场地；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（３）承包人违反第5．4款的约定使用了不合格材料或工程设备，工程质量达不到标准要求，又拒绝清除不合格工程；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（４）承包人未能按合同进度计划及时完成合同约定的工作，已造成或预期造成工期延误；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（５）承包人在缺陷责任期（工程质量保修期）内，未能对合同工程完工验收鉴定书所列的缺陷清单的内容或缺陷责任期（工程质量保修期）内发生的缺陷进行修复，而又拒绝按监理人指示再进行修补；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（６）承包人无法继续履行或明确表示不履行或实质上已停止履行合同；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（７）承包人不按合同约定履行义务的其它情况。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22.1.2 对承包人违约的处理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(l）承包人发生第22.1.1(6）目约定的违约情况时，发包人可通知承包人立即解除合同，并按有关法律处理。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(2）承包人发生除第22.1.1(6）目约定以外的其他违约情况时，监理人可向承包人发出整改通知，要求其在指定的期限内改正。承包人应承担其违约所引起的费用增加和（或）工期延误。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(3）经检查证明承包人已采取了有效措施纠正违约行为，具备复工条件的，可由监理人签发复工通知复工。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22.1.3 承包人违约解除合同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22.1.4 合同解除后的估价、付款和结清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(1）合同解除后，监理人按第3.5 款商定或确定承包人实际完成工作的价值，以及承包人己提供的材料、施工设备、工程设备和临时工程等的价值。</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(2）合同解除后，发包人应暂停对承包人的一切付款，查清各项付款和己扣款金额，包括承包人应支付的违约金。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(3）合同解除后，发包人应按第23.4 款的约定向承包人索赔由于解除合同给发包人造成的损失。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(4）合同双方确认上述往来款项后，出具最终结清付款证书，结清全部合同款项。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(5）发包人和承包人未能就解除合同后的结清达成一致而形成争议的，按第24条的约定办理。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22.1.5 协议利益的转让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因承包人违约解除合同的，发包人有权要求承包人将其为实施合同而签订的材料和设备的订货协议或任何服务协议利益转让给发包人，并在解除合同后的14天内，依法办理转让手续。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22.1.6 紧急情况下无能力或不愿进行抢救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6"/>
        <w:jc w:val="both"/>
        <w:rPr>
          <w:rFonts w:hint="eastAsia" w:ascii="宋体" w:hAnsi="宋体" w:eastAsia="宋体" w:cs="宋体"/>
          <w:sz w:val="24"/>
          <w:szCs w:val="24"/>
        </w:rPr>
      </w:pPr>
      <w:r>
        <w:rPr>
          <w:rFonts w:hint="eastAsia" w:ascii="宋体" w:hAnsi="宋体" w:eastAsia="宋体" w:cs="宋体"/>
          <w:sz w:val="24"/>
          <w:szCs w:val="24"/>
        </w:rPr>
        <w:t>22.2 发包人违约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22.2.1 发包人违约的情形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在履行合同过程中发生的下列情形，属发包人违约：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(l）发包人未能按合同约定支付预付款或合同价款，或拖延、拒绝批准付款申请和支付凭证，导致付款延误的；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(2）发包人原因造成停工的；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(3）监理人无正当理由没有在约定期限内发出复工指示，导致承包人无法复工的；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(4）发包人无法继续履行或明确表示不履行或实质上已停止履行合同的；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(5）发包人不履行合同约定其他义务的。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22.2.2 承包人有权暂停施工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22.2.3 发包人违约解除合同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(1）发生第22.2.1(4）目的违约情况时，承包人可书面通知发包人解除合同。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(2）承包人按22.2.2 项暂停施工28天后，发包人仍不纠正违约行为的，承包人可向发包人发出解除合同通知。但承包人的这一行动不免除发包人承担的违约责任，也不影响承包人根据合同约定享有的索赔权利。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22.2.4 解除合同后的付款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因发包人违约解除合同的，发包人应在解除合同后28天内向承包人支付下列金额，承包人应在此期限内及时向发包人提交要求支付下列金额的有关资料和凭证：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(l）合同解除日以前所完成工作的价款；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(2）承包人为该工程施工订购并己付款的材料、工程设备和其他物品的金额。发包人付还后，该材料、工程设备和其他物品归发包人所有；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(3）承包人为完成工程所发生的，而发包人未支付的金额；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(4）承包人撤离施工场地以及遣散承包人人员的金额；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(5）由于解除合同应赔偿的承包人损失；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(6）按合同约定在合同解除日前应支付给承包人的其他金额。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发包人应按本项约定支付上述金额并退还质量保证金和履约担保，但有权要求承包人支付应偿还给发包人的各项金额。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22.2.5 解除合同后的承包人撤离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因发包人违约而解除合同后，承包人应妥善做好已竣工工程和己购材料、设备的保护和移交工作，按发包人要求将承包人设备和人员撤出施工场地。承包人撤出施工场地应遵守第</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18.7.1 项的约定，发包人应为承包人撤出提供必要条件。</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22.3 第三人造成的违约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在履行合同过程中，一方当事人因第三人的原因造成违约的，应当向对方当事人承担违约责任。一方当事人和第三人之间的纠纷，依照法律规定或者按照约定解决。</w:t>
      </w:r>
    </w:p>
    <w:p>
      <w:pPr>
        <w:pStyle w:val="5"/>
        <w:keepNext w:val="0"/>
        <w:keepLines w:val="0"/>
        <w:rPr>
          <w:rFonts w:hint="eastAsia" w:ascii="宋体" w:hAnsi="宋体" w:eastAsia="宋体" w:cs="宋体"/>
          <w:sz w:val="24"/>
          <w:szCs w:val="24"/>
        </w:rPr>
      </w:pPr>
      <w:bookmarkStart w:id="142" w:name="_Toc184635120"/>
      <w:bookmarkStart w:id="143" w:name="_Toc225315768"/>
      <w:bookmarkStart w:id="144" w:name="_Toc264888931"/>
      <w:r>
        <w:rPr>
          <w:rFonts w:hint="eastAsia" w:ascii="宋体" w:hAnsi="宋体" w:eastAsia="宋体" w:cs="宋体"/>
          <w:sz w:val="24"/>
          <w:szCs w:val="24"/>
        </w:rPr>
        <w:t>23、索赔</w:t>
      </w:r>
      <w:bookmarkEnd w:id="142"/>
      <w:bookmarkEnd w:id="143"/>
      <w:bookmarkEnd w:id="144"/>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23.1 承包人索赔的提出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根据合同约定，承包人认为有权得到追加付款和（或）延长工期的，应按以下程序向发包人提出索赔：</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(l）承包人应在知道或应当知道索赔事件发生后28 天内，向监理人递交索赔意向通知书，并说明发生索赔事件的事由。承包人未在前述28天内发出索赔意向通知书的，丧失要求追加付款和（或）延长工期的权利：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(2）承包人应在发出索赔意向通知书后28天内，向监理人正式递交索赔通知书。索赔通知书应详细说明索赔理由以及要求追加的付款金额和（或）延长的工期，并附必要的记录和证明材料；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(3）索赔事件具有连续影响的，承包人应按合理时间间隔继续递交延续索赔通知，说明连续影响的实际情况和记录，列出累计的追加付款金额和（或）工期延长天数；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(4）在索赔事件影响结束后的28 天内，承包人应向监理人递交最终索赔通知书，说明最终要求索赔的追加付款金额和延长的工期，并附必要的记录和证明材料。</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23.2 承包人索赔处理程序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(1）监理人收到承包人提交的索赔通知书后，应及时审查索赔通知书的内容、杳验承包人的记录和证明材料，必要时监理人可要求承包人提交全部原始记录副本。</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(2）监理人应按第3.5 款商定或确定追加的付款和（或）延长的工期，并在收到上述索赔通知书或有关索赔的进一步证明材料后的42天内，将索赔处理结果答复承包人。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(3）承包人接受索赔处理结果的，发包人应在作出索赔处理结果答复后28 天内完成赔付。承包人不接受索赔处理结果的，按第24条的约定办理。</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23.3 承包人提出索赔的期限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23.3.1承包人按第１７．５款的约定接受了完工付款证书后，应被认为已无权再提出在合同工程完工证书颁发前所发生的任何索赔。</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23.3.2承包人按第１７．６款的约定提交的最终结清申请单中，只限于提出合同工程完工证书颁发后发生的索赔。提出索赔的期限自接受最终结清证书时终止</w:t>
      </w:r>
      <w:r>
        <w:rPr>
          <w:rFonts w:hint="eastAsia" w:ascii="宋体" w:hAnsi="宋体" w:eastAsia="宋体" w:cs="宋体"/>
          <w:kern w:val="0"/>
          <w:sz w:val="24"/>
          <w:szCs w:val="24"/>
        </w:rPr>
        <w:t>。</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23.4 发包人的索赔</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23.4.1 发生索赔事件后，监理人应及时书面通知承包人，详细说明发包人有权得到的索赔金额和（或）延长缺陷责任期的细节和依据。发包人提出索赔的期限和要求与第23.3 款的约定相同，延长缺陷责任期的通知应在缺陷责任期届满前发出。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23.4.2 监理人按第3.5 款商定或确定发包人从承包人处得到赔付的金额和（或）缺陷责任期的延长期。承包人应付给发包人的金额可从拟支付给承包人的合同价款中扣除，或由承包人以其他方式支付给发包人。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23.4.3承包人对监理人按第23.4.1 项发出的索赔书面通知内容持异议时， 应在收到书面通知后的14 天内， 将持有异议的书面报告及其证明材料提交监理人。监理人应在收到承包人书面报告后的14 天内， 将异议的处理意见通知承包人， 并按第23.4.2项的约定执行赔付。若承包人不接受监理人的索赔处理意见，可按本合同第24 条的规定办理。</w:t>
      </w:r>
    </w:p>
    <w:p>
      <w:pPr>
        <w:pStyle w:val="5"/>
        <w:keepNext w:val="0"/>
        <w:keepLines w:val="0"/>
        <w:rPr>
          <w:rFonts w:hint="eastAsia" w:ascii="宋体" w:hAnsi="宋体" w:eastAsia="宋体" w:cs="宋体"/>
          <w:sz w:val="24"/>
          <w:szCs w:val="24"/>
        </w:rPr>
      </w:pPr>
      <w:bookmarkStart w:id="145" w:name="_Toc225315769"/>
      <w:bookmarkStart w:id="146" w:name="_Toc264888932"/>
      <w:bookmarkStart w:id="147" w:name="_Toc184635121"/>
      <w:r>
        <w:rPr>
          <w:rFonts w:hint="eastAsia" w:ascii="宋体" w:hAnsi="宋体" w:eastAsia="宋体" w:cs="宋体"/>
          <w:sz w:val="24"/>
          <w:szCs w:val="24"/>
        </w:rPr>
        <w:t>24、争议的解决</w:t>
      </w:r>
      <w:bookmarkEnd w:id="145"/>
      <w:bookmarkEnd w:id="146"/>
      <w:bookmarkEnd w:id="147"/>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24.1 争议的解决方式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(l）向约定的仲裁委员会申请仲裁；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(2）向有管辖权的人民法院提起诉讼。</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24.2 友好解决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在提请争议评审、仲裁或者诉讼前，以及在争议评审、仲裁或诉讼过程中，发包人和承包人均可共同努力友好协商解决争议。</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24.3 争议评审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24.3.1 采用争议评审的，发包人和承包人应在开工日后的28天内或在争议发生后，协商成立争议评审组。争议评审组由有合同管理和工程实践经验的专家组成。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24.3.2 合同双方的争议，应首先由申请人向争议评审组提交一份详细的评审申请报告，并附必要的文件、图纸和证明材料，申请人还应将上述报告的副本同时提交给被申请人和监理人。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24.3.3 被申请人在收到申请人评审申请报告副本后的28 天内，向争议评审组提交一份答辩报告，并附证明材料。被申请人应将答辩报告的副本同时提交给申请人和监理人。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24.3.4 除专用合同条款另有约定外，争议评审组在收到合同双方报告后的14天内，邀请双方代表和有关人员举行调查会，向双方调查争议细节；必要时争议评审组可要求双方进一步提供补充材料。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24.3.6 发包人和承包人接受评审意见的，由监理人根据评审意见拟定执行协议，经争议双方签字后作为合同的补充文件，并遵照执行。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24.3.7 发包人或承包人不接受评审意见，并要求提交仲裁或提起诉讼的，应在收到评审意见后的14 天内将仲裁或起诉意向书面通知另一方，并抄送监理人，但在仲裁或诉讼结束前应暂按总监理工程师的确定执行。</w:t>
      </w:r>
    </w:p>
    <w:p>
      <w:pPr>
        <w:pStyle w:val="6"/>
        <w:jc w:val="both"/>
        <w:rPr>
          <w:rFonts w:hint="eastAsia" w:ascii="宋体" w:hAnsi="宋体" w:eastAsia="宋体" w:cs="宋体"/>
          <w:sz w:val="24"/>
          <w:szCs w:val="24"/>
        </w:rPr>
      </w:pPr>
      <w:r>
        <w:rPr>
          <w:rFonts w:hint="eastAsia" w:ascii="宋体" w:hAnsi="宋体" w:eastAsia="宋体" w:cs="宋体"/>
          <w:sz w:val="24"/>
          <w:szCs w:val="24"/>
        </w:rPr>
        <w:t>24.4仲裁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24.4.1若合同双方商定直接向仲裁机构申请仲裁，应签订仲裁协议并约定仲裁机构。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24.4.2若合同双方未能达成仲裁协议，则本合同的仲裁条款无效，任一方均有权向人民法院提起诉讼。</w:t>
      </w:r>
    </w:p>
    <w:p>
      <w:pPr>
        <w:pStyle w:val="25"/>
        <w:rPr>
          <w:rFonts w:hint="eastAsia"/>
        </w:rPr>
        <w:sectPr>
          <w:headerReference r:id="rId12" w:type="default"/>
          <w:pgSz w:w="11910" w:h="16840"/>
          <w:pgMar w:top="1417" w:right="1531" w:bottom="850" w:left="1531" w:header="670" w:footer="1041" w:gutter="0"/>
          <w:cols w:space="720" w:num="1"/>
          <w:rtlGutter w:val="0"/>
          <w:docGrid w:linePitch="1" w:charSpace="0"/>
        </w:sectPr>
      </w:pPr>
    </w:p>
    <w:p>
      <w:pPr>
        <w:pStyle w:val="3"/>
        <w:keepNext w:val="0"/>
        <w:keepLines w:val="0"/>
        <w:jc w:val="center"/>
        <w:rPr>
          <w:rFonts w:hint="eastAsia" w:ascii="宋体" w:hAnsi="宋体" w:eastAsia="宋体" w:cs="宋体"/>
          <w:b w:val="0"/>
          <w:sz w:val="24"/>
          <w:szCs w:val="24"/>
        </w:rPr>
      </w:pPr>
      <w:bookmarkStart w:id="148" w:name="_Toc224362535"/>
      <w:bookmarkStart w:id="149" w:name="_Toc184635122"/>
      <w:bookmarkStart w:id="150" w:name="_Toc225580491"/>
      <w:bookmarkStart w:id="151" w:name="_Toc482807173"/>
      <w:bookmarkStart w:id="152" w:name="_Toc264888933"/>
      <w:bookmarkStart w:id="153" w:name="_Toc2627_WPSOffice_Level1"/>
      <w:r>
        <w:rPr>
          <w:rFonts w:hint="eastAsia" w:ascii="宋体" w:hAnsi="宋体" w:eastAsia="宋体" w:cs="宋体"/>
          <w:b w:val="0"/>
          <w:sz w:val="24"/>
          <w:szCs w:val="24"/>
        </w:rPr>
        <w:t>第二节  专用合同条款</w:t>
      </w:r>
      <w:bookmarkEnd w:id="148"/>
      <w:bookmarkEnd w:id="149"/>
      <w:bookmarkEnd w:id="150"/>
      <w:bookmarkEnd w:id="151"/>
      <w:bookmarkEnd w:id="152"/>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bookmarkStart w:id="154" w:name="_Toc224362536"/>
      <w:r>
        <w:rPr>
          <w:rFonts w:hint="eastAsia" w:ascii="宋体" w:hAnsi="宋体" w:eastAsia="宋体" w:cs="宋体"/>
          <w:sz w:val="24"/>
          <w:szCs w:val="24"/>
        </w:rPr>
        <w:t>《专用合同条款》中的各条款是补充和修改《通用合同条款》中相同的条款或当需要时增加的新的条款，两者应对照阅读。一旦出现矛盾或不一致，则以《专用合同条款》为准，《通用合同条款》中未补充和修改的部分仍有效。</w:t>
      </w:r>
      <w:bookmarkEnd w:id="154"/>
    </w:p>
    <w:p>
      <w:pPr>
        <w:pStyle w:val="3"/>
        <w:keepNext w:val="0"/>
        <w:keepLines w:val="0"/>
        <w:rPr>
          <w:rFonts w:hint="eastAsia" w:ascii="宋体" w:hAnsi="宋体" w:eastAsia="宋体" w:cs="宋体"/>
          <w:bCs w:val="0"/>
          <w:sz w:val="24"/>
          <w:szCs w:val="24"/>
        </w:rPr>
      </w:pPr>
      <w:bookmarkStart w:id="155" w:name="_Toc224362537"/>
      <w:bookmarkStart w:id="156" w:name="_Toc441855979"/>
      <w:bookmarkStart w:id="157" w:name="_Toc225580492"/>
      <w:bookmarkStart w:id="158" w:name="_Toc225595225"/>
      <w:bookmarkStart w:id="159" w:name="_Toc482807174"/>
      <w:bookmarkStart w:id="160" w:name="_Toc479701824"/>
      <w:bookmarkStart w:id="161" w:name="_Toc409524552"/>
      <w:bookmarkStart w:id="162" w:name="_Toc480213733"/>
      <w:bookmarkStart w:id="163" w:name="_Toc409091999"/>
      <w:bookmarkStart w:id="164" w:name="_Toc264888934"/>
      <w:bookmarkStart w:id="165" w:name="_Toc480213164"/>
      <w:bookmarkStart w:id="166" w:name="_Toc228855477"/>
      <w:bookmarkStart w:id="167" w:name="_Toc224398442"/>
      <w:bookmarkStart w:id="168" w:name="_Toc229554504"/>
      <w:bookmarkStart w:id="169" w:name="_Toc409178990"/>
      <w:r>
        <w:rPr>
          <w:rFonts w:hint="eastAsia" w:ascii="宋体" w:hAnsi="宋体" w:eastAsia="宋体" w:cs="宋体"/>
          <w:bCs w:val="0"/>
          <w:sz w:val="24"/>
          <w:szCs w:val="24"/>
        </w:rPr>
        <w:t xml:space="preserve">1 </w:t>
      </w:r>
      <w:bookmarkEnd w:id="155"/>
      <w:r>
        <w:rPr>
          <w:rFonts w:hint="eastAsia" w:ascii="宋体" w:hAnsi="宋体" w:eastAsia="宋体" w:cs="宋体"/>
          <w:bCs w:val="0"/>
          <w:sz w:val="24"/>
          <w:szCs w:val="24"/>
        </w:rPr>
        <w:t>一般约定</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hint="eastAsia" w:ascii="宋体" w:hAnsi="宋体" w:eastAsia="宋体" w:cs="宋体"/>
          <w:bCs w:val="0"/>
          <w:sz w:val="24"/>
          <w:szCs w:val="24"/>
        </w:rPr>
        <w:tab/>
      </w:r>
    </w:p>
    <w:p>
      <w:pPr>
        <w:pStyle w:val="3"/>
        <w:keepNext w:val="0"/>
        <w:keepLines w:val="0"/>
        <w:rPr>
          <w:rFonts w:hint="eastAsia" w:ascii="宋体" w:hAnsi="宋体" w:eastAsia="宋体" w:cs="宋体"/>
          <w:sz w:val="24"/>
          <w:szCs w:val="24"/>
        </w:rPr>
      </w:pPr>
      <w:bookmarkStart w:id="170" w:name="_Toc224362538"/>
      <w:bookmarkStart w:id="171" w:name="_Toc479701825"/>
      <w:bookmarkStart w:id="172" w:name="_Toc228855478"/>
      <w:bookmarkStart w:id="173" w:name="_Toc224398443"/>
      <w:bookmarkStart w:id="174" w:name="_Toc409092000"/>
      <w:bookmarkStart w:id="175" w:name="_Toc225580493"/>
      <w:bookmarkStart w:id="176" w:name="_Toc409178991"/>
      <w:bookmarkStart w:id="177" w:name="_Toc225595226"/>
      <w:bookmarkStart w:id="178" w:name="_Toc409524553"/>
      <w:bookmarkStart w:id="179" w:name="_Toc480213165"/>
      <w:bookmarkStart w:id="180" w:name="_Toc482807175"/>
      <w:bookmarkStart w:id="181" w:name="_Toc264888935"/>
      <w:bookmarkStart w:id="182" w:name="_Toc229554505"/>
      <w:bookmarkStart w:id="183" w:name="_Toc480213734"/>
      <w:bookmarkStart w:id="184" w:name="_Toc441855980"/>
      <w:r>
        <w:rPr>
          <w:rFonts w:hint="eastAsia" w:ascii="宋体" w:hAnsi="宋体" w:eastAsia="宋体" w:cs="宋体"/>
          <w:bCs w:val="0"/>
          <w:sz w:val="24"/>
          <w:szCs w:val="24"/>
        </w:rPr>
        <w:t>1.1</w:t>
      </w:r>
      <w:r>
        <w:rPr>
          <w:rFonts w:hint="eastAsia" w:ascii="宋体" w:hAnsi="宋体" w:eastAsia="宋体" w:cs="宋体"/>
          <w:sz w:val="24"/>
          <w:szCs w:val="24"/>
        </w:rPr>
        <w:t>词语</w:t>
      </w:r>
      <w:bookmarkEnd w:id="170"/>
      <w:r>
        <w:rPr>
          <w:rFonts w:hint="eastAsia" w:ascii="宋体" w:hAnsi="宋体" w:eastAsia="宋体" w:cs="宋体"/>
          <w:sz w:val="24"/>
          <w:szCs w:val="24"/>
        </w:rPr>
        <w:t>定义</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pStyle w:val="3"/>
        <w:keepNext w:val="0"/>
        <w:keepLines w:val="0"/>
        <w:ind w:firstLine="480" w:firstLineChars="200"/>
        <w:rPr>
          <w:rFonts w:hint="eastAsia" w:ascii="宋体" w:hAnsi="宋体" w:eastAsia="宋体" w:cs="宋体"/>
          <w:b w:val="0"/>
          <w:sz w:val="24"/>
          <w:szCs w:val="24"/>
        </w:rPr>
      </w:pPr>
      <w:bookmarkStart w:id="185" w:name="_Toc409092001"/>
      <w:bookmarkStart w:id="186" w:name="_Toc409178992"/>
      <w:bookmarkStart w:id="187" w:name="_Toc482807176"/>
      <w:bookmarkStart w:id="188" w:name="_Toc480213166"/>
      <w:bookmarkStart w:id="189" w:name="_Toc441855981"/>
      <w:bookmarkStart w:id="190" w:name="_Toc264888936"/>
      <w:bookmarkStart w:id="191" w:name="_Toc409524554"/>
      <w:bookmarkStart w:id="192" w:name="_Toc480213735"/>
      <w:bookmarkStart w:id="193" w:name="_Toc479701826"/>
      <w:bookmarkStart w:id="194" w:name="_Toc225595227"/>
      <w:bookmarkStart w:id="195" w:name="_Toc224362541"/>
      <w:bookmarkStart w:id="196" w:name="_Toc225580496"/>
      <w:bookmarkStart w:id="197" w:name="_Toc229554506"/>
      <w:bookmarkStart w:id="198" w:name="_Toc228855479"/>
      <w:bookmarkStart w:id="199" w:name="_Toc224398446"/>
      <w:r>
        <w:rPr>
          <w:rFonts w:hint="eastAsia" w:ascii="宋体" w:hAnsi="宋体" w:eastAsia="宋体" w:cs="宋体"/>
          <w:b w:val="0"/>
          <w:sz w:val="24"/>
          <w:szCs w:val="24"/>
        </w:rPr>
        <w:t>1.1.2合同当事人和人员</w:t>
      </w:r>
      <w:bookmarkEnd w:id="185"/>
      <w:bookmarkEnd w:id="186"/>
      <w:bookmarkEnd w:id="187"/>
      <w:bookmarkEnd w:id="188"/>
      <w:bookmarkEnd w:id="189"/>
      <w:bookmarkEnd w:id="190"/>
      <w:bookmarkEnd w:id="191"/>
      <w:bookmarkEnd w:id="192"/>
      <w:bookmarkEnd w:id="193"/>
    </w:p>
    <w:p>
      <w:pPr>
        <w:pStyle w:val="3"/>
        <w:keepNext w:val="0"/>
        <w:keepLines w:val="0"/>
        <w:ind w:firstLine="480" w:firstLineChars="200"/>
        <w:rPr>
          <w:rFonts w:hint="eastAsia" w:ascii="宋体" w:hAnsi="宋体" w:eastAsia="宋体" w:cs="宋体"/>
          <w:b w:val="0"/>
          <w:sz w:val="24"/>
          <w:szCs w:val="24"/>
        </w:rPr>
      </w:pPr>
      <w:bookmarkStart w:id="200" w:name="_Toc482807177"/>
      <w:bookmarkStart w:id="201" w:name="_Toc409178993"/>
      <w:bookmarkStart w:id="202" w:name="_Toc264888937"/>
      <w:bookmarkStart w:id="203" w:name="_Toc441855982"/>
      <w:bookmarkStart w:id="204" w:name="_Toc409092002"/>
      <w:bookmarkStart w:id="205" w:name="_Toc480213736"/>
      <w:bookmarkStart w:id="206" w:name="_Toc479701827"/>
      <w:bookmarkStart w:id="207" w:name="_Toc480213167"/>
      <w:bookmarkStart w:id="208" w:name="_Toc409524555"/>
      <w:r>
        <w:rPr>
          <w:rFonts w:hint="eastAsia" w:ascii="宋体" w:hAnsi="宋体" w:eastAsia="宋体" w:cs="宋体"/>
          <w:b w:val="0"/>
          <w:sz w:val="24"/>
          <w:szCs w:val="24"/>
        </w:rPr>
        <w:t>1.1.2.2发包人：</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rPr>
        <w:t>。</w:t>
      </w:r>
      <w:bookmarkEnd w:id="200"/>
      <w:bookmarkEnd w:id="201"/>
      <w:bookmarkEnd w:id="202"/>
      <w:bookmarkEnd w:id="203"/>
      <w:bookmarkEnd w:id="204"/>
      <w:bookmarkEnd w:id="205"/>
      <w:bookmarkEnd w:id="206"/>
      <w:bookmarkEnd w:id="207"/>
      <w:bookmarkEnd w:id="208"/>
    </w:p>
    <w:p>
      <w:pPr>
        <w:pStyle w:val="3"/>
        <w:keepNext w:val="0"/>
        <w:keepLines w:val="0"/>
        <w:ind w:firstLine="480" w:firstLineChars="200"/>
        <w:rPr>
          <w:rFonts w:hint="eastAsia" w:ascii="宋体" w:hAnsi="宋体" w:eastAsia="宋体" w:cs="宋体"/>
          <w:b w:val="0"/>
          <w:sz w:val="24"/>
          <w:szCs w:val="24"/>
        </w:rPr>
      </w:pPr>
      <w:bookmarkStart w:id="209" w:name="_Toc480213168"/>
      <w:bookmarkStart w:id="210" w:name="_Toc264888938"/>
      <w:bookmarkStart w:id="211" w:name="_Toc441855983"/>
      <w:bookmarkStart w:id="212" w:name="_Toc409178994"/>
      <w:bookmarkStart w:id="213" w:name="_Toc479701828"/>
      <w:bookmarkStart w:id="214" w:name="_Toc482807178"/>
      <w:bookmarkStart w:id="215" w:name="_Toc480213737"/>
      <w:bookmarkStart w:id="216" w:name="_Toc409524556"/>
      <w:bookmarkStart w:id="217" w:name="_Toc409092003"/>
      <w:r>
        <w:rPr>
          <w:rFonts w:hint="eastAsia" w:ascii="宋体" w:hAnsi="宋体" w:eastAsia="宋体" w:cs="宋体"/>
          <w:b w:val="0"/>
          <w:sz w:val="24"/>
          <w:szCs w:val="24"/>
        </w:rPr>
        <w:t>1.1.2.3承包人：</w:t>
      </w:r>
      <w:r>
        <w:rPr>
          <w:rFonts w:hint="eastAsia" w:ascii="宋体" w:hAnsi="宋体" w:eastAsia="宋体" w:cs="宋体"/>
          <w:b w:val="0"/>
          <w:sz w:val="24"/>
          <w:szCs w:val="24"/>
          <w:u w:val="single"/>
        </w:rPr>
        <w:t>　　　（签约后填入承包人的名称）</w:t>
      </w:r>
      <w:r>
        <w:rPr>
          <w:rFonts w:hint="eastAsia" w:ascii="宋体" w:hAnsi="宋体" w:eastAsia="宋体" w:cs="宋体"/>
          <w:b w:val="0"/>
          <w:sz w:val="24"/>
          <w:szCs w:val="24"/>
        </w:rPr>
        <w:t>。</w:t>
      </w:r>
      <w:bookmarkEnd w:id="209"/>
      <w:bookmarkEnd w:id="210"/>
      <w:bookmarkEnd w:id="211"/>
      <w:bookmarkEnd w:id="212"/>
      <w:bookmarkEnd w:id="213"/>
      <w:bookmarkEnd w:id="214"/>
      <w:bookmarkEnd w:id="215"/>
      <w:bookmarkEnd w:id="216"/>
      <w:bookmarkEnd w:id="217"/>
    </w:p>
    <w:p>
      <w:pPr>
        <w:pStyle w:val="3"/>
        <w:keepNext w:val="0"/>
        <w:keepLines w:val="0"/>
        <w:ind w:firstLine="480" w:firstLineChars="200"/>
        <w:rPr>
          <w:rFonts w:hint="eastAsia" w:ascii="宋体" w:hAnsi="宋体" w:eastAsia="宋体" w:cs="宋体"/>
          <w:b w:val="0"/>
          <w:sz w:val="24"/>
          <w:szCs w:val="24"/>
        </w:rPr>
      </w:pPr>
      <w:bookmarkStart w:id="218" w:name="_Toc409524557"/>
      <w:bookmarkStart w:id="219" w:name="_Toc409092004"/>
      <w:bookmarkStart w:id="220" w:name="_Toc480213738"/>
      <w:bookmarkStart w:id="221" w:name="_Toc480213169"/>
      <w:bookmarkStart w:id="222" w:name="_Toc479701829"/>
      <w:bookmarkStart w:id="223" w:name="_Toc264888939"/>
      <w:bookmarkStart w:id="224" w:name="_Toc409178995"/>
      <w:bookmarkStart w:id="225" w:name="_Toc441855984"/>
      <w:bookmarkStart w:id="226" w:name="_Toc482807179"/>
      <w:r>
        <w:rPr>
          <w:rFonts w:hint="eastAsia" w:ascii="宋体" w:hAnsi="宋体" w:eastAsia="宋体" w:cs="宋体"/>
          <w:b w:val="0"/>
          <w:sz w:val="24"/>
          <w:szCs w:val="24"/>
        </w:rPr>
        <w:t>1.1.2.5分包人：</w:t>
      </w:r>
      <w:r>
        <w:rPr>
          <w:rFonts w:hint="eastAsia" w:ascii="宋体" w:hAnsi="宋体" w:eastAsia="宋体" w:cs="宋体"/>
          <w:b w:val="0"/>
          <w:sz w:val="24"/>
          <w:szCs w:val="24"/>
          <w:u w:val="single"/>
        </w:rPr>
        <w:t>　　　无                    　　</w:t>
      </w:r>
      <w:r>
        <w:rPr>
          <w:rFonts w:hint="eastAsia" w:ascii="宋体" w:hAnsi="宋体" w:eastAsia="宋体" w:cs="宋体"/>
          <w:b w:val="0"/>
          <w:sz w:val="24"/>
          <w:szCs w:val="24"/>
        </w:rPr>
        <w:t>。</w:t>
      </w:r>
      <w:bookmarkEnd w:id="218"/>
      <w:bookmarkEnd w:id="219"/>
      <w:bookmarkEnd w:id="220"/>
      <w:bookmarkEnd w:id="221"/>
      <w:bookmarkEnd w:id="222"/>
      <w:bookmarkEnd w:id="223"/>
      <w:bookmarkEnd w:id="224"/>
      <w:bookmarkEnd w:id="225"/>
      <w:bookmarkEnd w:id="226"/>
    </w:p>
    <w:p>
      <w:pPr>
        <w:pStyle w:val="3"/>
        <w:keepNext w:val="0"/>
        <w:keepLines w:val="0"/>
        <w:ind w:firstLine="480" w:firstLineChars="200"/>
        <w:rPr>
          <w:rFonts w:hint="eastAsia" w:ascii="宋体" w:hAnsi="宋体" w:eastAsia="宋体" w:cs="宋体"/>
          <w:b w:val="0"/>
          <w:sz w:val="24"/>
          <w:szCs w:val="24"/>
        </w:rPr>
      </w:pPr>
      <w:bookmarkStart w:id="227" w:name="_Toc480213739"/>
      <w:bookmarkStart w:id="228" w:name="_Toc480213170"/>
      <w:bookmarkStart w:id="229" w:name="_Toc409524558"/>
      <w:bookmarkStart w:id="230" w:name="_Toc409178996"/>
      <w:bookmarkStart w:id="231" w:name="_Toc409092005"/>
      <w:bookmarkStart w:id="232" w:name="_Toc482807180"/>
      <w:bookmarkStart w:id="233" w:name="_Toc441855985"/>
      <w:bookmarkStart w:id="234" w:name="_Toc264888940"/>
      <w:bookmarkStart w:id="235" w:name="_Toc479701830"/>
      <w:r>
        <w:rPr>
          <w:rFonts w:hint="eastAsia" w:ascii="宋体" w:hAnsi="宋体" w:eastAsia="宋体" w:cs="宋体"/>
          <w:b w:val="0"/>
          <w:sz w:val="24"/>
          <w:szCs w:val="24"/>
        </w:rPr>
        <w:t>1.1.2.6监理人：</w:t>
      </w:r>
      <w:r>
        <w:rPr>
          <w:rFonts w:hint="eastAsia" w:ascii="宋体" w:hAnsi="宋体" w:eastAsia="宋体" w:cs="宋体"/>
          <w:b w:val="0"/>
          <w:sz w:val="24"/>
          <w:szCs w:val="24"/>
          <w:u w:val="single"/>
        </w:rPr>
        <w:t>　　　            　</w:t>
      </w:r>
      <w:r>
        <w:rPr>
          <w:rFonts w:hint="eastAsia" w:ascii="宋体" w:hAnsi="宋体" w:eastAsia="宋体" w:cs="宋体"/>
          <w:b w:val="0"/>
          <w:sz w:val="24"/>
          <w:szCs w:val="24"/>
        </w:rPr>
        <w:t>。</w:t>
      </w:r>
      <w:bookmarkEnd w:id="227"/>
      <w:bookmarkEnd w:id="228"/>
      <w:bookmarkEnd w:id="229"/>
      <w:bookmarkEnd w:id="230"/>
      <w:bookmarkEnd w:id="231"/>
      <w:bookmarkEnd w:id="232"/>
      <w:bookmarkEnd w:id="233"/>
      <w:bookmarkEnd w:id="234"/>
      <w:bookmarkEnd w:id="235"/>
    </w:p>
    <w:p>
      <w:pPr>
        <w:pStyle w:val="3"/>
        <w:keepNext w:val="0"/>
        <w:keepLines w:val="0"/>
        <w:ind w:firstLine="480" w:firstLineChars="200"/>
        <w:rPr>
          <w:rFonts w:hint="eastAsia" w:ascii="宋体" w:hAnsi="宋体" w:eastAsia="宋体" w:cs="宋体"/>
          <w:b w:val="0"/>
          <w:sz w:val="24"/>
          <w:szCs w:val="24"/>
        </w:rPr>
      </w:pPr>
      <w:bookmarkStart w:id="236" w:name="_Toc480213171"/>
      <w:bookmarkStart w:id="237" w:name="_Toc264888943"/>
      <w:bookmarkStart w:id="238" w:name="_Toc409178997"/>
      <w:bookmarkStart w:id="239" w:name="_Toc479701831"/>
      <w:bookmarkStart w:id="240" w:name="_Toc409524559"/>
      <w:bookmarkStart w:id="241" w:name="_Toc441855986"/>
      <w:bookmarkStart w:id="242" w:name="_Toc409092006"/>
      <w:bookmarkStart w:id="243" w:name="_Toc480213740"/>
      <w:bookmarkStart w:id="244" w:name="_Toc482807181"/>
      <w:r>
        <w:rPr>
          <w:rFonts w:hint="eastAsia" w:ascii="宋体" w:hAnsi="宋体" w:eastAsia="宋体" w:cs="宋体"/>
          <w:b w:val="0"/>
          <w:sz w:val="24"/>
          <w:szCs w:val="24"/>
        </w:rPr>
        <w:t>1.1.3 有关工程和设备的词语</w:t>
      </w:r>
      <w:bookmarkEnd w:id="194"/>
      <w:bookmarkEnd w:id="195"/>
      <w:bookmarkEnd w:id="196"/>
      <w:bookmarkEnd w:id="197"/>
      <w:bookmarkEnd w:id="198"/>
      <w:bookmarkEnd w:id="199"/>
      <w:bookmarkEnd w:id="236"/>
      <w:bookmarkEnd w:id="237"/>
      <w:bookmarkEnd w:id="238"/>
      <w:bookmarkEnd w:id="239"/>
      <w:bookmarkEnd w:id="240"/>
      <w:bookmarkEnd w:id="241"/>
      <w:bookmarkEnd w:id="242"/>
      <w:bookmarkEnd w:id="243"/>
      <w:bookmarkEnd w:id="244"/>
    </w:p>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(3)临时工程：包括施工交通、施工供电、施工供排水、施工照明、施工通信，临时房屋建筑、办公设施和其他。</w:t>
      </w:r>
    </w:p>
    <w:p>
      <w:pPr>
        <w:pStyle w:val="41"/>
        <w:spacing w:line="360" w:lineRule="auto"/>
        <w:ind w:firstLine="480" w:firstLineChars="200"/>
        <w:rPr>
          <w:rFonts w:hint="eastAsia" w:ascii="宋体" w:hAnsi="宋体" w:eastAsia="宋体" w:cs="宋体"/>
          <w:sz w:val="24"/>
          <w:szCs w:val="24"/>
        </w:rPr>
      </w:pPr>
      <w:bookmarkStart w:id="245" w:name="_Toc224362543"/>
      <w:bookmarkStart w:id="246" w:name="_Toc224398448"/>
      <w:bookmarkStart w:id="247" w:name="_Toc225580498"/>
      <w:r>
        <w:rPr>
          <w:rFonts w:hint="eastAsia" w:ascii="宋体" w:hAnsi="宋体" w:eastAsia="宋体" w:cs="宋体"/>
          <w:sz w:val="24"/>
          <w:szCs w:val="24"/>
        </w:rPr>
        <w:t>(4)单位工程：</w:t>
      </w:r>
      <w:bookmarkEnd w:id="245"/>
      <w:r>
        <w:rPr>
          <w:rFonts w:hint="eastAsia" w:ascii="宋体" w:hAnsi="宋体" w:eastAsia="宋体" w:cs="宋体"/>
          <w:sz w:val="24"/>
          <w:szCs w:val="24"/>
        </w:rPr>
        <w:t>详见技术文件。</w:t>
      </w:r>
      <w:bookmarkEnd w:id="246"/>
      <w:bookmarkEnd w:id="247"/>
    </w:p>
    <w:p>
      <w:pPr>
        <w:pStyle w:val="3"/>
        <w:keepNext w:val="0"/>
        <w:keepLines w:val="0"/>
        <w:ind w:firstLine="480" w:firstLineChars="200"/>
        <w:rPr>
          <w:rFonts w:hint="eastAsia" w:ascii="宋体" w:hAnsi="宋体" w:eastAsia="宋体" w:cs="宋体"/>
          <w:b w:val="0"/>
          <w:sz w:val="24"/>
          <w:szCs w:val="24"/>
        </w:rPr>
      </w:pPr>
      <w:bookmarkStart w:id="248" w:name="_Toc482807182"/>
      <w:bookmarkStart w:id="249" w:name="_Toc409178998"/>
      <w:bookmarkStart w:id="250" w:name="_Toc264888941"/>
      <w:bookmarkStart w:id="251" w:name="_Toc441855987"/>
      <w:bookmarkStart w:id="252" w:name="_Toc480213172"/>
      <w:bookmarkStart w:id="253" w:name="_Toc409524560"/>
      <w:bookmarkStart w:id="254" w:name="_Toc480213741"/>
      <w:bookmarkStart w:id="255" w:name="_Toc409092007"/>
      <w:bookmarkStart w:id="256" w:name="_Toc479701832"/>
      <w:bookmarkStart w:id="257" w:name="_Toc224398447"/>
      <w:bookmarkStart w:id="258" w:name="_Toc225580497"/>
      <w:bookmarkStart w:id="259" w:name="_Toc224362542"/>
      <w:r>
        <w:rPr>
          <w:rFonts w:hint="eastAsia" w:ascii="宋体" w:hAnsi="宋体" w:eastAsia="宋体" w:cs="宋体"/>
          <w:b w:val="0"/>
          <w:sz w:val="24"/>
          <w:szCs w:val="24"/>
        </w:rPr>
        <w:t>1.1.4日期</w:t>
      </w:r>
      <w:bookmarkEnd w:id="248"/>
      <w:bookmarkEnd w:id="249"/>
      <w:bookmarkEnd w:id="250"/>
      <w:bookmarkEnd w:id="251"/>
      <w:bookmarkEnd w:id="252"/>
      <w:bookmarkEnd w:id="253"/>
      <w:bookmarkEnd w:id="254"/>
      <w:bookmarkEnd w:id="255"/>
      <w:bookmarkEnd w:id="256"/>
    </w:p>
    <w:p>
      <w:pPr>
        <w:pStyle w:val="3"/>
        <w:keepNext w:val="0"/>
        <w:keepLines w:val="0"/>
        <w:ind w:firstLine="480" w:firstLineChars="200"/>
        <w:rPr>
          <w:rFonts w:hint="eastAsia" w:ascii="宋体" w:hAnsi="宋体" w:eastAsia="宋体" w:cs="宋体"/>
          <w:color w:val="auto"/>
          <w:sz w:val="24"/>
          <w:szCs w:val="24"/>
          <w:highlight w:val="none"/>
        </w:rPr>
      </w:pPr>
      <w:bookmarkStart w:id="260" w:name="_Toc409092008"/>
      <w:bookmarkStart w:id="261" w:name="_Toc409178999"/>
      <w:bookmarkStart w:id="262" w:name="_Toc409524561"/>
      <w:bookmarkStart w:id="263" w:name="_Toc480213742"/>
      <w:bookmarkStart w:id="264" w:name="_Toc480213173"/>
      <w:bookmarkStart w:id="265" w:name="_Toc482807183"/>
      <w:bookmarkStart w:id="266" w:name="_Toc479701833"/>
      <w:bookmarkStart w:id="267" w:name="_Toc441855988"/>
      <w:bookmarkStart w:id="268" w:name="_Toc264888942"/>
      <w:r>
        <w:rPr>
          <w:rFonts w:hint="eastAsia" w:ascii="宋体" w:hAnsi="宋体" w:eastAsia="宋体" w:cs="宋体"/>
          <w:b w:val="0"/>
          <w:bCs w:val="0"/>
          <w:kern w:val="2"/>
          <w:sz w:val="24"/>
          <w:szCs w:val="24"/>
        </w:rPr>
        <w:t>1.1.4.5缺陷责任期（工程质量保修期）：</w:t>
      </w:r>
      <w:r>
        <w:rPr>
          <w:rFonts w:hint="eastAsia" w:ascii="宋体" w:hAnsi="宋体" w:eastAsia="宋体" w:cs="宋体"/>
          <w:color w:val="auto"/>
          <w:kern w:val="2"/>
          <w:sz w:val="24"/>
          <w:szCs w:val="24"/>
          <w:highlight w:val="none"/>
          <w:u w:val="single"/>
        </w:rPr>
        <w:t>本工程保修期为</w:t>
      </w:r>
      <w:r>
        <w:rPr>
          <w:rFonts w:hint="eastAsia" w:ascii="宋体" w:hAnsi="宋体" w:cs="宋体"/>
          <w:color w:val="auto"/>
          <w:kern w:val="2"/>
          <w:sz w:val="24"/>
          <w:szCs w:val="24"/>
          <w:highlight w:val="none"/>
          <w:u w:val="single"/>
          <w:lang w:val="en-US" w:eastAsia="zh-CN"/>
        </w:rPr>
        <w:t>二</w:t>
      </w:r>
      <w:r>
        <w:rPr>
          <w:rFonts w:hint="eastAsia" w:ascii="宋体" w:hAnsi="宋体" w:eastAsia="宋体" w:cs="宋体"/>
          <w:color w:val="auto"/>
          <w:kern w:val="2"/>
          <w:sz w:val="24"/>
          <w:szCs w:val="24"/>
          <w:highlight w:val="none"/>
          <w:u w:val="single"/>
        </w:rPr>
        <w:t>年（本工程工程移交后，开始算保修期）</w:t>
      </w:r>
      <w:r>
        <w:rPr>
          <w:rFonts w:hint="eastAsia" w:ascii="宋体" w:hAnsi="宋体" w:eastAsia="宋体" w:cs="宋体"/>
          <w:color w:val="auto"/>
          <w:kern w:val="2"/>
          <w:sz w:val="24"/>
          <w:szCs w:val="24"/>
          <w:highlight w:val="none"/>
        </w:rPr>
        <w:t>。</w:t>
      </w:r>
      <w:bookmarkEnd w:id="260"/>
      <w:bookmarkEnd w:id="261"/>
      <w:bookmarkEnd w:id="262"/>
      <w:bookmarkEnd w:id="263"/>
      <w:bookmarkEnd w:id="264"/>
      <w:bookmarkEnd w:id="265"/>
      <w:bookmarkEnd w:id="266"/>
      <w:bookmarkEnd w:id="267"/>
      <w:bookmarkEnd w:id="268"/>
    </w:p>
    <w:bookmarkEnd w:id="257"/>
    <w:bookmarkEnd w:id="258"/>
    <w:bookmarkEnd w:id="259"/>
    <w:p>
      <w:pPr>
        <w:pStyle w:val="3"/>
        <w:keepNext w:val="0"/>
        <w:keepLines w:val="0"/>
        <w:rPr>
          <w:rFonts w:hint="eastAsia" w:ascii="宋体" w:hAnsi="宋体" w:eastAsia="宋体" w:cs="宋体"/>
          <w:sz w:val="24"/>
          <w:szCs w:val="24"/>
        </w:rPr>
      </w:pPr>
      <w:bookmarkStart w:id="269" w:name="_Toc228855480"/>
      <w:bookmarkStart w:id="270" w:name="_Toc229554507"/>
      <w:bookmarkStart w:id="271" w:name="_Toc480213174"/>
      <w:bookmarkStart w:id="272" w:name="_Toc409179000"/>
      <w:bookmarkStart w:id="273" w:name="_Toc224398449"/>
      <w:bookmarkStart w:id="274" w:name="_Toc409092009"/>
      <w:bookmarkStart w:id="275" w:name="_Toc224362544"/>
      <w:bookmarkStart w:id="276" w:name="_Toc441855989"/>
      <w:bookmarkStart w:id="277" w:name="_Toc409524562"/>
      <w:bookmarkStart w:id="278" w:name="_Toc225580499"/>
      <w:bookmarkStart w:id="279" w:name="_Toc480213743"/>
      <w:bookmarkStart w:id="280" w:name="_Toc264888944"/>
      <w:bookmarkStart w:id="281" w:name="_Toc225595228"/>
      <w:bookmarkStart w:id="282" w:name="_Toc479701834"/>
      <w:bookmarkStart w:id="283" w:name="_Toc482807184"/>
      <w:r>
        <w:rPr>
          <w:rFonts w:hint="eastAsia" w:ascii="宋体" w:hAnsi="宋体" w:eastAsia="宋体" w:cs="宋体"/>
          <w:bCs w:val="0"/>
          <w:sz w:val="24"/>
          <w:szCs w:val="24"/>
        </w:rPr>
        <w:t>1.4 合同文件的优先顺序</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pStyle w:val="3"/>
        <w:keepNext w:val="0"/>
        <w:keepLines w:val="0"/>
        <w:ind w:firstLine="480" w:firstLineChars="200"/>
        <w:rPr>
          <w:rFonts w:hint="eastAsia" w:ascii="宋体" w:hAnsi="宋体" w:eastAsia="宋体" w:cs="宋体"/>
          <w:b w:val="0"/>
          <w:sz w:val="24"/>
          <w:szCs w:val="24"/>
        </w:rPr>
      </w:pPr>
      <w:bookmarkStart w:id="284" w:name="_Toc225580500"/>
      <w:bookmarkStart w:id="285" w:name="_Toc480213744"/>
      <w:bookmarkStart w:id="286" w:name="_Toc409179001"/>
      <w:bookmarkStart w:id="287" w:name="_Toc409524563"/>
      <w:bookmarkStart w:id="288" w:name="_Toc479701835"/>
      <w:bookmarkStart w:id="289" w:name="_Toc482807185"/>
      <w:bookmarkStart w:id="290" w:name="_Toc480213175"/>
      <w:bookmarkStart w:id="291" w:name="_Toc224398450"/>
      <w:bookmarkStart w:id="292" w:name="_Toc264888945"/>
      <w:bookmarkStart w:id="293" w:name="_Toc229554508"/>
      <w:bookmarkStart w:id="294" w:name="_Toc409092010"/>
      <w:bookmarkStart w:id="295" w:name="_Toc441855990"/>
      <w:bookmarkStart w:id="296" w:name="_Toc225595229"/>
      <w:bookmarkStart w:id="297" w:name="_Toc224362545"/>
      <w:bookmarkStart w:id="298" w:name="_Toc228855481"/>
      <w:r>
        <w:rPr>
          <w:rFonts w:hint="eastAsia" w:ascii="宋体" w:hAnsi="宋体" w:eastAsia="宋体" w:cs="宋体"/>
          <w:b w:val="0"/>
          <w:sz w:val="24"/>
          <w:szCs w:val="24"/>
        </w:rPr>
        <w:t>除合同另有规定外，解释合同文件的优先顺序如下：</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pPr>
        <w:pStyle w:val="3"/>
        <w:keepNext w:val="0"/>
        <w:keepLines w:val="0"/>
        <w:ind w:firstLine="360" w:firstLineChars="150"/>
        <w:rPr>
          <w:rFonts w:hint="eastAsia" w:ascii="宋体" w:hAnsi="宋体" w:eastAsia="宋体" w:cs="宋体"/>
          <w:b w:val="0"/>
          <w:sz w:val="24"/>
          <w:szCs w:val="24"/>
        </w:rPr>
      </w:pPr>
      <w:bookmarkStart w:id="299" w:name="_Toc229554509"/>
      <w:bookmarkStart w:id="300" w:name="_Toc409524564"/>
      <w:bookmarkStart w:id="301" w:name="_Toc224398451"/>
      <w:bookmarkStart w:id="302" w:name="_Toc225580501"/>
      <w:bookmarkStart w:id="303" w:name="_Toc482807186"/>
      <w:bookmarkStart w:id="304" w:name="_Toc228855482"/>
      <w:bookmarkStart w:id="305" w:name="_Toc224362546"/>
      <w:bookmarkStart w:id="306" w:name="_Toc409179002"/>
      <w:bookmarkStart w:id="307" w:name="_Toc264888946"/>
      <w:bookmarkStart w:id="308" w:name="_Toc480213745"/>
      <w:bookmarkStart w:id="309" w:name="_Toc225595230"/>
      <w:bookmarkStart w:id="310" w:name="_Toc409092011"/>
      <w:bookmarkStart w:id="311" w:name="_Toc441855991"/>
      <w:bookmarkStart w:id="312" w:name="_Toc480213176"/>
      <w:bookmarkStart w:id="313" w:name="_Toc479701836"/>
      <w:r>
        <w:rPr>
          <w:rFonts w:hint="eastAsia" w:ascii="宋体" w:hAnsi="宋体" w:eastAsia="宋体" w:cs="宋体"/>
          <w:b w:val="0"/>
          <w:sz w:val="24"/>
          <w:szCs w:val="24"/>
        </w:rPr>
        <w:t>（1）协议书（包括协议书备忘录、补充协议）；</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pPr>
        <w:pStyle w:val="3"/>
        <w:keepNext w:val="0"/>
        <w:keepLines w:val="0"/>
        <w:ind w:firstLine="360" w:firstLineChars="150"/>
        <w:rPr>
          <w:rFonts w:hint="eastAsia" w:ascii="宋体" w:hAnsi="宋体" w:eastAsia="宋体" w:cs="宋体"/>
          <w:b w:val="0"/>
          <w:sz w:val="24"/>
          <w:szCs w:val="24"/>
        </w:rPr>
      </w:pPr>
      <w:bookmarkStart w:id="314" w:name="_Toc228855483"/>
      <w:bookmarkStart w:id="315" w:name="_Toc224398452"/>
      <w:bookmarkStart w:id="316" w:name="_Toc225580502"/>
      <w:bookmarkStart w:id="317" w:name="_Toc229554510"/>
      <w:bookmarkStart w:id="318" w:name="_Toc224362547"/>
      <w:bookmarkStart w:id="319" w:name="_Toc441855992"/>
      <w:bookmarkStart w:id="320" w:name="_Toc409179003"/>
      <w:bookmarkStart w:id="321" w:name="_Toc479701837"/>
      <w:bookmarkStart w:id="322" w:name="_Toc480213746"/>
      <w:bookmarkStart w:id="323" w:name="_Toc480213177"/>
      <w:bookmarkStart w:id="324" w:name="_Toc409524565"/>
      <w:bookmarkStart w:id="325" w:name="_Toc225595231"/>
      <w:bookmarkStart w:id="326" w:name="_Toc264888947"/>
      <w:bookmarkStart w:id="327" w:name="_Toc409092012"/>
      <w:bookmarkStart w:id="328" w:name="_Toc482807187"/>
      <w:r>
        <w:rPr>
          <w:rFonts w:hint="eastAsia" w:ascii="宋体" w:hAnsi="宋体" w:eastAsia="宋体" w:cs="宋体"/>
          <w:b w:val="0"/>
          <w:sz w:val="24"/>
          <w:szCs w:val="24"/>
        </w:rPr>
        <w:t>（2）中标通知书；</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Start w:id="810" w:name="_GoBack"/>
      <w:bookmarkEnd w:id="810"/>
    </w:p>
    <w:p>
      <w:pPr>
        <w:pStyle w:val="3"/>
        <w:keepNext w:val="0"/>
        <w:keepLines w:val="0"/>
        <w:ind w:firstLine="360" w:firstLineChars="150"/>
        <w:rPr>
          <w:rFonts w:hint="eastAsia" w:ascii="宋体" w:hAnsi="宋体" w:eastAsia="宋体" w:cs="宋体"/>
          <w:b w:val="0"/>
          <w:sz w:val="24"/>
          <w:szCs w:val="24"/>
        </w:rPr>
      </w:pPr>
      <w:bookmarkStart w:id="329" w:name="_Toc441855993"/>
      <w:bookmarkStart w:id="330" w:name="_Toc480213747"/>
      <w:bookmarkStart w:id="331" w:name="_Toc229554511"/>
      <w:bookmarkStart w:id="332" w:name="_Toc482807188"/>
      <w:bookmarkStart w:id="333" w:name="_Toc225580503"/>
      <w:bookmarkStart w:id="334" w:name="_Toc409524566"/>
      <w:bookmarkStart w:id="335" w:name="_Toc409092013"/>
      <w:bookmarkStart w:id="336" w:name="_Toc224362548"/>
      <w:bookmarkStart w:id="337" w:name="_Toc264888948"/>
      <w:bookmarkStart w:id="338" w:name="_Toc409179004"/>
      <w:bookmarkStart w:id="339" w:name="_Toc225595232"/>
      <w:bookmarkStart w:id="340" w:name="_Toc224398453"/>
      <w:bookmarkStart w:id="341" w:name="_Toc479701838"/>
      <w:bookmarkStart w:id="342" w:name="_Toc480213178"/>
      <w:bookmarkStart w:id="343" w:name="_Toc228855484"/>
      <w:r>
        <w:rPr>
          <w:rFonts w:hint="eastAsia" w:ascii="宋体" w:hAnsi="宋体" w:eastAsia="宋体" w:cs="宋体"/>
          <w:b w:val="0"/>
          <w:sz w:val="24"/>
          <w:szCs w:val="24"/>
        </w:rPr>
        <w:t>（3）投标函及投标函附录；</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pStyle w:val="3"/>
        <w:keepNext w:val="0"/>
        <w:keepLines w:val="0"/>
        <w:ind w:firstLine="360" w:firstLineChars="150"/>
        <w:rPr>
          <w:rFonts w:hint="eastAsia" w:ascii="宋体" w:hAnsi="宋体" w:eastAsia="宋体" w:cs="宋体"/>
          <w:b w:val="0"/>
          <w:sz w:val="24"/>
          <w:szCs w:val="24"/>
        </w:rPr>
      </w:pPr>
      <w:bookmarkStart w:id="344" w:name="_Toc228855485"/>
      <w:bookmarkStart w:id="345" w:name="_Toc224398454"/>
      <w:bookmarkStart w:id="346" w:name="_Toc225595233"/>
      <w:bookmarkStart w:id="347" w:name="_Toc264888949"/>
      <w:bookmarkStart w:id="348" w:name="_Toc480213748"/>
      <w:bookmarkStart w:id="349" w:name="_Toc480213179"/>
      <w:bookmarkStart w:id="350" w:name="_Toc225580504"/>
      <w:bookmarkStart w:id="351" w:name="_Toc409524567"/>
      <w:bookmarkStart w:id="352" w:name="_Toc482807189"/>
      <w:bookmarkStart w:id="353" w:name="_Toc224362549"/>
      <w:bookmarkStart w:id="354" w:name="_Toc229554512"/>
      <w:bookmarkStart w:id="355" w:name="_Toc479701839"/>
      <w:bookmarkStart w:id="356" w:name="_Toc441855994"/>
      <w:bookmarkStart w:id="357" w:name="_Toc409092014"/>
      <w:bookmarkStart w:id="358" w:name="_Toc409179005"/>
      <w:r>
        <w:rPr>
          <w:rFonts w:hint="eastAsia" w:ascii="宋体" w:hAnsi="宋体" w:eastAsia="宋体" w:cs="宋体"/>
          <w:b w:val="0"/>
          <w:sz w:val="24"/>
          <w:szCs w:val="24"/>
        </w:rPr>
        <w:t>（4）专用合同条款；</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pStyle w:val="3"/>
        <w:keepNext w:val="0"/>
        <w:keepLines w:val="0"/>
        <w:ind w:firstLine="360" w:firstLineChars="150"/>
        <w:rPr>
          <w:rFonts w:hint="eastAsia" w:ascii="宋体" w:hAnsi="宋体" w:eastAsia="宋体" w:cs="宋体"/>
          <w:b w:val="0"/>
          <w:sz w:val="24"/>
          <w:szCs w:val="24"/>
        </w:rPr>
      </w:pPr>
      <w:bookmarkStart w:id="359" w:name="_Toc482807190"/>
      <w:bookmarkStart w:id="360" w:name="_Toc229554513"/>
      <w:bookmarkStart w:id="361" w:name="_Toc409524568"/>
      <w:bookmarkStart w:id="362" w:name="_Toc480213180"/>
      <w:bookmarkStart w:id="363" w:name="_Toc225580505"/>
      <w:bookmarkStart w:id="364" w:name="_Toc409179006"/>
      <w:bookmarkStart w:id="365" w:name="_Toc441855995"/>
      <w:bookmarkStart w:id="366" w:name="_Toc224362550"/>
      <w:bookmarkStart w:id="367" w:name="_Toc225595234"/>
      <w:bookmarkStart w:id="368" w:name="_Toc479701840"/>
      <w:bookmarkStart w:id="369" w:name="_Toc264888950"/>
      <w:bookmarkStart w:id="370" w:name="_Toc228855486"/>
      <w:bookmarkStart w:id="371" w:name="_Toc409092015"/>
      <w:bookmarkStart w:id="372" w:name="_Toc480213749"/>
      <w:bookmarkStart w:id="373" w:name="_Toc224398455"/>
      <w:r>
        <w:rPr>
          <w:rFonts w:hint="eastAsia" w:ascii="宋体" w:hAnsi="宋体" w:eastAsia="宋体" w:cs="宋体"/>
          <w:b w:val="0"/>
          <w:sz w:val="24"/>
          <w:szCs w:val="24"/>
        </w:rPr>
        <w:t>（5）通用合同条款；</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pStyle w:val="3"/>
        <w:keepNext w:val="0"/>
        <w:keepLines w:val="0"/>
        <w:ind w:firstLine="360" w:firstLineChars="150"/>
        <w:rPr>
          <w:rFonts w:hint="eastAsia" w:ascii="宋体" w:hAnsi="宋体" w:eastAsia="宋体" w:cs="宋体"/>
          <w:b w:val="0"/>
          <w:sz w:val="24"/>
          <w:szCs w:val="24"/>
        </w:rPr>
      </w:pPr>
      <w:bookmarkStart w:id="374" w:name="_Toc441855996"/>
      <w:bookmarkStart w:id="375" w:name="_Toc409092016"/>
      <w:bookmarkStart w:id="376" w:name="_Toc228855487"/>
      <w:bookmarkStart w:id="377" w:name="_Toc479701841"/>
      <w:bookmarkStart w:id="378" w:name="_Toc225580506"/>
      <w:bookmarkStart w:id="379" w:name="_Toc224362551"/>
      <w:bookmarkStart w:id="380" w:name="_Toc480213181"/>
      <w:bookmarkStart w:id="381" w:name="_Toc409524569"/>
      <w:bookmarkStart w:id="382" w:name="_Toc225595235"/>
      <w:bookmarkStart w:id="383" w:name="_Toc224398456"/>
      <w:bookmarkStart w:id="384" w:name="_Toc482807191"/>
      <w:bookmarkStart w:id="385" w:name="_Toc480213750"/>
      <w:bookmarkStart w:id="386" w:name="_Toc409179007"/>
      <w:bookmarkStart w:id="387" w:name="_Toc229554514"/>
      <w:bookmarkStart w:id="388" w:name="_Toc264888951"/>
      <w:r>
        <w:rPr>
          <w:rFonts w:hint="eastAsia" w:ascii="宋体" w:hAnsi="宋体" w:eastAsia="宋体" w:cs="宋体"/>
          <w:b w:val="0"/>
          <w:sz w:val="24"/>
          <w:szCs w:val="24"/>
        </w:rPr>
        <w:t>（6）技术条款；</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pStyle w:val="3"/>
        <w:keepNext w:val="0"/>
        <w:keepLines w:val="0"/>
        <w:ind w:firstLine="360" w:firstLineChars="150"/>
        <w:rPr>
          <w:rFonts w:hint="eastAsia" w:ascii="宋体" w:hAnsi="宋体" w:eastAsia="宋体" w:cs="宋体"/>
          <w:b w:val="0"/>
          <w:sz w:val="24"/>
          <w:szCs w:val="24"/>
        </w:rPr>
      </w:pPr>
      <w:bookmarkStart w:id="389" w:name="_Toc229554515"/>
      <w:bookmarkStart w:id="390" w:name="_Toc409524570"/>
      <w:bookmarkStart w:id="391" w:name="_Toc225580507"/>
      <w:bookmarkStart w:id="392" w:name="_Toc409179008"/>
      <w:bookmarkStart w:id="393" w:name="_Toc225595236"/>
      <w:bookmarkStart w:id="394" w:name="_Toc224398457"/>
      <w:bookmarkStart w:id="395" w:name="_Toc482807192"/>
      <w:bookmarkStart w:id="396" w:name="_Toc480213182"/>
      <w:bookmarkStart w:id="397" w:name="_Toc409092017"/>
      <w:bookmarkStart w:id="398" w:name="_Toc228855488"/>
      <w:bookmarkStart w:id="399" w:name="_Toc441855997"/>
      <w:bookmarkStart w:id="400" w:name="_Toc264888952"/>
      <w:bookmarkStart w:id="401" w:name="_Toc480213751"/>
      <w:bookmarkStart w:id="402" w:name="_Toc224362552"/>
      <w:bookmarkStart w:id="403" w:name="_Toc479701842"/>
      <w:r>
        <w:rPr>
          <w:rFonts w:hint="eastAsia" w:ascii="宋体" w:hAnsi="宋体" w:eastAsia="宋体" w:cs="宋体"/>
          <w:b w:val="0"/>
          <w:sz w:val="24"/>
          <w:szCs w:val="24"/>
        </w:rPr>
        <w:t>（7）图纸；</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pStyle w:val="3"/>
        <w:keepNext w:val="0"/>
        <w:keepLines w:val="0"/>
        <w:ind w:firstLine="360" w:firstLineChars="150"/>
        <w:rPr>
          <w:rFonts w:hint="eastAsia" w:ascii="宋体" w:hAnsi="宋体" w:eastAsia="宋体" w:cs="宋体"/>
          <w:b w:val="0"/>
          <w:sz w:val="24"/>
          <w:szCs w:val="24"/>
        </w:rPr>
      </w:pPr>
      <w:bookmarkStart w:id="404" w:name="_Toc225580508"/>
      <w:bookmarkStart w:id="405" w:name="_Toc229554516"/>
      <w:bookmarkStart w:id="406" w:name="_Toc441855998"/>
      <w:bookmarkStart w:id="407" w:name="_Toc224398458"/>
      <w:bookmarkStart w:id="408" w:name="_Toc264888953"/>
      <w:bookmarkStart w:id="409" w:name="_Toc480213752"/>
      <w:bookmarkStart w:id="410" w:name="_Toc409179009"/>
      <w:bookmarkStart w:id="411" w:name="_Toc225595237"/>
      <w:bookmarkStart w:id="412" w:name="_Toc409524571"/>
      <w:bookmarkStart w:id="413" w:name="_Toc480213183"/>
      <w:bookmarkStart w:id="414" w:name="_Toc479701843"/>
      <w:bookmarkStart w:id="415" w:name="_Toc224362553"/>
      <w:bookmarkStart w:id="416" w:name="_Toc409092018"/>
      <w:bookmarkStart w:id="417" w:name="_Toc482807193"/>
      <w:bookmarkStart w:id="418" w:name="_Toc228855489"/>
      <w:r>
        <w:rPr>
          <w:rFonts w:hint="eastAsia" w:ascii="宋体" w:hAnsi="宋体" w:eastAsia="宋体" w:cs="宋体"/>
          <w:b w:val="0"/>
          <w:sz w:val="24"/>
          <w:szCs w:val="24"/>
        </w:rPr>
        <w:t>（8）已标价的工程量清单；</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pStyle w:val="3"/>
        <w:keepNext w:val="0"/>
        <w:keepLines w:val="0"/>
        <w:ind w:firstLine="360" w:firstLineChars="150"/>
        <w:rPr>
          <w:rFonts w:hint="eastAsia" w:ascii="宋体" w:hAnsi="宋体" w:eastAsia="宋体" w:cs="宋体"/>
          <w:b w:val="0"/>
          <w:sz w:val="24"/>
          <w:szCs w:val="24"/>
        </w:rPr>
      </w:pPr>
      <w:bookmarkStart w:id="419" w:name="_Toc482807194"/>
      <w:bookmarkStart w:id="420" w:name="_Toc441855999"/>
      <w:bookmarkStart w:id="421" w:name="_Toc409524572"/>
      <w:bookmarkStart w:id="422" w:name="_Toc480213184"/>
      <w:bookmarkStart w:id="423" w:name="_Toc409092019"/>
      <w:bookmarkStart w:id="424" w:name="_Toc225580509"/>
      <w:bookmarkStart w:id="425" w:name="_Toc225595238"/>
      <w:bookmarkStart w:id="426" w:name="_Toc228855490"/>
      <w:bookmarkStart w:id="427" w:name="_Toc480213753"/>
      <w:bookmarkStart w:id="428" w:name="_Toc479701844"/>
      <w:bookmarkStart w:id="429" w:name="_Toc409179010"/>
      <w:bookmarkStart w:id="430" w:name="_Toc229554517"/>
      <w:bookmarkStart w:id="431" w:name="_Toc224398459"/>
      <w:bookmarkStart w:id="432" w:name="_Toc264888954"/>
      <w:bookmarkStart w:id="433" w:name="_Toc224362554"/>
      <w:r>
        <w:rPr>
          <w:rFonts w:hint="eastAsia" w:ascii="宋体" w:hAnsi="宋体" w:eastAsia="宋体" w:cs="宋体"/>
          <w:b w:val="0"/>
          <w:sz w:val="24"/>
          <w:szCs w:val="24"/>
        </w:rPr>
        <w:t>（9）经双方确认进入合同的其它文件。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pStyle w:val="5"/>
        <w:keepNext w:val="0"/>
        <w:keepLines w:val="0"/>
        <w:rPr>
          <w:rFonts w:hint="eastAsia" w:ascii="宋体" w:hAnsi="宋体" w:eastAsia="宋体" w:cs="宋体"/>
          <w:sz w:val="24"/>
          <w:szCs w:val="24"/>
        </w:rPr>
      </w:pPr>
      <w:r>
        <w:rPr>
          <w:rFonts w:hint="eastAsia" w:ascii="宋体" w:hAnsi="宋体" w:eastAsia="宋体" w:cs="宋体"/>
          <w:sz w:val="24"/>
          <w:szCs w:val="24"/>
        </w:rPr>
        <w:t>1.7  联络</w:t>
      </w:r>
    </w:p>
    <w:p>
      <w:pPr>
        <w:pStyle w:val="5"/>
        <w:keepNext w:val="0"/>
        <w:keepLines w:val="0"/>
        <w:ind w:firstLine="480" w:firstLineChars="200"/>
        <w:rPr>
          <w:rFonts w:hint="eastAsia" w:ascii="宋体" w:hAnsi="宋体" w:eastAsia="宋体" w:cs="宋体"/>
          <w:b w:val="0"/>
          <w:bCs w:val="0"/>
          <w:color w:val="auto"/>
          <w:sz w:val="24"/>
          <w:szCs w:val="24"/>
          <w:highlight w:val="none"/>
          <w:lang w:eastAsia="zh-CN"/>
        </w:rPr>
      </w:pPr>
      <w:bookmarkStart w:id="434" w:name="_Toc221951130"/>
      <w:r>
        <w:rPr>
          <w:rFonts w:hint="eastAsia" w:ascii="宋体" w:hAnsi="宋体" w:eastAsia="宋体" w:cs="宋体"/>
          <w:color w:val="auto"/>
          <w:sz w:val="24"/>
          <w:szCs w:val="24"/>
          <w:highlight w:val="none"/>
        </w:rPr>
        <w:t>1.7.2来往函件均应按技术标准和要求（合同技术条款）约定的期限送</w:t>
      </w:r>
      <w:r>
        <w:rPr>
          <w:rFonts w:hint="eastAsia" w:ascii="宋体" w:hAnsi="宋体" w:eastAsia="宋体" w:cs="宋体"/>
          <w:b w:val="0"/>
          <w:bCs w:val="0"/>
          <w:color w:val="auto"/>
          <w:sz w:val="24"/>
          <w:szCs w:val="24"/>
          <w:highlight w:val="none"/>
        </w:rPr>
        <w:t>达</w:t>
      </w:r>
      <w:bookmarkEnd w:id="434"/>
      <w:r>
        <w:rPr>
          <w:rFonts w:hint="eastAsia" w:ascii="宋体" w:hAnsi="宋体" w:eastAsia="宋体" w:cs="宋体"/>
          <w:b w:val="0"/>
          <w:bCs w:val="0"/>
          <w:color w:val="auto"/>
          <w:sz w:val="24"/>
          <w:szCs w:val="24"/>
          <w:highlight w:val="none"/>
        </w:rPr>
        <w:t>吐鲁番市</w:t>
      </w:r>
      <w:r>
        <w:rPr>
          <w:rFonts w:hint="eastAsia" w:ascii="宋体" w:hAnsi="宋体" w:cs="宋体"/>
          <w:b w:val="0"/>
          <w:bCs w:val="0"/>
          <w:color w:val="auto"/>
          <w:sz w:val="24"/>
          <w:szCs w:val="24"/>
          <w:highlight w:val="none"/>
          <w:lang w:eastAsia="zh-CN"/>
        </w:rPr>
        <w:t>鄯善县吐峪沟乡人民政府</w:t>
      </w:r>
      <w:r>
        <w:rPr>
          <w:rFonts w:hint="eastAsia" w:ascii="宋体" w:hAnsi="宋体" w:eastAsia="宋体" w:cs="宋体"/>
          <w:b w:val="0"/>
          <w:bCs w:val="0"/>
          <w:color w:val="auto"/>
          <w:sz w:val="24"/>
          <w:szCs w:val="24"/>
          <w:highlight w:val="none"/>
          <w:lang w:eastAsia="zh-CN"/>
        </w:rPr>
        <w:t>。</w:t>
      </w:r>
    </w:p>
    <w:p>
      <w:pPr>
        <w:pStyle w:val="3"/>
        <w:ind w:firstLine="241" w:firstLineChars="100"/>
        <w:rPr>
          <w:rFonts w:hint="eastAsia" w:ascii="宋体" w:hAnsi="宋体" w:eastAsia="宋体" w:cs="宋体"/>
          <w:b w:val="0"/>
          <w:bCs w:val="0"/>
          <w:sz w:val="24"/>
          <w:szCs w:val="24"/>
        </w:rPr>
      </w:pPr>
      <w:bookmarkStart w:id="435" w:name="_Toc480213185"/>
      <w:bookmarkStart w:id="436" w:name="_Toc264888957"/>
      <w:bookmarkStart w:id="437" w:name="_Toc441856000"/>
      <w:bookmarkStart w:id="438" w:name="_Toc228855491"/>
      <w:bookmarkStart w:id="439" w:name="_Toc225595239"/>
      <w:bookmarkStart w:id="440" w:name="_Toc479701845"/>
      <w:bookmarkStart w:id="441" w:name="_Toc409524573"/>
      <w:bookmarkStart w:id="442" w:name="_Toc225580510"/>
      <w:bookmarkStart w:id="443" w:name="_Toc480213754"/>
      <w:bookmarkStart w:id="444" w:name="_Toc482807195"/>
      <w:bookmarkStart w:id="445" w:name="_Toc224362555"/>
      <w:bookmarkStart w:id="446" w:name="_Toc224398460"/>
      <w:bookmarkStart w:id="447" w:name="_Toc229554518"/>
      <w:bookmarkStart w:id="448" w:name="_Toc409179011"/>
      <w:bookmarkStart w:id="449" w:name="_Toc409092020"/>
      <w:r>
        <w:rPr>
          <w:rFonts w:hint="eastAsia" w:ascii="宋体" w:hAnsi="宋体" w:eastAsia="宋体" w:cs="宋体"/>
          <w:bCs w:val="0"/>
          <w:sz w:val="24"/>
          <w:szCs w:val="24"/>
        </w:rPr>
        <w:t xml:space="preserve">2 </w:t>
      </w:r>
      <w:r>
        <w:rPr>
          <w:rFonts w:hint="eastAsia" w:ascii="宋体" w:hAnsi="宋体" w:eastAsia="宋体" w:cs="宋体"/>
          <w:b w:val="0"/>
          <w:bCs w:val="0"/>
          <w:sz w:val="24"/>
          <w:szCs w:val="24"/>
        </w:rPr>
        <w:t>发包人的义务</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pPr>
        <w:pStyle w:val="3"/>
        <w:keepNext w:val="0"/>
        <w:keepLines w:val="0"/>
        <w:ind w:firstLine="241" w:firstLineChars="100"/>
        <w:rPr>
          <w:rFonts w:hint="eastAsia" w:ascii="宋体" w:hAnsi="宋体" w:eastAsia="宋体" w:cs="宋体"/>
          <w:b w:val="0"/>
          <w:bCs w:val="0"/>
          <w:sz w:val="24"/>
          <w:szCs w:val="24"/>
        </w:rPr>
      </w:pPr>
      <w:bookmarkStart w:id="450" w:name="_Toc228855492"/>
      <w:bookmarkStart w:id="451" w:name="_Toc224398461"/>
      <w:bookmarkStart w:id="452" w:name="_Toc229554519"/>
      <w:bookmarkStart w:id="453" w:name="_Toc441856001"/>
      <w:bookmarkStart w:id="454" w:name="_Toc480213755"/>
      <w:bookmarkStart w:id="455" w:name="_Toc480213186"/>
      <w:bookmarkStart w:id="456" w:name="_Toc225580511"/>
      <w:bookmarkStart w:id="457" w:name="_Toc409092021"/>
      <w:bookmarkStart w:id="458" w:name="_Toc479701846"/>
      <w:bookmarkStart w:id="459" w:name="_Toc225595240"/>
      <w:bookmarkStart w:id="460" w:name="_Toc409524574"/>
      <w:bookmarkStart w:id="461" w:name="_Toc224362556"/>
      <w:bookmarkStart w:id="462" w:name="_Toc264888958"/>
      <w:bookmarkStart w:id="463" w:name="_Toc409179012"/>
      <w:bookmarkStart w:id="464" w:name="_Toc482807196"/>
      <w:r>
        <w:rPr>
          <w:rFonts w:hint="eastAsia" w:ascii="宋体" w:hAnsi="宋体" w:eastAsia="宋体" w:cs="宋体"/>
          <w:bCs w:val="0"/>
          <w:sz w:val="24"/>
          <w:szCs w:val="24"/>
        </w:rPr>
        <w:t>2.3</w:t>
      </w:r>
      <w:r>
        <w:rPr>
          <w:rFonts w:hint="eastAsia" w:ascii="宋体" w:hAnsi="宋体" w:eastAsia="宋体" w:cs="宋体"/>
          <w:b w:val="0"/>
          <w:bCs w:val="0"/>
          <w:sz w:val="24"/>
          <w:szCs w:val="24"/>
        </w:rPr>
        <w:t xml:space="preserve"> 提供施工用地</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360" w:lineRule="auto"/>
        <w:ind w:firstLine="241" w:firstLineChars="100"/>
        <w:rPr>
          <w:rFonts w:hint="eastAsia" w:ascii="宋体" w:hAnsi="宋体" w:eastAsia="宋体" w:cs="宋体"/>
          <w:sz w:val="24"/>
          <w:szCs w:val="24"/>
        </w:rPr>
      </w:pPr>
      <w:r>
        <w:rPr>
          <w:rFonts w:hint="eastAsia" w:ascii="宋体" w:hAnsi="宋体" w:eastAsia="宋体" w:cs="宋体"/>
          <w:b/>
          <w:sz w:val="24"/>
          <w:szCs w:val="24"/>
        </w:rPr>
        <w:t>2.3.2</w:t>
      </w:r>
      <w:r>
        <w:rPr>
          <w:rFonts w:hint="eastAsia" w:ascii="宋体" w:hAnsi="宋体" w:eastAsia="宋体" w:cs="宋体"/>
          <w:sz w:val="24"/>
          <w:szCs w:val="24"/>
        </w:rPr>
        <w:t>发包人提供的施工用地范围按监理人批准的施工组织设计中的施工用地范围和时限及其他有关要求执行。发包人有权根据工地现场实际情况调整营地分配（包括提供的位置、面积的调整和提供时间的调整等），承包人必须服从调整和安排，且不能要求额外增加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发包人负责办理工地范围内的征地和移民，向承包人提供施工用地，提供的用地范围和期限在签订协议书时商定。</w:t>
      </w:r>
    </w:p>
    <w:p>
      <w:pPr>
        <w:pStyle w:val="5"/>
        <w:keepNext w:val="0"/>
        <w:keepLines w:val="0"/>
        <w:rPr>
          <w:rFonts w:hint="eastAsia" w:ascii="宋体" w:hAnsi="宋体" w:eastAsia="宋体" w:cs="宋体"/>
          <w:sz w:val="24"/>
          <w:szCs w:val="24"/>
        </w:rPr>
      </w:pPr>
      <w:bookmarkStart w:id="465" w:name="_Toc221951134"/>
      <w:r>
        <w:rPr>
          <w:rFonts w:hint="eastAsia" w:ascii="宋体" w:hAnsi="宋体" w:eastAsia="宋体" w:cs="宋体"/>
          <w:sz w:val="24"/>
          <w:szCs w:val="24"/>
        </w:rPr>
        <w:t>2.8  其它义务</w:t>
      </w:r>
      <w:bookmarkEnd w:id="465"/>
      <w:r>
        <w:rPr>
          <w:rFonts w:hint="eastAsia" w:ascii="宋体" w:hAnsi="宋体" w:eastAsia="宋体" w:cs="宋体"/>
          <w:sz w:val="24"/>
          <w:szCs w:val="24"/>
        </w:rPr>
        <w:t xml:space="preserve"> </w:t>
      </w:r>
      <w:bookmarkStart w:id="466" w:name="_Toc221951135"/>
    </w:p>
    <w:p>
      <w:pPr>
        <w:pStyle w:val="5"/>
        <w:keepNext w:val="0"/>
        <w:keepLines w:val="0"/>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(根据发包人的合同管理要求补充)</w:t>
      </w:r>
      <w:bookmarkEnd w:id="466"/>
    </w:p>
    <w:p>
      <w:pPr>
        <w:spacing w:line="360" w:lineRule="auto"/>
        <w:ind w:right="249" w:firstLine="480" w:firstLineChars="200"/>
        <w:rPr>
          <w:rFonts w:hint="eastAsia" w:ascii="宋体" w:hAnsi="宋体" w:eastAsia="宋体" w:cs="宋体"/>
          <w:sz w:val="24"/>
          <w:szCs w:val="24"/>
        </w:rPr>
      </w:pPr>
      <w:bookmarkStart w:id="467" w:name="_Toc221951136"/>
      <w:r>
        <w:rPr>
          <w:rFonts w:hint="eastAsia" w:ascii="宋体" w:hAnsi="宋体" w:eastAsia="宋体" w:cs="宋体"/>
          <w:sz w:val="24"/>
          <w:szCs w:val="24"/>
        </w:rPr>
        <w:t>(1) ……</w:t>
      </w:r>
      <w:bookmarkEnd w:id="467"/>
    </w:p>
    <w:p>
      <w:pPr>
        <w:spacing w:line="360" w:lineRule="auto"/>
        <w:ind w:right="249" w:firstLine="480" w:firstLineChars="200"/>
        <w:rPr>
          <w:rFonts w:hint="eastAsia" w:ascii="宋体" w:hAnsi="宋体" w:eastAsia="宋体" w:cs="宋体"/>
          <w:sz w:val="24"/>
          <w:szCs w:val="24"/>
        </w:rPr>
      </w:pPr>
      <w:bookmarkStart w:id="468" w:name="_Toc221951137"/>
      <w:r>
        <w:rPr>
          <w:rFonts w:hint="eastAsia" w:ascii="宋体" w:hAnsi="宋体" w:eastAsia="宋体" w:cs="宋体"/>
          <w:sz w:val="24"/>
          <w:szCs w:val="24"/>
        </w:rPr>
        <w:t>(2) ……</w:t>
      </w:r>
      <w:bookmarkEnd w:id="468"/>
    </w:p>
    <w:p>
      <w:pPr>
        <w:pStyle w:val="3"/>
        <w:keepNext w:val="0"/>
        <w:keepLines w:val="0"/>
        <w:rPr>
          <w:rFonts w:hint="eastAsia" w:ascii="宋体" w:hAnsi="宋体" w:eastAsia="宋体" w:cs="宋体"/>
          <w:bCs w:val="0"/>
          <w:sz w:val="24"/>
          <w:szCs w:val="24"/>
        </w:rPr>
      </w:pPr>
      <w:bookmarkStart w:id="469" w:name="_Toc224362563"/>
      <w:bookmarkStart w:id="470" w:name="_Toc482807197"/>
      <w:bookmarkStart w:id="471" w:name="_Toc229554522"/>
      <w:bookmarkStart w:id="472" w:name="_Toc224398464"/>
      <w:bookmarkStart w:id="473" w:name="_Toc228855495"/>
      <w:bookmarkStart w:id="474" w:name="_Toc479701847"/>
      <w:bookmarkStart w:id="475" w:name="_Toc409092022"/>
      <w:bookmarkStart w:id="476" w:name="_Toc441856002"/>
      <w:bookmarkStart w:id="477" w:name="_Toc409524575"/>
      <w:bookmarkStart w:id="478" w:name="_Toc225595243"/>
      <w:bookmarkStart w:id="479" w:name="_Toc264888966"/>
      <w:bookmarkStart w:id="480" w:name="_Toc480213756"/>
      <w:bookmarkStart w:id="481" w:name="_Toc409179013"/>
      <w:bookmarkStart w:id="482" w:name="_Toc225580514"/>
      <w:bookmarkStart w:id="483" w:name="_Toc480213187"/>
      <w:r>
        <w:rPr>
          <w:rFonts w:hint="eastAsia" w:ascii="宋体" w:hAnsi="宋体" w:eastAsia="宋体" w:cs="宋体"/>
          <w:bCs w:val="0"/>
          <w:sz w:val="24"/>
          <w:szCs w:val="24"/>
        </w:rPr>
        <w:t>3  监理人</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Start w:id="484" w:name="_Toc225595244"/>
      <w:bookmarkStart w:id="485" w:name="_Toc228855496"/>
      <w:bookmarkStart w:id="486" w:name="_Toc224362564"/>
      <w:bookmarkStart w:id="487" w:name="_Toc229554523"/>
      <w:bookmarkStart w:id="488" w:name="_Toc225580515"/>
      <w:bookmarkStart w:id="489" w:name="_Toc224398465"/>
    </w:p>
    <w:p>
      <w:pPr>
        <w:pStyle w:val="3"/>
        <w:keepNext w:val="0"/>
        <w:keepLines w:val="0"/>
        <w:rPr>
          <w:rFonts w:hint="eastAsia" w:ascii="宋体" w:hAnsi="宋体" w:eastAsia="宋体" w:cs="宋体"/>
          <w:bCs w:val="0"/>
          <w:sz w:val="24"/>
          <w:szCs w:val="24"/>
        </w:rPr>
      </w:pPr>
      <w:bookmarkStart w:id="490" w:name="_Toc479701848"/>
      <w:bookmarkStart w:id="491" w:name="_Toc409179014"/>
      <w:bookmarkStart w:id="492" w:name="_Toc441856003"/>
      <w:bookmarkStart w:id="493" w:name="_Toc480213188"/>
      <w:bookmarkStart w:id="494" w:name="_Toc264888967"/>
      <w:bookmarkStart w:id="495" w:name="_Toc482807198"/>
      <w:bookmarkStart w:id="496" w:name="_Toc409524576"/>
      <w:bookmarkStart w:id="497" w:name="_Toc409092023"/>
      <w:bookmarkStart w:id="498" w:name="_Toc480213757"/>
      <w:r>
        <w:rPr>
          <w:rFonts w:hint="eastAsia" w:ascii="宋体" w:hAnsi="宋体" w:eastAsia="宋体" w:cs="宋体"/>
          <w:bCs w:val="0"/>
          <w:sz w:val="24"/>
          <w:szCs w:val="24"/>
        </w:rPr>
        <w:t>3.1  监理人的职责和权力</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pStyle w:val="2"/>
        <w:snapToGrid w:val="0"/>
        <w:spacing w:line="360" w:lineRule="auto"/>
        <w:ind w:left="-170" w:right="-147" w:firstLine="480" w:firstLineChars="200"/>
        <w:rPr>
          <w:rFonts w:hint="eastAsia" w:ascii="宋体" w:hAnsi="宋体" w:eastAsia="宋体" w:cs="宋体"/>
          <w:sz w:val="24"/>
          <w:szCs w:val="24"/>
        </w:rPr>
      </w:pPr>
      <w:r>
        <w:rPr>
          <w:rFonts w:hint="eastAsia" w:ascii="宋体" w:hAnsi="宋体" w:eastAsia="宋体" w:cs="宋体"/>
          <w:sz w:val="24"/>
          <w:szCs w:val="24"/>
        </w:rPr>
        <w:t>监理人应履行的职责:</w:t>
      </w:r>
      <w:r>
        <w:rPr>
          <w:rFonts w:hint="eastAsia" w:ascii="宋体" w:hAnsi="宋体" w:eastAsia="宋体" w:cs="宋体"/>
          <w:sz w:val="24"/>
          <w:szCs w:val="24"/>
        </w:rPr>
        <w:cr/>
      </w:r>
      <w:r>
        <w:rPr>
          <w:rFonts w:hint="eastAsia" w:ascii="宋体" w:hAnsi="宋体" w:eastAsia="宋体" w:cs="宋体"/>
          <w:sz w:val="24"/>
          <w:szCs w:val="24"/>
        </w:rPr>
        <w:t xml:space="preserve">    </w:t>
      </w:r>
      <w:r>
        <w:rPr>
          <w:rFonts w:hint="eastAsia" w:ascii="宋体" w:hAnsi="宋体" w:eastAsia="宋体" w:cs="宋体"/>
          <w:kern w:val="44"/>
          <w:sz w:val="24"/>
          <w:szCs w:val="24"/>
        </w:rPr>
        <w:t>(1)管理施工承包合同。</w:t>
      </w:r>
      <w:r>
        <w:rPr>
          <w:rFonts w:hint="eastAsia" w:ascii="宋体" w:hAnsi="宋体" w:eastAsia="宋体" w:cs="宋体"/>
          <w:kern w:val="44"/>
          <w:sz w:val="24"/>
          <w:szCs w:val="24"/>
        </w:rPr>
        <w:cr/>
      </w:r>
      <w:r>
        <w:rPr>
          <w:rFonts w:hint="eastAsia" w:ascii="宋体" w:hAnsi="宋体" w:eastAsia="宋体" w:cs="宋体"/>
          <w:kern w:val="44"/>
          <w:sz w:val="24"/>
          <w:szCs w:val="24"/>
        </w:rPr>
        <w:t xml:space="preserve">    (2)审核承包人对设计的意见或建议,需设计单位答复的上报发包人，由发包人通知设计单位进行研究并给于答复。</w:t>
      </w:r>
      <w:r>
        <w:rPr>
          <w:rFonts w:hint="eastAsia" w:ascii="宋体" w:hAnsi="宋体" w:eastAsia="宋体" w:cs="宋体"/>
          <w:kern w:val="44"/>
          <w:sz w:val="24"/>
          <w:szCs w:val="24"/>
        </w:rPr>
        <w:cr/>
      </w:r>
      <w:r>
        <w:rPr>
          <w:rFonts w:hint="eastAsia" w:ascii="宋体" w:hAnsi="宋体" w:eastAsia="宋体" w:cs="宋体"/>
          <w:kern w:val="44"/>
          <w:sz w:val="24"/>
          <w:szCs w:val="24"/>
        </w:rPr>
        <w:t xml:space="preserve">    (3)拥有对本工程的质量否决权，发布开工、停工、返工和复工令权。</w:t>
      </w:r>
      <w:r>
        <w:rPr>
          <w:rFonts w:hint="eastAsia" w:ascii="宋体" w:hAnsi="宋体" w:eastAsia="宋体" w:cs="宋体"/>
          <w:kern w:val="44"/>
          <w:sz w:val="24"/>
          <w:szCs w:val="24"/>
        </w:rPr>
        <w:cr/>
      </w:r>
      <w:r>
        <w:rPr>
          <w:rFonts w:hint="eastAsia" w:ascii="宋体" w:hAnsi="宋体" w:eastAsia="宋体" w:cs="宋体"/>
          <w:kern w:val="44"/>
          <w:sz w:val="24"/>
          <w:szCs w:val="24"/>
        </w:rPr>
        <w:t xml:space="preserve">    (4)经发包人同意,审批承包人提交的施工组织设计、施工技术措施、临时工程设计、工艺试验成果、使用的原材料及试验成果。</w:t>
      </w:r>
      <w:r>
        <w:rPr>
          <w:rFonts w:hint="eastAsia" w:ascii="宋体" w:hAnsi="宋体" w:eastAsia="宋体" w:cs="宋体"/>
          <w:kern w:val="44"/>
          <w:sz w:val="24"/>
          <w:szCs w:val="24"/>
        </w:rPr>
        <w:cr/>
      </w:r>
      <w:r>
        <w:rPr>
          <w:rFonts w:hint="eastAsia" w:ascii="宋体" w:hAnsi="宋体" w:eastAsia="宋体" w:cs="宋体"/>
          <w:kern w:val="44"/>
          <w:sz w:val="24"/>
          <w:szCs w:val="24"/>
        </w:rPr>
        <w:t xml:space="preserve">    (5)审查承包人的质量控制体系和措施，现场动态跟踪监督施工质量，并进行检查和认可，对施工全过程的质量进行监督。</w:t>
      </w:r>
      <w:r>
        <w:rPr>
          <w:rFonts w:hint="eastAsia" w:ascii="宋体" w:hAnsi="宋体" w:eastAsia="宋体" w:cs="宋体"/>
          <w:kern w:val="44"/>
          <w:sz w:val="24"/>
          <w:szCs w:val="24"/>
        </w:rPr>
        <w:cr/>
      </w:r>
      <w:r>
        <w:rPr>
          <w:rFonts w:hint="eastAsia" w:ascii="宋体" w:hAnsi="宋体" w:eastAsia="宋体" w:cs="宋体"/>
          <w:kern w:val="44"/>
          <w:sz w:val="24"/>
          <w:szCs w:val="24"/>
        </w:rPr>
        <w:t xml:space="preserve">    (6)受理索赔申请，进行索赔调查和谈判，提出处理意见。</w:t>
      </w:r>
      <w:r>
        <w:rPr>
          <w:rFonts w:hint="eastAsia" w:ascii="宋体" w:hAnsi="宋体" w:eastAsia="宋体" w:cs="宋体"/>
          <w:kern w:val="44"/>
          <w:sz w:val="24"/>
          <w:szCs w:val="24"/>
        </w:rPr>
        <w:cr/>
      </w:r>
      <w:r>
        <w:rPr>
          <w:rFonts w:hint="eastAsia" w:ascii="宋体" w:hAnsi="宋体" w:eastAsia="宋体" w:cs="宋体"/>
          <w:kern w:val="44"/>
          <w:sz w:val="24"/>
          <w:szCs w:val="24"/>
        </w:rPr>
        <w:t xml:space="preserve">    (7)督促、检查施工现场的安全生产措施和防护措施及汛前防洪设施等，参与重大安全事故的调查处理。</w:t>
      </w:r>
      <w:r>
        <w:rPr>
          <w:rFonts w:hint="eastAsia" w:ascii="宋体" w:hAnsi="宋体" w:eastAsia="宋体" w:cs="宋体"/>
          <w:kern w:val="44"/>
          <w:sz w:val="24"/>
          <w:szCs w:val="24"/>
        </w:rPr>
        <w:cr/>
      </w:r>
      <w:r>
        <w:rPr>
          <w:rFonts w:hint="eastAsia" w:ascii="宋体" w:hAnsi="宋体" w:eastAsia="宋体" w:cs="宋体"/>
          <w:kern w:val="44"/>
          <w:sz w:val="24"/>
          <w:szCs w:val="24"/>
        </w:rPr>
        <w:t xml:space="preserve">    (8)所有往来函件，须及时报发包人备案。</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 xml:space="preserve">3.1.1 </w:t>
      </w:r>
      <w:r>
        <w:rPr>
          <w:rFonts w:hint="eastAsia" w:ascii="宋体" w:hAnsi="宋体" w:eastAsia="宋体" w:cs="宋体"/>
          <w:sz w:val="24"/>
          <w:szCs w:val="24"/>
        </w:rPr>
        <w:t>监理人须根据发包人事先批准的权力范围行使权力，发包人批准的权力范围：</w:t>
      </w:r>
    </w:p>
    <w:p>
      <w:pPr>
        <w:pStyle w:val="3"/>
        <w:keepNext w:val="0"/>
        <w:keepLines w:val="0"/>
        <w:ind w:firstLine="480" w:firstLineChars="200"/>
        <w:rPr>
          <w:rFonts w:hint="eastAsia" w:ascii="宋体" w:hAnsi="宋体" w:eastAsia="宋体" w:cs="宋体"/>
          <w:b w:val="0"/>
          <w:bCs w:val="0"/>
          <w:sz w:val="24"/>
          <w:szCs w:val="24"/>
        </w:rPr>
      </w:pPr>
      <w:bookmarkStart w:id="499" w:name="_Toc482807199"/>
      <w:bookmarkStart w:id="500" w:name="_Toc409524577"/>
      <w:bookmarkStart w:id="501" w:name="_Toc441856004"/>
      <w:bookmarkStart w:id="502" w:name="_Toc409179015"/>
      <w:bookmarkStart w:id="503" w:name="_Toc479701849"/>
      <w:bookmarkStart w:id="504" w:name="_Toc480213758"/>
      <w:bookmarkStart w:id="505" w:name="_Toc264888968"/>
      <w:bookmarkStart w:id="506" w:name="_Toc480213189"/>
      <w:bookmarkStart w:id="507" w:name="_Toc409092024"/>
      <w:r>
        <w:rPr>
          <w:rFonts w:hint="eastAsia" w:ascii="宋体" w:hAnsi="宋体" w:eastAsia="宋体" w:cs="宋体"/>
          <w:b w:val="0"/>
          <w:bCs w:val="0"/>
          <w:sz w:val="24"/>
          <w:szCs w:val="24"/>
        </w:rPr>
        <w:t>（填写监理人须经发包人批准才能行使的权力，以下示例供参考）</w:t>
      </w:r>
      <w:bookmarkEnd w:id="499"/>
      <w:bookmarkEnd w:id="500"/>
      <w:bookmarkEnd w:id="501"/>
      <w:bookmarkEnd w:id="502"/>
      <w:bookmarkEnd w:id="503"/>
      <w:bookmarkEnd w:id="504"/>
      <w:bookmarkEnd w:id="505"/>
      <w:bookmarkEnd w:id="506"/>
      <w:bookmarkEnd w:id="507"/>
    </w:p>
    <w:p>
      <w:pPr>
        <w:pStyle w:val="3"/>
        <w:keepNext w:val="0"/>
        <w:keepLines w:val="0"/>
        <w:ind w:firstLine="480" w:firstLineChars="200"/>
        <w:rPr>
          <w:rFonts w:hint="eastAsia" w:ascii="宋体" w:hAnsi="宋体" w:eastAsia="宋体" w:cs="宋体"/>
          <w:b w:val="0"/>
          <w:bCs w:val="0"/>
          <w:sz w:val="24"/>
          <w:szCs w:val="24"/>
        </w:rPr>
      </w:pPr>
      <w:bookmarkStart w:id="508" w:name="_Toc480213759"/>
      <w:bookmarkStart w:id="509" w:name="_Toc409092025"/>
      <w:bookmarkStart w:id="510" w:name="_Toc480213190"/>
      <w:bookmarkStart w:id="511" w:name="_Toc482807200"/>
      <w:bookmarkStart w:id="512" w:name="_Toc441856005"/>
      <w:bookmarkStart w:id="513" w:name="_Toc264888969"/>
      <w:bookmarkStart w:id="514" w:name="_Toc409524578"/>
      <w:bookmarkStart w:id="515" w:name="_Toc479701850"/>
      <w:bookmarkStart w:id="516" w:name="_Toc409179016"/>
      <w:r>
        <w:rPr>
          <w:rFonts w:hint="eastAsia" w:ascii="宋体" w:hAnsi="宋体" w:eastAsia="宋体" w:cs="宋体"/>
          <w:b w:val="0"/>
          <w:bCs w:val="0"/>
          <w:sz w:val="24"/>
          <w:szCs w:val="24"/>
        </w:rPr>
        <w:t>（1）按第4．3款约定，批准工程的分包；</w:t>
      </w:r>
      <w:bookmarkEnd w:id="508"/>
      <w:bookmarkEnd w:id="509"/>
      <w:bookmarkEnd w:id="510"/>
      <w:bookmarkEnd w:id="511"/>
      <w:bookmarkEnd w:id="512"/>
      <w:bookmarkEnd w:id="513"/>
      <w:bookmarkEnd w:id="514"/>
      <w:bookmarkEnd w:id="515"/>
      <w:bookmarkEnd w:id="516"/>
    </w:p>
    <w:p>
      <w:pPr>
        <w:pStyle w:val="3"/>
        <w:keepNext w:val="0"/>
        <w:keepLines w:val="0"/>
        <w:ind w:firstLine="480" w:firstLineChars="200"/>
        <w:rPr>
          <w:rFonts w:hint="eastAsia" w:ascii="宋体" w:hAnsi="宋体" w:eastAsia="宋体" w:cs="宋体"/>
          <w:b w:val="0"/>
          <w:bCs w:val="0"/>
          <w:sz w:val="24"/>
          <w:szCs w:val="24"/>
        </w:rPr>
      </w:pPr>
      <w:bookmarkStart w:id="517" w:name="_Toc409524579"/>
      <w:bookmarkStart w:id="518" w:name="_Toc479701851"/>
      <w:bookmarkStart w:id="519" w:name="_Toc264888970"/>
      <w:bookmarkStart w:id="520" w:name="_Toc409092026"/>
      <w:bookmarkStart w:id="521" w:name="_Toc482807201"/>
      <w:bookmarkStart w:id="522" w:name="_Toc441856006"/>
      <w:bookmarkStart w:id="523" w:name="_Toc480213191"/>
      <w:bookmarkStart w:id="524" w:name="_Toc480213760"/>
      <w:bookmarkStart w:id="525" w:name="_Toc409179017"/>
      <w:r>
        <w:rPr>
          <w:rFonts w:hint="eastAsia" w:ascii="宋体" w:hAnsi="宋体" w:eastAsia="宋体" w:cs="宋体"/>
          <w:b w:val="0"/>
          <w:bCs w:val="0"/>
          <w:sz w:val="24"/>
          <w:szCs w:val="24"/>
        </w:rPr>
        <w:t>（2）按第11．3款约定，确定延长完工期限；</w:t>
      </w:r>
      <w:bookmarkEnd w:id="517"/>
      <w:bookmarkEnd w:id="518"/>
      <w:bookmarkEnd w:id="519"/>
      <w:bookmarkEnd w:id="520"/>
      <w:bookmarkEnd w:id="521"/>
      <w:bookmarkEnd w:id="522"/>
      <w:bookmarkEnd w:id="523"/>
      <w:bookmarkEnd w:id="524"/>
      <w:bookmarkEnd w:id="525"/>
    </w:p>
    <w:p>
      <w:pPr>
        <w:pStyle w:val="3"/>
        <w:keepNext w:val="0"/>
        <w:keepLines w:val="0"/>
        <w:ind w:firstLine="480" w:firstLineChars="200"/>
        <w:rPr>
          <w:rFonts w:hint="eastAsia" w:ascii="宋体" w:hAnsi="宋体" w:eastAsia="宋体" w:cs="宋体"/>
          <w:b w:val="0"/>
          <w:bCs w:val="0"/>
          <w:sz w:val="24"/>
          <w:szCs w:val="24"/>
        </w:rPr>
      </w:pPr>
      <w:bookmarkStart w:id="526" w:name="_Toc480213192"/>
      <w:bookmarkStart w:id="527" w:name="_Toc480213761"/>
      <w:bookmarkStart w:id="528" w:name="_Toc409179018"/>
      <w:bookmarkStart w:id="529" w:name="_Toc409092027"/>
      <w:bookmarkStart w:id="530" w:name="_Toc441856007"/>
      <w:bookmarkStart w:id="531" w:name="_Toc479701852"/>
      <w:bookmarkStart w:id="532" w:name="_Toc409524580"/>
      <w:bookmarkStart w:id="533" w:name="_Toc264888971"/>
      <w:bookmarkStart w:id="534" w:name="_Toc482807202"/>
      <w:r>
        <w:rPr>
          <w:rFonts w:hint="eastAsia" w:ascii="宋体" w:hAnsi="宋体" w:eastAsia="宋体" w:cs="宋体"/>
          <w:b w:val="0"/>
          <w:bCs w:val="0"/>
          <w:sz w:val="24"/>
          <w:szCs w:val="24"/>
        </w:rPr>
        <w:t>（3）按第15．6款约定，批准暂列金额的使用；</w:t>
      </w:r>
      <w:bookmarkEnd w:id="526"/>
      <w:bookmarkEnd w:id="527"/>
      <w:bookmarkEnd w:id="528"/>
      <w:bookmarkEnd w:id="529"/>
      <w:bookmarkEnd w:id="530"/>
      <w:bookmarkEnd w:id="531"/>
      <w:bookmarkEnd w:id="532"/>
      <w:bookmarkEnd w:id="533"/>
      <w:bookmarkEnd w:id="534"/>
    </w:p>
    <w:p>
      <w:pPr>
        <w:pStyle w:val="2"/>
        <w:snapToGrid w:val="0"/>
        <w:spacing w:line="360" w:lineRule="auto"/>
        <w:ind w:left="-171" w:right="-148" w:firstLine="482" w:firstLineChars="200"/>
        <w:rPr>
          <w:rFonts w:hint="eastAsia" w:ascii="宋体" w:hAnsi="宋体" w:eastAsia="宋体" w:cs="宋体"/>
          <w:b/>
          <w:sz w:val="24"/>
          <w:szCs w:val="24"/>
        </w:rPr>
      </w:pPr>
      <w:r>
        <w:rPr>
          <w:rFonts w:hint="eastAsia" w:ascii="宋体" w:hAnsi="宋体" w:eastAsia="宋体" w:cs="宋体"/>
          <w:b/>
          <w:sz w:val="24"/>
          <w:szCs w:val="24"/>
        </w:rPr>
        <w:t>本款(2)补充：</w:t>
      </w:r>
      <w:r>
        <w:rPr>
          <w:rFonts w:hint="eastAsia" w:ascii="宋体" w:hAnsi="宋体" w:eastAsia="宋体" w:cs="宋体"/>
          <w:b/>
          <w:sz w:val="24"/>
          <w:szCs w:val="24"/>
        </w:rPr>
        <w:cr/>
      </w:r>
      <w:r>
        <w:rPr>
          <w:rFonts w:hint="eastAsia" w:ascii="宋体" w:hAnsi="宋体" w:eastAsia="宋体" w:cs="宋体"/>
          <w:b/>
          <w:sz w:val="24"/>
          <w:szCs w:val="24"/>
        </w:rPr>
        <w:t xml:space="preserve">    监理人在行使下列权力前，必须得到发包人的批准；</w:t>
      </w:r>
      <w:r>
        <w:rPr>
          <w:rFonts w:hint="eastAsia" w:ascii="宋体" w:hAnsi="宋体" w:eastAsia="宋体" w:cs="宋体"/>
          <w:b/>
          <w:sz w:val="24"/>
          <w:szCs w:val="24"/>
        </w:rPr>
        <w:cr/>
      </w:r>
      <w:r>
        <w:rPr>
          <w:rFonts w:hint="eastAsia" w:ascii="宋体" w:hAnsi="宋体" w:eastAsia="宋体" w:cs="宋体"/>
          <w:b/>
          <w:sz w:val="24"/>
          <w:szCs w:val="24"/>
        </w:rPr>
        <w:t xml:space="preserve">    1) 确定延长完工期限；</w:t>
      </w:r>
      <w:r>
        <w:rPr>
          <w:rFonts w:hint="eastAsia" w:ascii="宋体" w:hAnsi="宋体" w:eastAsia="宋体" w:cs="宋体"/>
          <w:b/>
          <w:sz w:val="24"/>
          <w:szCs w:val="24"/>
        </w:rPr>
        <w:cr/>
      </w:r>
      <w:r>
        <w:rPr>
          <w:rFonts w:hint="eastAsia" w:ascii="宋体" w:hAnsi="宋体" w:eastAsia="宋体" w:cs="宋体"/>
          <w:b/>
          <w:sz w:val="24"/>
          <w:szCs w:val="24"/>
        </w:rPr>
        <w:t xml:space="preserve">    2) 当变更引起的合同价格增减时作出变更决定；</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3）确定索赔的工期和费用。</w:t>
      </w:r>
      <w:r>
        <w:rPr>
          <w:rFonts w:hint="eastAsia" w:ascii="宋体" w:hAnsi="宋体" w:eastAsia="宋体" w:cs="宋体"/>
          <w:b/>
          <w:sz w:val="24"/>
          <w:szCs w:val="24"/>
        </w:rPr>
        <w:cr/>
      </w:r>
      <w:r>
        <w:rPr>
          <w:rFonts w:hint="eastAsia" w:ascii="宋体" w:hAnsi="宋体" w:eastAsia="宋体" w:cs="宋体"/>
          <w:sz w:val="24"/>
          <w:szCs w:val="24"/>
        </w:rPr>
        <w:t xml:space="preserve">    尽管有以上规定，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监理人应按第9条的规定增加相应的费用，并通知承包人。</w:t>
      </w:r>
    </w:p>
    <w:p>
      <w:pPr>
        <w:pStyle w:val="3"/>
        <w:keepNext w:val="0"/>
        <w:keepLines w:val="0"/>
        <w:rPr>
          <w:rFonts w:hint="eastAsia" w:ascii="宋体" w:hAnsi="宋体" w:eastAsia="宋体" w:cs="宋体"/>
          <w:bCs w:val="0"/>
          <w:kern w:val="0"/>
          <w:sz w:val="24"/>
          <w:szCs w:val="24"/>
          <w:lang w:val="zh-CN"/>
        </w:rPr>
      </w:pPr>
      <w:bookmarkStart w:id="535" w:name="_Toc480213193"/>
      <w:bookmarkStart w:id="536" w:name="_Toc479701853"/>
      <w:bookmarkStart w:id="537" w:name="_Toc482807203"/>
      <w:bookmarkStart w:id="538" w:name="_Toc529965648"/>
      <w:bookmarkStart w:id="539" w:name="_Toc480213762"/>
      <w:r>
        <w:rPr>
          <w:rFonts w:hint="eastAsia" w:ascii="宋体" w:hAnsi="宋体" w:eastAsia="宋体" w:cs="宋体"/>
          <w:bCs w:val="0"/>
          <w:kern w:val="0"/>
          <w:sz w:val="24"/>
          <w:szCs w:val="24"/>
          <w:lang w:val="zh-CN"/>
        </w:rPr>
        <w:t xml:space="preserve">4  </w:t>
      </w:r>
      <w:r>
        <w:rPr>
          <w:rFonts w:hint="eastAsia" w:ascii="宋体" w:hAnsi="宋体" w:eastAsia="宋体" w:cs="宋体"/>
          <w:kern w:val="0"/>
          <w:sz w:val="24"/>
          <w:szCs w:val="24"/>
          <w:lang w:val="zh-CN"/>
        </w:rPr>
        <w:t>承包人的一般义务和责任</w:t>
      </w:r>
      <w:bookmarkEnd w:id="535"/>
      <w:bookmarkEnd w:id="536"/>
      <w:bookmarkEnd w:id="537"/>
      <w:bookmarkEnd w:id="538"/>
      <w:bookmarkEnd w:id="539"/>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4.1.10　其它义务</w:t>
      </w:r>
    </w:p>
    <w:p>
      <w:pPr>
        <w:pStyle w:val="12"/>
        <w:spacing w:line="360" w:lineRule="auto"/>
        <w:ind w:left="420" w:right="248" w:firstLine="480" w:firstLineChars="200"/>
        <w:rPr>
          <w:rFonts w:hint="eastAsia" w:ascii="宋体" w:hAnsi="宋体" w:eastAsia="宋体" w:cs="宋体"/>
          <w:sz w:val="24"/>
          <w:szCs w:val="24"/>
        </w:rPr>
      </w:pPr>
      <w:r>
        <w:rPr>
          <w:rFonts w:hint="eastAsia" w:ascii="宋体" w:hAnsi="宋体" w:eastAsia="宋体" w:cs="宋体"/>
          <w:sz w:val="24"/>
          <w:szCs w:val="24"/>
        </w:rPr>
        <w:t>(根据发包人的合同管理要求补充)</w:t>
      </w:r>
    </w:p>
    <w:p>
      <w:pPr>
        <w:spacing w:line="360" w:lineRule="auto"/>
        <w:ind w:right="248" w:firstLine="480" w:firstLineChars="200"/>
        <w:rPr>
          <w:rFonts w:hint="eastAsia" w:ascii="宋体" w:hAnsi="宋体" w:eastAsia="宋体" w:cs="宋体"/>
          <w:sz w:val="24"/>
          <w:szCs w:val="24"/>
        </w:rPr>
      </w:pPr>
      <w:r>
        <w:rPr>
          <w:rFonts w:hint="eastAsia" w:ascii="宋体" w:hAnsi="宋体" w:eastAsia="宋体" w:cs="宋体"/>
          <w:sz w:val="24"/>
          <w:szCs w:val="24"/>
        </w:rPr>
        <w:t>(1) ……</w:t>
      </w:r>
    </w:p>
    <w:p>
      <w:pPr>
        <w:spacing w:line="360" w:lineRule="auto"/>
        <w:ind w:right="248" w:firstLine="480" w:firstLineChars="200"/>
        <w:rPr>
          <w:rFonts w:hint="eastAsia" w:ascii="宋体" w:hAnsi="宋体" w:eastAsia="宋体" w:cs="宋体"/>
          <w:sz w:val="24"/>
          <w:szCs w:val="24"/>
        </w:rPr>
      </w:pPr>
      <w:r>
        <w:rPr>
          <w:rFonts w:hint="eastAsia" w:ascii="宋体" w:hAnsi="宋体" w:eastAsia="宋体" w:cs="宋体"/>
          <w:sz w:val="24"/>
          <w:szCs w:val="24"/>
        </w:rPr>
        <w:t>(2)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本款补充：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（1）保证工程质量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承包人应严格按施工图纸和技术标准和要求（合同技术条款）中规定的质量要求完成各项工作。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（2）办理保险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承包人应按通用合同条款第20条的规定负责办理由承包人投保的保险。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承包人应按监理人的指示为其他承包人工作提供必要的配合，包括清理、移交工作面等，并对设备进行保护。因本标承包人原因导致其他承包人的设备损坏，由本标承包人负责赔偿。对布置有其他承包人设备的工作面的验收应通知相关监理人到场参加，经监理人会签后方可进行下一道工序的施工。承包人应充分考虑这种配合对施工、机械、人员调配进度的影响，发包人不另行支付这种配合和保护所发生的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（4）承包人未按监理人上述指示完成相互协助，连续迟延4小时以上构成违约，由承包人向发包人支付违约金3000元。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（5）承包人应与其他承包人和供货厂（商）就图纸、样板、尺寸及其他资料互通信息，以保证施工和安装的顺利进行。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（6）完工清场和撤离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承包人应在合同规定的期限内完成工地清理并按期撤退其人员、施工设备和剩余材料，做到工完场清。</w:t>
      </w:r>
    </w:p>
    <w:p>
      <w:pPr>
        <w:pStyle w:val="2"/>
        <w:snapToGrid w:val="0"/>
        <w:spacing w:after="0" w:line="360" w:lineRule="auto"/>
        <w:rPr>
          <w:rFonts w:hint="eastAsia" w:ascii="宋体" w:hAnsi="宋体" w:eastAsia="宋体" w:cs="宋体"/>
          <w:sz w:val="24"/>
          <w:szCs w:val="24"/>
        </w:rPr>
      </w:pPr>
      <w:r>
        <w:rPr>
          <w:rFonts w:hint="eastAsia" w:ascii="宋体" w:hAnsi="宋体" w:eastAsia="宋体" w:cs="宋体"/>
          <w:b/>
          <w:bCs/>
          <w:sz w:val="24"/>
          <w:szCs w:val="24"/>
        </w:rPr>
        <w:t>4.2  履约担保</w:t>
      </w:r>
    </w:p>
    <w:p>
      <w:pPr>
        <w:pStyle w:val="41"/>
        <w:spacing w:line="360" w:lineRule="auto"/>
        <w:ind w:firstLine="235" w:firstLineChars="98"/>
        <w:rPr>
          <w:rFonts w:hint="eastAsia" w:ascii="宋体" w:hAnsi="宋体" w:eastAsia="宋体" w:cs="宋体"/>
          <w:sz w:val="24"/>
          <w:szCs w:val="24"/>
        </w:rPr>
      </w:pPr>
      <w:bookmarkStart w:id="540" w:name="_Toc225580516"/>
      <w:bookmarkStart w:id="541" w:name="_Toc224362559"/>
      <w:bookmarkStart w:id="542" w:name="_Toc224398466"/>
      <w:r>
        <w:rPr>
          <w:rFonts w:hint="eastAsia" w:ascii="宋体" w:hAnsi="宋体" w:eastAsia="宋体" w:cs="宋体"/>
          <w:sz w:val="24"/>
          <w:szCs w:val="24"/>
        </w:rPr>
        <w:t>(1)  履约担保</w:t>
      </w:r>
      <w:bookmarkEnd w:id="540"/>
      <w:bookmarkEnd w:id="541"/>
      <w:bookmarkEnd w:id="542"/>
      <w:r>
        <w:rPr>
          <w:rFonts w:hint="eastAsia" w:ascii="宋体" w:hAnsi="宋体" w:eastAsia="宋体" w:cs="宋体"/>
          <w:sz w:val="24"/>
          <w:szCs w:val="24"/>
        </w:rPr>
        <w:t>金</w:t>
      </w:r>
    </w:p>
    <w:p>
      <w:pPr>
        <w:pStyle w:val="41"/>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bookmarkStart w:id="543" w:name="_Toc224398467"/>
      <w:bookmarkStart w:id="544" w:name="_Toc224362560"/>
      <w:bookmarkStart w:id="545" w:name="_Toc225580517"/>
      <w:r>
        <w:rPr>
          <w:rFonts w:hint="eastAsia" w:ascii="宋体" w:hAnsi="宋体" w:eastAsia="宋体" w:cs="宋体"/>
          <w:sz w:val="24"/>
          <w:szCs w:val="24"/>
        </w:rPr>
        <w:t>本款采用现金（或发包人认可的其他形式）式履约担保，担保金额为每标段均为合同价的</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；在正式签署协议书前必须向发包人履约担保金。</w:t>
      </w:r>
      <w:bookmarkEnd w:id="543"/>
      <w:bookmarkEnd w:id="544"/>
      <w:bookmarkEnd w:id="545"/>
    </w:p>
    <w:p>
      <w:pPr>
        <w:pStyle w:val="41"/>
        <w:spacing w:line="360" w:lineRule="auto"/>
        <w:ind w:firstLine="240" w:firstLineChars="100"/>
        <w:rPr>
          <w:rFonts w:hint="eastAsia" w:ascii="宋体" w:hAnsi="宋体" w:eastAsia="宋体" w:cs="宋体"/>
          <w:sz w:val="24"/>
          <w:szCs w:val="24"/>
        </w:rPr>
      </w:pPr>
      <w:bookmarkStart w:id="546" w:name="_Toc224362561"/>
      <w:bookmarkStart w:id="547" w:name="_Toc225580518"/>
      <w:bookmarkStart w:id="548" w:name="_Toc224398468"/>
      <w:r>
        <w:rPr>
          <w:rFonts w:hint="eastAsia" w:ascii="宋体" w:hAnsi="宋体" w:eastAsia="宋体" w:cs="宋体"/>
          <w:sz w:val="24"/>
          <w:szCs w:val="24"/>
        </w:rPr>
        <w:t>(2)  履约担保金的有效期</w:t>
      </w:r>
      <w:bookmarkEnd w:id="546"/>
      <w:bookmarkEnd w:id="547"/>
      <w:bookmarkEnd w:id="548"/>
    </w:p>
    <w:p>
      <w:pPr>
        <w:pStyle w:val="41"/>
        <w:spacing w:line="360" w:lineRule="auto"/>
        <w:ind w:firstLine="480" w:firstLineChars="200"/>
        <w:rPr>
          <w:rFonts w:hint="eastAsia" w:ascii="宋体" w:hAnsi="宋体" w:eastAsia="宋体" w:cs="宋体"/>
          <w:sz w:val="24"/>
          <w:szCs w:val="24"/>
        </w:rPr>
      </w:pPr>
      <w:bookmarkStart w:id="549" w:name="_Toc225580519"/>
      <w:bookmarkStart w:id="550" w:name="_Toc224398469"/>
      <w:bookmarkStart w:id="551" w:name="_Toc224362562"/>
      <w:r>
        <w:rPr>
          <w:rFonts w:hint="eastAsia" w:ascii="宋体" w:hAnsi="宋体" w:eastAsia="宋体" w:cs="宋体"/>
          <w:sz w:val="24"/>
          <w:szCs w:val="24"/>
        </w:rPr>
        <w:t>以：履约保证金自合同生效日起至工程移交证书颁发后</w:t>
      </w:r>
      <w:r>
        <w:rPr>
          <w:rFonts w:hint="eastAsia" w:ascii="宋体" w:hAnsi="宋体" w:eastAsia="宋体" w:cs="宋体"/>
          <w:sz w:val="24"/>
          <w:szCs w:val="24"/>
          <w:u w:val="single"/>
        </w:rPr>
        <w:t xml:space="preserve">  28  </w:t>
      </w:r>
      <w:r>
        <w:rPr>
          <w:rFonts w:hint="eastAsia" w:ascii="宋体" w:hAnsi="宋体" w:eastAsia="宋体" w:cs="宋体"/>
          <w:sz w:val="24"/>
          <w:szCs w:val="24"/>
        </w:rPr>
        <w:t>天内一直有效。上述证件应在其有效期结束后14天内退还承包人。</w:t>
      </w:r>
      <w:bookmarkEnd w:id="549"/>
      <w:bookmarkEnd w:id="550"/>
      <w:bookmarkEnd w:id="551"/>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4.3 发包人指定分包人</w:t>
      </w:r>
      <w:r>
        <w:rPr>
          <w:rFonts w:hint="eastAsia" w:ascii="宋体" w:hAnsi="宋体" w:eastAsia="宋体" w:cs="宋体"/>
          <w:sz w:val="24"/>
          <w:szCs w:val="24"/>
        </w:rPr>
        <w:cr/>
      </w:r>
      <w:r>
        <w:rPr>
          <w:rFonts w:hint="eastAsia" w:ascii="宋体" w:hAnsi="宋体" w:eastAsia="宋体" w:cs="宋体"/>
          <w:sz w:val="24"/>
          <w:szCs w:val="24"/>
        </w:rPr>
        <w:t xml:space="preserve">    本合同工程不允许承包人分包（发包人指定分包人除外）。承包人擅自转包、分包，发包人有权解除合同，由承包人支付合同总价</w:t>
      </w:r>
      <w:r>
        <w:rPr>
          <w:rFonts w:hint="eastAsia" w:ascii="宋体" w:hAnsi="宋体" w:eastAsia="宋体" w:cs="宋体"/>
          <w:sz w:val="24"/>
          <w:szCs w:val="24"/>
          <w:u w:val="single"/>
        </w:rPr>
        <w:t xml:space="preserve">  10% </w:t>
      </w:r>
      <w:r>
        <w:rPr>
          <w:rFonts w:hint="eastAsia" w:ascii="宋体" w:hAnsi="宋体" w:eastAsia="宋体" w:cs="宋体"/>
          <w:sz w:val="24"/>
          <w:szCs w:val="24"/>
        </w:rPr>
        <w:t>的违约金，并按合同价的</w:t>
      </w:r>
      <w:r>
        <w:rPr>
          <w:rFonts w:hint="eastAsia" w:ascii="宋体" w:hAnsi="宋体" w:eastAsia="宋体" w:cs="宋体"/>
          <w:sz w:val="24"/>
          <w:szCs w:val="24"/>
          <w:u w:val="single"/>
        </w:rPr>
        <w:t xml:space="preserve">  10% </w:t>
      </w:r>
      <w:r>
        <w:rPr>
          <w:rFonts w:hint="eastAsia" w:ascii="宋体" w:hAnsi="宋体" w:eastAsia="宋体" w:cs="宋体"/>
          <w:sz w:val="24"/>
          <w:szCs w:val="24"/>
        </w:rPr>
        <w:t>赔偿发包人的其他经济损失。</w:t>
      </w:r>
    </w:p>
    <w:p>
      <w:pPr>
        <w:spacing w:line="360" w:lineRule="auto"/>
        <w:ind w:firstLine="480" w:firstLineChars="200"/>
        <w:rPr>
          <w:rFonts w:hint="eastAsia" w:ascii="宋体" w:hAnsi="宋体" w:eastAsia="宋体" w:cs="宋体"/>
          <w:bCs/>
          <w:sz w:val="24"/>
          <w:szCs w:val="24"/>
        </w:rPr>
      </w:pPr>
      <w:bookmarkStart w:id="552" w:name="_Toc221951154"/>
      <w:r>
        <w:rPr>
          <w:rFonts w:hint="eastAsia" w:ascii="宋体" w:hAnsi="宋体" w:eastAsia="宋体" w:cs="宋体"/>
          <w:bCs/>
          <w:sz w:val="24"/>
          <w:szCs w:val="24"/>
        </w:rPr>
        <w:t>4.3.2  允许承包人分包的工程项目、工作内容与</w:t>
      </w:r>
      <w:r>
        <w:rPr>
          <w:rFonts w:hint="eastAsia" w:ascii="宋体" w:hAnsi="宋体" w:eastAsia="宋体" w:cs="宋体"/>
          <w:sz w:val="24"/>
          <w:szCs w:val="24"/>
          <w:lang w:val="zh-CN"/>
        </w:rPr>
        <w:t>分包金额</w:t>
      </w:r>
      <w:r>
        <w:rPr>
          <w:rFonts w:hint="eastAsia" w:ascii="宋体" w:hAnsi="宋体" w:eastAsia="宋体" w:cs="宋体"/>
          <w:bCs/>
          <w:sz w:val="24"/>
          <w:szCs w:val="24"/>
        </w:rPr>
        <w:t>限额为：</w:t>
      </w:r>
      <w:bookmarkEnd w:id="552"/>
    </w:p>
    <w:p>
      <w:pPr>
        <w:pStyle w:val="12"/>
        <w:spacing w:after="0" w:line="360" w:lineRule="auto"/>
        <w:ind w:leftChars="0" w:firstLine="480" w:firstLineChars="200"/>
        <w:rPr>
          <w:rFonts w:hint="eastAsia" w:ascii="宋体" w:hAnsi="宋体" w:eastAsia="宋体" w:cs="宋体"/>
          <w:bCs/>
          <w:sz w:val="24"/>
          <w:szCs w:val="24"/>
        </w:rPr>
      </w:pPr>
      <w:bookmarkStart w:id="553" w:name="_Toc221951155"/>
      <w:r>
        <w:rPr>
          <w:rFonts w:hint="eastAsia" w:ascii="宋体" w:hAnsi="宋体" w:eastAsia="宋体" w:cs="宋体"/>
          <w:sz w:val="24"/>
          <w:szCs w:val="24"/>
        </w:rPr>
        <w:t>（</w:t>
      </w:r>
      <w:r>
        <w:rPr>
          <w:rFonts w:hint="eastAsia" w:ascii="宋体" w:hAnsi="宋体" w:eastAsia="宋体" w:cs="宋体"/>
          <w:bCs/>
          <w:sz w:val="24"/>
          <w:szCs w:val="24"/>
        </w:rPr>
        <w:t>1）工程项目：</w:t>
      </w:r>
      <w:r>
        <w:rPr>
          <w:rFonts w:hint="eastAsia" w:ascii="宋体" w:hAnsi="宋体" w:eastAsia="宋体" w:cs="宋体"/>
          <w:bCs/>
          <w:sz w:val="24"/>
          <w:szCs w:val="24"/>
          <w:u w:val="single"/>
        </w:rPr>
        <w:t xml:space="preserve">       ——                                   </w:t>
      </w:r>
      <w:r>
        <w:rPr>
          <w:rFonts w:hint="eastAsia" w:ascii="宋体" w:hAnsi="宋体" w:eastAsia="宋体" w:cs="宋体"/>
          <w:bCs/>
          <w:sz w:val="24"/>
          <w:szCs w:val="24"/>
        </w:rPr>
        <w:t>。</w:t>
      </w:r>
      <w:bookmarkEnd w:id="553"/>
    </w:p>
    <w:p>
      <w:pPr>
        <w:pStyle w:val="12"/>
        <w:spacing w:after="0" w:line="360" w:lineRule="auto"/>
        <w:ind w:leftChars="0" w:firstLine="480" w:firstLineChars="200"/>
        <w:rPr>
          <w:rFonts w:hint="eastAsia" w:ascii="宋体" w:hAnsi="宋体" w:eastAsia="宋体" w:cs="宋体"/>
          <w:bCs/>
          <w:sz w:val="24"/>
          <w:szCs w:val="24"/>
        </w:rPr>
      </w:pPr>
      <w:bookmarkStart w:id="554" w:name="_Toc221951156"/>
      <w:r>
        <w:rPr>
          <w:rFonts w:hint="eastAsia" w:ascii="宋体" w:hAnsi="宋体" w:eastAsia="宋体" w:cs="宋体"/>
          <w:bCs/>
          <w:sz w:val="24"/>
          <w:szCs w:val="24"/>
        </w:rPr>
        <w:t>（2）工作内容：</w:t>
      </w:r>
      <w:r>
        <w:rPr>
          <w:rFonts w:hint="eastAsia" w:ascii="宋体" w:hAnsi="宋体" w:eastAsia="宋体" w:cs="宋体"/>
          <w:bCs/>
          <w:sz w:val="24"/>
          <w:szCs w:val="24"/>
          <w:u w:val="single"/>
        </w:rPr>
        <w:t xml:space="preserve">       ——                                    </w:t>
      </w:r>
      <w:r>
        <w:rPr>
          <w:rFonts w:hint="eastAsia" w:ascii="宋体" w:hAnsi="宋体" w:eastAsia="宋体" w:cs="宋体"/>
          <w:bCs/>
          <w:sz w:val="24"/>
          <w:szCs w:val="24"/>
        </w:rPr>
        <w:t>。</w:t>
      </w:r>
      <w:bookmarkEnd w:id="554"/>
    </w:p>
    <w:p>
      <w:pPr>
        <w:pStyle w:val="12"/>
        <w:spacing w:after="0" w:line="360" w:lineRule="auto"/>
        <w:ind w:leftChars="0" w:firstLine="480" w:firstLineChars="200"/>
        <w:rPr>
          <w:rFonts w:hint="eastAsia" w:ascii="宋体" w:hAnsi="宋体" w:eastAsia="宋体" w:cs="宋体"/>
          <w:sz w:val="24"/>
          <w:szCs w:val="24"/>
        </w:rPr>
      </w:pPr>
      <w:bookmarkStart w:id="555" w:name="_Toc221951157"/>
      <w:r>
        <w:rPr>
          <w:rFonts w:hint="eastAsia" w:ascii="宋体" w:hAnsi="宋体" w:eastAsia="宋体" w:cs="宋体"/>
          <w:sz w:val="24"/>
          <w:szCs w:val="24"/>
        </w:rPr>
        <w:t>（3）分包金额限额：</w:t>
      </w:r>
      <w:r>
        <w:rPr>
          <w:rFonts w:hint="eastAsia" w:ascii="宋体" w:hAnsi="宋体" w:eastAsia="宋体" w:cs="宋体"/>
          <w:sz w:val="24"/>
          <w:szCs w:val="24"/>
          <w:u w:val="single"/>
        </w:rPr>
        <w:t xml:space="preserve">      ——                         </w:t>
      </w:r>
      <w:r>
        <w:rPr>
          <w:rFonts w:hint="eastAsia" w:ascii="宋体" w:hAnsi="宋体" w:eastAsia="宋体" w:cs="宋体"/>
          <w:sz w:val="24"/>
          <w:szCs w:val="24"/>
        </w:rPr>
        <w:t>。</w:t>
      </w:r>
      <w:bookmarkEnd w:id="555"/>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4.3.10 分包人项目管理机构的设立：</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4.5  承包人的人员</w:t>
      </w:r>
    </w:p>
    <w:p>
      <w:pPr>
        <w:pStyle w:val="41"/>
        <w:spacing w:line="360" w:lineRule="auto"/>
        <w:rPr>
          <w:rFonts w:hint="eastAsia" w:ascii="宋体" w:hAnsi="宋体" w:eastAsia="宋体" w:cs="宋体"/>
          <w:sz w:val="24"/>
          <w:szCs w:val="24"/>
        </w:rPr>
      </w:pPr>
      <w:bookmarkStart w:id="556" w:name="_Toc224362565"/>
      <w:bookmarkStart w:id="557" w:name="_Toc224398470"/>
      <w:bookmarkStart w:id="558" w:name="_Toc225580520"/>
      <w:r>
        <w:rPr>
          <w:rFonts w:hint="eastAsia" w:ascii="宋体" w:hAnsi="宋体" w:eastAsia="宋体" w:cs="宋体"/>
          <w:b/>
          <w:bCs/>
          <w:sz w:val="24"/>
          <w:szCs w:val="24"/>
        </w:rPr>
        <w:t>4.5.1</w:t>
      </w:r>
      <w:r>
        <w:rPr>
          <w:rFonts w:hint="eastAsia" w:ascii="宋体" w:hAnsi="宋体" w:eastAsia="宋体" w:cs="宋体"/>
          <w:sz w:val="24"/>
          <w:szCs w:val="24"/>
        </w:rPr>
        <w:t xml:space="preserve"> 补充“连续离开工地3天以上或月累计离开工地5天以上时，需经监理人审核，并经发包人同意。”未按前述规定，擅自离开工地，按每人每天10000元进行处罚（项目总工与建造师同等处罚）。</w:t>
      </w:r>
      <w:bookmarkEnd w:id="556"/>
      <w:bookmarkEnd w:id="557"/>
      <w:bookmarkEnd w:id="558"/>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4.6  承包人人员的管理</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4.6.1  </w:t>
      </w:r>
      <w:r>
        <w:rPr>
          <w:rFonts w:hint="eastAsia" w:ascii="宋体" w:hAnsi="宋体" w:eastAsia="宋体" w:cs="宋体"/>
          <w:b/>
          <w:sz w:val="24"/>
          <w:szCs w:val="24"/>
        </w:rPr>
        <w:t>补充提交管理机构和人员情况报告</w:t>
      </w:r>
      <w:r>
        <w:rPr>
          <w:rFonts w:hint="eastAsia" w:ascii="宋体" w:hAnsi="宋体" w:eastAsia="宋体" w:cs="宋体"/>
          <w:b/>
          <w:sz w:val="24"/>
          <w:szCs w:val="24"/>
        </w:rPr>
        <w:cr/>
      </w:r>
      <w:r>
        <w:rPr>
          <w:rFonts w:hint="eastAsia" w:ascii="宋体" w:hAnsi="宋体" w:eastAsia="宋体" w:cs="宋体"/>
          <w:b/>
          <w:sz w:val="24"/>
          <w:szCs w:val="24"/>
        </w:rPr>
        <w:t xml:space="preserve">   </w:t>
      </w:r>
      <w:r>
        <w:rPr>
          <w:rFonts w:hint="eastAsia" w:ascii="宋体" w:hAnsi="宋体" w:eastAsia="宋体" w:cs="宋体"/>
          <w:sz w:val="24"/>
          <w:szCs w:val="24"/>
        </w:rPr>
        <w:t>“28天”改为“7天”</w:t>
      </w:r>
    </w:p>
    <w:p>
      <w:pPr>
        <w:pStyle w:val="41"/>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4.6.1 </w:t>
      </w:r>
      <w:r>
        <w:rPr>
          <w:rFonts w:hint="eastAsia" w:ascii="宋体" w:hAnsi="宋体" w:eastAsia="宋体" w:cs="宋体"/>
          <w:b/>
          <w:sz w:val="24"/>
          <w:szCs w:val="24"/>
        </w:rPr>
        <w:t>增加：</w:t>
      </w:r>
      <w:r>
        <w:rPr>
          <w:rFonts w:hint="eastAsia" w:ascii="宋体" w:hAnsi="宋体" w:eastAsia="宋体" w:cs="宋体"/>
          <w:sz w:val="24"/>
          <w:szCs w:val="24"/>
        </w:rPr>
        <w:t>派驻工地的项目经理必须取得</w:t>
      </w:r>
      <w:r>
        <w:rPr>
          <w:rFonts w:hint="eastAsia" w:ascii="宋体" w:hAnsi="宋体" w:eastAsia="宋体" w:cs="宋体"/>
          <w:kern w:val="0"/>
          <w:sz w:val="24"/>
          <w:szCs w:val="24"/>
        </w:rPr>
        <w:t>二级及二级以上建造师（</w:t>
      </w:r>
      <w:r>
        <w:rPr>
          <w:rFonts w:hint="eastAsia" w:ascii="宋体" w:hAnsi="宋体" w:eastAsia="宋体" w:cs="宋体"/>
          <w:sz w:val="24"/>
          <w:szCs w:val="24"/>
        </w:rPr>
        <w:t>水利</w:t>
      </w:r>
      <w:r>
        <w:rPr>
          <w:rFonts w:hint="eastAsia" w:ascii="宋体" w:hAnsi="宋体" w:eastAsia="宋体" w:cs="宋体"/>
          <w:kern w:val="0"/>
          <w:sz w:val="24"/>
          <w:szCs w:val="24"/>
        </w:rPr>
        <w:t>）</w:t>
      </w:r>
      <w:r>
        <w:rPr>
          <w:rFonts w:hint="eastAsia" w:ascii="宋体" w:hAnsi="宋体" w:eastAsia="宋体" w:cs="宋体"/>
          <w:sz w:val="24"/>
          <w:szCs w:val="24"/>
        </w:rPr>
        <w:t>且必须是法定代表人的授权委托代理人，且不得兼任其它工程的项目经理或主要负责人，也不得兼任本工程以外的现场职务；未经发包人同意，</w:t>
      </w:r>
      <w:bookmarkStart w:id="559" w:name="_Toc224362566"/>
      <w:bookmarkStart w:id="560" w:name="_Toc224398471"/>
      <w:bookmarkStart w:id="561" w:name="_Toc225580521"/>
      <w:r>
        <w:rPr>
          <w:rFonts w:hint="eastAsia" w:ascii="宋体" w:hAnsi="宋体" w:eastAsia="宋体" w:cs="宋体"/>
          <w:sz w:val="24"/>
          <w:szCs w:val="24"/>
        </w:rPr>
        <w:t>在本合同施工期内项目经理、项目技术负责人不得更换，否则罚款10万元。承包人拟投入到本工程的项目经理部主要技术人员应按投标文件及承诺书列示人员按期足额到场，迟到一天处罚5千元/天·人，每差一名罚款1万元（以监理签发开工令当天计），并且不经发包人同意不能更换，否则亦按1万元/人予以罚款。承包人拟投入本工程的主要施工设备应按投标文件及承诺书所示施工设备按期足额到场，每差一台设备的重要程度罚款1--2万元，并且不经发包人同意不能更换，否则亦按1--2万元/台予以罚款。</w:t>
      </w:r>
    </w:p>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投标时，承包人提供及确认的项目负责人及主要技术人员，在派驻工地施工后，确需更换的，必须经发包人同意，更换的人员必须高于原人员的工程施工经理和技术业务水平。</w:t>
      </w:r>
    </w:p>
    <w:p>
      <w:pPr>
        <w:pStyle w:val="41"/>
        <w:spacing w:line="360" w:lineRule="auto"/>
        <w:rPr>
          <w:rFonts w:hint="eastAsia" w:ascii="宋体" w:hAnsi="宋体" w:eastAsia="宋体" w:cs="宋体"/>
          <w:b/>
          <w:sz w:val="24"/>
          <w:szCs w:val="24"/>
        </w:rPr>
      </w:pPr>
      <w:r>
        <w:rPr>
          <w:rFonts w:hint="eastAsia" w:ascii="宋体" w:hAnsi="宋体" w:eastAsia="宋体" w:cs="宋体"/>
          <w:b/>
          <w:bCs/>
          <w:sz w:val="24"/>
          <w:szCs w:val="24"/>
        </w:rPr>
        <w:t xml:space="preserve">4.6.4 </w:t>
      </w:r>
      <w:r>
        <w:rPr>
          <w:rFonts w:hint="eastAsia" w:ascii="宋体" w:hAnsi="宋体" w:eastAsia="宋体" w:cs="宋体"/>
          <w:b/>
          <w:sz w:val="24"/>
          <w:szCs w:val="24"/>
        </w:rPr>
        <w:t>增加</w:t>
      </w:r>
      <w:r>
        <w:rPr>
          <w:rFonts w:hint="eastAsia" w:ascii="宋体" w:hAnsi="宋体" w:eastAsia="宋体" w:cs="宋体"/>
          <w:sz w:val="24"/>
          <w:szCs w:val="24"/>
        </w:rPr>
        <w:t>：</w:t>
      </w:r>
      <w:r>
        <w:rPr>
          <w:rFonts w:hint="eastAsia" w:ascii="宋体" w:hAnsi="宋体" w:eastAsia="宋体" w:cs="宋体"/>
          <w:b/>
          <w:sz w:val="24"/>
          <w:szCs w:val="24"/>
        </w:rPr>
        <w:t>工地主要管理人员和专业技术骨干在施工现场必须挂牌上岗。</w:t>
      </w:r>
      <w:bookmarkEnd w:id="559"/>
      <w:bookmarkEnd w:id="560"/>
      <w:bookmarkEnd w:id="561"/>
      <w:bookmarkStart w:id="562" w:name="_Toc224362567"/>
      <w:r>
        <w:rPr>
          <w:rFonts w:hint="eastAsia" w:ascii="宋体" w:hAnsi="宋体" w:eastAsia="宋体" w:cs="宋体"/>
          <w:b/>
          <w:bCs/>
          <w:sz w:val="24"/>
          <w:szCs w:val="24"/>
        </w:rPr>
        <w:t>持证上岗人员在施工现场应挂牌上岗。</w:t>
      </w:r>
      <w:bookmarkEnd w:id="562"/>
      <w:r>
        <w:rPr>
          <w:rFonts w:hint="eastAsia" w:ascii="宋体" w:hAnsi="宋体" w:eastAsia="宋体" w:cs="宋体"/>
          <w:b/>
          <w:bCs/>
          <w:sz w:val="24"/>
          <w:szCs w:val="24"/>
        </w:rPr>
        <w:t>同时，承包人的项目经理及</w:t>
      </w:r>
      <w:r>
        <w:rPr>
          <w:rFonts w:hint="eastAsia" w:ascii="宋体" w:hAnsi="宋体" w:eastAsia="宋体" w:cs="宋体"/>
          <w:b/>
          <w:sz w:val="24"/>
          <w:szCs w:val="24"/>
        </w:rPr>
        <w:t>主要管理人员和专业技术人员的注册建造师证、技术职称证、上岗证必须由发包单位相关管理部门管理直至工程结束。</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4.6.8承包人应指派不少于1名具有丰富经验、经国家安全考试合格的专职安全员负责承包人所辖工地的施工安全工作，杜绝重大安全事故的发生。并于每月固定时间向监理人提交本月安全报告。</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4.6.9承包人在雇用民工时，按月向发包人报用工名单和工资单，必须与雇用民工签订用工合同，标明工种、工作范围、权力、义务、报酬（劳保、福利、养老统筹、保险等），标明结算方式、付款期限，最后标明发包人有权将工程进度款优先付给雇佣民工，并报发包人备案。</w:t>
      </w:r>
    </w:p>
    <w:p>
      <w:pPr>
        <w:pStyle w:val="41"/>
        <w:spacing w:line="360" w:lineRule="auto"/>
        <w:rPr>
          <w:rFonts w:hint="eastAsia" w:ascii="宋体" w:hAnsi="宋体" w:eastAsia="宋体" w:cs="宋体"/>
          <w:b/>
          <w:sz w:val="24"/>
          <w:szCs w:val="24"/>
        </w:rPr>
      </w:pPr>
      <w:bookmarkStart w:id="563" w:name="_Toc221951158"/>
      <w:r>
        <w:rPr>
          <w:rFonts w:hint="eastAsia" w:ascii="宋体" w:hAnsi="宋体" w:eastAsia="宋体" w:cs="宋体"/>
          <w:b/>
          <w:sz w:val="24"/>
          <w:szCs w:val="24"/>
        </w:rPr>
        <w:t>4.11  不利物质条件</w:t>
      </w:r>
      <w:bookmarkEnd w:id="563"/>
      <w:r>
        <w:rPr>
          <w:rFonts w:hint="eastAsia" w:ascii="宋体" w:hAnsi="宋体" w:eastAsia="宋体" w:cs="宋体"/>
          <w:b/>
          <w:sz w:val="24"/>
          <w:szCs w:val="24"/>
        </w:rPr>
        <w:t>如遇承包人恶意拖欠、克扣农民工工资的行为，承包人应向发包人支付违约金1万元。并于本合同签订时承包人同意，对已拖欠的民工工资由发包人从承包人工程款中扣除直接支付债权人，且应由承包人出具等额的有效发票。</w:t>
      </w:r>
    </w:p>
    <w:p>
      <w:pPr>
        <w:spacing w:line="360" w:lineRule="auto"/>
        <w:ind w:firstLine="480" w:firstLineChars="200"/>
        <w:rPr>
          <w:rFonts w:hint="eastAsia" w:ascii="宋体" w:hAnsi="宋体" w:eastAsia="宋体" w:cs="宋体"/>
          <w:sz w:val="24"/>
          <w:szCs w:val="24"/>
        </w:rPr>
      </w:pPr>
      <w:bookmarkStart w:id="564" w:name="_Toc221951159"/>
      <w:r>
        <w:rPr>
          <w:rFonts w:hint="eastAsia" w:ascii="宋体" w:hAnsi="宋体" w:eastAsia="宋体" w:cs="宋体"/>
          <w:sz w:val="24"/>
          <w:szCs w:val="24"/>
        </w:rPr>
        <w:t>4.11.1 不利物质条件的范围：</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bookmarkEnd w:id="564"/>
    </w:p>
    <w:p>
      <w:pPr>
        <w:pStyle w:val="3"/>
        <w:keepNext w:val="0"/>
        <w:keepLines w:val="0"/>
        <w:rPr>
          <w:rFonts w:hint="eastAsia" w:ascii="宋体" w:hAnsi="宋体" w:eastAsia="宋体" w:cs="宋体"/>
          <w:sz w:val="24"/>
          <w:szCs w:val="24"/>
        </w:rPr>
      </w:pPr>
      <w:bookmarkStart w:id="565" w:name="_Toc480213194"/>
      <w:bookmarkStart w:id="566" w:name="_Toc482807204"/>
      <w:bookmarkStart w:id="567" w:name="_Toc480213763"/>
      <w:bookmarkStart w:id="568" w:name="_Toc479701854"/>
      <w:r>
        <w:rPr>
          <w:rFonts w:hint="eastAsia" w:ascii="宋体" w:hAnsi="宋体" w:eastAsia="宋体" w:cs="宋体"/>
          <w:sz w:val="24"/>
          <w:szCs w:val="24"/>
        </w:rPr>
        <w:t>5．材料和工程设备</w:t>
      </w:r>
      <w:bookmarkEnd w:id="565"/>
      <w:bookmarkEnd w:id="566"/>
      <w:bookmarkEnd w:id="567"/>
      <w:bookmarkEnd w:id="568"/>
    </w:p>
    <w:p>
      <w:pPr>
        <w:spacing w:line="360" w:lineRule="auto"/>
        <w:rPr>
          <w:rFonts w:hint="eastAsia" w:ascii="宋体" w:hAnsi="宋体" w:eastAsia="宋体" w:cs="宋体"/>
          <w:b/>
          <w:sz w:val="24"/>
          <w:szCs w:val="24"/>
        </w:rPr>
      </w:pPr>
      <w:bookmarkStart w:id="569" w:name="_Toc224362568"/>
      <w:bookmarkStart w:id="570" w:name="_Toc225595245"/>
      <w:bookmarkStart w:id="571" w:name="_Toc224398472"/>
      <w:bookmarkStart w:id="572" w:name="_Toc264888975"/>
      <w:bookmarkStart w:id="573" w:name="_Toc225580522"/>
      <w:bookmarkStart w:id="574" w:name="_Toc228855497"/>
      <w:bookmarkStart w:id="575" w:name="_Toc229554524"/>
      <w:r>
        <w:rPr>
          <w:rFonts w:hint="eastAsia" w:ascii="宋体" w:hAnsi="宋体" w:eastAsia="宋体" w:cs="宋体"/>
          <w:b/>
          <w:sz w:val="24"/>
          <w:szCs w:val="24"/>
        </w:rPr>
        <w:t>5.2  材料和工程设备的提供</w:t>
      </w:r>
      <w:bookmarkEnd w:id="569"/>
      <w:bookmarkEnd w:id="570"/>
      <w:bookmarkEnd w:id="571"/>
      <w:bookmarkEnd w:id="572"/>
      <w:bookmarkEnd w:id="573"/>
      <w:bookmarkEnd w:id="574"/>
      <w:bookmarkEnd w:id="575"/>
    </w:p>
    <w:p>
      <w:pPr>
        <w:autoSpaceDE w:val="0"/>
        <w:autoSpaceDN w:val="0"/>
        <w:adjustRightInd w:val="0"/>
        <w:spacing w:line="360" w:lineRule="auto"/>
        <w:jc w:val="left"/>
        <w:rPr>
          <w:rFonts w:hint="eastAsia" w:ascii="宋体" w:hAnsi="宋体" w:eastAsia="宋体" w:cs="宋体"/>
          <w:bCs/>
          <w:sz w:val="24"/>
          <w:szCs w:val="24"/>
        </w:rPr>
      </w:pPr>
      <w:r>
        <w:rPr>
          <w:rFonts w:hint="eastAsia" w:ascii="宋体" w:hAnsi="宋体" w:eastAsia="宋体" w:cs="宋体"/>
          <w:b/>
          <w:sz w:val="24"/>
          <w:szCs w:val="24"/>
        </w:rPr>
        <w:t>5.2.1</w:t>
      </w:r>
      <w:r>
        <w:rPr>
          <w:rFonts w:hint="eastAsia" w:ascii="宋体" w:hAnsi="宋体" w:eastAsia="宋体" w:cs="宋体"/>
          <w:bCs/>
          <w:sz w:val="24"/>
          <w:szCs w:val="24"/>
        </w:rPr>
        <w:t>增：发包人提供的材料和工程设备见下表：</w:t>
      </w:r>
    </w:p>
    <w:p>
      <w:pPr>
        <w:autoSpaceDE w:val="0"/>
        <w:autoSpaceDN w:val="0"/>
        <w:adjustRightIn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发包人提供的材料表（参考格式）</w:t>
      </w:r>
    </w:p>
    <w:tbl>
      <w:tblPr>
        <w:tblStyle w:val="1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2"/>
        <w:gridCol w:w="1232"/>
        <w:gridCol w:w="1232"/>
        <w:gridCol w:w="1231"/>
        <w:gridCol w:w="1232"/>
        <w:gridCol w:w="1538"/>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231"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232"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材料名称</w:t>
            </w:r>
          </w:p>
        </w:tc>
        <w:tc>
          <w:tcPr>
            <w:tcW w:w="1232"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材料规格</w:t>
            </w:r>
          </w:p>
        </w:tc>
        <w:tc>
          <w:tcPr>
            <w:tcW w:w="1232"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231"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交货地点</w:t>
            </w:r>
          </w:p>
        </w:tc>
        <w:tc>
          <w:tcPr>
            <w:tcW w:w="1232"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交货方式</w:t>
            </w:r>
          </w:p>
        </w:tc>
        <w:tc>
          <w:tcPr>
            <w:tcW w:w="1538"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计划交货日期</w:t>
            </w:r>
          </w:p>
        </w:tc>
        <w:tc>
          <w:tcPr>
            <w:tcW w:w="926"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231"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1"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538"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926"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231"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1"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538"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926"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231"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1"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538"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926"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bl>
    <w:p>
      <w:pPr>
        <w:autoSpaceDE w:val="0"/>
        <w:autoSpaceDN w:val="0"/>
        <w:adjustRightInd w:val="0"/>
        <w:spacing w:line="360" w:lineRule="auto"/>
        <w:jc w:val="center"/>
        <w:rPr>
          <w:rFonts w:hint="eastAsia" w:ascii="宋体" w:hAnsi="宋体" w:eastAsia="宋体" w:cs="宋体"/>
          <w:b/>
          <w:bCs/>
          <w:sz w:val="24"/>
          <w:szCs w:val="24"/>
        </w:rPr>
      </w:pPr>
    </w:p>
    <w:p>
      <w:pPr>
        <w:autoSpaceDE w:val="0"/>
        <w:autoSpaceDN w:val="0"/>
        <w:adjustRightIn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发包人提供的工程设备表（参考格式）</w:t>
      </w:r>
    </w:p>
    <w:tbl>
      <w:tblPr>
        <w:tblStyle w:val="1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2"/>
        <w:gridCol w:w="1232"/>
        <w:gridCol w:w="1232"/>
        <w:gridCol w:w="1231"/>
        <w:gridCol w:w="1232"/>
        <w:gridCol w:w="1538"/>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1231"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232"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bCs/>
                <w:sz w:val="24"/>
                <w:szCs w:val="24"/>
              </w:rPr>
              <w:t>工程设备</w:t>
            </w:r>
            <w:r>
              <w:rPr>
                <w:rFonts w:hint="eastAsia" w:ascii="宋体" w:hAnsi="宋体" w:eastAsia="宋体" w:cs="宋体"/>
                <w:kern w:val="0"/>
                <w:sz w:val="24"/>
                <w:szCs w:val="24"/>
              </w:rPr>
              <w:t>名称</w:t>
            </w:r>
          </w:p>
        </w:tc>
        <w:tc>
          <w:tcPr>
            <w:tcW w:w="1232"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型号及  规格</w:t>
            </w:r>
          </w:p>
        </w:tc>
        <w:tc>
          <w:tcPr>
            <w:tcW w:w="1232"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231"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交货地点</w:t>
            </w:r>
          </w:p>
        </w:tc>
        <w:tc>
          <w:tcPr>
            <w:tcW w:w="1232"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交货方式</w:t>
            </w:r>
          </w:p>
        </w:tc>
        <w:tc>
          <w:tcPr>
            <w:tcW w:w="1538"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计划交货日期</w:t>
            </w:r>
          </w:p>
        </w:tc>
        <w:tc>
          <w:tcPr>
            <w:tcW w:w="926" w:type="dxa"/>
            <w:noWrap w:val="0"/>
            <w:vAlign w:val="center"/>
          </w:tcPr>
          <w:p>
            <w:pPr>
              <w:autoSpaceDE w:val="0"/>
              <w:autoSpaceDN w:val="0"/>
              <w:adjustRightInd w:val="0"/>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231"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1"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538"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926"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231"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1"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538"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926"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1231"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1"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232"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1538"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c>
          <w:tcPr>
            <w:tcW w:w="926" w:type="dxa"/>
            <w:noWrap w:val="0"/>
            <w:vAlign w:val="top"/>
          </w:tcPr>
          <w:p>
            <w:pPr>
              <w:autoSpaceDE w:val="0"/>
              <w:autoSpaceDN w:val="0"/>
              <w:adjustRightInd w:val="0"/>
              <w:spacing w:line="360" w:lineRule="auto"/>
              <w:jc w:val="left"/>
              <w:rPr>
                <w:rFonts w:hint="eastAsia" w:ascii="宋体" w:hAnsi="宋体" w:eastAsia="宋体" w:cs="宋体"/>
                <w:kern w:val="0"/>
                <w:sz w:val="24"/>
                <w:szCs w:val="24"/>
              </w:rPr>
            </w:pPr>
          </w:p>
        </w:tc>
      </w:tr>
    </w:tbl>
    <w:p>
      <w:pPr>
        <w:snapToGrid w:val="0"/>
        <w:spacing w:line="360" w:lineRule="auto"/>
        <w:rPr>
          <w:rFonts w:hint="eastAsia" w:ascii="宋体" w:hAnsi="宋体" w:eastAsia="宋体" w:cs="宋体"/>
          <w:bCs/>
          <w:sz w:val="24"/>
          <w:szCs w:val="24"/>
        </w:rPr>
      </w:pPr>
      <w:r>
        <w:rPr>
          <w:rFonts w:hint="eastAsia" w:ascii="宋体" w:hAnsi="宋体" w:eastAsia="宋体" w:cs="宋体"/>
          <w:b/>
          <w:sz w:val="24"/>
          <w:szCs w:val="24"/>
        </w:rPr>
        <w:t xml:space="preserve">5.2.3 </w:t>
      </w:r>
      <w:r>
        <w:rPr>
          <w:rFonts w:hint="eastAsia" w:ascii="宋体" w:hAnsi="宋体" w:eastAsia="宋体" w:cs="宋体"/>
          <w:bCs/>
          <w:sz w:val="24"/>
          <w:szCs w:val="24"/>
        </w:rPr>
        <w:t>增：除合同中另有规定，无论是发包人指定供应来源的还是承包人自行采购拉运的材料（发包人指定供应来源的材料），承包人均应负责所有材料和工程设备的采购、验收、运输和保管等，并承担上述工作所需的全部费用。要求由承包人自行采购（准备）的建筑材料在同等条件下应优先考虑使用当地的材料。</w:t>
      </w:r>
    </w:p>
    <w:p>
      <w:pPr>
        <w:pStyle w:val="3"/>
        <w:keepNext w:val="0"/>
        <w:keepLines w:val="0"/>
        <w:rPr>
          <w:rFonts w:hint="eastAsia" w:ascii="宋体" w:hAnsi="宋体" w:eastAsia="宋体" w:cs="宋体"/>
          <w:b w:val="0"/>
          <w:bCs w:val="0"/>
          <w:sz w:val="24"/>
          <w:szCs w:val="24"/>
        </w:rPr>
      </w:pPr>
      <w:bookmarkStart w:id="576" w:name="_Toc225315797"/>
      <w:bookmarkStart w:id="577" w:name="_Toc229554525"/>
      <w:bookmarkStart w:id="578" w:name="_Toc480213195"/>
      <w:bookmarkStart w:id="579" w:name="_Toc441856008"/>
      <w:bookmarkStart w:id="580" w:name="_Toc228855498"/>
      <w:bookmarkStart w:id="581" w:name="_Toc409179019"/>
      <w:bookmarkStart w:id="582" w:name="_Toc225595246"/>
      <w:bookmarkStart w:id="583" w:name="_Toc264888976"/>
      <w:bookmarkStart w:id="584" w:name="_Toc482807205"/>
      <w:bookmarkStart w:id="585" w:name="_Toc479701855"/>
      <w:bookmarkStart w:id="586" w:name="_Toc409524581"/>
      <w:bookmarkStart w:id="587" w:name="_Toc224797652"/>
      <w:bookmarkStart w:id="588" w:name="_Toc409092028"/>
      <w:bookmarkStart w:id="589" w:name="_Toc225314593"/>
      <w:bookmarkStart w:id="590" w:name="_Toc480213764"/>
      <w:r>
        <w:rPr>
          <w:rFonts w:hint="eastAsia" w:ascii="宋体" w:hAnsi="宋体" w:eastAsia="宋体" w:cs="宋体"/>
          <w:sz w:val="24"/>
          <w:szCs w:val="24"/>
        </w:rPr>
        <w:t>6．施工设备和临时设施</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pPr>
        <w:spacing w:line="360" w:lineRule="auto"/>
        <w:rPr>
          <w:rFonts w:hint="eastAsia" w:ascii="宋体" w:hAnsi="宋体" w:eastAsia="宋体" w:cs="宋体"/>
          <w:b/>
          <w:sz w:val="24"/>
          <w:szCs w:val="24"/>
        </w:rPr>
      </w:pPr>
      <w:bookmarkStart w:id="591" w:name="_Toc224797653"/>
      <w:bookmarkStart w:id="592" w:name="_Toc224362569"/>
      <w:bookmarkStart w:id="593" w:name="_Toc225315798"/>
      <w:bookmarkStart w:id="594" w:name="_Toc225314594"/>
      <w:r>
        <w:rPr>
          <w:rFonts w:hint="eastAsia" w:ascii="宋体" w:hAnsi="宋体" w:eastAsia="宋体" w:cs="宋体"/>
          <w:b/>
          <w:sz w:val="24"/>
          <w:szCs w:val="24"/>
        </w:rPr>
        <w:t>6.1 承包人提供的施工设备和临时设施</w:t>
      </w:r>
    </w:p>
    <w:p>
      <w:pPr>
        <w:spacing w:line="360" w:lineRule="auto"/>
        <w:rPr>
          <w:rFonts w:hint="eastAsia" w:ascii="宋体" w:hAnsi="宋体" w:eastAsia="宋体" w:cs="宋体"/>
          <w:sz w:val="24"/>
          <w:szCs w:val="24"/>
        </w:rPr>
      </w:pPr>
      <w:r>
        <w:rPr>
          <w:rFonts w:hint="eastAsia" w:ascii="宋体" w:hAnsi="宋体" w:eastAsia="宋体" w:cs="宋体"/>
          <w:sz w:val="24"/>
          <w:szCs w:val="24"/>
        </w:rPr>
        <w:t>本款补充：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6.1.5承包人的各种机械设备不能按投标文件所列的时间按期足额完好到场并严重影响工期时，发包人将指示监理人进行标段切割，由于切割所造成的差价应由承包人承担；必要时，发包人还将清退承包人，并报请有关部门予以通报；由于清退而引起的一切经济损失均由承包人承担（其中含承包人的自身损失和发包人需重新寻选施工单位、进行工程维护，对施工场地进行植护、尾工价格差异等一系列工期与经济连带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6.1.6承包人的主要施工设备、试验检测仪器等专用于本合同工程，调出这些设备、仪器时必须征得发包人同意。</w:t>
      </w:r>
    </w:p>
    <w:bookmarkEnd w:id="591"/>
    <w:bookmarkEnd w:id="592"/>
    <w:bookmarkEnd w:id="593"/>
    <w:bookmarkEnd w:id="594"/>
    <w:p>
      <w:pPr>
        <w:pStyle w:val="3"/>
        <w:keepNext w:val="0"/>
        <w:keepLines w:val="0"/>
        <w:rPr>
          <w:rFonts w:hint="eastAsia" w:ascii="宋体" w:hAnsi="宋体" w:eastAsia="宋体" w:cs="宋体"/>
          <w:sz w:val="24"/>
          <w:szCs w:val="24"/>
        </w:rPr>
      </w:pPr>
      <w:bookmarkStart w:id="595" w:name="_Toc482807206"/>
      <w:bookmarkStart w:id="596" w:name="_Toc480213765"/>
      <w:bookmarkStart w:id="597" w:name="_Toc480213196"/>
      <w:bookmarkStart w:id="598" w:name="_Toc479701856"/>
      <w:r>
        <w:rPr>
          <w:rFonts w:hint="eastAsia" w:ascii="宋体" w:hAnsi="宋体" w:eastAsia="宋体" w:cs="宋体"/>
          <w:sz w:val="24"/>
          <w:szCs w:val="24"/>
        </w:rPr>
        <w:t>7   交通运输</w:t>
      </w:r>
      <w:bookmarkEnd w:id="595"/>
      <w:bookmarkEnd w:id="596"/>
      <w:bookmarkEnd w:id="597"/>
      <w:bookmarkEnd w:id="598"/>
    </w:p>
    <w:p>
      <w:pPr>
        <w:pStyle w:val="5"/>
        <w:keepNext w:val="0"/>
        <w:keepLines w:val="0"/>
        <w:rPr>
          <w:rFonts w:hint="eastAsia" w:ascii="宋体" w:hAnsi="宋体" w:eastAsia="宋体" w:cs="宋体"/>
          <w:sz w:val="24"/>
          <w:szCs w:val="24"/>
        </w:rPr>
      </w:pPr>
      <w:bookmarkStart w:id="599" w:name="_Toc221951179"/>
      <w:r>
        <w:rPr>
          <w:rFonts w:hint="eastAsia" w:ascii="宋体" w:hAnsi="宋体" w:eastAsia="宋体" w:cs="宋体"/>
          <w:sz w:val="24"/>
          <w:szCs w:val="24"/>
        </w:rPr>
        <w:t>7.1  道路通行权和场外设施</w:t>
      </w:r>
      <w:bookmarkEnd w:id="599"/>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rPr>
        <w:t>道路通行权和场外设施的约定</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bCs/>
          <w:sz w:val="24"/>
          <w:szCs w:val="24"/>
          <w:u w:val="single"/>
        </w:rPr>
        <w:t xml:space="preserve"> 执行有关标准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41"/>
        <w:spacing w:line="360" w:lineRule="auto"/>
        <w:rPr>
          <w:rFonts w:hint="eastAsia" w:ascii="宋体" w:hAnsi="宋体" w:eastAsia="宋体" w:cs="宋体"/>
          <w:b/>
          <w:sz w:val="24"/>
          <w:szCs w:val="24"/>
        </w:rPr>
      </w:pPr>
      <w:r>
        <w:rPr>
          <w:rFonts w:hint="eastAsia" w:ascii="宋体" w:hAnsi="宋体" w:eastAsia="宋体" w:cs="宋体"/>
          <w:b/>
          <w:sz w:val="24"/>
          <w:szCs w:val="24"/>
        </w:rPr>
        <w:t>7.4 超大件和超重件的运输</w:t>
      </w:r>
    </w:p>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发包人不分担超大件和超重件的运输费用。</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7.6 水路运输</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本项目不存在水路运输</w:t>
      </w:r>
    </w:p>
    <w:p>
      <w:pPr>
        <w:pStyle w:val="3"/>
        <w:keepNext w:val="0"/>
        <w:keepLines w:val="0"/>
        <w:rPr>
          <w:rFonts w:hint="eastAsia" w:ascii="宋体" w:hAnsi="宋体" w:eastAsia="宋体" w:cs="宋体"/>
          <w:sz w:val="24"/>
          <w:szCs w:val="24"/>
        </w:rPr>
      </w:pPr>
      <w:bookmarkStart w:id="600" w:name="_Toc479701857"/>
      <w:bookmarkStart w:id="601" w:name="_Toc482807207"/>
      <w:bookmarkStart w:id="602" w:name="_Toc480213766"/>
      <w:bookmarkStart w:id="603" w:name="_Toc480213197"/>
      <w:r>
        <w:rPr>
          <w:rFonts w:hint="eastAsia" w:ascii="宋体" w:hAnsi="宋体" w:eastAsia="宋体" w:cs="宋体"/>
          <w:sz w:val="24"/>
          <w:szCs w:val="24"/>
        </w:rPr>
        <w:t>8 测量放线</w:t>
      </w:r>
      <w:bookmarkEnd w:id="600"/>
      <w:bookmarkEnd w:id="601"/>
      <w:bookmarkEnd w:id="602"/>
      <w:bookmarkEnd w:id="603"/>
    </w:p>
    <w:p>
      <w:pPr>
        <w:spacing w:line="360" w:lineRule="auto"/>
        <w:rPr>
          <w:rFonts w:hint="eastAsia" w:ascii="宋体" w:hAnsi="宋体" w:eastAsia="宋体" w:cs="宋体"/>
          <w:b/>
          <w:sz w:val="24"/>
          <w:szCs w:val="24"/>
        </w:rPr>
      </w:pPr>
      <w:r>
        <w:rPr>
          <w:rFonts w:hint="eastAsia" w:ascii="宋体" w:hAnsi="宋体" w:eastAsia="宋体" w:cs="宋体"/>
          <w:b/>
          <w:sz w:val="24"/>
          <w:szCs w:val="24"/>
        </w:rPr>
        <w:t>8.1　施工控制网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8.1.1 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8.1.2 承包人应负责管理施工控制网点。施工控制网点丢失或损坏的，承包人应及时修复。承包人应承担施工控制网点的管理与修复费用，并在工程竣工后将施工控制网点移交发包人。</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8.2 施工测量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8.2.1 承包人应负责施工过程中的全部施工测量放线工作，并配置合格的人员、仪器、设备和其他物品。</w:t>
      </w:r>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8.2.2 监理人可以指示承包人进行抽样复测，当复测中发现错误或出现超过合同约定的误差时，承包人应按监理人指示进行修正或补测，并承担相应的复测费用。</w:t>
      </w:r>
    </w:p>
    <w:p>
      <w:pPr>
        <w:pStyle w:val="3"/>
        <w:keepNext w:val="0"/>
        <w:keepLines w:val="0"/>
        <w:rPr>
          <w:rFonts w:hint="eastAsia" w:ascii="宋体" w:hAnsi="宋体" w:eastAsia="宋体" w:cs="宋体"/>
          <w:sz w:val="24"/>
          <w:szCs w:val="24"/>
        </w:rPr>
      </w:pPr>
      <w:bookmarkStart w:id="604" w:name="_Toc479701858"/>
      <w:bookmarkStart w:id="605" w:name="_Toc480213198"/>
      <w:bookmarkStart w:id="606" w:name="_Toc482807208"/>
      <w:bookmarkStart w:id="607" w:name="_Toc480213767"/>
      <w:r>
        <w:rPr>
          <w:rFonts w:hint="eastAsia" w:ascii="宋体" w:hAnsi="宋体" w:eastAsia="宋体" w:cs="宋体"/>
          <w:sz w:val="24"/>
          <w:szCs w:val="24"/>
        </w:rPr>
        <w:t>9　施工安全、治安保卫和环境保护</w:t>
      </w:r>
      <w:bookmarkEnd w:id="604"/>
      <w:bookmarkEnd w:id="605"/>
      <w:bookmarkEnd w:id="606"/>
      <w:bookmarkEnd w:id="607"/>
    </w:p>
    <w:p>
      <w:pPr>
        <w:spacing w:line="360" w:lineRule="auto"/>
        <w:rPr>
          <w:rFonts w:hint="eastAsia" w:ascii="宋体" w:hAnsi="宋体" w:eastAsia="宋体" w:cs="宋体"/>
          <w:b/>
          <w:sz w:val="24"/>
          <w:szCs w:val="24"/>
        </w:rPr>
      </w:pPr>
      <w:r>
        <w:rPr>
          <w:rFonts w:hint="eastAsia" w:ascii="宋体" w:hAnsi="宋体" w:eastAsia="宋体" w:cs="宋体"/>
          <w:b/>
          <w:sz w:val="24"/>
          <w:szCs w:val="24"/>
        </w:rPr>
        <w:t>9.1　发包人的施工安全责任</w:t>
      </w:r>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sz w:val="24"/>
          <w:szCs w:val="24"/>
        </w:rPr>
        <w:t>9.1.4　发包人提供</w:t>
      </w:r>
      <w:r>
        <w:rPr>
          <w:rFonts w:hint="eastAsia" w:ascii="宋体" w:hAnsi="宋体" w:eastAsia="宋体" w:cs="宋体"/>
          <w:sz w:val="24"/>
          <w:szCs w:val="24"/>
          <w:u w:val="single"/>
        </w:rPr>
        <w:t xml:space="preserve">      1套       </w:t>
      </w:r>
      <w:r>
        <w:rPr>
          <w:rFonts w:hint="eastAsia" w:ascii="宋体" w:hAnsi="宋体" w:eastAsia="宋体" w:cs="宋体"/>
          <w:sz w:val="24"/>
          <w:szCs w:val="24"/>
        </w:rPr>
        <w:t>资料，其余资料由承包人负责收集</w:t>
      </w:r>
      <w:r>
        <w:rPr>
          <w:rFonts w:hint="eastAsia" w:ascii="宋体" w:hAnsi="宋体" w:eastAsia="宋体" w:cs="宋体"/>
          <w:kern w:val="0"/>
          <w:sz w:val="24"/>
          <w:szCs w:val="24"/>
        </w:rPr>
        <w:t>。</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9.2 承包人的施工安全责任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9.2.1 承包人应按合同约定履行安全职责，执行监理人有关安全工作的指示，并在专用合同条款约定的期限内，按合同约定的安全工作内容，编制施工安全措施计划报送监理人审批。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9.2.2 承包人应加强施工作业安全管理，特别应加强易燃、易爆材料、火工器材、有毒与腐蚀性材料和其他危险品的管理，以及对爆破作业和地下工程施工等危险作业的管理。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9.2.3 承包人应严格按照国家安全标准制定施工安全操作规程，配备必要的安全生产和劳动保护设施，加强对承包人人员的安全教育，并发放安全工作手册和劳动保护用具。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9.2.4 承包人应按监理人的指示制定应对灾害的紧急预案，报送监理人审批。承包人还应按预案做好安全检查，配置必要的救助物资和器材，切实保护好有关人员的人身和财产安全。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9.2.5 合同约定的安全作业环境及安全施工措施所需费用应遵守有关规定，并包括在相关工作的合同价格中。因采取合同未约定的安全作业环境及安全施工措施增加的费用，由监理人按第3.5 款商定或确定。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9.2.6 承包人应对其履行合同所雇佣的全部人员，包括分包人人员的工伤事故承担责任，但由于发包人原因造成承包人人员工伤事故的，应由发包人承担责任。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9.2.7 由于承包人原因在施工场地内及其毗邻地带造成的第三者人员伤亡和财产损失，由承包人负责赔偿。</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9.3 治安保卫</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9.3.1 除合同另有约定外，发包人应与当地公安部门协商，在现场建立治安管理机构或联防组织，统一管理施工场地的治安保卫事项，履行合同工程的治安保卫职责。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9.3.2 发包人和承包人除应协助现场治安管理机构或联防组织维护施工场地的社会治安外，还应做好包括生活区在内的各自管辖区的治安保卫工作。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9.4 环境保护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9.4.1 承包人在施工过程中，应遵守有关环境保护的法律，履行合同约定的环境保护义务，并对违反法律和合同约定义务所造成的环境破坏、人身伤害和财产损失负责。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9.4.2 承包人应按合同约定的环保工作内容，编制施工环保措施计划，报送监理人审批。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9.4.4 承包人应按合同约定采取有效措施，对施工开挖的边坡及时进行支护，维护排水设施，并进行水土保护，避免因施工造成的地质灾害。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9.4.5 承包人应按国家饮用水管理标准定期对饮用水源进行监测，防止施工活动污染饮用水源。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9.4.6 承包人应按合同约定，加强对噪声、粉尘、废气、废水和废油的控制，努力降低噪声，控制粉尘和废气浓度，做好废水和废油的治理和排放。</w:t>
      </w:r>
    </w:p>
    <w:p>
      <w:pPr>
        <w:pStyle w:val="6"/>
        <w:keepNext w:val="0"/>
        <w:keepLines w:val="0"/>
        <w:jc w:val="both"/>
        <w:rPr>
          <w:rFonts w:hint="eastAsia" w:ascii="宋体" w:hAnsi="宋体" w:eastAsia="宋体" w:cs="宋体"/>
          <w:sz w:val="24"/>
          <w:szCs w:val="24"/>
        </w:rPr>
      </w:pPr>
      <w:r>
        <w:rPr>
          <w:rFonts w:hint="eastAsia" w:ascii="宋体" w:hAnsi="宋体" w:eastAsia="宋体" w:cs="宋体"/>
          <w:sz w:val="24"/>
          <w:szCs w:val="24"/>
        </w:rPr>
        <w:t>9.5 事故处理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pStyle w:val="5"/>
        <w:keepNext w:val="0"/>
        <w:keepLines w:val="0"/>
        <w:rPr>
          <w:rFonts w:hint="eastAsia" w:ascii="宋体" w:hAnsi="宋体" w:eastAsia="宋体" w:cs="宋体"/>
          <w:sz w:val="24"/>
          <w:szCs w:val="24"/>
        </w:rPr>
      </w:pPr>
      <w:r>
        <w:rPr>
          <w:rFonts w:hint="eastAsia" w:ascii="宋体" w:hAnsi="宋体" w:eastAsia="宋体" w:cs="宋体"/>
          <w:sz w:val="24"/>
          <w:szCs w:val="24"/>
        </w:rPr>
        <w:t>9.7 文明工地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9.7.1 本合同文明工地的约定：</w:t>
      </w:r>
      <w:r>
        <w:rPr>
          <w:rFonts w:hint="eastAsia" w:ascii="宋体" w:hAnsi="宋体" w:eastAsia="宋体" w:cs="宋体"/>
          <w:sz w:val="24"/>
          <w:szCs w:val="24"/>
          <w:u w:val="single"/>
        </w:rPr>
        <w:t xml:space="preserve"> 符合有关规定及标准    </w:t>
      </w:r>
    </w:p>
    <w:p>
      <w:pPr>
        <w:pStyle w:val="3"/>
        <w:keepNext w:val="0"/>
        <w:keepLines w:val="0"/>
        <w:rPr>
          <w:rFonts w:hint="eastAsia" w:ascii="宋体" w:hAnsi="宋体" w:eastAsia="宋体" w:cs="宋体"/>
          <w:sz w:val="24"/>
          <w:szCs w:val="24"/>
        </w:rPr>
      </w:pPr>
      <w:bookmarkStart w:id="608" w:name="_Toc480213199"/>
      <w:bookmarkStart w:id="609" w:name="_Toc482807209"/>
      <w:bookmarkStart w:id="610" w:name="_Toc229554526"/>
      <w:bookmarkStart w:id="611" w:name="_Toc225314595"/>
      <w:bookmarkStart w:id="612" w:name="_Toc479701859"/>
      <w:bookmarkStart w:id="613" w:name="_Toc225595247"/>
      <w:bookmarkStart w:id="614" w:name="_Toc225315799"/>
      <w:bookmarkStart w:id="615" w:name="_Toc480213768"/>
      <w:bookmarkStart w:id="616" w:name="_Toc224797654"/>
      <w:bookmarkStart w:id="617" w:name="_Toc228855499"/>
      <w:bookmarkStart w:id="618" w:name="_Toc224362570"/>
      <w:r>
        <w:rPr>
          <w:rFonts w:hint="eastAsia" w:ascii="宋体" w:hAnsi="宋体" w:eastAsia="宋体" w:cs="宋体"/>
          <w:sz w:val="24"/>
          <w:szCs w:val="24"/>
        </w:rPr>
        <w:t>10  进度计划</w:t>
      </w:r>
      <w:bookmarkEnd w:id="608"/>
      <w:bookmarkEnd w:id="609"/>
      <w:bookmarkEnd w:id="610"/>
      <w:bookmarkEnd w:id="611"/>
      <w:bookmarkEnd w:id="612"/>
      <w:bookmarkEnd w:id="613"/>
      <w:bookmarkEnd w:id="614"/>
      <w:bookmarkEnd w:id="615"/>
      <w:bookmarkEnd w:id="616"/>
      <w:bookmarkEnd w:id="617"/>
      <w:bookmarkEnd w:id="618"/>
    </w:p>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10.1 </w:t>
      </w:r>
      <w:r>
        <w:rPr>
          <w:rFonts w:hint="eastAsia" w:ascii="宋体" w:hAnsi="宋体" w:eastAsia="宋体" w:cs="宋体"/>
          <w:sz w:val="24"/>
          <w:szCs w:val="24"/>
        </w:rPr>
        <w:t>内容主要包括:施工进度组织安排、横道图、网络图、施工方案等；期限为进场后7天内。</w:t>
      </w:r>
    </w:p>
    <w:p>
      <w:pPr>
        <w:spacing w:line="360" w:lineRule="auto"/>
        <w:rPr>
          <w:rFonts w:hint="eastAsia" w:ascii="宋体" w:hAnsi="宋体" w:eastAsia="宋体" w:cs="宋体"/>
          <w:bCs/>
          <w:sz w:val="24"/>
          <w:szCs w:val="24"/>
        </w:rPr>
      </w:pPr>
      <w:r>
        <w:rPr>
          <w:rFonts w:hint="eastAsia" w:ascii="宋体" w:hAnsi="宋体" w:eastAsia="宋体" w:cs="宋体"/>
          <w:b/>
          <w:bCs/>
          <w:sz w:val="24"/>
          <w:szCs w:val="24"/>
        </w:rPr>
        <w:t>10.2</w:t>
      </w:r>
      <w:r>
        <w:rPr>
          <w:rFonts w:hint="eastAsia" w:ascii="宋体" w:hAnsi="宋体" w:eastAsia="宋体" w:cs="宋体"/>
          <w:bCs/>
          <w:sz w:val="24"/>
          <w:szCs w:val="24"/>
        </w:rPr>
        <w:t xml:space="preserve"> 向监理人提交修订合同进度计划的申请报告约定的期限为“7天”。</w:t>
      </w:r>
    </w:p>
    <w:p>
      <w:pPr>
        <w:pStyle w:val="3"/>
        <w:keepNext w:val="0"/>
        <w:keepLines w:val="0"/>
        <w:rPr>
          <w:rFonts w:hint="eastAsia" w:ascii="宋体" w:hAnsi="宋体" w:eastAsia="宋体" w:cs="宋体"/>
          <w:sz w:val="24"/>
          <w:szCs w:val="24"/>
        </w:rPr>
      </w:pPr>
      <w:bookmarkStart w:id="619" w:name="_Toc228855502"/>
      <w:bookmarkStart w:id="620" w:name="_Toc225595250"/>
      <w:bookmarkStart w:id="621" w:name="_Toc225580527"/>
      <w:bookmarkStart w:id="622" w:name="_Toc224398477"/>
      <w:bookmarkStart w:id="623" w:name="_Toc224362573"/>
      <w:bookmarkStart w:id="624" w:name="_Toc229554529"/>
      <w:bookmarkStart w:id="625" w:name="_Toc479701860"/>
      <w:bookmarkStart w:id="626" w:name="_Toc482807210"/>
      <w:bookmarkStart w:id="627" w:name="_Toc480213769"/>
      <w:bookmarkStart w:id="628" w:name="_Toc480213200"/>
      <w:r>
        <w:rPr>
          <w:rFonts w:hint="eastAsia" w:ascii="宋体" w:hAnsi="宋体" w:eastAsia="宋体" w:cs="宋体"/>
          <w:sz w:val="24"/>
          <w:szCs w:val="24"/>
        </w:rPr>
        <w:t>11  工程开工和竣工</w:t>
      </w:r>
      <w:bookmarkEnd w:id="619"/>
      <w:bookmarkEnd w:id="620"/>
      <w:bookmarkEnd w:id="621"/>
      <w:bookmarkEnd w:id="622"/>
      <w:bookmarkEnd w:id="623"/>
      <w:bookmarkEnd w:id="624"/>
      <w:r>
        <w:rPr>
          <w:rFonts w:hint="eastAsia" w:ascii="宋体" w:hAnsi="宋体" w:eastAsia="宋体" w:cs="宋体"/>
          <w:sz w:val="24"/>
          <w:szCs w:val="24"/>
        </w:rPr>
        <w:t>（完工）</w:t>
      </w:r>
      <w:bookmarkEnd w:id="625"/>
      <w:bookmarkEnd w:id="626"/>
      <w:bookmarkEnd w:id="627"/>
      <w:bookmarkEnd w:id="628"/>
    </w:p>
    <w:p>
      <w:pPr>
        <w:spacing w:line="360" w:lineRule="auto"/>
        <w:rPr>
          <w:rFonts w:hint="eastAsia" w:ascii="宋体" w:hAnsi="宋体" w:eastAsia="宋体" w:cs="宋体"/>
          <w:b/>
          <w:sz w:val="24"/>
          <w:szCs w:val="24"/>
        </w:rPr>
      </w:pPr>
      <w:bookmarkStart w:id="629" w:name="_Toc224362574"/>
      <w:bookmarkStart w:id="630" w:name="_Toc229554530"/>
      <w:bookmarkStart w:id="631" w:name="_Toc224398478"/>
      <w:bookmarkStart w:id="632" w:name="_Toc228855503"/>
      <w:bookmarkStart w:id="633" w:name="_Toc225595251"/>
      <w:bookmarkStart w:id="634" w:name="_Toc225580528"/>
      <w:r>
        <w:rPr>
          <w:rFonts w:hint="eastAsia" w:ascii="宋体" w:hAnsi="宋体" w:eastAsia="宋体" w:cs="宋体"/>
          <w:b/>
          <w:sz w:val="24"/>
          <w:szCs w:val="24"/>
        </w:rPr>
        <w:t>11.1  开工通知</w:t>
      </w:r>
      <w:bookmarkEnd w:id="629"/>
      <w:bookmarkEnd w:id="630"/>
      <w:bookmarkEnd w:id="631"/>
      <w:bookmarkEnd w:id="632"/>
      <w:bookmarkEnd w:id="633"/>
      <w:bookmarkEnd w:id="634"/>
      <w:bookmarkStart w:id="635" w:name="_Toc224362575"/>
      <w:bookmarkStart w:id="636" w:name="_Toc225580529"/>
      <w:bookmarkStart w:id="637" w:name="_Toc224398479"/>
      <w:bookmarkStart w:id="638" w:name="_Toc225595252"/>
      <w:bookmarkStart w:id="639" w:name="_Toc228855504"/>
      <w:bookmarkStart w:id="640" w:name="_Toc229554531"/>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监理人根据工程具体情况适时向承包人发出开工令。</w:t>
      </w:r>
      <w:bookmarkEnd w:id="635"/>
      <w:bookmarkEnd w:id="636"/>
      <w:bookmarkEnd w:id="637"/>
      <w:bookmarkEnd w:id="638"/>
      <w:bookmarkEnd w:id="639"/>
      <w:bookmarkEnd w:id="640"/>
    </w:p>
    <w:p>
      <w:pPr>
        <w:spacing w:line="360" w:lineRule="auto"/>
        <w:rPr>
          <w:rFonts w:hint="eastAsia" w:ascii="宋体" w:hAnsi="宋体" w:eastAsia="宋体" w:cs="宋体"/>
          <w:b/>
          <w:sz w:val="24"/>
          <w:szCs w:val="24"/>
        </w:rPr>
      </w:pPr>
      <w:bookmarkStart w:id="641" w:name="_Toc224398482"/>
      <w:bookmarkStart w:id="642" w:name="_Toc229554534"/>
      <w:bookmarkStart w:id="643" w:name="_Toc228855507"/>
      <w:bookmarkStart w:id="644" w:name="_Toc225595255"/>
      <w:bookmarkStart w:id="645" w:name="_Toc225580532"/>
      <w:bookmarkStart w:id="646" w:name="_Toc224362578"/>
      <w:r>
        <w:rPr>
          <w:rFonts w:hint="eastAsia" w:ascii="宋体" w:hAnsi="宋体" w:eastAsia="宋体" w:cs="宋体"/>
          <w:b/>
          <w:sz w:val="24"/>
          <w:szCs w:val="24"/>
        </w:rPr>
        <w:t>11.3  承包人的工期延误</w:t>
      </w:r>
      <w:bookmarkEnd w:id="641"/>
      <w:bookmarkEnd w:id="642"/>
      <w:bookmarkEnd w:id="643"/>
      <w:bookmarkEnd w:id="644"/>
      <w:bookmarkEnd w:id="645"/>
      <w:bookmarkEnd w:id="646"/>
    </w:p>
    <w:p>
      <w:pPr>
        <w:pStyle w:val="41"/>
        <w:spacing w:line="360" w:lineRule="auto"/>
        <w:ind w:firstLine="480" w:firstLineChars="200"/>
        <w:rPr>
          <w:rFonts w:hint="eastAsia" w:ascii="宋体" w:hAnsi="宋体" w:eastAsia="宋体" w:cs="宋体"/>
          <w:sz w:val="24"/>
          <w:szCs w:val="24"/>
        </w:rPr>
      </w:pPr>
      <w:bookmarkStart w:id="647" w:name="_Toc225580533"/>
      <w:bookmarkStart w:id="648" w:name="_Toc224362579"/>
      <w:bookmarkStart w:id="649" w:name="_Toc224398483"/>
      <w:r>
        <w:rPr>
          <w:rFonts w:hint="eastAsia" w:ascii="宋体" w:hAnsi="宋体" w:eastAsia="宋体" w:cs="宋体"/>
          <w:sz w:val="24"/>
          <w:szCs w:val="24"/>
        </w:rPr>
        <w:t>承包人不允许延误工期，逾期完工违约金为</w:t>
      </w:r>
      <w:r>
        <w:rPr>
          <w:rFonts w:hint="eastAsia" w:ascii="宋体" w:hAnsi="宋体" w:eastAsia="宋体" w:cs="宋体"/>
          <w:sz w:val="24"/>
          <w:szCs w:val="24"/>
          <w:u w:val="single"/>
        </w:rPr>
        <w:t>2000元/天</w:t>
      </w:r>
      <w:r>
        <w:rPr>
          <w:rFonts w:hint="eastAsia" w:ascii="宋体" w:hAnsi="宋体" w:eastAsia="宋体" w:cs="宋体"/>
          <w:sz w:val="24"/>
          <w:szCs w:val="24"/>
        </w:rPr>
        <w:t>，但其最终的累计总金额不超过合同价格的</w:t>
      </w:r>
      <w:r>
        <w:rPr>
          <w:rFonts w:hint="eastAsia" w:ascii="宋体" w:hAnsi="宋体" w:eastAsia="宋体" w:cs="宋体"/>
          <w:sz w:val="24"/>
          <w:szCs w:val="24"/>
          <w:u w:val="single"/>
        </w:rPr>
        <w:t>10%</w:t>
      </w:r>
      <w:r>
        <w:rPr>
          <w:rFonts w:hint="eastAsia" w:ascii="宋体" w:hAnsi="宋体" w:eastAsia="宋体" w:cs="宋体"/>
          <w:sz w:val="24"/>
          <w:szCs w:val="24"/>
        </w:rPr>
        <w:t>。</w:t>
      </w:r>
      <w:bookmarkEnd w:id="647"/>
      <w:bookmarkEnd w:id="648"/>
      <w:bookmarkEnd w:id="649"/>
    </w:p>
    <w:p>
      <w:pPr>
        <w:spacing w:line="360" w:lineRule="auto"/>
        <w:rPr>
          <w:rFonts w:hint="eastAsia" w:ascii="宋体" w:hAnsi="宋体" w:eastAsia="宋体" w:cs="宋体"/>
          <w:b/>
          <w:sz w:val="24"/>
          <w:szCs w:val="24"/>
        </w:rPr>
      </w:pPr>
      <w:r>
        <w:rPr>
          <w:rFonts w:hint="eastAsia" w:ascii="宋体" w:hAnsi="宋体" w:eastAsia="宋体" w:cs="宋体"/>
          <w:b/>
          <w:sz w:val="24"/>
          <w:szCs w:val="24"/>
        </w:rPr>
        <w:t>11.4　异常恶劣的气候条件</w:t>
      </w:r>
    </w:p>
    <w:p>
      <w:pPr>
        <w:pStyle w:val="41"/>
        <w:spacing w:line="360" w:lineRule="auto"/>
        <w:rPr>
          <w:rFonts w:hint="eastAsia" w:ascii="宋体" w:hAnsi="宋体" w:eastAsia="宋体" w:cs="宋体"/>
          <w:sz w:val="24"/>
          <w:szCs w:val="24"/>
        </w:rPr>
      </w:pPr>
      <w:r>
        <w:rPr>
          <w:rFonts w:hint="eastAsia" w:ascii="宋体" w:hAnsi="宋体" w:eastAsia="宋体" w:cs="宋体"/>
          <w:sz w:val="24"/>
          <w:szCs w:val="24"/>
        </w:rPr>
        <w:t>11.4.3　本合同工程界定异常恶劣气候条件的范围为：</w:t>
      </w:r>
    </w:p>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（１）日降雨量大于</w:t>
      </w:r>
      <w:r>
        <w:rPr>
          <w:rFonts w:hint="eastAsia" w:ascii="宋体" w:hAnsi="宋体" w:eastAsia="宋体" w:cs="宋体"/>
          <w:sz w:val="24"/>
          <w:szCs w:val="24"/>
          <w:u w:val="single"/>
        </w:rPr>
        <w:t xml:space="preserve">    200   </w:t>
      </w:r>
      <w:r>
        <w:rPr>
          <w:rFonts w:hint="eastAsia" w:ascii="宋体" w:hAnsi="宋体" w:eastAsia="宋体" w:cs="宋体"/>
          <w:sz w:val="24"/>
          <w:szCs w:val="24"/>
        </w:rPr>
        <w:t xml:space="preserve"> ｍｍ 的雨日超过</w:t>
      </w:r>
      <w:r>
        <w:rPr>
          <w:rFonts w:hint="eastAsia" w:ascii="宋体" w:hAnsi="宋体" w:eastAsia="宋体" w:cs="宋体"/>
          <w:sz w:val="24"/>
          <w:szCs w:val="24"/>
          <w:u w:val="single"/>
        </w:rPr>
        <w:t xml:space="preserve">   3   </w:t>
      </w:r>
      <w:r>
        <w:rPr>
          <w:rFonts w:hint="eastAsia" w:ascii="宋体" w:hAnsi="宋体" w:eastAsia="宋体" w:cs="宋体"/>
          <w:sz w:val="24"/>
          <w:szCs w:val="24"/>
        </w:rPr>
        <w:t>天；</w:t>
      </w:r>
    </w:p>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（２）风速大于</w:t>
      </w:r>
      <w:r>
        <w:rPr>
          <w:rFonts w:hint="eastAsia" w:ascii="宋体" w:hAnsi="宋体" w:eastAsia="宋体" w:cs="宋体"/>
          <w:sz w:val="24"/>
          <w:szCs w:val="24"/>
          <w:u w:val="single"/>
        </w:rPr>
        <w:t xml:space="preserve">  8  </w:t>
      </w:r>
      <w:r>
        <w:rPr>
          <w:rFonts w:hint="eastAsia" w:ascii="宋体" w:hAnsi="宋体" w:eastAsia="宋体" w:cs="宋体"/>
          <w:sz w:val="24"/>
          <w:szCs w:val="24"/>
        </w:rPr>
        <w:t xml:space="preserve"> ｍ／ｓ的级以上台风灾害；</w:t>
      </w:r>
    </w:p>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（３）日气温超过 </w:t>
      </w:r>
      <w:r>
        <w:rPr>
          <w:rFonts w:hint="eastAsia" w:ascii="宋体" w:hAnsi="宋体" w:eastAsia="宋体" w:cs="宋体"/>
          <w:sz w:val="24"/>
          <w:szCs w:val="24"/>
          <w:u w:val="single"/>
        </w:rPr>
        <w:t xml:space="preserve">  45   </w:t>
      </w:r>
      <w:r>
        <w:rPr>
          <w:rFonts w:hint="eastAsia" w:ascii="宋体" w:hAnsi="宋体" w:eastAsia="宋体" w:cs="宋体"/>
          <w:sz w:val="24"/>
          <w:szCs w:val="24"/>
        </w:rPr>
        <w:t xml:space="preserve"> ℃的高温大于</w:t>
      </w:r>
      <w:r>
        <w:rPr>
          <w:rFonts w:hint="eastAsia" w:ascii="宋体" w:hAnsi="宋体" w:eastAsia="宋体" w:cs="宋体"/>
          <w:sz w:val="24"/>
          <w:szCs w:val="24"/>
          <w:u w:val="single"/>
        </w:rPr>
        <w:t xml:space="preserve">   3   </w:t>
      </w:r>
      <w:r>
        <w:rPr>
          <w:rFonts w:hint="eastAsia" w:ascii="宋体" w:hAnsi="宋体" w:eastAsia="宋体" w:cs="宋体"/>
          <w:sz w:val="24"/>
          <w:szCs w:val="24"/>
        </w:rPr>
        <w:t>天；</w:t>
      </w:r>
    </w:p>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（４）日气温低于 </w:t>
      </w:r>
      <w:r>
        <w:rPr>
          <w:rFonts w:hint="eastAsia" w:ascii="宋体" w:hAnsi="宋体" w:eastAsia="宋体" w:cs="宋体"/>
          <w:sz w:val="24"/>
          <w:szCs w:val="24"/>
          <w:u w:val="single"/>
        </w:rPr>
        <w:t xml:space="preserve">   -25    </w:t>
      </w:r>
      <w:r>
        <w:rPr>
          <w:rFonts w:hint="eastAsia" w:ascii="宋体" w:hAnsi="宋体" w:eastAsia="宋体" w:cs="宋体"/>
          <w:sz w:val="24"/>
          <w:szCs w:val="24"/>
        </w:rPr>
        <w:t xml:space="preserve"> ℃的严寒大于</w:t>
      </w:r>
      <w:r>
        <w:rPr>
          <w:rFonts w:hint="eastAsia" w:ascii="宋体" w:hAnsi="宋体" w:eastAsia="宋体" w:cs="宋体"/>
          <w:sz w:val="24"/>
          <w:szCs w:val="24"/>
          <w:u w:val="single"/>
        </w:rPr>
        <w:t xml:space="preserve">   3   </w:t>
      </w:r>
      <w:r>
        <w:rPr>
          <w:rFonts w:hint="eastAsia" w:ascii="宋体" w:hAnsi="宋体" w:eastAsia="宋体" w:cs="宋体"/>
          <w:sz w:val="24"/>
          <w:szCs w:val="24"/>
        </w:rPr>
        <w:t>天；</w:t>
      </w:r>
    </w:p>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（５）造成工程损坏的冰雹和大雪灾害：</w:t>
      </w:r>
      <w:r>
        <w:rPr>
          <w:rFonts w:hint="eastAsia" w:ascii="宋体" w:hAnsi="宋体" w:eastAsia="宋体" w:cs="宋体"/>
          <w:sz w:val="24"/>
          <w:szCs w:val="24"/>
          <w:u w:val="single"/>
        </w:rPr>
        <w:t xml:space="preserve">   2   </w:t>
      </w:r>
      <w:r>
        <w:rPr>
          <w:rFonts w:hint="eastAsia" w:ascii="宋体" w:hAnsi="宋体" w:eastAsia="宋体" w:cs="宋体"/>
          <w:sz w:val="24"/>
          <w:szCs w:val="24"/>
        </w:rPr>
        <w:t xml:space="preserve"> 天；</w:t>
      </w:r>
    </w:p>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（６）其它异常恶劣气候灾害。</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11.5　承包人工期延误</w:t>
      </w:r>
    </w:p>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（１）逾期完工违约金表（参考格式）</w:t>
      </w:r>
    </w:p>
    <w:tbl>
      <w:tblPr>
        <w:tblStyle w:val="19"/>
        <w:tblpPr w:leftFromText="180" w:rightFromText="180" w:vertAnchor="text" w:horzAnchor="margin" w:tblpY="130"/>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970"/>
        <w:gridCol w:w="2385"/>
        <w:gridCol w:w="2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1800" w:type="dxa"/>
            <w:noWrap w:val="0"/>
            <w:vAlign w:val="top"/>
          </w:tcPr>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序号</w:t>
            </w:r>
          </w:p>
        </w:tc>
        <w:tc>
          <w:tcPr>
            <w:tcW w:w="2970" w:type="dxa"/>
            <w:noWrap w:val="0"/>
            <w:vAlign w:val="top"/>
          </w:tcPr>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项目及说明</w:t>
            </w:r>
          </w:p>
        </w:tc>
        <w:tc>
          <w:tcPr>
            <w:tcW w:w="2385" w:type="dxa"/>
            <w:noWrap w:val="0"/>
            <w:vAlign w:val="top"/>
          </w:tcPr>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要求完工期</w:t>
            </w:r>
          </w:p>
        </w:tc>
        <w:tc>
          <w:tcPr>
            <w:tcW w:w="2385" w:type="dxa"/>
            <w:noWrap w:val="0"/>
            <w:vAlign w:val="top"/>
          </w:tcPr>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违约金（元/天）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1800" w:type="dxa"/>
            <w:noWrap w:val="0"/>
            <w:vAlign w:val="top"/>
          </w:tcPr>
          <w:p>
            <w:pPr>
              <w:pStyle w:val="41"/>
              <w:spacing w:line="360" w:lineRule="auto"/>
              <w:ind w:firstLine="480" w:firstLineChars="200"/>
              <w:rPr>
                <w:rFonts w:hint="eastAsia" w:ascii="宋体" w:hAnsi="宋体" w:eastAsia="宋体" w:cs="宋体"/>
                <w:sz w:val="24"/>
                <w:szCs w:val="24"/>
              </w:rPr>
            </w:pPr>
          </w:p>
        </w:tc>
        <w:tc>
          <w:tcPr>
            <w:tcW w:w="2970" w:type="dxa"/>
            <w:noWrap w:val="0"/>
            <w:vAlign w:val="top"/>
          </w:tcPr>
          <w:p>
            <w:pPr>
              <w:pStyle w:val="41"/>
              <w:spacing w:line="360" w:lineRule="auto"/>
              <w:ind w:firstLine="480" w:firstLineChars="200"/>
              <w:rPr>
                <w:rFonts w:hint="eastAsia" w:ascii="宋体" w:hAnsi="宋体" w:eastAsia="宋体" w:cs="宋体"/>
                <w:sz w:val="24"/>
                <w:szCs w:val="24"/>
              </w:rPr>
            </w:pPr>
          </w:p>
        </w:tc>
        <w:tc>
          <w:tcPr>
            <w:tcW w:w="2385" w:type="dxa"/>
            <w:noWrap w:val="0"/>
            <w:vAlign w:val="top"/>
          </w:tcPr>
          <w:p>
            <w:pPr>
              <w:pStyle w:val="41"/>
              <w:spacing w:line="360" w:lineRule="auto"/>
              <w:ind w:firstLine="480" w:firstLineChars="200"/>
              <w:rPr>
                <w:rFonts w:hint="eastAsia" w:ascii="宋体" w:hAnsi="宋体" w:eastAsia="宋体" w:cs="宋体"/>
                <w:sz w:val="24"/>
                <w:szCs w:val="24"/>
              </w:rPr>
            </w:pPr>
          </w:p>
        </w:tc>
        <w:tc>
          <w:tcPr>
            <w:tcW w:w="2385" w:type="dxa"/>
            <w:noWrap w:val="0"/>
            <w:vAlign w:val="top"/>
          </w:tcPr>
          <w:p>
            <w:pPr>
              <w:pStyle w:val="41"/>
              <w:spacing w:line="360" w:lineRule="auto"/>
              <w:ind w:firstLine="480" w:firstLineChars="20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 w:hRule="atLeast"/>
        </w:trPr>
        <w:tc>
          <w:tcPr>
            <w:tcW w:w="1800" w:type="dxa"/>
            <w:noWrap w:val="0"/>
            <w:vAlign w:val="top"/>
          </w:tcPr>
          <w:p>
            <w:pPr>
              <w:pStyle w:val="41"/>
              <w:spacing w:line="360" w:lineRule="auto"/>
              <w:ind w:firstLine="480" w:firstLineChars="200"/>
              <w:rPr>
                <w:rFonts w:hint="eastAsia" w:ascii="宋体" w:hAnsi="宋体" w:eastAsia="宋体" w:cs="宋体"/>
                <w:sz w:val="24"/>
                <w:szCs w:val="24"/>
              </w:rPr>
            </w:pPr>
          </w:p>
        </w:tc>
        <w:tc>
          <w:tcPr>
            <w:tcW w:w="2970" w:type="dxa"/>
            <w:noWrap w:val="0"/>
            <w:vAlign w:val="top"/>
          </w:tcPr>
          <w:p>
            <w:pPr>
              <w:pStyle w:val="41"/>
              <w:spacing w:line="360" w:lineRule="auto"/>
              <w:ind w:firstLine="480" w:firstLineChars="200"/>
              <w:rPr>
                <w:rFonts w:hint="eastAsia" w:ascii="宋体" w:hAnsi="宋体" w:eastAsia="宋体" w:cs="宋体"/>
                <w:sz w:val="24"/>
                <w:szCs w:val="24"/>
              </w:rPr>
            </w:pPr>
          </w:p>
        </w:tc>
        <w:tc>
          <w:tcPr>
            <w:tcW w:w="2385" w:type="dxa"/>
            <w:noWrap w:val="0"/>
            <w:vAlign w:val="top"/>
          </w:tcPr>
          <w:p>
            <w:pPr>
              <w:pStyle w:val="41"/>
              <w:spacing w:line="360" w:lineRule="auto"/>
              <w:ind w:firstLine="480" w:firstLineChars="200"/>
              <w:rPr>
                <w:rFonts w:hint="eastAsia" w:ascii="宋体" w:hAnsi="宋体" w:eastAsia="宋体" w:cs="宋体"/>
                <w:sz w:val="24"/>
                <w:szCs w:val="24"/>
              </w:rPr>
            </w:pPr>
          </w:p>
        </w:tc>
        <w:tc>
          <w:tcPr>
            <w:tcW w:w="2385" w:type="dxa"/>
            <w:noWrap w:val="0"/>
            <w:vAlign w:val="top"/>
          </w:tcPr>
          <w:p>
            <w:pPr>
              <w:pStyle w:val="41"/>
              <w:spacing w:line="360" w:lineRule="auto"/>
              <w:ind w:firstLine="480" w:firstLineChars="200"/>
              <w:rPr>
                <w:rFonts w:hint="eastAsia" w:ascii="宋体" w:hAnsi="宋体" w:eastAsia="宋体" w:cs="宋体"/>
                <w:sz w:val="24"/>
                <w:szCs w:val="24"/>
              </w:rPr>
            </w:pPr>
          </w:p>
        </w:tc>
      </w:tr>
    </w:tbl>
    <w:p>
      <w:pPr>
        <w:pStyle w:val="41"/>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（２）全部逾期完工违约金的总限额为</w:t>
      </w:r>
      <w:r>
        <w:rPr>
          <w:rFonts w:hint="eastAsia" w:ascii="宋体" w:hAnsi="宋体" w:eastAsia="宋体" w:cs="宋体"/>
          <w:sz w:val="24"/>
          <w:szCs w:val="24"/>
          <w:u w:val="single"/>
        </w:rPr>
        <w:t>　（不超过签约合同价的10％）　</w:t>
      </w:r>
      <w:r>
        <w:rPr>
          <w:rFonts w:hint="eastAsia" w:ascii="宋体" w:hAnsi="宋体" w:eastAsia="宋体" w:cs="宋体"/>
          <w:sz w:val="24"/>
          <w:szCs w:val="24"/>
        </w:rPr>
        <w:t>。</w:t>
      </w:r>
    </w:p>
    <w:p>
      <w:pPr>
        <w:pStyle w:val="5"/>
        <w:keepNext w:val="0"/>
        <w:keepLines w:val="0"/>
        <w:rPr>
          <w:rFonts w:hint="eastAsia" w:ascii="宋体" w:hAnsi="宋体" w:eastAsia="宋体" w:cs="宋体"/>
          <w:sz w:val="24"/>
          <w:szCs w:val="24"/>
        </w:rPr>
      </w:pPr>
      <w:r>
        <w:rPr>
          <w:rFonts w:hint="eastAsia" w:ascii="宋体" w:hAnsi="宋体" w:eastAsia="宋体" w:cs="宋体"/>
          <w:sz w:val="24"/>
          <w:szCs w:val="24"/>
        </w:rPr>
        <w:t>11.6 工期提前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工期提前的奖金约定：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pStyle w:val="3"/>
        <w:keepNext w:val="0"/>
        <w:keepLines w:val="0"/>
        <w:rPr>
          <w:rFonts w:hint="eastAsia" w:ascii="宋体" w:hAnsi="宋体" w:eastAsia="宋体" w:cs="宋体"/>
          <w:sz w:val="24"/>
          <w:szCs w:val="24"/>
        </w:rPr>
      </w:pPr>
      <w:bookmarkStart w:id="650" w:name="_Toc482807211"/>
      <w:bookmarkStart w:id="651" w:name="_Toc480213201"/>
      <w:bookmarkStart w:id="652" w:name="_Toc480213770"/>
      <w:bookmarkStart w:id="653" w:name="_Toc479701861"/>
      <w:r>
        <w:rPr>
          <w:rFonts w:hint="eastAsia" w:ascii="宋体" w:hAnsi="宋体" w:eastAsia="宋体" w:cs="宋体"/>
          <w:sz w:val="24"/>
          <w:szCs w:val="24"/>
        </w:rPr>
        <w:t>12 暂停施工</w:t>
      </w:r>
      <w:bookmarkEnd w:id="650"/>
      <w:bookmarkEnd w:id="651"/>
      <w:bookmarkEnd w:id="652"/>
      <w:bookmarkEnd w:id="653"/>
    </w:p>
    <w:p>
      <w:pPr>
        <w:autoSpaceDE w:val="0"/>
        <w:autoSpaceDN w:val="0"/>
        <w:adjustRightInd w:val="0"/>
        <w:spacing w:line="360" w:lineRule="auto"/>
        <w:jc w:val="left"/>
        <w:rPr>
          <w:rFonts w:hint="eastAsia" w:ascii="宋体" w:hAnsi="宋体" w:eastAsia="宋体" w:cs="宋体"/>
          <w:kern w:val="0"/>
          <w:sz w:val="24"/>
          <w:szCs w:val="24"/>
        </w:rPr>
      </w:pPr>
      <w:r>
        <w:rPr>
          <w:rFonts w:hint="eastAsia" w:ascii="宋体" w:hAnsi="宋体" w:eastAsia="宋体" w:cs="宋体"/>
          <w:b/>
          <w:sz w:val="24"/>
          <w:szCs w:val="24"/>
        </w:rPr>
        <w:t>12.1承包人暂停施工的责任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（1）承包人施工中应充分考虑的现场非异常恶劣气候条件引起的正常停工；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（2）承包人自供的材料或工程设备的供应中断；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（3）隐蔽工程未经检查擅自覆盖；</w:t>
      </w:r>
    </w:p>
    <w:p>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（4）质量事故未及时处理等由于承包人自身原因造成的暂停施工。</w:t>
      </w:r>
    </w:p>
    <w:p>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（5）承包人承担暂停施工责任的其它情形：</w:t>
      </w:r>
    </w:p>
    <w:p>
      <w:pPr>
        <w:pStyle w:val="5"/>
        <w:keepNext w:val="0"/>
        <w:keepLines w:val="0"/>
        <w:rPr>
          <w:rFonts w:hint="eastAsia" w:ascii="宋体" w:hAnsi="宋体" w:eastAsia="宋体" w:cs="宋体"/>
          <w:sz w:val="24"/>
          <w:szCs w:val="24"/>
        </w:rPr>
      </w:pPr>
      <w:r>
        <w:rPr>
          <w:rFonts w:hint="eastAsia" w:ascii="宋体" w:hAnsi="宋体" w:eastAsia="宋体" w:cs="宋体"/>
          <w:sz w:val="24"/>
          <w:szCs w:val="24"/>
        </w:rPr>
        <w:t xml:space="preserve">12.2  发包人暂停施工的责任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 发包人承担的其他暂停施工责任的其它情形：</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pStyle w:val="41"/>
        <w:spacing w:line="360" w:lineRule="auto"/>
        <w:outlineLvl w:val="0"/>
        <w:rPr>
          <w:rFonts w:hint="eastAsia" w:ascii="宋体" w:hAnsi="宋体" w:eastAsia="宋体" w:cs="宋体"/>
          <w:b/>
          <w:sz w:val="24"/>
          <w:szCs w:val="24"/>
        </w:rPr>
      </w:pPr>
      <w:bookmarkStart w:id="654" w:name="_Toc480213771"/>
      <w:bookmarkStart w:id="655" w:name="_Toc480213202"/>
      <w:bookmarkStart w:id="656" w:name="_Toc482807212"/>
      <w:bookmarkStart w:id="657" w:name="_Toc479701862"/>
      <w:r>
        <w:rPr>
          <w:rFonts w:hint="eastAsia" w:ascii="宋体" w:hAnsi="宋体" w:eastAsia="宋体" w:cs="宋体"/>
          <w:b/>
          <w:sz w:val="24"/>
          <w:szCs w:val="24"/>
        </w:rPr>
        <w:t>13　工程质量</w:t>
      </w:r>
      <w:bookmarkEnd w:id="654"/>
      <w:bookmarkEnd w:id="655"/>
      <w:bookmarkEnd w:id="656"/>
      <w:bookmarkEnd w:id="657"/>
    </w:p>
    <w:p>
      <w:pPr>
        <w:pStyle w:val="41"/>
        <w:spacing w:line="360" w:lineRule="auto"/>
        <w:rPr>
          <w:rFonts w:hint="eastAsia" w:ascii="宋体" w:hAnsi="宋体" w:eastAsia="宋体" w:cs="宋体"/>
          <w:b/>
          <w:sz w:val="24"/>
          <w:szCs w:val="24"/>
        </w:rPr>
      </w:pPr>
      <w:r>
        <w:rPr>
          <w:rFonts w:hint="eastAsia" w:ascii="宋体" w:hAnsi="宋体" w:eastAsia="宋体" w:cs="宋体"/>
          <w:b/>
          <w:sz w:val="24"/>
          <w:szCs w:val="24"/>
        </w:rPr>
        <w:t>13.7　质量评定</w:t>
      </w:r>
    </w:p>
    <w:p>
      <w:pPr>
        <w:pStyle w:val="41"/>
        <w:spacing w:line="360" w:lineRule="auto"/>
        <w:rPr>
          <w:rFonts w:hint="eastAsia" w:ascii="宋体" w:hAnsi="宋体" w:eastAsia="宋体" w:cs="宋体"/>
          <w:sz w:val="24"/>
          <w:szCs w:val="24"/>
        </w:rPr>
      </w:pPr>
      <w:r>
        <w:rPr>
          <w:rFonts w:hint="eastAsia" w:ascii="宋体" w:hAnsi="宋体" w:eastAsia="宋体" w:cs="宋体"/>
          <w:sz w:val="24"/>
          <w:szCs w:val="24"/>
        </w:rPr>
        <w:t>13.7.4　重要隐蔽单元工程和关键部位单元工程质量评定的约定：</w:t>
      </w:r>
      <w:r>
        <w:rPr>
          <w:rFonts w:hint="eastAsia" w:ascii="宋体" w:hAnsi="宋体" w:eastAsia="宋体" w:cs="宋体"/>
          <w:sz w:val="24"/>
          <w:szCs w:val="24"/>
          <w:u w:val="single"/>
        </w:rPr>
        <w:t xml:space="preserve"> 合格  </w:t>
      </w:r>
      <w:r>
        <w:rPr>
          <w:rFonts w:hint="eastAsia" w:ascii="宋体" w:hAnsi="宋体" w:eastAsia="宋体" w:cs="宋体"/>
          <w:sz w:val="24"/>
          <w:szCs w:val="24"/>
        </w:rPr>
        <w:t>。</w:t>
      </w:r>
    </w:p>
    <w:p>
      <w:pPr>
        <w:pStyle w:val="41"/>
        <w:spacing w:line="360" w:lineRule="auto"/>
        <w:rPr>
          <w:rFonts w:hint="eastAsia" w:ascii="宋体" w:hAnsi="宋体" w:eastAsia="宋体" w:cs="宋体"/>
          <w:sz w:val="24"/>
          <w:szCs w:val="24"/>
        </w:rPr>
      </w:pPr>
      <w:r>
        <w:rPr>
          <w:rFonts w:hint="eastAsia" w:ascii="宋体" w:hAnsi="宋体" w:eastAsia="宋体" w:cs="宋体"/>
          <w:sz w:val="24"/>
          <w:szCs w:val="24"/>
        </w:rPr>
        <w:t>13.7.7　工程合格标准为：</w:t>
      </w:r>
      <w:r>
        <w:rPr>
          <w:rFonts w:hint="eastAsia" w:ascii="宋体" w:hAnsi="宋体" w:eastAsia="宋体" w:cs="宋体"/>
          <w:sz w:val="24"/>
          <w:szCs w:val="24"/>
          <w:u w:val="single"/>
        </w:rPr>
        <w:t xml:space="preserve"> 100%  </w:t>
      </w:r>
      <w:r>
        <w:rPr>
          <w:rFonts w:hint="eastAsia" w:ascii="宋体" w:hAnsi="宋体" w:eastAsia="宋体" w:cs="宋体"/>
          <w:sz w:val="24"/>
          <w:szCs w:val="24"/>
        </w:rPr>
        <w:t>；优良标准为：</w:t>
      </w:r>
      <w:r>
        <w:rPr>
          <w:rFonts w:hint="eastAsia" w:ascii="宋体" w:hAnsi="宋体" w:eastAsia="宋体" w:cs="宋体"/>
          <w:sz w:val="24"/>
          <w:szCs w:val="24"/>
          <w:u w:val="single"/>
        </w:rPr>
        <w:t xml:space="preserve"> ——  </w:t>
      </w:r>
      <w:r>
        <w:rPr>
          <w:rFonts w:hint="eastAsia" w:ascii="宋体" w:hAnsi="宋体" w:eastAsia="宋体" w:cs="宋体"/>
          <w:sz w:val="24"/>
          <w:szCs w:val="24"/>
        </w:rPr>
        <w:t>。达到优良的奖金为：</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pPr>
        <w:pStyle w:val="41"/>
        <w:spacing w:line="360" w:lineRule="auto"/>
        <w:rPr>
          <w:rFonts w:hint="eastAsia" w:ascii="宋体" w:hAnsi="宋体" w:eastAsia="宋体" w:cs="宋体"/>
          <w:b/>
          <w:sz w:val="24"/>
          <w:szCs w:val="24"/>
        </w:rPr>
      </w:pPr>
      <w:r>
        <w:rPr>
          <w:rFonts w:hint="eastAsia" w:ascii="宋体" w:hAnsi="宋体" w:eastAsia="宋体" w:cs="宋体"/>
          <w:b/>
          <w:sz w:val="24"/>
          <w:szCs w:val="24"/>
        </w:rPr>
        <w:t>13.8　质量事故处理</w:t>
      </w:r>
    </w:p>
    <w:p>
      <w:pPr>
        <w:pStyle w:val="41"/>
        <w:spacing w:line="360" w:lineRule="auto"/>
        <w:rPr>
          <w:rFonts w:hint="eastAsia" w:ascii="宋体" w:hAnsi="宋体" w:eastAsia="宋体" w:cs="宋体"/>
          <w:sz w:val="24"/>
          <w:szCs w:val="24"/>
        </w:rPr>
      </w:pPr>
      <w:r>
        <w:rPr>
          <w:rFonts w:hint="eastAsia" w:ascii="宋体" w:hAnsi="宋体" w:eastAsia="宋体" w:cs="宋体"/>
          <w:sz w:val="24"/>
          <w:szCs w:val="24"/>
        </w:rPr>
        <w:t>13.8.4　工程竣工验收时，承包人应配合监理人及发包人向竣工验收委员会汇报并提交历次质量缺陷处理的备案资料。</w:t>
      </w:r>
    </w:p>
    <w:p>
      <w:pPr>
        <w:pStyle w:val="3"/>
        <w:keepNext w:val="0"/>
        <w:keepLines w:val="0"/>
        <w:rPr>
          <w:rFonts w:hint="eastAsia" w:ascii="宋体" w:hAnsi="宋体" w:eastAsia="宋体" w:cs="宋体"/>
          <w:bCs w:val="0"/>
          <w:sz w:val="24"/>
          <w:szCs w:val="24"/>
        </w:rPr>
      </w:pPr>
      <w:bookmarkStart w:id="658" w:name="_Toc479701863"/>
      <w:bookmarkStart w:id="659" w:name="_Toc480213772"/>
      <w:bookmarkStart w:id="660" w:name="_Toc482807213"/>
      <w:bookmarkStart w:id="661" w:name="_Toc480213203"/>
      <w:r>
        <w:rPr>
          <w:rFonts w:hint="eastAsia" w:ascii="宋体" w:hAnsi="宋体" w:eastAsia="宋体" w:cs="宋体"/>
          <w:bCs w:val="0"/>
          <w:sz w:val="24"/>
          <w:szCs w:val="24"/>
        </w:rPr>
        <w:t>14　试验和检验</w:t>
      </w:r>
      <w:bookmarkEnd w:id="658"/>
      <w:bookmarkEnd w:id="659"/>
      <w:bookmarkEnd w:id="660"/>
      <w:bookmarkEnd w:id="661"/>
    </w:p>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14.1　材料、工程设备和工程的试验和检验</w:t>
      </w:r>
    </w:p>
    <w:p>
      <w:pPr>
        <w:snapToGrid w:val="0"/>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本款（1）项中改为“无论是承包人提供的材料和工程设备，还是发包人指定供应来源的材料和工程设备，均由承包人负责检验和交货验收”。</w:t>
      </w:r>
    </w:p>
    <w:p>
      <w:pPr>
        <w:spacing w:line="360" w:lineRule="auto"/>
        <w:ind w:firstLine="360" w:firstLineChars="150"/>
        <w:rPr>
          <w:rFonts w:hint="eastAsia" w:ascii="宋体" w:hAnsi="宋体" w:eastAsia="宋体" w:cs="宋体"/>
          <w:sz w:val="24"/>
          <w:szCs w:val="24"/>
          <w:u w:val="single"/>
        </w:rPr>
      </w:pPr>
      <w:r>
        <w:rPr>
          <w:rFonts w:hint="eastAsia" w:ascii="宋体" w:hAnsi="宋体" w:eastAsia="宋体" w:cs="宋体"/>
          <w:sz w:val="24"/>
          <w:szCs w:val="24"/>
        </w:rPr>
        <w:t>14.1.5 水工金属结构、启闭机及机电产品进场后的交货检查和验收中，承包人负责</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14.1.6 本工程实行见证取样的试块、试件及有关材料：</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14.2现场材料试验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14.2.1删去本款全文，改为：承包人按合同规定，在具有水行政主管部门颁发的一定资质的质量检验试验机构进行各项材料试验，上述试验所需的一切费用均由承包人承担，承包人不得为此向发包人索取额外费用。</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14.3现场工艺试验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删去本款全文，改为：承包人按合同规定，在具有水行政主管部门颁发的一定资质的质量检验试验机构进行现场工艺试验，上述试验所需的一切费用均由承包人承担，承包人不得为此向发包人索取额外费用。</w:t>
      </w:r>
    </w:p>
    <w:p>
      <w:pPr>
        <w:pStyle w:val="3"/>
        <w:keepNext w:val="0"/>
        <w:keepLines w:val="0"/>
        <w:rPr>
          <w:rFonts w:hint="eastAsia" w:ascii="宋体" w:hAnsi="宋体" w:eastAsia="宋体" w:cs="宋体"/>
          <w:bCs w:val="0"/>
          <w:sz w:val="24"/>
          <w:szCs w:val="24"/>
        </w:rPr>
      </w:pPr>
      <w:bookmarkStart w:id="662" w:name="_Toc482807214"/>
      <w:bookmarkStart w:id="663" w:name="_Toc479701864"/>
      <w:bookmarkStart w:id="664" w:name="_Toc480213773"/>
      <w:bookmarkStart w:id="665" w:name="_Toc480213204"/>
      <w:r>
        <w:rPr>
          <w:rFonts w:hint="eastAsia" w:ascii="宋体" w:hAnsi="宋体" w:eastAsia="宋体" w:cs="宋体"/>
          <w:bCs w:val="0"/>
          <w:sz w:val="24"/>
          <w:szCs w:val="24"/>
        </w:rPr>
        <w:t>15　变更</w:t>
      </w:r>
      <w:bookmarkEnd w:id="662"/>
      <w:bookmarkEnd w:id="663"/>
      <w:bookmarkEnd w:id="664"/>
      <w:bookmarkEnd w:id="665"/>
    </w:p>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15.1　变更的范围和内容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（6）增加或减少合同中关键项目的工程量超过其工程总量的</w:t>
      </w:r>
      <w:r>
        <w:rPr>
          <w:rFonts w:hint="eastAsia" w:ascii="宋体" w:hAnsi="宋体" w:eastAsia="宋体" w:cs="宋体"/>
          <w:sz w:val="24"/>
          <w:szCs w:val="24"/>
          <w:u w:val="single"/>
        </w:rPr>
        <w:t xml:space="preserve">  15%  </w:t>
      </w:r>
      <w:r>
        <w:rPr>
          <w:rFonts w:hint="eastAsia" w:ascii="宋体" w:hAnsi="宋体" w:eastAsia="宋体" w:cs="宋体"/>
          <w:sz w:val="24"/>
          <w:szCs w:val="24"/>
        </w:rPr>
        <w:t xml:space="preserve">以下时不属于变更项目，不作变更处理。超过 </w:t>
      </w:r>
      <w:r>
        <w:rPr>
          <w:rFonts w:hint="eastAsia" w:ascii="宋体" w:hAnsi="宋体" w:eastAsia="宋体" w:cs="宋体"/>
          <w:sz w:val="24"/>
          <w:szCs w:val="24"/>
          <w:u w:val="single"/>
        </w:rPr>
        <w:t xml:space="preserve">  15%  </w:t>
      </w:r>
      <w:r>
        <w:rPr>
          <w:rFonts w:hint="eastAsia" w:ascii="宋体" w:hAnsi="宋体" w:eastAsia="宋体" w:cs="宋体"/>
          <w:sz w:val="24"/>
          <w:szCs w:val="24"/>
        </w:rPr>
        <w:t>以上时，应视为变更项目，单价调整依据通用合同条款第15.4款的规定执行，但其项目变更未引起工程施工组织和进度计划发生实质性变动和不影响其原定的价格时，不予调整该项目的单价。</w:t>
      </w:r>
    </w:p>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15.5　承包人的合理化建议</w:t>
      </w:r>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15.5.2　承包人实现合理化建议的奖励金额为：</w:t>
      </w:r>
      <w:r>
        <w:rPr>
          <w:rFonts w:hint="eastAsia" w:ascii="宋体" w:hAnsi="宋体" w:eastAsia="宋体" w:cs="宋体"/>
          <w:sz w:val="24"/>
          <w:szCs w:val="24"/>
          <w:u w:val="single"/>
        </w:rPr>
        <w:t xml:space="preserve">合理化建议部分合同价格的0.5%。 </w:t>
      </w:r>
      <w:r>
        <w:rPr>
          <w:rFonts w:hint="eastAsia" w:ascii="宋体" w:hAnsi="宋体" w:eastAsia="宋体" w:cs="宋体"/>
          <w:sz w:val="24"/>
          <w:szCs w:val="24"/>
        </w:rPr>
        <w:t>。</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本条增加：15.9合同价格增减超过15%</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完工结算时，若出现由于第15条规定进行的全部变更工作引起合同价格增减的金额，以及实际工程量与本合同《工程量清单》中估算工程量的差值引起合同价格增减的金额(不包括备用金和通用合同条款第16条规定的价格调整)的总和超过合同价格(不包括备用金)的15%时，按以下约定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际工程量引起合同价格减少15%以上，单价不予调整。实际工程量引起合同价格增加15%以上，超出部分工程单价下浮5%。上述调整金额仅考虑变更引起的增加总金额以及实际工程量与本合同《工程量清单》中估算工程量的差值引起的增加总金额之和超过合同价格(不包括备用金)的15%的部分。</w:t>
      </w:r>
    </w:p>
    <w:p>
      <w:pPr>
        <w:pStyle w:val="3"/>
        <w:keepNext w:val="0"/>
        <w:keepLines w:val="0"/>
        <w:rPr>
          <w:rFonts w:hint="eastAsia" w:ascii="宋体" w:hAnsi="宋体" w:eastAsia="宋体" w:cs="宋体"/>
          <w:bCs w:val="0"/>
          <w:sz w:val="24"/>
          <w:szCs w:val="24"/>
        </w:rPr>
      </w:pPr>
      <w:bookmarkStart w:id="666" w:name="_Toc482807215"/>
      <w:bookmarkStart w:id="667" w:name="_Toc480213774"/>
      <w:bookmarkStart w:id="668" w:name="_Toc479701865"/>
      <w:bookmarkStart w:id="669" w:name="_Toc480213205"/>
      <w:r>
        <w:rPr>
          <w:rFonts w:hint="eastAsia" w:ascii="宋体" w:hAnsi="宋体" w:eastAsia="宋体" w:cs="宋体"/>
          <w:bCs w:val="0"/>
          <w:sz w:val="24"/>
          <w:szCs w:val="24"/>
        </w:rPr>
        <w:t>16　价格调整</w:t>
      </w:r>
      <w:bookmarkEnd w:id="666"/>
      <w:bookmarkEnd w:id="667"/>
      <w:bookmarkEnd w:id="668"/>
      <w:bookmarkEnd w:id="669"/>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16.1　物价波动引起的价格调整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本工程是单价不变</w:t>
      </w:r>
      <w:r>
        <w:rPr>
          <w:rFonts w:hint="eastAsia" w:ascii="宋体" w:hAnsi="宋体" w:eastAsia="宋体" w:cs="宋体"/>
          <w:b/>
          <w:sz w:val="24"/>
          <w:szCs w:val="24"/>
        </w:rPr>
        <w:t>合同</w:t>
      </w:r>
      <w:r>
        <w:rPr>
          <w:rFonts w:hint="eastAsia" w:ascii="宋体" w:hAnsi="宋体" w:eastAsia="宋体" w:cs="宋体"/>
          <w:sz w:val="24"/>
          <w:szCs w:val="24"/>
        </w:rPr>
        <w:t>，在合同终止期内发包人不考虑也不接受物价波动引起的价格调整。</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16.2法律变化引起的价格调整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投标截止日起至工程完工截止日止，国家的法律、行政法规或国务院有关部门的规章和工程所在地的省、自治区、直辖市的地方法规和规章发生变更，导致承包人在实施合同期间所需要的工程费用发生除第16.1款规定以外的增减时，应由监理人与发包人和承包人按第3.5款商定或确定需调整的合同价款。</w:t>
      </w:r>
    </w:p>
    <w:p>
      <w:pPr>
        <w:pStyle w:val="3"/>
        <w:keepNext w:val="0"/>
        <w:keepLines w:val="0"/>
        <w:rPr>
          <w:rFonts w:hint="eastAsia" w:ascii="宋体" w:hAnsi="宋体" w:eastAsia="宋体" w:cs="宋体"/>
          <w:bCs w:val="0"/>
          <w:sz w:val="24"/>
          <w:szCs w:val="24"/>
        </w:rPr>
      </w:pPr>
      <w:bookmarkStart w:id="670" w:name="_Toc479701866"/>
      <w:bookmarkStart w:id="671" w:name="_Toc480213775"/>
      <w:bookmarkStart w:id="672" w:name="_Toc480213206"/>
      <w:bookmarkStart w:id="673" w:name="_Toc482807216"/>
      <w:r>
        <w:rPr>
          <w:rFonts w:hint="eastAsia" w:ascii="宋体" w:hAnsi="宋体" w:eastAsia="宋体" w:cs="宋体"/>
          <w:bCs w:val="0"/>
          <w:sz w:val="24"/>
          <w:szCs w:val="24"/>
        </w:rPr>
        <w:t>17　计量与支付</w:t>
      </w:r>
      <w:bookmarkEnd w:id="670"/>
      <w:bookmarkEnd w:id="671"/>
      <w:bookmarkEnd w:id="672"/>
      <w:bookmarkEnd w:id="673"/>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17.1计量</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17.1.4</w:t>
      </w:r>
      <w:r>
        <w:rPr>
          <w:rFonts w:hint="eastAsia" w:ascii="宋体" w:hAnsi="宋体" w:eastAsia="宋体" w:cs="宋体"/>
          <w:sz w:val="24"/>
          <w:szCs w:val="24"/>
        </w:rPr>
        <w:t>单价子目的计量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包人应按合同规定的计量办法，按月对已完成的质量合格的工程进行准确计量，并在每月末随同月付款申请单，按本合同《工程量清单》的项目分项向发包人和监理人提交完成工程量月报表和有关计量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发包人和监理人对承包人提交的工程量月报表进行复核，以确定当月实际完成的工程量，有疑问时，可要求承包人派员与发包人和监理人按第8.2款的规定共同复核和抽样复测。承包人应指派代表协助发包人和监理人进行复核并按发包人和监理人的要求提供补充计量资料。若承包人未按监理人的要求派代表参加复核，则发包人和监理人复核修正的工程量应被视为承包人实际完成的准确工程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（4）发包人和监理人认为有必要时，可要求与承包人共同进行联合测量、计量，承包人应遵照执行。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承包人完成了本合同《工程量清单》中每个子目的全部工程量后，发包人和监理人应要求承包人派员共同对每个子目的历次计量报表进行汇总和通过测量核实该子目的最终结算工程量，并可要求承包人提供补充计量资料，以确定该子目最后一次进度付款的准确工程量。如承包人未按发包人和监理人的要求派员参加，则发包人和监理人最终核实的工程量应被视为该子目完成的准确工程量。</w:t>
      </w:r>
    </w:p>
    <w:p>
      <w:pPr>
        <w:spacing w:line="360" w:lineRule="auto"/>
        <w:ind w:firstLine="200"/>
        <w:rPr>
          <w:rFonts w:hint="eastAsia" w:ascii="宋体" w:hAnsi="宋体" w:eastAsia="宋体" w:cs="宋体"/>
          <w:b/>
          <w:sz w:val="24"/>
          <w:szCs w:val="24"/>
        </w:rPr>
      </w:pPr>
      <w:r>
        <w:rPr>
          <w:rFonts w:hint="eastAsia" w:ascii="宋体" w:hAnsi="宋体" w:eastAsia="宋体" w:cs="宋体"/>
          <w:b/>
          <w:sz w:val="24"/>
          <w:szCs w:val="24"/>
        </w:rPr>
        <w:t>本款增加：</w:t>
      </w: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（6）在工程量的计量中，承包人若存在恶意弄虚作假行为的，发包人将对承包人按虚报工程量价款的3－5倍进行处罚，同时向承包人发出书面警告和在行业范围内通报。</w:t>
      </w:r>
    </w:p>
    <w:p>
      <w:pPr>
        <w:snapToGrid w:val="0"/>
        <w:spacing w:line="360" w:lineRule="auto"/>
        <w:ind w:left="440" w:leftChars="200" w:right="440" w:rightChars="200" w:firstLine="482" w:firstLineChars="200"/>
        <w:rPr>
          <w:rFonts w:hint="eastAsia" w:ascii="宋体" w:hAnsi="宋体" w:eastAsia="宋体" w:cs="宋体"/>
          <w:b/>
          <w:bCs/>
          <w:sz w:val="24"/>
          <w:szCs w:val="24"/>
        </w:rPr>
      </w:pPr>
      <w:r>
        <w:rPr>
          <w:rFonts w:hint="eastAsia" w:ascii="宋体" w:hAnsi="宋体" w:eastAsia="宋体" w:cs="宋体"/>
          <w:b/>
          <w:bCs/>
          <w:sz w:val="24"/>
          <w:szCs w:val="24"/>
        </w:rPr>
        <w:t>17.2　预付款</w:t>
      </w:r>
    </w:p>
    <w:p>
      <w:pPr>
        <w:snapToGrid w:val="0"/>
        <w:spacing w:line="360" w:lineRule="auto"/>
        <w:ind w:left="440" w:leftChars="200" w:right="440" w:rightChars="200" w:firstLine="482" w:firstLineChars="200"/>
        <w:rPr>
          <w:rFonts w:hint="eastAsia" w:ascii="宋体" w:hAnsi="宋体" w:eastAsia="宋体" w:cs="宋体"/>
          <w:b/>
          <w:bCs/>
          <w:sz w:val="24"/>
          <w:szCs w:val="24"/>
        </w:rPr>
      </w:pPr>
      <w:r>
        <w:rPr>
          <w:rFonts w:hint="eastAsia" w:ascii="宋体" w:hAnsi="宋体" w:eastAsia="宋体" w:cs="宋体"/>
          <w:b/>
          <w:bCs/>
          <w:sz w:val="24"/>
          <w:szCs w:val="24"/>
        </w:rPr>
        <w:t>17.2.1　预付款：</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（1）工程预付款的总金额为签约合同价的</w:t>
      </w:r>
      <w:r>
        <w:rPr>
          <w:rFonts w:hint="eastAsia" w:ascii="宋体" w:hAnsi="宋体" w:eastAsia="宋体" w:cs="宋体"/>
          <w:sz w:val="24"/>
          <w:szCs w:val="24"/>
          <w:u w:val="single"/>
        </w:rPr>
        <w:t xml:space="preserve"> 30 </w:t>
      </w:r>
      <w:r>
        <w:rPr>
          <w:rFonts w:hint="eastAsia" w:ascii="宋体" w:hAnsi="宋体" w:eastAsia="宋体" w:cs="宋体"/>
          <w:sz w:val="24"/>
          <w:szCs w:val="24"/>
        </w:rPr>
        <w:t xml:space="preserve">％，分 </w:t>
      </w:r>
      <w:r>
        <w:rPr>
          <w:rFonts w:hint="eastAsia" w:ascii="宋体" w:hAnsi="宋体" w:eastAsia="宋体" w:cs="宋体"/>
          <w:sz w:val="24"/>
          <w:szCs w:val="24"/>
          <w:u w:val="single"/>
        </w:rPr>
        <w:t xml:space="preserve">  两 </w:t>
      </w:r>
      <w:r>
        <w:rPr>
          <w:rFonts w:hint="eastAsia" w:ascii="宋体" w:hAnsi="宋体" w:eastAsia="宋体" w:cs="宋体"/>
          <w:sz w:val="24"/>
          <w:szCs w:val="24"/>
        </w:rPr>
        <w:t>次支付给承包人。各次预付款的支付额度和付款时间为：</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1）第一次预付款金额为工程预付款总金额的</w:t>
      </w:r>
      <w:r>
        <w:rPr>
          <w:rFonts w:hint="eastAsia" w:ascii="宋体" w:hAnsi="宋体" w:eastAsia="宋体" w:cs="宋体"/>
          <w:sz w:val="24"/>
          <w:szCs w:val="24"/>
          <w:u w:val="single"/>
        </w:rPr>
        <w:t xml:space="preserve">  40 </w:t>
      </w:r>
      <w:r>
        <w:rPr>
          <w:rFonts w:hint="eastAsia" w:ascii="宋体" w:hAnsi="宋体" w:eastAsia="宋体" w:cs="宋体"/>
          <w:sz w:val="24"/>
          <w:szCs w:val="24"/>
        </w:rPr>
        <w:t>％，付款时间应在合同协议书签订后，由承包人向发包人提交了发包人认可的工程预付款担保，并经监理人出具付款证书报送发包人批准后１４天内予以支付。</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2）第二次预付款金额为工程预付款总金额的</w:t>
      </w:r>
      <w:r>
        <w:rPr>
          <w:rFonts w:hint="eastAsia" w:ascii="宋体" w:hAnsi="宋体" w:eastAsia="宋体" w:cs="宋体"/>
          <w:sz w:val="24"/>
          <w:szCs w:val="24"/>
          <w:u w:val="single"/>
        </w:rPr>
        <w:t xml:space="preserve"> 60 </w:t>
      </w:r>
      <w:r>
        <w:rPr>
          <w:rFonts w:hint="eastAsia" w:ascii="宋体" w:hAnsi="宋体" w:eastAsia="宋体" w:cs="宋体"/>
          <w:sz w:val="24"/>
          <w:szCs w:val="24"/>
        </w:rPr>
        <w:t>％。付款时间需待承包人主要设备进入工地后，其估算价值已达到本次预付款金额时，由承包人提出书面申请，经监理人核实后出具付款证书报送发包人批准后１４天内予以支付。</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（2）工程材料预付款的额度和预付办法约定为：</w:t>
      </w:r>
      <w:r>
        <w:rPr>
          <w:rFonts w:hint="eastAsia" w:ascii="宋体" w:hAnsi="宋体" w:eastAsia="宋体" w:cs="宋体"/>
          <w:sz w:val="24"/>
          <w:szCs w:val="24"/>
          <w:u w:val="single"/>
        </w:rPr>
        <w:t>本工程不预付工程材料预付款</w:t>
      </w:r>
      <w:r>
        <w:rPr>
          <w:rFonts w:hint="eastAsia" w:ascii="宋体" w:hAnsi="宋体" w:eastAsia="宋体" w:cs="宋体"/>
          <w:sz w:val="24"/>
          <w:szCs w:val="24"/>
        </w:rPr>
        <w:t>。</w:t>
      </w:r>
    </w:p>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17.2.2　预付款保函（担保）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除专用合同条款另有约定外，承包人应在收到预付款的同时向发包人提交预付款保函，预付款保函的担保金额应与预付款金额相同。保函的担保金额可根据预付款扣回的金额相应递减。</w:t>
      </w:r>
    </w:p>
    <w:p>
      <w:pPr>
        <w:spacing w:line="360" w:lineRule="auto"/>
        <w:ind w:firstLine="480" w:firstLineChars="200"/>
        <w:rPr>
          <w:rFonts w:hint="eastAsia" w:ascii="宋体" w:hAnsi="宋体" w:eastAsia="宋体" w:cs="宋体"/>
          <w:sz w:val="24"/>
          <w:szCs w:val="24"/>
        </w:rPr>
      </w:pPr>
      <w:bookmarkStart w:id="674" w:name="_Toc221951236"/>
      <w:r>
        <w:rPr>
          <w:rFonts w:hint="eastAsia" w:ascii="宋体" w:hAnsi="宋体" w:eastAsia="宋体" w:cs="宋体"/>
          <w:sz w:val="24"/>
          <w:szCs w:val="24"/>
        </w:rPr>
        <w:t>（2）工程材料预付款的担保约定为：</w:t>
      </w:r>
      <w:r>
        <w:rPr>
          <w:rFonts w:hint="eastAsia" w:ascii="宋体" w:hAnsi="宋体" w:eastAsia="宋体" w:cs="宋体"/>
          <w:sz w:val="24"/>
          <w:szCs w:val="24"/>
          <w:u w:val="single"/>
        </w:rPr>
        <w:t xml:space="preserve"> ___——      </w:t>
      </w:r>
      <w:r>
        <w:rPr>
          <w:rFonts w:hint="eastAsia" w:ascii="宋体" w:hAnsi="宋体" w:eastAsia="宋体" w:cs="宋体"/>
          <w:sz w:val="24"/>
          <w:szCs w:val="24"/>
        </w:rPr>
        <w:t>。</w:t>
      </w:r>
      <w:bookmarkEnd w:id="674"/>
    </w:p>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17.2.3　预付款的扣回与还清</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（１）工程预付款在合同累计完成金额达到签约合同价的</w:t>
      </w:r>
      <w:r>
        <w:rPr>
          <w:rFonts w:hint="eastAsia" w:ascii="宋体" w:hAnsi="宋体" w:eastAsia="宋体" w:cs="宋体"/>
          <w:sz w:val="24"/>
          <w:szCs w:val="24"/>
          <w:u w:val="single"/>
        </w:rPr>
        <w:t xml:space="preserve"> 15 </w:t>
      </w:r>
      <w:r>
        <w:rPr>
          <w:rFonts w:hint="eastAsia" w:ascii="宋体" w:hAnsi="宋体" w:eastAsia="宋体" w:cs="宋体"/>
          <w:sz w:val="24"/>
          <w:szCs w:val="24"/>
        </w:rPr>
        <w:t>％时开始扣款，直至合同累计完成金额达到签约合同价的</w:t>
      </w:r>
      <w:r>
        <w:rPr>
          <w:rFonts w:hint="eastAsia" w:ascii="宋体" w:hAnsi="宋体" w:eastAsia="宋体" w:cs="宋体"/>
          <w:sz w:val="24"/>
          <w:szCs w:val="24"/>
          <w:u w:val="single"/>
        </w:rPr>
        <w:t xml:space="preserve"> 60 </w:t>
      </w:r>
      <w:r>
        <w:rPr>
          <w:rFonts w:hint="eastAsia" w:ascii="宋体" w:hAnsi="宋体" w:eastAsia="宋体" w:cs="宋体"/>
          <w:sz w:val="24"/>
          <w:szCs w:val="24"/>
        </w:rPr>
        <w:t xml:space="preserve"> ％时全部扣清。</w:t>
      </w:r>
    </w:p>
    <w:p>
      <w:pPr>
        <w:autoSpaceDE w:val="0"/>
        <w:autoSpaceDN w:val="0"/>
        <w:adjustRightInd w:val="0"/>
        <w:spacing w:line="360" w:lineRule="auto"/>
        <w:rPr>
          <w:rFonts w:hint="eastAsia" w:ascii="宋体" w:hAnsi="宋体" w:eastAsia="宋体" w:cs="宋体"/>
          <w:kern w:val="0"/>
          <w:sz w:val="24"/>
          <w:szCs w:val="24"/>
        </w:rPr>
      </w:pPr>
      <w:r>
        <w:rPr>
          <w:rFonts w:hint="eastAsia" w:ascii="宋体" w:hAnsi="宋体" w:eastAsia="宋体" w:cs="宋体"/>
          <w:sz w:val="24"/>
          <w:szCs w:val="24"/>
        </w:rPr>
        <w:t xml:space="preserve">                                    A</w:t>
      </w:r>
    </w:p>
    <w:p>
      <w:pPr>
        <w:autoSpaceDE w:val="0"/>
        <w:autoSpaceDN w:val="0"/>
        <w:adjustRightInd w:val="0"/>
        <w:spacing w:line="360" w:lineRule="auto"/>
        <w:rPr>
          <w:rFonts w:hint="eastAsia" w:ascii="宋体" w:hAnsi="宋体" w:eastAsia="宋体" w:cs="宋体"/>
          <w:sz w:val="24"/>
          <w:szCs w:val="24"/>
          <w:u w:val="single"/>
          <w:vertAlign w:val="superscript"/>
        </w:rPr>
      </w:pPr>
      <w:r>
        <w:rPr>
          <w:rFonts w:hint="eastAsia" w:ascii="宋体" w:hAnsi="宋体" w:eastAsia="宋体" w:cs="宋体"/>
          <w:sz w:val="24"/>
          <w:szCs w:val="24"/>
        </w:rPr>
        <w:t xml:space="preserve">                       R= </w:t>
      </w:r>
      <w:r>
        <w:rPr>
          <w:rFonts w:hint="eastAsia" w:ascii="宋体" w:hAnsi="宋体" w:eastAsia="宋体" w:cs="宋体"/>
          <w:sz w:val="24"/>
          <w:szCs w:val="24"/>
          <w:u w:val="single"/>
          <w:vertAlign w:val="superscript"/>
        </w:rPr>
        <w:t xml:space="preserve">                             </w:t>
      </w:r>
      <w:r>
        <w:rPr>
          <w:rFonts w:hint="eastAsia" w:ascii="宋体" w:hAnsi="宋体" w:eastAsia="宋体" w:cs="宋体"/>
          <w:sz w:val="24"/>
          <w:szCs w:val="24"/>
        </w:rPr>
        <w:t>(C-F</w:t>
      </w:r>
      <w:r>
        <w:rPr>
          <w:rFonts w:hint="eastAsia" w:ascii="宋体" w:hAnsi="宋体" w:eastAsia="宋体" w:cs="宋体"/>
          <w:sz w:val="24"/>
          <w:szCs w:val="24"/>
          <w:vertAlign w:val="subscript"/>
        </w:rPr>
        <w:t>1</w:t>
      </w:r>
      <w:r>
        <w:rPr>
          <w:rFonts w:hint="eastAsia" w:ascii="宋体" w:hAnsi="宋体" w:eastAsia="宋体" w:cs="宋体"/>
          <w:sz w:val="24"/>
          <w:szCs w:val="24"/>
        </w:rPr>
        <w:t>S)</w:t>
      </w:r>
    </w:p>
    <w:p>
      <w:pPr>
        <w:autoSpaceDE w:val="0"/>
        <w:autoSpaceDN w:val="0"/>
        <w:adjustRightInd w:val="0"/>
        <w:spacing w:line="360" w:lineRule="auto"/>
        <w:rPr>
          <w:rFonts w:hint="eastAsia" w:ascii="宋体" w:hAnsi="宋体" w:eastAsia="宋体" w:cs="宋体"/>
          <w:b/>
          <w:bCs/>
          <w:sz w:val="24"/>
          <w:szCs w:val="24"/>
        </w:rPr>
      </w:pPr>
      <w:r>
        <w:rPr>
          <w:rFonts w:hint="eastAsia" w:ascii="宋体" w:hAnsi="宋体" w:eastAsia="宋体" w:cs="宋体"/>
          <w:sz w:val="24"/>
          <w:szCs w:val="24"/>
          <w:vertAlign w:val="superscript"/>
        </w:rPr>
        <w:t xml:space="preserve"> </w:t>
      </w:r>
      <w:r>
        <w:rPr>
          <w:rFonts w:hint="eastAsia" w:ascii="宋体" w:hAnsi="宋体" w:eastAsia="宋体" w:cs="宋体"/>
          <w:b/>
          <w:bCs/>
          <w:sz w:val="24"/>
          <w:szCs w:val="24"/>
        </w:rPr>
        <w:t xml:space="preserve">                                 (F</w:t>
      </w:r>
      <w:r>
        <w:rPr>
          <w:rFonts w:hint="eastAsia" w:ascii="宋体" w:hAnsi="宋体" w:eastAsia="宋体" w:cs="宋体"/>
          <w:sz w:val="24"/>
          <w:szCs w:val="24"/>
          <w:vertAlign w:val="subscript"/>
        </w:rPr>
        <w:t>2</w:t>
      </w:r>
      <w:r>
        <w:rPr>
          <w:rFonts w:hint="eastAsia" w:ascii="宋体" w:hAnsi="宋体" w:eastAsia="宋体" w:cs="宋体"/>
          <w:b/>
          <w:bCs/>
          <w:sz w:val="24"/>
          <w:szCs w:val="24"/>
        </w:rPr>
        <w:t>-F</w:t>
      </w:r>
      <w:r>
        <w:rPr>
          <w:rFonts w:hint="eastAsia" w:ascii="宋体" w:hAnsi="宋体" w:eastAsia="宋体" w:cs="宋体"/>
          <w:sz w:val="24"/>
          <w:szCs w:val="24"/>
          <w:vertAlign w:val="subscript"/>
        </w:rPr>
        <w:t>1</w:t>
      </w:r>
      <w:r>
        <w:rPr>
          <w:rFonts w:hint="eastAsia" w:ascii="宋体" w:hAnsi="宋体" w:eastAsia="宋体" w:cs="宋体"/>
          <w:b/>
          <w:bCs/>
          <w:sz w:val="24"/>
          <w:szCs w:val="24"/>
        </w:rPr>
        <w:t xml:space="preserve">)S       </w:t>
      </w:r>
    </w:p>
    <w:p>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式中　R———每次进度付款中累计扣回的金额；</w:t>
      </w:r>
    </w:p>
    <w:p>
      <w:pPr>
        <w:autoSpaceDE w:val="0"/>
        <w:autoSpaceDN w:val="0"/>
        <w:adjustRightIn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A———工程预付款总金额；</w:t>
      </w:r>
    </w:p>
    <w:p>
      <w:pPr>
        <w:autoSpaceDE w:val="0"/>
        <w:autoSpaceDN w:val="0"/>
        <w:adjustRightIn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S———签约合同价；</w:t>
      </w:r>
    </w:p>
    <w:p>
      <w:pPr>
        <w:autoSpaceDE w:val="0"/>
        <w:autoSpaceDN w:val="0"/>
        <w:adjustRightIn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C———合同累计完成金额；</w:t>
      </w:r>
    </w:p>
    <w:p>
      <w:pPr>
        <w:autoSpaceDE w:val="0"/>
        <w:autoSpaceDN w:val="0"/>
        <w:adjustRightIn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eastAsia="宋体" w:cs="宋体"/>
          <w:sz w:val="24"/>
          <w:szCs w:val="24"/>
          <w:vertAlign w:val="subscript"/>
        </w:rPr>
        <w:t>1</w:t>
      </w:r>
      <w:r>
        <w:rPr>
          <w:rFonts w:hint="eastAsia" w:ascii="宋体" w:hAnsi="宋体" w:eastAsia="宋体" w:cs="宋体"/>
          <w:sz w:val="24"/>
          <w:szCs w:val="24"/>
        </w:rPr>
        <w:t>———开始扣款时合同累计完成金额达到签约合同价的比例；</w:t>
      </w:r>
    </w:p>
    <w:p>
      <w:pPr>
        <w:autoSpaceDE w:val="0"/>
        <w:autoSpaceDN w:val="0"/>
        <w:adjustRightInd w:val="0"/>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F</w:t>
      </w:r>
      <w:r>
        <w:rPr>
          <w:rFonts w:hint="eastAsia" w:ascii="宋体" w:hAnsi="宋体" w:eastAsia="宋体" w:cs="宋体"/>
          <w:sz w:val="24"/>
          <w:szCs w:val="24"/>
          <w:vertAlign w:val="subscript"/>
        </w:rPr>
        <w:t>2</w:t>
      </w:r>
      <w:r>
        <w:rPr>
          <w:rFonts w:hint="eastAsia" w:ascii="宋体" w:hAnsi="宋体" w:eastAsia="宋体" w:cs="宋体"/>
          <w:sz w:val="24"/>
          <w:szCs w:val="24"/>
        </w:rPr>
        <w:t>———全部扣清时合同累计完成金额达到签约合同价的比例。</w:t>
      </w:r>
    </w:p>
    <w:p>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上述合同累计完成金额均指价格调整前未扣质量保证金的金额。</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（2）工程材料预付款的扣回与还清约定为：</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17.4　质量保证金</w:t>
      </w:r>
    </w:p>
    <w:p>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17.4.1　</w:t>
      </w:r>
      <w:r>
        <w:rPr>
          <w:rFonts w:hint="eastAsia" w:ascii="宋体" w:hAnsi="宋体" w:eastAsia="宋体" w:cs="宋体"/>
          <w:color w:val="auto"/>
          <w:sz w:val="24"/>
          <w:szCs w:val="24"/>
          <w:highlight w:val="none"/>
        </w:rPr>
        <w:t>每个付款周期扣留的质量保证金为工程进度付款的</w:t>
      </w:r>
      <w:r>
        <w:rPr>
          <w:rFonts w:hint="eastAsia" w:ascii="宋体" w:hAnsi="宋体" w:eastAsia="宋体" w:cs="宋体"/>
          <w:color w:val="auto"/>
          <w:sz w:val="24"/>
          <w:szCs w:val="24"/>
          <w:highlight w:val="none"/>
          <w:u w:val="single"/>
        </w:rPr>
        <w:t xml:space="preserve"> 10 </w:t>
      </w:r>
      <w:r>
        <w:rPr>
          <w:rFonts w:hint="eastAsia" w:ascii="宋体" w:hAnsi="宋体" w:eastAsia="宋体" w:cs="宋体"/>
          <w:color w:val="auto"/>
          <w:sz w:val="24"/>
          <w:szCs w:val="24"/>
          <w:highlight w:val="none"/>
        </w:rPr>
        <w:t>％，扣留的质量保证金总额为签约合同价的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 xml:space="preserve"> ％。</w:t>
      </w:r>
    </w:p>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17.5　竣工（完工）结算</w:t>
      </w:r>
    </w:p>
    <w:p>
      <w:pPr>
        <w:autoSpaceDE w:val="0"/>
        <w:autoSpaceDN w:val="0"/>
        <w:adjustRightInd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bCs/>
          <w:sz w:val="24"/>
          <w:szCs w:val="24"/>
        </w:rPr>
        <w:t>17.2.1</w:t>
      </w:r>
      <w:r>
        <w:rPr>
          <w:rFonts w:hint="eastAsia" w:ascii="宋体" w:hAnsi="宋体" w:eastAsia="宋体" w:cs="宋体"/>
          <w:sz w:val="24"/>
          <w:szCs w:val="24"/>
        </w:rPr>
        <w:t>　竣工（完工）付款申请单</w:t>
      </w:r>
    </w:p>
    <w:p>
      <w:pPr>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sz w:val="24"/>
          <w:szCs w:val="24"/>
        </w:rPr>
        <w:t>（1）承包人应提交完工付款申请单一式</w:t>
      </w:r>
      <w:r>
        <w:rPr>
          <w:rFonts w:hint="eastAsia" w:ascii="宋体" w:hAnsi="宋体" w:eastAsia="宋体" w:cs="宋体"/>
          <w:sz w:val="24"/>
          <w:szCs w:val="24"/>
          <w:u w:val="single"/>
        </w:rPr>
        <w:t xml:space="preserve"> 4 </w:t>
      </w:r>
      <w:r>
        <w:rPr>
          <w:rFonts w:hint="eastAsia" w:ascii="宋体" w:hAnsi="宋体" w:eastAsia="宋体" w:cs="宋体"/>
          <w:sz w:val="24"/>
          <w:szCs w:val="24"/>
        </w:rPr>
        <w:t>份。</w:t>
      </w:r>
    </w:p>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17.6　最终结清</w:t>
      </w:r>
    </w:p>
    <w:p>
      <w:pPr>
        <w:autoSpaceDE w:val="0"/>
        <w:autoSpaceDN w:val="0"/>
        <w:adjustRightInd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17.3.1</w:t>
      </w:r>
      <w:r>
        <w:rPr>
          <w:rFonts w:hint="eastAsia" w:ascii="宋体" w:hAnsi="宋体" w:eastAsia="宋体" w:cs="宋体"/>
          <w:sz w:val="24"/>
          <w:szCs w:val="24"/>
        </w:rPr>
        <w:t>　最终结清申请单</w:t>
      </w:r>
    </w:p>
    <w:p>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（1）承包人应提交最终结清申请单一式</w:t>
      </w:r>
      <w:r>
        <w:rPr>
          <w:rFonts w:hint="eastAsia" w:ascii="宋体" w:hAnsi="宋体" w:eastAsia="宋体" w:cs="宋体"/>
          <w:sz w:val="24"/>
          <w:szCs w:val="24"/>
          <w:u w:val="single"/>
        </w:rPr>
        <w:t xml:space="preserve"> 4 </w:t>
      </w:r>
      <w:r>
        <w:rPr>
          <w:rFonts w:hint="eastAsia" w:ascii="宋体" w:hAnsi="宋体" w:eastAsia="宋体" w:cs="宋体"/>
          <w:sz w:val="24"/>
          <w:szCs w:val="24"/>
        </w:rPr>
        <w:t>份。</w:t>
      </w:r>
    </w:p>
    <w:p>
      <w:pPr>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17.7　竣工财务决算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工程完工验收后，承包人应按发包人要求，为发包人竣工财务决算编制提供以下资料：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（1）依据施工图纸及设计变更及时绘制工程竣工图，最终工程量以竣工图为计算依据；</w:t>
      </w:r>
    </w:p>
    <w:p>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（2）根据施工合同、补充合同或协议、监理和业主的签证资料，以及国家有关规定，及时编制工程竣工结算。经监理单位审核并加盖单位公章后，报发包人审查，并协助发包人完成工程竣工结算审核工作。</w:t>
      </w:r>
    </w:p>
    <w:p>
      <w:pPr>
        <w:pStyle w:val="3"/>
        <w:keepNext w:val="0"/>
        <w:keepLines w:val="0"/>
        <w:rPr>
          <w:rFonts w:hint="eastAsia" w:ascii="宋体" w:hAnsi="宋体" w:eastAsia="宋体" w:cs="宋体"/>
          <w:sz w:val="24"/>
          <w:szCs w:val="24"/>
        </w:rPr>
      </w:pPr>
      <w:bookmarkStart w:id="675" w:name="_Toc480213207"/>
      <w:bookmarkStart w:id="676" w:name="_Toc479701867"/>
      <w:bookmarkStart w:id="677" w:name="_Toc480213776"/>
      <w:bookmarkStart w:id="678" w:name="_Toc482807217"/>
      <w:r>
        <w:rPr>
          <w:rFonts w:hint="eastAsia" w:ascii="宋体" w:hAnsi="宋体" w:eastAsia="宋体" w:cs="宋体"/>
          <w:sz w:val="24"/>
          <w:szCs w:val="24"/>
        </w:rPr>
        <w:t>18　竣工验收（验收）</w:t>
      </w:r>
      <w:bookmarkEnd w:id="675"/>
      <w:bookmarkEnd w:id="676"/>
      <w:bookmarkEnd w:id="677"/>
      <w:bookmarkEnd w:id="678"/>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18.1</w:t>
      </w:r>
      <w:r>
        <w:rPr>
          <w:rFonts w:hint="eastAsia" w:ascii="宋体" w:hAnsi="宋体" w:eastAsia="宋体" w:cs="宋体"/>
          <w:sz w:val="24"/>
          <w:szCs w:val="24"/>
        </w:rPr>
        <w:t>　验收工作分类</w:t>
      </w:r>
    </w:p>
    <w:p>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本工程法人验收及政府验收的验收条件及验收程序执行水利部令30号《水利工程建设项目验收管理规定》中的有关法人验收及政府验收的相关规定。</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本工程法人验收包括：</w:t>
      </w:r>
      <w:r>
        <w:rPr>
          <w:rFonts w:hint="eastAsia" w:ascii="宋体" w:hAnsi="宋体" w:eastAsia="宋体" w:cs="宋体"/>
          <w:sz w:val="24"/>
          <w:szCs w:val="24"/>
          <w:u w:val="single"/>
        </w:rPr>
        <w:t>分部工程、单位工程</w:t>
      </w:r>
      <w:r>
        <w:rPr>
          <w:rFonts w:hint="eastAsia" w:ascii="宋体" w:hAnsi="宋体" w:eastAsia="宋体" w:cs="宋体"/>
          <w:sz w:val="24"/>
          <w:szCs w:val="24"/>
        </w:rPr>
        <w:t>；政府验收包括：</w:t>
      </w:r>
      <w:r>
        <w:rPr>
          <w:rFonts w:hint="eastAsia" w:ascii="宋体" w:hAnsi="宋体" w:eastAsia="宋体" w:cs="宋体"/>
          <w:sz w:val="24"/>
          <w:szCs w:val="24"/>
          <w:u w:val="single"/>
        </w:rPr>
        <w:t>阶段验收、竣工验收</w:t>
      </w:r>
      <w:r>
        <w:rPr>
          <w:rFonts w:hint="eastAsia" w:ascii="宋体" w:hAnsi="宋体" w:eastAsia="宋体" w:cs="宋体"/>
          <w:sz w:val="24"/>
          <w:szCs w:val="24"/>
        </w:rPr>
        <w:t>。验收条件为：</w:t>
      </w:r>
      <w:r>
        <w:rPr>
          <w:rFonts w:hint="eastAsia" w:ascii="宋体" w:hAnsi="宋体" w:eastAsia="宋体" w:cs="宋体"/>
          <w:sz w:val="24"/>
          <w:szCs w:val="24"/>
          <w:u w:val="single"/>
        </w:rPr>
        <w:t>符合验收条件</w:t>
      </w:r>
      <w:r>
        <w:rPr>
          <w:rFonts w:hint="eastAsia" w:ascii="宋体" w:hAnsi="宋体" w:eastAsia="宋体" w:cs="宋体"/>
          <w:sz w:val="24"/>
          <w:szCs w:val="24"/>
        </w:rPr>
        <w:t>，验收程序为：</w:t>
      </w:r>
      <w:r>
        <w:rPr>
          <w:rFonts w:hint="eastAsia" w:ascii="宋体" w:hAnsi="宋体" w:eastAsia="宋体" w:cs="宋体"/>
          <w:sz w:val="24"/>
          <w:szCs w:val="24"/>
          <w:u w:val="single"/>
        </w:rPr>
        <w:t>按有关规定</w:t>
      </w:r>
      <w:r>
        <w:rPr>
          <w:rFonts w:hint="eastAsia" w:ascii="宋体" w:hAnsi="宋体" w:eastAsia="宋体" w:cs="宋体"/>
          <w:sz w:val="24"/>
          <w:szCs w:val="24"/>
        </w:rPr>
        <w:t>。</w:t>
      </w:r>
    </w:p>
    <w:p>
      <w:pPr>
        <w:pStyle w:val="5"/>
        <w:rPr>
          <w:rFonts w:hint="eastAsia" w:ascii="宋体" w:hAnsi="宋体" w:eastAsia="宋体" w:cs="宋体"/>
          <w:sz w:val="24"/>
          <w:szCs w:val="24"/>
        </w:rPr>
      </w:pPr>
      <w:r>
        <w:rPr>
          <w:rFonts w:hint="eastAsia" w:ascii="宋体" w:hAnsi="宋体" w:eastAsia="宋体" w:cs="宋体"/>
          <w:sz w:val="24"/>
          <w:szCs w:val="24"/>
        </w:rPr>
        <w:t>18.2 分部工程验收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18.2.2 本工程由发包人主持的分部工程验收为</w:t>
      </w:r>
      <w:r>
        <w:rPr>
          <w:rFonts w:hint="eastAsia" w:ascii="宋体" w:hAnsi="宋体" w:eastAsia="宋体" w:cs="宋体"/>
          <w:sz w:val="24"/>
          <w:szCs w:val="24"/>
          <w:u w:val="single"/>
        </w:rPr>
        <w:t>隐蔽工程验收</w:t>
      </w:r>
      <w:r>
        <w:rPr>
          <w:rFonts w:hint="eastAsia" w:ascii="宋体" w:hAnsi="宋体" w:eastAsia="宋体" w:cs="宋体"/>
          <w:sz w:val="24"/>
          <w:szCs w:val="24"/>
        </w:rPr>
        <w:t>，其余由监理人主持。</w:t>
      </w:r>
    </w:p>
    <w:p>
      <w:pPr>
        <w:pStyle w:val="5"/>
        <w:keepNext w:val="0"/>
        <w:keepLines w:val="0"/>
        <w:rPr>
          <w:rFonts w:hint="eastAsia" w:ascii="宋体" w:hAnsi="宋体" w:eastAsia="宋体" w:cs="宋体"/>
          <w:sz w:val="24"/>
          <w:szCs w:val="24"/>
        </w:rPr>
      </w:pPr>
      <w:r>
        <w:rPr>
          <w:rFonts w:hint="eastAsia" w:ascii="宋体" w:hAnsi="宋体" w:eastAsia="宋体" w:cs="宋体"/>
          <w:sz w:val="24"/>
          <w:szCs w:val="24"/>
        </w:rPr>
        <w:t>18.3 单位工程验收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18.3.4 提前投人使用的单位工程包括：</w:t>
      </w:r>
      <w:r>
        <w:rPr>
          <w:rFonts w:hint="eastAsia" w:ascii="宋体" w:hAnsi="宋体" w:eastAsia="宋体" w:cs="宋体"/>
          <w:sz w:val="24"/>
          <w:szCs w:val="24"/>
          <w:u w:val="single"/>
        </w:rPr>
        <w:t xml:space="preserve">  _——  </w:t>
      </w:r>
      <w:r>
        <w:rPr>
          <w:rFonts w:hint="eastAsia" w:ascii="宋体" w:hAnsi="宋体" w:eastAsia="宋体" w:cs="宋体"/>
          <w:sz w:val="24"/>
          <w:szCs w:val="24"/>
        </w:rPr>
        <w:t xml:space="preserve">。 </w:t>
      </w:r>
    </w:p>
    <w:p>
      <w:pPr>
        <w:pStyle w:val="5"/>
        <w:keepNext w:val="0"/>
        <w:keepLines w:val="0"/>
        <w:rPr>
          <w:rFonts w:hint="eastAsia" w:ascii="宋体" w:hAnsi="宋体" w:eastAsia="宋体" w:cs="宋体"/>
          <w:sz w:val="24"/>
          <w:szCs w:val="24"/>
        </w:rPr>
      </w:pPr>
      <w:r>
        <w:rPr>
          <w:rFonts w:hint="eastAsia" w:ascii="宋体" w:hAnsi="宋体" w:eastAsia="宋体" w:cs="宋体"/>
          <w:sz w:val="24"/>
          <w:szCs w:val="24"/>
        </w:rPr>
        <w:t>18.5 阶段验收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18.5.1 本合同工程阶段验收类别包括：</w:t>
      </w:r>
      <w:r>
        <w:rPr>
          <w:rFonts w:hint="eastAsia" w:ascii="宋体" w:hAnsi="宋体" w:eastAsia="宋体" w:cs="宋体"/>
          <w:sz w:val="24"/>
          <w:szCs w:val="24"/>
          <w:u w:val="single"/>
        </w:rPr>
        <w:t xml:space="preserve"> 待定  </w:t>
      </w:r>
      <w:r>
        <w:rPr>
          <w:rFonts w:hint="eastAsia" w:ascii="宋体" w:hAnsi="宋体" w:eastAsia="宋体" w:cs="宋体"/>
          <w:sz w:val="24"/>
          <w:szCs w:val="24"/>
        </w:rPr>
        <w:t>。</w:t>
      </w:r>
    </w:p>
    <w:p>
      <w:pPr>
        <w:pStyle w:val="5"/>
        <w:keepNext w:val="0"/>
        <w:keepLines w:val="0"/>
        <w:rPr>
          <w:rFonts w:hint="eastAsia" w:ascii="宋体" w:hAnsi="宋体" w:eastAsia="宋体" w:cs="宋体"/>
          <w:sz w:val="24"/>
          <w:szCs w:val="24"/>
        </w:rPr>
      </w:pPr>
      <w:r>
        <w:rPr>
          <w:rFonts w:hint="eastAsia" w:ascii="宋体" w:hAnsi="宋体" w:eastAsia="宋体" w:cs="宋体"/>
          <w:sz w:val="24"/>
          <w:szCs w:val="24"/>
        </w:rPr>
        <w:t>18.6 专项验收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18.6.2 本合同工程专项验收类别包括：</w:t>
      </w:r>
      <w:r>
        <w:rPr>
          <w:rFonts w:hint="eastAsia" w:ascii="宋体" w:hAnsi="宋体" w:eastAsia="宋体" w:cs="宋体"/>
          <w:sz w:val="24"/>
          <w:szCs w:val="24"/>
          <w:u w:val="single"/>
        </w:rPr>
        <w:t xml:space="preserve">待定  </w:t>
      </w:r>
      <w:r>
        <w:rPr>
          <w:rFonts w:hint="eastAsia" w:ascii="宋体" w:hAnsi="宋体" w:eastAsia="宋体" w:cs="宋体"/>
          <w:sz w:val="24"/>
          <w:szCs w:val="24"/>
        </w:rPr>
        <w:t>。</w:t>
      </w:r>
    </w:p>
    <w:p>
      <w:pPr>
        <w:pStyle w:val="5"/>
        <w:keepNext w:val="0"/>
        <w:keepLines w:val="0"/>
        <w:rPr>
          <w:rFonts w:hint="eastAsia" w:ascii="宋体" w:hAnsi="宋体" w:eastAsia="宋体" w:cs="宋体"/>
          <w:sz w:val="24"/>
          <w:szCs w:val="24"/>
        </w:rPr>
      </w:pPr>
      <w:r>
        <w:rPr>
          <w:rFonts w:hint="eastAsia" w:ascii="宋体" w:hAnsi="宋体" w:eastAsia="宋体" w:cs="宋体"/>
          <w:sz w:val="24"/>
          <w:szCs w:val="24"/>
        </w:rPr>
        <w:t>18.7 竣工验收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18.7.3 本工程</w:t>
      </w:r>
      <w:r>
        <w:rPr>
          <w:rFonts w:hint="eastAsia" w:ascii="宋体" w:hAnsi="宋体" w:eastAsia="宋体" w:cs="宋体"/>
          <w:sz w:val="24"/>
          <w:szCs w:val="24"/>
          <w:u w:val="single"/>
        </w:rPr>
        <w:t xml:space="preserve">   不需要    </w:t>
      </w:r>
      <w:r>
        <w:rPr>
          <w:rFonts w:hint="eastAsia" w:ascii="宋体" w:hAnsi="宋体" w:eastAsia="宋体" w:cs="宋体"/>
          <w:sz w:val="24"/>
          <w:szCs w:val="24"/>
        </w:rPr>
        <w:t>（需要／不需要）竣工验收技术鉴定（蓄水安全鉴定）。</w:t>
      </w:r>
    </w:p>
    <w:p>
      <w:pPr>
        <w:pStyle w:val="5"/>
        <w:keepNext w:val="0"/>
        <w:keepLines w:val="0"/>
        <w:rPr>
          <w:rFonts w:hint="eastAsia" w:ascii="宋体" w:hAnsi="宋体" w:eastAsia="宋体" w:cs="宋体"/>
          <w:sz w:val="24"/>
          <w:szCs w:val="24"/>
        </w:rPr>
      </w:pPr>
      <w:bookmarkStart w:id="679" w:name="_Toc221951282"/>
      <w:r>
        <w:rPr>
          <w:rFonts w:hint="eastAsia" w:ascii="宋体" w:hAnsi="宋体" w:eastAsia="宋体" w:cs="宋体"/>
          <w:sz w:val="24"/>
          <w:szCs w:val="24"/>
        </w:rPr>
        <w:t>18.8 施工期运行</w:t>
      </w:r>
      <w:bookmarkEnd w:id="679"/>
    </w:p>
    <w:p>
      <w:pPr>
        <w:spacing w:line="360" w:lineRule="auto"/>
        <w:ind w:firstLine="480" w:firstLineChars="200"/>
        <w:rPr>
          <w:rFonts w:hint="eastAsia" w:ascii="宋体" w:hAnsi="宋体" w:eastAsia="宋体" w:cs="宋体"/>
          <w:sz w:val="24"/>
          <w:szCs w:val="24"/>
        </w:rPr>
      </w:pPr>
      <w:bookmarkStart w:id="680" w:name="_Toc221951283"/>
      <w:r>
        <w:rPr>
          <w:rFonts w:hint="eastAsia" w:ascii="宋体" w:hAnsi="宋体" w:eastAsia="宋体" w:cs="宋体"/>
          <w:sz w:val="24"/>
          <w:szCs w:val="24"/>
        </w:rPr>
        <w:t>18.8.1 需要在施工期运行的单位工程或工程设备为：</w:t>
      </w:r>
      <w:r>
        <w:rPr>
          <w:rFonts w:hint="eastAsia" w:ascii="宋体" w:hAnsi="宋体" w:eastAsia="宋体" w:cs="宋体"/>
          <w:sz w:val="24"/>
          <w:szCs w:val="24"/>
          <w:u w:val="single"/>
        </w:rPr>
        <w:t xml:space="preserve"> —— </w:t>
      </w:r>
      <w:bookmarkEnd w:id="680"/>
      <w:r>
        <w:rPr>
          <w:rFonts w:hint="eastAsia" w:ascii="宋体" w:hAnsi="宋体" w:eastAsia="宋体" w:cs="宋体"/>
          <w:sz w:val="24"/>
          <w:szCs w:val="24"/>
        </w:rPr>
        <w:t>。</w:t>
      </w:r>
    </w:p>
    <w:p>
      <w:pPr>
        <w:pStyle w:val="5"/>
        <w:keepNext w:val="0"/>
        <w:keepLines w:val="0"/>
        <w:rPr>
          <w:rFonts w:hint="eastAsia" w:ascii="宋体" w:hAnsi="宋体" w:eastAsia="宋体" w:cs="宋体"/>
          <w:sz w:val="24"/>
          <w:szCs w:val="24"/>
        </w:rPr>
      </w:pPr>
      <w:bookmarkStart w:id="681" w:name="_Toc221951285"/>
      <w:r>
        <w:rPr>
          <w:rFonts w:hint="eastAsia" w:ascii="宋体" w:hAnsi="宋体" w:eastAsia="宋体" w:cs="宋体"/>
          <w:sz w:val="24"/>
          <w:szCs w:val="24"/>
        </w:rPr>
        <w:t>18.9 试运行</w:t>
      </w:r>
      <w:bookmarkEnd w:id="681"/>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bookmarkStart w:id="682" w:name="_Toc221951286"/>
      <w:r>
        <w:rPr>
          <w:rFonts w:hint="eastAsia" w:ascii="宋体" w:hAnsi="宋体" w:eastAsia="宋体" w:cs="宋体"/>
          <w:sz w:val="24"/>
          <w:szCs w:val="24"/>
        </w:rPr>
        <w:t xml:space="preserve">18.9.1 </w:t>
      </w:r>
      <w:bookmarkEnd w:id="682"/>
      <w:r>
        <w:rPr>
          <w:rFonts w:hint="eastAsia" w:ascii="宋体" w:hAnsi="宋体" w:eastAsia="宋体" w:cs="宋体"/>
          <w:sz w:val="24"/>
          <w:szCs w:val="24"/>
        </w:rPr>
        <w:t>试运行的组织：</w:t>
      </w:r>
      <w:r>
        <w:rPr>
          <w:rFonts w:hint="eastAsia" w:ascii="宋体" w:hAnsi="宋体" w:eastAsia="宋体" w:cs="宋体"/>
          <w:sz w:val="24"/>
          <w:szCs w:val="24"/>
          <w:u w:val="single"/>
        </w:rPr>
        <w:t xml:space="preserve"> 承包人 </w:t>
      </w:r>
      <w:r>
        <w:rPr>
          <w:rFonts w:hint="eastAsia" w:ascii="宋体" w:hAnsi="宋体" w:eastAsia="宋体" w:cs="宋体"/>
          <w:sz w:val="24"/>
          <w:szCs w:val="24"/>
        </w:rPr>
        <w:t>；费用承担：</w:t>
      </w:r>
      <w:r>
        <w:rPr>
          <w:rFonts w:hint="eastAsia" w:ascii="宋体" w:hAnsi="宋体" w:eastAsia="宋体" w:cs="宋体"/>
          <w:sz w:val="24"/>
          <w:szCs w:val="24"/>
          <w:u w:val="single"/>
        </w:rPr>
        <w:t xml:space="preserve"> 承包人  </w:t>
      </w:r>
      <w:r>
        <w:rPr>
          <w:rFonts w:hint="eastAsia" w:ascii="宋体" w:hAnsi="宋体" w:eastAsia="宋体" w:cs="宋体"/>
          <w:sz w:val="24"/>
          <w:szCs w:val="24"/>
        </w:rPr>
        <w:t xml:space="preserve"> 。</w:t>
      </w:r>
    </w:p>
    <w:p>
      <w:pPr>
        <w:pStyle w:val="3"/>
        <w:keepNext w:val="0"/>
        <w:keepLines w:val="0"/>
        <w:rPr>
          <w:rFonts w:hint="eastAsia" w:ascii="宋体" w:hAnsi="宋体" w:eastAsia="宋体" w:cs="宋体"/>
          <w:sz w:val="24"/>
          <w:szCs w:val="24"/>
        </w:rPr>
      </w:pPr>
      <w:bookmarkStart w:id="683" w:name="_Toc480213777"/>
      <w:bookmarkStart w:id="684" w:name="_Toc480213208"/>
      <w:bookmarkStart w:id="685" w:name="_Toc479701868"/>
      <w:bookmarkStart w:id="686" w:name="_Toc482807218"/>
      <w:r>
        <w:rPr>
          <w:rFonts w:hint="eastAsia" w:ascii="宋体" w:hAnsi="宋体" w:eastAsia="宋体" w:cs="宋体"/>
          <w:sz w:val="24"/>
          <w:szCs w:val="24"/>
        </w:rPr>
        <w:t>19　缺陷责任与保修责任</w:t>
      </w:r>
      <w:bookmarkEnd w:id="683"/>
      <w:bookmarkEnd w:id="684"/>
      <w:bookmarkEnd w:id="685"/>
      <w:bookmarkEnd w:id="686"/>
    </w:p>
    <w:p>
      <w:pPr>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b/>
          <w:sz w:val="24"/>
          <w:szCs w:val="24"/>
        </w:rPr>
        <w:t>19.1</w:t>
      </w:r>
      <w:r>
        <w:rPr>
          <w:rFonts w:hint="eastAsia" w:ascii="宋体" w:hAnsi="宋体" w:eastAsia="宋体" w:cs="宋体"/>
          <w:sz w:val="24"/>
          <w:szCs w:val="24"/>
        </w:rPr>
        <w:t>　缺陷责任期（工程质量保修期）的起算时间</w:t>
      </w:r>
    </w:p>
    <w:p>
      <w:pPr>
        <w:autoSpaceDE w:val="0"/>
        <w:autoSpaceDN w:val="0"/>
        <w:adjustRightIn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本工程缺陷责任期（工程质量保修期）计算如下：</w:t>
      </w:r>
      <w:r>
        <w:rPr>
          <w:rFonts w:hint="eastAsia" w:ascii="宋体" w:hAnsi="宋体" w:eastAsia="宋体" w:cs="宋体"/>
          <w:sz w:val="24"/>
          <w:szCs w:val="24"/>
          <w:u w:val="single"/>
        </w:rPr>
        <w:t>从工程通过合同工程完工验收后开始计</w:t>
      </w:r>
      <w:r>
        <w:rPr>
          <w:rFonts w:hint="eastAsia" w:ascii="宋体" w:hAnsi="宋体" w:eastAsia="宋体" w:cs="宋体"/>
          <w:color w:val="auto"/>
          <w:sz w:val="24"/>
          <w:szCs w:val="24"/>
          <w:highlight w:val="none"/>
          <w:u w:val="single"/>
        </w:rPr>
        <w:t>算，期限</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年。</w:t>
      </w:r>
    </w:p>
    <w:p>
      <w:pPr>
        <w:pStyle w:val="3"/>
        <w:keepNext w:val="0"/>
        <w:keepLines w:val="0"/>
        <w:rPr>
          <w:rFonts w:hint="eastAsia" w:ascii="宋体" w:hAnsi="宋体" w:eastAsia="宋体" w:cs="宋体"/>
          <w:sz w:val="24"/>
          <w:szCs w:val="24"/>
        </w:rPr>
      </w:pPr>
      <w:bookmarkStart w:id="687" w:name="_Toc480213778"/>
      <w:bookmarkStart w:id="688" w:name="_Toc479701869"/>
      <w:bookmarkStart w:id="689" w:name="_Toc480213209"/>
      <w:bookmarkStart w:id="690" w:name="_Toc482807219"/>
      <w:r>
        <w:rPr>
          <w:rFonts w:hint="eastAsia" w:ascii="宋体" w:hAnsi="宋体" w:eastAsia="宋体" w:cs="宋体"/>
          <w:sz w:val="24"/>
          <w:szCs w:val="24"/>
        </w:rPr>
        <w:t>20　保险</w:t>
      </w:r>
      <w:bookmarkEnd w:id="687"/>
      <w:bookmarkEnd w:id="688"/>
      <w:bookmarkEnd w:id="689"/>
      <w:bookmarkEnd w:id="690"/>
    </w:p>
    <w:p>
      <w:pPr>
        <w:autoSpaceDE w:val="0"/>
        <w:autoSpaceDN w:val="0"/>
        <w:adjustRightIn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20.1　工程保险</w:t>
      </w:r>
    </w:p>
    <w:p>
      <w:pPr>
        <w:autoSpaceDE w:val="0"/>
        <w:autoSpaceDN w:val="0"/>
        <w:adjustRightIn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spacing w:line="360" w:lineRule="auto"/>
        <w:ind w:firstLine="200"/>
        <w:rPr>
          <w:rFonts w:hint="eastAsia" w:ascii="宋体" w:hAnsi="宋体" w:eastAsia="宋体" w:cs="宋体"/>
          <w:sz w:val="24"/>
          <w:szCs w:val="24"/>
        </w:rPr>
      </w:pPr>
      <w:r>
        <w:rPr>
          <w:rFonts w:hint="eastAsia" w:ascii="宋体" w:hAnsi="宋体" w:eastAsia="宋体" w:cs="宋体"/>
          <w:sz w:val="24"/>
          <w:szCs w:val="24"/>
        </w:rPr>
        <w:t>建筑工程一切险和（或）安装工程一切险投保人：</w:t>
      </w:r>
      <w:r>
        <w:rPr>
          <w:rFonts w:hint="eastAsia" w:ascii="宋体" w:hAnsi="宋体" w:eastAsia="宋体" w:cs="宋体"/>
          <w:sz w:val="24"/>
          <w:szCs w:val="24"/>
          <w:u w:val="single"/>
        </w:rPr>
        <w:t xml:space="preserve">  承包人   </w:t>
      </w:r>
      <w:r>
        <w:rPr>
          <w:rFonts w:hint="eastAsia" w:ascii="宋体" w:hAnsi="宋体" w:eastAsia="宋体" w:cs="宋体"/>
          <w:sz w:val="24"/>
          <w:szCs w:val="24"/>
        </w:rPr>
        <w:t xml:space="preserve">；                        </w:t>
      </w:r>
    </w:p>
    <w:p>
      <w:pPr>
        <w:spacing w:line="360" w:lineRule="auto"/>
        <w:ind w:firstLine="200"/>
        <w:rPr>
          <w:rFonts w:hint="eastAsia" w:ascii="宋体" w:hAnsi="宋体" w:eastAsia="宋体" w:cs="宋体"/>
          <w:sz w:val="24"/>
          <w:szCs w:val="24"/>
        </w:rPr>
      </w:pPr>
      <w:r>
        <w:rPr>
          <w:rFonts w:hint="eastAsia" w:ascii="宋体" w:hAnsi="宋体" w:eastAsia="宋体" w:cs="宋体"/>
          <w:sz w:val="24"/>
          <w:szCs w:val="24"/>
        </w:rPr>
        <w:t>投保内容：</w:t>
      </w:r>
      <w:r>
        <w:rPr>
          <w:rFonts w:hint="eastAsia" w:ascii="宋体" w:hAnsi="宋体" w:eastAsia="宋体" w:cs="宋体"/>
          <w:sz w:val="24"/>
          <w:szCs w:val="24"/>
          <w:u w:val="single"/>
        </w:rPr>
        <w:t xml:space="preserve">       依据有关标准执行                           </w:t>
      </w:r>
      <w:r>
        <w:rPr>
          <w:rFonts w:hint="eastAsia" w:ascii="宋体" w:hAnsi="宋体" w:eastAsia="宋体" w:cs="宋体"/>
          <w:sz w:val="24"/>
          <w:szCs w:val="24"/>
        </w:rPr>
        <w:t xml:space="preserve">；                               </w:t>
      </w:r>
    </w:p>
    <w:p>
      <w:pPr>
        <w:spacing w:line="360" w:lineRule="auto"/>
        <w:ind w:firstLine="200"/>
        <w:rPr>
          <w:rFonts w:hint="eastAsia" w:ascii="宋体" w:hAnsi="宋体" w:eastAsia="宋体" w:cs="宋体"/>
          <w:sz w:val="24"/>
          <w:szCs w:val="24"/>
        </w:rPr>
      </w:pPr>
      <w:r>
        <w:rPr>
          <w:rFonts w:hint="eastAsia" w:ascii="宋体" w:hAnsi="宋体" w:eastAsia="宋体" w:cs="宋体"/>
          <w:sz w:val="24"/>
          <w:szCs w:val="24"/>
        </w:rPr>
        <w:t>保险金额、保险费率和保险期限：</w:t>
      </w:r>
      <w:r>
        <w:rPr>
          <w:rFonts w:hint="eastAsia" w:ascii="宋体" w:hAnsi="宋体" w:eastAsia="宋体" w:cs="宋体"/>
          <w:sz w:val="24"/>
          <w:szCs w:val="24"/>
          <w:u w:val="single"/>
        </w:rPr>
        <w:t xml:space="preserve">   依据有关标准执行          </w:t>
      </w:r>
      <w:r>
        <w:rPr>
          <w:rFonts w:hint="eastAsia" w:ascii="宋体" w:hAnsi="宋体" w:eastAsia="宋体" w:cs="宋体"/>
          <w:sz w:val="24"/>
          <w:szCs w:val="24"/>
        </w:rPr>
        <w:t>。</w:t>
      </w:r>
    </w:p>
    <w:p>
      <w:pPr>
        <w:autoSpaceDE w:val="0"/>
        <w:autoSpaceDN w:val="0"/>
        <w:adjustRightIn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20.4　第三者责任险</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20.4.2</w:t>
      </w:r>
      <w:r>
        <w:rPr>
          <w:rFonts w:hint="eastAsia" w:ascii="宋体" w:hAnsi="宋体" w:eastAsia="宋体" w:cs="宋体"/>
          <w:sz w:val="24"/>
          <w:szCs w:val="24"/>
        </w:rPr>
        <w:t>本款作以下修改：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施工期间，发包人和承包人各自投保在工地及其毗邻地带的第三者人员的人身伤害和财产损失的第三者责任险，此项投保不免除承包人和发包人各自应负的在其管辖区内及其毗邻地带发生的第三者人员人身伤害和财产损失的赔偿责任，其赔偿费用应包括赔偿费、诉讼费和其它有关费用。费用各自承担。</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20.4.2 第三者责任险保险费率：</w:t>
      </w:r>
      <w:r>
        <w:rPr>
          <w:rFonts w:hint="eastAsia" w:ascii="宋体" w:hAnsi="宋体" w:eastAsia="宋体" w:cs="宋体"/>
          <w:sz w:val="24"/>
          <w:szCs w:val="24"/>
          <w:u w:val="single"/>
        </w:rPr>
        <w:t xml:space="preserve">  依据有关标准执行    </w:t>
      </w:r>
      <w:r>
        <w:rPr>
          <w:rFonts w:hint="eastAsia" w:ascii="宋体" w:hAnsi="宋体" w:eastAsia="宋体" w:cs="宋体"/>
          <w:sz w:val="24"/>
          <w:szCs w:val="24"/>
        </w:rPr>
        <w:t xml:space="preserve">；                                       </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第三者责任险保险金额：</w:t>
      </w:r>
      <w:r>
        <w:rPr>
          <w:rFonts w:hint="eastAsia" w:ascii="宋体" w:hAnsi="宋体" w:eastAsia="宋体" w:cs="宋体"/>
          <w:sz w:val="24"/>
          <w:szCs w:val="24"/>
          <w:u w:val="single"/>
        </w:rPr>
        <w:t xml:space="preserve">  依据有关标准执行  </w:t>
      </w:r>
      <w:r>
        <w:rPr>
          <w:rFonts w:hint="eastAsia" w:ascii="宋体" w:hAnsi="宋体" w:eastAsia="宋体" w:cs="宋体"/>
          <w:sz w:val="24"/>
          <w:szCs w:val="24"/>
        </w:rPr>
        <w:t xml:space="preserve">。 </w:t>
      </w:r>
    </w:p>
    <w:p>
      <w:pPr>
        <w:autoSpaceDE w:val="0"/>
        <w:autoSpaceDN w:val="0"/>
        <w:adjustRightIn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20.5　其它保险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除专用合同条款另有约定外，承包人应为其施工设备、进场的材料和工程设备等办理保险。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需要投保的其他内容：</w:t>
      </w:r>
      <w:r>
        <w:rPr>
          <w:rFonts w:hint="eastAsia" w:ascii="宋体" w:hAnsi="宋体" w:eastAsia="宋体" w:cs="宋体"/>
          <w:sz w:val="24"/>
          <w:szCs w:val="24"/>
          <w:u w:val="single"/>
        </w:rPr>
        <w:t xml:space="preserve">   依据有关标准执行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保险金额、保险费率和保险期限：</w:t>
      </w:r>
      <w:r>
        <w:rPr>
          <w:rFonts w:hint="eastAsia" w:ascii="宋体" w:hAnsi="宋体" w:eastAsia="宋体" w:cs="宋体"/>
          <w:sz w:val="24"/>
          <w:szCs w:val="24"/>
          <w:u w:val="single"/>
        </w:rPr>
        <w:t xml:space="preserve">  依据有关规定、标准执行          </w:t>
      </w:r>
      <w:r>
        <w:rPr>
          <w:rFonts w:hint="eastAsia" w:ascii="宋体" w:hAnsi="宋体" w:eastAsia="宋体" w:cs="宋体"/>
          <w:sz w:val="24"/>
          <w:szCs w:val="24"/>
        </w:rPr>
        <w:t>。</w:t>
      </w:r>
    </w:p>
    <w:p>
      <w:pPr>
        <w:autoSpaceDE w:val="0"/>
        <w:autoSpaceDN w:val="0"/>
        <w:adjustRightIn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20.6　对各项保险的一般要求</w:t>
      </w:r>
    </w:p>
    <w:p>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20.6.1</w:t>
      </w:r>
      <w:r>
        <w:rPr>
          <w:rFonts w:hint="eastAsia" w:ascii="宋体" w:hAnsi="宋体" w:eastAsia="宋体" w:cs="宋体"/>
          <w:sz w:val="24"/>
          <w:szCs w:val="24"/>
        </w:rPr>
        <w:t>保险凭证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承包人提交保险凭证的期限：承包人应在接到开工通知后的84天内向发包人提交按合同规定的各项保险单的副本，并通知监理人。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保险单的条件应符合本合同的规定。</w:t>
      </w:r>
    </w:p>
    <w:p>
      <w:pPr>
        <w:pStyle w:val="3"/>
        <w:keepNext w:val="0"/>
        <w:keepLines w:val="0"/>
        <w:rPr>
          <w:rFonts w:hint="eastAsia" w:ascii="宋体" w:hAnsi="宋体" w:eastAsia="宋体" w:cs="宋体"/>
          <w:sz w:val="24"/>
          <w:szCs w:val="24"/>
        </w:rPr>
      </w:pPr>
      <w:bookmarkStart w:id="691" w:name="_Toc479701870"/>
      <w:bookmarkStart w:id="692" w:name="_Toc480213210"/>
      <w:bookmarkStart w:id="693" w:name="_Toc480213779"/>
      <w:bookmarkStart w:id="694" w:name="_Toc482807220"/>
      <w:r>
        <w:rPr>
          <w:rFonts w:hint="eastAsia" w:ascii="宋体" w:hAnsi="宋体" w:eastAsia="宋体" w:cs="宋体"/>
          <w:sz w:val="24"/>
          <w:szCs w:val="24"/>
        </w:rPr>
        <w:t>21　争议的解决</w:t>
      </w:r>
      <w:bookmarkEnd w:id="691"/>
      <w:bookmarkEnd w:id="692"/>
      <w:bookmarkEnd w:id="693"/>
      <w:bookmarkEnd w:id="694"/>
    </w:p>
    <w:p>
      <w:pPr>
        <w:autoSpaceDE w:val="0"/>
        <w:autoSpaceDN w:val="0"/>
        <w:adjustRightInd w:val="0"/>
        <w:spacing w:line="360" w:lineRule="auto"/>
        <w:jc w:val="left"/>
        <w:rPr>
          <w:rFonts w:hint="eastAsia" w:ascii="宋体" w:hAnsi="宋体" w:eastAsia="宋体" w:cs="宋体"/>
          <w:b/>
          <w:sz w:val="24"/>
          <w:szCs w:val="24"/>
        </w:rPr>
      </w:pPr>
      <w:r>
        <w:rPr>
          <w:rFonts w:hint="eastAsia" w:ascii="宋体" w:hAnsi="宋体" w:eastAsia="宋体" w:cs="宋体"/>
          <w:b/>
          <w:sz w:val="24"/>
          <w:szCs w:val="24"/>
        </w:rPr>
        <w:t>24.1　争议的解决方式</w:t>
      </w:r>
    </w:p>
    <w:p>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合同当事人友好协商解决不成、不愿提请争议评审或不接受争议评审组意见的，约定的合同争议解决方式：</w:t>
      </w:r>
      <w:r>
        <w:rPr>
          <w:rFonts w:hint="eastAsia" w:ascii="宋体" w:hAnsi="宋体" w:eastAsia="宋体" w:cs="宋体"/>
          <w:sz w:val="24"/>
          <w:szCs w:val="24"/>
          <w:u w:val="single"/>
        </w:rPr>
        <w:t>向约定的仲裁委员会申请仲裁。</w:t>
      </w:r>
    </w:p>
    <w:p>
      <w:pP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br w:type="page"/>
      </w:r>
    </w:p>
    <w:p>
      <w:pPr>
        <w:pStyle w:val="25"/>
        <w:rPr>
          <w:rFonts w:hint="eastAsia"/>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jc w:val="center"/>
        <w:textAlignment w:val="auto"/>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合同格式</w:t>
      </w:r>
      <w:bookmarkEnd w:id="153"/>
    </w:p>
    <w:p>
      <w:pPr>
        <w:pStyle w:val="15"/>
        <w:rPr>
          <w:rFonts w:hint="eastAsia"/>
          <w:color w:val="auto"/>
          <w:highlight w:val="none"/>
        </w:rPr>
      </w:pPr>
    </w:p>
    <w:p>
      <w:pPr>
        <w:pStyle w:val="9"/>
        <w:numPr>
          <w:ilvl w:val="0"/>
          <w:numId w:val="0"/>
        </w:numPr>
        <w:ind w:right="0" w:rightChars="0"/>
        <w:rPr>
          <w:rFonts w:hint="eastAsia"/>
          <w:color w:val="auto"/>
          <w:highlight w:val="none"/>
        </w:rPr>
      </w:pPr>
    </w:p>
    <w:p>
      <w:pPr>
        <w:pStyle w:val="4"/>
        <w:keepNext w:val="0"/>
        <w:keepLines w:val="0"/>
        <w:ind w:left="0" w:leftChars="0" w:firstLine="0" w:firstLineChars="0"/>
        <w:rPr>
          <w:rFonts w:hint="eastAsia" w:ascii="宋体" w:hAnsi="宋体" w:eastAsia="宋体" w:cs="宋体"/>
          <w:sz w:val="24"/>
          <w:szCs w:val="24"/>
        </w:rPr>
      </w:pPr>
      <w:bookmarkStart w:id="695" w:name="_Toc482807222"/>
      <w:r>
        <w:rPr>
          <w:rFonts w:hint="eastAsia" w:ascii="宋体" w:hAnsi="宋体" w:eastAsia="宋体" w:cs="宋体"/>
          <w:sz w:val="24"/>
          <w:szCs w:val="24"/>
        </w:rPr>
        <w:t>附件一：合同协议书</w:t>
      </w:r>
      <w:bookmarkEnd w:id="695"/>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（发包人名称，以下简称“发包人” ）为实施</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（项目名称），己接受</w:t>
      </w:r>
      <w:r>
        <w:rPr>
          <w:rFonts w:hint="eastAsia" w:ascii="宋体" w:hAnsi="宋体" w:eastAsia="宋体" w:cs="宋体"/>
          <w:sz w:val="24"/>
          <w:szCs w:val="24"/>
          <w:u w:val="single"/>
        </w:rPr>
        <w:t xml:space="preserve">                     </w:t>
      </w:r>
      <w:r>
        <w:rPr>
          <w:rFonts w:hint="eastAsia" w:ascii="宋体" w:hAnsi="宋体" w:eastAsia="宋体" w:cs="宋体"/>
          <w:sz w:val="24"/>
          <w:szCs w:val="24"/>
        </w:rPr>
        <w:t>（承包人名称，以下简称“承包人” ）对该项目</w:t>
      </w:r>
      <w:r>
        <w:rPr>
          <w:rFonts w:hint="eastAsia" w:ascii="宋体" w:hAnsi="宋体" w:eastAsia="宋体" w:cs="宋体"/>
          <w:sz w:val="24"/>
          <w:szCs w:val="24"/>
          <w:u w:val="single"/>
        </w:rPr>
        <w:t xml:space="preserve">          </w:t>
      </w:r>
      <w:r>
        <w:rPr>
          <w:rFonts w:hint="eastAsia" w:ascii="宋体" w:hAnsi="宋体" w:eastAsia="宋体" w:cs="宋体"/>
          <w:sz w:val="24"/>
          <w:szCs w:val="24"/>
        </w:rPr>
        <w:t>标段施工的投标。发包人和承包人共同达成如下协议。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1．本协议书与下列文件一起构成合同文件：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(l）中标通知书；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(2）投标函及投标函附录；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(3）专用合同条款；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(4）通用合同条款；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(5）技术标准和要求；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(6）图纸；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(7）工程发包总价及单价（含发包价承诺函）；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(8）其他合同文件。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2．上述文件互相补充和解释，如有不明确或不一致之处，以合同约定次序在先者为准。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3．签约合同价：人民币（大写）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4．承包人项目经理：</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5．工程质量符合</w:t>
      </w:r>
      <w:r>
        <w:rPr>
          <w:rFonts w:hint="eastAsia" w:ascii="宋体" w:hAnsi="宋体" w:eastAsia="宋体" w:cs="宋体"/>
          <w:sz w:val="24"/>
          <w:szCs w:val="24"/>
          <w:u w:val="single"/>
        </w:rPr>
        <w:t xml:space="preserve">                     </w:t>
      </w:r>
      <w:r>
        <w:rPr>
          <w:rFonts w:hint="eastAsia" w:ascii="宋体" w:hAnsi="宋体" w:eastAsia="宋体" w:cs="宋体"/>
          <w:sz w:val="24"/>
          <w:szCs w:val="24"/>
        </w:rPr>
        <w:t>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6．承包人承诺按合同约定承担工程的实施、完成及缺陷修复。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7．发包人承诺按合同约定的条件、时间和方式向承包人支付合同价款。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8．承包人应按照监理人指示开工，工期为</w:t>
      </w:r>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9．本协议书一式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份，合同双方各执一份。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10．合同未尽事宜，双方另行签订补充协议。补充协议是合同的组成部分。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发包人：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        承包人：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    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360" w:lineRule="auto"/>
        <w:ind w:firstLine="1320" w:firstLineChars="550"/>
        <w:rPr>
          <w:rFonts w:hint="eastAsia" w:ascii="宋体" w:hAnsi="宋体" w:eastAsia="宋体" w:cs="宋体"/>
          <w:sz w:val="24"/>
          <w:szCs w:val="24"/>
        </w:rPr>
        <w:sectPr>
          <w:pgSz w:w="11906" w:h="16838"/>
          <w:pgMar w:top="850" w:right="1080" w:bottom="1440" w:left="1080" w:header="851" w:footer="992" w:gutter="0"/>
          <w:pgNumType w:fmt="decimal"/>
          <w:cols w:space="720" w:num="1"/>
          <w:docGrid w:linePitch="312" w:charSpace="0"/>
        </w:sect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月＿日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月＿日</w:t>
      </w:r>
    </w:p>
    <w:p>
      <w:pPr>
        <w:pStyle w:val="4"/>
        <w:keepNext w:val="0"/>
        <w:keepLines w:val="0"/>
        <w:ind w:left="0" w:leftChars="0" w:firstLine="0" w:firstLineChars="0"/>
        <w:rPr>
          <w:rFonts w:hint="eastAsia" w:ascii="宋体" w:hAnsi="宋体" w:eastAsia="宋体" w:cs="宋体"/>
          <w:sz w:val="24"/>
          <w:szCs w:val="24"/>
        </w:rPr>
      </w:pPr>
      <w:bookmarkStart w:id="696" w:name="_Toc482807223"/>
      <w:r>
        <w:rPr>
          <w:rFonts w:hint="eastAsia" w:ascii="宋体" w:hAnsi="宋体" w:eastAsia="宋体" w:cs="宋体"/>
          <w:sz w:val="24"/>
          <w:szCs w:val="24"/>
        </w:rPr>
        <w:t>附件二：</w:t>
      </w:r>
      <w:bookmarkEnd w:id="696"/>
      <w:r>
        <w:rPr>
          <w:rFonts w:hint="eastAsia" w:ascii="宋体" w:hAnsi="宋体" w:eastAsia="宋体" w:cs="宋体"/>
          <w:sz w:val="24"/>
          <w:szCs w:val="24"/>
        </w:rPr>
        <w:t xml:space="preserve">     </w:t>
      </w:r>
    </w:p>
    <w:p>
      <w:pPr>
        <w:spacing w:after="120" w:afterLines="50" w:line="560" w:lineRule="exact"/>
        <w:rPr>
          <w:rFonts w:hint="eastAsia" w:ascii="宋体" w:hAnsi="宋体" w:eastAsia="宋体" w:cs="宋体"/>
          <w:sz w:val="24"/>
          <w:szCs w:val="24"/>
        </w:rPr>
      </w:pPr>
      <w:r>
        <w:rPr>
          <w:rFonts w:hint="eastAsia" w:ascii="宋体" w:hAnsi="宋体" w:eastAsia="宋体" w:cs="宋体"/>
          <w:sz w:val="24"/>
          <w:szCs w:val="24"/>
        </w:rPr>
        <w:t>工程合同编号：</w:t>
      </w:r>
    </w:p>
    <w:p>
      <w:pPr>
        <w:spacing w:after="120" w:afterLines="50" w:line="560" w:lineRule="exact"/>
        <w:rPr>
          <w:rFonts w:hint="eastAsia" w:ascii="宋体" w:hAnsi="宋体" w:eastAsia="宋体" w:cs="宋体"/>
          <w:sz w:val="24"/>
          <w:szCs w:val="24"/>
        </w:rPr>
      </w:pPr>
      <w:r>
        <w:rPr>
          <w:rFonts w:hint="eastAsia" w:ascii="宋体" w:hAnsi="宋体" w:eastAsia="宋体" w:cs="宋体"/>
          <w:sz w:val="24"/>
          <w:szCs w:val="24"/>
        </w:rPr>
        <w:t>廉政合同编号：</w:t>
      </w:r>
    </w:p>
    <w:p>
      <w:pPr>
        <w:spacing w:after="120" w:afterLines="50" w:line="560" w:lineRule="exact"/>
        <w:rPr>
          <w:rFonts w:hint="eastAsia" w:ascii="宋体" w:hAnsi="宋体" w:eastAsia="宋体" w:cs="宋体"/>
          <w:sz w:val="24"/>
          <w:szCs w:val="24"/>
        </w:rPr>
      </w:pPr>
      <w:r>
        <w:rPr>
          <w:rFonts w:hint="eastAsia" w:ascii="宋体" w:hAnsi="宋体" w:eastAsia="宋体" w:cs="宋体"/>
          <w:sz w:val="24"/>
          <w:szCs w:val="24"/>
        </w:rPr>
        <w:t>工程项目名称：</w:t>
      </w:r>
    </w:p>
    <w:p>
      <w:pPr>
        <w:spacing w:after="120" w:afterLines="50" w:line="560" w:lineRule="exact"/>
        <w:rPr>
          <w:rFonts w:hint="eastAsia" w:ascii="宋体" w:hAnsi="宋体" w:eastAsia="宋体" w:cs="宋体"/>
          <w:sz w:val="24"/>
          <w:szCs w:val="24"/>
        </w:rPr>
      </w:pPr>
      <w:r>
        <w:rPr>
          <w:rFonts w:hint="eastAsia" w:ascii="宋体" w:hAnsi="宋体" w:eastAsia="宋体" w:cs="宋体"/>
          <w:sz w:val="24"/>
          <w:szCs w:val="24"/>
        </w:rPr>
        <w:t>工程项目地址：</w:t>
      </w:r>
    </w:p>
    <w:p>
      <w:pPr>
        <w:spacing w:after="120" w:afterLines="50" w:line="560" w:lineRule="exact"/>
        <w:rPr>
          <w:rFonts w:hint="eastAsia" w:ascii="宋体" w:hAnsi="宋体" w:eastAsia="宋体" w:cs="宋体"/>
          <w:sz w:val="24"/>
          <w:szCs w:val="24"/>
        </w:rPr>
      </w:pPr>
      <w:r>
        <w:rPr>
          <w:rFonts w:hint="eastAsia" w:ascii="宋体" w:hAnsi="宋体" w:eastAsia="宋体" w:cs="宋体"/>
          <w:sz w:val="24"/>
          <w:szCs w:val="24"/>
        </w:rPr>
        <w:t>项目法人(甲方)：</w:t>
      </w:r>
    </w:p>
    <w:p>
      <w:pPr>
        <w:spacing w:after="120" w:afterLines="50" w:line="560" w:lineRule="exact"/>
        <w:rPr>
          <w:rFonts w:hint="eastAsia" w:ascii="宋体" w:hAnsi="宋体" w:eastAsia="宋体" w:cs="宋体"/>
          <w:sz w:val="24"/>
          <w:szCs w:val="24"/>
        </w:rPr>
      </w:pPr>
      <w:r>
        <w:rPr>
          <w:rFonts w:hint="eastAsia" w:ascii="宋体" w:hAnsi="宋体" w:eastAsia="宋体" w:cs="宋体"/>
          <w:sz w:val="24"/>
          <w:szCs w:val="24"/>
        </w:rPr>
        <w:t>参建单位(乙方)：</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为加强水利工程廉政建设，规范建设各方合法权益，防止发生商业贿赂、谋取不正当利益的违法违纪行为，保证工程安全、资金安全、干部安全，根据国家有关工程建设管理法律法规和廉政建设责任制规定，特订立本廉政合同。</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第一条  甲乙双方责任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（一）甲乙双方应共同遵守国家、新疆维吾尔自治区及水利行业主管部门关于加强工程建设管理和党风廉政建设的各项规定。</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（二）甲乙双方应严格执行水利工程建设项目承发包合同文件，自觉按合同办事。</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（三）除法律认定的商业秘密和合同文件另有规定外，甲乙双方的业务活动应坚持公开、公正、透明的原则，严禁损害国家和集体利益、违反工程建设项目管理规章制度的不正当交易。</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（四）甲乙双方如发现对方在业务活动中有违规、违纪、违法的行为，应及时提醒对方，情节严重的，应向其上级主管部门或纪检监察部门举报。</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第二条甲方责任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甲方的领导和从事本工程建设项目的工作人员，在工程建  设过程中应遵守以下规定：</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（一）不准向乙方和相关单位索要或接受回扣、礼金、有价证券、贵重物品和好处费等。</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（二）不准在乙方和相关单位报销任何应由甲方或个人支付的费用。</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（三）不准要求、暗示或接受乙方和相关单位为个人装修住房、婚丧嫁娶、配偶子女的工作安排以及出国(境)、旅游等提供方便。</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（四）不准参加有可能影响公正执行公务的乙方和相关单位的邀请、娱乐等活动。</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五）不准向乙方介绍其配偶、子女、亲属参与负责的施工合同有关的设备、材料、工程分包、劳务等经济活动。不得以任何理由向乙方和相关单位推荐分包单位并要求乙方购买工程建设合同规定以外的材料、设备等。</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第三条乙方责任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乙方应与甲方保持正常的业务关系，按照有关法律法规和程序开展业务工怍，严格执行工程建设的有关方针、政策，并遵守以下规定：</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（一）不准以任何理由向甲方及其工作人员行贿或赠送礼金、有价证券、责重物品及回扣、好处费等。</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（二）不准以任何理由为甲方和相关单位报销应由对方或个人支付的费用。</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（三）不准接受或暗示为甲方和相关单位或个人装修住房、婚丧嫁娶、配偶子女的工作安排以及出国(境)、旅游等提供方便。</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（四）不准以任何理由为甲方、相关单位或个人组织有可能影响公正执行公务的宴请、娱乐等活动。</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第四条违约责任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（一）甲方或甲方工作人员有违反本合同第一、二条规定的，按照管理权限，由同级水利纪检监察部门依据有关法律法规给予党纪、政纪处分；涉嫌犯罪的，移交司法机关追究刑事责任。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二）乙方或乙方工作人员有违反本合同第一、三条规定的，按照《新疆维吾尔自治区水利工程建设市场主题不良行为管理办法》等规定处理，同时建议其主管部门给与相应的行政处罚；涉嫌犯罪的，移交司法机关追究刑事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第五条 本合同与工程建设合同一并签订、保管，经双方签署后立即生效。</w:t>
      </w:r>
    </w:p>
    <w:p>
      <w:pPr>
        <w:spacing w:line="360" w:lineRule="auto"/>
        <w:rPr>
          <w:rFonts w:hint="eastAsia" w:ascii="宋体" w:hAnsi="宋体" w:eastAsia="宋体" w:cs="宋体"/>
          <w:sz w:val="24"/>
          <w:szCs w:val="24"/>
        </w:rPr>
      </w:pPr>
    </w:p>
    <w:p>
      <w:pPr>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甲方单位：(盖章)               乙方单位：(盖章)</w:t>
      </w:r>
    </w:p>
    <w:p>
      <w:pPr>
        <w:spacing w:line="360" w:lineRule="auto"/>
        <w:rPr>
          <w:rFonts w:hint="eastAsia" w:ascii="宋体" w:hAnsi="宋体" w:eastAsia="宋体" w:cs="宋体"/>
          <w:sz w:val="24"/>
          <w:szCs w:val="24"/>
        </w:rPr>
      </w:pPr>
    </w:p>
    <w:p>
      <w:pPr>
        <w:spacing w:line="360" w:lineRule="auto"/>
        <w:ind w:firstLine="1440" w:firstLineChars="600"/>
        <w:rPr>
          <w:rFonts w:hint="eastAsia" w:ascii="宋体" w:hAnsi="宋体" w:eastAsia="宋体" w:cs="宋体"/>
          <w:sz w:val="24"/>
          <w:szCs w:val="24"/>
        </w:rPr>
      </w:pPr>
      <w:r>
        <w:rPr>
          <w:rFonts w:hint="eastAsia" w:ascii="宋体" w:hAnsi="宋体" w:eastAsia="宋体" w:cs="宋体"/>
          <w:sz w:val="24"/>
          <w:szCs w:val="24"/>
        </w:rPr>
        <w:t>法人或委托代理人：             法人或委托代理人</w:t>
      </w:r>
    </w:p>
    <w:p>
      <w:pPr>
        <w:spacing w:line="360" w:lineRule="auto"/>
        <w:ind w:firstLine="1440" w:firstLineChars="600"/>
        <w:rPr>
          <w:rFonts w:hint="eastAsia" w:ascii="宋体" w:hAnsi="宋体" w:eastAsia="宋体" w:cs="宋体"/>
          <w:sz w:val="24"/>
          <w:szCs w:val="24"/>
        </w:rPr>
      </w:pPr>
    </w:p>
    <w:p>
      <w:pPr>
        <w:spacing w:line="360" w:lineRule="auto"/>
        <w:ind w:firstLine="2280" w:firstLineChars="950"/>
        <w:rPr>
          <w:rFonts w:hint="eastAsia" w:ascii="宋体" w:hAnsi="宋体" w:eastAsia="宋体" w:cs="宋体"/>
          <w:sz w:val="24"/>
          <w:szCs w:val="24"/>
        </w:rPr>
      </w:pPr>
      <w:r>
        <w:rPr>
          <w:rFonts w:hint="eastAsia" w:ascii="宋体" w:hAnsi="宋体" w:eastAsia="宋体" w:cs="宋体"/>
          <w:sz w:val="24"/>
          <w:szCs w:val="24"/>
        </w:rPr>
        <w:t>年  月  日                    年  月  日</w:t>
      </w:r>
    </w:p>
    <w:p>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注:签订施工合同时，必须同时签订</w:t>
      </w:r>
      <w:r>
        <w:rPr>
          <w:rFonts w:hint="eastAsia" w:ascii="宋体" w:hAnsi="宋体" w:eastAsia="宋体" w:cs="宋体"/>
          <w:b/>
          <w:sz w:val="24"/>
          <w:szCs w:val="24"/>
        </w:rPr>
        <w:t>建设项目廉政合同</w:t>
      </w:r>
      <w:r>
        <w:rPr>
          <w:rFonts w:hint="eastAsia" w:ascii="宋体" w:hAnsi="宋体" w:eastAsia="宋体" w:cs="宋体"/>
          <w:sz w:val="24"/>
          <w:szCs w:val="24"/>
        </w:rPr>
        <w:t>。</w:t>
      </w:r>
    </w:p>
    <w:p>
      <w:pPr>
        <w:rPr>
          <w:rFonts w:hint="eastAsia" w:ascii="宋体" w:hAnsi="宋体" w:eastAsia="宋体" w:cs="宋体"/>
          <w:sz w:val="24"/>
          <w:szCs w:val="24"/>
        </w:rPr>
      </w:pPr>
      <w:r>
        <w:rPr>
          <w:rFonts w:hint="eastAsia" w:ascii="宋体" w:hAnsi="宋体" w:eastAsia="宋体" w:cs="宋体"/>
          <w:sz w:val="24"/>
          <w:szCs w:val="24"/>
        </w:rPr>
        <w:br w:type="page"/>
      </w:r>
    </w:p>
    <w:p>
      <w:pPr>
        <w:rPr>
          <w:rFonts w:hint="eastAsia"/>
        </w:rPr>
      </w:pPr>
    </w:p>
    <w:p>
      <w:pPr>
        <w:pStyle w:val="3"/>
        <w:keepNext w:val="0"/>
        <w:keepLines w:val="0"/>
        <w:jc w:val="center"/>
        <w:rPr>
          <w:rFonts w:hint="eastAsia" w:ascii="宋体" w:hAnsi="宋体" w:eastAsia="宋体" w:cs="宋体"/>
          <w:sz w:val="24"/>
          <w:szCs w:val="24"/>
        </w:rPr>
      </w:pPr>
      <w:bookmarkStart w:id="697" w:name="_Toc482807225"/>
      <w:r>
        <w:rPr>
          <w:rFonts w:hint="eastAsia" w:ascii="宋体" w:hAnsi="宋体" w:eastAsia="宋体" w:cs="宋体"/>
          <w:sz w:val="24"/>
          <w:szCs w:val="24"/>
        </w:rPr>
        <w:t>诚 信 廉 政 承 诺 书</w:t>
      </w:r>
      <w:bookmarkEnd w:id="697"/>
    </w:p>
    <w:p>
      <w:pPr>
        <w:spacing w:line="48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为维护市场公平竞争，营造诚实守信的招投标交易环境，</w:t>
      </w:r>
      <w:r>
        <w:rPr>
          <w:rFonts w:hint="eastAsia" w:ascii="宋体" w:hAnsi="宋体" w:eastAsia="宋体" w:cs="宋体"/>
          <w:sz w:val="24"/>
          <w:szCs w:val="24"/>
          <w:u w:val="single"/>
        </w:rPr>
        <w:t>（某企业）</w:t>
      </w:r>
      <w:r>
        <w:rPr>
          <w:rFonts w:hint="eastAsia" w:ascii="宋体" w:hAnsi="宋体" w:eastAsia="宋体" w:cs="宋体"/>
          <w:sz w:val="24"/>
          <w:szCs w:val="24"/>
        </w:rPr>
        <w:t>在参加</w:t>
      </w:r>
      <w:r>
        <w:rPr>
          <w:rFonts w:hint="eastAsia" w:ascii="宋体" w:hAnsi="宋体" w:eastAsia="宋体" w:cs="宋体"/>
          <w:sz w:val="24"/>
          <w:szCs w:val="24"/>
          <w:u w:val="single"/>
        </w:rPr>
        <w:t>（某项目）</w:t>
      </w:r>
      <w:r>
        <w:rPr>
          <w:rFonts w:hint="eastAsia" w:ascii="宋体" w:hAnsi="宋体" w:eastAsia="宋体" w:cs="宋体"/>
          <w:sz w:val="24"/>
          <w:szCs w:val="24"/>
        </w:rPr>
        <w:t>项目投标中，郑重承诺如下：</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我单位提交的招投标的相关信息均真实有效，提交的材料无任何伪造、修改、虚假成份，材料所述内容均为本单位真实拥有。若违反本承诺一经查实，本单位愿意接受公开通报，按照《中华人民共和国招标投标法》第五十四条的规定予以处理。</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凡我单位在参加的投标项目中，在资格审查和评标阶段需要提交的企业业绩和获奖情况等，均真实可信，如有虚假信息，按《关于印发新疆维吾尔自治区水利工程建设市场主体不良行为管理办法的通知》（新水厅［2009］58号）文件规定予以处理。</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三、我单位在参加（某项目）投标过程中严格遵守各项廉政制度，如有违反自愿按规定接受处罚。</w:t>
      </w:r>
    </w:p>
    <w:p>
      <w:pPr>
        <w:spacing w:line="480" w:lineRule="auto"/>
        <w:ind w:firstLine="1200" w:firstLineChars="500"/>
        <w:rPr>
          <w:rFonts w:hint="eastAsia" w:ascii="宋体" w:hAnsi="宋体" w:eastAsia="宋体" w:cs="宋体"/>
          <w:sz w:val="24"/>
          <w:szCs w:val="24"/>
        </w:rPr>
      </w:pPr>
    </w:p>
    <w:p>
      <w:pPr>
        <w:spacing w:line="48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承诺人法定名称（企业公章）：</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承诺人法定地址：</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承诺人或授权代表（签字或法人公章）</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电话：           传真：</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spacing w:line="480" w:lineRule="auto"/>
        <w:ind w:firstLine="4200" w:firstLineChars="1750"/>
        <w:rPr>
          <w:rFonts w:hint="eastAsia" w:ascii="宋体" w:hAnsi="宋体" w:eastAsia="宋体" w:cs="宋体"/>
          <w:sz w:val="24"/>
          <w:szCs w:val="24"/>
        </w:rPr>
      </w:pPr>
      <w:r>
        <w:rPr>
          <w:rFonts w:hint="eastAsia" w:ascii="宋体" w:hAnsi="宋体" w:eastAsia="宋体" w:cs="宋体"/>
          <w:sz w:val="24"/>
          <w:szCs w:val="24"/>
        </w:rPr>
        <w:t>年    月    日</w:t>
      </w:r>
    </w:p>
    <w:p>
      <w:pPr>
        <w:spacing w:line="480" w:lineRule="auto"/>
        <w:rPr>
          <w:rFonts w:hint="eastAsia" w:ascii="宋体" w:hAnsi="宋体" w:eastAsia="宋体" w:cs="宋体"/>
          <w:b/>
          <w:sz w:val="24"/>
          <w:szCs w:val="24"/>
        </w:rPr>
      </w:pPr>
      <w:r>
        <w:rPr>
          <w:rFonts w:hint="eastAsia" w:ascii="宋体" w:hAnsi="宋体" w:eastAsia="宋体" w:cs="宋体"/>
          <w:b/>
          <w:sz w:val="24"/>
          <w:szCs w:val="24"/>
        </w:rPr>
        <w:t>注:投标企业必须填写，并附在投标文件“投标函及投标函附录”后，未附诚信廉政承诺书的，作为未实质响应招标文件，予以废标。</w:t>
      </w:r>
    </w:p>
    <w:p>
      <w:pPr>
        <w:pStyle w:val="6"/>
        <w:keepNext w:val="0"/>
        <w:keepLines w:val="0"/>
        <w:rPr>
          <w:rFonts w:hint="eastAsia" w:ascii="宋体" w:hAnsi="宋体" w:eastAsia="宋体" w:cs="宋体"/>
          <w:sz w:val="24"/>
          <w:szCs w:val="24"/>
        </w:rPr>
      </w:pPr>
    </w:p>
    <w:p>
      <w:pPr>
        <w:rPr>
          <w:rFonts w:hint="eastAsia" w:ascii="宋体" w:hAnsi="宋体" w:eastAsia="宋体" w:cs="宋体"/>
          <w:sz w:val="24"/>
          <w:szCs w:val="24"/>
        </w:rPr>
      </w:pPr>
    </w:p>
    <w:p>
      <w:pPr>
        <w:pStyle w:val="6"/>
        <w:keepNext w:val="0"/>
        <w:keepLines w:val="0"/>
        <w:rPr>
          <w:rFonts w:hint="eastAsia" w:ascii="宋体" w:hAnsi="宋体" w:eastAsia="宋体" w:cs="宋体"/>
          <w:sz w:val="24"/>
          <w:szCs w:val="24"/>
        </w:rPr>
      </w:pPr>
    </w:p>
    <w:p>
      <w:pPr>
        <w:rPr>
          <w:rFonts w:hint="eastAsia"/>
        </w:rPr>
      </w:pPr>
      <w:r>
        <w:rPr>
          <w:rFonts w:hint="eastAsia" w:ascii="宋体" w:hAnsi="宋体" w:eastAsia="宋体" w:cs="宋体"/>
          <w:sz w:val="24"/>
          <w:szCs w:val="24"/>
        </w:rPr>
        <w:br w:type="page"/>
      </w:r>
    </w:p>
    <w:p>
      <w:pPr>
        <w:pStyle w:val="3"/>
        <w:keepNext w:val="0"/>
        <w:keepLines w:val="0"/>
        <w:rPr>
          <w:rFonts w:hint="eastAsia" w:ascii="宋体" w:hAnsi="宋体" w:eastAsia="宋体" w:cs="宋体"/>
          <w:sz w:val="24"/>
          <w:szCs w:val="24"/>
        </w:rPr>
      </w:pPr>
      <w:bookmarkStart w:id="698" w:name="_Toc482807226"/>
      <w:r>
        <w:rPr>
          <w:rFonts w:hint="eastAsia" w:ascii="宋体" w:hAnsi="宋体" w:eastAsia="宋体" w:cs="宋体"/>
          <w:sz w:val="24"/>
          <w:szCs w:val="24"/>
        </w:rPr>
        <w:t>附件三：履约担保格式</w:t>
      </w:r>
      <w:bookmarkEnd w:id="698"/>
    </w:p>
    <w:p>
      <w:pPr>
        <w:spacing w:line="36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履 约 担 保</w:t>
      </w:r>
    </w:p>
    <w:p>
      <w:pPr>
        <w:spacing w:line="360" w:lineRule="auto"/>
        <w:rPr>
          <w:rFonts w:hint="eastAsia" w:ascii="宋体" w:hAnsi="宋体" w:eastAsia="宋体" w:cs="宋体"/>
          <w:sz w:val="24"/>
          <w:szCs w:val="24"/>
          <w:u w:val="single"/>
        </w:rPr>
      </w:pP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（发包人名称）: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鉴于</w:t>
      </w:r>
      <w:r>
        <w:rPr>
          <w:rFonts w:hint="eastAsia" w:ascii="宋体" w:hAnsi="宋体" w:eastAsia="宋体" w:cs="宋体"/>
          <w:sz w:val="24"/>
          <w:szCs w:val="24"/>
          <w:u w:val="single"/>
        </w:rPr>
        <w:t xml:space="preserve">                     </w:t>
      </w:r>
      <w:r>
        <w:rPr>
          <w:rFonts w:hint="eastAsia" w:ascii="宋体" w:hAnsi="宋体" w:eastAsia="宋体" w:cs="宋体"/>
          <w:sz w:val="24"/>
          <w:szCs w:val="24"/>
        </w:rPr>
        <w:t>（发包人名称，以下简称“发包人”）接受</w:t>
      </w:r>
      <w:r>
        <w:rPr>
          <w:rFonts w:hint="eastAsia" w:ascii="宋体" w:hAnsi="宋体" w:eastAsia="宋体" w:cs="宋体"/>
          <w:sz w:val="24"/>
          <w:szCs w:val="24"/>
          <w:u w:val="single"/>
        </w:rPr>
        <w:t xml:space="preserve">                  </w:t>
      </w:r>
      <w:r>
        <w:rPr>
          <w:rFonts w:hint="eastAsia" w:ascii="宋体" w:hAnsi="宋体" w:eastAsia="宋体" w:cs="宋体"/>
          <w:sz w:val="24"/>
          <w:szCs w:val="24"/>
        </w:rPr>
        <w:t>（承包人名称）（以下称“承包人”）于</w:t>
      </w:r>
      <w:r>
        <w:rPr>
          <w:rFonts w:hint="eastAsia" w:ascii="宋体" w:hAnsi="宋体" w:eastAsia="宋体" w:cs="宋体"/>
          <w:sz w:val="24"/>
          <w:szCs w:val="24"/>
          <w:u w:val="single"/>
        </w:rPr>
        <w:t xml:space="preserve">  </w:t>
      </w:r>
      <w:r>
        <w:rPr>
          <w:rFonts w:hint="eastAsia" w:ascii="宋体" w:hAnsi="宋体" w:eastAsia="宋体" w:cs="宋体"/>
          <w:sz w:val="24"/>
          <w:szCs w:val="24"/>
        </w:rPr>
        <w:t>＿年＿月＿日参加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标段施工的投标。我方愿意无条件地、不可撤销地就承包人履行与你方订立的合同，向你方提供担保。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1．担保金额人民币（大写）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2．担保有效期自发包人与承包人签订的合同生效之日起至发包人签发工程接收证书之日止。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3．在本担保有效期内，因承包人违反合同约定的义务给你方造成经济损失时，我方在收到你方以书面形式提出的在担保金额内的赔偿要求后，在7天内无条件支付。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4．发包人和承包人按《通用合同条款》第15条变更合同时，我方承担本担保规定的义务不变。</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担保人：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360" w:lineRule="auto"/>
        <w:ind w:firstLine="480" w:firstLineChars="200"/>
        <w:rPr>
          <w:rFonts w:hint="eastAsia" w:ascii="宋体" w:hAnsi="宋体" w:eastAsia="宋体" w:cs="宋体"/>
          <w:sz w:val="24"/>
          <w:szCs w:val="24"/>
        </w:rPr>
      </w:pP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spacing w:line="360" w:lineRule="auto"/>
        <w:ind w:firstLine="5280" w:firstLineChars="2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sectPr>
          <w:pgSz w:w="11906" w:h="16838"/>
          <w:pgMar w:top="1440" w:right="1080" w:bottom="1440" w:left="1080" w:header="851" w:footer="992" w:gutter="0"/>
          <w:pgNumType w:fmt="decimal"/>
          <w:cols w:space="720" w:num="1"/>
          <w:docGrid w:linePitch="312" w:charSpace="0"/>
        </w:sectPr>
      </w:pPr>
    </w:p>
    <w:p>
      <w:pPr>
        <w:pStyle w:val="3"/>
        <w:keepNext w:val="0"/>
        <w:keepLines w:val="0"/>
        <w:rPr>
          <w:rFonts w:hint="eastAsia" w:ascii="宋体" w:hAnsi="宋体" w:eastAsia="宋体" w:cs="宋体"/>
          <w:sz w:val="24"/>
          <w:szCs w:val="24"/>
        </w:rPr>
      </w:pPr>
      <w:bookmarkStart w:id="699" w:name="_Toc482807227"/>
      <w:r>
        <w:rPr>
          <w:rFonts w:hint="eastAsia" w:ascii="宋体" w:hAnsi="宋体" w:eastAsia="宋体" w:cs="宋体"/>
          <w:sz w:val="24"/>
          <w:szCs w:val="24"/>
        </w:rPr>
        <w:t>附件四：预付款担保格式</w:t>
      </w:r>
      <w:bookmarkEnd w:id="699"/>
    </w:p>
    <w:p>
      <w:pPr>
        <w:spacing w:line="36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预付款担保</w:t>
      </w: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（发包人名称）: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rPr>
        <w:t xml:space="preserve">                     </w:t>
      </w:r>
      <w:r>
        <w:rPr>
          <w:rFonts w:hint="eastAsia" w:ascii="宋体" w:hAnsi="宋体" w:eastAsia="宋体" w:cs="宋体"/>
          <w:sz w:val="24"/>
          <w:szCs w:val="24"/>
        </w:rPr>
        <w:t>（承包人名称）（以下称“承包人”）与</w:t>
      </w:r>
      <w:r>
        <w:rPr>
          <w:rFonts w:hint="eastAsia" w:ascii="宋体" w:hAnsi="宋体" w:eastAsia="宋体" w:cs="宋体"/>
          <w:sz w:val="24"/>
          <w:szCs w:val="24"/>
          <w:u w:val="single"/>
        </w:rPr>
        <w:t xml:space="preserve">                   </w:t>
      </w:r>
      <w:r>
        <w:rPr>
          <w:rFonts w:hint="eastAsia" w:ascii="宋体" w:hAnsi="宋体" w:eastAsia="宋体" w:cs="宋体"/>
          <w:sz w:val="24"/>
          <w:szCs w:val="24"/>
        </w:rPr>
        <w:t>（发包人名称）（以下简称“发包人”）于</w:t>
      </w:r>
      <w:r>
        <w:rPr>
          <w:rFonts w:hint="eastAsia" w:ascii="宋体" w:hAnsi="宋体" w:eastAsia="宋体" w:cs="宋体"/>
          <w:sz w:val="24"/>
          <w:szCs w:val="24"/>
          <w:u w:val="single"/>
        </w:rPr>
        <w:t xml:space="preserve">  </w:t>
      </w:r>
      <w:r>
        <w:rPr>
          <w:rFonts w:hint="eastAsia" w:ascii="宋体" w:hAnsi="宋体" w:eastAsia="宋体" w:cs="宋体"/>
          <w:sz w:val="24"/>
          <w:szCs w:val="24"/>
        </w:rPr>
        <w:t>＿年＿月＿日签订的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＿标段施工承包合同，承包人按约定的金额向发包人提交一份预付款担保，即有权得到发包人支付相等金额的预付款。我方愿意就你方提供给承包人的预付款提供担保。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1．担保金额人民币（大写）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2．担保有效期自预付款支付给承包人起生效，至发包人签发的进度付款证书说明已完全扣清止。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在本保函有效期内，因承包人违反合同约定的义务而要求收回预付款时，我方在收到你方的书面通知后，在7天内无条件支付。但本保函的担保金额，在任何时候不应超过预付款金额减去发包人按合同约定在向承包人签发的进度付款证书中扣除的金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4．发包人和承包人按《通用合同条款》第15条变更合同时，我方承担本保函规定的义务不变。</w:t>
      </w:r>
    </w:p>
    <w:p>
      <w:pPr>
        <w:spacing w:line="360" w:lineRule="auto"/>
        <w:ind w:firstLine="480" w:firstLineChars="200"/>
        <w:rPr>
          <w:rFonts w:hint="eastAsia" w:ascii="宋体" w:hAnsi="宋体" w:eastAsia="宋体" w:cs="宋体"/>
          <w:sz w:val="24"/>
          <w:szCs w:val="24"/>
        </w:rPr>
      </w:pPr>
    </w:p>
    <w:p>
      <w:pPr>
        <w:spacing w:line="360" w:lineRule="auto"/>
        <w:ind w:firstLine="4680" w:firstLineChars="1950"/>
        <w:rPr>
          <w:rFonts w:hint="eastAsia" w:ascii="宋体" w:hAnsi="宋体" w:eastAsia="宋体" w:cs="宋体"/>
          <w:sz w:val="24"/>
          <w:szCs w:val="24"/>
        </w:rPr>
      </w:pPr>
      <w:r>
        <w:rPr>
          <w:rFonts w:hint="eastAsia" w:ascii="宋体" w:hAnsi="宋体" w:eastAsia="宋体" w:cs="宋体"/>
          <w:sz w:val="24"/>
          <w:szCs w:val="24"/>
        </w:rPr>
        <w:t>担保人：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spacing w:line="360" w:lineRule="auto"/>
        <w:ind w:firstLine="480" w:firstLineChars="200"/>
        <w:rPr>
          <w:rFonts w:hint="eastAsia" w:ascii="宋体" w:hAnsi="宋体" w:eastAsia="宋体" w:cs="宋体"/>
          <w:sz w:val="24"/>
          <w:szCs w:val="24"/>
        </w:rPr>
      </w:pPr>
    </w:p>
    <w:p>
      <w:pPr>
        <w:spacing w:line="360" w:lineRule="auto"/>
        <w:ind w:firstLine="4680" w:firstLineChars="1950"/>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pPr>
        <w:spacing w:line="360" w:lineRule="auto"/>
        <w:ind w:firstLine="480" w:firstLineChars="200"/>
        <w:rPr>
          <w:rFonts w:hint="eastAsia" w:ascii="宋体" w:hAnsi="宋体" w:eastAsia="宋体" w:cs="宋体"/>
          <w:sz w:val="24"/>
          <w:szCs w:val="24"/>
        </w:rPr>
      </w:pP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spacing w:line="360" w:lineRule="auto"/>
        <w:ind w:firstLine="5280" w:firstLineChars="2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80" w:firstLineChars="200"/>
        <w:rPr>
          <w:rFonts w:hint="eastAsia" w:ascii="宋体" w:hAnsi="宋体" w:eastAsia="宋体" w:cs="宋体"/>
          <w:sz w:val="24"/>
          <w:szCs w:val="24"/>
        </w:rPr>
      </w:pPr>
    </w:p>
    <w:p>
      <w:pPr>
        <w:autoSpaceDE w:val="0"/>
        <w:autoSpaceDN w:val="0"/>
        <w:adjustRightInd w:val="0"/>
        <w:jc w:val="left"/>
        <w:rPr>
          <w:rFonts w:hint="eastAsia" w:ascii="宋体" w:hAnsi="宋体" w:eastAsia="宋体" w:cs="宋体"/>
          <w:sz w:val="24"/>
          <w:szCs w:val="24"/>
        </w:rPr>
      </w:pPr>
      <w:r>
        <w:rPr>
          <w:rFonts w:hint="eastAsia" w:ascii="宋体" w:hAnsi="宋体" w:eastAsia="宋体" w:cs="宋体"/>
          <w:sz w:val="24"/>
          <w:szCs w:val="24"/>
        </w:rPr>
        <w:t>注：委托代理人应附授权委托书</w:t>
      </w:r>
    </w:p>
    <w:p>
      <w:pPr>
        <w:spacing w:line="360" w:lineRule="auto"/>
        <w:rPr>
          <w:rFonts w:hint="eastAsia" w:ascii="宋体" w:hAnsi="宋体" w:eastAsia="宋体" w:cs="宋体"/>
          <w:sz w:val="24"/>
          <w:szCs w:val="24"/>
        </w:rPr>
        <w:sectPr>
          <w:pgSz w:w="11906" w:h="16838"/>
          <w:pgMar w:top="1440" w:right="1080" w:bottom="1440" w:left="1080" w:header="851" w:footer="992" w:gutter="0"/>
          <w:pgNumType w:fmt="decimal"/>
          <w:cols w:space="720" w:num="1"/>
          <w:docGrid w:linePitch="312" w:charSpace="0"/>
        </w:sect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440" w:lineRule="exact"/>
        <w:ind w:right="0" w:rightChars="0" w:firstLine="2561" w:firstLineChars="800"/>
        <w:jc w:val="both"/>
        <w:textAlignment w:val="auto"/>
        <w:rPr>
          <w:rFonts w:hint="eastAsia" w:ascii="微软雅黑" w:hAnsi="微软雅黑" w:eastAsia="微软雅黑" w:cs="微软雅黑"/>
          <w:b/>
          <w:bCs/>
          <w:color w:val="auto"/>
          <w:sz w:val="32"/>
          <w:szCs w:val="32"/>
          <w:highlight w:val="none"/>
        </w:rPr>
      </w:pPr>
      <w:bookmarkStart w:id="700" w:name="_bookmark4"/>
      <w:bookmarkEnd w:id="700"/>
      <w:bookmarkStart w:id="701" w:name="_Toc10386_WPSOffice_Level1"/>
      <w:r>
        <w:rPr>
          <w:rFonts w:hint="eastAsia" w:ascii="微软雅黑" w:hAnsi="微软雅黑" w:eastAsia="微软雅黑" w:cs="微软雅黑"/>
          <w:b/>
          <w:bCs/>
          <w:color w:val="auto"/>
          <w:sz w:val="32"/>
          <w:szCs w:val="32"/>
          <w:highlight w:val="none"/>
        </w:rPr>
        <w:t>第五部分</w:t>
      </w:r>
      <w:r>
        <w:rPr>
          <w:rFonts w:hint="eastAsia" w:ascii="微软雅黑" w:hAnsi="微软雅黑" w:eastAsia="微软雅黑" w:cs="微软雅黑"/>
          <w:b/>
          <w:bCs/>
          <w:color w:val="auto"/>
          <w:sz w:val="32"/>
          <w:szCs w:val="32"/>
          <w:highlight w:val="none"/>
        </w:rPr>
        <w:tab/>
      </w:r>
      <w:r>
        <w:rPr>
          <w:rFonts w:hint="eastAsia" w:ascii="微软雅黑" w:hAnsi="微软雅黑" w:eastAsia="微软雅黑" w:cs="微软雅黑"/>
          <w:b/>
          <w:bCs/>
          <w:color w:val="auto"/>
          <w:sz w:val="32"/>
          <w:szCs w:val="32"/>
          <w:highlight w:val="none"/>
        </w:rPr>
        <w:t>响应文件格式</w:t>
      </w:r>
      <w:bookmarkEnd w:id="701"/>
    </w:p>
    <w:p>
      <w:pPr>
        <w:keepNext w:val="0"/>
        <w:keepLines w:val="0"/>
        <w:pageBreakBefore w:val="0"/>
        <w:widowControl w:val="0"/>
        <w:kinsoku/>
        <w:wordWrap/>
        <w:overflowPunct/>
        <w:topLinePunct w:val="0"/>
        <w:autoSpaceDE w:val="0"/>
        <w:autoSpaceDN w:val="0"/>
        <w:bidi w:val="0"/>
        <w:adjustRightInd/>
        <w:snapToGrid/>
        <w:spacing w:line="440" w:lineRule="exact"/>
        <w:ind w:firstLine="3092" w:firstLineChars="1100"/>
        <w:jc w:val="both"/>
        <w:textAlignment w:val="auto"/>
        <w:rPr>
          <w:rFonts w:hint="eastAsia" w:ascii="宋体" w:hAnsi="宋体" w:eastAsia="宋体" w:cs="宋体"/>
          <w:b/>
          <w:bCs/>
          <w:color w:val="auto"/>
          <w:sz w:val="28"/>
          <w:szCs w:val="28"/>
          <w:highlight w:val="none"/>
          <w:lang w:eastAsia="zh-CN"/>
        </w:rPr>
      </w:pPr>
      <w:bookmarkStart w:id="702" w:name="_Toc8063_WPSOffice_Level1"/>
      <w:r>
        <w:rPr>
          <w:rFonts w:hint="eastAsia" w:ascii="宋体" w:hAnsi="宋体" w:eastAsia="宋体" w:cs="宋体"/>
          <w:b/>
          <w:bCs/>
          <w:color w:val="auto"/>
          <w:sz w:val="28"/>
          <w:szCs w:val="28"/>
          <w:highlight w:val="none"/>
          <w:lang w:val="en-US" w:eastAsia="zh-CN"/>
        </w:rPr>
        <w:t>磋商</w:t>
      </w:r>
      <w:r>
        <w:rPr>
          <w:rFonts w:hint="eastAsia" w:ascii="宋体" w:hAnsi="宋体" w:eastAsia="宋体" w:cs="宋体"/>
          <w:b/>
          <w:bCs/>
          <w:color w:val="auto"/>
          <w:sz w:val="28"/>
          <w:szCs w:val="28"/>
          <w:highlight w:val="none"/>
        </w:rPr>
        <w:t>响应文件封面</w:t>
      </w:r>
      <w:r>
        <w:rPr>
          <w:rFonts w:hint="eastAsia" w:ascii="宋体" w:hAnsi="宋体" w:eastAsia="宋体" w:cs="宋体"/>
          <w:b/>
          <w:bCs/>
          <w:color w:val="auto"/>
          <w:sz w:val="28"/>
          <w:szCs w:val="28"/>
          <w:highlight w:val="none"/>
          <w:lang w:val="en-US" w:eastAsia="zh-CN"/>
        </w:rPr>
        <w:t>格式</w:t>
      </w:r>
      <w:bookmarkEnd w:id="702"/>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58240" behindDoc="1" locked="0" layoutInCell="1" allowOverlap="1">
                <wp:simplePos x="0" y="0"/>
                <wp:positionH relativeFrom="page">
                  <wp:posOffset>781050</wp:posOffset>
                </wp:positionH>
                <wp:positionV relativeFrom="page">
                  <wp:posOffset>1869440</wp:posOffset>
                </wp:positionV>
                <wp:extent cx="6102985" cy="5979160"/>
                <wp:effectExtent l="1905" t="2540" r="10160" b="19050"/>
                <wp:wrapNone/>
                <wp:docPr id="7" name="组合 7"/>
                <wp:cNvGraphicFramePr/>
                <a:graphic xmlns:a="http://schemas.openxmlformats.org/drawingml/2006/main">
                  <a:graphicData uri="http://schemas.microsoft.com/office/word/2010/wordprocessingGroup">
                    <wpg:wgp>
                      <wpg:cNvGrpSpPr/>
                      <wpg:grpSpPr>
                        <a:xfrm>
                          <a:off x="0" y="0"/>
                          <a:ext cx="6102985" cy="5979160"/>
                          <a:chOff x="1020" y="2302"/>
                          <a:chExt cx="9866" cy="12278"/>
                        </a:xfrm>
                      </wpg:grpSpPr>
                      <wps:wsp>
                        <wps:cNvPr id="1" name="矩形 1"/>
                        <wps:cNvSpPr/>
                        <wps:spPr>
                          <a:xfrm>
                            <a:off x="1020" y="2302"/>
                            <a:ext cx="10" cy="10"/>
                          </a:xfrm>
                          <a:prstGeom prst="rect">
                            <a:avLst/>
                          </a:prstGeom>
                          <a:solidFill>
                            <a:srgbClr val="000000"/>
                          </a:solidFill>
                          <a:ln>
                            <a:noFill/>
                          </a:ln>
                        </wps:spPr>
                        <wps:bodyPr upright="1"/>
                      </wps:wsp>
                      <wps:wsp>
                        <wps:cNvPr id="2" name="直接连接符 2"/>
                        <wps:cNvCnPr/>
                        <wps:spPr>
                          <a:xfrm>
                            <a:off x="1030" y="2307"/>
                            <a:ext cx="9846" cy="0"/>
                          </a:xfrm>
                          <a:prstGeom prst="line">
                            <a:avLst/>
                          </a:prstGeom>
                          <a:ln w="6096" cap="flat" cmpd="sng">
                            <a:solidFill>
                              <a:srgbClr val="000000"/>
                            </a:solidFill>
                            <a:prstDash val="solid"/>
                            <a:headEnd type="none" w="med" len="med"/>
                            <a:tailEnd type="none" w="med" len="med"/>
                          </a:ln>
                        </wps:spPr>
                        <wps:bodyPr upright="1"/>
                      </wps:wsp>
                      <wps:wsp>
                        <wps:cNvPr id="3" name="矩形 3"/>
                        <wps:cNvSpPr/>
                        <wps:spPr>
                          <a:xfrm>
                            <a:off x="10876" y="2302"/>
                            <a:ext cx="10" cy="10"/>
                          </a:xfrm>
                          <a:prstGeom prst="rect">
                            <a:avLst/>
                          </a:prstGeom>
                          <a:solidFill>
                            <a:srgbClr val="000000"/>
                          </a:solidFill>
                          <a:ln>
                            <a:noFill/>
                          </a:ln>
                        </wps:spPr>
                        <wps:bodyPr upright="1"/>
                      </wps:wsp>
                      <wps:wsp>
                        <wps:cNvPr id="4" name="直接连接符 4"/>
                        <wps:cNvCnPr/>
                        <wps:spPr>
                          <a:xfrm>
                            <a:off x="1025" y="2312"/>
                            <a:ext cx="0" cy="12268"/>
                          </a:xfrm>
                          <a:prstGeom prst="line">
                            <a:avLst/>
                          </a:prstGeom>
                          <a:ln w="6096" cap="flat" cmpd="sng">
                            <a:solidFill>
                              <a:srgbClr val="000000"/>
                            </a:solidFill>
                            <a:prstDash val="solid"/>
                            <a:headEnd type="none" w="med" len="med"/>
                            <a:tailEnd type="none" w="med" len="med"/>
                          </a:ln>
                        </wps:spPr>
                        <wps:bodyPr upright="1"/>
                      </wps:wsp>
                      <wps:wsp>
                        <wps:cNvPr id="5" name="直接连接符 5"/>
                        <wps:cNvCnPr/>
                        <wps:spPr>
                          <a:xfrm>
                            <a:off x="1030" y="14575"/>
                            <a:ext cx="9846" cy="0"/>
                          </a:xfrm>
                          <a:prstGeom prst="line">
                            <a:avLst/>
                          </a:prstGeom>
                          <a:ln w="6096" cap="flat" cmpd="sng">
                            <a:solidFill>
                              <a:srgbClr val="000000"/>
                            </a:solidFill>
                            <a:prstDash val="solid"/>
                            <a:headEnd type="none" w="med" len="med"/>
                            <a:tailEnd type="none" w="med" len="med"/>
                          </a:ln>
                        </wps:spPr>
                        <wps:bodyPr upright="1"/>
                      </wps:wsp>
                      <wps:wsp>
                        <wps:cNvPr id="6" name="直接连接符 6"/>
                        <wps:cNvCnPr/>
                        <wps:spPr>
                          <a:xfrm>
                            <a:off x="10881" y="2312"/>
                            <a:ext cx="0" cy="12268"/>
                          </a:xfrm>
                          <a:prstGeom prst="line">
                            <a:avLst/>
                          </a:prstGeom>
                          <a:ln w="6096"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5pt;margin-top:147.2pt;height:470.8pt;width:480.55pt;mso-position-horizontal-relative:page;mso-position-vertical-relative:page;z-index:-251658240;mso-width-relative:page;mso-height-relative:page;" coordorigin="1020,2302" coordsize="9866,12278" o:gfxdata="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eTlS12wAAAA0BAAAPAAAAAAAAAAEAIAAAACIAAABkcnMvZG93bnJldi54&#10;bWxQSwECFAAUAAAACACHTuJAGWW8PRQDAADnDQAADgAAAAAAAAABACAAAAAqAQAAZHJzL2Uyb0Rv&#10;Yy54bWxQSwUGAAAAAAYABgBZAQAAsAYAAAAA&#10;">
                <o:lock v:ext="edit" aspectratio="f"/>
                <v:rect id="_x0000_s1026" o:spid="_x0000_s1026" o:spt="1" style="position:absolute;left:1020;top:2302;height:10;width:10;"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v:line id="_x0000_s1026" o:spid="_x0000_s1026" o:spt="20" style="position:absolute;left:1030;top:2307;height:0;width:9846;"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rect id="_x0000_s1026" o:spid="_x0000_s1026" o:spt="1" style="position:absolute;left:10876;top:2302;height:10;width:10;"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v:line id="_x0000_s1026" o:spid="_x0000_s1026" o:spt="20" style="position:absolute;left:1025;top:2312;height:12268;width: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30;top:14575;height:0;width:9846;"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_x0000_s1026" o:spid="_x0000_s1026" o:spt="20" style="position:absolute;left:10881;top:2312;height:12268;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group>
            </w:pict>
          </mc:Fallback>
        </mc:AlternateConten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36"/>
          <w:szCs w:val="36"/>
          <w:highlight w:val="none"/>
        </w:rPr>
      </w:pPr>
      <w:bookmarkStart w:id="703" w:name="_Toc28255_WPSOffice_Level1"/>
      <w:r>
        <w:rPr>
          <w:rFonts w:hint="eastAsia" w:ascii="宋体" w:hAnsi="宋体" w:eastAsia="宋体" w:cs="宋体"/>
          <w:b/>
          <w:bCs/>
          <w:color w:val="auto"/>
          <w:sz w:val="36"/>
          <w:szCs w:val="36"/>
          <w:highlight w:val="none"/>
        </w:rPr>
        <w:t>项目名称：</w:t>
      </w:r>
      <w:bookmarkEnd w:id="703"/>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36"/>
          <w:szCs w:val="36"/>
          <w:highlight w:val="none"/>
        </w:rPr>
      </w:pPr>
      <w:bookmarkStart w:id="704" w:name="_Toc11066_WPSOffice_Level1"/>
      <w:r>
        <w:rPr>
          <w:rFonts w:hint="eastAsia" w:ascii="宋体" w:hAnsi="宋体" w:eastAsia="宋体" w:cs="宋体"/>
          <w:b/>
          <w:bCs/>
          <w:color w:val="auto"/>
          <w:sz w:val="36"/>
          <w:szCs w:val="36"/>
          <w:highlight w:val="none"/>
        </w:rPr>
        <w:t>项目编号：</w:t>
      </w:r>
      <w:bookmarkEnd w:id="704"/>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48"/>
          <w:szCs w:val="48"/>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800" w:lineRule="exact"/>
        <w:ind w:firstLine="2891" w:firstLineChars="600"/>
        <w:textAlignment w:val="auto"/>
        <w:rPr>
          <w:rFonts w:hint="eastAsia" w:ascii="宋体" w:hAnsi="宋体" w:eastAsia="宋体" w:cs="宋体"/>
          <w:b/>
          <w:bCs/>
          <w:color w:val="auto"/>
          <w:sz w:val="72"/>
          <w:szCs w:val="72"/>
          <w:highlight w:val="none"/>
        </w:rPr>
      </w:pPr>
      <w:bookmarkStart w:id="705" w:name="_Toc27361_WPSOffice_Level1"/>
      <w:r>
        <w:rPr>
          <w:rFonts w:hint="eastAsia" w:ascii="宋体" w:hAnsi="宋体" w:eastAsia="宋体" w:cs="宋体"/>
          <w:b/>
          <w:bCs/>
          <w:color w:val="auto"/>
          <w:sz w:val="48"/>
          <w:szCs w:val="48"/>
          <w:highlight w:val="none"/>
          <w:lang w:val="en-US" w:eastAsia="zh-CN"/>
        </w:rPr>
        <w:t>磋商</w:t>
      </w:r>
      <w:r>
        <w:rPr>
          <w:rFonts w:hint="eastAsia" w:ascii="宋体" w:hAnsi="宋体" w:eastAsia="宋体" w:cs="宋体"/>
          <w:b/>
          <w:bCs/>
          <w:color w:val="auto"/>
          <w:sz w:val="48"/>
          <w:szCs w:val="48"/>
          <w:highlight w:val="none"/>
        </w:rPr>
        <w:t>响应文件</w:t>
      </w:r>
      <w:bookmarkEnd w:id="705"/>
      <w:r>
        <w:rPr>
          <w:rFonts w:hint="eastAsia" w:ascii="宋体" w:hAnsi="宋体" w:eastAsia="宋体" w:cs="宋体"/>
          <w:b/>
          <w:bCs/>
          <w:color w:val="auto"/>
          <w:sz w:val="72"/>
          <w:szCs w:val="72"/>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44"/>
          <w:szCs w:val="44"/>
          <w:highlight w:val="none"/>
        </w:rPr>
      </w:pPr>
      <w:bookmarkStart w:id="706" w:name="_Toc12593_WPSOffice_Level1"/>
      <w:r>
        <w:rPr>
          <w:rFonts w:hint="eastAsia" w:ascii="宋体" w:hAnsi="宋体" w:eastAsia="宋体" w:cs="宋体"/>
          <w:b/>
          <w:bCs/>
          <w:color w:val="auto"/>
          <w:sz w:val="44"/>
          <w:szCs w:val="44"/>
          <w:highlight w:val="none"/>
        </w:rPr>
        <w:t>口 正 本</w:t>
      </w:r>
      <w:bookmarkEnd w:id="706"/>
    </w:p>
    <w:p>
      <w:pPr>
        <w:keepNext w:val="0"/>
        <w:keepLines w:val="0"/>
        <w:pageBreakBefore w:val="0"/>
        <w:widowControl w:val="0"/>
        <w:kinsoku/>
        <w:wordWrap/>
        <w:overflowPunct/>
        <w:topLinePunct w:val="0"/>
        <w:autoSpaceDE w:val="0"/>
        <w:autoSpaceDN w:val="0"/>
        <w:bidi w:val="0"/>
        <w:adjustRightInd/>
        <w:snapToGrid/>
        <w:spacing w:line="440" w:lineRule="exact"/>
        <w:ind w:firstLine="3534" w:firstLineChars="800"/>
        <w:jc w:val="both"/>
        <w:textAlignment w:val="auto"/>
        <w:rPr>
          <w:rFonts w:hint="eastAsia" w:ascii="宋体" w:hAnsi="宋体" w:eastAsia="宋体" w:cs="宋体"/>
          <w:b/>
          <w:bCs/>
          <w:color w:val="auto"/>
          <w:sz w:val="24"/>
          <w:szCs w:val="24"/>
          <w:highlight w:val="none"/>
        </w:rPr>
      </w:pPr>
      <w:bookmarkStart w:id="707" w:name="_Toc22182_WPSOffice_Level1"/>
      <w:r>
        <w:rPr>
          <w:rFonts w:hint="eastAsia" w:ascii="宋体" w:hAnsi="宋体" w:eastAsia="宋体" w:cs="宋体"/>
          <w:b/>
          <w:bCs/>
          <w:color w:val="auto"/>
          <w:sz w:val="44"/>
          <w:szCs w:val="44"/>
          <w:highlight w:val="none"/>
        </w:rPr>
        <w:t>口 副 本</w:t>
      </w:r>
      <w:bookmarkEnd w:id="707"/>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rPr>
        <w:t>供应商名称（加盖公章）：</w:t>
      </w:r>
      <w:r>
        <w:rPr>
          <w:rFonts w:hint="eastAsia" w:ascii="宋体" w:hAnsi="宋体" w:eastAsia="宋体" w:cs="宋体"/>
          <w:b/>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cs="宋体"/>
          <w:b/>
          <w:bCs/>
          <w:color w:val="auto"/>
          <w:sz w:val="24"/>
          <w:szCs w:val="24"/>
          <w:highlight w:val="none"/>
          <w:lang w:val="en-US" w:eastAsia="zh-CN"/>
        </w:rPr>
        <w:t>在</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日</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 时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rPr>
        <w:t xml:space="preserve">分  之 前 不 得 启 封 </w:t>
      </w:r>
    </w:p>
    <w:p>
      <w:pPr>
        <w:rPr>
          <w:rFonts w:hint="eastAsia"/>
          <w:color w:val="auto"/>
          <w:highlight w:val="none"/>
        </w:rPr>
      </w:pPr>
    </w:p>
    <w:p>
      <w:pPr>
        <w:bidi w:val="0"/>
        <w:rPr>
          <w:rFonts w:hint="eastAsia" w:ascii="宋体" w:hAnsi="宋体" w:eastAsia="宋体" w:cs="宋体"/>
          <w:color w:val="auto"/>
          <w:sz w:val="22"/>
          <w:szCs w:val="22"/>
          <w:highlight w:val="none"/>
          <w:lang w:val="zh-CN" w:eastAsia="zh-CN" w:bidi="zh-CN"/>
        </w:rPr>
      </w:pPr>
    </w:p>
    <w:p>
      <w:pPr>
        <w:bidi w:val="0"/>
        <w:rPr>
          <w:rFonts w:hint="eastAsia"/>
          <w:color w:val="auto"/>
          <w:highlight w:val="none"/>
          <w:lang w:val="zh-CN" w:eastAsia="zh-CN"/>
        </w:rPr>
      </w:pPr>
    </w:p>
    <w:p>
      <w:pPr>
        <w:spacing w:line="440" w:lineRule="exact"/>
        <w:ind w:firstLine="3213" w:firstLineChars="1000"/>
        <w:jc w:val="both"/>
        <w:rPr>
          <w:rFonts w:hint="eastAsia" w:ascii="宋体" w:hAnsi="宋体"/>
          <w:b/>
          <w:bCs/>
          <w:color w:val="auto"/>
          <w:sz w:val="32"/>
          <w:szCs w:val="32"/>
          <w:highlight w:val="none"/>
        </w:rPr>
      </w:pPr>
      <w:bookmarkStart w:id="708" w:name="_Toc9356_WPSOffice_Level1"/>
    </w:p>
    <w:p>
      <w:pPr>
        <w:spacing w:line="440" w:lineRule="exact"/>
        <w:ind w:firstLine="3213" w:firstLineChars="1000"/>
        <w:jc w:val="both"/>
        <w:rPr>
          <w:rFonts w:hint="eastAsia" w:ascii="宋体" w:hAnsi="宋体"/>
          <w:b/>
          <w:bCs/>
          <w:color w:val="auto"/>
          <w:sz w:val="32"/>
          <w:szCs w:val="32"/>
          <w:highlight w:val="none"/>
        </w:rPr>
      </w:pPr>
    </w:p>
    <w:p>
      <w:pPr>
        <w:spacing w:line="440" w:lineRule="exact"/>
        <w:ind w:firstLine="3213" w:firstLineChars="1000"/>
        <w:jc w:val="both"/>
        <w:rPr>
          <w:rFonts w:hint="eastAsia" w:ascii="宋体" w:hAnsi="宋体"/>
          <w:b/>
          <w:bCs/>
          <w:color w:val="auto"/>
          <w:sz w:val="32"/>
          <w:szCs w:val="32"/>
          <w:highlight w:val="none"/>
        </w:rPr>
      </w:pPr>
    </w:p>
    <w:p>
      <w:pPr>
        <w:spacing w:line="440" w:lineRule="exact"/>
        <w:ind w:firstLine="3213" w:firstLineChars="1000"/>
        <w:jc w:val="both"/>
        <w:rPr>
          <w:rFonts w:hint="eastAsia" w:ascii="宋体" w:hAnsi="宋体"/>
          <w:b/>
          <w:bCs/>
          <w:color w:val="auto"/>
          <w:sz w:val="32"/>
          <w:szCs w:val="32"/>
          <w:highlight w:val="none"/>
        </w:rPr>
      </w:pPr>
    </w:p>
    <w:p>
      <w:pPr>
        <w:spacing w:line="440" w:lineRule="exact"/>
        <w:ind w:firstLine="3213" w:firstLineChars="1000"/>
        <w:jc w:val="both"/>
        <w:rPr>
          <w:rFonts w:hint="eastAsia" w:ascii="宋体" w:hAnsi="宋体"/>
          <w:b/>
          <w:bCs/>
          <w:color w:val="auto"/>
          <w:sz w:val="32"/>
          <w:szCs w:val="32"/>
          <w:highlight w:val="none"/>
        </w:rPr>
      </w:pPr>
      <w:r>
        <w:rPr>
          <w:rFonts w:hint="eastAsia" w:ascii="宋体" w:hAnsi="宋体"/>
          <w:b/>
          <w:bCs/>
          <w:color w:val="auto"/>
          <w:sz w:val="32"/>
          <w:szCs w:val="32"/>
          <w:highlight w:val="none"/>
        </w:rPr>
        <w:t>响应文件主要目录</w:t>
      </w:r>
      <w:bookmarkEnd w:id="708"/>
    </w:p>
    <w:p>
      <w:pPr>
        <w:spacing w:line="440" w:lineRule="exact"/>
        <w:ind w:firstLine="643"/>
        <w:jc w:val="center"/>
        <w:rPr>
          <w:rFonts w:hint="eastAsia" w:ascii="宋体" w:hAnsi="宋体"/>
          <w:b/>
          <w:bCs/>
          <w:color w:val="auto"/>
          <w:sz w:val="32"/>
          <w:szCs w:val="32"/>
          <w:highlight w:val="none"/>
        </w:rPr>
      </w:pPr>
    </w:p>
    <w:p>
      <w:pPr>
        <w:rPr>
          <w:b/>
          <w:bCs/>
          <w:color w:val="auto"/>
          <w:sz w:val="24"/>
          <w:szCs w:val="24"/>
          <w:highlight w:val="none"/>
        </w:rPr>
      </w:pPr>
      <w:r>
        <w:rPr>
          <w:rFonts w:hint="eastAsia"/>
          <w:b/>
          <w:bCs/>
          <w:color w:val="auto"/>
          <w:sz w:val="24"/>
          <w:szCs w:val="24"/>
          <w:highlight w:val="none"/>
          <w:lang w:val="en-US" w:eastAsia="zh-CN"/>
        </w:rPr>
        <w:t xml:space="preserve">一、自查表 </w:t>
      </w:r>
    </w:p>
    <w:p>
      <w:pPr>
        <w:rPr>
          <w:rFonts w:hint="eastAsia"/>
          <w:color w:val="auto"/>
          <w:sz w:val="24"/>
          <w:szCs w:val="24"/>
          <w:highlight w:val="none"/>
          <w:lang w:val="en-US" w:eastAsia="zh-CN"/>
        </w:rPr>
      </w:pPr>
      <w:r>
        <w:rPr>
          <w:rFonts w:hint="eastAsia"/>
          <w:color w:val="auto"/>
          <w:sz w:val="24"/>
          <w:szCs w:val="24"/>
          <w:highlight w:val="none"/>
          <w:lang w:val="en-US" w:eastAsia="zh-CN"/>
        </w:rPr>
        <w:t xml:space="preserve">1.1 资格审查自查表 </w:t>
      </w:r>
    </w:p>
    <w:p>
      <w:pPr>
        <w:pStyle w:val="9"/>
        <w:ind w:left="0" w:leftChars="0" w:firstLine="0" w:firstLineChars="0"/>
        <w:rPr>
          <w:color w:val="auto"/>
          <w:highlight w:val="none"/>
        </w:rPr>
      </w:pPr>
      <w:r>
        <w:rPr>
          <w:rFonts w:hint="eastAsia"/>
          <w:color w:val="auto"/>
          <w:sz w:val="24"/>
          <w:szCs w:val="24"/>
          <w:highlight w:val="none"/>
          <w:lang w:val="en-US" w:eastAsia="zh-CN"/>
        </w:rPr>
        <w:t>1.2 符合性审查自查表</w:t>
      </w:r>
    </w:p>
    <w:p>
      <w:pPr>
        <w:rPr>
          <w:color w:val="auto"/>
          <w:sz w:val="24"/>
          <w:szCs w:val="24"/>
          <w:highlight w:val="none"/>
        </w:rPr>
      </w:pPr>
      <w:r>
        <w:rPr>
          <w:rFonts w:hint="eastAsia"/>
          <w:color w:val="auto"/>
          <w:sz w:val="24"/>
          <w:szCs w:val="24"/>
          <w:highlight w:val="none"/>
          <w:lang w:val="en-US" w:eastAsia="zh-CN"/>
        </w:rPr>
        <w:t xml:space="preserve">1.3 评分索引表 </w:t>
      </w:r>
    </w:p>
    <w:p>
      <w:pPr>
        <w:rPr>
          <w:rFonts w:hint="eastAsia"/>
          <w:b/>
          <w:bCs/>
          <w:color w:val="auto"/>
          <w:sz w:val="24"/>
          <w:szCs w:val="24"/>
          <w:highlight w:val="none"/>
          <w:lang w:val="en-US" w:eastAsia="zh-CN"/>
        </w:rPr>
      </w:pPr>
      <w:r>
        <w:rPr>
          <w:rFonts w:hint="eastAsia"/>
          <w:b/>
          <w:bCs/>
          <w:color w:val="auto"/>
          <w:sz w:val="24"/>
          <w:szCs w:val="24"/>
          <w:highlight w:val="none"/>
          <w:lang w:val="en-US" w:eastAsia="zh-CN"/>
        </w:rPr>
        <w:t>二、商务文件</w:t>
      </w:r>
    </w:p>
    <w:p>
      <w:pPr>
        <w:rPr>
          <w:color w:val="auto"/>
          <w:sz w:val="24"/>
          <w:szCs w:val="24"/>
          <w:highlight w:val="none"/>
        </w:rPr>
      </w:pPr>
      <w:r>
        <w:rPr>
          <w:rFonts w:hint="eastAsia"/>
          <w:color w:val="auto"/>
          <w:sz w:val="24"/>
          <w:szCs w:val="24"/>
          <w:highlight w:val="none"/>
          <w:lang w:val="en-US" w:eastAsia="zh-CN"/>
        </w:rPr>
        <w:t xml:space="preserve">2.1 磋商响应函 </w:t>
      </w:r>
    </w:p>
    <w:p>
      <w:pPr>
        <w:rPr>
          <w:color w:val="auto"/>
          <w:sz w:val="24"/>
          <w:szCs w:val="24"/>
          <w:highlight w:val="none"/>
        </w:rPr>
      </w:pPr>
      <w:r>
        <w:rPr>
          <w:rFonts w:hint="eastAsia"/>
          <w:color w:val="auto"/>
          <w:sz w:val="24"/>
          <w:szCs w:val="24"/>
          <w:highlight w:val="none"/>
          <w:lang w:val="en-US" w:eastAsia="zh-CN"/>
        </w:rPr>
        <w:t xml:space="preserve">2.2 商务需求条款响应表 </w:t>
      </w:r>
    </w:p>
    <w:p>
      <w:pPr>
        <w:pStyle w:val="33"/>
        <w:bidi w:val="0"/>
        <w:rPr>
          <w:color w:val="auto"/>
          <w:highlight w:val="none"/>
        </w:rPr>
      </w:pPr>
      <w:r>
        <w:rPr>
          <w:rFonts w:hint="eastAsia" w:ascii="宋体" w:hAnsi="宋体" w:eastAsia="宋体" w:cs="宋体"/>
          <w:color w:val="auto"/>
          <w:kern w:val="0"/>
          <w:sz w:val="24"/>
          <w:szCs w:val="24"/>
          <w:highlight w:val="none"/>
          <w:lang w:val="en-US" w:eastAsia="zh-CN" w:bidi="zh-CN"/>
        </w:rPr>
        <w:t>2.3 拟派项目负责人及管理技术人员一览表</w:t>
      </w:r>
      <w:r>
        <w:rPr>
          <w:rFonts w:hint="eastAsia"/>
          <w:color w:val="auto"/>
          <w:highlight w:val="none"/>
          <w:lang w:val="en-US" w:eastAsia="zh-CN"/>
        </w:rPr>
        <w:t xml:space="preserve"> </w:t>
      </w:r>
    </w:p>
    <w:p>
      <w:pPr>
        <w:rPr>
          <w:color w:val="auto"/>
          <w:sz w:val="24"/>
          <w:szCs w:val="24"/>
          <w:highlight w:val="none"/>
        </w:rPr>
      </w:pPr>
      <w:r>
        <w:rPr>
          <w:rFonts w:hint="eastAsia"/>
          <w:color w:val="auto"/>
          <w:sz w:val="24"/>
          <w:szCs w:val="24"/>
          <w:highlight w:val="none"/>
          <w:lang w:val="en-US" w:eastAsia="zh-CN"/>
        </w:rPr>
        <w:t xml:space="preserve">2.4 企业管理体系认证 </w:t>
      </w:r>
    </w:p>
    <w:p>
      <w:pPr>
        <w:rPr>
          <w:color w:val="auto"/>
          <w:sz w:val="24"/>
          <w:szCs w:val="24"/>
          <w:highlight w:val="none"/>
        </w:rPr>
      </w:pPr>
      <w:r>
        <w:rPr>
          <w:rFonts w:hint="eastAsia"/>
          <w:color w:val="auto"/>
          <w:sz w:val="24"/>
          <w:szCs w:val="24"/>
          <w:highlight w:val="none"/>
          <w:lang w:val="en-US" w:eastAsia="zh-CN"/>
        </w:rPr>
        <w:t xml:space="preserve">2.5 同类项目业绩情况一览表 </w:t>
      </w:r>
    </w:p>
    <w:p>
      <w:pPr>
        <w:rPr>
          <w:rFonts w:hint="eastAsia"/>
          <w:color w:val="auto"/>
          <w:sz w:val="24"/>
          <w:szCs w:val="24"/>
          <w:highlight w:val="none"/>
          <w:lang w:val="en-US" w:eastAsia="zh-CN"/>
        </w:rPr>
      </w:pPr>
      <w:r>
        <w:rPr>
          <w:rFonts w:hint="eastAsia"/>
          <w:color w:val="auto"/>
          <w:sz w:val="24"/>
          <w:szCs w:val="24"/>
          <w:highlight w:val="none"/>
          <w:lang w:val="en-US" w:eastAsia="zh-CN"/>
        </w:rPr>
        <w:t>2.6 项目团队</w:t>
      </w:r>
    </w:p>
    <w:p>
      <w:pPr>
        <w:rPr>
          <w:rFonts w:hint="eastAsia"/>
          <w:color w:val="auto"/>
          <w:sz w:val="24"/>
          <w:szCs w:val="24"/>
          <w:highlight w:val="none"/>
          <w:lang w:val="en-US" w:eastAsia="zh-CN"/>
        </w:rPr>
      </w:pPr>
      <w:r>
        <w:rPr>
          <w:rFonts w:hint="eastAsia"/>
          <w:color w:val="auto"/>
          <w:sz w:val="24"/>
          <w:szCs w:val="24"/>
          <w:highlight w:val="none"/>
          <w:lang w:val="en-US" w:eastAsia="zh-CN"/>
        </w:rPr>
        <w:t>2.7 中小企业声明函（</w:t>
      </w:r>
      <w:r>
        <w:rPr>
          <w:rFonts w:hint="eastAsia"/>
          <w:color w:val="auto"/>
          <w:highlight w:val="none"/>
          <w:lang w:val="en-US" w:eastAsia="zh-CN"/>
        </w:rPr>
        <w:t>（可选）</w:t>
      </w:r>
      <w:r>
        <w:rPr>
          <w:rFonts w:hint="eastAsia"/>
          <w:color w:val="auto"/>
          <w:sz w:val="24"/>
          <w:szCs w:val="24"/>
          <w:highlight w:val="none"/>
          <w:lang w:val="en-US" w:eastAsia="zh-CN"/>
        </w:rPr>
        <w:t xml:space="preserve">） </w:t>
      </w:r>
    </w:p>
    <w:p>
      <w:pPr>
        <w:pStyle w:val="9"/>
        <w:ind w:left="0" w:leftChars="0" w:firstLine="0" w:firstLineChars="0"/>
        <w:rPr>
          <w:rFonts w:hint="eastAsia" w:ascii="宋体" w:hAnsi="宋体" w:eastAsia="宋体" w:cs="宋体"/>
          <w:color w:val="auto"/>
          <w:sz w:val="24"/>
          <w:szCs w:val="24"/>
          <w:highlight w:val="none"/>
          <w:lang w:val="en-US" w:eastAsia="zh-CN" w:bidi="zh-CN"/>
        </w:rPr>
      </w:pPr>
      <w:r>
        <w:rPr>
          <w:rFonts w:hint="eastAsia" w:cs="宋体"/>
          <w:color w:val="auto"/>
          <w:sz w:val="24"/>
          <w:szCs w:val="24"/>
          <w:highlight w:val="none"/>
          <w:lang w:val="en-US" w:eastAsia="zh-CN" w:bidi="zh-CN"/>
        </w:rPr>
        <w:t>2</w:t>
      </w:r>
      <w:r>
        <w:rPr>
          <w:rFonts w:hint="eastAsia" w:ascii="宋体" w:hAnsi="宋体" w:eastAsia="宋体" w:cs="宋体"/>
          <w:color w:val="auto"/>
          <w:sz w:val="24"/>
          <w:szCs w:val="24"/>
          <w:highlight w:val="none"/>
          <w:lang w:val="en-US" w:eastAsia="zh-CN" w:bidi="zh-CN"/>
        </w:rPr>
        <w:t>.</w:t>
      </w:r>
      <w:r>
        <w:rPr>
          <w:rFonts w:hint="eastAsia" w:cs="宋体"/>
          <w:color w:val="auto"/>
          <w:sz w:val="24"/>
          <w:szCs w:val="24"/>
          <w:highlight w:val="none"/>
          <w:lang w:val="en-US" w:eastAsia="zh-CN" w:bidi="zh-CN"/>
        </w:rPr>
        <w:t xml:space="preserve">8 </w:t>
      </w:r>
      <w:r>
        <w:rPr>
          <w:rFonts w:hint="eastAsia" w:ascii="宋体" w:hAnsi="宋体" w:eastAsia="宋体" w:cs="宋体"/>
          <w:color w:val="auto"/>
          <w:sz w:val="24"/>
          <w:szCs w:val="24"/>
          <w:highlight w:val="none"/>
          <w:lang w:val="en-US" w:eastAsia="zh-CN" w:bidi="zh-CN"/>
        </w:rPr>
        <w:t>残疾人福利性单位声明函</w:t>
      </w:r>
      <w:r>
        <w:rPr>
          <w:rFonts w:hint="eastAsia"/>
          <w:color w:val="auto"/>
          <w:highlight w:val="none"/>
          <w:lang w:val="en-US" w:eastAsia="zh-CN"/>
        </w:rPr>
        <w:t>（可选）</w:t>
      </w:r>
    </w:p>
    <w:p>
      <w:pPr>
        <w:rPr>
          <w:color w:val="auto"/>
          <w:sz w:val="24"/>
          <w:szCs w:val="24"/>
          <w:highlight w:val="none"/>
        </w:rPr>
      </w:pPr>
      <w:r>
        <w:rPr>
          <w:rFonts w:hint="eastAsia" w:cs="宋体"/>
          <w:color w:val="auto"/>
          <w:sz w:val="24"/>
          <w:szCs w:val="24"/>
          <w:highlight w:val="none"/>
          <w:lang w:val="en-US" w:eastAsia="zh-CN" w:bidi="zh-CN"/>
        </w:rPr>
        <w:t>2.9 监狱企业证明</w:t>
      </w:r>
      <w:r>
        <w:rPr>
          <w:rFonts w:hint="eastAsia"/>
          <w:color w:val="auto"/>
          <w:highlight w:val="none"/>
          <w:lang w:val="en-US" w:eastAsia="zh-CN"/>
        </w:rPr>
        <w:t>（可选）</w:t>
      </w:r>
    </w:p>
    <w:p>
      <w:pPr>
        <w:rPr>
          <w:color w:val="auto"/>
          <w:sz w:val="24"/>
          <w:szCs w:val="24"/>
          <w:highlight w:val="none"/>
        </w:rPr>
      </w:pPr>
      <w:r>
        <w:rPr>
          <w:rFonts w:hint="eastAsia"/>
          <w:b/>
          <w:bCs/>
          <w:color w:val="auto"/>
          <w:sz w:val="24"/>
          <w:szCs w:val="24"/>
          <w:highlight w:val="none"/>
          <w:lang w:val="en-US" w:eastAsia="zh-CN"/>
        </w:rPr>
        <w:t>三、技术文件</w:t>
      </w:r>
      <w:r>
        <w:rPr>
          <w:rFonts w:hint="eastAsia"/>
          <w:color w:val="auto"/>
          <w:sz w:val="24"/>
          <w:szCs w:val="24"/>
          <w:highlight w:val="none"/>
          <w:lang w:val="en-US" w:eastAsia="zh-CN"/>
        </w:rPr>
        <w:t xml:space="preserve"> </w:t>
      </w:r>
    </w:p>
    <w:p>
      <w:pPr>
        <w:rPr>
          <w:color w:val="auto"/>
          <w:sz w:val="24"/>
          <w:szCs w:val="24"/>
          <w:highlight w:val="none"/>
        </w:rPr>
      </w:pPr>
      <w:r>
        <w:rPr>
          <w:rFonts w:hint="eastAsia"/>
          <w:color w:val="auto"/>
          <w:sz w:val="24"/>
          <w:szCs w:val="24"/>
          <w:highlight w:val="none"/>
          <w:lang w:val="en-US" w:eastAsia="zh-CN"/>
        </w:rPr>
        <w:t xml:space="preserve">3.1 技术服务内容 </w:t>
      </w:r>
    </w:p>
    <w:p>
      <w:pPr>
        <w:rPr>
          <w:color w:val="auto"/>
          <w:sz w:val="24"/>
          <w:szCs w:val="24"/>
          <w:highlight w:val="none"/>
        </w:rPr>
      </w:pPr>
      <w:r>
        <w:rPr>
          <w:rFonts w:hint="eastAsia"/>
          <w:b/>
          <w:bCs/>
          <w:color w:val="auto"/>
          <w:sz w:val="24"/>
          <w:szCs w:val="24"/>
          <w:highlight w:val="none"/>
          <w:lang w:val="en-US" w:eastAsia="zh-CN"/>
        </w:rPr>
        <w:t>四、价格文件</w:t>
      </w:r>
      <w:r>
        <w:rPr>
          <w:rFonts w:hint="eastAsia"/>
          <w:color w:val="auto"/>
          <w:sz w:val="24"/>
          <w:szCs w:val="24"/>
          <w:highlight w:val="none"/>
          <w:lang w:val="en-US" w:eastAsia="zh-CN"/>
        </w:rPr>
        <w:t xml:space="preserve"> </w:t>
      </w:r>
    </w:p>
    <w:p>
      <w:pPr>
        <w:rPr>
          <w:rFonts w:hint="eastAsia"/>
          <w:color w:val="auto"/>
          <w:sz w:val="24"/>
          <w:szCs w:val="24"/>
          <w:highlight w:val="none"/>
          <w:lang w:val="en-US" w:eastAsia="zh-CN"/>
        </w:rPr>
      </w:pPr>
      <w:r>
        <w:rPr>
          <w:rFonts w:hint="eastAsia"/>
          <w:color w:val="auto"/>
          <w:sz w:val="24"/>
          <w:szCs w:val="24"/>
          <w:highlight w:val="none"/>
          <w:lang w:val="en-US" w:eastAsia="zh-CN"/>
        </w:rPr>
        <w:t xml:space="preserve">4.1 报价一览表 </w:t>
      </w:r>
    </w:p>
    <w:p>
      <w:pPr>
        <w:rPr>
          <w:color w:val="auto"/>
          <w:sz w:val="24"/>
          <w:szCs w:val="24"/>
          <w:highlight w:val="none"/>
        </w:rPr>
      </w:pPr>
      <w:r>
        <w:rPr>
          <w:rFonts w:hint="eastAsia"/>
          <w:color w:val="auto"/>
          <w:sz w:val="24"/>
          <w:szCs w:val="24"/>
          <w:highlight w:val="none"/>
          <w:lang w:val="en-US" w:eastAsia="zh-CN"/>
        </w:rPr>
        <w:t xml:space="preserve">4.2 标价的工程量清单。 </w:t>
      </w:r>
    </w:p>
    <w:p>
      <w:pPr>
        <w:rPr>
          <w:rFonts w:hint="default"/>
          <w:b/>
          <w:bCs/>
          <w:color w:val="auto"/>
          <w:sz w:val="24"/>
          <w:szCs w:val="24"/>
          <w:highlight w:val="none"/>
          <w:lang w:val="en-US" w:eastAsia="zh-CN"/>
        </w:rPr>
      </w:pPr>
      <w:r>
        <w:rPr>
          <w:rFonts w:hint="eastAsia"/>
          <w:b/>
          <w:bCs/>
          <w:color w:val="auto"/>
          <w:sz w:val="24"/>
          <w:szCs w:val="24"/>
          <w:highlight w:val="none"/>
          <w:lang w:val="en-US" w:eastAsia="zh-CN"/>
        </w:rPr>
        <w:t>五、供应商认为需要提供的其他资料</w:t>
      </w:r>
    </w:p>
    <w:p>
      <w:pPr>
        <w:rPr>
          <w:rFonts w:hint="eastAsia"/>
          <w:color w:val="auto"/>
          <w:sz w:val="24"/>
          <w:szCs w:val="24"/>
          <w:highlight w:val="none"/>
          <w:lang w:val="en-US" w:eastAsia="zh-CN"/>
        </w:rPr>
      </w:pPr>
      <w:r>
        <w:rPr>
          <w:rFonts w:hint="eastAsia"/>
          <w:b/>
          <w:bCs/>
          <w:color w:val="auto"/>
          <w:sz w:val="24"/>
          <w:szCs w:val="24"/>
          <w:highlight w:val="none"/>
          <w:lang w:val="en-US" w:eastAsia="zh-CN"/>
        </w:rPr>
        <w:t>六、其他文件格式</w:t>
      </w:r>
      <w:r>
        <w:rPr>
          <w:rFonts w:hint="eastAsia"/>
          <w:color w:val="auto"/>
          <w:sz w:val="24"/>
          <w:szCs w:val="24"/>
          <w:highlight w:val="none"/>
          <w:lang w:val="en-US" w:eastAsia="zh-CN"/>
        </w:rPr>
        <w:t xml:space="preserve"> </w:t>
      </w:r>
    </w:p>
    <w:p>
      <w:pPr>
        <w:rPr>
          <w:rFonts w:hint="eastAsia"/>
          <w:color w:val="auto"/>
          <w:sz w:val="24"/>
          <w:szCs w:val="24"/>
          <w:highlight w:val="none"/>
          <w:lang w:val="en-US" w:eastAsia="zh-CN"/>
        </w:rPr>
      </w:pPr>
      <w:r>
        <w:rPr>
          <w:rFonts w:hint="eastAsia"/>
          <w:color w:val="auto"/>
          <w:sz w:val="24"/>
          <w:szCs w:val="24"/>
          <w:highlight w:val="none"/>
          <w:lang w:val="en-US" w:eastAsia="zh-CN"/>
        </w:rPr>
        <w:t xml:space="preserve">6.1 法定代表人授权委托书  </w:t>
      </w:r>
    </w:p>
    <w:p>
      <w:pPr>
        <w:rPr>
          <w:rFonts w:hint="eastAsia"/>
          <w:color w:val="auto"/>
          <w:sz w:val="24"/>
          <w:szCs w:val="24"/>
          <w:highlight w:val="none"/>
          <w:lang w:val="en-US" w:eastAsia="zh-CN"/>
        </w:rPr>
      </w:pPr>
      <w:r>
        <w:rPr>
          <w:rFonts w:hint="eastAsia"/>
          <w:color w:val="auto"/>
          <w:sz w:val="24"/>
          <w:szCs w:val="24"/>
          <w:highlight w:val="none"/>
          <w:lang w:val="en-US" w:eastAsia="zh-CN"/>
        </w:rPr>
        <w:t xml:space="preserve">6.2 供应商资格声明函 </w:t>
      </w:r>
    </w:p>
    <w:p>
      <w:pPr>
        <w:rPr>
          <w:rFonts w:hint="eastAsia"/>
          <w:color w:val="auto"/>
          <w:sz w:val="24"/>
          <w:szCs w:val="24"/>
          <w:highlight w:val="none"/>
          <w:lang w:val="en-US" w:eastAsia="zh-CN"/>
        </w:rPr>
      </w:pPr>
      <w:r>
        <w:rPr>
          <w:rFonts w:hint="eastAsia"/>
          <w:color w:val="auto"/>
          <w:sz w:val="24"/>
          <w:szCs w:val="24"/>
          <w:highlight w:val="none"/>
          <w:lang w:val="en-US" w:eastAsia="zh-CN"/>
        </w:rPr>
        <w:t>6.3 具备履行合同所必需的设备和专业技术能力的书面声明</w:t>
      </w:r>
    </w:p>
    <w:p>
      <w:pPr>
        <w:rPr>
          <w:rFonts w:hint="eastAsia"/>
          <w:color w:val="auto"/>
          <w:sz w:val="24"/>
          <w:szCs w:val="24"/>
          <w:highlight w:val="none"/>
          <w:lang w:val="en-US" w:eastAsia="zh-CN"/>
        </w:rPr>
      </w:pPr>
      <w:r>
        <w:rPr>
          <w:rFonts w:hint="eastAsia"/>
          <w:color w:val="auto"/>
          <w:sz w:val="24"/>
          <w:szCs w:val="24"/>
          <w:highlight w:val="none"/>
          <w:lang w:val="en-US" w:eastAsia="zh-CN"/>
        </w:rPr>
        <w:t>6.4 参加政府采购活动前 3 年内在经营活动中没有重大违法记录的书面声明</w:t>
      </w:r>
    </w:p>
    <w:p>
      <w:pPr>
        <w:rPr>
          <w:rFonts w:hint="eastAsia"/>
          <w:color w:val="auto"/>
          <w:sz w:val="24"/>
          <w:szCs w:val="24"/>
          <w:highlight w:val="none"/>
          <w:lang w:val="en-US" w:eastAsia="zh-CN"/>
        </w:rPr>
      </w:pPr>
      <w:r>
        <w:rPr>
          <w:rFonts w:hint="eastAsia"/>
          <w:color w:val="auto"/>
          <w:sz w:val="24"/>
          <w:szCs w:val="24"/>
          <w:highlight w:val="none"/>
          <w:lang w:val="en-US" w:eastAsia="zh-CN"/>
        </w:rPr>
        <w:t>6.5 政府采购供应商质疑函范本</w:t>
      </w:r>
    </w:p>
    <w:p>
      <w:pPr>
        <w:rPr>
          <w:rFonts w:hint="eastAsia"/>
          <w:color w:val="auto"/>
          <w:sz w:val="24"/>
          <w:szCs w:val="24"/>
          <w:highlight w:val="none"/>
          <w:lang w:val="en-US" w:eastAsia="zh-CN"/>
        </w:rPr>
      </w:pPr>
      <w:r>
        <w:rPr>
          <w:rFonts w:hint="eastAsia"/>
          <w:color w:val="auto"/>
          <w:sz w:val="24"/>
          <w:szCs w:val="24"/>
          <w:highlight w:val="none"/>
          <w:lang w:val="en-US" w:eastAsia="zh-CN"/>
        </w:rPr>
        <w:t>6.6 联合体共同投标合同书（可选）</w:t>
      </w:r>
    </w:p>
    <w:p>
      <w:pPr>
        <w:rPr>
          <w:color w:val="auto"/>
          <w:sz w:val="24"/>
          <w:szCs w:val="24"/>
          <w:highlight w:val="none"/>
        </w:rPr>
      </w:pPr>
      <w:r>
        <w:rPr>
          <w:rFonts w:hint="eastAsia"/>
          <w:color w:val="auto"/>
          <w:sz w:val="24"/>
          <w:szCs w:val="24"/>
          <w:highlight w:val="none"/>
          <w:lang w:val="en-US" w:eastAsia="zh-CN"/>
        </w:rPr>
        <w:t xml:space="preserve">注：请供应商按照以下文件的要求格式、内容，顺序制作磋商响应文件，并请 </w:t>
      </w:r>
    </w:p>
    <w:p>
      <w:pPr>
        <w:rPr>
          <w:rFonts w:hint="default"/>
          <w:color w:val="auto"/>
          <w:sz w:val="24"/>
          <w:szCs w:val="24"/>
          <w:highlight w:val="none"/>
          <w:lang w:val="en-US"/>
        </w:rPr>
      </w:pPr>
      <w:r>
        <w:rPr>
          <w:rFonts w:hint="eastAsia"/>
          <w:color w:val="auto"/>
          <w:sz w:val="24"/>
          <w:szCs w:val="24"/>
          <w:highlight w:val="none"/>
          <w:lang w:val="en-US" w:eastAsia="zh-CN"/>
        </w:rPr>
        <w:t>编制目录及页码，否则可能将影响对磋商响应文件的评价。</w:t>
      </w:r>
    </w:p>
    <w:p>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p>
    <w:p>
      <w:pPr>
        <w:pStyle w:val="9"/>
        <w:rPr>
          <w:rFonts w:hint="eastAsia" w:ascii="宋体" w:hAnsi="宋体" w:eastAsia="宋体" w:cs="宋体"/>
          <w:b/>
          <w:bCs/>
          <w:color w:val="auto"/>
          <w:sz w:val="28"/>
          <w:szCs w:val="28"/>
          <w:highlight w:val="none"/>
        </w:rPr>
      </w:pPr>
    </w:p>
    <w:p>
      <w:pPr>
        <w:rPr>
          <w:rFonts w:hint="eastAsia"/>
          <w:color w:val="auto"/>
          <w:highlight w:val="none"/>
        </w:rPr>
      </w:pPr>
    </w:p>
    <w:p>
      <w:pPr>
        <w:rPr>
          <w:rFonts w:hint="eastAsia"/>
          <w:color w:val="auto"/>
          <w:highlight w:val="none"/>
        </w:rPr>
      </w:pPr>
    </w:p>
    <w:p>
      <w:pPr>
        <w:pStyle w:val="9"/>
        <w:rPr>
          <w:rFonts w:hint="eastAsia"/>
          <w:color w:val="auto"/>
          <w:highlight w:val="none"/>
        </w:rPr>
      </w:pPr>
    </w:p>
    <w:p>
      <w:pPr>
        <w:rPr>
          <w:rFonts w:hint="eastAsia"/>
        </w:rPr>
      </w:pPr>
    </w:p>
    <w:p>
      <w:pPr>
        <w:pStyle w:val="9"/>
        <w:rPr>
          <w:rFonts w:hint="eastAsia"/>
          <w:color w:val="auto"/>
          <w:highlight w:val="none"/>
        </w:rPr>
      </w:pPr>
    </w:p>
    <w:p>
      <w:pPr>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709" w:name="_Toc18871_WPSOffice_Level1"/>
      <w:r>
        <w:rPr>
          <w:rFonts w:hint="eastAsia"/>
          <w:b/>
          <w:bCs/>
          <w:color w:val="auto"/>
          <w:sz w:val="36"/>
          <w:szCs w:val="36"/>
          <w:highlight w:val="none"/>
          <w:lang w:val="en-US" w:eastAsia="zh-CN"/>
        </w:rPr>
        <w:t>一、自查表</w:t>
      </w:r>
      <w:bookmarkEnd w:id="709"/>
    </w:p>
    <w:p>
      <w:pPr>
        <w:pStyle w:val="9"/>
        <w:ind w:left="0" w:leftChars="0" w:firstLine="0" w:firstLineChars="0"/>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1.1 </w:t>
      </w:r>
      <w:r>
        <w:rPr>
          <w:rFonts w:hint="eastAsia" w:ascii="宋体" w:hAnsi="宋体" w:eastAsia="宋体" w:cs="宋体"/>
          <w:b/>
          <w:bCs/>
          <w:color w:val="auto"/>
          <w:sz w:val="28"/>
          <w:szCs w:val="28"/>
          <w:highlight w:val="none"/>
        </w:rPr>
        <w:t xml:space="preserve">资格审查自查表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19"/>
        <w:tblW w:w="863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6002"/>
        <w:gridCol w:w="2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600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磋商文件要求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审查内容</w:t>
            </w:r>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val="en-US" w:eastAsia="zh-CN"/>
              </w:rPr>
              <w:t>磋商须知第七</w:t>
            </w:r>
            <w:r>
              <w:rPr>
                <w:rFonts w:hint="eastAsia" w:cs="宋体"/>
                <w:b/>
                <w:bCs/>
                <w:color w:val="auto"/>
                <w:sz w:val="24"/>
                <w:szCs w:val="24"/>
                <w:highlight w:val="none"/>
                <w:lang w:val="en-US" w:eastAsia="zh-CN"/>
              </w:rPr>
              <w:t>部分</w:t>
            </w:r>
            <w:r>
              <w:rPr>
                <w:rFonts w:hint="eastAsia" w:ascii="宋体" w:hAnsi="宋体" w:eastAsia="宋体" w:cs="宋体"/>
                <w:b/>
                <w:bCs/>
                <w:color w:val="auto"/>
                <w:sz w:val="24"/>
                <w:szCs w:val="24"/>
                <w:highlight w:val="none"/>
                <w:lang w:val="en-US" w:eastAsia="zh-CN"/>
              </w:rPr>
              <w:t>：</w:t>
            </w:r>
            <w:r>
              <w:rPr>
                <w:rFonts w:hint="eastAsia" w:cs="宋体"/>
                <w:b/>
                <w:bCs/>
                <w:color w:val="auto"/>
                <w:sz w:val="24"/>
                <w:szCs w:val="24"/>
                <w:highlight w:val="none"/>
                <w:lang w:val="en-US" w:eastAsia="zh-CN"/>
              </w:rPr>
              <w:t>《资格审查表》</w:t>
            </w:r>
          </w:p>
        </w:tc>
        <w:tc>
          <w:tcPr>
            <w:tcW w:w="205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自查结论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95"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00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通过 □不通过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00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85" w:hRule="atLeast"/>
          <w:jc w:val="center"/>
        </w:trPr>
        <w:tc>
          <w:tcPr>
            <w:tcW w:w="572" w:type="dxa"/>
            <w:noWrap w:val="0"/>
            <w:vAlign w:val="top"/>
          </w:tcPr>
          <w:p>
            <w:pPr>
              <w:jc w:val="both"/>
              <w:rPr>
                <w:rFonts w:hint="eastAsia"/>
                <w:color w:val="auto"/>
                <w:highlight w:val="none"/>
                <w:lang w:val="en-US" w:eastAsia="zh-CN"/>
              </w:rPr>
            </w:pPr>
          </w:p>
          <w:p>
            <w:pPr>
              <w:ind w:firstLine="220" w:firstLineChars="100"/>
              <w:jc w:val="both"/>
              <w:rPr>
                <w:rFonts w:hint="eastAsia"/>
                <w:color w:val="auto"/>
                <w:highlight w:val="none"/>
              </w:rPr>
            </w:pPr>
            <w:r>
              <w:rPr>
                <w:rFonts w:hint="eastAsia"/>
                <w:color w:val="auto"/>
                <w:highlight w:val="none"/>
                <w:lang w:val="en-US" w:eastAsia="zh-CN"/>
              </w:rPr>
              <w:t>3</w:t>
            </w:r>
          </w:p>
          <w:p>
            <w:pPr>
              <w:pStyle w:val="9"/>
              <w:rPr>
                <w:rFonts w:hint="eastAsia"/>
                <w:color w:val="auto"/>
                <w:highlight w:val="none"/>
              </w:rPr>
            </w:pPr>
          </w:p>
        </w:tc>
        <w:tc>
          <w:tcPr>
            <w:tcW w:w="600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3"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00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8"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600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3"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00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5"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600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50"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600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07"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00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5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注：供应商应按照磋商文件《资格性审查表》 中的内容逐条在上表中填写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在对应的□打“√”。 </w:t>
      </w: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color w:val="auto"/>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3373" w:firstLineChars="1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w:t>
      </w:r>
      <w:r>
        <w:rPr>
          <w:rFonts w:hint="eastAsia" w:cs="宋体"/>
          <w:b/>
          <w:bCs/>
          <w:color w:val="auto"/>
          <w:sz w:val="28"/>
          <w:szCs w:val="28"/>
          <w:highlight w:val="none"/>
          <w:lang w:val="en-US" w:eastAsia="zh-CN"/>
        </w:rPr>
        <w:t>2</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 xml:space="preserve">符合性审查自查表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tbl>
      <w:tblPr>
        <w:tblStyle w:val="19"/>
        <w:tblW w:w="887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2"/>
        <w:gridCol w:w="4650"/>
        <w:gridCol w:w="2085"/>
        <w:gridCol w:w="15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14"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w:t>
            </w:r>
          </w:p>
          <w:p>
            <w:pPr>
              <w:keepNext w:val="0"/>
              <w:keepLines w:val="0"/>
              <w:pageBreakBefore w:val="0"/>
              <w:widowControl w:val="0"/>
              <w:kinsoku/>
              <w:wordWrap/>
              <w:overflowPunct/>
              <w:topLinePunct w:val="0"/>
              <w:autoSpaceDE w:val="0"/>
              <w:autoSpaceDN w:val="0"/>
              <w:bidi w:val="0"/>
              <w:adjustRightInd/>
              <w:snapToGrid/>
              <w:spacing w:line="440" w:lineRule="exact"/>
              <w:ind w:firstLine="241" w:firstLineChars="1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号</w:t>
            </w:r>
          </w:p>
        </w:tc>
        <w:tc>
          <w:tcPr>
            <w:tcW w:w="465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8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磋商文件要求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审查内容</w:t>
            </w:r>
            <w:r>
              <w:rPr>
                <w:rFonts w:hint="eastAsia" w:ascii="宋体" w:hAnsi="宋体" w:eastAsia="宋体" w:cs="宋体"/>
                <w:b/>
                <w:bCs/>
                <w:color w:val="auto"/>
                <w:sz w:val="24"/>
                <w:szCs w:val="24"/>
                <w:highlight w:val="none"/>
              </w:rPr>
              <w:t>详见</w:t>
            </w:r>
            <w:r>
              <w:rPr>
                <w:rFonts w:hint="eastAsia" w:ascii="宋体" w:hAnsi="宋体" w:eastAsia="宋体" w:cs="宋体"/>
                <w:b/>
                <w:bCs/>
                <w:color w:val="auto"/>
                <w:sz w:val="24"/>
                <w:szCs w:val="24"/>
                <w:highlight w:val="none"/>
                <w:lang w:val="en-US" w:eastAsia="zh-CN"/>
              </w:rPr>
              <w:t>磋商须知第七</w:t>
            </w:r>
            <w:r>
              <w:rPr>
                <w:rFonts w:hint="eastAsia" w:cs="宋体"/>
                <w:b/>
                <w:bCs/>
                <w:color w:val="auto"/>
                <w:sz w:val="24"/>
                <w:szCs w:val="24"/>
                <w:highlight w:val="none"/>
                <w:lang w:val="en-US" w:eastAsia="zh-CN"/>
              </w:rPr>
              <w:t>部分：</w:t>
            </w:r>
            <w:r>
              <w:rPr>
                <w:rFonts w:hint="eastAsia" w:ascii="宋体" w:hAnsi="宋体" w:eastAsia="宋体" w:cs="宋体"/>
                <w:b/>
                <w:bCs/>
                <w:color w:val="auto"/>
                <w:sz w:val="24"/>
                <w:szCs w:val="24"/>
                <w:highlight w:val="none"/>
              </w:rPr>
              <w:t>《符合性审查表》</w:t>
            </w:r>
          </w:p>
        </w:tc>
        <w:tc>
          <w:tcPr>
            <w:tcW w:w="208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自查结论 </w:t>
            </w:r>
          </w:p>
        </w:tc>
        <w:tc>
          <w:tcPr>
            <w:tcW w:w="156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证明资料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65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65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6" w:hRule="atLeast"/>
          <w:jc w:val="center"/>
        </w:trPr>
        <w:tc>
          <w:tcPr>
            <w:tcW w:w="572" w:type="dxa"/>
            <w:noWrap w:val="0"/>
            <w:vAlign w:val="top"/>
          </w:tcPr>
          <w:p>
            <w:pPr>
              <w:jc w:val="both"/>
              <w:rPr>
                <w:rFonts w:hint="eastAsia"/>
                <w:color w:val="auto"/>
                <w:highlight w:val="none"/>
                <w:lang w:val="en-US" w:eastAsia="zh-CN"/>
              </w:rPr>
            </w:pPr>
          </w:p>
          <w:p>
            <w:pPr>
              <w:ind w:firstLine="220" w:firstLineChars="100"/>
              <w:jc w:val="both"/>
              <w:rPr>
                <w:rFonts w:hint="eastAsia"/>
                <w:color w:val="auto"/>
                <w:highlight w:val="none"/>
              </w:rPr>
            </w:pPr>
            <w:r>
              <w:rPr>
                <w:rFonts w:hint="eastAsia"/>
                <w:color w:val="auto"/>
                <w:highlight w:val="none"/>
                <w:lang w:val="en-US" w:eastAsia="zh-CN"/>
              </w:rPr>
              <w:t>3</w:t>
            </w:r>
          </w:p>
          <w:p>
            <w:pPr>
              <w:pStyle w:val="9"/>
              <w:rPr>
                <w:rFonts w:hint="eastAsia"/>
                <w:color w:val="auto"/>
                <w:highlight w:val="none"/>
              </w:rPr>
            </w:pPr>
          </w:p>
        </w:tc>
        <w:tc>
          <w:tcPr>
            <w:tcW w:w="465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65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65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65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65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见响应文件</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65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 □不通过 </w:t>
            </w:r>
          </w:p>
        </w:tc>
        <w:tc>
          <w:tcPr>
            <w:tcW w:w="156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见响应文件第（）页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jc w:val="center"/>
        </w:trPr>
        <w:tc>
          <w:tcPr>
            <w:tcW w:w="572"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65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085"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1567"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注：供应商应按照磋商文件《符合性审查表》中的内容逐条在上表中填写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在对应的□打“√”，并注明证明资料所在响应文件的页码。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pPr>
    </w:p>
    <w:p>
      <w:pPr>
        <w:pStyle w:val="9"/>
        <w:rPr>
          <w:rFonts w:hint="eastAsia" w:ascii="宋体" w:hAnsi="宋体" w:eastAsia="宋体" w:cs="宋体"/>
          <w:color w:val="auto"/>
          <w:sz w:val="24"/>
          <w:szCs w:val="24"/>
          <w:highlight w:val="none"/>
          <w:lang w:val="zh-CN" w:eastAsia="zh-CN"/>
        </w:rPr>
      </w:pPr>
    </w:p>
    <w:p>
      <w:pPr>
        <w:rPr>
          <w:rFonts w:hint="eastAsia" w:ascii="宋体" w:hAnsi="宋体" w:eastAsia="宋体" w:cs="宋体"/>
          <w:color w:val="auto"/>
          <w:sz w:val="24"/>
          <w:szCs w:val="24"/>
          <w:highlight w:val="none"/>
          <w:lang w:val="zh-CN" w:eastAsia="zh-CN"/>
        </w:rPr>
      </w:pPr>
    </w:p>
    <w:p>
      <w:pPr>
        <w:pStyle w:val="9"/>
        <w:rPr>
          <w:rFonts w:hint="eastAsia" w:ascii="宋体" w:hAnsi="宋体" w:eastAsia="宋体" w:cs="宋体"/>
          <w:color w:val="auto"/>
          <w:sz w:val="24"/>
          <w:szCs w:val="24"/>
          <w:highlight w:val="none"/>
          <w:lang w:val="zh-CN" w:eastAsia="zh-CN"/>
        </w:rPr>
      </w:pPr>
    </w:p>
    <w:p>
      <w:pPr>
        <w:rPr>
          <w:rFonts w:hint="eastAsia"/>
          <w:color w:val="auto"/>
          <w:highlight w:val="none"/>
          <w:lang w:val="zh-CN" w:eastAsia="zh-CN"/>
        </w:rPr>
      </w:pPr>
    </w:p>
    <w:p>
      <w:pPr>
        <w:pStyle w:val="9"/>
        <w:rPr>
          <w:rFonts w:hint="eastAsia"/>
          <w:color w:val="auto"/>
          <w:highlight w:val="none"/>
          <w:lang w:val="zh-CN" w:eastAsia="zh-CN"/>
        </w:rPr>
      </w:pPr>
    </w:p>
    <w:p>
      <w:pPr>
        <w:jc w:val="center"/>
        <w:rPr>
          <w:rFonts w:ascii="宋体" w:hAnsi="宋体"/>
          <w:b/>
          <w:color w:val="auto"/>
          <w:sz w:val="30"/>
          <w:szCs w:val="30"/>
          <w:highlight w:val="none"/>
        </w:rPr>
      </w:pPr>
      <w:r>
        <w:rPr>
          <w:rFonts w:hint="eastAsia"/>
          <w:b/>
          <w:color w:val="auto"/>
          <w:sz w:val="30"/>
          <w:szCs w:val="30"/>
          <w:highlight w:val="none"/>
          <w:lang w:val="en-US" w:eastAsia="zh-CN"/>
        </w:rPr>
        <w:t xml:space="preserve">1.3 </w:t>
      </w:r>
      <w:r>
        <w:rPr>
          <w:rFonts w:hint="eastAsia" w:ascii="宋体" w:hAnsi="宋体"/>
          <w:b/>
          <w:color w:val="auto"/>
          <w:sz w:val="30"/>
          <w:szCs w:val="30"/>
          <w:highlight w:val="none"/>
        </w:rPr>
        <w:t>评分索引表</w:t>
      </w:r>
    </w:p>
    <w:p>
      <w:pPr>
        <w:rPr>
          <w:rFonts w:ascii="宋体" w:hAnsi="宋体"/>
          <w:color w:val="auto"/>
          <w:highlight w:val="none"/>
        </w:rPr>
      </w:pPr>
    </w:p>
    <w:tbl>
      <w:tblPr>
        <w:tblStyle w:val="19"/>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9"/>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29" w:type="dxa"/>
            <w:noWrap w:val="0"/>
            <w:vAlign w:val="center"/>
          </w:tcPr>
          <w:p>
            <w:pPr>
              <w:pStyle w:val="34"/>
              <w:shd w:val="clear" w:color="auto" w:fill="FFFFFF"/>
              <w:spacing w:line="480" w:lineRule="auto"/>
              <w:ind w:left="420"/>
              <w:jc w:val="center"/>
              <w:rPr>
                <w:rFonts w:ascii="宋体" w:hAnsi="宋体" w:eastAsia="Times New Roman"/>
                <w:b/>
                <w:bCs/>
                <w:color w:val="auto"/>
                <w:highlight w:val="none"/>
                <w:lang w:val="en-US" w:eastAsia="zh-CN"/>
              </w:rPr>
            </w:pPr>
            <w:r>
              <w:rPr>
                <w:rFonts w:hint="eastAsia" w:ascii="宋体" w:hAnsi="宋体" w:eastAsia="Times New Roman"/>
                <w:b/>
                <w:color w:val="auto"/>
                <w:highlight w:val="none"/>
                <w:lang w:val="en-US"/>
              </w:rPr>
              <w:t>评分项目</w:t>
            </w:r>
          </w:p>
        </w:tc>
        <w:tc>
          <w:tcPr>
            <w:tcW w:w="3711" w:type="dxa"/>
            <w:noWrap w:val="0"/>
            <w:vAlign w:val="top"/>
          </w:tcPr>
          <w:p>
            <w:pPr>
              <w:spacing w:line="480" w:lineRule="auto"/>
              <w:jc w:val="center"/>
              <w:rPr>
                <w:rFonts w:ascii="宋体" w:hAnsi="宋体"/>
                <w:b/>
                <w:color w:val="auto"/>
                <w:highlight w:val="none"/>
              </w:rPr>
            </w:pPr>
            <w:r>
              <w:rPr>
                <w:rFonts w:hint="eastAsia" w:ascii="宋体" w:hAnsi="宋体"/>
                <w:b/>
                <w:color w:val="auto"/>
                <w:kern w:val="0"/>
                <w:sz w:val="24"/>
                <w:highlight w:val="none"/>
                <w:lang w:bidi="en-US"/>
              </w:rPr>
              <w:t>在</w:t>
            </w:r>
            <w:r>
              <w:rPr>
                <w:rFonts w:hint="eastAsia" w:ascii="宋体" w:hAnsi="宋体"/>
                <w:b/>
                <w:color w:val="auto"/>
                <w:kern w:val="0"/>
                <w:sz w:val="24"/>
                <w:highlight w:val="none"/>
                <w:lang w:val="en-US" w:eastAsia="zh-CN" w:bidi="en-US"/>
              </w:rPr>
              <w:t>响应</w:t>
            </w:r>
            <w:r>
              <w:rPr>
                <w:rFonts w:hint="eastAsia" w:ascii="宋体" w:hAnsi="宋体"/>
                <w:b/>
                <w:color w:val="auto"/>
                <w:kern w:val="0"/>
                <w:sz w:val="24"/>
                <w:highlight w:val="none"/>
                <w:lang w:bidi="en-US"/>
              </w:rPr>
              <w:t>文件中的页码位置（注明在**节点下第**页）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trPr>
        <w:tc>
          <w:tcPr>
            <w:tcW w:w="5529" w:type="dxa"/>
            <w:noWrap w:val="0"/>
            <w:vAlign w:val="top"/>
          </w:tcPr>
          <w:p>
            <w:pPr>
              <w:pStyle w:val="34"/>
              <w:shd w:val="clear" w:color="auto" w:fill="FFFFFF"/>
              <w:spacing w:line="480" w:lineRule="auto"/>
              <w:ind w:left="420"/>
              <w:jc w:val="both"/>
              <w:rPr>
                <w:rFonts w:ascii="宋体" w:hAnsi="宋体" w:eastAsia="Times New Roman"/>
                <w:b/>
                <w:color w:val="auto"/>
                <w:highlight w:val="none"/>
                <w:lang w:val="en-US" w:eastAsia="zh-CN"/>
              </w:rPr>
            </w:pPr>
          </w:p>
        </w:tc>
        <w:tc>
          <w:tcPr>
            <w:tcW w:w="3711" w:type="dxa"/>
            <w:noWrap w:val="0"/>
            <w:vAlign w:val="top"/>
          </w:tcPr>
          <w:p>
            <w:pPr>
              <w:spacing w:line="480" w:lineRule="auto"/>
              <w:rPr>
                <w:rFonts w:ascii="宋体" w:hAnsi="宋体"/>
                <w:b/>
                <w:color w:val="auto"/>
                <w:kern w:val="0"/>
                <w:sz w:val="24"/>
                <w:highlight w:val="none"/>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9240" w:type="dxa"/>
            <w:gridSpan w:val="2"/>
            <w:noWrap w:val="0"/>
            <w:vAlign w:val="top"/>
          </w:tcPr>
          <w:p>
            <w:pPr>
              <w:pStyle w:val="34"/>
              <w:shd w:val="clear" w:color="auto" w:fill="FFFFFF"/>
              <w:spacing w:line="480" w:lineRule="auto"/>
              <w:ind w:left="420"/>
              <w:jc w:val="both"/>
              <w:rPr>
                <w:rFonts w:ascii="宋体" w:hAnsi="宋体" w:eastAsia="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5529" w:type="dxa"/>
            <w:noWrap w:val="0"/>
            <w:vAlign w:val="top"/>
          </w:tcPr>
          <w:p>
            <w:pPr>
              <w:pStyle w:val="34"/>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529" w:type="dxa"/>
            <w:noWrap w:val="0"/>
            <w:vAlign w:val="top"/>
          </w:tcPr>
          <w:p>
            <w:pPr>
              <w:pStyle w:val="34"/>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29" w:type="dxa"/>
            <w:noWrap w:val="0"/>
            <w:vAlign w:val="top"/>
          </w:tcPr>
          <w:p>
            <w:pPr>
              <w:pStyle w:val="34"/>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5529" w:type="dxa"/>
            <w:noWrap w:val="0"/>
            <w:vAlign w:val="top"/>
          </w:tcPr>
          <w:p>
            <w:pPr>
              <w:pStyle w:val="34"/>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529" w:type="dxa"/>
            <w:noWrap w:val="0"/>
            <w:vAlign w:val="top"/>
          </w:tcPr>
          <w:p>
            <w:pPr>
              <w:pStyle w:val="34"/>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9240" w:type="dxa"/>
            <w:gridSpan w:val="2"/>
            <w:noWrap w:val="0"/>
            <w:vAlign w:val="top"/>
          </w:tcPr>
          <w:p>
            <w:pPr>
              <w:pStyle w:val="34"/>
              <w:shd w:val="clear" w:color="auto" w:fill="FFFFFF"/>
              <w:spacing w:line="480" w:lineRule="auto"/>
              <w:ind w:left="420"/>
              <w:jc w:val="both"/>
              <w:rPr>
                <w:rFonts w:ascii="宋体" w:hAnsi="宋体" w:eastAsia="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5529" w:type="dxa"/>
            <w:noWrap w:val="0"/>
            <w:vAlign w:val="top"/>
          </w:tcPr>
          <w:p>
            <w:pPr>
              <w:pStyle w:val="34"/>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5529" w:type="dxa"/>
            <w:noWrap w:val="0"/>
            <w:vAlign w:val="top"/>
          </w:tcPr>
          <w:p>
            <w:pPr>
              <w:pStyle w:val="34"/>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5529" w:type="dxa"/>
            <w:noWrap w:val="0"/>
            <w:vAlign w:val="top"/>
          </w:tcPr>
          <w:p>
            <w:pPr>
              <w:pStyle w:val="34"/>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5529" w:type="dxa"/>
            <w:noWrap w:val="0"/>
            <w:vAlign w:val="top"/>
          </w:tcPr>
          <w:p>
            <w:pPr>
              <w:pStyle w:val="34"/>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9240" w:type="dxa"/>
            <w:gridSpan w:val="2"/>
            <w:noWrap w:val="0"/>
            <w:vAlign w:val="top"/>
          </w:tcPr>
          <w:p>
            <w:pPr>
              <w:pStyle w:val="34"/>
              <w:shd w:val="clear" w:color="auto" w:fill="FFFFFF"/>
              <w:spacing w:line="480" w:lineRule="auto"/>
              <w:ind w:left="420"/>
              <w:jc w:val="both"/>
              <w:rPr>
                <w:rFonts w:ascii="宋体" w:hAnsi="宋体" w:eastAsia="Times New Roman"/>
                <w:b/>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5529" w:type="dxa"/>
            <w:noWrap w:val="0"/>
            <w:vAlign w:val="top"/>
          </w:tcPr>
          <w:p>
            <w:pPr>
              <w:pStyle w:val="34"/>
              <w:shd w:val="clear" w:color="auto" w:fill="FFFFFF"/>
              <w:spacing w:line="480" w:lineRule="auto"/>
              <w:ind w:left="420"/>
              <w:rPr>
                <w:rFonts w:ascii="宋体" w:hAnsi="宋体" w:eastAsia="Times New Roman"/>
                <w:b/>
                <w:bCs/>
                <w:color w:val="auto"/>
                <w:highlight w:val="none"/>
                <w:lang w:val="en-US" w:eastAsia="zh-CN"/>
              </w:rPr>
            </w:pPr>
          </w:p>
        </w:tc>
        <w:tc>
          <w:tcPr>
            <w:tcW w:w="3711" w:type="dxa"/>
            <w:noWrap w:val="0"/>
            <w:vAlign w:val="top"/>
          </w:tcPr>
          <w:p>
            <w:pPr>
              <w:spacing w:line="480" w:lineRule="auto"/>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5529" w:type="dxa"/>
            <w:noWrap w:val="0"/>
            <w:vAlign w:val="top"/>
          </w:tcPr>
          <w:p>
            <w:pPr>
              <w:pStyle w:val="34"/>
              <w:shd w:val="clear" w:color="auto" w:fill="FFFFFF"/>
              <w:spacing w:line="480" w:lineRule="auto"/>
              <w:ind w:left="420"/>
              <w:rPr>
                <w:rFonts w:ascii="宋体" w:hAnsi="宋体" w:eastAsia="Times New Roman"/>
                <w:color w:val="auto"/>
                <w:highlight w:val="none"/>
                <w:lang w:val="en-US" w:eastAsia="zh-CN"/>
              </w:rPr>
            </w:pPr>
          </w:p>
        </w:tc>
        <w:tc>
          <w:tcPr>
            <w:tcW w:w="3711" w:type="dxa"/>
            <w:noWrap w:val="0"/>
            <w:vAlign w:val="top"/>
          </w:tcPr>
          <w:p>
            <w:pPr>
              <w:spacing w:line="480" w:lineRule="auto"/>
              <w:rPr>
                <w:rFonts w:ascii="宋体" w:hAnsi="宋体"/>
                <w:color w:val="auto"/>
                <w:highlight w:val="none"/>
              </w:rPr>
            </w:pPr>
          </w:p>
        </w:tc>
      </w:tr>
    </w:tbl>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注：供应商应按照磋商文件《评分标准》中技术、商务评分表的内容，列明各评审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分项在磋商响应文件中所在位置，以便查对。</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eastAsia="zh-CN"/>
        </w:rPr>
        <w:sectPr>
          <w:headerReference r:id="rId13" w:type="default"/>
          <w:pgSz w:w="11910" w:h="16840"/>
          <w:pgMar w:top="1984" w:right="1531" w:bottom="2098" w:left="1531" w:header="670" w:footer="1041" w:gutter="0"/>
          <w:cols w:space="720" w:num="1"/>
          <w:rtlGutter w:val="0"/>
          <w:docGrid w:linePitch="1" w:charSpace="0"/>
        </w:sect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710" w:name="_Toc4242_WPSOffice_Level1"/>
      <w:r>
        <w:rPr>
          <w:rFonts w:hint="eastAsia"/>
          <w:b/>
          <w:bCs/>
          <w:color w:val="auto"/>
          <w:sz w:val="36"/>
          <w:szCs w:val="36"/>
          <w:highlight w:val="none"/>
          <w:lang w:val="en-US" w:eastAsia="zh-CN"/>
        </w:rPr>
        <w:t>二、商务文件</w:t>
      </w:r>
      <w:bookmarkEnd w:id="710"/>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p>
    <w:p>
      <w:pPr>
        <w:pStyle w:val="26"/>
        <w:bidi w:val="0"/>
        <w:jc w:val="center"/>
        <w:rPr>
          <w:rFonts w:hint="eastAsia" w:ascii="宋体" w:hAnsi="宋体" w:eastAsia="宋体" w:cs="宋体"/>
          <w:b/>
          <w:color w:val="auto"/>
          <w:kern w:val="0"/>
          <w:sz w:val="30"/>
          <w:szCs w:val="30"/>
          <w:highlight w:val="none"/>
          <w:lang w:val="zh-CN" w:eastAsia="zh-CN" w:bidi="zh-CN"/>
        </w:rPr>
      </w:pPr>
      <w:r>
        <w:rPr>
          <w:rFonts w:hint="eastAsia" w:cs="宋体"/>
          <w:b/>
          <w:color w:val="auto"/>
          <w:kern w:val="0"/>
          <w:sz w:val="30"/>
          <w:szCs w:val="30"/>
          <w:highlight w:val="none"/>
          <w:lang w:val="en-US" w:eastAsia="zh-CN" w:bidi="zh-CN"/>
        </w:rPr>
        <w:t>2</w:t>
      </w:r>
      <w:r>
        <w:rPr>
          <w:rFonts w:hint="eastAsia" w:ascii="宋体" w:hAnsi="宋体" w:eastAsia="宋体" w:cs="宋体"/>
          <w:b/>
          <w:color w:val="auto"/>
          <w:kern w:val="0"/>
          <w:sz w:val="30"/>
          <w:szCs w:val="30"/>
          <w:highlight w:val="none"/>
          <w:lang w:val="en-US" w:eastAsia="zh-CN" w:bidi="zh-CN"/>
        </w:rPr>
        <w:t>.</w:t>
      </w:r>
      <w:r>
        <w:rPr>
          <w:rFonts w:hint="eastAsia" w:cs="宋体"/>
          <w:b/>
          <w:color w:val="auto"/>
          <w:kern w:val="0"/>
          <w:sz w:val="30"/>
          <w:szCs w:val="30"/>
          <w:highlight w:val="none"/>
          <w:lang w:val="en-US" w:eastAsia="zh-CN" w:bidi="zh-CN"/>
        </w:rPr>
        <w:t xml:space="preserve">1 </w:t>
      </w:r>
      <w:r>
        <w:rPr>
          <w:rFonts w:hint="eastAsia" w:ascii="宋体" w:hAnsi="宋体" w:eastAsia="宋体" w:cs="宋体"/>
          <w:b/>
          <w:color w:val="auto"/>
          <w:kern w:val="0"/>
          <w:sz w:val="30"/>
          <w:szCs w:val="30"/>
          <w:highlight w:val="none"/>
          <w:lang w:val="en-US" w:eastAsia="zh-CN" w:bidi="zh-CN"/>
        </w:rPr>
        <w:t>磋商响应函</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仿宋" w:hAnsi="仿宋" w:eastAsia="仿宋" w:cs="仿宋"/>
          <w:sz w:val="28"/>
          <w:szCs w:val="28"/>
          <w:lang w:val="en-US" w:eastAsia="zh-CN"/>
        </w:rPr>
      </w:pPr>
      <w:r>
        <w:rPr>
          <w:rFonts w:hint="eastAsia" w:ascii="宋体" w:hAnsi="宋体" w:eastAsia="宋体" w:cs="宋体"/>
          <w:b/>
          <w:bCs/>
          <w:color w:val="auto"/>
          <w:sz w:val="24"/>
          <w:szCs w:val="24"/>
          <w:highlight w:val="none"/>
        </w:rPr>
        <w:t>致：</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我方确认收到贵方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采购相关</w:t>
      </w:r>
      <w:r>
        <w:rPr>
          <w:rFonts w:hint="eastAsia" w:cs="宋体"/>
          <w:color w:val="auto"/>
          <w:sz w:val="24"/>
          <w:szCs w:val="24"/>
          <w:highlight w:val="none"/>
          <w:lang w:val="en-US" w:eastAsia="zh-CN"/>
        </w:rPr>
        <w:t>工程</w:t>
      </w:r>
      <w:r>
        <w:rPr>
          <w:rFonts w:hint="eastAsia" w:ascii="宋体" w:hAnsi="宋体" w:eastAsia="宋体" w:cs="宋体"/>
          <w:color w:val="auto"/>
          <w:sz w:val="24"/>
          <w:szCs w:val="24"/>
          <w:highlight w:val="none"/>
        </w:rPr>
        <w:t>的磋商文件（</w:t>
      </w: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(供应商名称、地址)  </w:t>
      </w:r>
      <w:r>
        <w:rPr>
          <w:rFonts w:hint="eastAsia" w:ascii="宋体" w:hAnsi="宋体" w:eastAsia="宋体" w:cs="宋体"/>
          <w:color w:val="auto"/>
          <w:sz w:val="24"/>
          <w:szCs w:val="24"/>
          <w:highlight w:val="none"/>
        </w:rPr>
        <w:t xml:space="preserve">作为供应商已正式授权 </w:t>
      </w:r>
      <w:r>
        <w:rPr>
          <w:rFonts w:hint="eastAsia" w:ascii="宋体" w:hAnsi="宋体" w:eastAsia="宋体" w:cs="宋体"/>
          <w:color w:val="auto"/>
          <w:sz w:val="24"/>
          <w:szCs w:val="24"/>
          <w:highlight w:val="none"/>
          <w:u w:val="single"/>
        </w:rPr>
        <w:t xml:space="preserve">(被供应商授权代表全名、职务) </w:t>
      </w:r>
      <w:r>
        <w:rPr>
          <w:rFonts w:hint="eastAsia" w:ascii="宋体" w:hAnsi="宋体" w:eastAsia="宋体" w:cs="宋体"/>
          <w:color w:val="auto"/>
          <w:sz w:val="24"/>
          <w:szCs w:val="24"/>
          <w:highlight w:val="none"/>
        </w:rPr>
        <w:t xml:space="preserve">为我方签名代表，签名代表在此声明并同意：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我们愿意遵守</w:t>
      </w:r>
      <w:r>
        <w:rPr>
          <w:rFonts w:hint="eastAsia" w:cs="宋体"/>
          <w:b w:val="0"/>
          <w:bCs w:val="0"/>
          <w:color w:val="auto"/>
          <w:sz w:val="24"/>
          <w:szCs w:val="24"/>
          <w:highlight w:val="none"/>
          <w:lang w:val="en-US" w:eastAsia="zh-CN"/>
        </w:rPr>
        <w:t>招标代理公司</w:t>
      </w:r>
      <w:r>
        <w:rPr>
          <w:rFonts w:hint="eastAsia" w:ascii="宋体" w:hAnsi="宋体" w:eastAsia="宋体" w:cs="宋体"/>
          <w:b w:val="0"/>
          <w:bCs w:val="0"/>
          <w:color w:val="auto"/>
          <w:sz w:val="24"/>
          <w:szCs w:val="24"/>
          <w:highlight w:val="none"/>
        </w:rPr>
        <w:t xml:space="preserve">磋商文件的各项规定，自愿参加磋商，并已清楚磋商文件的要求及有关文件规定，并严格按照磋商文件的规定履行全部责任和义务。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我们同意本响应文件自</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截止之日起 90 天内</w:t>
      </w:r>
      <w:r>
        <w:rPr>
          <w:rFonts w:hint="eastAsia" w:ascii="宋体" w:hAnsi="宋体" w:eastAsia="宋体" w:cs="宋体"/>
          <w:b w:val="0"/>
          <w:bCs w:val="0"/>
          <w:color w:val="auto"/>
          <w:sz w:val="24"/>
          <w:szCs w:val="24"/>
          <w:highlight w:val="none"/>
        </w:rPr>
        <w:t xml:space="preserve">有效。如果我们的响应文件被接受，则直至合同生效时止，本响应文件始终有效并不撤回已递交的响应文件。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 xml:space="preserve">我们已经详细地阅读并完全明白了全部磋商文件及附件，包括澄清（如有）及参考文件，我们完全理解本磋商文件的要求，我们同意放弃对磋商文件提出不明或误解的一切权力。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我们同意提供采购人、</w:t>
      </w:r>
      <w:r>
        <w:rPr>
          <w:rFonts w:hint="eastAsia" w:cs="宋体"/>
          <w:b w:val="0"/>
          <w:bCs w:val="0"/>
          <w:color w:val="auto"/>
          <w:sz w:val="24"/>
          <w:szCs w:val="24"/>
          <w:highlight w:val="none"/>
          <w:lang w:val="en-US" w:eastAsia="zh-CN"/>
        </w:rPr>
        <w:t>招标代理公司</w:t>
      </w:r>
      <w:r>
        <w:rPr>
          <w:rFonts w:hint="eastAsia" w:ascii="宋体" w:hAnsi="宋体" w:eastAsia="宋体" w:cs="宋体"/>
          <w:b w:val="0"/>
          <w:bCs w:val="0"/>
          <w:color w:val="auto"/>
          <w:sz w:val="24"/>
          <w:szCs w:val="24"/>
          <w:highlight w:val="none"/>
        </w:rPr>
        <w:t xml:space="preserve">及磋商小组要求的有关磋商的一切数据或资料。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我们理解采购人、</w:t>
      </w:r>
      <w:r>
        <w:rPr>
          <w:rFonts w:hint="eastAsia" w:cs="宋体"/>
          <w:b w:val="0"/>
          <w:bCs w:val="0"/>
          <w:color w:val="auto"/>
          <w:sz w:val="24"/>
          <w:szCs w:val="24"/>
          <w:highlight w:val="none"/>
          <w:lang w:val="en-US" w:eastAsia="zh-CN"/>
        </w:rPr>
        <w:t>招标代理公司</w:t>
      </w:r>
      <w:r>
        <w:rPr>
          <w:rFonts w:hint="eastAsia" w:ascii="宋体" w:hAnsi="宋体" w:eastAsia="宋体" w:cs="宋体"/>
          <w:b w:val="0"/>
          <w:bCs w:val="0"/>
          <w:color w:val="auto"/>
          <w:sz w:val="24"/>
          <w:szCs w:val="24"/>
          <w:highlight w:val="none"/>
        </w:rPr>
        <w:t>及磋商小组与磋商小组并无义务必须接受最低报价的磋商或其它任何投标，完全理解</w:t>
      </w:r>
      <w:r>
        <w:rPr>
          <w:rFonts w:hint="eastAsia" w:cs="宋体"/>
          <w:b w:val="0"/>
          <w:bCs w:val="0"/>
          <w:color w:val="auto"/>
          <w:sz w:val="24"/>
          <w:szCs w:val="24"/>
          <w:highlight w:val="none"/>
          <w:lang w:val="en-US" w:eastAsia="zh-CN"/>
        </w:rPr>
        <w:t>招标代理公司</w:t>
      </w:r>
      <w:r>
        <w:rPr>
          <w:rFonts w:hint="eastAsia" w:ascii="宋体" w:hAnsi="宋体" w:eastAsia="宋体" w:cs="宋体"/>
          <w:b w:val="0"/>
          <w:bCs w:val="0"/>
          <w:color w:val="auto"/>
          <w:sz w:val="24"/>
          <w:szCs w:val="24"/>
          <w:highlight w:val="none"/>
        </w:rPr>
        <w:t xml:space="preserve">拒绝迟到的任何磋商和最低磋商报价不是被授予成交的唯一条件。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 xml:space="preserve">如果我们未对磋商文件全部要求作出实质性响应，则完全同意并接受按无效响应处理。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 xml:space="preserve">我们证明提交的一切文件，无论是原件还是复印件均为准确、真实、有效、完整的，绝无任何虚假、伪造或者夸大。我们在此郑重承诺：在本次采购活动中，如有违法、违规、弄虚作假行为，所造成的损失、不良后果及法律责任，一律由我公司（企业）承担。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 xml:space="preserve">如果我们提供的声明或承诺不真实，则完全同意认定为我司提供虚假材料，并同意作相应处理。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我们是依法注册的法人，在法律、财务及运作上完全独立于本项目采购人</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所有有关本次投标的函电请寄：</w:t>
      </w:r>
      <w:r>
        <w:rPr>
          <w:rFonts w:hint="eastAsia" w:ascii="宋体" w:hAnsi="宋体" w:eastAsia="宋体" w:cs="宋体"/>
          <w:b w:val="0"/>
          <w:bCs w:val="0"/>
          <w:color w:val="auto"/>
          <w:sz w:val="24"/>
          <w:szCs w:val="24"/>
          <w:highlight w:val="none"/>
          <w:u w:val="single"/>
        </w:rPr>
        <w:t xml:space="preserve"> （供应商地址）</w:t>
      </w:r>
      <w:r>
        <w:rPr>
          <w:rFonts w:hint="eastAsia" w:ascii="宋体" w:hAnsi="宋体" w:eastAsia="宋体" w:cs="宋体"/>
          <w:b w:val="0"/>
          <w:bCs w:val="0"/>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备注：本函内容不得擅自删改，否则视为无效投标。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电 话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日 期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center"/>
        <w:textAlignment w:val="auto"/>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16"/>
        <w:rPr>
          <w:rFonts w:hint="eastAsia"/>
        </w:rPr>
      </w:pPr>
    </w:p>
    <w:p>
      <w:pPr>
        <w:pStyle w:val="10"/>
        <w:rPr>
          <w:rFonts w:hint="eastAsia"/>
        </w:rPr>
      </w:pPr>
    </w:p>
    <w:p>
      <w:pPr>
        <w:rPr>
          <w:rFonts w:hint="eastAsia"/>
        </w:rPr>
      </w:pPr>
      <w:r>
        <w:rPr>
          <w:rFonts w:hint="eastAsia"/>
        </w:rPr>
        <w:br w:type="page"/>
      </w:r>
    </w:p>
    <w:p>
      <w:pPr>
        <w:pStyle w:val="10"/>
        <w:rPr>
          <w:rFonts w:hint="eastAsia"/>
        </w:rPr>
      </w:pPr>
    </w:p>
    <w:p>
      <w:pPr>
        <w:pStyle w:val="9"/>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 xml:space="preserve">2.2 </w:t>
      </w:r>
      <w:r>
        <w:rPr>
          <w:rFonts w:hint="eastAsia" w:ascii="宋体" w:hAnsi="宋体" w:eastAsia="宋体" w:cs="宋体"/>
          <w:b/>
          <w:bCs/>
          <w:color w:val="auto"/>
          <w:sz w:val="30"/>
          <w:szCs w:val="30"/>
          <w:highlight w:val="none"/>
          <w:lang w:val="en-US" w:eastAsia="zh-CN"/>
        </w:rPr>
        <w:t>商务</w:t>
      </w:r>
      <w:r>
        <w:rPr>
          <w:rFonts w:hint="eastAsia" w:cs="宋体"/>
          <w:b/>
          <w:bCs/>
          <w:color w:val="auto"/>
          <w:sz w:val="30"/>
          <w:szCs w:val="30"/>
          <w:highlight w:val="none"/>
          <w:lang w:val="en-US" w:eastAsia="zh-CN"/>
        </w:rPr>
        <w:t>需求</w:t>
      </w:r>
      <w:r>
        <w:rPr>
          <w:rFonts w:hint="eastAsia" w:ascii="宋体" w:hAnsi="宋体" w:eastAsia="宋体" w:cs="宋体"/>
          <w:b/>
          <w:bCs/>
          <w:color w:val="auto"/>
          <w:sz w:val="30"/>
          <w:szCs w:val="30"/>
          <w:highlight w:val="none"/>
          <w:lang w:val="en-US" w:eastAsia="zh-CN"/>
        </w:rPr>
        <w:t xml:space="preserve">条款响应表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tbl>
      <w:tblPr>
        <w:tblStyle w:val="20"/>
        <w:tblW w:w="9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280"/>
        <w:gridCol w:w="1590"/>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序号</w:t>
            </w:r>
          </w:p>
        </w:tc>
        <w:tc>
          <w:tcPr>
            <w:tcW w:w="528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商务条款要求</w:t>
            </w:r>
          </w:p>
        </w:tc>
        <w:tc>
          <w:tcPr>
            <w:tcW w:w="159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是否响应</w:t>
            </w:r>
          </w:p>
        </w:tc>
        <w:tc>
          <w:tcPr>
            <w:tcW w:w="1494"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w:t>
            </w:r>
          </w:p>
        </w:tc>
        <w:tc>
          <w:tcPr>
            <w:tcW w:w="5280" w:type="dxa"/>
            <w:noWrap w:val="0"/>
            <w:vAlign w:val="top"/>
          </w:tcPr>
          <w:p>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完全理解并接受合同条款要求</w:t>
            </w:r>
          </w:p>
        </w:tc>
        <w:tc>
          <w:tcPr>
            <w:tcW w:w="159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2</w:t>
            </w:r>
          </w:p>
        </w:tc>
        <w:tc>
          <w:tcPr>
            <w:tcW w:w="5280" w:type="dxa"/>
            <w:noWrap w:val="0"/>
            <w:vAlign w:val="top"/>
          </w:tcPr>
          <w:p>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完全理解并接受对合格供应商、合格的服务要求</w:t>
            </w:r>
          </w:p>
        </w:tc>
        <w:tc>
          <w:tcPr>
            <w:tcW w:w="159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3</w:t>
            </w:r>
          </w:p>
        </w:tc>
        <w:tc>
          <w:tcPr>
            <w:tcW w:w="5280" w:type="dxa"/>
            <w:noWrap w:val="0"/>
            <w:vAlign w:val="top"/>
          </w:tcPr>
          <w:p>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完全理解并接受对供应商的各项须知、规约要求和责任义务，包括带“★”条款的全部内容。</w:t>
            </w:r>
          </w:p>
        </w:tc>
        <w:tc>
          <w:tcPr>
            <w:tcW w:w="159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4</w:t>
            </w:r>
          </w:p>
        </w:tc>
        <w:tc>
          <w:tcPr>
            <w:tcW w:w="5280" w:type="dxa"/>
            <w:noWrap w:val="0"/>
            <w:vAlign w:val="top"/>
          </w:tcPr>
          <w:p>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拟派项目负责人的要求</w:t>
            </w:r>
          </w:p>
        </w:tc>
        <w:tc>
          <w:tcPr>
            <w:tcW w:w="159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5</w:t>
            </w:r>
          </w:p>
        </w:tc>
        <w:tc>
          <w:tcPr>
            <w:tcW w:w="5280" w:type="dxa"/>
            <w:noWrap w:val="0"/>
            <w:vAlign w:val="top"/>
          </w:tcPr>
          <w:p>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 xml:space="preserve">磋商有效期：磋商有效期为自递交投标文件起至确定 正式成交供应商止不少于 </w:t>
            </w:r>
            <w:r>
              <w:rPr>
                <w:rFonts w:hint="default" w:ascii="Times New Roman" w:hAnsi="Times New Roman" w:eastAsia="宋体" w:cs="Times New Roman"/>
                <w:color w:val="auto"/>
                <w:kern w:val="0"/>
                <w:sz w:val="24"/>
                <w:szCs w:val="24"/>
                <w:highlight w:val="none"/>
                <w:lang w:val="en-US" w:eastAsia="zh-CN" w:bidi="ar"/>
              </w:rPr>
              <w:t xml:space="preserve">90 </w:t>
            </w:r>
            <w:r>
              <w:rPr>
                <w:rFonts w:hint="eastAsia" w:ascii="宋体" w:hAnsi="宋体" w:eastAsia="宋体" w:cs="宋体"/>
                <w:color w:val="auto"/>
                <w:kern w:val="0"/>
                <w:sz w:val="24"/>
                <w:szCs w:val="24"/>
                <w:highlight w:val="none"/>
                <w:lang w:val="en-US" w:eastAsia="zh-CN" w:bidi="ar"/>
              </w:rPr>
              <w:t>天</w:t>
            </w:r>
          </w:p>
        </w:tc>
        <w:tc>
          <w:tcPr>
            <w:tcW w:w="159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6</w:t>
            </w:r>
          </w:p>
        </w:tc>
        <w:tc>
          <w:tcPr>
            <w:tcW w:w="5280" w:type="dxa"/>
            <w:noWrap w:val="0"/>
            <w:vAlign w:val="top"/>
          </w:tcPr>
          <w:p>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报价内容均涵盖报价要求之一切费用和伴随服务</w:t>
            </w:r>
          </w:p>
        </w:tc>
        <w:tc>
          <w:tcPr>
            <w:tcW w:w="159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7</w:t>
            </w:r>
          </w:p>
        </w:tc>
        <w:tc>
          <w:tcPr>
            <w:tcW w:w="5280" w:type="dxa"/>
            <w:noWrap w:val="0"/>
            <w:vAlign w:val="top"/>
          </w:tcPr>
          <w:p>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同意接受招标文件的各项要求</w:t>
            </w:r>
          </w:p>
        </w:tc>
        <w:tc>
          <w:tcPr>
            <w:tcW w:w="159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8</w:t>
            </w:r>
          </w:p>
        </w:tc>
        <w:tc>
          <w:tcPr>
            <w:tcW w:w="5280" w:type="dxa"/>
            <w:noWrap w:val="0"/>
            <w:vAlign w:val="top"/>
          </w:tcPr>
          <w:p>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同意接受合同范本所列的各项条款</w:t>
            </w:r>
          </w:p>
        </w:tc>
        <w:tc>
          <w:tcPr>
            <w:tcW w:w="159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9</w:t>
            </w:r>
          </w:p>
        </w:tc>
        <w:tc>
          <w:tcPr>
            <w:tcW w:w="5280" w:type="dxa"/>
            <w:noWrap w:val="0"/>
            <w:vAlign w:val="top"/>
          </w:tcPr>
          <w:p>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同意按本项目要求缴付相关款项</w:t>
            </w:r>
          </w:p>
        </w:tc>
        <w:tc>
          <w:tcPr>
            <w:tcW w:w="159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10</w:t>
            </w:r>
          </w:p>
        </w:tc>
        <w:tc>
          <w:tcPr>
            <w:tcW w:w="5280" w:type="dxa"/>
            <w:noWrap w:val="0"/>
            <w:vAlign w:val="top"/>
          </w:tcPr>
          <w:p>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同意采购人以任何形式对我方投标文件内容的真实性 和有效性进行审查、验证</w:t>
            </w:r>
          </w:p>
        </w:tc>
        <w:tc>
          <w:tcPr>
            <w:tcW w:w="159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cs="宋体"/>
                <w:color w:val="auto"/>
                <w:sz w:val="24"/>
                <w:szCs w:val="24"/>
                <w:highlight w:val="none"/>
                <w:vertAlign w:val="baseline"/>
                <w:lang w:val="en-US" w:eastAsia="zh-CN"/>
              </w:rPr>
              <w:t>11</w:t>
            </w:r>
          </w:p>
        </w:tc>
        <w:tc>
          <w:tcPr>
            <w:tcW w:w="5280" w:type="dxa"/>
            <w:noWrap w:val="0"/>
            <w:vAlign w:val="top"/>
          </w:tcPr>
          <w:p>
            <w:pPr>
              <w:keepNext w:val="0"/>
              <w:keepLines w:val="0"/>
              <w:widowControl/>
              <w:suppressLineNumbers w:val="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kern w:val="0"/>
                <w:sz w:val="24"/>
                <w:szCs w:val="24"/>
                <w:highlight w:val="none"/>
                <w:lang w:val="en-US" w:eastAsia="zh-CN" w:bidi="ar"/>
              </w:rPr>
              <w:t>其它商务条款偏离说明（若有）：</w:t>
            </w:r>
          </w:p>
        </w:tc>
        <w:tc>
          <w:tcPr>
            <w:tcW w:w="1590"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c>
          <w:tcPr>
            <w:tcW w:w="1494" w:type="dxa"/>
            <w:noWrap w:val="0"/>
            <w:vAlign w:val="top"/>
          </w:tcPr>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vertAlign w:val="baseline"/>
              </w:rPr>
            </w:pPr>
          </w:p>
        </w:tc>
      </w:tr>
    </w:tbl>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rPr>
          <w:rFonts w:hint="eastAsia" w:ascii="宋体" w:hAnsi="宋体" w:eastAsia="宋体" w:cs="宋体"/>
          <w:b/>
          <w:bCs/>
          <w:color w:val="auto"/>
          <w:sz w:val="30"/>
          <w:szCs w:val="30"/>
          <w:highlight w:val="none"/>
          <w:lang w:val="en-US" w:eastAsia="zh-CN"/>
        </w:rPr>
      </w:pPr>
    </w:p>
    <w:p>
      <w:pPr>
        <w:rPr>
          <w:rFonts w:hint="eastAsia"/>
          <w:color w:val="auto"/>
          <w:highlight w:val="none"/>
          <w:lang w:val="en-US" w:eastAsia="zh-CN"/>
        </w:rPr>
      </w:pPr>
      <w:r>
        <w:rPr>
          <w:rFonts w:hint="eastAsia"/>
          <w:color w:val="auto"/>
          <w:highlight w:val="none"/>
          <w:lang w:val="en-US" w:eastAsia="zh-CN"/>
        </w:rPr>
        <w:t>注：</w:t>
      </w:r>
    </w:p>
    <w:p>
      <w:pPr>
        <w:rPr>
          <w:color w:val="auto"/>
          <w:highlight w:val="none"/>
        </w:rPr>
      </w:pPr>
      <w:r>
        <w:rPr>
          <w:rFonts w:hint="eastAsia"/>
          <w:color w:val="auto"/>
          <w:highlight w:val="none"/>
          <w:lang w:val="en-US" w:eastAsia="zh-CN"/>
        </w:rPr>
        <w:t xml:space="preserve">1. 对于上述要求，如供应商完全响应，则请在“是否响应”栏内打“√”，对空白或 </w:t>
      </w:r>
    </w:p>
    <w:p>
      <w:pPr>
        <w:rPr>
          <w:color w:val="auto"/>
          <w:highlight w:val="none"/>
        </w:rPr>
      </w:pPr>
      <w:r>
        <w:rPr>
          <w:rFonts w:hint="eastAsia"/>
          <w:color w:val="auto"/>
          <w:highlight w:val="none"/>
          <w:lang w:val="en-US" w:eastAsia="zh-CN"/>
        </w:rPr>
        <w:t xml:space="preserve">打“×”视为偏离，请在“偏离说明”栏内扼要说明偏离情况。 </w:t>
      </w:r>
    </w:p>
    <w:p>
      <w:pPr>
        <w:rPr>
          <w:color w:val="auto"/>
          <w:highlight w:val="none"/>
        </w:rPr>
      </w:pPr>
      <w:r>
        <w:rPr>
          <w:rFonts w:hint="eastAsia"/>
          <w:color w:val="auto"/>
          <w:highlight w:val="none"/>
          <w:lang w:val="en-US" w:eastAsia="zh-CN"/>
        </w:rPr>
        <w:t xml:space="preserve">2. 此表内容必须与实施方案中所介绍的内容一致，打“★”项为不可负偏离(劣于)的重要 </w:t>
      </w:r>
    </w:p>
    <w:p>
      <w:pPr>
        <w:rPr>
          <w:color w:val="auto"/>
          <w:highlight w:val="none"/>
        </w:rPr>
      </w:pPr>
      <w:r>
        <w:rPr>
          <w:rFonts w:hint="eastAsia"/>
          <w:color w:val="auto"/>
          <w:highlight w:val="none"/>
          <w:lang w:val="en-US" w:eastAsia="zh-CN"/>
        </w:rPr>
        <w:t>项。</w:t>
      </w:r>
    </w:p>
    <w:p>
      <w:pPr>
        <w:rPr>
          <w:rFonts w:hint="eastAsia"/>
          <w:color w:val="auto"/>
          <w:highlight w:val="none"/>
          <w:lang w:val="en-US" w:eastAsia="zh-CN"/>
        </w:rPr>
      </w:pPr>
    </w:p>
    <w:p>
      <w:pPr>
        <w:rPr>
          <w:color w:val="auto"/>
          <w:highlight w:val="none"/>
        </w:rPr>
      </w:pPr>
      <w:r>
        <w:rPr>
          <w:rFonts w:hint="eastAsia"/>
          <w:color w:val="auto"/>
          <w:highlight w:val="none"/>
          <w:lang w:val="en-US" w:eastAsia="zh-CN"/>
        </w:rPr>
        <w:t xml:space="preserve">供应商法定代表人（或法定代表人授权代表）签字或盖章： </w:t>
      </w:r>
    </w:p>
    <w:p>
      <w:pPr>
        <w:rPr>
          <w:rFonts w:hint="eastAsia"/>
          <w:color w:val="auto"/>
          <w:highlight w:val="none"/>
          <w:lang w:val="en-US" w:eastAsia="zh-CN"/>
        </w:rPr>
      </w:pPr>
    </w:p>
    <w:p>
      <w:pPr>
        <w:rPr>
          <w:color w:val="auto"/>
          <w:highlight w:val="none"/>
        </w:rPr>
      </w:pPr>
      <w:r>
        <w:rPr>
          <w:rFonts w:hint="eastAsia"/>
          <w:color w:val="auto"/>
          <w:highlight w:val="none"/>
          <w:lang w:val="en-US" w:eastAsia="zh-CN"/>
        </w:rPr>
        <w:t xml:space="preserve">供应商名称（盖公章）： </w:t>
      </w:r>
    </w:p>
    <w:p>
      <w:pPr>
        <w:rPr>
          <w:rFonts w:hint="eastAsia"/>
          <w:color w:val="auto"/>
          <w:highlight w:val="none"/>
          <w:lang w:val="en-US" w:eastAsia="zh-CN"/>
        </w:rPr>
      </w:pPr>
    </w:p>
    <w:p>
      <w:pPr>
        <w:rPr>
          <w:color w:val="auto"/>
          <w:highlight w:val="none"/>
        </w:rPr>
      </w:pPr>
      <w:r>
        <w:rPr>
          <w:rFonts w:hint="eastAsia"/>
          <w:color w:val="auto"/>
          <w:highlight w:val="none"/>
          <w:lang w:val="en-US" w:eastAsia="zh-CN"/>
        </w:rPr>
        <w:t>日 期： 年 月 日</w:t>
      </w: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2.3 拟派</w:t>
      </w:r>
      <w:r>
        <w:rPr>
          <w:rFonts w:hint="eastAsia" w:ascii="宋体" w:hAnsi="宋体" w:eastAsia="宋体" w:cs="宋体"/>
          <w:b/>
          <w:bCs/>
          <w:color w:val="auto"/>
          <w:sz w:val="30"/>
          <w:szCs w:val="30"/>
          <w:highlight w:val="none"/>
          <w:lang w:val="en-US" w:eastAsia="zh-CN"/>
        </w:rPr>
        <w:t>项目负责人及管理技术人员一览表</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5408" behindDoc="0" locked="0" layoutInCell="1" allowOverlap="1">
                <wp:simplePos x="0" y="0"/>
                <wp:positionH relativeFrom="page">
                  <wp:posOffset>642620</wp:posOffset>
                </wp:positionH>
                <wp:positionV relativeFrom="paragraph">
                  <wp:posOffset>576580</wp:posOffset>
                </wp:positionV>
                <wp:extent cx="6283325" cy="310134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6283325" cy="3101340"/>
                        </a:xfrm>
                        <a:prstGeom prst="rect">
                          <a:avLst/>
                        </a:prstGeom>
                        <a:noFill/>
                        <a:ln>
                          <a:noFill/>
                        </a:ln>
                      </wps:spPr>
                      <wps:txbx>
                        <w:txbxContent>
                          <w:p>
                            <w:pPr>
                              <w:pStyle w:val="2"/>
                              <w:spacing w:before="78" w:line="219" w:lineRule="auto"/>
                              <w:ind w:left="3560"/>
                              <w:rPr>
                                <w:sz w:val="24"/>
                                <w:szCs w:val="24"/>
                              </w:rPr>
                            </w:pPr>
                            <w:r>
                              <w:rPr>
                                <w:spacing w:val="-2"/>
                                <w:sz w:val="24"/>
                                <w:szCs w:val="24"/>
                              </w:rPr>
                              <w:t>项目管理机构组成表</w:t>
                            </w:r>
                          </w:p>
                          <w:p>
                            <w:pPr>
                              <w:spacing w:line="240" w:lineRule="exact"/>
                            </w:pPr>
                          </w:p>
                          <w:tbl>
                            <w:tblPr>
                              <w:tblStyle w:val="45"/>
                              <w:tblW w:w="93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022"/>
                              <w:gridCol w:w="1022"/>
                              <w:gridCol w:w="1168"/>
                              <w:gridCol w:w="727"/>
                              <w:gridCol w:w="1315"/>
                              <w:gridCol w:w="1022"/>
                              <w:gridCol w:w="1432"/>
                              <w:gridCol w:w="9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3" w:hRule="atLeast"/>
                              </w:trPr>
                              <w:tc>
                                <w:tcPr>
                                  <w:tcW w:w="734" w:type="dxa"/>
                                  <w:vMerge w:val="restart"/>
                                  <w:tcBorders>
                                    <w:bottom w:val="nil"/>
                                  </w:tcBorders>
                                  <w:vAlign w:val="top"/>
                                </w:tcPr>
                                <w:p>
                                  <w:pPr>
                                    <w:pStyle w:val="44"/>
                                    <w:spacing w:before="218" w:line="221" w:lineRule="auto"/>
                                    <w:ind w:left="162"/>
                                  </w:pPr>
                                  <w:r>
                                    <w:rPr>
                                      <w:spacing w:val="-2"/>
                                    </w:rPr>
                                    <w:t>职务</w:t>
                                  </w:r>
                                </w:p>
                              </w:tc>
                              <w:tc>
                                <w:tcPr>
                                  <w:tcW w:w="1022" w:type="dxa"/>
                                  <w:vMerge w:val="restart"/>
                                  <w:tcBorders>
                                    <w:bottom w:val="nil"/>
                                  </w:tcBorders>
                                  <w:vAlign w:val="top"/>
                                </w:tcPr>
                                <w:p>
                                  <w:pPr>
                                    <w:pStyle w:val="44"/>
                                    <w:spacing w:before="218" w:line="221" w:lineRule="auto"/>
                                    <w:ind w:left="303"/>
                                  </w:pPr>
                                  <w:r>
                                    <w:rPr>
                                      <w:spacing w:val="-2"/>
                                    </w:rPr>
                                    <w:t>姓名</w:t>
                                  </w:r>
                                </w:p>
                              </w:tc>
                              <w:tc>
                                <w:tcPr>
                                  <w:tcW w:w="1022" w:type="dxa"/>
                                  <w:vMerge w:val="restart"/>
                                  <w:tcBorders>
                                    <w:bottom w:val="nil"/>
                                  </w:tcBorders>
                                  <w:vAlign w:val="top"/>
                                </w:tcPr>
                                <w:p>
                                  <w:pPr>
                                    <w:pStyle w:val="44"/>
                                    <w:spacing w:before="218" w:line="223" w:lineRule="auto"/>
                                    <w:ind w:left="304"/>
                                  </w:pPr>
                                  <w:r>
                                    <w:rPr>
                                      <w:spacing w:val="-2"/>
                                    </w:rPr>
                                    <w:t>职称</w:t>
                                  </w:r>
                                </w:p>
                              </w:tc>
                              <w:tc>
                                <w:tcPr>
                                  <w:tcW w:w="5664" w:type="dxa"/>
                                  <w:gridSpan w:val="5"/>
                                  <w:vAlign w:val="top"/>
                                </w:tcPr>
                                <w:p>
                                  <w:pPr>
                                    <w:pStyle w:val="44"/>
                                    <w:spacing w:before="57" w:line="221" w:lineRule="auto"/>
                                    <w:ind w:left="1891"/>
                                  </w:pPr>
                                  <w:r>
                                    <w:rPr>
                                      <w:spacing w:val="-1"/>
                                    </w:rPr>
                                    <w:t>执业或职业资格证明</w:t>
                                  </w:r>
                                </w:p>
                              </w:tc>
                              <w:tc>
                                <w:tcPr>
                                  <w:tcW w:w="907" w:type="dxa"/>
                                  <w:vMerge w:val="restart"/>
                                  <w:tcBorders>
                                    <w:bottom w:val="nil"/>
                                  </w:tcBorders>
                                  <w:vAlign w:val="top"/>
                                </w:tcPr>
                                <w:p>
                                  <w:pPr>
                                    <w:pStyle w:val="44"/>
                                    <w:spacing w:before="219" w:line="222" w:lineRule="auto"/>
                                    <w:ind w:left="248"/>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Merge w:val="continue"/>
                                  <w:tcBorders>
                                    <w:top w:val="nil"/>
                                  </w:tcBorders>
                                  <w:vAlign w:val="top"/>
                                </w:tcPr>
                                <w:p>
                                  <w:pPr>
                                    <w:rPr>
                                      <w:rFonts w:ascii="Arial"/>
                                      <w:sz w:val="21"/>
                                    </w:rPr>
                                  </w:pPr>
                                </w:p>
                              </w:tc>
                              <w:tc>
                                <w:tcPr>
                                  <w:tcW w:w="1022" w:type="dxa"/>
                                  <w:vMerge w:val="continue"/>
                                  <w:tcBorders>
                                    <w:top w:val="nil"/>
                                  </w:tcBorders>
                                  <w:vAlign w:val="top"/>
                                </w:tcPr>
                                <w:p>
                                  <w:pPr>
                                    <w:rPr>
                                      <w:rFonts w:ascii="Arial"/>
                                      <w:sz w:val="21"/>
                                    </w:rPr>
                                  </w:pPr>
                                </w:p>
                              </w:tc>
                              <w:tc>
                                <w:tcPr>
                                  <w:tcW w:w="1022" w:type="dxa"/>
                                  <w:vMerge w:val="continue"/>
                                  <w:tcBorders>
                                    <w:top w:val="nil"/>
                                  </w:tcBorders>
                                  <w:vAlign w:val="top"/>
                                </w:tcPr>
                                <w:p>
                                  <w:pPr>
                                    <w:rPr>
                                      <w:rFonts w:ascii="Arial"/>
                                      <w:sz w:val="21"/>
                                    </w:rPr>
                                  </w:pPr>
                                </w:p>
                              </w:tc>
                              <w:tc>
                                <w:tcPr>
                                  <w:tcW w:w="1168" w:type="dxa"/>
                                  <w:vAlign w:val="top"/>
                                </w:tcPr>
                                <w:p>
                                  <w:pPr>
                                    <w:pStyle w:val="44"/>
                                    <w:spacing w:before="51" w:line="220" w:lineRule="auto"/>
                                    <w:ind w:left="168"/>
                                  </w:pPr>
                                  <w:r>
                                    <w:rPr>
                                      <w:spacing w:val="-2"/>
                                    </w:rPr>
                                    <w:t>证书名称</w:t>
                                  </w:r>
                                </w:p>
                              </w:tc>
                              <w:tc>
                                <w:tcPr>
                                  <w:tcW w:w="727" w:type="dxa"/>
                                  <w:vAlign w:val="top"/>
                                </w:tcPr>
                                <w:p>
                                  <w:pPr>
                                    <w:pStyle w:val="44"/>
                                    <w:spacing w:before="52" w:line="221" w:lineRule="auto"/>
                                    <w:ind w:left="160"/>
                                  </w:pPr>
                                  <w:r>
                                    <w:rPr>
                                      <w:spacing w:val="-3"/>
                                    </w:rPr>
                                    <w:t>级别</w:t>
                                  </w:r>
                                </w:p>
                              </w:tc>
                              <w:tc>
                                <w:tcPr>
                                  <w:tcW w:w="1315" w:type="dxa"/>
                                  <w:vAlign w:val="top"/>
                                </w:tcPr>
                                <w:p>
                                  <w:pPr>
                                    <w:pStyle w:val="44"/>
                                    <w:spacing w:before="51" w:line="222" w:lineRule="auto"/>
                                    <w:ind w:left="452"/>
                                  </w:pPr>
                                  <w:r>
                                    <w:rPr>
                                      <w:spacing w:val="-2"/>
                                    </w:rPr>
                                    <w:t>证号</w:t>
                                  </w:r>
                                </w:p>
                              </w:tc>
                              <w:tc>
                                <w:tcPr>
                                  <w:tcW w:w="1022" w:type="dxa"/>
                                  <w:vAlign w:val="top"/>
                                </w:tcPr>
                                <w:p>
                                  <w:pPr>
                                    <w:pStyle w:val="44"/>
                                    <w:spacing w:before="52" w:line="221" w:lineRule="auto"/>
                                    <w:ind w:left="307"/>
                                  </w:pPr>
                                  <w:r>
                                    <w:rPr>
                                      <w:spacing w:val="-2"/>
                                    </w:rPr>
                                    <w:t>专业</w:t>
                                  </w:r>
                                </w:p>
                              </w:tc>
                              <w:tc>
                                <w:tcPr>
                                  <w:tcW w:w="1432" w:type="dxa"/>
                                  <w:vAlign w:val="top"/>
                                </w:tcPr>
                                <w:p>
                                  <w:pPr>
                                    <w:pStyle w:val="44"/>
                                    <w:spacing w:before="51" w:line="220" w:lineRule="auto"/>
                                    <w:ind w:left="301"/>
                                  </w:pPr>
                                  <w:r>
                                    <w:rPr>
                                      <w:spacing w:val="-2"/>
                                    </w:rPr>
                                    <w:t>社会保险</w:t>
                                  </w:r>
                                </w:p>
                              </w:tc>
                              <w:tc>
                                <w:tcPr>
                                  <w:tcW w:w="90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bl>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50.6pt;margin-top:45.4pt;height:244.2pt;width:494.75pt;mso-position-horizontal-relative:page;z-index:251665408;mso-width-relative:page;mso-height-relative:page;" filled="f" stroked="f" coordsize="21600,21600" o:gfxdata="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pLQ4EdgAAAALAQAADwAAAAAA&#10;AAABACAAAAAiAAAAZHJzL2Rvd25yZXYueG1sUEsBAhQAFAAAAAgAh07iQCTA5HuhAQAAJwMAAA4A&#10;AAAAAAAAAQAgAAAAJwEAAGRycy9lMm9Eb2MueG1sUEsFBgAAAAAGAAYAWQEAADoFAAAAAA==&#10;">
                <v:fill on="f" focussize="0,0"/>
                <v:stroke on="f"/>
                <v:imagedata o:title=""/>
                <o:lock v:ext="edit" aspectratio="f"/>
                <v:textbox inset="0mm,0mm,0mm,0mm">
                  <w:txbxContent>
                    <w:p>
                      <w:pPr>
                        <w:pStyle w:val="2"/>
                        <w:spacing w:before="78" w:line="219" w:lineRule="auto"/>
                        <w:ind w:left="3560"/>
                        <w:rPr>
                          <w:sz w:val="24"/>
                          <w:szCs w:val="24"/>
                        </w:rPr>
                      </w:pPr>
                      <w:r>
                        <w:rPr>
                          <w:spacing w:val="-2"/>
                          <w:sz w:val="24"/>
                          <w:szCs w:val="24"/>
                        </w:rPr>
                        <w:t>项目管理机构组成表</w:t>
                      </w:r>
                    </w:p>
                    <w:p>
                      <w:pPr>
                        <w:spacing w:line="240" w:lineRule="exact"/>
                      </w:pPr>
                    </w:p>
                    <w:tbl>
                      <w:tblPr>
                        <w:tblStyle w:val="45"/>
                        <w:tblW w:w="93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022"/>
                        <w:gridCol w:w="1022"/>
                        <w:gridCol w:w="1168"/>
                        <w:gridCol w:w="727"/>
                        <w:gridCol w:w="1315"/>
                        <w:gridCol w:w="1022"/>
                        <w:gridCol w:w="1432"/>
                        <w:gridCol w:w="9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3" w:hRule="atLeast"/>
                        </w:trPr>
                        <w:tc>
                          <w:tcPr>
                            <w:tcW w:w="734" w:type="dxa"/>
                            <w:vMerge w:val="restart"/>
                            <w:tcBorders>
                              <w:bottom w:val="nil"/>
                            </w:tcBorders>
                            <w:vAlign w:val="top"/>
                          </w:tcPr>
                          <w:p>
                            <w:pPr>
                              <w:pStyle w:val="44"/>
                              <w:spacing w:before="218" w:line="221" w:lineRule="auto"/>
                              <w:ind w:left="162"/>
                            </w:pPr>
                            <w:r>
                              <w:rPr>
                                <w:spacing w:val="-2"/>
                              </w:rPr>
                              <w:t>职务</w:t>
                            </w:r>
                          </w:p>
                        </w:tc>
                        <w:tc>
                          <w:tcPr>
                            <w:tcW w:w="1022" w:type="dxa"/>
                            <w:vMerge w:val="restart"/>
                            <w:tcBorders>
                              <w:bottom w:val="nil"/>
                            </w:tcBorders>
                            <w:vAlign w:val="top"/>
                          </w:tcPr>
                          <w:p>
                            <w:pPr>
                              <w:pStyle w:val="44"/>
                              <w:spacing w:before="218" w:line="221" w:lineRule="auto"/>
                              <w:ind w:left="303"/>
                            </w:pPr>
                            <w:r>
                              <w:rPr>
                                <w:spacing w:val="-2"/>
                              </w:rPr>
                              <w:t>姓名</w:t>
                            </w:r>
                          </w:p>
                        </w:tc>
                        <w:tc>
                          <w:tcPr>
                            <w:tcW w:w="1022" w:type="dxa"/>
                            <w:vMerge w:val="restart"/>
                            <w:tcBorders>
                              <w:bottom w:val="nil"/>
                            </w:tcBorders>
                            <w:vAlign w:val="top"/>
                          </w:tcPr>
                          <w:p>
                            <w:pPr>
                              <w:pStyle w:val="44"/>
                              <w:spacing w:before="218" w:line="223" w:lineRule="auto"/>
                              <w:ind w:left="304"/>
                            </w:pPr>
                            <w:r>
                              <w:rPr>
                                <w:spacing w:val="-2"/>
                              </w:rPr>
                              <w:t>职称</w:t>
                            </w:r>
                          </w:p>
                        </w:tc>
                        <w:tc>
                          <w:tcPr>
                            <w:tcW w:w="5664" w:type="dxa"/>
                            <w:gridSpan w:val="5"/>
                            <w:vAlign w:val="top"/>
                          </w:tcPr>
                          <w:p>
                            <w:pPr>
                              <w:pStyle w:val="44"/>
                              <w:spacing w:before="57" w:line="221" w:lineRule="auto"/>
                              <w:ind w:left="1891"/>
                            </w:pPr>
                            <w:r>
                              <w:rPr>
                                <w:spacing w:val="-1"/>
                              </w:rPr>
                              <w:t>执业或职业资格证明</w:t>
                            </w:r>
                          </w:p>
                        </w:tc>
                        <w:tc>
                          <w:tcPr>
                            <w:tcW w:w="907" w:type="dxa"/>
                            <w:vMerge w:val="restart"/>
                            <w:tcBorders>
                              <w:bottom w:val="nil"/>
                            </w:tcBorders>
                            <w:vAlign w:val="top"/>
                          </w:tcPr>
                          <w:p>
                            <w:pPr>
                              <w:pStyle w:val="44"/>
                              <w:spacing w:before="219" w:line="222" w:lineRule="auto"/>
                              <w:ind w:left="248"/>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Merge w:val="continue"/>
                            <w:tcBorders>
                              <w:top w:val="nil"/>
                            </w:tcBorders>
                            <w:vAlign w:val="top"/>
                          </w:tcPr>
                          <w:p>
                            <w:pPr>
                              <w:rPr>
                                <w:rFonts w:ascii="Arial"/>
                                <w:sz w:val="21"/>
                              </w:rPr>
                            </w:pPr>
                          </w:p>
                        </w:tc>
                        <w:tc>
                          <w:tcPr>
                            <w:tcW w:w="1022" w:type="dxa"/>
                            <w:vMerge w:val="continue"/>
                            <w:tcBorders>
                              <w:top w:val="nil"/>
                            </w:tcBorders>
                            <w:vAlign w:val="top"/>
                          </w:tcPr>
                          <w:p>
                            <w:pPr>
                              <w:rPr>
                                <w:rFonts w:ascii="Arial"/>
                                <w:sz w:val="21"/>
                              </w:rPr>
                            </w:pPr>
                          </w:p>
                        </w:tc>
                        <w:tc>
                          <w:tcPr>
                            <w:tcW w:w="1022" w:type="dxa"/>
                            <w:vMerge w:val="continue"/>
                            <w:tcBorders>
                              <w:top w:val="nil"/>
                            </w:tcBorders>
                            <w:vAlign w:val="top"/>
                          </w:tcPr>
                          <w:p>
                            <w:pPr>
                              <w:rPr>
                                <w:rFonts w:ascii="Arial"/>
                                <w:sz w:val="21"/>
                              </w:rPr>
                            </w:pPr>
                          </w:p>
                        </w:tc>
                        <w:tc>
                          <w:tcPr>
                            <w:tcW w:w="1168" w:type="dxa"/>
                            <w:vAlign w:val="top"/>
                          </w:tcPr>
                          <w:p>
                            <w:pPr>
                              <w:pStyle w:val="44"/>
                              <w:spacing w:before="51" w:line="220" w:lineRule="auto"/>
                              <w:ind w:left="168"/>
                            </w:pPr>
                            <w:r>
                              <w:rPr>
                                <w:spacing w:val="-2"/>
                              </w:rPr>
                              <w:t>证书名称</w:t>
                            </w:r>
                          </w:p>
                        </w:tc>
                        <w:tc>
                          <w:tcPr>
                            <w:tcW w:w="727" w:type="dxa"/>
                            <w:vAlign w:val="top"/>
                          </w:tcPr>
                          <w:p>
                            <w:pPr>
                              <w:pStyle w:val="44"/>
                              <w:spacing w:before="52" w:line="221" w:lineRule="auto"/>
                              <w:ind w:left="160"/>
                            </w:pPr>
                            <w:r>
                              <w:rPr>
                                <w:spacing w:val="-3"/>
                              </w:rPr>
                              <w:t>级别</w:t>
                            </w:r>
                          </w:p>
                        </w:tc>
                        <w:tc>
                          <w:tcPr>
                            <w:tcW w:w="1315" w:type="dxa"/>
                            <w:vAlign w:val="top"/>
                          </w:tcPr>
                          <w:p>
                            <w:pPr>
                              <w:pStyle w:val="44"/>
                              <w:spacing w:before="51" w:line="222" w:lineRule="auto"/>
                              <w:ind w:left="452"/>
                            </w:pPr>
                            <w:r>
                              <w:rPr>
                                <w:spacing w:val="-2"/>
                              </w:rPr>
                              <w:t>证号</w:t>
                            </w:r>
                          </w:p>
                        </w:tc>
                        <w:tc>
                          <w:tcPr>
                            <w:tcW w:w="1022" w:type="dxa"/>
                            <w:vAlign w:val="top"/>
                          </w:tcPr>
                          <w:p>
                            <w:pPr>
                              <w:pStyle w:val="44"/>
                              <w:spacing w:before="52" w:line="221" w:lineRule="auto"/>
                              <w:ind w:left="307"/>
                            </w:pPr>
                            <w:r>
                              <w:rPr>
                                <w:spacing w:val="-2"/>
                              </w:rPr>
                              <w:t>专业</w:t>
                            </w:r>
                          </w:p>
                        </w:tc>
                        <w:tc>
                          <w:tcPr>
                            <w:tcW w:w="1432" w:type="dxa"/>
                            <w:vAlign w:val="top"/>
                          </w:tcPr>
                          <w:p>
                            <w:pPr>
                              <w:pStyle w:val="44"/>
                              <w:spacing w:before="51" w:line="220" w:lineRule="auto"/>
                              <w:ind w:left="301"/>
                            </w:pPr>
                            <w:r>
                              <w:rPr>
                                <w:spacing w:val="-2"/>
                              </w:rPr>
                              <w:t>社会保险</w:t>
                            </w:r>
                          </w:p>
                        </w:tc>
                        <w:tc>
                          <w:tcPr>
                            <w:tcW w:w="907"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4" w:hRule="atLeast"/>
                        </w:trPr>
                        <w:tc>
                          <w:tcPr>
                            <w:tcW w:w="734" w:type="dxa"/>
                            <w:vAlign w:val="top"/>
                          </w:tcPr>
                          <w:p>
                            <w:pPr>
                              <w:rPr>
                                <w:rFonts w:ascii="Arial"/>
                                <w:sz w:val="21"/>
                              </w:rPr>
                            </w:pPr>
                          </w:p>
                        </w:tc>
                        <w:tc>
                          <w:tcPr>
                            <w:tcW w:w="1022" w:type="dxa"/>
                            <w:vAlign w:val="top"/>
                          </w:tcPr>
                          <w:p>
                            <w:pPr>
                              <w:rPr>
                                <w:rFonts w:ascii="Arial"/>
                                <w:sz w:val="21"/>
                              </w:rPr>
                            </w:pPr>
                          </w:p>
                        </w:tc>
                        <w:tc>
                          <w:tcPr>
                            <w:tcW w:w="1022" w:type="dxa"/>
                            <w:vAlign w:val="top"/>
                          </w:tcPr>
                          <w:p>
                            <w:pPr>
                              <w:rPr>
                                <w:rFonts w:ascii="Arial"/>
                                <w:sz w:val="21"/>
                              </w:rPr>
                            </w:pPr>
                          </w:p>
                        </w:tc>
                        <w:tc>
                          <w:tcPr>
                            <w:tcW w:w="1168" w:type="dxa"/>
                            <w:vAlign w:val="top"/>
                          </w:tcPr>
                          <w:p>
                            <w:pPr>
                              <w:rPr>
                                <w:rFonts w:ascii="Arial"/>
                                <w:sz w:val="21"/>
                              </w:rPr>
                            </w:pPr>
                          </w:p>
                        </w:tc>
                        <w:tc>
                          <w:tcPr>
                            <w:tcW w:w="727" w:type="dxa"/>
                            <w:vAlign w:val="top"/>
                          </w:tcPr>
                          <w:p>
                            <w:pPr>
                              <w:rPr>
                                <w:rFonts w:ascii="Arial"/>
                                <w:sz w:val="21"/>
                              </w:rPr>
                            </w:pPr>
                          </w:p>
                        </w:tc>
                        <w:tc>
                          <w:tcPr>
                            <w:tcW w:w="1315" w:type="dxa"/>
                            <w:vAlign w:val="top"/>
                          </w:tcPr>
                          <w:p>
                            <w:pPr>
                              <w:rPr>
                                <w:rFonts w:ascii="Arial"/>
                                <w:sz w:val="21"/>
                              </w:rPr>
                            </w:pPr>
                          </w:p>
                        </w:tc>
                        <w:tc>
                          <w:tcPr>
                            <w:tcW w:w="1022" w:type="dxa"/>
                            <w:vAlign w:val="top"/>
                          </w:tcPr>
                          <w:p>
                            <w:pPr>
                              <w:rPr>
                                <w:rFonts w:ascii="Arial"/>
                                <w:sz w:val="21"/>
                              </w:rPr>
                            </w:pPr>
                          </w:p>
                        </w:tc>
                        <w:tc>
                          <w:tcPr>
                            <w:tcW w:w="1432" w:type="dxa"/>
                            <w:vAlign w:val="top"/>
                          </w:tcPr>
                          <w:p>
                            <w:pPr>
                              <w:rPr>
                                <w:rFonts w:ascii="Arial"/>
                                <w:sz w:val="21"/>
                              </w:rPr>
                            </w:pPr>
                          </w:p>
                        </w:tc>
                        <w:tc>
                          <w:tcPr>
                            <w:tcW w:w="907" w:type="dxa"/>
                            <w:vAlign w:val="top"/>
                          </w:tcPr>
                          <w:p>
                            <w:pPr>
                              <w:rPr>
                                <w:rFonts w:ascii="Arial"/>
                                <w:sz w:val="21"/>
                              </w:rPr>
                            </w:pPr>
                          </w:p>
                        </w:tc>
                      </w:tr>
                    </w:tbl>
                    <w:p>
                      <w:pPr>
                        <w:rPr>
                          <w:rFonts w:ascii="Arial"/>
                          <w:sz w:val="21"/>
                        </w:rPr>
                      </w:pPr>
                    </w:p>
                  </w:txbxContent>
                </v:textbox>
              </v:shape>
            </w:pict>
          </mc:Fallback>
        </mc:AlternateContent>
      </w:r>
      <w:r>
        <w:rPr>
          <w:rFonts w:hint="eastAsia" w:ascii="宋体" w:hAnsi="宋体" w:eastAsia="宋体" w:cs="宋体"/>
          <w:color w:val="auto"/>
          <w:sz w:val="24"/>
          <w:szCs w:val="24"/>
          <w:highlight w:val="none"/>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rPr>
          <w:rFonts w:hint="eastAsia"/>
          <w:color w:val="auto"/>
          <w:highlight w:val="none"/>
          <w:lang w:val="en-US" w:eastAsia="zh-CN"/>
        </w:rPr>
      </w:pPr>
      <w:r>
        <w:rPr>
          <w:rFonts w:hint="eastAsia"/>
          <w:color w:val="auto"/>
          <w:highlight w:val="none"/>
          <w:lang w:val="en-US" w:eastAsia="zh-CN"/>
        </w:rPr>
        <w:t xml:space="preserve">备注：根据评审表的要求提交相应证明资料复印件加盖企业公章：身份证、资格证（注册 建造师执业资格证书）、安全生产考核合格证、拟派项目负责人没有在其他在建项目中担任项目负责人的书面承诺。 </w:t>
      </w: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 xml:space="preserve">供应商名称（单位盖公章）：                              </w:t>
      </w:r>
    </w:p>
    <w:p>
      <w:pPr>
        <w:rPr>
          <w:rFonts w:hint="eastAsia"/>
          <w:color w:val="auto"/>
          <w:highlight w:val="none"/>
          <w:lang w:val="en-US" w:eastAsia="zh-CN"/>
        </w:rPr>
      </w:pPr>
      <w:r>
        <w:rPr>
          <w:rFonts w:hint="eastAsia"/>
          <w:color w:val="auto"/>
          <w:highlight w:val="none"/>
          <w:lang w:val="en-US" w:eastAsia="zh-CN"/>
        </w:rPr>
        <w:t xml:space="preserve"> </w:t>
      </w:r>
    </w:p>
    <w:p>
      <w:pPr>
        <w:rPr>
          <w:rFonts w:hint="eastAsia" w:ascii="宋体" w:hAnsi="宋体" w:eastAsia="宋体" w:cs="宋体"/>
          <w:color w:val="auto"/>
          <w:sz w:val="24"/>
          <w:szCs w:val="24"/>
          <w:highlight w:val="none"/>
        </w:rPr>
      </w:pPr>
      <w:r>
        <w:rPr>
          <w:rFonts w:hint="eastAsia"/>
          <w:color w:val="auto"/>
          <w:highlight w:val="none"/>
          <w:lang w:val="en-US" w:eastAsia="zh-CN"/>
        </w:rPr>
        <w:t xml:space="preserve">日期:   </w:t>
      </w:r>
      <w:r>
        <w:rPr>
          <w:rFonts w:hint="eastAsia" w:ascii="宋体" w:hAnsi="宋体" w:eastAsia="宋体" w:cs="宋体"/>
          <w:color w:val="auto"/>
          <w:sz w:val="24"/>
          <w:szCs w:val="24"/>
          <w:highlight w:val="none"/>
        </w:rPr>
        <w:t xml:space="preserve">     </w:t>
      </w:r>
    </w:p>
    <w:p>
      <w:pPr>
        <w:rPr>
          <w:rFonts w:hint="eastAsia" w:ascii="宋体" w:hAnsi="宋体" w:eastAsia="宋体" w:cs="宋体"/>
          <w:b/>
          <w:bCs/>
          <w:color w:val="auto"/>
          <w:sz w:val="30"/>
          <w:szCs w:val="30"/>
          <w:highlight w:val="none"/>
          <w:lang w:val="en-US" w:eastAsia="zh-CN"/>
        </w:rPr>
      </w:pPr>
    </w:p>
    <w:p>
      <w:pPr>
        <w:pStyle w:val="9"/>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43"/>
        <w:rPr>
          <w:rFonts w:hint="eastAsia"/>
          <w:color w:val="auto"/>
          <w:highlight w:val="none"/>
          <w:lang w:val="en-US" w:eastAsia="zh-CN"/>
        </w:rPr>
      </w:pPr>
    </w:p>
    <w:p>
      <w:pPr>
        <w:pStyle w:val="43"/>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 xml:space="preserve">.4 企业管理体系认证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须知第</w:t>
      </w:r>
      <w:r>
        <w:rPr>
          <w:rFonts w:hint="eastAsia" w:cs="宋体"/>
          <w:color w:val="auto"/>
          <w:sz w:val="24"/>
          <w:szCs w:val="24"/>
          <w:highlight w:val="none"/>
          <w:lang w:val="en-US" w:eastAsia="zh-CN"/>
        </w:rPr>
        <w:t>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“商务部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 xml:space="preserve">的要求编写及提供相关资料，复印件均要求加盖公章。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供应商法定代表人（或法定代表人授权代表）签名或签章：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供应商名称（盖公章）：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pStyle w:val="9"/>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color w:val="auto"/>
          <w:sz w:val="24"/>
          <w:szCs w:val="24"/>
          <w:highlight w:val="none"/>
        </w:rPr>
      </w:pPr>
      <w:r>
        <w:rPr>
          <w:rFonts w:hint="eastAsia" w:cs="宋体"/>
          <w:b/>
          <w:bCs/>
          <w:color w:val="auto"/>
          <w:sz w:val="30"/>
          <w:szCs w:val="30"/>
          <w:highlight w:val="none"/>
          <w:lang w:val="en-US" w:eastAsia="zh-CN"/>
        </w:rPr>
        <w:t xml:space="preserve">2.5 </w:t>
      </w:r>
      <w:r>
        <w:rPr>
          <w:rFonts w:hint="eastAsia" w:ascii="宋体" w:hAnsi="宋体" w:eastAsia="宋体" w:cs="宋体"/>
          <w:b/>
          <w:bCs/>
          <w:color w:val="auto"/>
          <w:sz w:val="30"/>
          <w:szCs w:val="30"/>
          <w:highlight w:val="none"/>
          <w:lang w:val="en-US" w:eastAsia="zh-CN"/>
        </w:rPr>
        <w:t>同类项目业绩情况一览表</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page">
                  <wp:posOffset>622300</wp:posOffset>
                </wp:positionH>
                <wp:positionV relativeFrom="paragraph">
                  <wp:posOffset>113030</wp:posOffset>
                </wp:positionV>
                <wp:extent cx="6285230" cy="379285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285230" cy="3792855"/>
                        </a:xfrm>
                        <a:prstGeom prst="rect">
                          <a:avLst/>
                        </a:prstGeom>
                        <a:noFill/>
                        <a:ln>
                          <a:noFill/>
                        </a:ln>
                      </wps:spPr>
                      <wps:txbx>
                        <w:txbxContent>
                          <w:tbl>
                            <w:tblPr>
                              <w:tblStyle w:val="45"/>
                              <w:tblW w:w="93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5"/>
                              <w:gridCol w:w="68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2485" w:type="dxa"/>
                                  <w:vAlign w:val="top"/>
                                </w:tcPr>
                                <w:p>
                                  <w:pPr>
                                    <w:pStyle w:val="44"/>
                                    <w:spacing w:before="55" w:line="223" w:lineRule="auto"/>
                                    <w:ind w:left="829"/>
                                  </w:pPr>
                                  <w:r>
                                    <w:rPr>
                                      <w:spacing w:val="-2"/>
                                    </w:rPr>
                                    <w:t>合同名称</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2485" w:type="dxa"/>
                                  <w:vAlign w:val="top"/>
                                </w:tcPr>
                                <w:p>
                                  <w:pPr>
                                    <w:pStyle w:val="44"/>
                                    <w:spacing w:before="51" w:line="221" w:lineRule="auto"/>
                                    <w:ind w:left="512"/>
                                  </w:pPr>
                                  <w:r>
                                    <w:rPr>
                                      <w:spacing w:val="-1"/>
                                    </w:rPr>
                                    <w:t>合同项目所在地</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1" w:line="221" w:lineRule="auto"/>
                                    <w:ind w:left="726"/>
                                  </w:pPr>
                                  <w:r>
                                    <w:rPr>
                                      <w:spacing w:val="-2"/>
                                    </w:rPr>
                                    <w:t>发包人名称</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2" w:line="221" w:lineRule="auto"/>
                                    <w:ind w:left="726"/>
                                  </w:pPr>
                                  <w:r>
                                    <w:rPr>
                                      <w:spacing w:val="-2"/>
                                    </w:rPr>
                                    <w:t>发包人地址</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2485" w:type="dxa"/>
                                  <w:vAlign w:val="top"/>
                                </w:tcPr>
                                <w:p>
                                  <w:pPr>
                                    <w:pStyle w:val="44"/>
                                    <w:spacing w:before="55" w:line="221" w:lineRule="auto"/>
                                    <w:ind w:left="726"/>
                                  </w:pPr>
                                  <w:r>
                                    <w:rPr>
                                      <w:spacing w:val="-2"/>
                                    </w:rPr>
                                    <w:t>发包人电话</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2" w:line="219" w:lineRule="auto"/>
                                    <w:ind w:left="723"/>
                                  </w:pPr>
                                  <w:r>
                                    <w:rPr>
                                      <w:spacing w:val="-1"/>
                                    </w:rPr>
                                    <w:t>签约合同价</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3" w:line="221" w:lineRule="auto"/>
                                    <w:ind w:left="829"/>
                                  </w:pPr>
                                  <w:r>
                                    <w:rPr>
                                      <w:spacing w:val="-2"/>
                                    </w:rPr>
                                    <w:t>开工日期</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2485" w:type="dxa"/>
                                  <w:vAlign w:val="top"/>
                                </w:tcPr>
                                <w:p>
                                  <w:pPr>
                                    <w:pStyle w:val="44"/>
                                    <w:spacing w:before="53" w:line="221" w:lineRule="auto"/>
                                    <w:ind w:left="830"/>
                                  </w:pPr>
                                  <w:r>
                                    <w:rPr>
                                      <w:spacing w:val="-2"/>
                                    </w:rPr>
                                    <w:t>完工日期</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3" w:line="221" w:lineRule="auto"/>
                                    <w:ind w:left="723"/>
                                  </w:pPr>
                                  <w:r>
                                    <w:rPr>
                                      <w:spacing w:val="-1"/>
                                    </w:rPr>
                                    <w:t>承担的工作</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4" w:line="221" w:lineRule="auto"/>
                                    <w:ind w:left="831"/>
                                  </w:pPr>
                                  <w:r>
                                    <w:rPr>
                                      <w:spacing w:val="-2"/>
                                    </w:rPr>
                                    <w:t>工程质量</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2485" w:type="dxa"/>
                                  <w:vAlign w:val="top"/>
                                </w:tcPr>
                                <w:p>
                                  <w:pPr>
                                    <w:pStyle w:val="44"/>
                                    <w:spacing w:before="57" w:line="221" w:lineRule="auto"/>
                                    <w:ind w:left="832"/>
                                  </w:pPr>
                                  <w:r>
                                    <w:rPr>
                                      <w:spacing w:val="-3"/>
                                    </w:rPr>
                                    <w:t>项目经理</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4" w:line="221" w:lineRule="auto"/>
                                    <w:ind w:left="724"/>
                                  </w:pPr>
                                  <w:r>
                                    <w:rPr>
                                      <w:spacing w:val="-2"/>
                                    </w:rPr>
                                    <w:t>技术负责人</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2485" w:type="dxa"/>
                                  <w:vAlign w:val="top"/>
                                </w:tcPr>
                                <w:p>
                                  <w:pPr>
                                    <w:pStyle w:val="44"/>
                                    <w:spacing w:before="56" w:line="247" w:lineRule="auto"/>
                                    <w:ind w:left="852" w:right="187" w:hanging="654"/>
                                  </w:pPr>
                                  <w:r>
                                    <w:rPr>
                                      <w:spacing w:val="-1"/>
                                    </w:rPr>
                                    <w:t>监理人和总监理工程师</w:t>
                                  </w:r>
                                  <w:r>
                                    <w:rPr>
                                      <w:spacing w:val="2"/>
                                    </w:rPr>
                                    <w:t xml:space="preserve"> </w:t>
                                  </w:r>
                                  <w:r>
                                    <w:rPr>
                                      <w:spacing w:val="-8"/>
                                    </w:rPr>
                                    <w:t>以及电话</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5" w:line="220" w:lineRule="auto"/>
                                    <w:ind w:left="618"/>
                                  </w:pPr>
                                  <w:r>
                                    <w:rPr>
                                      <w:spacing w:val="-1"/>
                                    </w:rPr>
                                    <w:t>合同项目描述</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2485" w:type="dxa"/>
                                  <w:vAlign w:val="top"/>
                                </w:tcPr>
                                <w:p>
                                  <w:pPr>
                                    <w:pStyle w:val="44"/>
                                    <w:spacing w:before="212" w:line="222" w:lineRule="auto"/>
                                    <w:ind w:left="1040"/>
                                  </w:pPr>
                                  <w:r>
                                    <w:rPr>
                                      <w:spacing w:val="-3"/>
                                    </w:rPr>
                                    <w:t>备注</w:t>
                                  </w:r>
                                </w:p>
                              </w:tc>
                              <w:tc>
                                <w:tcPr>
                                  <w:tcW w:w="6864" w:type="dxa"/>
                                  <w:vAlign w:val="top"/>
                                </w:tcPr>
                                <w:p>
                                  <w:pPr>
                                    <w:pStyle w:val="44"/>
                                    <w:spacing w:before="56" w:line="244" w:lineRule="auto"/>
                                    <w:ind w:left="114" w:right="30" w:firstLine="422"/>
                                  </w:pPr>
                                  <w:r>
                                    <w:rPr>
                                      <w:spacing w:val="-3"/>
                                    </w:rPr>
                                    <w:t>合同项目描述内容至少包括项目概况、本合同在项目中的地位</w:t>
                                  </w:r>
                                  <w:r>
                                    <w:rPr>
                                      <w:rFonts w:ascii="Times New Roman" w:hAnsi="Times New Roman" w:eastAsia="Times New Roman" w:cs="Times New Roman"/>
                                      <w:spacing w:val="-3"/>
                                    </w:rPr>
                                    <w:t>(</w:t>
                                  </w:r>
                                  <w:r>
                                    <w:rPr>
                                      <w:spacing w:val="-3"/>
                                    </w:rPr>
                                    <w:t>部位、</w:t>
                                  </w:r>
                                  <w:r>
                                    <w:rPr>
                                      <w:spacing w:val="14"/>
                                    </w:rPr>
                                    <w:t xml:space="preserve"> </w:t>
                                  </w:r>
                                  <w:r>
                                    <w:t>合同价格所占比例</w:t>
                                  </w:r>
                                  <w:r>
                                    <w:rPr>
                                      <w:rFonts w:ascii="Times New Roman" w:hAnsi="Times New Roman" w:eastAsia="Times New Roman" w:cs="Times New Roman"/>
                                    </w:rPr>
                                    <w:t>)</w:t>
                                  </w:r>
                                  <w:r>
                                    <w:t>和合同工程完工验收鉴定书有关</w:t>
                                  </w:r>
                                  <w:r>
                                    <w:rPr>
                                      <w:spacing w:val="-1"/>
                                    </w:rPr>
                                    <w:t>验收结论</w:t>
                                  </w:r>
                                </w:p>
                              </w:tc>
                            </w:tr>
                          </w:tbl>
                          <w:p>
                            <w:pPr>
                              <w:pStyle w:val="2"/>
                            </w:pPr>
                          </w:p>
                        </w:txbxContent>
                      </wps:txbx>
                      <wps:bodyPr lIns="0" tIns="0" rIns="0" bIns="0" upright="1"/>
                    </wps:wsp>
                  </a:graphicData>
                </a:graphic>
              </wp:anchor>
            </w:drawing>
          </mc:Choice>
          <mc:Fallback>
            <w:pict>
              <v:shape id="_x0000_s1026" o:spid="_x0000_s1026" o:spt="202" type="#_x0000_t202" style="position:absolute;left:0pt;margin-left:49pt;margin-top:8.9pt;height:298.65pt;width:494.9pt;mso-position-horizontal-relative:page;z-index:251666432;mso-width-relative:page;mso-height-relative:page;" filled="f" stroked="f" coordsize="21600,21600" o:gfxdata="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RDIxQNcAAAAKAQAADwAAAAAAAAAB&#10;ACAAAAAiAAAAZHJzL2Rvd25yZXYueG1sUEsBAhQAFAAAAAgAh07iQKkd3hCfAQAAJwMAAA4AAAAA&#10;AAAAAQAgAAAAJgEAAGRycy9lMm9Eb2MueG1sUEsFBgAAAAAGAAYAWQEAADcFAAAAAA==&#10;">
                <v:fill on="f" focussize="0,0"/>
                <v:stroke on="f"/>
                <v:imagedata o:title=""/>
                <o:lock v:ext="edit" aspectratio="f"/>
                <v:textbox inset="0mm,0mm,0mm,0mm">
                  <w:txbxContent>
                    <w:tbl>
                      <w:tblPr>
                        <w:tblStyle w:val="45"/>
                        <w:tblW w:w="93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85"/>
                        <w:gridCol w:w="68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21" w:hRule="atLeast"/>
                        </w:trPr>
                        <w:tc>
                          <w:tcPr>
                            <w:tcW w:w="2485" w:type="dxa"/>
                            <w:vAlign w:val="top"/>
                          </w:tcPr>
                          <w:p>
                            <w:pPr>
                              <w:pStyle w:val="44"/>
                              <w:spacing w:before="55" w:line="223" w:lineRule="auto"/>
                              <w:ind w:left="829"/>
                            </w:pPr>
                            <w:r>
                              <w:rPr>
                                <w:spacing w:val="-2"/>
                              </w:rPr>
                              <w:t>合同名称</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2485" w:type="dxa"/>
                            <w:vAlign w:val="top"/>
                          </w:tcPr>
                          <w:p>
                            <w:pPr>
                              <w:pStyle w:val="44"/>
                              <w:spacing w:before="51" w:line="221" w:lineRule="auto"/>
                              <w:ind w:left="512"/>
                            </w:pPr>
                            <w:r>
                              <w:rPr>
                                <w:spacing w:val="-1"/>
                              </w:rPr>
                              <w:t>合同项目所在地</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1" w:line="221" w:lineRule="auto"/>
                              <w:ind w:left="726"/>
                            </w:pPr>
                            <w:r>
                              <w:rPr>
                                <w:spacing w:val="-2"/>
                              </w:rPr>
                              <w:t>发包人名称</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2" w:line="221" w:lineRule="auto"/>
                              <w:ind w:left="726"/>
                            </w:pPr>
                            <w:r>
                              <w:rPr>
                                <w:spacing w:val="-2"/>
                              </w:rPr>
                              <w:t>发包人地址</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2485" w:type="dxa"/>
                            <w:vAlign w:val="top"/>
                          </w:tcPr>
                          <w:p>
                            <w:pPr>
                              <w:pStyle w:val="44"/>
                              <w:spacing w:before="55" w:line="221" w:lineRule="auto"/>
                              <w:ind w:left="726"/>
                            </w:pPr>
                            <w:r>
                              <w:rPr>
                                <w:spacing w:val="-2"/>
                              </w:rPr>
                              <w:t>发包人电话</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2" w:line="219" w:lineRule="auto"/>
                              <w:ind w:left="723"/>
                            </w:pPr>
                            <w:r>
                              <w:rPr>
                                <w:spacing w:val="-1"/>
                              </w:rPr>
                              <w:t>签约合同价</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3" w:line="221" w:lineRule="auto"/>
                              <w:ind w:left="829"/>
                            </w:pPr>
                            <w:r>
                              <w:rPr>
                                <w:spacing w:val="-2"/>
                              </w:rPr>
                              <w:t>开工日期</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7" w:hRule="atLeast"/>
                        </w:trPr>
                        <w:tc>
                          <w:tcPr>
                            <w:tcW w:w="2485" w:type="dxa"/>
                            <w:vAlign w:val="top"/>
                          </w:tcPr>
                          <w:p>
                            <w:pPr>
                              <w:pStyle w:val="44"/>
                              <w:spacing w:before="53" w:line="221" w:lineRule="auto"/>
                              <w:ind w:left="830"/>
                            </w:pPr>
                            <w:r>
                              <w:rPr>
                                <w:spacing w:val="-2"/>
                              </w:rPr>
                              <w:t>完工日期</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3" w:line="221" w:lineRule="auto"/>
                              <w:ind w:left="723"/>
                            </w:pPr>
                            <w:r>
                              <w:rPr>
                                <w:spacing w:val="-1"/>
                              </w:rPr>
                              <w:t>承担的工作</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4" w:line="221" w:lineRule="auto"/>
                              <w:ind w:left="831"/>
                            </w:pPr>
                            <w:r>
                              <w:rPr>
                                <w:spacing w:val="-2"/>
                              </w:rPr>
                              <w:t>工程质量</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9" w:hRule="atLeast"/>
                        </w:trPr>
                        <w:tc>
                          <w:tcPr>
                            <w:tcW w:w="2485" w:type="dxa"/>
                            <w:vAlign w:val="top"/>
                          </w:tcPr>
                          <w:p>
                            <w:pPr>
                              <w:pStyle w:val="44"/>
                              <w:spacing w:before="57" w:line="221" w:lineRule="auto"/>
                              <w:ind w:left="832"/>
                            </w:pPr>
                            <w:r>
                              <w:rPr>
                                <w:spacing w:val="-3"/>
                              </w:rPr>
                              <w:t>项目经理</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4" w:line="221" w:lineRule="auto"/>
                              <w:ind w:left="724"/>
                            </w:pPr>
                            <w:r>
                              <w:rPr>
                                <w:spacing w:val="-2"/>
                              </w:rPr>
                              <w:t>技术负责人</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2485" w:type="dxa"/>
                            <w:vAlign w:val="top"/>
                          </w:tcPr>
                          <w:p>
                            <w:pPr>
                              <w:pStyle w:val="44"/>
                              <w:spacing w:before="56" w:line="247" w:lineRule="auto"/>
                              <w:ind w:left="852" w:right="187" w:hanging="654"/>
                            </w:pPr>
                            <w:r>
                              <w:rPr>
                                <w:spacing w:val="-1"/>
                              </w:rPr>
                              <w:t>监理人和总监理工程师</w:t>
                            </w:r>
                            <w:r>
                              <w:rPr>
                                <w:spacing w:val="2"/>
                              </w:rPr>
                              <w:t xml:space="preserve"> </w:t>
                            </w:r>
                            <w:r>
                              <w:rPr>
                                <w:spacing w:val="-8"/>
                              </w:rPr>
                              <w:t>以及电话</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16" w:hRule="atLeast"/>
                        </w:trPr>
                        <w:tc>
                          <w:tcPr>
                            <w:tcW w:w="2485" w:type="dxa"/>
                            <w:vAlign w:val="top"/>
                          </w:tcPr>
                          <w:p>
                            <w:pPr>
                              <w:pStyle w:val="44"/>
                              <w:spacing w:before="55" w:line="220" w:lineRule="auto"/>
                              <w:ind w:left="618"/>
                            </w:pPr>
                            <w:r>
                              <w:rPr>
                                <w:spacing w:val="-1"/>
                              </w:rPr>
                              <w:t>合同项目描述</w:t>
                            </w:r>
                          </w:p>
                        </w:tc>
                        <w:tc>
                          <w:tcPr>
                            <w:tcW w:w="68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33" w:hRule="atLeast"/>
                        </w:trPr>
                        <w:tc>
                          <w:tcPr>
                            <w:tcW w:w="2485" w:type="dxa"/>
                            <w:vAlign w:val="top"/>
                          </w:tcPr>
                          <w:p>
                            <w:pPr>
                              <w:pStyle w:val="44"/>
                              <w:spacing w:before="212" w:line="222" w:lineRule="auto"/>
                              <w:ind w:left="1040"/>
                            </w:pPr>
                            <w:r>
                              <w:rPr>
                                <w:spacing w:val="-3"/>
                              </w:rPr>
                              <w:t>备注</w:t>
                            </w:r>
                          </w:p>
                        </w:tc>
                        <w:tc>
                          <w:tcPr>
                            <w:tcW w:w="6864" w:type="dxa"/>
                            <w:vAlign w:val="top"/>
                          </w:tcPr>
                          <w:p>
                            <w:pPr>
                              <w:pStyle w:val="44"/>
                              <w:spacing w:before="56" w:line="244" w:lineRule="auto"/>
                              <w:ind w:left="114" w:right="30" w:firstLine="422"/>
                            </w:pPr>
                            <w:r>
                              <w:rPr>
                                <w:spacing w:val="-3"/>
                              </w:rPr>
                              <w:t>合同项目描述内容至少包括项目概况、本合同在项目中的地位</w:t>
                            </w:r>
                            <w:r>
                              <w:rPr>
                                <w:rFonts w:ascii="Times New Roman" w:hAnsi="Times New Roman" w:eastAsia="Times New Roman" w:cs="Times New Roman"/>
                                <w:spacing w:val="-3"/>
                              </w:rPr>
                              <w:t>(</w:t>
                            </w:r>
                            <w:r>
                              <w:rPr>
                                <w:spacing w:val="-3"/>
                              </w:rPr>
                              <w:t>部位、</w:t>
                            </w:r>
                            <w:r>
                              <w:rPr>
                                <w:spacing w:val="14"/>
                              </w:rPr>
                              <w:t xml:space="preserve"> </w:t>
                            </w:r>
                            <w:r>
                              <w:t>合同价格所占比例</w:t>
                            </w:r>
                            <w:r>
                              <w:rPr>
                                <w:rFonts w:ascii="Times New Roman" w:hAnsi="Times New Roman" w:eastAsia="Times New Roman" w:cs="Times New Roman"/>
                              </w:rPr>
                              <w:t>)</w:t>
                            </w:r>
                            <w:r>
                              <w:t>和合同工程完工验收鉴定书有关</w:t>
                            </w:r>
                            <w:r>
                              <w:rPr>
                                <w:spacing w:val="-1"/>
                              </w:rPr>
                              <w:t>验收结论</w:t>
                            </w:r>
                          </w:p>
                        </w:tc>
                      </w:tr>
                    </w:tbl>
                    <w:p>
                      <w:pPr>
                        <w:pStyle w:val="2"/>
                      </w:pPr>
                    </w:p>
                  </w:txbxContent>
                </v:textbox>
              </v:shape>
            </w:pict>
          </mc:Fallback>
        </mc:AlternateConten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备注：根据评审表的要求提交相应资料。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14" w:type="default"/>
          <w:footerReference r:id="rId15" w:type="default"/>
          <w:pgSz w:w="11910" w:h="16840"/>
          <w:pgMar w:top="1984" w:right="1531" w:bottom="2098" w:left="1531" w:header="670" w:footer="1041" w:gutter="0"/>
          <w:cols w:space="720" w:num="1"/>
          <w:rtlGutter w:val="0"/>
          <w:docGrid w:linePitch="1" w:charSpace="0"/>
        </w:sectPr>
      </w:pPr>
    </w:p>
    <w:p>
      <w:pPr>
        <w:jc w:val="center"/>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2</w:t>
      </w:r>
      <w:r>
        <w:rPr>
          <w:rFonts w:hint="eastAsia" w:ascii="宋体" w:hAnsi="宋体" w:eastAsia="宋体" w:cs="宋体"/>
          <w:b/>
          <w:bCs/>
          <w:color w:val="auto"/>
          <w:sz w:val="30"/>
          <w:szCs w:val="30"/>
          <w:highlight w:val="none"/>
          <w:lang w:val="en-US" w:eastAsia="zh-CN"/>
        </w:rPr>
        <w:t>.</w:t>
      </w:r>
      <w:r>
        <w:rPr>
          <w:rFonts w:hint="eastAsia" w:cs="宋体"/>
          <w:b/>
          <w:bCs/>
          <w:color w:val="auto"/>
          <w:sz w:val="30"/>
          <w:szCs w:val="30"/>
          <w:highlight w:val="none"/>
          <w:lang w:val="en-US" w:eastAsia="zh-CN"/>
        </w:rPr>
        <w:t xml:space="preserve">6 </w:t>
      </w:r>
      <w:r>
        <w:rPr>
          <w:rFonts w:hint="eastAsia" w:ascii="宋体" w:hAnsi="宋体" w:eastAsia="宋体" w:cs="宋体"/>
          <w:b/>
          <w:bCs/>
          <w:color w:val="auto"/>
          <w:sz w:val="30"/>
          <w:szCs w:val="30"/>
          <w:highlight w:val="none"/>
          <w:lang w:val="en-US" w:eastAsia="zh-CN"/>
        </w:rPr>
        <w:t>项目团队</w:t>
      </w:r>
    </w:p>
    <w:p>
      <w:pPr>
        <w:pStyle w:val="9"/>
        <w:rPr>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“商务部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 xml:space="preserve">的要求编写及提供相关资料，复印件均要求加盖公章。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供应商法定代表人（或法定代表人授权代表）签名或签章：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供应商名称（盖公章）：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 期： 年 月 日</w:t>
      </w:r>
    </w:p>
    <w:p>
      <w:pPr>
        <w:rPr>
          <w:rFonts w:hint="eastAsia"/>
          <w:color w:val="auto"/>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color w:val="auto"/>
          <w:highlight w:val="none"/>
          <w:lang w:val="en-US" w:eastAsia="zh-CN"/>
        </w:rPr>
      </w:pPr>
    </w:p>
    <w:p>
      <w:pPr>
        <w:rPr>
          <w:rFonts w:hint="eastAsia" w:ascii="宋体" w:hAnsi="宋体" w:eastAsia="宋体" w:cs="宋体"/>
          <w:b/>
          <w:bCs/>
          <w:color w:val="auto"/>
          <w:sz w:val="30"/>
          <w:szCs w:val="30"/>
          <w:highlight w:val="none"/>
          <w:lang w:val="en-US" w:eastAsia="zh-CN"/>
        </w:rPr>
      </w:pPr>
    </w:p>
    <w:p>
      <w:pPr>
        <w:pStyle w:val="9"/>
        <w:rPr>
          <w:rFonts w:hint="eastAsia" w:ascii="宋体" w:hAnsi="宋体" w:eastAsia="宋体" w:cs="宋体"/>
          <w:b/>
          <w:bCs/>
          <w:color w:val="auto"/>
          <w:sz w:val="30"/>
          <w:szCs w:val="30"/>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2711" w:firstLineChars="900"/>
        <w:jc w:val="both"/>
        <w:textAlignment w:val="auto"/>
        <w:rPr>
          <w:rFonts w:hint="eastAsia" w:ascii="宋体" w:hAnsi="宋体" w:eastAsia="宋体" w:cs="宋体"/>
          <w:b/>
          <w:bCs/>
          <w:color w:val="auto"/>
          <w:sz w:val="30"/>
          <w:szCs w:val="30"/>
          <w:highlight w:val="none"/>
        </w:rPr>
      </w:pPr>
      <w:r>
        <w:rPr>
          <w:rFonts w:hint="eastAsia" w:cs="宋体"/>
          <w:b/>
          <w:bCs/>
          <w:color w:val="auto"/>
          <w:sz w:val="30"/>
          <w:szCs w:val="30"/>
          <w:highlight w:val="none"/>
          <w:lang w:val="en-US" w:eastAsia="zh-CN"/>
        </w:rPr>
        <w:t xml:space="preserve">2.7  </w:t>
      </w:r>
      <w:r>
        <w:rPr>
          <w:rFonts w:hint="eastAsia" w:ascii="宋体" w:hAnsi="宋体" w:eastAsia="宋体" w:cs="宋体"/>
          <w:b/>
          <w:bCs/>
          <w:color w:val="auto"/>
          <w:sz w:val="30"/>
          <w:szCs w:val="30"/>
          <w:highlight w:val="none"/>
        </w:rPr>
        <w:t>中小企业声明函</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r>
        <w:rPr>
          <w:rFonts w:hint="eastAsia" w:ascii="宋体" w:hAnsi="宋体" w:eastAsia="宋体" w:cs="宋体"/>
          <w:b/>
          <w:bCs/>
          <w:color w:val="auto"/>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 ﹝2020﹞46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（标的名称），属于（采购文件中明确的所属行业</w:t>
      </w:r>
      <w:r>
        <w:rPr>
          <w:rFonts w:hint="eastAsia" w:cs="宋体"/>
          <w:color w:val="auto"/>
          <w:sz w:val="24"/>
          <w:szCs w:val="24"/>
          <w:highlight w:val="none"/>
          <w:lang w:val="en-US" w:eastAsia="zh-CN"/>
        </w:rPr>
        <w:t>为建筑业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2（标的名称），属于（采购文件中明确的所属行业</w:t>
      </w:r>
      <w:r>
        <w:rPr>
          <w:rFonts w:hint="eastAsia" w:cs="宋体"/>
          <w:color w:val="auto"/>
          <w:sz w:val="24"/>
          <w:szCs w:val="24"/>
          <w:highlight w:val="none"/>
          <w:lang w:val="en-US" w:eastAsia="zh-CN"/>
        </w:rPr>
        <w:t>为建筑业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pPr>
        <w:keepNext w:val="0"/>
        <w:keepLines w:val="0"/>
        <w:pageBreakBefore w:val="0"/>
        <w:widowControl w:val="0"/>
        <w:kinsoku/>
        <w:wordWrap/>
        <w:overflowPunct/>
        <w:topLinePunct w:val="0"/>
        <w:autoSpaceDE w:val="0"/>
        <w:autoSpaceDN w:val="0"/>
        <w:bidi w:val="0"/>
        <w:adjustRightInd/>
        <w:snapToGrid/>
        <w:spacing w:line="440" w:lineRule="exact"/>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b/>
          <w:bCs/>
          <w:color w:val="auto"/>
          <w:sz w:val="18"/>
          <w:highlight w:val="none"/>
        </w:rPr>
      </w:pPr>
      <w:r>
        <w:rPr>
          <w:rFonts w:hint="eastAsia" w:ascii="宋体" w:hAnsi="宋体"/>
          <w:b/>
          <w:bCs/>
          <w:color w:val="auto"/>
          <w:sz w:val="18"/>
          <w:highlight w:val="none"/>
          <w:lang w:val="en-US" w:eastAsia="zh-CN"/>
        </w:rPr>
        <w:t>备注：1、</w:t>
      </w:r>
      <w:r>
        <w:rPr>
          <w:rFonts w:hint="eastAsia" w:ascii="宋体" w:hAnsi="宋体" w:eastAsia="宋体"/>
          <w:b/>
          <w:bCs/>
          <w:color w:val="auto"/>
          <w:sz w:val="18"/>
          <w:highlight w:val="none"/>
        </w:rPr>
        <w:t>从业人员、营业收入、资产总额填报上一年度数据，无上一年度数据的新成立企业可不填报。</w:t>
      </w:r>
    </w:p>
    <w:p>
      <w:pPr>
        <w:keepNext w:val="0"/>
        <w:keepLines w:val="0"/>
        <w:pageBreakBefore w:val="0"/>
        <w:widowControl/>
        <w:numPr>
          <w:ilvl w:val="0"/>
          <w:numId w:val="7"/>
        </w:numPr>
        <w:kinsoku/>
        <w:wordWrap/>
        <w:overflowPunct/>
        <w:topLinePunct w:val="0"/>
        <w:autoSpaceDE/>
        <w:autoSpaceDN/>
        <w:bidi w:val="0"/>
        <w:adjustRightInd/>
        <w:snapToGrid/>
        <w:spacing w:line="400" w:lineRule="exact"/>
        <w:ind w:firstLine="542" w:firstLineChars="300"/>
        <w:jc w:val="both"/>
        <w:textAlignment w:val="auto"/>
        <w:rPr>
          <w:rFonts w:hint="eastAsia" w:ascii="宋体" w:hAnsi="宋体" w:eastAsia="宋体"/>
          <w:b/>
          <w:bCs/>
          <w:color w:val="auto"/>
          <w:sz w:val="18"/>
          <w:szCs w:val="22"/>
          <w:highlight w:val="none"/>
          <w:lang w:val="en-US" w:eastAsia="zh-CN"/>
        </w:rPr>
      </w:pPr>
      <w:r>
        <w:rPr>
          <w:rFonts w:hint="eastAsia" w:ascii="宋体" w:hAnsi="宋体" w:eastAsia="宋体"/>
          <w:b/>
          <w:bCs/>
          <w:color w:val="auto"/>
          <w:sz w:val="18"/>
          <w:szCs w:val="22"/>
          <w:highlight w:val="none"/>
          <w:lang w:val="en-US" w:eastAsia="zh-CN"/>
        </w:rPr>
        <w:t>投标人为中小企业时需提供本声明函，并完整填写从业人员、营业收入、资产总额等内容，否则评审时不能享受相应的价格扣除。</w:t>
      </w:r>
    </w:p>
    <w:p>
      <w:pPr>
        <w:pStyle w:val="9"/>
        <w:widowControl w:val="0"/>
        <w:numPr>
          <w:ilvl w:val="0"/>
          <w:numId w:val="0"/>
        </w:numPr>
        <w:autoSpaceDE w:val="0"/>
        <w:autoSpaceDN w:val="0"/>
        <w:spacing w:before="0" w:after="0" w:line="240" w:lineRule="auto"/>
        <w:ind w:right="0" w:rightChars="0"/>
        <w:jc w:val="left"/>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pPr>
        <w:spacing w:line="360" w:lineRule="auto"/>
        <w:jc w:val="center"/>
        <w:rPr>
          <w:rFonts w:ascii="仿宋_GB2312" w:hAnsi="仿宋_GB2312" w:eastAsia="仿宋_GB2312"/>
          <w:b/>
          <w:bCs/>
          <w:color w:val="auto"/>
          <w:sz w:val="32"/>
          <w:szCs w:val="32"/>
          <w:highlight w:val="none"/>
        </w:rPr>
      </w:pPr>
      <w:r>
        <w:rPr>
          <w:rFonts w:hint="eastAsia" w:ascii="仿宋_GB2312" w:hAnsi="仿宋_GB2312" w:eastAsia="仿宋_GB2312" w:cs="仿宋"/>
          <w:b/>
          <w:bCs/>
          <w:color w:val="auto"/>
          <w:sz w:val="32"/>
          <w:szCs w:val="32"/>
          <w:highlight w:val="none"/>
          <w:lang w:val="en-US" w:eastAsia="zh-CN"/>
        </w:rPr>
        <w:t xml:space="preserve">2.8 </w:t>
      </w:r>
      <w:r>
        <w:rPr>
          <w:rFonts w:hint="eastAsia" w:ascii="宋体" w:hAnsi="宋体" w:eastAsia="宋体" w:cs="宋体"/>
          <w:b/>
          <w:bCs/>
          <w:color w:val="auto"/>
          <w:sz w:val="30"/>
          <w:szCs w:val="30"/>
          <w:highlight w:val="none"/>
        </w:rPr>
        <w:t>残疾人福利性单位声明函</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p>
    <w:p>
      <w:pPr>
        <w:spacing w:line="360" w:lineRule="auto"/>
        <w:rPr>
          <w:rFonts w:ascii="仿宋_GB2312" w:hAnsi="仿宋_GB2312" w:eastAsia="仿宋_GB2312"/>
          <w:b/>
          <w:bCs/>
          <w:color w:val="auto"/>
          <w:spacing w:val="6"/>
          <w:highlight w:val="none"/>
        </w:rPr>
      </w:pPr>
    </w:p>
    <w:p>
      <w:pPr>
        <w:spacing w:line="360" w:lineRule="auto"/>
        <w:ind w:firstLine="504" w:firstLineChars="200"/>
        <w:jc w:val="both"/>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本单位郑重声明，根据《财政部民政部中国残疾人联合会关于促进残疾人就业政府采购政策的通知》（财库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z w:val="24"/>
          <w:szCs w:val="24"/>
          <w:highlight w:val="none"/>
          <w:u w:val="single"/>
        </w:rPr>
        <w:t>XXXX</w:t>
      </w:r>
      <w:r>
        <w:rPr>
          <w:rFonts w:hint="eastAsia" w:ascii="宋体" w:hAnsi="宋体" w:eastAsia="宋体" w:cs="宋体"/>
          <w:color w:val="auto"/>
          <w:spacing w:val="6"/>
          <w:sz w:val="24"/>
          <w:szCs w:val="24"/>
          <w:highlight w:val="none"/>
        </w:rPr>
        <w:t>项目采购活动由本单位承担工程。</w:t>
      </w:r>
    </w:p>
    <w:p>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360" w:lineRule="auto"/>
        <w:rPr>
          <w:rFonts w:hint="eastAsia" w:ascii="宋体" w:hAnsi="宋体" w:eastAsia="宋体" w:cs="宋体"/>
          <w:color w:val="auto"/>
          <w:spacing w:val="6"/>
          <w:sz w:val="24"/>
          <w:szCs w:val="24"/>
          <w:highlight w:val="none"/>
        </w:rPr>
      </w:pPr>
    </w:p>
    <w:p>
      <w:pPr>
        <w:spacing w:line="360" w:lineRule="auto"/>
        <w:rPr>
          <w:rFonts w:hint="eastAsia" w:ascii="宋体" w:hAnsi="宋体" w:eastAsia="宋体" w:cs="宋体"/>
          <w:color w:val="auto"/>
          <w:spacing w:val="6"/>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供应商名称：XXXX（加盖公章）</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日期：XXX年XXX月XXX日</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pPr>
        <w:spacing w:line="360" w:lineRule="auto"/>
        <w:ind w:firstLine="431" w:firstLineChars="196"/>
        <w:outlineLvl w:val="1"/>
        <w:rPr>
          <w:rFonts w:ascii="仿宋_GB2312" w:hAnsi="仿宋_GB2312" w:eastAsia="仿宋_GB2312"/>
          <w:color w:val="auto"/>
          <w:highlight w:val="none"/>
        </w:rPr>
      </w:pPr>
    </w:p>
    <w:p>
      <w:pPr>
        <w:spacing w:line="360" w:lineRule="auto"/>
        <w:rPr>
          <w:rFonts w:ascii="仿宋_GB2312" w:hAnsi="仿宋_GB2312" w:eastAsia="仿宋_GB2312"/>
          <w:b/>
          <w:bCs/>
          <w:color w:val="auto"/>
          <w:sz w:val="28"/>
          <w:szCs w:val="28"/>
          <w:highlight w:val="none"/>
        </w:rPr>
        <w:sectPr>
          <w:headerReference r:id="rId16" w:type="default"/>
          <w:footerReference r:id="rId17" w:type="default"/>
          <w:footerReference r:id="rId18" w:type="even"/>
          <w:pgSz w:w="11907" w:h="16840"/>
          <w:pgMar w:top="1440" w:right="1797" w:bottom="1440" w:left="1797" w:header="851" w:footer="992" w:gutter="0"/>
          <w:cols w:space="720" w:num="1"/>
          <w:docGrid w:linePitch="312" w:charSpace="0"/>
        </w:sectPr>
      </w:pPr>
    </w:p>
    <w:p>
      <w:pPr>
        <w:spacing w:line="360" w:lineRule="auto"/>
        <w:jc w:val="center"/>
        <w:rPr>
          <w:rFonts w:hint="eastAsia" w:ascii="宋体" w:hAnsi="宋体" w:eastAsia="宋体" w:cs="宋体"/>
          <w:b/>
          <w:bCs/>
          <w:color w:val="auto"/>
          <w:sz w:val="30"/>
          <w:szCs w:val="30"/>
          <w:highlight w:val="none"/>
          <w:lang w:eastAsia="zh-CN"/>
        </w:rPr>
      </w:pPr>
      <w:r>
        <w:rPr>
          <w:rFonts w:hint="eastAsia" w:cs="宋体"/>
          <w:b/>
          <w:bCs/>
          <w:color w:val="auto"/>
          <w:sz w:val="30"/>
          <w:szCs w:val="30"/>
          <w:highlight w:val="none"/>
          <w:lang w:val="en-US" w:eastAsia="zh-CN"/>
        </w:rPr>
        <w:t xml:space="preserve">2.9 </w:t>
      </w:r>
      <w:r>
        <w:rPr>
          <w:rFonts w:hint="eastAsia" w:ascii="宋体" w:hAnsi="宋体" w:eastAsia="宋体" w:cs="宋体"/>
          <w:b/>
          <w:bCs/>
          <w:color w:val="auto"/>
          <w:sz w:val="30"/>
          <w:szCs w:val="30"/>
          <w:highlight w:val="none"/>
        </w:rPr>
        <w:t>监狱企业证明</w:t>
      </w:r>
      <w:r>
        <w:rPr>
          <w:rFonts w:hint="eastAsia" w:cs="宋体"/>
          <w:b/>
          <w:bCs/>
          <w:color w:val="auto"/>
          <w:sz w:val="30"/>
          <w:szCs w:val="30"/>
          <w:highlight w:val="none"/>
          <w:lang w:eastAsia="zh-CN"/>
        </w:rPr>
        <w:t>（</w:t>
      </w:r>
      <w:r>
        <w:rPr>
          <w:rFonts w:hint="eastAsia" w:cs="宋体"/>
          <w:b/>
          <w:bCs/>
          <w:color w:val="auto"/>
          <w:sz w:val="30"/>
          <w:szCs w:val="30"/>
          <w:highlight w:val="none"/>
          <w:lang w:val="en-US" w:eastAsia="zh-CN"/>
        </w:rPr>
        <w:t>可选</w:t>
      </w:r>
      <w:r>
        <w:rPr>
          <w:rFonts w:hint="eastAsia" w:cs="宋体"/>
          <w:b/>
          <w:bCs/>
          <w:color w:val="auto"/>
          <w:sz w:val="30"/>
          <w:szCs w:val="30"/>
          <w:highlight w:val="none"/>
          <w:lang w:eastAsia="zh-CN"/>
        </w:rPr>
        <w:t>）</w:t>
      </w:r>
    </w:p>
    <w:p>
      <w:pPr>
        <w:spacing w:line="360" w:lineRule="auto"/>
        <w:jc w:val="center"/>
        <w:rPr>
          <w:rFonts w:ascii="仿宋_GB2312" w:hAnsi="仿宋_GB2312" w:eastAsia="仿宋_GB2312" w:cs="仿宋"/>
          <w:b/>
          <w:bCs/>
          <w:color w:val="auto"/>
          <w:sz w:val="32"/>
          <w:szCs w:val="32"/>
          <w:highlight w:val="none"/>
        </w:rPr>
      </w:pPr>
    </w:p>
    <w:p>
      <w:pPr>
        <w:spacing w:line="360" w:lineRule="auto"/>
        <w:jc w:val="center"/>
        <w:rPr>
          <w:rFonts w:ascii="仿宋_GB2312" w:hAnsi="仿宋_GB2312" w:eastAsia="仿宋_GB2312" w:cs="仿宋"/>
          <w:b/>
          <w:bCs/>
          <w:color w:val="auto"/>
          <w:sz w:val="32"/>
          <w:szCs w:val="32"/>
          <w:highlight w:val="none"/>
        </w:rPr>
      </w:pPr>
    </w:p>
    <w:p>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注：1.监狱企业参加政府采购活动时，应当提供由省级以上监狱管理局、戒毒管理局（含新疆生产建设兵团）出具的属于监狱企业的证明文件，并加盖单位公章。</w:t>
      </w:r>
    </w:p>
    <w:p>
      <w:pPr>
        <w:spacing w:after="16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2.监狱企业视同小型、微型企业，享受预留份额、评审中价格扣除等政府采购促进中小企业发展的政府采购政策。监狱企业属于小型、微型企业的，不重复享受政策。</w:t>
      </w: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pStyle w:val="10"/>
        <w:rPr>
          <w:rFonts w:hint="eastAsia"/>
          <w:color w:val="auto"/>
          <w:highlight w:val="none"/>
          <w:lang w:val="en-US" w:eastAsia="zh-CN"/>
        </w:rPr>
      </w:pPr>
    </w:p>
    <w:p>
      <w:pPr>
        <w:pStyle w:val="10"/>
        <w:rPr>
          <w:rFonts w:hint="eastAsia"/>
          <w:color w:val="auto"/>
          <w:highlight w:val="none"/>
          <w:lang w:val="en-US" w:eastAsia="zh-CN"/>
        </w:rPr>
      </w:pPr>
    </w:p>
    <w:p>
      <w:pPr>
        <w:pStyle w:val="10"/>
        <w:rPr>
          <w:rFonts w:hint="eastAsia"/>
          <w:color w:val="auto"/>
          <w:highlight w:val="none"/>
          <w:lang w:val="en-US" w:eastAsia="zh-CN"/>
        </w:rPr>
      </w:pPr>
    </w:p>
    <w:p>
      <w:pPr>
        <w:pStyle w:val="10"/>
        <w:rPr>
          <w:rFonts w:hint="eastAsia"/>
          <w:color w:val="auto"/>
          <w:highlight w:val="none"/>
          <w:lang w:val="en-US" w:eastAsia="zh-CN"/>
        </w:rPr>
      </w:pPr>
    </w:p>
    <w:p>
      <w:pPr>
        <w:pStyle w:val="9"/>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auto"/>
          <w:sz w:val="36"/>
          <w:szCs w:val="36"/>
          <w:highlight w:val="none"/>
        </w:rPr>
      </w:pPr>
      <w:bookmarkStart w:id="711" w:name="_Toc12316_WPSOffice_Level1"/>
      <w:r>
        <w:rPr>
          <w:rFonts w:hint="eastAsia"/>
          <w:b/>
          <w:bCs/>
          <w:color w:val="auto"/>
          <w:sz w:val="36"/>
          <w:szCs w:val="36"/>
          <w:highlight w:val="none"/>
          <w:lang w:val="en-US" w:eastAsia="zh-CN"/>
        </w:rPr>
        <w:t>三、技术文件</w:t>
      </w:r>
      <w:bookmarkEnd w:id="711"/>
    </w:p>
    <w:p>
      <w:pPr>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cs="宋体"/>
          <w:b/>
          <w:bCs/>
          <w:color w:val="auto"/>
          <w:sz w:val="30"/>
          <w:szCs w:val="30"/>
          <w:highlight w:val="none"/>
          <w:lang w:val="en-US" w:eastAsia="zh-CN"/>
        </w:rPr>
      </w:pPr>
      <w:r>
        <w:rPr>
          <w:rFonts w:hint="eastAsia" w:cs="宋体"/>
          <w:b/>
          <w:bCs/>
          <w:color w:val="auto"/>
          <w:sz w:val="30"/>
          <w:szCs w:val="30"/>
          <w:highlight w:val="none"/>
          <w:lang w:val="en-US" w:eastAsia="zh-CN"/>
        </w:rPr>
        <w:t xml:space="preserve">3.1  技术服务内容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应包括但不局限于以下内容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技术方案必须科学合理、真实可行，能充分体现出自身技术和专业优势。其要点和主要内容不限于如下内容：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4.2.1 项目实施方案；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4.2.2 施工工期保证措施；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4.2.3 质量管理及质量保证措施；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4.2.4 施工安全及文明施工措施；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4.2.5 应急服务方案；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4.2.6 员工权益保障方案；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4.2.7 企业规章制度情况。 </w:t>
      </w:r>
    </w:p>
    <w:p>
      <w:pPr>
        <w:pStyle w:val="9"/>
        <w:rPr>
          <w:rFonts w:hint="eastAsia" w:ascii="宋体" w:hAnsi="宋体" w:eastAsia="宋体" w:cs="宋体"/>
          <w:color w:val="auto"/>
          <w:sz w:val="24"/>
          <w:szCs w:val="24"/>
          <w:highlight w:val="none"/>
          <w:lang w:val="en-US" w:eastAsia="zh-CN"/>
        </w:rPr>
      </w:pPr>
    </w:p>
    <w:p>
      <w:pPr>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须知</w:t>
      </w:r>
      <w:r>
        <w:rPr>
          <w:rFonts w:hint="eastAsia" w:cs="宋体"/>
          <w:color w:val="auto"/>
          <w:sz w:val="24"/>
          <w:szCs w:val="24"/>
          <w:highlight w:val="none"/>
          <w:lang w:val="en-US" w:eastAsia="zh-CN"/>
        </w:rPr>
        <w:t>第七部分</w:t>
      </w:r>
      <w:r>
        <w:rPr>
          <w:rFonts w:hint="eastAsia" w:ascii="宋体" w:hAnsi="宋体" w:eastAsia="宋体" w:cs="宋体"/>
          <w:color w:val="auto"/>
          <w:sz w:val="24"/>
          <w:szCs w:val="24"/>
          <w:highlight w:val="none"/>
          <w:lang w:val="en-US" w:eastAsia="zh-CN"/>
        </w:rPr>
        <w:t>评审</w:t>
      </w:r>
      <w:r>
        <w:rPr>
          <w:rFonts w:hint="eastAsia" w:cs="宋体"/>
          <w:color w:val="auto"/>
          <w:sz w:val="24"/>
          <w:szCs w:val="24"/>
          <w:highlight w:val="none"/>
          <w:lang w:val="en-US" w:eastAsia="zh-CN"/>
        </w:rPr>
        <w:t>标准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部</w:t>
      </w:r>
      <w:r>
        <w:rPr>
          <w:rFonts w:hint="eastAsia"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评审内容</w:t>
      </w:r>
      <w:r>
        <w:rPr>
          <w:rFonts w:hint="eastAsia" w:ascii="宋体" w:hAnsi="宋体" w:eastAsia="宋体" w:cs="宋体"/>
          <w:color w:val="auto"/>
          <w:sz w:val="24"/>
          <w:szCs w:val="24"/>
          <w:highlight w:val="none"/>
          <w:lang w:val="en-US" w:eastAsia="zh-CN"/>
        </w:rPr>
        <w:t>提供相应证明材料。</w:t>
      </w: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rPr>
          <w:rFonts w:hint="eastAsia"/>
          <w:color w:val="auto"/>
          <w:highlight w:val="none"/>
          <w:lang w:val="en-US" w:eastAsia="zh-CN"/>
        </w:rPr>
      </w:pPr>
    </w:p>
    <w:p>
      <w:pPr>
        <w:pStyle w:val="9"/>
        <w:rPr>
          <w:rFonts w:hint="eastAsia"/>
          <w:color w:val="auto"/>
          <w:highlight w:val="none"/>
          <w:lang w:val="en-US" w:eastAsia="zh-CN"/>
        </w:rPr>
      </w:pPr>
    </w:p>
    <w:p>
      <w:pPr>
        <w:pStyle w:val="9"/>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bookmarkStart w:id="712" w:name="_Toc28570_WPSOffice_Level1"/>
      <w:r>
        <w:rPr>
          <w:rFonts w:hint="eastAsia"/>
          <w:b/>
          <w:bCs/>
          <w:color w:val="auto"/>
          <w:sz w:val="36"/>
          <w:szCs w:val="36"/>
          <w:highlight w:val="none"/>
          <w:lang w:val="en-US" w:eastAsia="zh-CN"/>
        </w:rPr>
        <w:t>四、价格部分</w:t>
      </w:r>
      <w:bookmarkEnd w:id="712"/>
    </w:p>
    <w:p>
      <w:pPr>
        <w:rPr>
          <w:rFonts w:hint="eastAsia"/>
          <w:color w:val="auto"/>
          <w:highlight w:val="none"/>
          <w:lang w:val="en-US" w:eastAsia="zh-CN"/>
        </w:rPr>
      </w:pPr>
    </w:p>
    <w:p>
      <w:pPr>
        <w:pStyle w:val="9"/>
        <w:rPr>
          <w:rFonts w:hint="eastAsia"/>
          <w:color w:val="auto"/>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4.1 报价</w:t>
      </w:r>
      <w:r>
        <w:rPr>
          <w:rFonts w:hint="eastAsia" w:ascii="宋体" w:hAnsi="宋体" w:eastAsia="宋体" w:cs="宋体"/>
          <w:b/>
          <w:bCs/>
          <w:color w:val="auto"/>
          <w:sz w:val="30"/>
          <w:szCs w:val="30"/>
          <w:highlight w:val="none"/>
        </w:rPr>
        <w:t>一览表(首次报价表)</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p>
      <w:pPr>
        <w:jc w:val="center"/>
        <w:rPr>
          <w:rFonts w:hint="eastAsia" w:ascii="方正小标宋_GBK" w:hAnsi="方正小标宋_GBK" w:eastAsia="方正小标宋_GBK" w:cs="方正小标宋_GBK"/>
          <w:b w:val="0"/>
          <w:bCs w:val="0"/>
          <w:sz w:val="48"/>
          <w:szCs w:val="48"/>
        </w:rPr>
      </w:pPr>
      <w:r>
        <w:rPr>
          <w:rFonts w:hint="eastAsia" w:ascii="方正小标宋_GBK" w:hAnsi="方正小标宋_GBK" w:eastAsia="方正小标宋_GBK" w:cs="方正小标宋_GBK"/>
          <w:b w:val="0"/>
          <w:bCs w:val="0"/>
          <w:sz w:val="48"/>
          <w:szCs w:val="48"/>
          <w:lang w:val="en-US" w:eastAsia="zh-CN"/>
        </w:rPr>
        <w:t>磋商</w:t>
      </w:r>
      <w:r>
        <w:rPr>
          <w:rFonts w:hint="eastAsia" w:ascii="方正小标宋_GBK" w:hAnsi="方正小标宋_GBK" w:eastAsia="方正小标宋_GBK" w:cs="方正小标宋_GBK"/>
          <w:b w:val="0"/>
          <w:bCs w:val="0"/>
          <w:sz w:val="48"/>
          <w:szCs w:val="48"/>
        </w:rPr>
        <w:t>报价一览表格式</w:t>
      </w:r>
    </w:p>
    <w:p>
      <w:pPr>
        <w:pStyle w:val="2"/>
        <w:rPr>
          <w:rFonts w:hint="eastAsia"/>
        </w:rPr>
      </w:pPr>
    </w:p>
    <w:p>
      <w:pPr>
        <w:spacing w:line="360" w:lineRule="auto"/>
        <w:jc w:val="left"/>
        <w:rPr>
          <w:rFonts w:hint="eastAsia" w:ascii="仿宋" w:hAnsi="仿宋" w:eastAsia="仿宋" w:cs="仿宋"/>
          <w:b/>
          <w:position w:val="10"/>
          <w:sz w:val="28"/>
          <w:szCs w:val="28"/>
        </w:rPr>
      </w:pPr>
      <w:r>
        <w:rPr>
          <w:rFonts w:hint="eastAsia"/>
          <w:lang w:val="en-US" w:eastAsia="zh-CN"/>
        </w:rPr>
        <w:t>投</w:t>
      </w:r>
      <w:r>
        <w:rPr>
          <w:rFonts w:hint="eastAsia" w:ascii="仿宋" w:hAnsi="仿宋" w:eastAsia="仿宋" w:cs="仿宋"/>
          <w:color w:val="000000"/>
          <w:sz w:val="28"/>
          <w:szCs w:val="28"/>
        </w:rPr>
        <w:t xml:space="preserve">标人名称：   </w:t>
      </w:r>
      <w:r>
        <w:rPr>
          <w:rFonts w:hint="eastAsia" w:ascii="仿宋" w:hAnsi="仿宋" w:eastAsia="仿宋" w:cs="仿宋"/>
          <w:b/>
          <w:position w:val="10"/>
          <w:sz w:val="28"/>
          <w:szCs w:val="28"/>
        </w:rPr>
        <w:t xml:space="preserve">                                                                        单位:元</w:t>
      </w:r>
    </w:p>
    <w:tbl>
      <w:tblPr>
        <w:tblStyle w:val="19"/>
        <w:tblW w:w="9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314"/>
        <w:gridCol w:w="2987"/>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24" w:type="dxa"/>
            <w:noWrap w:val="0"/>
            <w:vAlign w:val="center"/>
          </w:tcPr>
          <w:p>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color w:val="000000"/>
                <w:kern w:val="0"/>
                <w:sz w:val="20"/>
                <w:szCs w:val="20"/>
                <w:u w:val="none"/>
                <w:lang w:val="en-US" w:eastAsia="zh-CN" w:bidi="ar"/>
              </w:rPr>
              <w:t>编号</w:t>
            </w:r>
          </w:p>
        </w:tc>
        <w:tc>
          <w:tcPr>
            <w:tcW w:w="2314" w:type="dxa"/>
            <w:noWrap w:val="0"/>
            <w:vAlign w:val="center"/>
          </w:tcPr>
          <w:p>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color w:val="000000"/>
                <w:kern w:val="0"/>
                <w:sz w:val="20"/>
                <w:szCs w:val="20"/>
                <w:u w:val="none"/>
                <w:lang w:val="en-US" w:eastAsia="zh-CN" w:bidi="ar"/>
              </w:rPr>
              <w:t>工程或费用名称</w:t>
            </w:r>
          </w:p>
        </w:tc>
        <w:tc>
          <w:tcPr>
            <w:tcW w:w="2987" w:type="dxa"/>
            <w:noWrap w:val="0"/>
            <w:vAlign w:val="center"/>
          </w:tcPr>
          <w:p>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color w:val="000000"/>
                <w:kern w:val="0"/>
                <w:sz w:val="20"/>
                <w:szCs w:val="20"/>
                <w:u w:val="none"/>
                <w:lang w:val="en-US" w:eastAsia="zh-CN" w:bidi="ar"/>
              </w:rPr>
              <w:t>建安工程费</w:t>
            </w:r>
          </w:p>
        </w:tc>
        <w:tc>
          <w:tcPr>
            <w:tcW w:w="2730" w:type="dxa"/>
            <w:noWrap w:val="0"/>
            <w:vAlign w:val="center"/>
          </w:tcPr>
          <w:p>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color w:val="000000"/>
                <w:kern w:val="0"/>
                <w:sz w:val="20"/>
                <w:szCs w:val="20"/>
                <w:u w:val="none"/>
                <w:lang w:val="en-US" w:eastAsia="zh-CN" w:bidi="ar"/>
              </w:rPr>
              <w:t>设备购置费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rPr>
        <w:tc>
          <w:tcPr>
            <w:tcW w:w="1224" w:type="dxa"/>
            <w:noWrap w:val="0"/>
            <w:vAlign w:val="center"/>
          </w:tcPr>
          <w:p>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color w:val="000000"/>
                <w:kern w:val="0"/>
                <w:sz w:val="20"/>
                <w:szCs w:val="20"/>
                <w:u w:val="none"/>
                <w:lang w:val="en-US" w:eastAsia="zh-CN" w:bidi="ar"/>
              </w:rPr>
              <w:t>一</w:t>
            </w:r>
          </w:p>
        </w:tc>
        <w:tc>
          <w:tcPr>
            <w:tcW w:w="2314"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color w:val="000000"/>
                <w:kern w:val="0"/>
                <w:sz w:val="20"/>
                <w:szCs w:val="20"/>
                <w:u w:val="none"/>
                <w:lang w:val="en-US" w:eastAsia="zh-CN" w:bidi="ar"/>
              </w:rPr>
              <w:t>建筑工程</w:t>
            </w:r>
          </w:p>
        </w:tc>
        <w:tc>
          <w:tcPr>
            <w:tcW w:w="2987" w:type="dxa"/>
            <w:noWrap w:val="0"/>
            <w:vAlign w:val="center"/>
          </w:tcPr>
          <w:p>
            <w:pPr>
              <w:keepNext w:val="0"/>
              <w:keepLines w:val="0"/>
              <w:widowControl/>
              <w:suppressLineNumbers w:val="0"/>
              <w:jc w:val="center"/>
              <w:textAlignment w:val="center"/>
              <w:rPr>
                <w:rFonts w:hint="eastAsia" w:ascii="仿宋" w:hAnsi="仿宋" w:eastAsia="仿宋" w:cs="仿宋"/>
                <w:color w:val="000000"/>
                <w:sz w:val="28"/>
                <w:szCs w:val="28"/>
              </w:rPr>
            </w:pPr>
          </w:p>
        </w:tc>
        <w:tc>
          <w:tcPr>
            <w:tcW w:w="2730" w:type="dxa"/>
            <w:noWrap w:val="0"/>
            <w:vAlign w:val="center"/>
          </w:tcPr>
          <w:p>
            <w:pPr>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1224" w:type="dxa"/>
            <w:noWrap w:val="0"/>
            <w:vAlign w:val="center"/>
          </w:tcPr>
          <w:p>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color w:val="000000"/>
                <w:kern w:val="0"/>
                <w:sz w:val="20"/>
                <w:szCs w:val="20"/>
                <w:u w:val="none"/>
                <w:lang w:val="en-US" w:eastAsia="zh-CN" w:bidi="ar"/>
              </w:rPr>
              <w:t>二</w:t>
            </w:r>
          </w:p>
        </w:tc>
        <w:tc>
          <w:tcPr>
            <w:tcW w:w="2314"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color w:val="000000"/>
                <w:kern w:val="0"/>
                <w:sz w:val="20"/>
                <w:szCs w:val="20"/>
                <w:u w:val="none"/>
                <w:lang w:val="en-US" w:eastAsia="zh-CN" w:bidi="ar"/>
              </w:rPr>
              <w:t>机电设备及安装工程</w:t>
            </w:r>
          </w:p>
        </w:tc>
        <w:tc>
          <w:tcPr>
            <w:tcW w:w="2987" w:type="dxa"/>
            <w:noWrap w:val="0"/>
            <w:vAlign w:val="center"/>
          </w:tcPr>
          <w:p>
            <w:pPr>
              <w:keepNext w:val="0"/>
              <w:keepLines w:val="0"/>
              <w:widowControl/>
              <w:suppressLineNumbers w:val="0"/>
              <w:jc w:val="center"/>
              <w:textAlignment w:val="center"/>
              <w:rPr>
                <w:rFonts w:hint="eastAsia" w:ascii="仿宋" w:hAnsi="仿宋" w:eastAsia="仿宋" w:cs="仿宋"/>
                <w:color w:val="000000"/>
                <w:sz w:val="28"/>
                <w:szCs w:val="28"/>
              </w:rPr>
            </w:pPr>
          </w:p>
        </w:tc>
        <w:tc>
          <w:tcPr>
            <w:tcW w:w="2730" w:type="dxa"/>
            <w:noWrap w:val="0"/>
            <w:vAlign w:val="center"/>
          </w:tcPr>
          <w:p>
            <w:pPr>
              <w:keepNext w:val="0"/>
              <w:keepLines w:val="0"/>
              <w:widowControl/>
              <w:suppressLineNumbers w:val="0"/>
              <w:jc w:val="center"/>
              <w:textAlignment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1224" w:type="dxa"/>
            <w:noWrap w:val="0"/>
            <w:vAlign w:val="center"/>
          </w:tcPr>
          <w:p>
            <w:pPr>
              <w:keepNext w:val="0"/>
              <w:keepLines w:val="0"/>
              <w:widowControl/>
              <w:suppressLineNumbers w:val="0"/>
              <w:jc w:val="center"/>
              <w:textAlignment w:val="center"/>
              <w:rPr>
                <w:rFonts w:hint="eastAsia" w:ascii="仿宋" w:hAnsi="仿宋" w:eastAsia="仿宋" w:cs="仿宋"/>
                <w:color w:val="000000"/>
                <w:sz w:val="28"/>
                <w:szCs w:val="28"/>
              </w:rPr>
            </w:pPr>
            <w:r>
              <w:rPr>
                <w:rFonts w:hint="eastAsia" w:ascii="宋体" w:hAnsi="宋体" w:eastAsia="宋体" w:cs="宋体"/>
                <w:i w:val="0"/>
                <w:color w:val="000000"/>
                <w:kern w:val="0"/>
                <w:sz w:val="20"/>
                <w:szCs w:val="20"/>
                <w:u w:val="none"/>
                <w:lang w:val="en-US" w:eastAsia="zh-CN" w:bidi="ar"/>
              </w:rPr>
              <w:t>三</w:t>
            </w:r>
          </w:p>
        </w:tc>
        <w:tc>
          <w:tcPr>
            <w:tcW w:w="2314"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color w:val="000000"/>
                <w:kern w:val="0"/>
                <w:sz w:val="20"/>
                <w:szCs w:val="20"/>
                <w:u w:val="none"/>
                <w:lang w:val="en-US" w:eastAsia="zh-CN" w:bidi="ar"/>
              </w:rPr>
              <w:t>施工临时工程</w:t>
            </w:r>
          </w:p>
        </w:tc>
        <w:tc>
          <w:tcPr>
            <w:tcW w:w="2987" w:type="dxa"/>
            <w:noWrap w:val="0"/>
            <w:vAlign w:val="center"/>
          </w:tcPr>
          <w:p>
            <w:pPr>
              <w:keepNext w:val="0"/>
              <w:keepLines w:val="0"/>
              <w:widowControl/>
              <w:suppressLineNumbers w:val="0"/>
              <w:jc w:val="center"/>
              <w:textAlignment w:val="center"/>
              <w:rPr>
                <w:rFonts w:hint="eastAsia" w:ascii="仿宋" w:hAnsi="仿宋" w:eastAsia="仿宋" w:cs="仿宋"/>
                <w:color w:val="000000"/>
                <w:sz w:val="28"/>
                <w:szCs w:val="28"/>
              </w:rPr>
            </w:pPr>
          </w:p>
        </w:tc>
        <w:tc>
          <w:tcPr>
            <w:tcW w:w="2730" w:type="dxa"/>
            <w:noWrap w:val="0"/>
            <w:vAlign w:val="center"/>
          </w:tcPr>
          <w:p>
            <w:pPr>
              <w:jc w:val="cente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224" w:type="dxa"/>
            <w:noWrap w:val="0"/>
            <w:vAlign w:val="center"/>
          </w:tcPr>
          <w:p>
            <w:pPr>
              <w:keepNext w:val="0"/>
              <w:keepLines w:val="0"/>
              <w:widowControl/>
              <w:suppressLineNumbers w:val="0"/>
              <w:jc w:val="center"/>
              <w:textAlignment w:val="center"/>
              <w:rPr>
                <w:rFonts w:hint="eastAsia" w:ascii="仿宋" w:hAnsi="仿宋" w:eastAsia="仿宋" w:cs="仿宋"/>
                <w:color w:val="000000"/>
                <w:sz w:val="28"/>
                <w:szCs w:val="28"/>
                <w:lang w:val="en-US" w:eastAsia="zh-CN"/>
              </w:rPr>
            </w:pPr>
            <w:r>
              <w:rPr>
                <w:rFonts w:hint="eastAsia" w:ascii="宋体" w:hAnsi="宋体" w:eastAsia="宋体" w:cs="宋体"/>
                <w:i w:val="0"/>
                <w:color w:val="000000"/>
                <w:kern w:val="0"/>
                <w:sz w:val="20"/>
                <w:szCs w:val="20"/>
                <w:u w:val="none"/>
                <w:lang w:val="en-US" w:eastAsia="zh-CN" w:bidi="ar"/>
              </w:rPr>
              <w:t>四</w:t>
            </w:r>
          </w:p>
        </w:tc>
        <w:tc>
          <w:tcPr>
            <w:tcW w:w="2314"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rPr>
            </w:pPr>
            <w:r>
              <w:rPr>
                <w:rFonts w:hint="eastAsia" w:ascii="宋体" w:hAnsi="宋体" w:eastAsia="宋体" w:cs="宋体"/>
                <w:i w:val="0"/>
                <w:color w:val="000000"/>
                <w:kern w:val="0"/>
                <w:sz w:val="20"/>
                <w:szCs w:val="20"/>
                <w:u w:val="none"/>
                <w:lang w:val="en-US" w:eastAsia="zh-CN" w:bidi="ar"/>
              </w:rPr>
              <w:t>暂列金</w:t>
            </w:r>
          </w:p>
        </w:tc>
        <w:tc>
          <w:tcPr>
            <w:tcW w:w="2987" w:type="dxa"/>
            <w:noWrap w:val="0"/>
            <w:vAlign w:val="center"/>
          </w:tcPr>
          <w:p>
            <w:pPr>
              <w:jc w:val="center"/>
              <w:rPr>
                <w:rFonts w:hint="eastAsia" w:ascii="仿宋" w:hAnsi="仿宋" w:eastAsia="仿宋" w:cs="仿宋"/>
                <w:color w:val="000000"/>
                <w:sz w:val="28"/>
                <w:szCs w:val="28"/>
              </w:rPr>
            </w:pPr>
          </w:p>
        </w:tc>
        <w:tc>
          <w:tcPr>
            <w:tcW w:w="2730"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1224" w:type="dxa"/>
            <w:noWrap w:val="0"/>
            <w:vAlign w:val="center"/>
          </w:tcPr>
          <w:p>
            <w:pPr>
              <w:keepNext w:val="0"/>
              <w:keepLines w:val="0"/>
              <w:widowControl/>
              <w:suppressLineNumbers w:val="0"/>
              <w:jc w:val="center"/>
              <w:textAlignment w:val="center"/>
              <w:rPr>
                <w:rFonts w:hint="eastAsia" w:ascii="仿宋" w:hAnsi="仿宋" w:eastAsia="仿宋" w:cs="仿宋"/>
                <w:color w:val="000000"/>
                <w:sz w:val="28"/>
                <w:szCs w:val="28"/>
                <w:lang w:val="en-US" w:eastAsia="zh-CN"/>
              </w:rPr>
            </w:pPr>
            <w:r>
              <w:rPr>
                <w:rFonts w:hint="eastAsia" w:ascii="宋体" w:hAnsi="宋体" w:eastAsia="宋体" w:cs="宋体"/>
                <w:i w:val="0"/>
                <w:color w:val="000000"/>
                <w:kern w:val="0"/>
                <w:sz w:val="20"/>
                <w:szCs w:val="20"/>
                <w:u w:val="none"/>
                <w:lang w:val="en-US" w:eastAsia="zh-CN" w:bidi="ar"/>
              </w:rPr>
              <w:t>五</w:t>
            </w:r>
          </w:p>
        </w:tc>
        <w:tc>
          <w:tcPr>
            <w:tcW w:w="2314" w:type="dxa"/>
            <w:noWrap w:val="0"/>
            <w:vAlign w:val="center"/>
          </w:tcPr>
          <w:p>
            <w:pPr>
              <w:keepNext w:val="0"/>
              <w:keepLines w:val="0"/>
              <w:widowControl/>
              <w:suppressLineNumbers w:val="0"/>
              <w:jc w:val="center"/>
              <w:textAlignment w:val="center"/>
              <w:rPr>
                <w:rFonts w:hint="eastAsia" w:ascii="仿宋" w:hAnsi="仿宋" w:eastAsia="仿宋" w:cs="仿宋"/>
                <w:color w:val="auto"/>
                <w:sz w:val="28"/>
                <w:szCs w:val="28"/>
                <w:highlight w:val="none"/>
                <w:lang w:val="en-US" w:eastAsia="zh-CN"/>
              </w:rPr>
            </w:pPr>
            <w:r>
              <w:rPr>
                <w:rFonts w:hint="eastAsia" w:ascii="宋体" w:hAnsi="宋体" w:eastAsia="宋体" w:cs="宋体"/>
                <w:i w:val="0"/>
                <w:color w:val="000000"/>
                <w:kern w:val="0"/>
                <w:sz w:val="20"/>
                <w:szCs w:val="20"/>
                <w:u w:val="none"/>
                <w:lang w:val="en-US" w:eastAsia="zh-CN" w:bidi="ar"/>
              </w:rPr>
              <w:t>一至四部分合计</w:t>
            </w:r>
          </w:p>
        </w:tc>
        <w:tc>
          <w:tcPr>
            <w:tcW w:w="2987" w:type="dxa"/>
            <w:noWrap w:val="0"/>
            <w:vAlign w:val="center"/>
          </w:tcPr>
          <w:p>
            <w:pPr>
              <w:keepNext w:val="0"/>
              <w:keepLines w:val="0"/>
              <w:widowControl/>
              <w:suppressLineNumbers w:val="0"/>
              <w:jc w:val="center"/>
              <w:textAlignment w:val="center"/>
              <w:rPr>
                <w:rFonts w:hint="eastAsia" w:ascii="仿宋" w:hAnsi="仿宋" w:eastAsia="仿宋" w:cs="仿宋"/>
                <w:i/>
                <w:color w:val="FFFFFF"/>
                <w:sz w:val="28"/>
                <w:szCs w:val="28"/>
              </w:rPr>
            </w:pPr>
          </w:p>
        </w:tc>
        <w:tc>
          <w:tcPr>
            <w:tcW w:w="2730" w:type="dxa"/>
            <w:noWrap w:val="0"/>
            <w:vAlign w:val="center"/>
          </w:tcPr>
          <w:p>
            <w:pPr>
              <w:keepNext w:val="0"/>
              <w:keepLines w:val="0"/>
              <w:widowControl/>
              <w:suppressLineNumbers w:val="0"/>
              <w:jc w:val="center"/>
              <w:textAlignment w:val="center"/>
            </w:pPr>
          </w:p>
        </w:tc>
      </w:tr>
    </w:tbl>
    <w:p>
      <w:pPr>
        <w:pStyle w:val="2"/>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总报价不得超出本项目采购预算价，否则视作无效响应文件。</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4.2 标价的工程量清单</w:t>
      </w:r>
      <w:r>
        <w:rPr>
          <w:rFonts w:hint="eastAsia" w:ascii="宋体" w:hAnsi="宋体" w:eastAsia="宋体" w:cs="宋体"/>
          <w:b/>
          <w:bCs/>
          <w:color w:val="auto"/>
          <w:sz w:val="30"/>
          <w:szCs w:val="30"/>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采购项目名称：</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 xml:space="preserve">  </w:t>
      </w:r>
    </w:p>
    <w:p>
      <w:pPr>
        <w:pStyle w:val="9"/>
        <w:ind w:left="0" w:leftChars="0" w:firstLine="0" w:firstLineChars="0"/>
        <w:rPr>
          <w:rFonts w:hint="eastAsia" w:ascii="宋体" w:hAnsi="宋体" w:eastAsia="宋体" w:cs="宋体"/>
          <w:color w:val="auto"/>
          <w:sz w:val="24"/>
          <w:szCs w:val="24"/>
          <w:highlight w:val="none"/>
          <w:lang w:val="en-US" w:eastAsia="zh-CN"/>
        </w:rPr>
      </w:pPr>
    </w:p>
    <w:p>
      <w:pPr>
        <w:pStyle w:val="9"/>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pPr>
        <w:rPr>
          <w:rFonts w:hint="eastAsia" w:ascii="宋体" w:hAnsi="宋体" w:eastAsia="宋体" w:cs="宋体"/>
          <w:color w:val="auto"/>
          <w:sz w:val="24"/>
          <w:szCs w:val="24"/>
          <w:highlight w:val="none"/>
        </w:rPr>
      </w:pPr>
    </w:p>
    <w:p>
      <w:pPr>
        <w:pStyle w:val="9"/>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pPr>
        <w:pStyle w:val="9"/>
        <w:rPr>
          <w:rFonts w:hint="eastAsia" w:ascii="宋体" w:hAnsi="宋体" w:eastAsia="宋体" w:cs="宋体"/>
          <w:color w:val="auto"/>
          <w:sz w:val="24"/>
          <w:szCs w:val="24"/>
          <w:highlight w:val="none"/>
        </w:rPr>
      </w:pPr>
    </w:p>
    <w:p>
      <w:pPr>
        <w:pStyle w:val="9"/>
        <w:ind w:left="0" w:leftChars="0" w:firstLine="1440" w:firstLineChars="6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 </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color w:val="auto"/>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此表为《</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一览表(首次报价表)》的报价明细表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lang w:val="en-US" w:eastAsia="zh-CN" w:bidi="ar"/>
        </w:rPr>
        <w:t>具体内容及所需的表格，以</w:t>
      </w:r>
      <w:r>
        <w:rPr>
          <w:rFonts w:hint="eastAsia" w:cs="宋体"/>
          <w:color w:val="auto"/>
          <w:kern w:val="0"/>
          <w:sz w:val="24"/>
          <w:szCs w:val="24"/>
          <w:highlight w:val="none"/>
          <w:lang w:val="en-US" w:eastAsia="zh-CN" w:bidi="ar"/>
        </w:rPr>
        <w:t>磋商</w:t>
      </w:r>
      <w:r>
        <w:rPr>
          <w:rFonts w:hint="eastAsia" w:ascii="宋体" w:hAnsi="宋体" w:eastAsia="宋体" w:cs="宋体"/>
          <w:color w:val="auto"/>
          <w:kern w:val="0"/>
          <w:sz w:val="24"/>
          <w:szCs w:val="24"/>
          <w:highlight w:val="none"/>
          <w:lang w:val="en-US" w:eastAsia="zh-CN" w:bidi="ar"/>
        </w:rPr>
        <w:t>文件的“附件</w:t>
      </w:r>
      <w:r>
        <w:rPr>
          <w:rFonts w:hint="eastAsia"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工程量清单”为准。</w:t>
      </w:r>
    </w:p>
    <w:p>
      <w:pPr>
        <w:rPr>
          <w:rFonts w:hint="eastAsia" w:ascii="宋体" w:hAnsi="宋体" w:eastAsia="宋体" w:cs="宋体"/>
          <w:color w:val="auto"/>
          <w:sz w:val="24"/>
          <w:szCs w:val="24"/>
          <w:highlight w:val="none"/>
        </w:rPr>
      </w:pPr>
    </w:p>
    <w:p>
      <w:pPr>
        <w:pStyle w:val="9"/>
        <w:ind w:left="0" w:leftChars="0" w:firstLine="0" w:firstLineChars="0"/>
        <w:jc w:val="both"/>
        <w:rPr>
          <w:rFonts w:hint="eastAsia" w:ascii="宋体" w:hAnsi="宋体" w:eastAsia="宋体" w:cs="宋体"/>
          <w:color w:val="auto"/>
          <w:sz w:val="24"/>
          <w:szCs w:val="24"/>
          <w:highlight w:val="none"/>
        </w:rPr>
      </w:pPr>
      <w:r>
        <w:rPr>
          <w:rFonts w:hint="eastAsia" w:ascii="仿宋" w:hAnsi="仿宋" w:eastAsia="仿宋" w:cs="仿宋"/>
          <w:b w:val="0"/>
          <w:bCs w:val="0"/>
          <w:color w:val="auto"/>
          <w:kern w:val="2"/>
          <w:sz w:val="24"/>
          <w:szCs w:val="24"/>
          <w:u w:val="none"/>
          <w:lang w:val="en-US" w:eastAsia="zh-CN" w:bidi="ar-SA"/>
        </w:rPr>
        <w:t>2、</w:t>
      </w:r>
      <w:r>
        <w:rPr>
          <w:rFonts w:hint="eastAsia" w:ascii="宋体" w:hAnsi="宋体" w:eastAsia="宋体" w:cs="宋体"/>
          <w:color w:val="auto"/>
          <w:sz w:val="24"/>
          <w:szCs w:val="24"/>
          <w:highlight w:val="none"/>
          <w:lang w:val="en-US" w:eastAsia="zh-CN" w:bidi="zh-CN"/>
        </w:rPr>
        <w:t>本项目招磋商文件中投标总价单必须由投标单位注册造价工程师签字并盖专用章</w:t>
      </w:r>
    </w:p>
    <w:p>
      <w:pPr>
        <w:rPr>
          <w:rFonts w:hint="eastAsia" w:ascii="宋体" w:hAnsi="宋体" w:eastAsia="宋体" w:cs="宋体"/>
          <w:color w:val="auto"/>
          <w:sz w:val="24"/>
          <w:szCs w:val="24"/>
          <w:highlight w:val="none"/>
        </w:rPr>
      </w:pPr>
    </w:p>
    <w:p>
      <w:pPr>
        <w:pStyle w:val="9"/>
        <w:rPr>
          <w:rFonts w:hint="eastAsia"/>
          <w:color w:val="auto"/>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widowControl/>
        <w:suppressLineNumbers w:val="0"/>
        <w:jc w:val="left"/>
        <w:rPr>
          <w:color w:val="auto"/>
          <w:highlight w:val="none"/>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jc w:val="center"/>
        <w:rPr>
          <w:rFonts w:hint="eastAsia"/>
          <w:sz w:val="48"/>
          <w:szCs w:val="56"/>
          <w:lang w:val="en-US" w:eastAsia="zh-CN"/>
        </w:rPr>
      </w:pPr>
      <w:r>
        <w:rPr>
          <w:rFonts w:hint="eastAsia"/>
          <w:sz w:val="48"/>
          <w:szCs w:val="56"/>
          <w:lang w:val="en-US" w:eastAsia="zh-CN"/>
        </w:rPr>
        <w:t>投标总价单</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w:t>
      </w:r>
      <w:r>
        <w:rPr>
          <w:rFonts w:hint="eastAsia"/>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招标人：</w:t>
      </w:r>
      <w:r>
        <w:rPr>
          <w:rFonts w:hint="eastAsia"/>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工程名称：</w:t>
      </w:r>
      <w:r>
        <w:rPr>
          <w:rFonts w:hint="eastAsia"/>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投标总价：（小写）</w:t>
      </w:r>
      <w:r>
        <w:rPr>
          <w:rFonts w:hint="eastAsia"/>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sz w:val="24"/>
          <w:szCs w:val="32"/>
          <w:u w:val="single"/>
          <w:lang w:val="en-US" w:eastAsia="zh-CN"/>
        </w:rPr>
      </w:pPr>
      <w:r>
        <w:rPr>
          <w:rFonts w:hint="eastAsia"/>
          <w:sz w:val="24"/>
          <w:szCs w:val="32"/>
          <w:lang w:val="en-US" w:eastAsia="zh-CN"/>
        </w:rPr>
        <w:t xml:space="preserve">             （大写） </w:t>
      </w:r>
      <w:r>
        <w:rPr>
          <w:rFonts w:hint="eastAsia"/>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投标人：</w:t>
      </w:r>
      <w:r>
        <w:rPr>
          <w:rFonts w:hint="eastAsia"/>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（单位盖章）</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法定代表人：</w:t>
      </w:r>
      <w:r>
        <w:rPr>
          <w:rFonts w:hint="eastAsia"/>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（盖章）</w:t>
      </w:r>
    </w:p>
    <w:p>
      <w:pPr>
        <w:keepNext w:val="0"/>
        <w:keepLines w:val="0"/>
        <w:pageBreakBefore w:val="0"/>
        <w:widowControl w:val="0"/>
        <w:kinsoku/>
        <w:wordWrap/>
        <w:overflowPunct/>
        <w:topLinePunct w:val="0"/>
        <w:autoSpaceDE/>
        <w:autoSpaceDN/>
        <w:bidi w:val="0"/>
        <w:adjustRightInd/>
        <w:snapToGrid/>
        <w:spacing w:line="700" w:lineRule="exact"/>
        <w:ind w:firstLine="480" w:firstLineChars="200"/>
        <w:textAlignment w:val="auto"/>
        <w:rPr>
          <w:rFonts w:hint="default"/>
          <w:sz w:val="24"/>
          <w:szCs w:val="32"/>
          <w:u w:val="single"/>
          <w:lang w:val="en-US" w:eastAsia="zh-CN"/>
        </w:rPr>
      </w:pPr>
      <w:r>
        <w:rPr>
          <w:rFonts w:hint="eastAsia"/>
          <w:sz w:val="24"/>
          <w:szCs w:val="32"/>
          <w:lang w:val="en-US" w:eastAsia="zh-CN"/>
        </w:rPr>
        <w:t>编制人：</w:t>
      </w:r>
      <w:r>
        <w:rPr>
          <w:rFonts w:hint="eastAsia"/>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sz w:val="24"/>
          <w:szCs w:val="32"/>
          <w:lang w:val="en-US" w:eastAsia="zh-CN"/>
        </w:rPr>
      </w:pPr>
      <w:r>
        <w:rPr>
          <w:rFonts w:hint="eastAsia"/>
          <w:sz w:val="24"/>
          <w:szCs w:val="32"/>
          <w:lang w:val="en-US" w:eastAsia="zh-CN"/>
        </w:rPr>
        <w:t>（造价人员盖专业章）</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240" w:firstLineChars="100"/>
        <w:textAlignment w:val="auto"/>
        <w:rPr>
          <w:rFonts w:hint="default"/>
          <w:sz w:val="24"/>
          <w:szCs w:val="32"/>
          <w:lang w:val="en-US" w:eastAsia="zh-CN"/>
        </w:rPr>
      </w:pPr>
      <w:r>
        <w:rPr>
          <w:rFonts w:hint="eastAsia"/>
          <w:sz w:val="24"/>
          <w:szCs w:val="32"/>
          <w:lang w:val="en-US" w:eastAsia="zh-CN"/>
        </w:rPr>
        <w:t>时间：   年   月    日</w:t>
      </w:r>
    </w:p>
    <w:p>
      <w:pPr>
        <w:pStyle w:val="8"/>
        <w:rPr>
          <w:rFonts w:hint="eastAsia"/>
        </w:rPr>
        <w:sectPr>
          <w:headerReference r:id="rId19" w:type="default"/>
          <w:pgSz w:w="11910" w:h="16840"/>
          <w:pgMar w:top="1984" w:right="1531" w:bottom="2098" w:left="1531" w:header="670" w:footer="1041" w:gutter="0"/>
          <w:cols w:space="720" w:num="1"/>
          <w:rtlGutter w:val="0"/>
          <w:docGrid w:linePitch="1" w:charSpace="0"/>
        </w:sect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b/>
          <w:bCs/>
          <w:color w:val="auto"/>
          <w:sz w:val="36"/>
          <w:szCs w:val="36"/>
          <w:highlight w:val="none"/>
          <w:lang w:val="en-US" w:eastAsia="zh-CN"/>
        </w:rPr>
      </w:pPr>
      <w:bookmarkStart w:id="713" w:name="_Toc10107_WPSOffice_Level1"/>
      <w:r>
        <w:rPr>
          <w:rFonts w:hint="eastAsia"/>
          <w:b/>
          <w:bCs/>
          <w:color w:val="auto"/>
          <w:sz w:val="36"/>
          <w:szCs w:val="36"/>
          <w:highlight w:val="none"/>
          <w:lang w:val="en-US" w:eastAsia="zh-CN"/>
        </w:rPr>
        <w:t>五、供应商认为需要提供的其他资料</w:t>
      </w:r>
      <w:bookmarkEnd w:id="713"/>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widowControl/>
        <w:suppressLineNumbers w:val="0"/>
        <w:jc w:val="left"/>
        <w:rPr>
          <w:color w:val="auto"/>
          <w:highlight w:val="none"/>
        </w:rPr>
      </w:pPr>
      <w:r>
        <w:rPr>
          <w:rFonts w:hint="eastAsia" w:ascii="宋体" w:hAnsi="宋体" w:eastAsia="宋体" w:cs="宋体"/>
          <w:b/>
          <w:bCs/>
          <w:color w:val="auto"/>
          <w:kern w:val="0"/>
          <w:sz w:val="28"/>
          <w:szCs w:val="28"/>
          <w:highlight w:val="none"/>
          <w:lang w:val="en-US" w:eastAsia="zh-CN" w:bidi="ar"/>
        </w:rPr>
        <w:t xml:space="preserve"> </w:t>
      </w:r>
    </w:p>
    <w:p>
      <w:pPr>
        <w:keepNext w:val="0"/>
        <w:keepLines w:val="0"/>
        <w:widowControl/>
        <w:suppressLineNumbers w:val="0"/>
        <w:ind w:firstLine="480" w:firstLineChars="20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供应商认为需要提供的其他证明文件或图片、文字说明等其他资料。 </w:t>
      </w:r>
    </w:p>
    <w:p>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注：本项内容由供应商根据本磋商文件的内容自行决定。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供应商法定代表人（或法定代表人授权代表）签字或签章： </w:t>
      </w:r>
    </w:p>
    <w:p>
      <w:pPr>
        <w:keepNext w:val="0"/>
        <w:keepLines w:val="0"/>
        <w:widowControl/>
        <w:suppressLineNumbers w:val="0"/>
        <w:jc w:val="left"/>
        <w:rPr>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供应商名称（盖公章）：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b/>
          <w:bCs/>
          <w:color w:val="auto"/>
          <w:sz w:val="36"/>
          <w:szCs w:val="36"/>
          <w:highlight w:val="none"/>
          <w:lang w:val="en-US" w:eastAsia="zh-CN"/>
        </w:rPr>
      </w:pPr>
      <w:bookmarkStart w:id="714" w:name="_Toc27321_WPSOffice_Level1"/>
      <w:r>
        <w:rPr>
          <w:rFonts w:hint="eastAsia"/>
          <w:b/>
          <w:bCs/>
          <w:color w:val="auto"/>
          <w:sz w:val="36"/>
          <w:szCs w:val="36"/>
          <w:highlight w:val="none"/>
          <w:lang w:val="en-US" w:eastAsia="zh-CN"/>
        </w:rPr>
        <w:t>六、其他文件格式</w:t>
      </w:r>
      <w:bookmarkEnd w:id="714"/>
    </w:p>
    <w:p>
      <w:pPr>
        <w:pStyle w:val="15"/>
        <w:rPr>
          <w:rFonts w:hint="eastAsia" w:ascii="宋体" w:hAnsi="宋体" w:eastAsia="宋体" w:cs="宋体"/>
          <w:color w:val="auto"/>
          <w:sz w:val="24"/>
          <w:szCs w:val="24"/>
          <w:highlight w:val="none"/>
        </w:rPr>
      </w:pPr>
    </w:p>
    <w:p>
      <w:pPr>
        <w:pStyle w:val="26"/>
        <w:bidi w:val="0"/>
        <w:jc w:val="center"/>
        <w:rPr>
          <w:rFonts w:hint="eastAsia" w:ascii="宋体" w:hAnsi="宋体" w:eastAsia="宋体" w:cs="宋体"/>
          <w:b/>
          <w:bCs/>
          <w:color w:val="auto"/>
          <w:sz w:val="30"/>
          <w:szCs w:val="30"/>
          <w:highlight w:val="none"/>
          <w:lang w:val="en-US" w:eastAsia="zh-CN"/>
        </w:rPr>
      </w:pPr>
      <w:r>
        <w:rPr>
          <w:rFonts w:hint="eastAsia" w:cs="宋体"/>
          <w:b/>
          <w:color w:val="auto"/>
          <w:kern w:val="0"/>
          <w:sz w:val="30"/>
          <w:szCs w:val="30"/>
          <w:highlight w:val="none"/>
          <w:lang w:val="en-US" w:eastAsia="zh-CN" w:bidi="zh-CN"/>
        </w:rPr>
        <w:t>6</w:t>
      </w:r>
      <w:r>
        <w:rPr>
          <w:rFonts w:hint="eastAsia" w:ascii="宋体" w:hAnsi="宋体" w:eastAsia="宋体" w:cs="宋体"/>
          <w:b/>
          <w:color w:val="auto"/>
          <w:kern w:val="0"/>
          <w:sz w:val="30"/>
          <w:szCs w:val="30"/>
          <w:highlight w:val="none"/>
          <w:lang w:val="en-US" w:eastAsia="zh-CN" w:bidi="zh-CN"/>
        </w:rPr>
        <w:t>.</w:t>
      </w:r>
      <w:r>
        <w:rPr>
          <w:rFonts w:hint="eastAsia" w:cs="宋体"/>
          <w:b/>
          <w:color w:val="auto"/>
          <w:kern w:val="0"/>
          <w:sz w:val="30"/>
          <w:szCs w:val="30"/>
          <w:highlight w:val="none"/>
          <w:lang w:val="en-US" w:eastAsia="zh-CN" w:bidi="zh-CN"/>
        </w:rPr>
        <w:t>1</w:t>
      </w:r>
      <w:r>
        <w:rPr>
          <w:rFonts w:hint="eastAsia" w:ascii="宋体" w:hAnsi="宋体" w:eastAsia="宋体" w:cs="宋体"/>
          <w:b/>
          <w:color w:val="auto"/>
          <w:kern w:val="0"/>
          <w:sz w:val="30"/>
          <w:szCs w:val="30"/>
          <w:highlight w:val="none"/>
          <w:lang w:val="en-US" w:eastAsia="zh-CN" w:bidi="zh-CN"/>
        </w:rPr>
        <w:t xml:space="preserve"> 法定代表人授权委托书</w:t>
      </w:r>
      <w:r>
        <w:rPr>
          <w:rFonts w:hint="eastAsia" w:ascii="宋体" w:hAnsi="宋体" w:eastAsia="宋体" w:cs="宋体"/>
          <w:b/>
          <w:bCs/>
          <w:color w:val="auto"/>
          <w:sz w:val="30"/>
          <w:szCs w:val="30"/>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本授权委托书声明：注册于</w:t>
      </w:r>
      <w:r>
        <w:rPr>
          <w:rFonts w:hint="eastAsia" w:ascii="宋体" w:hAnsi="宋体" w:eastAsia="宋体" w:cs="宋体"/>
          <w:color w:val="auto"/>
          <w:sz w:val="24"/>
          <w:szCs w:val="24"/>
          <w:highlight w:val="none"/>
          <w:u w:val="single"/>
        </w:rPr>
        <w:t xml:space="preserve"> （供应商地址） </w:t>
      </w:r>
      <w:r>
        <w:rPr>
          <w:rFonts w:hint="eastAsia" w:ascii="宋体" w:hAnsi="宋体" w:eastAsia="宋体" w:cs="宋体"/>
          <w:color w:val="auto"/>
          <w:sz w:val="24"/>
          <w:szCs w:val="24"/>
          <w:highlight w:val="none"/>
        </w:rPr>
        <w:t xml:space="preserve"> 的 </w:t>
      </w:r>
      <w:r>
        <w:rPr>
          <w:rFonts w:hint="eastAsia" w:ascii="宋体" w:hAnsi="宋体" w:eastAsia="宋体" w:cs="宋体"/>
          <w:color w:val="auto"/>
          <w:sz w:val="24"/>
          <w:szCs w:val="24"/>
          <w:highlight w:val="none"/>
          <w:u w:val="single"/>
        </w:rPr>
        <w:t xml:space="preserve"> （供应商名称）    </w:t>
      </w:r>
      <w:r>
        <w:rPr>
          <w:rFonts w:hint="eastAsia" w:ascii="宋体" w:hAnsi="宋体" w:eastAsia="宋体" w:cs="宋体"/>
          <w:color w:val="auto"/>
          <w:sz w:val="24"/>
          <w:szCs w:val="24"/>
          <w:highlight w:val="none"/>
        </w:rPr>
        <w:t>在下面签名的（</w:t>
      </w:r>
      <w:r>
        <w:rPr>
          <w:rFonts w:hint="eastAsia" w:ascii="宋体" w:hAnsi="宋体" w:eastAsia="宋体" w:cs="宋体"/>
          <w:color w:val="auto"/>
          <w:sz w:val="24"/>
          <w:szCs w:val="24"/>
          <w:highlight w:val="none"/>
          <w:u w:val="single"/>
        </w:rPr>
        <w:t>法定代表人姓名、职务</w:t>
      </w:r>
      <w:r>
        <w:rPr>
          <w:rFonts w:hint="eastAsia" w:ascii="宋体" w:hAnsi="宋体" w:eastAsia="宋体" w:cs="宋体"/>
          <w:color w:val="auto"/>
          <w:sz w:val="24"/>
          <w:szCs w:val="24"/>
          <w:highlight w:val="none"/>
        </w:rPr>
        <w:t>），现任我单位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职务，为法定代表人。在此授权（</w:t>
      </w:r>
      <w:r>
        <w:rPr>
          <w:rFonts w:hint="eastAsia" w:ascii="宋体" w:hAnsi="宋体" w:eastAsia="宋体" w:cs="宋体"/>
          <w:color w:val="auto"/>
          <w:sz w:val="24"/>
          <w:szCs w:val="24"/>
          <w:highlight w:val="none"/>
          <w:u w:val="single"/>
        </w:rPr>
        <w:t>被授权人姓名、职务</w:t>
      </w:r>
      <w:r>
        <w:rPr>
          <w:rFonts w:hint="eastAsia" w:ascii="宋体" w:hAnsi="宋体" w:eastAsia="宋体" w:cs="宋体"/>
          <w:color w:val="auto"/>
          <w:sz w:val="24"/>
          <w:szCs w:val="24"/>
          <w:highlight w:val="none"/>
        </w:rPr>
        <w:t>）作为我公司的合法代理人，就（</w:t>
      </w:r>
      <w:r>
        <w:rPr>
          <w:rFonts w:hint="eastAsia" w:ascii="宋体" w:hAnsi="宋体" w:eastAsia="宋体" w:cs="宋体"/>
          <w:color w:val="auto"/>
          <w:sz w:val="24"/>
          <w:szCs w:val="24"/>
          <w:highlight w:val="none"/>
          <w:u w:val="single"/>
        </w:rPr>
        <w:t>采购项目名称、采购项目编号</w:t>
      </w:r>
      <w:r>
        <w:rPr>
          <w:rFonts w:hint="eastAsia" w:ascii="宋体" w:hAnsi="宋体" w:eastAsia="宋体" w:cs="宋体"/>
          <w:color w:val="auto"/>
          <w:sz w:val="24"/>
          <w:szCs w:val="24"/>
          <w:highlight w:val="none"/>
        </w:rPr>
        <w:t>）采购活动相关的响应、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 xml:space="preserve">、合同执行，以我公司的名义处理一切与之有关的事务。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被授权人（供应商授权代表）无转委托权限。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59264" behindDoc="1" locked="0" layoutInCell="1" allowOverlap="1">
                <wp:simplePos x="0" y="0"/>
                <wp:positionH relativeFrom="page">
                  <wp:posOffset>1252855</wp:posOffset>
                </wp:positionH>
                <wp:positionV relativeFrom="paragraph">
                  <wp:posOffset>662940</wp:posOffset>
                </wp:positionV>
                <wp:extent cx="67310" cy="13462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67310" cy="134620"/>
                        </a:xfrm>
                        <a:prstGeom prst="rect">
                          <a:avLst/>
                        </a:prstGeom>
                        <a:noFill/>
                        <a:ln>
                          <a:noFill/>
                        </a:ln>
                      </wps:spPr>
                      <wps:txbx>
                        <w:txbxContent>
                          <w:p>
                            <w:pPr>
                              <w:pStyle w:val="2"/>
                              <w:spacing w:line="211"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98.65pt;margin-top:52.2pt;height:10.6pt;width:5.3pt;mso-position-horizontal-relative:page;z-index:-251657216;mso-width-relative:page;mso-height-relative:page;" filled="f" stroked="f" coordsize="21600,21600" o:gfxdata="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BFAy+jZAAAACwEAAA8AAAAAAAAA&#10;AQAgAAAAIgAAAGRycy9kb3ducmV2LnhtbFBLAQIUABQAAAAIAIdO4kBFz0pSngEAACQDAAAOAAAA&#10;AAAAAAEAIAAAACgBAABkcnMvZTJvRG9jLnhtbFBLBQYAAAAABgAGAFkBAAA4BQAAAAA=&#10;">
                <v:fill on="f" focussize="0,0"/>
                <v:stroke on="f"/>
                <v:imagedata o:title=""/>
                <o:lock v:ext="edit" aspectratio="f"/>
                <v:textbox inset="0mm,0mm,0mm,0mm">
                  <w:txbxContent>
                    <w:p>
                      <w:pPr>
                        <w:pStyle w:val="2"/>
                        <w:spacing w:line="211" w:lineRule="exact"/>
                      </w:pPr>
                      <w:r>
                        <w:rPr>
                          <w:w w:val="100"/>
                        </w:rPr>
                        <w:t xml:space="preserve"> </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2336" behindDoc="1" locked="0" layoutInCell="1" allowOverlap="1">
                <wp:simplePos x="0" y="0"/>
                <wp:positionH relativeFrom="page">
                  <wp:posOffset>3604895</wp:posOffset>
                </wp:positionH>
                <wp:positionV relativeFrom="paragraph">
                  <wp:posOffset>568960</wp:posOffset>
                </wp:positionV>
                <wp:extent cx="2723515" cy="1511300"/>
                <wp:effectExtent l="4445" t="4445" r="15240" b="8255"/>
                <wp:wrapNone/>
                <wp:docPr id="26" name="文本框 26"/>
                <wp:cNvGraphicFramePr/>
                <a:graphic xmlns:a="http://schemas.openxmlformats.org/drawingml/2006/main">
                  <a:graphicData uri="http://schemas.microsoft.com/office/word/2010/wordprocessingShape">
                    <wps:wsp>
                      <wps:cNvSpPr txBox="1"/>
                      <wps:spPr>
                        <a:xfrm>
                          <a:off x="0" y="0"/>
                          <a:ext cx="2723515" cy="1511300"/>
                        </a:xfrm>
                        <a:prstGeom prst="rect">
                          <a:avLst/>
                        </a:prstGeom>
                        <a:noFill/>
                        <a:ln w="9525" cap="flat" cmpd="sng">
                          <a:solidFill>
                            <a:srgbClr val="000000"/>
                          </a:solidFill>
                          <a:prstDash val="solid"/>
                          <a:miter/>
                          <a:headEnd type="none" w="med" len="med"/>
                          <a:tailEnd type="none" w="med" len="med"/>
                        </a:ln>
                      </wps:spPr>
                      <wps:txbx>
                        <w:txbxContent>
                          <w:p>
                            <w:pPr>
                              <w:pStyle w:val="2"/>
                              <w:rPr>
                                <w:sz w:val="20"/>
                              </w:rPr>
                            </w:pPr>
                          </w:p>
                          <w:p>
                            <w:pPr>
                              <w:pStyle w:val="2"/>
                              <w:rPr>
                                <w:sz w:val="20"/>
                              </w:rPr>
                            </w:pPr>
                          </w:p>
                          <w:p>
                            <w:pPr>
                              <w:pStyle w:val="2"/>
                              <w:spacing w:before="1"/>
                              <w:rPr>
                                <w:sz w:val="16"/>
                              </w:rPr>
                            </w:pPr>
                          </w:p>
                          <w:p>
                            <w:pPr>
                              <w:pStyle w:val="2"/>
                              <w:spacing w:line="278" w:lineRule="auto"/>
                              <w:ind w:left="1091" w:right="1498" w:firstLine="314"/>
                            </w:pPr>
                            <w:r>
                              <w:rPr>
                                <w:spacing w:val="-1"/>
                              </w:rPr>
                              <w:t xml:space="preserve">法定代表人  </w:t>
                            </w:r>
                            <w:r>
                              <w:rPr>
                                <w:spacing w:val="-5"/>
                              </w:rPr>
                              <w:t>居民身份证复印件</w:t>
                            </w:r>
                          </w:p>
                          <w:p>
                            <w:pPr>
                              <w:pStyle w:val="2"/>
                              <w:spacing w:before="4"/>
                              <w:rPr>
                                <w:sz w:val="24"/>
                              </w:rPr>
                            </w:pPr>
                          </w:p>
                          <w:p>
                            <w:pPr>
                              <w:pStyle w:val="2"/>
                              <w:spacing w:before="1"/>
                              <w:ind w:left="1405"/>
                            </w:pPr>
                            <w:r>
                              <w:t>（反面）</w:t>
                            </w:r>
                          </w:p>
                        </w:txbxContent>
                      </wps:txbx>
                      <wps:bodyPr lIns="0" tIns="0" rIns="0" bIns="0" upright="1"/>
                    </wps:wsp>
                  </a:graphicData>
                </a:graphic>
              </wp:anchor>
            </w:drawing>
          </mc:Choice>
          <mc:Fallback>
            <w:pict>
              <v:shape id="_x0000_s1026" o:spid="_x0000_s1026" o:spt="202" type="#_x0000_t202" style="position:absolute;left:0pt;margin-left:283.85pt;margin-top:44.8pt;height:119pt;width:214.45pt;mso-position-horizontal-relative:page;z-index:-251654144;mso-width-relative:page;mso-height-relative:page;" filled="f" stroked="t" coordsize="21600,21600" o:gfxdata="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VAtZdoAAAAKAQAADwAAAAAAAAABACAAAAAiAAAAZHJzL2Rvd25y&#10;ZXYueG1sUEsBAhQAFAAAAAgAh07iQKU1KA38AQAA5gMAAA4AAAAAAAAAAQAgAAAAKQEAAGRycy9l&#10;Mm9Eb2MueG1sUEsFBgAAAAAGAAYAWQEAAJcFAAAAAA==&#10;">
                <v:fill on="f" focussize="0,0"/>
                <v:stroke color="#000000" joinstyle="miter"/>
                <v:imagedata o:title=""/>
                <o:lock v:ext="edit" aspectratio="f"/>
                <v:textbox inset="0mm,0mm,0mm,0mm">
                  <w:txbxContent>
                    <w:p>
                      <w:pPr>
                        <w:pStyle w:val="2"/>
                        <w:rPr>
                          <w:sz w:val="20"/>
                        </w:rPr>
                      </w:pPr>
                    </w:p>
                    <w:p>
                      <w:pPr>
                        <w:pStyle w:val="2"/>
                        <w:rPr>
                          <w:sz w:val="20"/>
                        </w:rPr>
                      </w:pPr>
                    </w:p>
                    <w:p>
                      <w:pPr>
                        <w:pStyle w:val="2"/>
                        <w:spacing w:before="1"/>
                        <w:rPr>
                          <w:sz w:val="16"/>
                        </w:rPr>
                      </w:pPr>
                    </w:p>
                    <w:p>
                      <w:pPr>
                        <w:pStyle w:val="2"/>
                        <w:spacing w:line="278" w:lineRule="auto"/>
                        <w:ind w:left="1091" w:right="1498" w:firstLine="314"/>
                      </w:pPr>
                      <w:r>
                        <w:rPr>
                          <w:spacing w:val="-1"/>
                        </w:rPr>
                        <w:t xml:space="preserve">法定代表人  </w:t>
                      </w:r>
                      <w:r>
                        <w:rPr>
                          <w:spacing w:val="-5"/>
                        </w:rPr>
                        <w:t>居民身份证复印件</w:t>
                      </w:r>
                    </w:p>
                    <w:p>
                      <w:pPr>
                        <w:pStyle w:val="2"/>
                        <w:spacing w:before="4"/>
                        <w:rPr>
                          <w:sz w:val="24"/>
                        </w:rPr>
                      </w:pPr>
                    </w:p>
                    <w:p>
                      <w:pPr>
                        <w:pStyle w:val="2"/>
                        <w:spacing w:before="1"/>
                        <w:ind w:left="1405"/>
                      </w:pPr>
                      <w:r>
                        <w:t>（反面）</w:t>
                      </w:r>
                    </w:p>
                  </w:txbxContent>
                </v:textbox>
              </v:shape>
            </w:pict>
          </mc:Fallback>
        </mc:AlternateContent>
      </w:r>
      <w:r>
        <w:rPr>
          <w:rFonts w:hint="eastAsia" w:ascii="宋体" w:hAnsi="宋体" w:eastAsia="宋体" w:cs="宋体"/>
          <w:color w:val="auto"/>
          <w:sz w:val="24"/>
          <w:szCs w:val="24"/>
          <w:highlight w:val="none"/>
        </w:rPr>
        <w:t>本授权书自法定代表人签字之日起生效，特此声明。</w:t>
      </w: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1312" behindDoc="1" locked="0" layoutInCell="1" allowOverlap="1">
                <wp:simplePos x="0" y="0"/>
                <wp:positionH relativeFrom="page">
                  <wp:posOffset>789940</wp:posOffset>
                </wp:positionH>
                <wp:positionV relativeFrom="paragraph">
                  <wp:posOffset>274955</wp:posOffset>
                </wp:positionV>
                <wp:extent cx="2724150" cy="1539240"/>
                <wp:effectExtent l="0" t="635" r="635" b="3175"/>
                <wp:wrapNone/>
                <wp:docPr id="10" name="组合 10"/>
                <wp:cNvGraphicFramePr/>
                <a:graphic xmlns:a="http://schemas.openxmlformats.org/drawingml/2006/main">
                  <a:graphicData uri="http://schemas.microsoft.com/office/word/2010/wordprocessingGroup">
                    <wpg:wgp>
                      <wpg:cNvGrpSpPr/>
                      <wpg:grpSpPr>
                        <a:xfrm>
                          <a:off x="0" y="0"/>
                          <a:ext cx="2724150" cy="1539240"/>
                          <a:chOff x="1214" y="889"/>
                          <a:chExt cx="4290" cy="2769"/>
                        </a:xfrm>
                      </wpg:grpSpPr>
                      <wps:wsp>
                        <wps:cNvPr id="8" name="矩形 8"/>
                        <wps:cNvSpPr/>
                        <wps:spPr>
                          <a:xfrm>
                            <a:off x="1222" y="896"/>
                            <a:ext cx="4275" cy="2754"/>
                          </a:xfrm>
                          <a:prstGeom prst="rect">
                            <a:avLst/>
                          </a:prstGeom>
                          <a:solidFill>
                            <a:srgbClr val="FFFFFF"/>
                          </a:solidFill>
                          <a:ln>
                            <a:noFill/>
                          </a:ln>
                        </wps:spPr>
                        <wps:bodyPr upright="1"/>
                      </wps:wsp>
                      <wps:wsp>
                        <wps:cNvPr id="9" name="文本框 9"/>
                        <wps:cNvSpPr txBox="1"/>
                        <wps:spPr>
                          <a:xfrm>
                            <a:off x="1222" y="896"/>
                            <a:ext cx="4275" cy="2754"/>
                          </a:xfrm>
                          <a:prstGeom prst="rect">
                            <a:avLst/>
                          </a:prstGeom>
                          <a:noFill/>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0" w:line="240" w:lineRule="auto"/>
                                <w:rPr>
                                  <w:sz w:val="20"/>
                                </w:rPr>
                              </w:pPr>
                            </w:p>
                            <w:p>
                              <w:pPr>
                                <w:spacing w:before="1" w:line="240" w:lineRule="auto"/>
                                <w:rPr>
                                  <w:sz w:val="16"/>
                                </w:rPr>
                              </w:pPr>
                            </w:p>
                            <w:p>
                              <w:pPr>
                                <w:spacing w:before="0" w:line="278" w:lineRule="auto"/>
                                <w:ind w:left="1194" w:right="1380" w:firstLine="314"/>
                                <w:jc w:val="left"/>
                                <w:rPr>
                                  <w:sz w:val="21"/>
                                </w:rPr>
                              </w:pPr>
                              <w:r>
                                <w:rPr>
                                  <w:spacing w:val="-1"/>
                                  <w:sz w:val="21"/>
                                </w:rPr>
                                <w:t xml:space="preserve">法定代表人  </w:t>
                              </w:r>
                              <w:r>
                                <w:rPr>
                                  <w:spacing w:val="-5"/>
                                  <w:sz w:val="21"/>
                                </w:rPr>
                                <w:t>居民身份证复印件</w:t>
                              </w:r>
                            </w:p>
                            <w:p>
                              <w:pPr>
                                <w:spacing w:before="4" w:line="240" w:lineRule="auto"/>
                                <w:rPr>
                                  <w:sz w:val="24"/>
                                </w:rPr>
                              </w:pPr>
                            </w:p>
                            <w:p>
                              <w:pPr>
                                <w:spacing w:before="1"/>
                                <w:ind w:left="1491" w:right="1888" w:firstLine="0"/>
                                <w:jc w:val="center"/>
                                <w:rPr>
                                  <w:sz w:val="21"/>
                                </w:rPr>
                              </w:pPr>
                              <w:r>
                                <w:rPr>
                                  <w:sz w:val="21"/>
                                </w:rPr>
                                <w:t>（</w:t>
                              </w:r>
                              <w:r>
                                <w:rPr>
                                  <w:spacing w:val="-2"/>
                                  <w:sz w:val="21"/>
                                </w:rPr>
                                <w:t>正面</w:t>
                              </w:r>
                              <w:r>
                                <w:rPr>
                                  <w:sz w:val="21"/>
                                </w:rPr>
                                <w:t>）</w:t>
                              </w:r>
                            </w:p>
                          </w:txbxContent>
                        </wps:txbx>
                        <wps:bodyPr lIns="0" tIns="0" rIns="0" bIns="0" upright="1"/>
                      </wps:wsp>
                    </wpg:wgp>
                  </a:graphicData>
                </a:graphic>
              </wp:anchor>
            </w:drawing>
          </mc:Choice>
          <mc:Fallback>
            <w:pict>
              <v:group id="_x0000_s1026" o:spid="_x0000_s1026" o:spt="203" style="position:absolute;left:0pt;margin-left:62.2pt;margin-top:21.65pt;height:121.2pt;width:214.5pt;mso-position-horizontal-relative:page;z-index:-251655168;mso-width-relative:page;mso-height-relative:page;" coordorigin="1214,889" coordsize="4290,2769" o:gfxdata="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BKEyLB2QAAAAoBAAAPAAAAAAAAAAEAIAAAACIAAABkcnMvZG93&#10;bnJldi54bWxQSwECFAAUAAAACACHTuJACAdrKaoCAACWBgAADgAAAAAAAAABACAAAAAoAQAAZHJz&#10;L2Uyb0RvYy54bWxQSwUGAAAAAAYABgBZAQAARAYAAAAA&#10;">
                <o:lock v:ext="edit" aspectratio="f"/>
                <v:rect id="_x0000_s1026" o:spid="_x0000_s1026" o:spt="1" style="position:absolute;left:1222;top:896;height:2754;width:4275;" fillcolor="#FFFFFF" filled="t" stroked="f" coordsize="21600,21600" o:gfxdata="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5217+5AAAA2gAA&#10;AA8AAAAAAAAAAQAgAAAAIgAAAGRycy9kb3ducmV2LnhtbFBLAQIUABQAAAAIAIdO4kAzLwWeOwAA&#10;ADkAAAAQAAAAAAAAAAEAIAAAAAgBAABkcnMvc2hhcGV4bWwueG1sUEsFBgAAAAAGAAYAWwEAALID&#10;AAAAAA==&#10;">
                  <v:fill on="t" focussize="0,0"/>
                  <v:stroke on="f"/>
                  <v:imagedata o:title=""/>
                  <o:lock v:ext="edit" aspectratio="f"/>
                </v:rect>
                <v:shape id="_x0000_s1026" o:spid="_x0000_s1026" o:spt="202" type="#_x0000_t202" style="position:absolute;left:1222;top:896;height:2754;width:4275;" filled="f" stroked="t" coordsize="21600,21600" o:gfxdata="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5nmXu8AAAA&#10;2gAAAA8AAAAAAAAAAQAgAAAAIgAAAGRycy9kb3ducmV2LnhtbFBLAQIUABQAAAAIAIdO4kAzLwWe&#10;OwAAADkAAAAQAAAAAAAAAAEAIAAAAAsBAABkcnMvc2hhcGV4bWwueG1sUEsFBgAAAAAGAAYAWwEA&#10;ALUDAAAAAA==&#10;">
                  <v:fill on="f" focussize="0,0"/>
                  <v:stroke color="#000000" joinstyle="miter"/>
                  <v:imagedata o:title=""/>
                  <o:lock v:ext="edit" aspectratio="f"/>
                  <v:textbox inset="0mm,0mm,0mm,0mm">
                    <w:txbxContent>
                      <w:p>
                        <w:pPr>
                          <w:spacing w:before="0" w:line="240" w:lineRule="auto"/>
                          <w:rPr>
                            <w:sz w:val="20"/>
                          </w:rPr>
                        </w:pPr>
                      </w:p>
                      <w:p>
                        <w:pPr>
                          <w:spacing w:before="0" w:line="240" w:lineRule="auto"/>
                          <w:rPr>
                            <w:sz w:val="20"/>
                          </w:rPr>
                        </w:pPr>
                      </w:p>
                      <w:p>
                        <w:pPr>
                          <w:spacing w:before="1" w:line="240" w:lineRule="auto"/>
                          <w:rPr>
                            <w:sz w:val="16"/>
                          </w:rPr>
                        </w:pPr>
                      </w:p>
                      <w:p>
                        <w:pPr>
                          <w:spacing w:before="0" w:line="278" w:lineRule="auto"/>
                          <w:ind w:left="1194" w:right="1380" w:firstLine="314"/>
                          <w:jc w:val="left"/>
                          <w:rPr>
                            <w:sz w:val="21"/>
                          </w:rPr>
                        </w:pPr>
                        <w:r>
                          <w:rPr>
                            <w:spacing w:val="-1"/>
                            <w:sz w:val="21"/>
                          </w:rPr>
                          <w:t xml:space="preserve">法定代表人  </w:t>
                        </w:r>
                        <w:r>
                          <w:rPr>
                            <w:spacing w:val="-5"/>
                            <w:sz w:val="21"/>
                          </w:rPr>
                          <w:t>居民身份证复印件</w:t>
                        </w:r>
                      </w:p>
                      <w:p>
                        <w:pPr>
                          <w:spacing w:before="4" w:line="240" w:lineRule="auto"/>
                          <w:rPr>
                            <w:sz w:val="24"/>
                          </w:rPr>
                        </w:pPr>
                      </w:p>
                      <w:p>
                        <w:pPr>
                          <w:spacing w:before="1"/>
                          <w:ind w:left="1491" w:right="1888" w:firstLine="0"/>
                          <w:jc w:val="center"/>
                          <w:rPr>
                            <w:sz w:val="21"/>
                          </w:rPr>
                        </w:pPr>
                        <w:r>
                          <w:rPr>
                            <w:sz w:val="21"/>
                          </w:rPr>
                          <w:t>（</w:t>
                        </w:r>
                        <w:r>
                          <w:rPr>
                            <w:spacing w:val="-2"/>
                            <w:sz w:val="21"/>
                          </w:rPr>
                          <w:t>正面</w:t>
                        </w:r>
                        <w:r>
                          <w:rPr>
                            <w:sz w:val="21"/>
                          </w:rPr>
                          <w:t>）</w:t>
                        </w:r>
                      </w:p>
                    </w:txbxContent>
                  </v:textbox>
                </v:shape>
              </v:group>
            </w:pict>
          </mc:Fallback>
        </mc:AlternateContent>
      </w:r>
      <w:r>
        <w:rPr>
          <w:rFonts w:hint="eastAsia" w:ascii="宋体" w:hAnsi="宋体" w:eastAsia="宋体" w:cs="宋体"/>
          <w:b/>
          <w:bCs/>
          <w:color w:val="auto"/>
          <w:sz w:val="24"/>
          <w:szCs w:val="24"/>
          <w:highlight w:val="none"/>
        </w:rPr>
        <w:t>附：法定代表人身份证复印件</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7456" behindDoc="1" locked="0" layoutInCell="1" allowOverlap="1">
                <wp:simplePos x="0" y="0"/>
                <wp:positionH relativeFrom="page">
                  <wp:posOffset>695960</wp:posOffset>
                </wp:positionH>
                <wp:positionV relativeFrom="paragraph">
                  <wp:posOffset>293370</wp:posOffset>
                </wp:positionV>
                <wp:extent cx="2834005" cy="1572260"/>
                <wp:effectExtent l="635" t="635" r="3810" b="8255"/>
                <wp:wrapTopAndBottom/>
                <wp:docPr id="13" name="组合 13"/>
                <wp:cNvGraphicFramePr/>
                <a:graphic xmlns:a="http://schemas.openxmlformats.org/drawingml/2006/main">
                  <a:graphicData uri="http://schemas.microsoft.com/office/word/2010/wordprocessingGroup">
                    <wpg:wgp>
                      <wpg:cNvGrpSpPr/>
                      <wpg:grpSpPr>
                        <a:xfrm>
                          <a:off x="0" y="0"/>
                          <a:ext cx="2834005" cy="1572260"/>
                          <a:chOff x="1097" y="462"/>
                          <a:chExt cx="4463" cy="2790"/>
                        </a:xfrm>
                      </wpg:grpSpPr>
                      <wps:wsp>
                        <wps:cNvPr id="11" name="矩形 11"/>
                        <wps:cNvSpPr/>
                        <wps:spPr>
                          <a:xfrm>
                            <a:off x="1104" y="469"/>
                            <a:ext cx="4448" cy="2775"/>
                          </a:xfrm>
                          <a:prstGeom prst="rect">
                            <a:avLst/>
                          </a:prstGeom>
                          <a:solidFill>
                            <a:srgbClr val="FFFFFF"/>
                          </a:solidFill>
                          <a:ln>
                            <a:noFill/>
                          </a:ln>
                        </wps:spPr>
                        <wps:bodyPr upright="1"/>
                      </wps:wsp>
                      <wps:wsp>
                        <wps:cNvPr id="12" name="文本框 12"/>
                        <wps:cNvSpPr txBox="1"/>
                        <wps:spPr>
                          <a:xfrm>
                            <a:off x="1104" y="469"/>
                            <a:ext cx="4448" cy="2775"/>
                          </a:xfrm>
                          <a:prstGeom prst="rect">
                            <a:avLst/>
                          </a:prstGeom>
                          <a:noFill/>
                          <a:ln w="9525" cap="flat" cmpd="sng">
                            <a:solidFill>
                              <a:srgbClr val="000000"/>
                            </a:solidFill>
                            <a:prstDash val="solid"/>
                            <a:miter/>
                            <a:headEnd type="none" w="med" len="med"/>
                            <a:tailEnd type="none" w="med" len="med"/>
                          </a:ln>
                        </wps:spPr>
                        <wps:txbx>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wps:txbx>
                        <wps:bodyPr lIns="0" tIns="0" rIns="0" bIns="0" upright="1"/>
                      </wps:wsp>
                    </wpg:wgp>
                  </a:graphicData>
                </a:graphic>
              </wp:anchor>
            </w:drawing>
          </mc:Choice>
          <mc:Fallback>
            <w:pict>
              <v:group id="_x0000_s1026" o:spid="_x0000_s1026" o:spt="203" style="position:absolute;left:0pt;margin-left:54.8pt;margin-top:23.1pt;height:123.8pt;width:223.15pt;mso-position-horizontal-relative:page;mso-wrap-distance-bottom:0pt;mso-wrap-distance-top:0pt;z-index:-251649024;mso-width-relative:page;mso-height-relative:page;" coordorigin="1097,462" coordsize="4463,2790" o:gfxdata="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23r8J2gAAAAoBAAAPAAAAAAAAAAEAIAAAACIAAABkcnMv&#10;ZG93bnJldi54bWxQSwECFAAUAAAACACHTuJAKfiEcqwCAACaBgAADgAAAAAAAAABACAAAAApAQAA&#10;ZHJzL2Uyb0RvYy54bWxQSwUGAAAAAAYABgBZAQAARwYAAAAA&#10;">
                <o:lock v:ext="edit" aspectratio="f"/>
                <v:rect id="_x0000_s1026" o:spid="_x0000_s1026" o:spt="1" style="position:absolute;left:1104;top:469;height:2775;width:4448;" fillcolor="#FFFFFF" filled="t" stroked="f" coordsize="21600,21600" o:gfxdata="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dtsrsAAADb&#10;AAAADwAAAAAAAAABACAAAAAiAAAAZHJzL2Rvd25yZXYueG1sUEsBAhQAFAAAAAgAh07iQDMvBZ47&#10;AAAAOQAAABAAAAAAAAAAAQAgAAAACgEAAGRycy9zaGFwZXhtbC54bWxQSwUGAAAAAAYABgBbAQAA&#10;tAMAAAAA&#10;">
                  <v:fill on="t" focussize="0,0"/>
                  <v:stroke on="f"/>
                  <v:imagedata o:title=""/>
                  <o:lock v:ext="edit" aspectratio="f"/>
                </v:rect>
                <v:shape id="_x0000_s1026" o:spid="_x0000_s1026" o:spt="202" type="#_x0000_t202" style="position:absolute;left:1104;top:469;height:2775;width:4448;" filled="f" stroked="t" coordsize="21600,21600" o:gfxdata="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cXfOugAAANs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rFonts w:ascii="微软雅黑"/>
                            <w:b/>
                            <w:sz w:val="20"/>
                          </w:rPr>
                        </w:pPr>
                      </w:p>
                      <w:p>
                        <w:pPr>
                          <w:spacing w:before="1" w:line="240" w:lineRule="auto"/>
                          <w:rPr>
                            <w:rFonts w:ascii="微软雅黑"/>
                            <w:b/>
                            <w:sz w:val="19"/>
                          </w:rPr>
                        </w:pPr>
                      </w:p>
                      <w:p>
                        <w:pPr>
                          <w:spacing w:before="0" w:line="278" w:lineRule="auto"/>
                          <w:ind w:left="1166" w:right="1161" w:firstLine="0"/>
                          <w:jc w:val="center"/>
                          <w:rPr>
                            <w:sz w:val="21"/>
                          </w:rPr>
                        </w:pPr>
                        <w:r>
                          <w:rPr>
                            <w:sz w:val="21"/>
                          </w:rPr>
                          <w:t>被授权人（授权代表） 居民身份证复印件</w:t>
                        </w:r>
                      </w:p>
                      <w:p>
                        <w:pPr>
                          <w:spacing w:before="16" w:line="240" w:lineRule="auto"/>
                          <w:rPr>
                            <w:rFonts w:ascii="微软雅黑"/>
                            <w:b/>
                            <w:sz w:val="16"/>
                          </w:rPr>
                        </w:pPr>
                      </w:p>
                      <w:p>
                        <w:pPr>
                          <w:spacing w:before="1"/>
                          <w:ind w:left="1161" w:right="1161" w:firstLine="0"/>
                          <w:jc w:val="center"/>
                          <w:rPr>
                            <w:sz w:val="21"/>
                          </w:rPr>
                        </w:pPr>
                        <w:r>
                          <w:rPr>
                            <w:sz w:val="21"/>
                          </w:rPr>
                          <w:t>（正面）</w:t>
                        </w:r>
                      </w:p>
                    </w:txbxContent>
                  </v:textbox>
                </v:shape>
                <w10:wrap type="topAndBottom"/>
              </v:group>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8480" behindDoc="1" locked="0" layoutInCell="1" allowOverlap="1">
                <wp:simplePos x="0" y="0"/>
                <wp:positionH relativeFrom="page">
                  <wp:posOffset>3603625</wp:posOffset>
                </wp:positionH>
                <wp:positionV relativeFrom="paragraph">
                  <wp:posOffset>297815</wp:posOffset>
                </wp:positionV>
                <wp:extent cx="2824480" cy="1591310"/>
                <wp:effectExtent l="4445" t="4445" r="9525" b="23495"/>
                <wp:wrapTopAndBottom/>
                <wp:docPr id="23" name="文本框 23"/>
                <wp:cNvGraphicFramePr/>
                <a:graphic xmlns:a="http://schemas.openxmlformats.org/drawingml/2006/main">
                  <a:graphicData uri="http://schemas.microsoft.com/office/word/2010/wordprocessingShape">
                    <wps:wsp>
                      <wps:cNvSpPr txBox="1"/>
                      <wps:spPr>
                        <a:xfrm>
                          <a:off x="0" y="0"/>
                          <a:ext cx="2824480" cy="1591310"/>
                        </a:xfrm>
                        <a:prstGeom prst="rect">
                          <a:avLst/>
                        </a:prstGeom>
                        <a:noFill/>
                        <a:ln w="9525" cap="flat" cmpd="sng">
                          <a:solidFill>
                            <a:srgbClr val="000000"/>
                          </a:solidFill>
                          <a:prstDash val="solid"/>
                          <a:miter/>
                          <a:headEnd type="none" w="med" len="med"/>
                          <a:tailEnd type="none" w="med" len="med"/>
                        </a:ln>
                      </wps:spPr>
                      <wps:txbx>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pPr>
                            <w:r>
                              <w:t>被授权人（授权代表） 居民身份证复印件</w:t>
                            </w:r>
                          </w:p>
                          <w:p>
                            <w:pPr>
                              <w:pStyle w:val="2"/>
                              <w:spacing w:before="16"/>
                              <w:rPr>
                                <w:rFonts w:ascii="微软雅黑"/>
                                <w:b/>
                                <w:sz w:val="16"/>
                              </w:rPr>
                            </w:pPr>
                          </w:p>
                          <w:p>
                            <w:pPr>
                              <w:pStyle w:val="2"/>
                              <w:spacing w:before="1"/>
                              <w:ind w:left="1165" w:right="1161"/>
                              <w:jc w:val="center"/>
                            </w:pPr>
                            <w:r>
                              <w:t>（反面）</w:t>
                            </w:r>
                          </w:p>
                        </w:txbxContent>
                      </wps:txbx>
                      <wps:bodyPr lIns="0" tIns="0" rIns="0" bIns="0" upright="1"/>
                    </wps:wsp>
                  </a:graphicData>
                </a:graphic>
              </wp:anchor>
            </w:drawing>
          </mc:Choice>
          <mc:Fallback>
            <w:pict>
              <v:shape id="_x0000_s1026" o:spid="_x0000_s1026" o:spt="202" type="#_x0000_t202" style="position:absolute;left:0pt;margin-left:283.75pt;margin-top:23.45pt;height:125.3pt;width:222.4pt;mso-position-horizontal-relative:page;mso-wrap-distance-bottom:0pt;mso-wrap-distance-top:0pt;z-index:-251648000;mso-width-relative:page;mso-height-relative:page;" filled="f" stroked="t" coordsize="21600,21600" o:gfxdata="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XnBpw2wAAAAsBAAAPAAAAAAAAAAEAIAAAACIAAABkcnMvZG93&#10;bnJldi54bWxQSwECFAAUAAAACACHTuJAk6vwe/0BAADmAwAADgAAAAAAAAABACAAAAAqAQAAZHJz&#10;L2Uyb0RvYy54bWxQSwUGAAAAAAYABgBZAQAAmQUAAAAA&#10;">
                <v:fill on="f" focussize="0,0"/>
                <v:stroke color="#000000" joinstyle="miter"/>
                <v:imagedata o:title=""/>
                <o:lock v:ext="edit" aspectratio="f"/>
                <v:textbox inset="0mm,0mm,0mm,0mm">
                  <w:txbxContent>
                    <w:p>
                      <w:pPr>
                        <w:pStyle w:val="2"/>
                        <w:rPr>
                          <w:rFonts w:ascii="微软雅黑"/>
                          <w:b/>
                          <w:sz w:val="20"/>
                        </w:rPr>
                      </w:pPr>
                    </w:p>
                    <w:p>
                      <w:pPr>
                        <w:pStyle w:val="2"/>
                        <w:spacing w:before="1"/>
                        <w:rPr>
                          <w:rFonts w:ascii="微软雅黑"/>
                          <w:b/>
                          <w:sz w:val="19"/>
                        </w:rPr>
                      </w:pPr>
                    </w:p>
                    <w:p>
                      <w:pPr>
                        <w:pStyle w:val="2"/>
                        <w:spacing w:line="278" w:lineRule="auto"/>
                        <w:ind w:left="1168" w:right="1159"/>
                        <w:jc w:val="center"/>
                      </w:pPr>
                      <w:r>
                        <w:t>被授权人（授权代表） 居民身份证复印件</w:t>
                      </w:r>
                    </w:p>
                    <w:p>
                      <w:pPr>
                        <w:pStyle w:val="2"/>
                        <w:spacing w:before="16"/>
                        <w:rPr>
                          <w:rFonts w:ascii="微软雅黑"/>
                          <w:b/>
                          <w:sz w:val="16"/>
                        </w:rPr>
                      </w:pPr>
                    </w:p>
                    <w:p>
                      <w:pPr>
                        <w:pStyle w:val="2"/>
                        <w:spacing w:before="1"/>
                        <w:ind w:left="1165" w:right="1161"/>
                        <w:jc w:val="center"/>
                      </w:pPr>
                      <w:r>
                        <w:t>（反面）</w:t>
                      </w:r>
                    </w:p>
                  </w:txbxContent>
                </v:textbox>
                <w10:wrap type="topAndBottom"/>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0288" behindDoc="1" locked="0" layoutInCell="1" allowOverlap="1">
                <wp:simplePos x="0" y="0"/>
                <wp:positionH relativeFrom="page">
                  <wp:posOffset>718820</wp:posOffset>
                </wp:positionH>
                <wp:positionV relativeFrom="paragraph">
                  <wp:posOffset>360680</wp:posOffset>
                </wp:positionV>
                <wp:extent cx="67310" cy="162052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67310" cy="1620520"/>
                        </a:xfrm>
                        <a:prstGeom prst="rect">
                          <a:avLst/>
                        </a:prstGeom>
                        <a:noFill/>
                        <a:ln>
                          <a:noFill/>
                        </a:ln>
                      </wps:spPr>
                      <wps:txbx>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wps:txbx>
                      <wps:bodyPr lIns="0" tIns="0" rIns="0" bIns="0" upright="1"/>
                    </wps:wsp>
                  </a:graphicData>
                </a:graphic>
              </wp:anchor>
            </w:drawing>
          </mc:Choice>
          <mc:Fallback>
            <w:pict>
              <v:shape id="_x0000_s1026" o:spid="_x0000_s1026" o:spt="202" type="#_x0000_t202" style="position:absolute;left:0pt;margin-left:56.6pt;margin-top:28.4pt;height:127.6pt;width:5.3pt;mso-position-horizontal-relative:page;z-index:-251656192;mso-width-relative:page;mso-height-relative:page;" filled="f" stroked="f" coordsize="21600,21600" o:gfxdata="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CZ5VDH1wAAAAoBAAAPAAAAAAAAAAEA&#10;IAAAACIAAABkcnMvZG93bnJldi54bWxQSwECFAAUAAAACACHTuJAxXwpi54BAAAlAwAADgAAAAAA&#10;AAABACAAAAAmAQAAZHJzL2Uyb0RvYy54bWxQSwUGAAAAAAYABgBZAQAANgUAAAAA&#10;">
                <v:fill on="f" focussize="0,0"/>
                <v:stroke on="f"/>
                <v:imagedata o:title=""/>
                <o:lock v:ext="edit" aspectratio="f"/>
                <v:textbox inset="0mm,0mm,0mm,0mm">
                  <w:txbxContent>
                    <w:p>
                      <w:pPr>
                        <w:pStyle w:val="2"/>
                        <w:spacing w:line="241" w:lineRule="exact"/>
                      </w:pPr>
                      <w:r>
                        <w:rPr>
                          <w:w w:val="100"/>
                        </w:rPr>
                        <w:t xml:space="preserve"> </w:t>
                      </w:r>
                    </w:p>
                    <w:p>
                      <w:pPr>
                        <w:pStyle w:val="2"/>
                        <w:spacing w:before="6"/>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7"/>
                        <w:rPr>
                          <w:sz w:val="15"/>
                        </w:rPr>
                      </w:pPr>
                    </w:p>
                    <w:p>
                      <w:pPr>
                        <w:pStyle w:val="2"/>
                      </w:pPr>
                      <w:r>
                        <w:rPr>
                          <w:w w:val="100"/>
                        </w:rPr>
                        <w:t xml:space="preserve"> </w:t>
                      </w:r>
                    </w:p>
                    <w:p>
                      <w:pPr>
                        <w:pStyle w:val="2"/>
                        <w:spacing w:before="6"/>
                        <w:rPr>
                          <w:sz w:val="15"/>
                        </w:rPr>
                      </w:pPr>
                    </w:p>
                    <w:p>
                      <w:pPr>
                        <w:pStyle w:val="2"/>
                        <w:spacing w:line="240" w:lineRule="exact"/>
                      </w:pPr>
                      <w:r>
                        <w:rPr>
                          <w:w w:val="100"/>
                        </w:rPr>
                        <w:t xml:space="preserve"> </w:t>
                      </w:r>
                    </w:p>
                  </w:txbxContent>
                </v:textbox>
              </v:shape>
            </w:pict>
          </mc:Fallback>
        </mc:AlternateContent>
      </w:r>
      <w:r>
        <w:rPr>
          <w:rFonts w:hint="eastAsia" w:ascii="宋体" w:hAnsi="宋体" w:eastAsia="宋体" w:cs="宋体"/>
          <w:color w:val="auto"/>
          <w:sz w:val="24"/>
          <w:szCs w:val="24"/>
          <w:highlight w:val="none"/>
        </w:rPr>
        <w:t xml:space="preserve">附：被授权代表人身份证复印件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法定代表人（签名或盖章）：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职务：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sectPr>
          <w:headerReference r:id="rId20" w:type="default"/>
          <w:pgSz w:w="11910" w:h="16840"/>
          <w:pgMar w:top="1701" w:right="1531" w:bottom="1701" w:left="1531" w:header="670" w:footer="1041" w:gutter="0"/>
          <w:cols w:space="720" w:num="1"/>
          <w:rtlGutter w:val="0"/>
          <w:docGrid w:linePitch="1" w:charSpace="0"/>
        </w:sect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both"/>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6.2 供应商</w:t>
      </w:r>
      <w:r>
        <w:rPr>
          <w:rFonts w:hint="eastAsia" w:ascii="宋体" w:hAnsi="宋体" w:eastAsia="宋体" w:cs="宋体"/>
          <w:b/>
          <w:bCs/>
          <w:color w:val="auto"/>
          <w:sz w:val="30"/>
          <w:szCs w:val="30"/>
          <w:highlight w:val="none"/>
          <w:lang w:val="en-US" w:eastAsia="zh-CN"/>
        </w:rPr>
        <w:t>资格声明函</w:t>
      </w:r>
    </w:p>
    <w:p>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新疆德宏招标代理有限公司</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关于贵公司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采购项目编号：</w:t>
      </w:r>
      <w:r>
        <w:rPr>
          <w:rFonts w:hint="eastAsia" w:ascii="宋体" w:hAnsi="宋体" w:eastAsia="宋体" w:cs="宋体"/>
          <w:color w:val="auto"/>
          <w:sz w:val="24"/>
          <w:szCs w:val="24"/>
          <w:highlight w:val="none"/>
        </w:rPr>
        <w:t xml:space="preserve">）的磋商公告，本公司（企业）愿意参加磋商，并声明：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本公司（企业）具备下列《中华人民共和国政府采购法》第二十二条资格条件，并已清楚磋商文件的要求及有关文件规定。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（一）具有独立承担民事责任的能力；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（二）具有良好的商业信誉和健全的财务会计制度；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（三）具有履行合同所必需的设备和专业技术能力；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（四）有依法缴纳税收和社会保障资金的良好记录；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（五）参加政府采购活动前三年内，在经营活动中没有重大违法记录；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（六）法律、行政法规规定的其他条件。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本公司（企业）已清楚磋商文件的要求及有关文件规定。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本公司（企业）的法定代表人或单位负责人与本项目其他供应商的法定代表人或单位负责人不为同一人且与其他供应商之间不存在直接控股、管理关系。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本公司（企业）承诺：若为本采购项目提供整体设计、规范编制或者项目管理、监理、检测等服务的供应商，将不再参加该采购项目的其他采购活动。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本公司（企业）承诺：参加本次采购活动前 3 年内，我公司（企业）在经营活动中没有重大违法记录。本公司（企业）承诺：本项目标的的所有权和该作品的使用权归采购人所有，知识产权（含该作品的著作权及版权）或专利归作者我公司（企业）所有。本项目我公司（企业）所提供的服务不侵犯任何第三方的专利、商标或版权。否则，我公司（企业）承担对第三方的知识产权（含该作品的著作权及版权）或专利的侵权责任，以及由此产生的后果由我司负责。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本公司（企业）承诺在本次采购活动中，如有违法、违规、弄虚作假行为，所造成的损失、不良后果及法律责任，一律由我公司（企业）承担。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特此声明！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u w:val="single"/>
        </w:rPr>
        <w:t xml:space="preserve">         </w:t>
      </w:r>
    </w:p>
    <w:p>
      <w:pPr>
        <w:pStyle w:val="7"/>
        <w:spacing w:line="360" w:lineRule="auto"/>
        <w:ind w:firstLine="0"/>
        <w:jc w:val="center"/>
        <w:rPr>
          <w:rFonts w:hint="eastAsia" w:ascii="黑体" w:hAnsi="宋体" w:eastAsia="黑体"/>
          <w:b/>
          <w:bCs/>
          <w:color w:val="auto"/>
          <w:sz w:val="30"/>
          <w:szCs w:val="30"/>
          <w:highlight w:val="none"/>
        </w:rPr>
      </w:pPr>
      <w:r>
        <w:rPr>
          <w:rFonts w:hint="eastAsia" w:cs="宋体"/>
          <w:b/>
          <w:bCs/>
          <w:color w:val="auto"/>
          <w:sz w:val="30"/>
          <w:szCs w:val="30"/>
          <w:highlight w:val="none"/>
          <w:lang w:val="en-US" w:eastAsia="zh-CN"/>
        </w:rPr>
        <w:t xml:space="preserve">6.3 </w:t>
      </w:r>
      <w:r>
        <w:rPr>
          <w:rFonts w:hint="eastAsia" w:ascii="黑体" w:hAnsi="宋体" w:eastAsia="黑体"/>
          <w:b/>
          <w:bCs/>
          <w:color w:val="auto"/>
          <w:sz w:val="30"/>
          <w:szCs w:val="30"/>
          <w:highlight w:val="none"/>
        </w:rPr>
        <w:t>具备履行合同所必需的设备和专业技术能力的书面声明</w:t>
      </w:r>
    </w:p>
    <w:p>
      <w:pPr>
        <w:pStyle w:val="7"/>
        <w:spacing w:line="360" w:lineRule="auto"/>
        <w:ind w:firstLine="0"/>
        <w:jc w:val="center"/>
        <w:rPr>
          <w:rFonts w:hint="eastAsia" w:ascii="黑体" w:hAnsi="宋体" w:eastAsia="黑体"/>
          <w:b/>
          <w:bCs/>
          <w:color w:val="auto"/>
          <w:sz w:val="30"/>
          <w:szCs w:val="30"/>
          <w:highlight w:val="none"/>
        </w:rPr>
      </w:pPr>
    </w:p>
    <w:p>
      <w:pPr>
        <w:spacing w:before="145" w:beforeLines="50" w:after="145" w:afterLines="50" w:line="360" w:lineRule="auto"/>
        <w:ind w:firstLine="492"/>
        <w:rPr>
          <w:rFonts w:hint="eastAsia" w:ascii="宋体" w:hAnsi="宋体"/>
          <w:bCs/>
          <w:color w:val="auto"/>
          <w:sz w:val="24"/>
          <w:highlight w:val="none"/>
        </w:rPr>
      </w:pPr>
      <w:r>
        <w:rPr>
          <w:rFonts w:hint="eastAsia" w:ascii="宋体" w:hAnsi="宋体"/>
          <w:bCs/>
          <w:color w:val="auto"/>
          <w:sz w:val="24"/>
          <w:highlight w:val="none"/>
        </w:rPr>
        <w:t>我单位郑重声明：我单位具备履行本项采购合同所必需的设备和专业技术能力，为履行本项采购合同我公司具备如下主要设备和主要专业技术能力：</w:t>
      </w:r>
    </w:p>
    <w:p>
      <w:pPr>
        <w:spacing w:before="145" w:beforeLines="50" w:after="145" w:afterLines="50" w:line="360" w:lineRule="auto"/>
        <w:ind w:firstLine="492"/>
        <w:rPr>
          <w:rFonts w:hint="eastAsia" w:ascii="宋体" w:hAnsi="宋体"/>
          <w:bCs/>
          <w:color w:val="auto"/>
          <w:sz w:val="24"/>
          <w:highlight w:val="none"/>
        </w:rPr>
      </w:pPr>
      <w:r>
        <w:rPr>
          <w:rFonts w:hint="eastAsia" w:ascii="宋体" w:hAnsi="宋体"/>
          <w:bCs/>
          <w:color w:val="auto"/>
          <w:sz w:val="24"/>
          <w:highlight w:val="none"/>
        </w:rPr>
        <w:t>主要设备有：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pPr>
        <w:spacing w:before="145" w:beforeLines="50" w:after="145" w:afterLines="50" w:line="360" w:lineRule="auto"/>
        <w:ind w:firstLine="492"/>
        <w:rPr>
          <w:rFonts w:hint="eastAsia" w:ascii="宋体" w:hAnsi="宋体"/>
          <w:bCs/>
          <w:color w:val="auto"/>
          <w:sz w:val="24"/>
          <w:highlight w:val="none"/>
        </w:rPr>
      </w:pPr>
      <w:r>
        <w:rPr>
          <w:rFonts w:hint="eastAsia" w:ascii="宋体" w:hAnsi="宋体"/>
          <w:bCs/>
          <w:color w:val="auto"/>
          <w:sz w:val="24"/>
          <w:highlight w:val="none"/>
        </w:rPr>
        <w:t>主要专业技术能力有：</w:t>
      </w:r>
      <w:r>
        <w:rPr>
          <w:rFonts w:hint="eastAsia" w:ascii="宋体" w:hAnsi="宋体"/>
          <w:bCs/>
          <w:color w:val="auto"/>
          <w:sz w:val="24"/>
          <w:highlight w:val="none"/>
          <w:u w:val="single"/>
        </w:rPr>
        <w:t xml:space="preserve">                                            </w:t>
      </w:r>
      <w:r>
        <w:rPr>
          <w:rFonts w:hint="eastAsia" w:ascii="宋体" w:hAnsi="宋体"/>
          <w:bCs/>
          <w:color w:val="auto"/>
          <w:sz w:val="24"/>
          <w:highlight w:val="none"/>
        </w:rPr>
        <w:t>。</w:t>
      </w:r>
    </w:p>
    <w:p>
      <w:pPr>
        <w:pStyle w:val="35"/>
        <w:spacing w:before="145" w:beforeLines="50" w:after="145" w:afterLines="50" w:line="360" w:lineRule="auto"/>
        <w:ind w:left="6000" w:leftChars="2400" w:hanging="720" w:hangingChars="300"/>
        <w:rPr>
          <w:rFonts w:hint="eastAsia" w:ascii="宋体" w:hAnsi="宋体"/>
          <w:color w:val="auto"/>
          <w:kern w:val="2"/>
          <w:szCs w:val="21"/>
          <w:highlight w:val="none"/>
        </w:rPr>
      </w:pPr>
      <w:r>
        <w:rPr>
          <w:rFonts w:hint="eastAsia" w:ascii="宋体" w:hAnsi="宋体"/>
          <w:bCs/>
          <w:color w:val="auto"/>
          <w:highlight w:val="none"/>
        </w:rPr>
        <w:t xml:space="preserve">                                     </w:t>
      </w:r>
      <w:r>
        <w:rPr>
          <w:rFonts w:hint="eastAsia" w:ascii="宋体" w:hAnsi="宋体"/>
          <w:color w:val="auto"/>
          <w:kern w:val="2"/>
          <w:szCs w:val="21"/>
          <w:highlight w:val="none"/>
        </w:rPr>
        <w:t xml:space="preserve">投标人名称（盖章）： </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color w:val="auto"/>
          <w:highlight w:val="none"/>
        </w:rPr>
      </w:pPr>
      <w:r>
        <w:rPr>
          <w:rFonts w:hint="eastAsia"/>
          <w:color w:val="auto"/>
          <w:highlight w:val="none"/>
          <w:lang w:val="en-US" w:eastAsia="zh-CN"/>
        </w:rPr>
        <w:t xml:space="preserve">                                             </w:t>
      </w:r>
      <w:r>
        <w:rPr>
          <w:rFonts w:hint="eastAsia" w:ascii="宋体" w:hAnsi="宋体"/>
          <w:color w:val="auto"/>
          <w:highlight w:val="none"/>
        </w:rPr>
        <w:t>______年____月____日</w:t>
      </w:r>
    </w:p>
    <w:p>
      <w:pPr>
        <w:pStyle w:val="9"/>
        <w:rPr>
          <w:rFonts w:hint="eastAsia" w:ascii="宋体" w:hAnsi="宋体"/>
          <w:color w:val="auto"/>
          <w:highlight w:val="none"/>
        </w:rPr>
      </w:pPr>
    </w:p>
    <w:p>
      <w:pPr>
        <w:rPr>
          <w:rFonts w:hint="eastAsia" w:ascii="宋体" w:hAnsi="宋体"/>
          <w:color w:val="auto"/>
          <w:highlight w:val="none"/>
        </w:rPr>
      </w:pPr>
    </w:p>
    <w:p>
      <w:pPr>
        <w:pStyle w:val="9"/>
        <w:rPr>
          <w:rFonts w:hint="eastAsia" w:ascii="宋体" w:hAnsi="宋体"/>
          <w:color w:val="auto"/>
          <w:highlight w:val="none"/>
        </w:rPr>
      </w:pPr>
    </w:p>
    <w:p>
      <w:pPr>
        <w:rPr>
          <w:rFonts w:hint="eastAsia" w:ascii="宋体" w:hAnsi="宋体"/>
          <w:color w:val="auto"/>
          <w:highlight w:val="none"/>
        </w:rPr>
      </w:pPr>
    </w:p>
    <w:p>
      <w:pPr>
        <w:pStyle w:val="9"/>
        <w:rPr>
          <w:rFonts w:hint="eastAsia" w:ascii="宋体" w:hAnsi="宋体"/>
          <w:color w:val="auto"/>
          <w:highlight w:val="none"/>
        </w:rPr>
      </w:pPr>
    </w:p>
    <w:p>
      <w:pPr>
        <w:rPr>
          <w:rFonts w:hint="eastAsia" w:ascii="宋体" w:hAnsi="宋体"/>
          <w:color w:val="auto"/>
          <w:highlight w:val="none"/>
        </w:rPr>
      </w:pPr>
    </w:p>
    <w:p>
      <w:pPr>
        <w:pStyle w:val="9"/>
        <w:rPr>
          <w:rFonts w:hint="eastAsia" w:ascii="宋体" w:hAnsi="宋体"/>
          <w:color w:val="auto"/>
          <w:highlight w:val="none"/>
        </w:rPr>
      </w:pPr>
    </w:p>
    <w:p>
      <w:pPr>
        <w:rPr>
          <w:rFonts w:hint="eastAsia" w:ascii="宋体" w:hAnsi="宋体"/>
          <w:color w:val="auto"/>
          <w:highlight w:val="none"/>
        </w:rPr>
      </w:pPr>
    </w:p>
    <w:p>
      <w:pPr>
        <w:pStyle w:val="9"/>
        <w:rPr>
          <w:rFonts w:hint="eastAsia" w:ascii="宋体" w:hAnsi="宋体"/>
          <w:color w:val="auto"/>
          <w:highlight w:val="none"/>
        </w:rPr>
      </w:pPr>
    </w:p>
    <w:p>
      <w:pPr>
        <w:rPr>
          <w:rFonts w:hint="eastAsia" w:ascii="宋体" w:hAnsi="宋体"/>
          <w:color w:val="auto"/>
          <w:highlight w:val="none"/>
        </w:rPr>
      </w:pPr>
    </w:p>
    <w:p>
      <w:pPr>
        <w:pStyle w:val="9"/>
        <w:rPr>
          <w:rFonts w:hint="eastAsia" w:ascii="宋体" w:hAnsi="宋体"/>
          <w:color w:val="auto"/>
          <w:highlight w:val="none"/>
        </w:rPr>
      </w:pPr>
    </w:p>
    <w:p>
      <w:pPr>
        <w:rPr>
          <w:rFonts w:hint="eastAsia" w:ascii="宋体" w:hAnsi="宋体"/>
          <w:color w:val="auto"/>
          <w:highlight w:val="none"/>
        </w:rPr>
      </w:pPr>
    </w:p>
    <w:p>
      <w:pPr>
        <w:pStyle w:val="9"/>
        <w:rPr>
          <w:rFonts w:hint="eastAsia" w:ascii="宋体" w:hAnsi="宋体"/>
          <w:color w:val="auto"/>
          <w:highlight w:val="none"/>
        </w:rPr>
      </w:pPr>
    </w:p>
    <w:p>
      <w:pPr>
        <w:rPr>
          <w:rFonts w:hint="eastAsia" w:ascii="宋体" w:hAnsi="宋体"/>
          <w:color w:val="auto"/>
          <w:highlight w:val="none"/>
        </w:rPr>
      </w:pPr>
    </w:p>
    <w:p>
      <w:pPr>
        <w:pStyle w:val="9"/>
        <w:rPr>
          <w:rFonts w:hint="eastAsia" w:ascii="宋体" w:hAnsi="宋体"/>
          <w:color w:val="auto"/>
          <w:highlight w:val="none"/>
        </w:rPr>
      </w:pPr>
    </w:p>
    <w:p>
      <w:pPr>
        <w:rPr>
          <w:rFonts w:hint="eastAsia" w:ascii="宋体" w:hAnsi="宋体"/>
          <w:color w:val="auto"/>
          <w:highlight w:val="none"/>
        </w:rPr>
      </w:pPr>
    </w:p>
    <w:p>
      <w:pPr>
        <w:pStyle w:val="9"/>
        <w:rPr>
          <w:rFonts w:hint="eastAsia" w:ascii="宋体" w:hAnsi="宋体"/>
          <w:color w:val="auto"/>
          <w:highlight w:val="none"/>
        </w:rPr>
      </w:pPr>
    </w:p>
    <w:p>
      <w:pPr>
        <w:rPr>
          <w:rFonts w:hint="eastAsia" w:ascii="宋体" w:hAnsi="宋体"/>
          <w:color w:val="auto"/>
          <w:highlight w:val="none"/>
        </w:rPr>
      </w:pPr>
    </w:p>
    <w:p>
      <w:pPr>
        <w:pStyle w:val="9"/>
        <w:rPr>
          <w:rFonts w:hint="eastAsia" w:ascii="宋体" w:hAnsi="宋体"/>
          <w:color w:val="auto"/>
          <w:highlight w:val="none"/>
        </w:rPr>
      </w:pPr>
    </w:p>
    <w:p>
      <w:pPr>
        <w:rPr>
          <w:rFonts w:hint="eastAsia" w:ascii="宋体" w:hAnsi="宋体"/>
          <w:color w:val="auto"/>
          <w:highlight w:val="none"/>
        </w:rPr>
      </w:pPr>
    </w:p>
    <w:p>
      <w:pPr>
        <w:pStyle w:val="9"/>
        <w:rPr>
          <w:rFonts w:hint="eastAsia" w:ascii="宋体" w:hAnsi="宋体"/>
          <w:color w:val="auto"/>
          <w:highlight w:val="none"/>
        </w:rPr>
      </w:pPr>
    </w:p>
    <w:p>
      <w:pPr>
        <w:rPr>
          <w:rFonts w:hint="eastAsia" w:ascii="宋体" w:hAnsi="宋体"/>
          <w:color w:val="auto"/>
          <w:highlight w:val="none"/>
        </w:rPr>
      </w:pPr>
    </w:p>
    <w:p>
      <w:pPr>
        <w:pStyle w:val="9"/>
        <w:rPr>
          <w:rFonts w:hint="eastAsia" w:ascii="宋体" w:hAnsi="宋体"/>
          <w:color w:val="auto"/>
          <w:highlight w:val="none"/>
        </w:rPr>
      </w:pPr>
    </w:p>
    <w:p>
      <w:pPr>
        <w:rPr>
          <w:rFonts w:hint="eastAsia" w:ascii="宋体" w:hAnsi="宋体"/>
          <w:color w:val="auto"/>
          <w:highlight w:val="none"/>
        </w:rPr>
      </w:pPr>
    </w:p>
    <w:p>
      <w:pPr>
        <w:pStyle w:val="9"/>
        <w:rPr>
          <w:rFonts w:hint="eastAsia" w:ascii="宋体" w:hAnsi="宋体"/>
          <w:color w:val="auto"/>
          <w:highlight w:val="none"/>
        </w:rPr>
      </w:pPr>
    </w:p>
    <w:p>
      <w:pPr>
        <w:rPr>
          <w:rFonts w:hint="eastAsia" w:ascii="宋体" w:hAnsi="宋体"/>
          <w:color w:val="auto"/>
          <w:highlight w:val="none"/>
        </w:rPr>
      </w:pPr>
    </w:p>
    <w:p>
      <w:pPr>
        <w:pStyle w:val="9"/>
        <w:rPr>
          <w:rFonts w:hint="eastAsia" w:ascii="宋体" w:hAnsi="宋体"/>
          <w:color w:val="auto"/>
          <w:highlight w:val="none"/>
        </w:rPr>
      </w:pPr>
    </w:p>
    <w:p>
      <w:pPr>
        <w:rPr>
          <w:rFonts w:hint="eastAsia" w:ascii="宋体" w:hAnsi="宋体"/>
          <w:color w:val="auto"/>
          <w:highlight w:val="none"/>
        </w:rPr>
      </w:pPr>
    </w:p>
    <w:p>
      <w:pPr>
        <w:rPr>
          <w:rFonts w:hint="eastAsia"/>
          <w:color w:val="auto"/>
          <w:highlight w:val="none"/>
        </w:rPr>
      </w:pPr>
      <w:r>
        <w:rPr>
          <w:rFonts w:hint="eastAsia"/>
          <w:color w:val="auto"/>
          <w:highlight w:val="none"/>
        </w:rPr>
        <w:br w:type="page"/>
      </w:r>
    </w:p>
    <w:p>
      <w:pPr>
        <w:rPr>
          <w:rFonts w:hint="eastAsia"/>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color w:val="auto"/>
          <w:sz w:val="30"/>
          <w:szCs w:val="30"/>
          <w:highlight w:val="none"/>
          <w:lang w:val="en-US" w:eastAsia="zh-CN"/>
        </w:rPr>
      </w:pPr>
      <w:r>
        <w:rPr>
          <w:rFonts w:hint="eastAsia" w:cs="宋体"/>
          <w:b/>
          <w:bCs/>
          <w:color w:val="auto"/>
          <w:sz w:val="30"/>
          <w:szCs w:val="30"/>
          <w:highlight w:val="none"/>
          <w:lang w:val="en-US" w:eastAsia="zh-CN"/>
        </w:rPr>
        <w:t>6.4</w:t>
      </w:r>
      <w:r>
        <w:rPr>
          <w:rFonts w:hint="eastAsia" w:ascii="宋体" w:hAnsi="宋体" w:eastAsia="宋体" w:cs="宋体"/>
          <w:b/>
          <w:bCs/>
          <w:color w:val="auto"/>
          <w:sz w:val="30"/>
          <w:szCs w:val="30"/>
          <w:highlight w:val="none"/>
          <w:lang w:val="en-US" w:eastAsia="zh-CN"/>
        </w:rPr>
        <w:t xml:space="preserve"> 参加政府采购活动前 3 年内在经营活动中没有重大违法记录的书面声明</w:t>
      </w:r>
    </w:p>
    <w:p>
      <w:pPr>
        <w:pStyle w:val="2"/>
        <w:rPr>
          <w:rFonts w:hint="eastAsia"/>
          <w:color w:val="auto"/>
          <w:highlight w:val="none"/>
          <w:lang w:val="en-US" w:eastAsia="zh-CN"/>
        </w:rPr>
      </w:pPr>
    </w:p>
    <w:p>
      <w:pPr>
        <w:spacing w:before="145" w:beforeLines="50" w:after="145" w:afterLines="50" w:line="300" w:lineRule="auto"/>
        <w:rPr>
          <w:rFonts w:hint="eastAsia" w:ascii="宋体" w:hAnsi="宋体"/>
          <w:bCs/>
          <w:color w:val="auto"/>
          <w:sz w:val="24"/>
          <w:highlight w:val="none"/>
        </w:rPr>
      </w:pPr>
      <w:r>
        <w:rPr>
          <w:rFonts w:hint="eastAsia" w:ascii="宋体" w:hAnsi="宋体"/>
          <w:b/>
          <w:bCs/>
          <w:color w:val="auto"/>
          <w:sz w:val="24"/>
          <w:highlight w:val="none"/>
        </w:rPr>
        <w:t xml:space="preserve">    </w:t>
      </w:r>
      <w:r>
        <w:rPr>
          <w:rFonts w:hint="eastAsia" w:ascii="宋体" w:hAnsi="宋体"/>
          <w:bCs/>
          <w:color w:val="auto"/>
          <w:sz w:val="24"/>
          <w:highlight w:val="none"/>
        </w:rPr>
        <w:t>我单位郑重声明：参加本次政府采购活动前 3 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bCs/>
          <w:color w:val="auto"/>
          <w:sz w:val="24"/>
          <w:highlight w:val="none"/>
        </w:rPr>
      </w:pPr>
    </w:p>
    <w:p>
      <w:pPr>
        <w:pStyle w:val="35"/>
        <w:spacing w:before="145" w:beforeLines="50" w:after="145" w:afterLines="50" w:line="300" w:lineRule="auto"/>
        <w:ind w:left="440" w:leftChars="200" w:firstLine="5280" w:firstLineChars="2200"/>
        <w:rPr>
          <w:rFonts w:hint="eastAsia" w:ascii="宋体" w:hAnsi="宋体"/>
          <w:color w:val="auto"/>
          <w:kern w:val="2"/>
          <w:szCs w:val="21"/>
          <w:highlight w:val="none"/>
        </w:rPr>
      </w:pPr>
      <w:r>
        <w:rPr>
          <w:rFonts w:hint="eastAsia" w:ascii="宋体" w:hAnsi="宋体"/>
          <w:color w:val="auto"/>
          <w:kern w:val="2"/>
          <w:szCs w:val="21"/>
          <w:highlight w:val="none"/>
        </w:rPr>
        <w:t xml:space="preserve">投标人名称（盖章）： </w:t>
      </w:r>
    </w:p>
    <w:p>
      <w:pPr>
        <w:spacing w:before="145" w:beforeLines="50" w:after="145" w:afterLines="50" w:line="300" w:lineRule="auto"/>
        <w:ind w:firstLine="5720" w:firstLineChars="2600"/>
        <w:rPr>
          <w:rFonts w:hint="eastAsia" w:ascii="宋体" w:hAnsi="宋体"/>
          <w:bCs/>
          <w:color w:val="auto"/>
          <w:sz w:val="24"/>
          <w:highlight w:val="none"/>
        </w:rPr>
      </w:pPr>
      <w:r>
        <w:rPr>
          <w:rFonts w:hint="eastAsia" w:ascii="宋体" w:hAnsi="宋体"/>
          <w:color w:val="auto"/>
          <w:highlight w:val="none"/>
        </w:rPr>
        <w:t>______年____月____日</w:t>
      </w:r>
    </w:p>
    <w:p>
      <w:pPr>
        <w:keepNext w:val="0"/>
        <w:keepLines w:val="0"/>
        <w:pageBreakBefore w:val="0"/>
        <w:widowControl w:val="0"/>
        <w:kinsoku/>
        <w:wordWrap/>
        <w:overflowPunct/>
        <w:topLinePunct w:val="0"/>
        <w:autoSpaceDE w:val="0"/>
        <w:autoSpaceDN w:val="0"/>
        <w:bidi w:val="0"/>
        <w:adjustRightInd/>
        <w:snapToGrid/>
        <w:spacing w:line="400" w:lineRule="exact"/>
        <w:ind w:firstLine="602" w:firstLineChars="200"/>
        <w:jc w:val="center"/>
        <w:textAlignment w:val="auto"/>
        <w:rPr>
          <w:rFonts w:hint="eastAsia" w:ascii="宋体" w:hAnsi="宋体" w:eastAsia="宋体" w:cs="宋体"/>
          <w:b/>
          <w:bCs/>
          <w:color w:val="auto"/>
          <w:sz w:val="30"/>
          <w:szCs w:val="30"/>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9"/>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both"/>
        <w:textAlignment w:val="auto"/>
        <w:rPr>
          <w:rFonts w:hint="eastAsia" w:ascii="宋体" w:hAnsi="宋体" w:eastAsia="方正小标宋简体" w:cs="宋体"/>
          <w:i w:val="0"/>
          <w:iCs w:val="0"/>
          <w:caps w:val="0"/>
          <w:color w:val="auto"/>
          <w:spacing w:val="0"/>
          <w:sz w:val="21"/>
          <w:szCs w:val="21"/>
          <w:highlight w:val="none"/>
          <w:lang w:val="en-US" w:eastAsia="zh-CN"/>
        </w:rPr>
      </w:pPr>
      <w:r>
        <w:rPr>
          <w:rFonts w:hint="eastAsia" w:ascii="宋体" w:hAnsi="宋体" w:eastAsia="宋体" w:cs="宋体"/>
          <w:b/>
          <w:bCs/>
          <w:color w:val="auto"/>
          <w:sz w:val="30"/>
          <w:szCs w:val="30"/>
          <w:highlight w:val="none"/>
          <w:lang w:val="en-US" w:eastAsia="zh-CN"/>
        </w:rPr>
        <w:t>6.</w:t>
      </w:r>
      <w:r>
        <w:rPr>
          <w:rFonts w:hint="eastAsia" w:cs="宋体"/>
          <w:b/>
          <w:bCs/>
          <w:color w:val="auto"/>
          <w:sz w:val="30"/>
          <w:szCs w:val="30"/>
          <w:highlight w:val="none"/>
          <w:lang w:val="en-US" w:eastAsia="zh-CN"/>
        </w:rPr>
        <w:t>5</w:t>
      </w:r>
      <w:r>
        <w:rPr>
          <w:rFonts w:hint="eastAsia" w:ascii="宋体" w:hAnsi="宋体" w:eastAsia="宋体" w:cs="宋体"/>
          <w:b/>
          <w:bCs/>
          <w:color w:val="auto"/>
          <w:sz w:val="30"/>
          <w:szCs w:val="30"/>
          <w:highlight w:val="none"/>
          <w:lang w:val="en-US" w:eastAsia="zh-CN"/>
        </w:rPr>
        <w:t xml:space="preserve"> 政府采购供应商质疑函范本</w:t>
      </w:r>
    </w:p>
    <w:tbl>
      <w:tblPr>
        <w:tblStyle w:val="19"/>
        <w:tblW w:w="9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83"/>
        <w:gridCol w:w="1215"/>
        <w:gridCol w:w="687"/>
        <w:gridCol w:w="1388"/>
        <w:gridCol w:w="2163"/>
        <w:gridCol w:w="1196"/>
        <w:gridCol w:w="1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ascii="方正仿宋简体" w:hAnsi="方正仿宋简体" w:eastAsia="方正仿宋简体" w:cs="方正仿宋简体"/>
                <w:i w:val="0"/>
                <w:iCs w:val="0"/>
                <w:caps w:val="0"/>
                <w:color w:val="auto"/>
                <w:spacing w:val="0"/>
                <w:sz w:val="21"/>
                <w:szCs w:val="21"/>
                <w:highlight w:val="none"/>
              </w:rPr>
              <w:t>质疑项目</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基本情况</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项目名称</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项目编号</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  号</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采购人名称</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采购公告时间</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中标（成交）公告时间</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更正公告时间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（包含采购文件和采购结果更正公告）</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终止公告时间（包含废标和采购任务取消）</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年</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月</w:t>
            </w:r>
            <w:r>
              <w:rPr>
                <w:rFonts w:hint="default" w:ascii="方正仿宋简体" w:hAnsi="方正仿宋简体" w:eastAsia="方正仿宋简体" w:cs="方正仿宋简体"/>
                <w:i w:val="0"/>
                <w:iCs w:val="0"/>
                <w:caps w:val="0"/>
                <w:color w:val="auto"/>
                <w:spacing w:val="0"/>
                <w:sz w:val="21"/>
                <w:szCs w:val="21"/>
                <w:highlight w:val="none"/>
                <w:u w:val="single"/>
              </w:rPr>
              <w:t>  </w:t>
            </w:r>
            <w:r>
              <w:rPr>
                <w:rFonts w:hint="default" w:ascii="方正仿宋简体" w:hAnsi="方正仿宋简体" w:eastAsia="方正仿宋简体" w:cs="方正仿宋简体"/>
                <w:i w:val="0"/>
                <w:iCs w:val="0"/>
                <w:caps w:val="0"/>
                <w:color w:val="auto"/>
                <w:spacing w:val="0"/>
                <w:sz w:val="21"/>
                <w:szCs w:val="21"/>
                <w:highlight w:val="none"/>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质疑供应商基本信息</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单位名称</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地址</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邮编</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联系人</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9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授权代表</w:t>
            </w:r>
          </w:p>
        </w:tc>
        <w:tc>
          <w:tcPr>
            <w:tcW w:w="2075"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3359"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联系电话</w:t>
            </w:r>
          </w:p>
        </w:tc>
        <w:tc>
          <w:tcPr>
            <w:tcW w:w="1526"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质疑事项及相关请求（纸张不够另附）</w:t>
            </w:r>
          </w:p>
        </w:tc>
        <w:tc>
          <w:tcPr>
            <w:tcW w:w="1215" w:type="dxa"/>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分    类</w:t>
            </w:r>
          </w:p>
        </w:tc>
        <w:tc>
          <w:tcPr>
            <w:tcW w:w="6960" w:type="dxa"/>
            <w:gridSpan w:val="5"/>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 采购文件 □ 采购过程 □ 中标或成交结果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5"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8175" w:type="dxa"/>
            <w:gridSpan w:val="6"/>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请逐条列明质疑事项、事实依据和法律依据，并提供必要的证明材料。</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1</w:t>
            </w:r>
            <w:r>
              <w:rPr>
                <w:rFonts w:hint="default" w:ascii="方正仿宋简体" w:hAnsi="方正仿宋简体" w:eastAsia="方正仿宋简体" w:cs="方正仿宋简体"/>
                <w:i w:val="0"/>
                <w:iCs w:val="0"/>
                <w:caps w:val="0"/>
                <w:color w:val="auto"/>
                <w:spacing w:val="0"/>
                <w:sz w:val="21"/>
                <w:szCs w:val="21"/>
                <w:highlight w:val="none"/>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事实依据：</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法律依据：</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相关请求：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质疑事项</w:t>
            </w:r>
            <w:r>
              <w:rPr>
                <w:rFonts w:hint="eastAsia" w:ascii="宋体" w:hAnsi="宋体" w:eastAsia="宋体" w:cs="宋体"/>
                <w:i w:val="0"/>
                <w:iCs w:val="0"/>
                <w:caps w:val="0"/>
                <w:color w:val="auto"/>
                <w:spacing w:val="0"/>
                <w:sz w:val="21"/>
                <w:szCs w:val="21"/>
                <w:highlight w:val="none"/>
              </w:rPr>
              <w:t>2</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883" w:type="dxa"/>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签字</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或盖人名章</w:t>
            </w:r>
          </w:p>
        </w:tc>
        <w:tc>
          <w:tcPr>
            <w:tcW w:w="1902" w:type="dxa"/>
            <w:gridSpan w:val="2"/>
            <w:vMerge w:val="restar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3551"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公章</w:t>
            </w:r>
          </w:p>
        </w:tc>
        <w:tc>
          <w:tcPr>
            <w:tcW w:w="27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top"/>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360" w:hRule="atLeast"/>
        </w:trPr>
        <w:tc>
          <w:tcPr>
            <w:tcW w:w="883" w:type="dxa"/>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1902" w:type="dxa"/>
            <w:gridSpan w:val="2"/>
            <w:vMerge w:val="continue"/>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c>
          <w:tcPr>
            <w:tcW w:w="3551"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日期</w:t>
            </w:r>
          </w:p>
        </w:tc>
        <w:tc>
          <w:tcPr>
            <w:tcW w:w="2722" w:type="dxa"/>
            <w:gridSpan w:val="2"/>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rPr>
                <w:rFonts w:hint="eastAsia" w:ascii="宋体" w:hAnsi="宋体" w:eastAsia="宋体" w:cs="宋体"/>
                <w:i w:val="0"/>
                <w:iCs w:val="0"/>
                <w:caps w:val="0"/>
                <w:color w:val="auto"/>
                <w:spacing w:val="0"/>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70" w:hRule="atLeast"/>
        </w:trPr>
        <w:tc>
          <w:tcPr>
            <w:tcW w:w="9058" w:type="dxa"/>
            <w:gridSpan w:val="7"/>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textAlignment w:val="auto"/>
              <w:rPr>
                <w:color w:val="auto"/>
                <w:highlight w:val="none"/>
              </w:rPr>
            </w:pPr>
            <w:r>
              <w:rPr>
                <w:rFonts w:hint="default" w:ascii="方正仿宋简体" w:hAnsi="方正仿宋简体" w:eastAsia="方正仿宋简体" w:cs="方正仿宋简体"/>
                <w:i w:val="0"/>
                <w:iCs w:val="0"/>
                <w:caps w:val="0"/>
                <w:color w:val="auto"/>
                <w:spacing w:val="0"/>
                <w:sz w:val="21"/>
                <w:szCs w:val="21"/>
                <w:highlight w:val="none"/>
              </w:rPr>
              <w:t>质疑函制作说明：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1.</w:t>
            </w:r>
            <w:r>
              <w:rPr>
                <w:rFonts w:hint="default" w:ascii="方正仿宋简体" w:hAnsi="方正仿宋简体" w:eastAsia="方正仿宋简体" w:cs="方正仿宋简体"/>
                <w:i w:val="0"/>
                <w:iCs w:val="0"/>
                <w:caps w:val="0"/>
                <w:color w:val="auto"/>
                <w:spacing w:val="0"/>
                <w:sz w:val="21"/>
                <w:szCs w:val="21"/>
                <w:highlight w:val="none"/>
                <w:lang w:val="en-US" w:eastAsia="zh-CN"/>
              </w:rPr>
              <w:t>供应商提出质疑时，应提交质疑函和必要的证明材料</w:t>
            </w:r>
            <w:r>
              <w:rPr>
                <w:rFonts w:hint="eastAsia" w:ascii="方正仿宋简体" w:hAnsi="方正仿宋简体" w:eastAsia="方正仿宋简体" w:cs="方正仿宋简体"/>
                <w:i w:val="0"/>
                <w:iCs w:val="0"/>
                <w:caps w:val="0"/>
                <w:color w:val="auto"/>
                <w:spacing w:val="0"/>
                <w:sz w:val="21"/>
                <w:szCs w:val="21"/>
                <w:highlight w:val="none"/>
                <w:lang w:eastAsia="zh-CN"/>
              </w:rPr>
              <w:t>或有效线索</w:t>
            </w:r>
            <w:r>
              <w:rPr>
                <w:rFonts w:hint="default" w:ascii="方正仿宋简体" w:hAnsi="方正仿宋简体" w:eastAsia="方正仿宋简体" w:cs="方正仿宋简体"/>
                <w:i w:val="0"/>
                <w:iCs w:val="0"/>
                <w:caps w:val="0"/>
                <w:color w:val="auto"/>
                <w:spacing w:val="0"/>
                <w:sz w:val="21"/>
                <w:szCs w:val="21"/>
                <w:highlight w:val="none"/>
                <w:lang w:val="en-US" w:eastAsia="zh-CN"/>
              </w:rPr>
              <w:t>；质疑函存在《</w:t>
            </w:r>
            <w:r>
              <w:rPr>
                <w:rFonts w:hint="eastAsia" w:ascii="方正仿宋简体" w:hAnsi="方正仿宋简体" w:eastAsia="方正仿宋简体" w:cs="方正仿宋简体"/>
                <w:i w:val="0"/>
                <w:iCs w:val="0"/>
                <w:caps w:val="0"/>
                <w:color w:val="auto"/>
                <w:spacing w:val="0"/>
                <w:sz w:val="21"/>
                <w:szCs w:val="21"/>
                <w:highlight w:val="none"/>
                <w:lang w:val="en-US" w:eastAsia="zh-CN"/>
              </w:rPr>
              <w:t>质疑异议投诉举报处理实施细则</w:t>
            </w:r>
            <w:r>
              <w:rPr>
                <w:rFonts w:hint="default" w:ascii="方正仿宋简体" w:hAnsi="方正仿宋简体" w:eastAsia="方正仿宋简体" w:cs="方正仿宋简体"/>
                <w:i w:val="0"/>
                <w:iCs w:val="0"/>
                <w:caps w:val="0"/>
                <w:color w:val="auto"/>
                <w:spacing w:val="0"/>
                <w:sz w:val="21"/>
                <w:szCs w:val="21"/>
                <w:highlight w:val="none"/>
                <w:lang w:val="en-US" w:eastAsia="zh-CN"/>
              </w:rPr>
              <w:t>》（新政资内发〔202</w:t>
            </w:r>
            <w:r>
              <w:rPr>
                <w:rFonts w:hint="eastAsia" w:ascii="方正仿宋简体" w:hAnsi="方正仿宋简体" w:eastAsia="方正仿宋简体" w:cs="方正仿宋简体"/>
                <w:i w:val="0"/>
                <w:iCs w:val="0"/>
                <w:caps w:val="0"/>
                <w:color w:val="auto"/>
                <w:spacing w:val="0"/>
                <w:sz w:val="21"/>
                <w:szCs w:val="21"/>
                <w:highlight w:val="none"/>
                <w:lang w:val="en-US" w:eastAsia="zh-CN"/>
              </w:rPr>
              <w:t>2</w:t>
            </w:r>
            <w:r>
              <w:rPr>
                <w:rFonts w:hint="default" w:ascii="方正仿宋简体" w:hAnsi="方正仿宋简体" w:eastAsia="方正仿宋简体" w:cs="方正仿宋简体"/>
                <w:i w:val="0"/>
                <w:iCs w:val="0"/>
                <w:caps w:val="0"/>
                <w:color w:val="auto"/>
                <w:spacing w:val="0"/>
                <w:sz w:val="21"/>
                <w:szCs w:val="21"/>
                <w:highlight w:val="none"/>
                <w:lang w:val="en-US"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12</w:t>
            </w:r>
            <w:r>
              <w:rPr>
                <w:rFonts w:hint="default" w:ascii="方正仿宋简体" w:hAnsi="方正仿宋简体" w:eastAsia="方正仿宋简体" w:cs="方正仿宋简体"/>
                <w:i w:val="0"/>
                <w:iCs w:val="0"/>
                <w:caps w:val="0"/>
                <w:color w:val="auto"/>
                <w:spacing w:val="0"/>
                <w:sz w:val="21"/>
                <w:szCs w:val="21"/>
                <w:highlight w:val="none"/>
                <w:lang w:val="en-US" w:eastAsia="zh-CN"/>
              </w:rPr>
              <w:t>号）第十七条所列情形的，</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招标代理</w:t>
            </w:r>
            <w:r>
              <w:rPr>
                <w:rFonts w:hint="default" w:ascii="方正仿宋简体" w:hAnsi="方正仿宋简体" w:eastAsia="方正仿宋简体" w:cs="方正仿宋简体"/>
                <w:i w:val="0"/>
                <w:iCs w:val="0"/>
                <w:caps w:val="0"/>
                <w:color w:val="auto"/>
                <w:spacing w:val="0"/>
                <w:sz w:val="21"/>
                <w:szCs w:val="21"/>
                <w:highlight w:val="none"/>
                <w:lang w:val="en-US" w:eastAsia="zh-CN"/>
              </w:rPr>
              <w:t>不予受理。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firstLine="420" w:firstLineChars="200"/>
              <w:jc w:val="both"/>
              <w:textAlignment w:val="auto"/>
              <w:rPr>
                <w:rFonts w:hint="eastAsia" w:ascii="方正仿宋简体" w:hAnsi="方正仿宋简体" w:eastAsia="方正仿宋简体" w:cs="方正仿宋简体"/>
                <w:i w:val="0"/>
                <w:iCs w:val="0"/>
                <w:caps w:val="0"/>
                <w:color w:val="auto"/>
                <w:spacing w:val="0"/>
                <w:sz w:val="21"/>
                <w:szCs w:val="21"/>
                <w:highlight w:val="none"/>
                <w:lang w:eastAsia="zh-CN"/>
              </w:rPr>
            </w:pPr>
            <w:r>
              <w:rPr>
                <w:rFonts w:hint="eastAsia" w:ascii="方正仿宋简体" w:hAnsi="方正仿宋简体" w:eastAsia="方正仿宋简体" w:cs="方正仿宋简体"/>
                <w:i w:val="0"/>
                <w:iCs w:val="0"/>
                <w:caps w:val="0"/>
                <w:color w:val="auto"/>
                <w:spacing w:val="0"/>
                <w:sz w:val="21"/>
                <w:szCs w:val="21"/>
                <w:highlight w:val="none"/>
              </w:rPr>
              <w:t>2.</w:t>
            </w:r>
            <w:r>
              <w:rPr>
                <w:rFonts w:hint="default" w:ascii="方正仿宋简体" w:hAnsi="方正仿宋简体" w:eastAsia="方正仿宋简体" w:cs="方正仿宋简体"/>
                <w:i w:val="0"/>
                <w:iCs w:val="0"/>
                <w:caps w:val="0"/>
                <w:color w:val="auto"/>
                <w:spacing w:val="0"/>
                <w:sz w:val="21"/>
                <w:szCs w:val="21"/>
                <w:highlight w:val="none"/>
              </w:rPr>
              <w:t>质疑函的质疑事项应具体、明确，并有必要的事实依据和法律依据</w:t>
            </w:r>
            <w:r>
              <w:rPr>
                <w:rFonts w:hint="eastAsia" w:ascii="方正仿宋简体" w:hAnsi="方正仿宋简体" w:eastAsia="方正仿宋简体" w:cs="方正仿宋简体"/>
                <w:i w:val="0"/>
                <w:iCs w:val="0"/>
                <w:caps w:val="0"/>
                <w:color w:val="auto"/>
                <w:spacing w:val="0"/>
                <w:sz w:val="21"/>
                <w:szCs w:val="21"/>
                <w:highlight w:val="none"/>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3.</w:t>
            </w:r>
            <w:r>
              <w:rPr>
                <w:rFonts w:hint="default" w:ascii="方正仿宋简体" w:hAnsi="方正仿宋简体" w:eastAsia="方正仿宋简体" w:cs="方正仿宋简体"/>
                <w:i w:val="0"/>
                <w:iCs w:val="0"/>
                <w:caps w:val="0"/>
                <w:color w:val="auto"/>
                <w:spacing w:val="0"/>
                <w:sz w:val="21"/>
                <w:szCs w:val="21"/>
                <w:highlight w:val="none"/>
              </w:rPr>
              <w:t>质疑函的质疑请求应与质疑事项相关。</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4</w:t>
            </w:r>
            <w:r>
              <w:rPr>
                <w:rFonts w:hint="eastAsia" w:ascii="方正仿宋简体" w:hAnsi="方正仿宋简体" w:eastAsia="方正仿宋简体" w:cs="方正仿宋简体"/>
                <w:i w:val="0"/>
                <w:iCs w:val="0"/>
                <w:caps w:val="0"/>
                <w:color w:val="auto"/>
                <w:spacing w:val="0"/>
                <w:sz w:val="21"/>
                <w:szCs w:val="21"/>
                <w:highlight w:val="none"/>
              </w:rPr>
              <w:t>.</w:t>
            </w:r>
            <w:r>
              <w:rPr>
                <w:rFonts w:hint="eastAsia" w:ascii="方正仿宋简体" w:hAnsi="方正仿宋简体" w:eastAsia="方正仿宋简体" w:cs="方正仿宋简体"/>
                <w:i w:val="0"/>
                <w:iCs w:val="0"/>
                <w:caps w:val="0"/>
                <w:color w:val="auto"/>
                <w:spacing w:val="0"/>
                <w:sz w:val="21"/>
                <w:szCs w:val="21"/>
                <w:highlight w:val="none"/>
                <w:lang w:eastAsia="zh-CN"/>
              </w:rPr>
              <w:t>一份质疑函只能针对一个项目提出质疑，且针对同一</w:t>
            </w:r>
            <w:r>
              <w:rPr>
                <w:rFonts w:hint="eastAsia" w:ascii="方正仿宋简体" w:hAnsi="方正仿宋简体" w:eastAsia="方正仿宋简体" w:cs="方正仿宋简体"/>
                <w:i w:val="0"/>
                <w:iCs w:val="0"/>
                <w:caps w:val="0"/>
                <w:color w:val="auto"/>
                <w:spacing w:val="0"/>
                <w:sz w:val="21"/>
                <w:szCs w:val="21"/>
                <w:highlight w:val="none"/>
                <w:lang w:val="en-US" w:eastAsia="zh-CN"/>
              </w:rPr>
              <w:t>交易</w:t>
            </w:r>
            <w:r>
              <w:rPr>
                <w:rFonts w:hint="eastAsia" w:ascii="方正仿宋简体" w:hAnsi="方正仿宋简体" w:eastAsia="方正仿宋简体" w:cs="方正仿宋简体"/>
                <w:i w:val="0"/>
                <w:iCs w:val="0"/>
                <w:caps w:val="0"/>
                <w:color w:val="auto"/>
                <w:spacing w:val="0"/>
                <w:sz w:val="21"/>
                <w:szCs w:val="21"/>
                <w:highlight w:val="none"/>
                <w:lang w:eastAsia="zh-CN"/>
              </w:rPr>
              <w:t>程序环节的质疑应当一次性提出。</w:t>
            </w:r>
            <w:r>
              <w:rPr>
                <w:rFonts w:hint="eastAsia" w:ascii="方正仿宋简体" w:hAnsi="方正仿宋简体" w:eastAsia="方正仿宋简体" w:cs="方正仿宋简体"/>
                <w:i w:val="0"/>
                <w:iCs w:val="0"/>
                <w:caps w:val="0"/>
                <w:color w:val="auto"/>
                <w:spacing w:val="0"/>
                <w:sz w:val="21"/>
                <w:szCs w:val="21"/>
                <w:highlight w:val="none"/>
              </w:rPr>
              <w:t>质疑对一个项目的不同包提出质疑的</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rPr>
              <w:t>应当将各包质疑</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异议</w:t>
            </w:r>
            <w:r>
              <w:rPr>
                <w:rFonts w:hint="eastAsia" w:ascii="方正仿宋简体" w:hAnsi="方正仿宋简体" w:eastAsia="方正仿宋简体" w:cs="方正仿宋简体"/>
                <w:i w:val="0"/>
                <w:iCs w:val="0"/>
                <w:caps w:val="0"/>
                <w:color w:val="auto"/>
                <w:spacing w:val="0"/>
                <w:sz w:val="21"/>
                <w:szCs w:val="21"/>
                <w:highlight w:val="none"/>
              </w:rPr>
              <w:t>事项集中在一份质疑函中提出</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并在</w:t>
            </w:r>
            <w:r>
              <w:rPr>
                <w:rFonts w:hint="eastAsia" w:ascii="方正仿宋简体" w:hAnsi="方正仿宋简体" w:eastAsia="方正仿宋简体" w:cs="方正仿宋简体"/>
                <w:i w:val="0"/>
                <w:iCs w:val="0"/>
                <w:caps w:val="0"/>
                <w:color w:val="auto"/>
                <w:spacing w:val="0"/>
                <w:sz w:val="21"/>
                <w:szCs w:val="21"/>
                <w:highlight w:val="none"/>
              </w:rPr>
              <w:t>质疑函中列明具体分包号。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ascii="方正仿宋简体" w:hAnsi="方正仿宋简体" w:eastAsia="方正仿宋简体" w:cs="方正仿宋简体"/>
                <w:i w:val="0"/>
                <w:iCs w:val="0"/>
                <w:caps w:val="0"/>
                <w:color w:val="auto"/>
                <w:spacing w:val="0"/>
                <w:sz w:val="21"/>
                <w:szCs w:val="21"/>
                <w:highlight w:val="none"/>
                <w:lang w:val="en-US" w:eastAsia="zh-CN"/>
              </w:rPr>
              <w:t>5</w:t>
            </w:r>
            <w:r>
              <w:rPr>
                <w:rFonts w:hint="eastAsia" w:ascii="方正仿宋简体" w:hAnsi="方正仿宋简体" w:eastAsia="方正仿宋简体" w:cs="方正仿宋简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firstLineChars="200"/>
              <w:textAlignment w:val="auto"/>
              <w:rPr>
                <w:rFonts w:hint="default" w:ascii="方正仿宋简体" w:hAnsi="方正仿宋简体" w:eastAsia="方正仿宋简体" w:cs="方正仿宋简体"/>
                <w:i w:val="0"/>
                <w:iCs w:val="0"/>
                <w:caps w:val="0"/>
                <w:color w:val="auto"/>
                <w:spacing w:val="0"/>
                <w:sz w:val="21"/>
                <w:szCs w:val="21"/>
                <w:highlight w:val="none"/>
              </w:rPr>
            </w:pPr>
            <w:r>
              <w:rPr>
                <w:rFonts w:hint="eastAsia" w:eastAsia="宋体" w:cs="宋体"/>
                <w:i w:val="0"/>
                <w:iCs w:val="0"/>
                <w:caps w:val="0"/>
                <w:color w:val="auto"/>
                <w:spacing w:val="0"/>
                <w:sz w:val="21"/>
                <w:szCs w:val="21"/>
                <w:highlight w:val="none"/>
                <w:lang w:val="en-US" w:eastAsia="zh-CN"/>
              </w:rPr>
              <w:t>6</w:t>
            </w:r>
            <w:r>
              <w:rPr>
                <w:rFonts w:hint="eastAsia" w:ascii="宋体" w:hAnsi="宋体" w:eastAsia="宋体" w:cs="宋体"/>
                <w:i w:val="0"/>
                <w:iCs w:val="0"/>
                <w:caps w:val="0"/>
                <w:color w:val="auto"/>
                <w:spacing w:val="0"/>
                <w:sz w:val="21"/>
                <w:szCs w:val="21"/>
                <w:highlight w:val="none"/>
              </w:rPr>
              <w:t>.</w:t>
            </w:r>
            <w:r>
              <w:rPr>
                <w:rFonts w:hint="default" w:ascii="方正仿宋简体" w:hAnsi="方正仿宋简体" w:eastAsia="方正仿宋简体" w:cs="方正仿宋简体"/>
                <w:i w:val="0"/>
                <w:iCs w:val="0"/>
                <w:caps w:val="0"/>
                <w:color w:val="auto"/>
                <w:spacing w:val="0"/>
                <w:sz w:val="21"/>
                <w:szCs w:val="21"/>
                <w:highlight w:val="none"/>
              </w:rPr>
              <w:t>质疑供应商为自然人的，质疑函应由本人签字</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提供本人及代理人身份证复印件，并在复印件上签字</w:t>
            </w:r>
            <w:r>
              <w:rPr>
                <w:rFonts w:hint="default" w:ascii="方正仿宋简体" w:hAnsi="方正仿宋简体" w:eastAsia="方正仿宋简体" w:cs="方正仿宋简体"/>
                <w:i w:val="0"/>
                <w:iCs w:val="0"/>
                <w:caps w:val="0"/>
                <w:color w:val="auto"/>
                <w:spacing w:val="0"/>
                <w:sz w:val="21"/>
                <w:szCs w:val="21"/>
                <w:highlight w:val="none"/>
              </w:rPr>
              <w:t>；质疑供应商为法人或者其他组织的，质疑函应由法定代表人、主要负责人，或者其授权代表签字或者盖章，并加盖公章</w:t>
            </w:r>
            <w:r>
              <w:rPr>
                <w:rFonts w:hint="eastAsia" w:ascii="方正仿宋简体" w:hAnsi="方正仿宋简体" w:eastAsia="方正仿宋简体" w:cs="方正仿宋简体"/>
                <w:i w:val="0"/>
                <w:iCs w:val="0"/>
                <w:caps w:val="0"/>
                <w:color w:val="auto"/>
                <w:spacing w:val="0"/>
                <w:sz w:val="21"/>
                <w:szCs w:val="21"/>
                <w:highlight w:val="none"/>
                <w:lang w:eastAsia="zh-CN"/>
              </w:rPr>
              <w:t>，</w:t>
            </w:r>
            <w:r>
              <w:rPr>
                <w:rFonts w:hint="eastAsia" w:ascii="方正仿宋简体" w:hAnsi="方正仿宋简体" w:eastAsia="方正仿宋简体" w:cs="方正仿宋简体"/>
                <w:i w:val="0"/>
                <w:iCs w:val="0"/>
                <w:caps w:val="0"/>
                <w:color w:val="auto"/>
                <w:spacing w:val="0"/>
                <w:sz w:val="21"/>
                <w:szCs w:val="21"/>
                <w:highlight w:val="none"/>
                <w:lang w:val="en-US" w:eastAsia="zh-CN"/>
              </w:rPr>
              <w:t>同时提供法人证书复印件、代理人身份证复印件并加盖法人公章</w:t>
            </w:r>
            <w:r>
              <w:rPr>
                <w:rFonts w:hint="default" w:ascii="方正仿宋简体" w:hAnsi="方正仿宋简体" w:eastAsia="方正仿宋简体" w:cs="方正仿宋简体"/>
                <w:i w:val="0"/>
                <w:iCs w:val="0"/>
                <w:caps w:val="0"/>
                <w:color w:val="auto"/>
                <w:spacing w:val="0"/>
                <w:sz w:val="21"/>
                <w:szCs w:val="21"/>
                <w:highlight w:val="none"/>
              </w:rPr>
              <w:t>。</w:t>
            </w:r>
          </w:p>
          <w:p>
            <w:pPr>
              <w:widowControl/>
              <w:spacing w:line="400" w:lineRule="exact"/>
              <w:ind w:firstLine="420" w:firstLineChars="200"/>
              <w:jc w:val="left"/>
              <w:rPr>
                <w:rFonts w:hint="default" w:ascii="方正仿宋简体" w:hAnsi="方正仿宋简体" w:eastAsia="方正仿宋简体" w:cs="方正仿宋简体"/>
                <w:i w:val="0"/>
                <w:iCs w:val="0"/>
                <w:caps w:val="0"/>
                <w:color w:val="auto"/>
                <w:spacing w:val="0"/>
                <w:sz w:val="21"/>
                <w:szCs w:val="21"/>
                <w:highlight w:val="none"/>
                <w:lang w:val="en-US" w:eastAsia="zh-CN"/>
              </w:rPr>
            </w:pPr>
            <w:r>
              <w:rPr>
                <w:rFonts w:hint="eastAsia" w:ascii="方正仿宋简体" w:hAnsi="方正仿宋简体" w:eastAsia="方正仿宋简体" w:cs="方正仿宋简体"/>
                <w:b/>
                <w:bCs/>
                <w:i w:val="0"/>
                <w:iCs w:val="0"/>
                <w:caps w:val="0"/>
                <w:color w:val="auto"/>
                <w:spacing w:val="0"/>
                <w:kern w:val="0"/>
                <w:sz w:val="21"/>
                <w:szCs w:val="21"/>
                <w:highlight w:val="none"/>
                <w:lang w:val="en-US" w:eastAsia="zh-CN" w:bidi="ar-SA"/>
              </w:rPr>
              <w:t>7.质疑函份数要求：一式四份</w:t>
            </w:r>
            <w:r>
              <w:rPr>
                <w:rFonts w:hint="eastAsia" w:ascii="方正仿宋简体" w:hAnsi="方正仿宋简体" w:eastAsia="方正仿宋简体" w:cs="方正仿宋简体"/>
                <w:i w:val="0"/>
                <w:iCs w:val="0"/>
                <w:caps w:val="0"/>
                <w:color w:val="auto"/>
                <w:spacing w:val="0"/>
                <w:kern w:val="0"/>
                <w:sz w:val="21"/>
                <w:szCs w:val="21"/>
                <w:highlight w:val="none"/>
                <w:lang w:val="en-US" w:eastAsia="zh-CN" w:bidi="ar-SA"/>
              </w:rPr>
              <w:t>。</w:t>
            </w:r>
          </w:p>
        </w:tc>
      </w:tr>
    </w:tbl>
    <w:p>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宋体" w:hAnsi="宋体" w:eastAsia="宋体" w:cs="宋体"/>
          <w:b/>
          <w:bCs/>
          <w:color w:val="auto"/>
          <w:sz w:val="32"/>
          <w:szCs w:val="32"/>
          <w:highlight w:val="none"/>
          <w:lang w:val="en-US" w:eastAsia="zh-CN"/>
        </w:rPr>
      </w:pPr>
    </w:p>
    <w:p>
      <w:pPr>
        <w:rPr>
          <w:rFonts w:hint="eastAsia" w:ascii="宋体" w:hAnsi="宋体" w:eastAsia="宋体" w:cs="宋体"/>
          <w:b/>
          <w:bCs/>
          <w:color w:val="auto"/>
          <w:sz w:val="32"/>
          <w:szCs w:val="32"/>
          <w:highlight w:val="none"/>
          <w:lang w:val="en-US" w:eastAsia="zh-CN"/>
        </w:rPr>
      </w:pPr>
      <w:bookmarkStart w:id="715" w:name="_bookmark3"/>
      <w:bookmarkEnd w:id="715"/>
      <w:r>
        <w:rPr>
          <w:rFonts w:hint="eastAsia" w:ascii="宋体" w:hAnsi="宋体" w:eastAsia="宋体" w:cs="宋体"/>
          <w:b/>
          <w:bCs/>
          <w:color w:val="auto"/>
          <w:sz w:val="32"/>
          <w:szCs w:val="32"/>
          <w:highlight w:val="none"/>
          <w:lang w:val="en-US" w:eastAsia="zh-CN"/>
        </w:rPr>
        <w:br w:type="page"/>
      </w:r>
    </w:p>
    <w:p>
      <w:pPr>
        <w:keepNext w:val="0"/>
        <w:keepLines w:val="0"/>
        <w:pageBreakBefore w:val="0"/>
        <w:widowControl w:val="0"/>
        <w:kinsoku/>
        <w:wordWrap/>
        <w:overflowPunct/>
        <w:topLinePunct w:val="0"/>
        <w:autoSpaceDE w:val="0"/>
        <w:autoSpaceDN w:val="0"/>
        <w:bidi w:val="0"/>
        <w:adjustRightInd/>
        <w:snapToGrid/>
        <w:spacing w:line="440" w:lineRule="exact"/>
        <w:ind w:firstLine="1928" w:firstLineChars="600"/>
        <w:jc w:val="both"/>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6.</w:t>
      </w:r>
      <w:r>
        <w:rPr>
          <w:rFonts w:hint="eastAsia" w:cs="宋体"/>
          <w:b/>
          <w:bCs/>
          <w:color w:val="auto"/>
          <w:sz w:val="32"/>
          <w:szCs w:val="32"/>
          <w:highlight w:val="none"/>
          <w:lang w:val="en-US" w:eastAsia="zh-CN"/>
        </w:rPr>
        <w:t>6</w:t>
      </w:r>
      <w:r>
        <w:rPr>
          <w:rFonts w:hint="eastAsia" w:ascii="宋体" w:hAnsi="宋体" w:eastAsia="宋体" w:cs="宋体"/>
          <w:b/>
          <w:bCs/>
          <w:color w:val="auto"/>
          <w:sz w:val="32"/>
          <w:szCs w:val="32"/>
          <w:highlight w:val="none"/>
          <w:lang w:val="en-US" w:eastAsia="zh-CN"/>
        </w:rPr>
        <w:t xml:space="preserve"> 联合体共同投标合同书（可选）</w:t>
      </w:r>
    </w:p>
    <w:p>
      <w:pPr>
        <w:keepNext w:val="0"/>
        <w:keepLines w:val="0"/>
        <w:pageBreakBefore w:val="0"/>
        <w:widowControl w:val="0"/>
        <w:kinsoku/>
        <w:wordWrap/>
        <w:overflowPunct/>
        <w:topLinePunct w:val="0"/>
        <w:autoSpaceDE w:val="0"/>
        <w:autoSpaceDN w:val="0"/>
        <w:bidi w:val="0"/>
        <w:adjustRightInd/>
        <w:snapToGrid/>
        <w:spacing w:line="440" w:lineRule="exact"/>
        <w:ind w:firstLine="643" w:firstLineChars="2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联合体共同投标合同书</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3360" behindDoc="1" locked="0" layoutInCell="1" allowOverlap="1">
                <wp:simplePos x="0" y="0"/>
                <wp:positionH relativeFrom="page">
                  <wp:posOffset>1487170</wp:posOffset>
                </wp:positionH>
                <wp:positionV relativeFrom="paragraph">
                  <wp:posOffset>257810</wp:posOffset>
                </wp:positionV>
                <wp:extent cx="3999230" cy="0"/>
                <wp:effectExtent l="0" t="0" r="0" b="0"/>
                <wp:wrapNone/>
                <wp:docPr id="29" name="直接连接符 29"/>
                <wp:cNvGraphicFramePr/>
                <a:graphic xmlns:a="http://schemas.openxmlformats.org/drawingml/2006/main">
                  <a:graphicData uri="http://schemas.microsoft.com/office/word/2010/wordprocessingShape">
                    <wps:wsp>
                      <wps:cNvCnPr/>
                      <wps:spPr>
                        <a:xfrm>
                          <a:off x="0" y="0"/>
                          <a:ext cx="399923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7.1pt;margin-top:20.3pt;height:0pt;width:314.9pt;mso-position-horizontal-relative:page;z-index:-251653120;mso-width-relative:page;mso-height-relative:page;" filled="f" stroked="t" coordsize="21600,21600" o:gfxdata="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gvHDNYAAAAJAQAADwAAAAAA&#10;AAABACAAAAAiAAAAZHJzL2Rvd25yZXYueG1sUEsBAhQAFAAAAAgAh07iQDZrYHrcAQAAmAMAAA4A&#10;AAAAAAAAAQAgAAAAJQEAAGRycy9lMm9Eb2MueG1sUEsFBgAAAAAGAAYAWQEAAHMFAAAAAA==&#10;">
                <v:fill on="f" focussize="0,0"/>
                <v:stroke weight="0.6pt" color="#000000" joinstyle="round"/>
                <v:imagedata o:title=""/>
                <o:lock v:ext="edit" aspectratio="f"/>
              </v:line>
            </w:pict>
          </mc:Fallback>
        </mc:AlternateContent>
      </w:r>
      <w:r>
        <w:rPr>
          <w:rFonts w:hint="eastAsia" w:ascii="宋体" w:hAnsi="宋体" w:eastAsia="宋体" w:cs="宋体"/>
          <w:color w:val="auto"/>
          <w:sz w:val="28"/>
          <w:szCs w:val="28"/>
          <w:highlight w:val="none"/>
        </w:rPr>
        <w:t>立约方：（甲公司全称）</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（乙公司全称）</w:t>
      </w:r>
      <w:r>
        <w:rPr>
          <w:rFonts w:hint="eastAsia" w:ascii="宋体" w:hAnsi="宋体" w:eastAsia="宋体" w:cs="宋体"/>
          <w:color w:val="auto"/>
          <w:sz w:val="28"/>
          <w:szCs w:val="28"/>
          <w:highlight w:val="none"/>
        </w:rPr>
        <w:tab/>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（甲公司全称） 、 （乙公司全称）</w:t>
      </w:r>
      <w:r>
        <w:rPr>
          <w:rFonts w:hint="eastAsia" w:ascii="宋体" w:hAnsi="宋体" w:eastAsia="宋体" w:cs="宋体"/>
          <w:color w:val="auto"/>
          <w:sz w:val="28"/>
          <w:szCs w:val="28"/>
          <w:highlight w:val="none"/>
        </w:rPr>
        <w:t>自愿组成联合体，以一个</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的身份共同参加</w:t>
      </w:r>
      <w:r>
        <w:rPr>
          <w:rFonts w:hint="eastAsia" w:ascii="宋体" w:hAnsi="宋体" w:eastAsia="宋体" w:cs="宋体"/>
          <w:color w:val="auto"/>
          <w:sz w:val="28"/>
          <w:szCs w:val="28"/>
          <w:highlight w:val="none"/>
          <w:u w:val="single"/>
        </w:rPr>
        <w:t>（采购项目名称）</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（采购项目标号）</w:t>
      </w:r>
      <w:r>
        <w:rPr>
          <w:rFonts w:hint="eastAsia" w:ascii="宋体" w:hAnsi="宋体" w:eastAsia="宋体" w:cs="宋体"/>
          <w:color w:val="auto"/>
          <w:sz w:val="28"/>
          <w:szCs w:val="28"/>
          <w:highlight w:val="none"/>
        </w:rPr>
        <w:t>的投标活动。经各方充分协商一致，就项目的投标响应和合同实施阶段的有关事务协商一致订立合同如下：</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一、联合体各方关系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（甲公司全称）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（乙公司全称）</w:t>
      </w:r>
      <w:r>
        <w:rPr>
          <w:rFonts w:hint="eastAsia" w:ascii="宋体" w:hAnsi="宋体" w:eastAsia="宋体" w:cs="宋体"/>
          <w:color w:val="auto"/>
          <w:sz w:val="28"/>
          <w:szCs w:val="28"/>
          <w:highlight w:val="none"/>
        </w:rPr>
        <w:t>共同组成一个联合体，以一个投标响应供应商的身份共同参加本项目的投标响应。（甲公司全称）、</w:t>
      </w:r>
      <w:r>
        <w:rPr>
          <w:rFonts w:hint="eastAsia" w:ascii="宋体" w:hAnsi="宋体" w:eastAsia="宋体" w:cs="宋体"/>
          <w:color w:val="auto"/>
          <w:sz w:val="28"/>
          <w:szCs w:val="28"/>
          <w:highlight w:val="none"/>
          <w:u w:val="single"/>
        </w:rPr>
        <w:t>（乙公司全称）</w:t>
      </w:r>
      <w:r>
        <w:rPr>
          <w:rFonts w:hint="eastAsia" w:ascii="宋体" w:hAnsi="宋体" w:eastAsia="宋体" w:cs="宋体"/>
          <w:color w:val="auto"/>
          <w:sz w:val="28"/>
          <w:szCs w:val="28"/>
          <w:highlight w:val="none"/>
        </w:rPr>
        <w:t xml:space="preserve">作为联合体成员,若中标，联合体各方共同与 </w:t>
      </w:r>
      <w:r>
        <w:rPr>
          <w:rFonts w:hint="eastAsia" w:ascii="宋体" w:hAnsi="宋体" w:eastAsia="宋体" w:cs="宋体"/>
          <w:color w:val="auto"/>
          <w:sz w:val="28"/>
          <w:szCs w:val="28"/>
          <w:highlight w:val="none"/>
          <w:u w:val="single"/>
        </w:rPr>
        <w:t>(采购人）</w:t>
      </w:r>
      <w:r>
        <w:rPr>
          <w:rFonts w:hint="eastAsia" w:ascii="宋体" w:hAnsi="宋体" w:eastAsia="宋体" w:cs="宋体"/>
          <w:color w:val="auto"/>
          <w:sz w:val="28"/>
          <w:szCs w:val="28"/>
          <w:highlight w:val="none"/>
        </w:rPr>
        <w:t>签订政府采购合同。其中，（……公司全称）为联合体主办方。</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二、联合体内部有关事项约定如下：</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联合体由联合体共同授权人员负责与采购人联系。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联合体投标工作由联合体共同负责，由联合体各方组成的投标响应小组具体实施。</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联合体将严格按照</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的各项要求，递交投标响应文件，切实执行一切合同文件，共同承担合同规定的一切义务和责任，同时按照内部职责的划分（</w:t>
      </w:r>
      <w:r>
        <w:rPr>
          <w:rFonts w:hint="eastAsia" w:ascii="宋体" w:hAnsi="宋体" w:eastAsia="宋体" w:cs="宋体"/>
          <w:color w:val="auto"/>
          <w:sz w:val="28"/>
          <w:szCs w:val="28"/>
          <w:highlight w:val="none"/>
          <w:u w:val="single"/>
        </w:rPr>
        <w:t>约定各方拟承担的工作和责任</w:t>
      </w:r>
      <w:r>
        <w:rPr>
          <w:rFonts w:hint="eastAsia" w:ascii="宋体" w:hAnsi="宋体" w:eastAsia="宋体" w:cs="宋体"/>
          <w:color w:val="auto"/>
          <w:sz w:val="28"/>
          <w:szCs w:val="28"/>
          <w:highlight w:val="none"/>
        </w:rPr>
        <w:t>），承担自身所负的责任和风险，在法律在承担连带责任。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如中标，联合体各</w:t>
      </w:r>
      <w:r>
        <w:rPr>
          <w:rFonts w:hint="eastAsia" w:ascii="宋体" w:hAnsi="宋体" w:eastAsia="宋体" w:cs="宋体"/>
          <w:color w:val="auto"/>
          <w:sz w:val="28"/>
          <w:szCs w:val="28"/>
          <w:highlight w:val="none"/>
          <w:lang w:val="en-US" w:eastAsia="zh-CN"/>
        </w:rPr>
        <w:t>方共同与</w:t>
      </w:r>
      <w:r>
        <w:rPr>
          <w:rFonts w:hint="eastAsia" w:ascii="宋体" w:hAnsi="宋体" w:eastAsia="宋体" w:cs="宋体"/>
          <w:color w:val="auto"/>
          <w:sz w:val="28"/>
          <w:szCs w:val="28"/>
          <w:highlight w:val="none"/>
          <w:u w:val="single"/>
          <w:lang w:val="en-US" w:eastAsia="zh-CN"/>
        </w:rPr>
        <w:t>（采购人）</w:t>
      </w:r>
      <w:r>
        <w:rPr>
          <w:rFonts w:hint="eastAsia" w:ascii="宋体" w:hAnsi="宋体" w:eastAsia="宋体" w:cs="宋体"/>
          <w:color w:val="auto"/>
          <w:sz w:val="28"/>
          <w:szCs w:val="28"/>
          <w:highlight w:val="none"/>
        </w:rPr>
        <w:t>签订合同书，并就中标项目向采购人负责有连带的和各自的法律责任；</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联合体各方不得再以自己名义参与本项目投标响应，联合体各方不能作为其它联合体或单独投标响应单位的项目组成员参加本项目投标响应。因发生上述问题导致联合体投标响应成为废标，联合体的其他成员可追究其违约责任和经济损失。</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四、联合体如因违约过失责任而导致采购人经济损失或被索赔时，本联合体任何一方均同意无条件优先清偿采购人的一切债务和经济赔偿。</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五、本合同在自签署之日起生效，投标有效期内有效，如获中标，合同有效期延续至合同履行完毕之日。</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9504" behindDoc="0" locked="0" layoutInCell="1" allowOverlap="1">
                <wp:simplePos x="0" y="0"/>
                <wp:positionH relativeFrom="page">
                  <wp:posOffset>3740150</wp:posOffset>
                </wp:positionH>
                <wp:positionV relativeFrom="paragraph">
                  <wp:posOffset>151130</wp:posOffset>
                </wp:positionV>
                <wp:extent cx="202565"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202565" cy="0"/>
                        </a:xfrm>
                        <a:prstGeom prst="line">
                          <a:avLst/>
                        </a:prstGeom>
                        <a:ln w="6096"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4.5pt;margin-top:11.9pt;height:0pt;width:15.95pt;mso-position-horizontal-relative:page;z-index:251669504;mso-width-relative:page;mso-height-relative:page;" filled="f" stroked="t" coordsize="21600,21600" o:gfxdata="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534fNgAAAAJAQAADwAAAAAA&#10;AAABACAAAAAiAAAAZHJzL2Rvd25yZXYueG1sUEsBAhQAFAAAAAgAh07iQNdwBBXaAQAAlwMAAA4A&#10;AAAAAAAAAQAgAAAAJwEAAGRycy9lMm9Eb2MueG1sUEsFBgAAAAAGAAYAWQEAAHMFAAAAAA==&#10;">
                <v:fill on="f" focussize="0,0"/>
                <v:stroke weight="0.48pt" color="#000000" joinstyle="round"/>
                <v:imagedata o:title=""/>
                <o:lock v:ext="edit" aspectratio="f"/>
              </v:line>
            </w:pict>
          </mc:Fallback>
        </mc:AlternateContent>
      </w:r>
      <w:r>
        <w:rPr>
          <w:rFonts w:hint="eastAsia" w:ascii="宋体" w:hAnsi="宋体" w:eastAsia="宋体" w:cs="宋体"/>
          <w:color w:val="auto"/>
          <w:sz w:val="28"/>
          <w:szCs w:val="28"/>
          <w:highlight w:val="none"/>
        </w:rPr>
        <w:t>六、本合同书正本一式</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份，随</w:t>
      </w:r>
      <w:r>
        <w:rPr>
          <w:rFonts w:hint="eastAsia" w:ascii="宋体" w:hAnsi="宋体" w:eastAsia="宋体" w:cs="宋体"/>
          <w:color w:val="auto"/>
          <w:sz w:val="28"/>
          <w:szCs w:val="28"/>
          <w:highlight w:val="none"/>
          <w:lang w:eastAsia="zh-CN"/>
        </w:rPr>
        <w:t>响应文件</w:t>
      </w:r>
      <w:r>
        <w:rPr>
          <w:rFonts w:hint="eastAsia" w:ascii="宋体" w:hAnsi="宋体" w:eastAsia="宋体" w:cs="宋体"/>
          <w:color w:val="auto"/>
          <w:sz w:val="28"/>
          <w:szCs w:val="28"/>
          <w:highlight w:val="none"/>
        </w:rPr>
        <w:t>装订</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份，送采购人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份，联合体成员各一份；副本一式</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份，联合体成员各执</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份。</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p>
    <w:p>
      <w:pPr>
        <w:bidi w:val="0"/>
        <w:spacing w:line="360" w:lineRule="auto"/>
        <w:rPr>
          <w:rFonts w:hint="eastAsia" w:ascii="宋体" w:hAnsi="宋体" w:eastAsia="宋体" w:cs="宋体"/>
          <w:color w:val="auto"/>
          <w:sz w:val="28"/>
          <w:szCs w:val="28"/>
          <w:highlight w:val="none"/>
          <w:lang w:val="zh-CN" w:eastAsia="zh-CN" w:bidi="zh-CN"/>
        </w:rPr>
      </w:pPr>
    </w:p>
    <w:p>
      <w:pPr>
        <w:bidi w:val="0"/>
        <w:spacing w:line="360" w:lineRule="auto"/>
        <w:rPr>
          <w:rFonts w:hint="eastAsia"/>
          <w:color w:val="auto"/>
          <w:sz w:val="28"/>
          <w:szCs w:val="28"/>
          <w:highlight w:val="none"/>
          <w:lang w:val="zh-CN" w:eastAsia="zh-CN"/>
        </w:rPr>
      </w:pPr>
    </w:p>
    <w:p>
      <w:pPr>
        <w:bidi w:val="0"/>
        <w:spacing w:line="360" w:lineRule="auto"/>
        <w:rPr>
          <w:rFonts w:hint="eastAsia"/>
          <w:color w:val="auto"/>
          <w:sz w:val="28"/>
          <w:szCs w:val="28"/>
          <w:highlight w:val="none"/>
          <w:lang w:val="zh-CN" w:eastAsia="zh-CN"/>
        </w:rPr>
      </w:pPr>
    </w:p>
    <w:p>
      <w:pPr>
        <w:bidi w:val="0"/>
        <w:spacing w:line="360" w:lineRule="auto"/>
        <w:rPr>
          <w:rFonts w:hint="eastAsia"/>
          <w:color w:val="auto"/>
          <w:sz w:val="28"/>
          <w:szCs w:val="28"/>
          <w:highlight w:val="none"/>
          <w:lang w:val="zh-CN" w:eastAsia="zh-CN"/>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甲公司全称：（公章）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乙公司全称：（公章）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法定代表人：（签名或盖私章）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法定代表人：（签名或盖私章）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rPr>
        <w:tab/>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 xml:space="preserve">                 </w:t>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月</w:t>
      </w:r>
      <w:r>
        <w:rPr>
          <w:rFonts w:hint="eastAsia"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日</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注：1．联合投标时需签本合同，联合体</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方成员应在本合同上共同盖章确认。</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cs="宋体"/>
          <w:color w:val="auto"/>
          <w:sz w:val="24"/>
          <w:szCs w:val="24"/>
          <w:highlight w:val="none"/>
          <w:lang w:val="en-US" w:eastAsia="zh-CN"/>
        </w:rPr>
      </w:pPr>
      <w:r>
        <w:rPr>
          <w:rFonts w:hint="eastAsia" w:ascii="宋体" w:hAnsi="宋体" w:eastAsia="宋体" w:cs="宋体"/>
          <w:color w:val="auto"/>
          <w:sz w:val="28"/>
          <w:szCs w:val="28"/>
          <w:highlight w:val="none"/>
        </w:rPr>
        <w:t>2．本合同内容不得擅自修改。此合同将作为签</w:t>
      </w:r>
      <w:r>
        <w:rPr>
          <w:rFonts w:hint="eastAsia" w:ascii="宋体" w:hAnsi="宋体" w:eastAsia="宋体" w:cs="宋体"/>
          <w:color w:val="auto"/>
          <w:sz w:val="28"/>
          <w:szCs w:val="28"/>
          <w:highlight w:val="none"/>
          <w:lang w:val="en-US" w:eastAsia="zh-CN"/>
        </w:rPr>
        <w:t>订合同的依据</w:t>
      </w:r>
      <w:r>
        <w:rPr>
          <w:rFonts w:hint="eastAsia" w:cs="宋体"/>
          <w:color w:val="auto"/>
          <w:sz w:val="24"/>
          <w:szCs w:val="24"/>
          <w:highlight w:val="none"/>
          <w:lang w:val="en-US" w:eastAsia="zh-CN"/>
        </w:rPr>
        <w:t>。</w:t>
      </w:r>
    </w:p>
    <w:p>
      <w:pPr>
        <w:bidi w:val="0"/>
        <w:rPr>
          <w:rFonts w:hint="default" w:ascii="宋体" w:hAnsi="宋体" w:eastAsia="宋体" w:cs="宋体"/>
          <w:color w:val="auto"/>
          <w:sz w:val="22"/>
          <w:szCs w:val="22"/>
          <w:highlight w:val="none"/>
          <w:lang w:val="en-US" w:eastAsia="zh-CN" w:bidi="zh-CN"/>
        </w:rPr>
      </w:pPr>
    </w:p>
    <w:p>
      <w:pPr>
        <w:bidi w:val="0"/>
        <w:rPr>
          <w:rFonts w:hint="default"/>
          <w:color w:val="auto"/>
          <w:highlight w:val="none"/>
          <w:lang w:val="en-US" w:eastAsia="zh-CN"/>
        </w:rPr>
      </w:pPr>
    </w:p>
    <w:p>
      <w:pPr>
        <w:rPr>
          <w:rFonts w:hint="default"/>
          <w:color w:val="auto"/>
          <w:highlight w:val="none"/>
          <w:lang w:val="en-US" w:eastAsia="zh-CN"/>
        </w:rPr>
      </w:pPr>
      <w:r>
        <w:rPr>
          <w:rFonts w:hint="default"/>
          <w:color w:val="auto"/>
          <w:highlight w:val="none"/>
          <w:lang w:val="en-US" w:eastAsia="zh-CN"/>
        </w:rPr>
        <w:br w:type="page"/>
      </w:r>
    </w:p>
    <w:p>
      <w:pPr>
        <w:pStyle w:val="4"/>
        <w:keepNext w:val="0"/>
        <w:keepLines w:val="0"/>
        <w:spacing w:line="40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施工组织设计</w:t>
      </w:r>
    </w:p>
    <w:p>
      <w:pPr>
        <w:spacing w:line="4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1.投标人编制施工组织设计时应采用文字并结合图表形式说明工程的施工组织、施工方法、技术组织措施，同时应对关键工序、复杂环节重点提出相应技术措施，如冬雨季施工技术、减少噪音、降低环境污染、地下管线及其他地上地下设施的保护加固措施等。施工组织设计还应结合工程特点提出切实可行的工程质量、工程进度、安全生产、防汛度汛、文明施工、水土保持、环境保护管理方案。</w:t>
      </w:r>
    </w:p>
    <w:p>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施工组织设计应附的文字说明及配图见下表（不限于,仅供参考）：</w:t>
      </w:r>
    </w:p>
    <w:tbl>
      <w:tblPr>
        <w:tblStyle w:val="1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6008"/>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120" w:type="dxa"/>
            <w:noWrap w:val="0"/>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6008" w:type="dxa"/>
            <w:noWrap w:val="0"/>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名           称</w:t>
            </w:r>
          </w:p>
        </w:tc>
        <w:tc>
          <w:tcPr>
            <w:tcW w:w="2761" w:type="dxa"/>
            <w:noWrap w:val="0"/>
            <w:vAlign w:val="center"/>
          </w:tcPr>
          <w:p>
            <w:pPr>
              <w:spacing w:line="40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施工围堰设计说明书及附图（包括加高、维护、拆除）</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施工排水设计说明书及附图（包括降水方案、场地排水等）</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9"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材料采购（黄砂、碎石、块石的产地、矿名等均应明示，钢材、水泥的生产厂家，转运方案：卸料、短驳、运输、道路维护等）</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土方工程施工说明书及附图（施工工艺及质量保证措施和有关试验要求，施工进度工期计划等）</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基坑支护、地基加固工程施工说明书及附图（施工工艺及质量保证措施和有关试验要求，施工进度工期计划等）</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主体建筑物工程施工说明书及附图（施工工艺及质量保证措施和有关试验要求，施工进度工期计划等）</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7</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金属结构制造和安装计划、措施及附图</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8</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机电设备安装、调试方案、施工进度计划说明书</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9</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建筑与装修工程施工说明书（施工工艺及质量保证措施，施工进度工期计划等）</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10</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工程质量管理方案</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11</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安全生产管理方案</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12</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防汛度汛</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13</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文明工地建设措施，为其他承包人提供方便的措施等</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14</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水土保持、环境保护管理方案</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其他有关工程的施工工艺及进度计划</w:t>
            </w:r>
          </w:p>
        </w:tc>
        <w:tc>
          <w:tcPr>
            <w:tcW w:w="2761" w:type="dxa"/>
            <w:noWrap w:val="0"/>
            <w:vAlign w:val="center"/>
          </w:tcPr>
          <w:p>
            <w:pPr>
              <w:spacing w:line="40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20" w:type="dxa"/>
            <w:noWrap w:val="0"/>
            <w:vAlign w:val="center"/>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16</w:t>
            </w:r>
          </w:p>
        </w:tc>
        <w:tc>
          <w:tcPr>
            <w:tcW w:w="6008" w:type="dxa"/>
            <w:noWrap w:val="0"/>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有关施工建议</w:t>
            </w:r>
          </w:p>
        </w:tc>
        <w:tc>
          <w:tcPr>
            <w:tcW w:w="2761" w:type="dxa"/>
            <w:noWrap w:val="0"/>
            <w:vAlign w:val="center"/>
          </w:tcPr>
          <w:p>
            <w:pPr>
              <w:spacing w:line="400" w:lineRule="exact"/>
              <w:jc w:val="center"/>
              <w:rPr>
                <w:rFonts w:hint="eastAsia" w:ascii="宋体" w:hAnsi="宋体" w:eastAsia="宋体" w:cs="宋体"/>
                <w:sz w:val="24"/>
                <w:szCs w:val="24"/>
              </w:rPr>
            </w:pPr>
          </w:p>
        </w:tc>
      </w:tr>
    </w:tbl>
    <w:p>
      <w:pPr>
        <w:tabs>
          <w:tab w:val="left" w:pos="720"/>
        </w:tabs>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2.施工组织设计除采用文字表述外应附下列图表,图表及格式要求附后。</w:t>
      </w:r>
    </w:p>
    <w:p>
      <w:pPr>
        <w:tabs>
          <w:tab w:val="left" w:pos="720"/>
        </w:tabs>
        <w:spacing w:line="40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附表一  拟投入本标段的主要施工设备表</w:t>
      </w:r>
    </w:p>
    <w:p>
      <w:pPr>
        <w:tabs>
          <w:tab w:val="left" w:pos="720"/>
        </w:tabs>
        <w:spacing w:line="40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附表二  拟投入本标段的实验和检测仪器设备表</w:t>
      </w:r>
    </w:p>
    <w:p>
      <w:pPr>
        <w:tabs>
          <w:tab w:val="left" w:pos="720"/>
        </w:tabs>
        <w:spacing w:line="40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附表三  拟投入本标段的劳动力计划表</w:t>
      </w:r>
    </w:p>
    <w:p>
      <w:pPr>
        <w:tabs>
          <w:tab w:val="left" w:pos="720"/>
        </w:tabs>
        <w:spacing w:line="40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附表四  计划开工日期、完工日期和施工进度网络图</w:t>
      </w:r>
    </w:p>
    <w:p>
      <w:pPr>
        <w:tabs>
          <w:tab w:val="left" w:pos="720"/>
        </w:tabs>
        <w:spacing w:line="40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附表五  施工总平面图</w:t>
      </w:r>
    </w:p>
    <w:p>
      <w:pPr>
        <w:tabs>
          <w:tab w:val="left" w:pos="720"/>
        </w:tabs>
        <w:spacing w:line="400" w:lineRule="exact"/>
        <w:ind w:firstLine="864" w:firstLineChars="360"/>
        <w:rPr>
          <w:rFonts w:hint="eastAsia" w:ascii="宋体" w:hAnsi="宋体" w:eastAsia="宋体" w:cs="宋体"/>
          <w:sz w:val="24"/>
          <w:szCs w:val="24"/>
        </w:rPr>
      </w:pPr>
      <w:r>
        <w:rPr>
          <w:rFonts w:hint="eastAsia" w:ascii="宋体" w:hAnsi="宋体" w:eastAsia="宋体" w:cs="宋体"/>
          <w:sz w:val="24"/>
          <w:szCs w:val="24"/>
        </w:rPr>
        <w:t>附表六  临时用地表</w:t>
      </w:r>
    </w:p>
    <w:p>
      <w:pPr>
        <w:spacing w:line="400" w:lineRule="exact"/>
        <w:rPr>
          <w:rFonts w:hint="eastAsia" w:ascii="宋体" w:hAnsi="宋体" w:eastAsia="宋体" w:cs="宋体"/>
          <w:b/>
          <w:sz w:val="24"/>
          <w:szCs w:val="24"/>
        </w:rPr>
      </w:pPr>
      <w:r>
        <w:rPr>
          <w:rFonts w:hint="default"/>
          <w:color w:val="auto"/>
          <w:highlight w:val="none"/>
          <w:lang w:val="en-US" w:eastAsia="zh-CN"/>
        </w:rPr>
        <w:br w:type="page"/>
      </w:r>
      <w:bookmarkStart w:id="716" w:name="_Toc221952073"/>
      <w:bookmarkStart w:id="717" w:name="_Toc168476327"/>
      <w:bookmarkStart w:id="718" w:name="_Toc168475924"/>
      <w:bookmarkStart w:id="719" w:name="_Toc144974865"/>
      <w:bookmarkStart w:id="720" w:name="_Toc264889003"/>
      <w:r>
        <w:rPr>
          <w:rFonts w:hint="eastAsia" w:ascii="宋体" w:hAnsi="宋体" w:eastAsia="宋体" w:cs="宋体"/>
          <w:b/>
          <w:sz w:val="24"/>
          <w:szCs w:val="24"/>
        </w:rPr>
        <w:t>附表一：拟投入本标段的主要施工设备表</w:t>
      </w:r>
      <w:bookmarkEnd w:id="716"/>
      <w:bookmarkEnd w:id="717"/>
      <w:bookmarkEnd w:id="718"/>
      <w:bookmarkEnd w:id="719"/>
      <w:bookmarkEnd w:id="720"/>
    </w:p>
    <w:p>
      <w:pPr>
        <w:spacing w:line="400" w:lineRule="exact"/>
        <w:rPr>
          <w:rFonts w:hint="eastAsia" w:ascii="宋体" w:hAnsi="宋体" w:eastAsia="宋体" w:cs="宋体"/>
          <w:sz w:val="24"/>
          <w:szCs w:val="24"/>
        </w:rPr>
      </w:pPr>
    </w:p>
    <w:tbl>
      <w:tblPr>
        <w:tblStyle w:val="19"/>
        <w:tblW w:w="9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25"/>
        <w:gridCol w:w="857"/>
        <w:gridCol w:w="1116"/>
        <w:gridCol w:w="758"/>
        <w:gridCol w:w="832"/>
        <w:gridCol w:w="1367"/>
        <w:gridCol w:w="986"/>
        <w:gridCol w:w="1190"/>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1" w:hRule="atLeast"/>
        </w:trPr>
        <w:tc>
          <w:tcPr>
            <w:tcW w:w="751" w:type="dxa"/>
            <w:noWrap w:val="0"/>
            <w:vAlign w:val="top"/>
          </w:tcPr>
          <w:p>
            <w:pPr>
              <w:spacing w:line="400" w:lineRule="exact"/>
              <w:rPr>
                <w:rFonts w:hint="eastAsia" w:ascii="宋体" w:hAnsi="宋体" w:eastAsia="宋体" w:cs="宋体"/>
                <w:sz w:val="24"/>
                <w:szCs w:val="24"/>
              </w:rPr>
            </w:pPr>
            <w:bookmarkStart w:id="721" w:name="_Toc221952074"/>
            <w:r>
              <w:rPr>
                <w:rFonts w:hint="eastAsia" w:ascii="宋体" w:hAnsi="宋体" w:eastAsia="宋体" w:cs="宋体"/>
                <w:sz w:val="24"/>
                <w:szCs w:val="24"/>
              </w:rPr>
              <w:t>序号</w:t>
            </w:r>
            <w:bookmarkEnd w:id="721"/>
          </w:p>
        </w:tc>
        <w:tc>
          <w:tcPr>
            <w:tcW w:w="1225" w:type="dxa"/>
            <w:noWrap w:val="0"/>
            <w:vAlign w:val="top"/>
          </w:tcPr>
          <w:p>
            <w:pPr>
              <w:spacing w:line="400" w:lineRule="exact"/>
              <w:rPr>
                <w:rFonts w:hint="eastAsia" w:ascii="宋体" w:hAnsi="宋体" w:eastAsia="宋体" w:cs="宋体"/>
                <w:sz w:val="24"/>
                <w:szCs w:val="24"/>
              </w:rPr>
            </w:pPr>
            <w:bookmarkStart w:id="722" w:name="_Toc221952075"/>
            <w:r>
              <w:rPr>
                <w:rFonts w:hint="eastAsia" w:ascii="宋体" w:hAnsi="宋体" w:eastAsia="宋体" w:cs="宋体"/>
                <w:sz w:val="24"/>
                <w:szCs w:val="24"/>
              </w:rPr>
              <w:t>设备名称</w:t>
            </w:r>
            <w:bookmarkEnd w:id="722"/>
          </w:p>
        </w:tc>
        <w:tc>
          <w:tcPr>
            <w:tcW w:w="857" w:type="dxa"/>
            <w:noWrap w:val="0"/>
            <w:vAlign w:val="top"/>
          </w:tcPr>
          <w:p>
            <w:pPr>
              <w:spacing w:line="400" w:lineRule="exact"/>
              <w:rPr>
                <w:rFonts w:hint="eastAsia" w:ascii="宋体" w:hAnsi="宋体" w:eastAsia="宋体" w:cs="宋体"/>
                <w:sz w:val="24"/>
                <w:szCs w:val="24"/>
              </w:rPr>
            </w:pPr>
            <w:bookmarkStart w:id="723" w:name="_Toc221952076"/>
            <w:r>
              <w:rPr>
                <w:rFonts w:hint="eastAsia" w:ascii="宋体" w:hAnsi="宋体" w:eastAsia="宋体" w:cs="宋体"/>
                <w:sz w:val="24"/>
                <w:szCs w:val="24"/>
              </w:rPr>
              <w:t>型号</w:t>
            </w:r>
            <w:bookmarkEnd w:id="723"/>
          </w:p>
          <w:p>
            <w:pPr>
              <w:spacing w:line="400" w:lineRule="exact"/>
              <w:rPr>
                <w:rFonts w:hint="eastAsia" w:ascii="宋体" w:hAnsi="宋体" w:eastAsia="宋体" w:cs="宋体"/>
                <w:sz w:val="24"/>
                <w:szCs w:val="24"/>
              </w:rPr>
            </w:pPr>
            <w:bookmarkStart w:id="724" w:name="_Toc221952077"/>
            <w:r>
              <w:rPr>
                <w:rFonts w:hint="eastAsia" w:ascii="宋体" w:hAnsi="宋体" w:eastAsia="宋体" w:cs="宋体"/>
                <w:sz w:val="24"/>
                <w:szCs w:val="24"/>
              </w:rPr>
              <w:t>规格</w:t>
            </w:r>
            <w:bookmarkEnd w:id="724"/>
          </w:p>
        </w:tc>
        <w:tc>
          <w:tcPr>
            <w:tcW w:w="1116" w:type="dxa"/>
            <w:noWrap w:val="0"/>
            <w:vAlign w:val="top"/>
          </w:tcPr>
          <w:p>
            <w:pPr>
              <w:spacing w:line="400" w:lineRule="exact"/>
              <w:rPr>
                <w:rFonts w:hint="eastAsia" w:ascii="宋体" w:hAnsi="宋体" w:eastAsia="宋体" w:cs="宋体"/>
                <w:sz w:val="24"/>
                <w:szCs w:val="24"/>
              </w:rPr>
            </w:pPr>
            <w:bookmarkStart w:id="725" w:name="_Toc221952078"/>
            <w:r>
              <w:rPr>
                <w:rFonts w:hint="eastAsia" w:ascii="宋体" w:hAnsi="宋体" w:eastAsia="宋体" w:cs="宋体"/>
                <w:sz w:val="24"/>
                <w:szCs w:val="24"/>
              </w:rPr>
              <w:t>数量</w:t>
            </w:r>
            <w:bookmarkEnd w:id="725"/>
          </w:p>
        </w:tc>
        <w:tc>
          <w:tcPr>
            <w:tcW w:w="758" w:type="dxa"/>
            <w:noWrap w:val="0"/>
            <w:vAlign w:val="top"/>
          </w:tcPr>
          <w:p>
            <w:pPr>
              <w:spacing w:line="400" w:lineRule="exact"/>
              <w:rPr>
                <w:rFonts w:hint="eastAsia" w:ascii="宋体" w:hAnsi="宋体" w:eastAsia="宋体" w:cs="宋体"/>
                <w:sz w:val="24"/>
                <w:szCs w:val="24"/>
              </w:rPr>
            </w:pPr>
            <w:bookmarkStart w:id="726" w:name="_Toc221952079"/>
            <w:r>
              <w:rPr>
                <w:rFonts w:hint="eastAsia" w:ascii="宋体" w:hAnsi="宋体" w:eastAsia="宋体" w:cs="宋体"/>
                <w:sz w:val="24"/>
                <w:szCs w:val="24"/>
              </w:rPr>
              <w:t>国别</w:t>
            </w:r>
            <w:bookmarkEnd w:id="726"/>
          </w:p>
          <w:p>
            <w:pPr>
              <w:spacing w:line="400" w:lineRule="exact"/>
              <w:rPr>
                <w:rFonts w:hint="eastAsia" w:ascii="宋体" w:hAnsi="宋体" w:eastAsia="宋体" w:cs="宋体"/>
                <w:sz w:val="24"/>
                <w:szCs w:val="24"/>
              </w:rPr>
            </w:pPr>
            <w:bookmarkStart w:id="727" w:name="_Toc221952080"/>
            <w:r>
              <w:rPr>
                <w:rFonts w:hint="eastAsia" w:ascii="宋体" w:hAnsi="宋体" w:eastAsia="宋体" w:cs="宋体"/>
                <w:sz w:val="24"/>
                <w:szCs w:val="24"/>
              </w:rPr>
              <w:t>产地</w:t>
            </w:r>
            <w:bookmarkEnd w:id="727"/>
          </w:p>
        </w:tc>
        <w:tc>
          <w:tcPr>
            <w:tcW w:w="832" w:type="dxa"/>
            <w:noWrap w:val="0"/>
            <w:vAlign w:val="top"/>
          </w:tcPr>
          <w:p>
            <w:pPr>
              <w:spacing w:line="400" w:lineRule="exact"/>
              <w:rPr>
                <w:rFonts w:hint="eastAsia" w:ascii="宋体" w:hAnsi="宋体" w:eastAsia="宋体" w:cs="宋体"/>
                <w:sz w:val="24"/>
                <w:szCs w:val="24"/>
              </w:rPr>
            </w:pPr>
            <w:bookmarkStart w:id="728" w:name="_Toc221952081"/>
            <w:r>
              <w:rPr>
                <w:rFonts w:hint="eastAsia" w:ascii="宋体" w:hAnsi="宋体" w:eastAsia="宋体" w:cs="宋体"/>
                <w:sz w:val="24"/>
                <w:szCs w:val="24"/>
              </w:rPr>
              <w:t>制造</w:t>
            </w:r>
            <w:bookmarkEnd w:id="728"/>
          </w:p>
          <w:p>
            <w:pPr>
              <w:spacing w:line="400" w:lineRule="exact"/>
              <w:rPr>
                <w:rFonts w:hint="eastAsia" w:ascii="宋体" w:hAnsi="宋体" w:eastAsia="宋体" w:cs="宋体"/>
                <w:sz w:val="24"/>
                <w:szCs w:val="24"/>
              </w:rPr>
            </w:pPr>
            <w:bookmarkStart w:id="729" w:name="_Toc221952082"/>
            <w:r>
              <w:rPr>
                <w:rFonts w:hint="eastAsia" w:ascii="宋体" w:hAnsi="宋体" w:eastAsia="宋体" w:cs="宋体"/>
                <w:sz w:val="24"/>
                <w:szCs w:val="24"/>
              </w:rPr>
              <w:t>年份</w:t>
            </w:r>
            <w:bookmarkEnd w:id="729"/>
          </w:p>
        </w:tc>
        <w:tc>
          <w:tcPr>
            <w:tcW w:w="1367" w:type="dxa"/>
            <w:noWrap w:val="0"/>
            <w:vAlign w:val="top"/>
          </w:tcPr>
          <w:p>
            <w:pPr>
              <w:spacing w:line="400" w:lineRule="exact"/>
              <w:rPr>
                <w:rFonts w:hint="eastAsia" w:ascii="宋体" w:hAnsi="宋体" w:eastAsia="宋体" w:cs="宋体"/>
                <w:sz w:val="24"/>
                <w:szCs w:val="24"/>
              </w:rPr>
            </w:pPr>
            <w:bookmarkStart w:id="730" w:name="_Toc221952083"/>
            <w:r>
              <w:rPr>
                <w:rFonts w:hint="eastAsia" w:ascii="宋体" w:hAnsi="宋体" w:eastAsia="宋体" w:cs="宋体"/>
                <w:sz w:val="24"/>
                <w:szCs w:val="24"/>
              </w:rPr>
              <w:t>额定功率（KW）</w:t>
            </w:r>
            <w:bookmarkEnd w:id="730"/>
          </w:p>
        </w:tc>
        <w:tc>
          <w:tcPr>
            <w:tcW w:w="986" w:type="dxa"/>
            <w:noWrap w:val="0"/>
            <w:vAlign w:val="top"/>
          </w:tcPr>
          <w:p>
            <w:pPr>
              <w:spacing w:line="400" w:lineRule="exact"/>
              <w:rPr>
                <w:rFonts w:hint="eastAsia" w:ascii="宋体" w:hAnsi="宋体" w:eastAsia="宋体" w:cs="宋体"/>
                <w:sz w:val="24"/>
                <w:szCs w:val="24"/>
              </w:rPr>
            </w:pPr>
            <w:bookmarkStart w:id="731" w:name="_Toc221952084"/>
            <w:r>
              <w:rPr>
                <w:rFonts w:hint="eastAsia" w:ascii="宋体" w:hAnsi="宋体" w:eastAsia="宋体" w:cs="宋体"/>
                <w:sz w:val="24"/>
                <w:szCs w:val="24"/>
              </w:rPr>
              <w:t>生产</w:t>
            </w:r>
            <w:bookmarkEnd w:id="731"/>
          </w:p>
          <w:p>
            <w:pPr>
              <w:spacing w:line="400" w:lineRule="exact"/>
              <w:rPr>
                <w:rFonts w:hint="eastAsia" w:ascii="宋体" w:hAnsi="宋体" w:eastAsia="宋体" w:cs="宋体"/>
                <w:sz w:val="24"/>
                <w:szCs w:val="24"/>
              </w:rPr>
            </w:pPr>
            <w:bookmarkStart w:id="732" w:name="_Toc221952085"/>
            <w:r>
              <w:rPr>
                <w:rFonts w:hint="eastAsia" w:ascii="宋体" w:hAnsi="宋体" w:eastAsia="宋体" w:cs="宋体"/>
                <w:sz w:val="24"/>
                <w:szCs w:val="24"/>
              </w:rPr>
              <w:t>能力</w:t>
            </w:r>
            <w:bookmarkEnd w:id="732"/>
          </w:p>
        </w:tc>
        <w:tc>
          <w:tcPr>
            <w:tcW w:w="1190" w:type="dxa"/>
            <w:noWrap w:val="0"/>
            <w:vAlign w:val="top"/>
          </w:tcPr>
          <w:p>
            <w:pPr>
              <w:spacing w:line="400" w:lineRule="exact"/>
              <w:rPr>
                <w:rFonts w:hint="eastAsia" w:ascii="宋体" w:hAnsi="宋体" w:eastAsia="宋体" w:cs="宋体"/>
                <w:sz w:val="24"/>
                <w:szCs w:val="24"/>
              </w:rPr>
            </w:pPr>
            <w:bookmarkStart w:id="733" w:name="_Toc221952086"/>
            <w:r>
              <w:rPr>
                <w:rFonts w:hint="eastAsia" w:ascii="宋体" w:hAnsi="宋体" w:eastAsia="宋体" w:cs="宋体"/>
                <w:sz w:val="24"/>
                <w:szCs w:val="24"/>
              </w:rPr>
              <w:t>用于施工部位</w:t>
            </w:r>
            <w:bookmarkEnd w:id="733"/>
          </w:p>
        </w:tc>
        <w:tc>
          <w:tcPr>
            <w:tcW w:w="778" w:type="dxa"/>
            <w:noWrap w:val="0"/>
            <w:vAlign w:val="top"/>
          </w:tcPr>
          <w:p>
            <w:pPr>
              <w:spacing w:line="400" w:lineRule="exact"/>
              <w:rPr>
                <w:rFonts w:hint="eastAsia" w:ascii="宋体" w:hAnsi="宋体" w:eastAsia="宋体" w:cs="宋体"/>
                <w:sz w:val="24"/>
                <w:szCs w:val="24"/>
              </w:rPr>
            </w:pPr>
            <w:bookmarkStart w:id="734" w:name="_Toc221952087"/>
            <w:r>
              <w:rPr>
                <w:rFonts w:hint="eastAsia" w:ascii="宋体" w:hAnsi="宋体" w:eastAsia="宋体" w:cs="宋体"/>
                <w:sz w:val="24"/>
                <w:szCs w:val="24"/>
              </w:rPr>
              <w:t>备注</w:t>
            </w:r>
            <w:bookmarkEnd w:id="7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51" w:type="dxa"/>
            <w:noWrap w:val="0"/>
            <w:vAlign w:val="top"/>
          </w:tcPr>
          <w:p>
            <w:pPr>
              <w:spacing w:line="400" w:lineRule="exact"/>
              <w:rPr>
                <w:rFonts w:hint="eastAsia" w:ascii="宋体" w:hAnsi="宋体" w:eastAsia="宋体" w:cs="宋体"/>
                <w:sz w:val="24"/>
                <w:szCs w:val="24"/>
              </w:rPr>
            </w:pPr>
          </w:p>
        </w:tc>
        <w:tc>
          <w:tcPr>
            <w:tcW w:w="1225" w:type="dxa"/>
            <w:noWrap w:val="0"/>
            <w:vAlign w:val="top"/>
          </w:tcPr>
          <w:p>
            <w:pPr>
              <w:spacing w:line="400" w:lineRule="exact"/>
              <w:rPr>
                <w:rFonts w:hint="eastAsia" w:ascii="宋体" w:hAnsi="宋体" w:eastAsia="宋体" w:cs="宋体"/>
                <w:sz w:val="24"/>
                <w:szCs w:val="24"/>
              </w:rPr>
            </w:pPr>
          </w:p>
        </w:tc>
        <w:tc>
          <w:tcPr>
            <w:tcW w:w="857" w:type="dxa"/>
            <w:noWrap w:val="0"/>
            <w:vAlign w:val="top"/>
          </w:tcPr>
          <w:p>
            <w:pPr>
              <w:spacing w:line="400" w:lineRule="exact"/>
              <w:rPr>
                <w:rFonts w:hint="eastAsia" w:ascii="宋体" w:hAnsi="宋体" w:eastAsia="宋体" w:cs="宋体"/>
                <w:sz w:val="24"/>
                <w:szCs w:val="24"/>
              </w:rPr>
            </w:pPr>
          </w:p>
        </w:tc>
        <w:tc>
          <w:tcPr>
            <w:tcW w:w="1116" w:type="dxa"/>
            <w:noWrap w:val="0"/>
            <w:vAlign w:val="top"/>
          </w:tcPr>
          <w:p>
            <w:pPr>
              <w:spacing w:line="400" w:lineRule="exact"/>
              <w:rPr>
                <w:rFonts w:hint="eastAsia" w:ascii="宋体" w:hAnsi="宋体" w:eastAsia="宋体" w:cs="宋体"/>
                <w:sz w:val="24"/>
                <w:szCs w:val="24"/>
              </w:rPr>
            </w:pPr>
          </w:p>
        </w:tc>
        <w:tc>
          <w:tcPr>
            <w:tcW w:w="758" w:type="dxa"/>
            <w:noWrap w:val="0"/>
            <w:vAlign w:val="top"/>
          </w:tcPr>
          <w:p>
            <w:pPr>
              <w:spacing w:line="400" w:lineRule="exact"/>
              <w:rPr>
                <w:rFonts w:hint="eastAsia" w:ascii="宋体" w:hAnsi="宋体" w:eastAsia="宋体" w:cs="宋体"/>
                <w:sz w:val="24"/>
                <w:szCs w:val="24"/>
              </w:rPr>
            </w:pPr>
          </w:p>
        </w:tc>
        <w:tc>
          <w:tcPr>
            <w:tcW w:w="832" w:type="dxa"/>
            <w:noWrap w:val="0"/>
            <w:vAlign w:val="top"/>
          </w:tcPr>
          <w:p>
            <w:pPr>
              <w:spacing w:line="400" w:lineRule="exact"/>
              <w:rPr>
                <w:rFonts w:hint="eastAsia" w:ascii="宋体" w:hAnsi="宋体" w:eastAsia="宋体" w:cs="宋体"/>
                <w:sz w:val="24"/>
                <w:szCs w:val="24"/>
              </w:rPr>
            </w:pPr>
          </w:p>
        </w:tc>
        <w:tc>
          <w:tcPr>
            <w:tcW w:w="1367" w:type="dxa"/>
            <w:noWrap w:val="0"/>
            <w:vAlign w:val="top"/>
          </w:tcPr>
          <w:p>
            <w:pPr>
              <w:spacing w:line="400" w:lineRule="exact"/>
              <w:rPr>
                <w:rFonts w:hint="eastAsia" w:ascii="宋体" w:hAnsi="宋体" w:eastAsia="宋体" w:cs="宋体"/>
                <w:sz w:val="24"/>
                <w:szCs w:val="24"/>
              </w:rPr>
            </w:pPr>
          </w:p>
        </w:tc>
        <w:tc>
          <w:tcPr>
            <w:tcW w:w="986" w:type="dxa"/>
            <w:noWrap w:val="0"/>
            <w:vAlign w:val="top"/>
          </w:tcPr>
          <w:p>
            <w:pPr>
              <w:spacing w:line="400" w:lineRule="exact"/>
              <w:rPr>
                <w:rFonts w:hint="eastAsia" w:ascii="宋体" w:hAnsi="宋体" w:eastAsia="宋体" w:cs="宋体"/>
                <w:sz w:val="24"/>
                <w:szCs w:val="24"/>
              </w:rPr>
            </w:pPr>
          </w:p>
        </w:tc>
        <w:tc>
          <w:tcPr>
            <w:tcW w:w="1190" w:type="dxa"/>
            <w:noWrap w:val="0"/>
            <w:vAlign w:val="top"/>
          </w:tcPr>
          <w:p>
            <w:pPr>
              <w:spacing w:line="400" w:lineRule="exact"/>
              <w:rPr>
                <w:rFonts w:hint="eastAsia" w:ascii="宋体" w:hAnsi="宋体" w:eastAsia="宋体" w:cs="宋体"/>
                <w:sz w:val="24"/>
                <w:szCs w:val="24"/>
              </w:rPr>
            </w:pPr>
          </w:p>
        </w:tc>
        <w:tc>
          <w:tcPr>
            <w:tcW w:w="778"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51" w:type="dxa"/>
            <w:noWrap w:val="0"/>
            <w:vAlign w:val="top"/>
          </w:tcPr>
          <w:p>
            <w:pPr>
              <w:spacing w:line="400" w:lineRule="exact"/>
              <w:rPr>
                <w:rFonts w:hint="eastAsia" w:ascii="宋体" w:hAnsi="宋体" w:eastAsia="宋体" w:cs="宋体"/>
                <w:sz w:val="24"/>
                <w:szCs w:val="24"/>
              </w:rPr>
            </w:pPr>
          </w:p>
        </w:tc>
        <w:tc>
          <w:tcPr>
            <w:tcW w:w="1225" w:type="dxa"/>
            <w:noWrap w:val="0"/>
            <w:vAlign w:val="top"/>
          </w:tcPr>
          <w:p>
            <w:pPr>
              <w:spacing w:line="400" w:lineRule="exact"/>
              <w:rPr>
                <w:rFonts w:hint="eastAsia" w:ascii="宋体" w:hAnsi="宋体" w:eastAsia="宋体" w:cs="宋体"/>
                <w:sz w:val="24"/>
                <w:szCs w:val="24"/>
              </w:rPr>
            </w:pPr>
          </w:p>
        </w:tc>
        <w:tc>
          <w:tcPr>
            <w:tcW w:w="857" w:type="dxa"/>
            <w:noWrap w:val="0"/>
            <w:vAlign w:val="top"/>
          </w:tcPr>
          <w:p>
            <w:pPr>
              <w:spacing w:line="400" w:lineRule="exact"/>
              <w:rPr>
                <w:rFonts w:hint="eastAsia" w:ascii="宋体" w:hAnsi="宋体" w:eastAsia="宋体" w:cs="宋体"/>
                <w:sz w:val="24"/>
                <w:szCs w:val="24"/>
              </w:rPr>
            </w:pPr>
          </w:p>
        </w:tc>
        <w:tc>
          <w:tcPr>
            <w:tcW w:w="1116" w:type="dxa"/>
            <w:noWrap w:val="0"/>
            <w:vAlign w:val="top"/>
          </w:tcPr>
          <w:p>
            <w:pPr>
              <w:spacing w:line="400" w:lineRule="exact"/>
              <w:rPr>
                <w:rFonts w:hint="eastAsia" w:ascii="宋体" w:hAnsi="宋体" w:eastAsia="宋体" w:cs="宋体"/>
                <w:sz w:val="24"/>
                <w:szCs w:val="24"/>
              </w:rPr>
            </w:pPr>
          </w:p>
        </w:tc>
        <w:tc>
          <w:tcPr>
            <w:tcW w:w="758" w:type="dxa"/>
            <w:noWrap w:val="0"/>
            <w:vAlign w:val="top"/>
          </w:tcPr>
          <w:p>
            <w:pPr>
              <w:spacing w:line="400" w:lineRule="exact"/>
              <w:rPr>
                <w:rFonts w:hint="eastAsia" w:ascii="宋体" w:hAnsi="宋体" w:eastAsia="宋体" w:cs="宋体"/>
                <w:sz w:val="24"/>
                <w:szCs w:val="24"/>
              </w:rPr>
            </w:pPr>
          </w:p>
        </w:tc>
        <w:tc>
          <w:tcPr>
            <w:tcW w:w="832" w:type="dxa"/>
            <w:noWrap w:val="0"/>
            <w:vAlign w:val="top"/>
          </w:tcPr>
          <w:p>
            <w:pPr>
              <w:spacing w:line="400" w:lineRule="exact"/>
              <w:rPr>
                <w:rFonts w:hint="eastAsia" w:ascii="宋体" w:hAnsi="宋体" w:eastAsia="宋体" w:cs="宋体"/>
                <w:sz w:val="24"/>
                <w:szCs w:val="24"/>
              </w:rPr>
            </w:pPr>
          </w:p>
        </w:tc>
        <w:tc>
          <w:tcPr>
            <w:tcW w:w="1367" w:type="dxa"/>
            <w:noWrap w:val="0"/>
            <w:vAlign w:val="top"/>
          </w:tcPr>
          <w:p>
            <w:pPr>
              <w:spacing w:line="400" w:lineRule="exact"/>
              <w:rPr>
                <w:rFonts w:hint="eastAsia" w:ascii="宋体" w:hAnsi="宋体" w:eastAsia="宋体" w:cs="宋体"/>
                <w:sz w:val="24"/>
                <w:szCs w:val="24"/>
              </w:rPr>
            </w:pPr>
          </w:p>
        </w:tc>
        <w:tc>
          <w:tcPr>
            <w:tcW w:w="986" w:type="dxa"/>
            <w:noWrap w:val="0"/>
            <w:vAlign w:val="top"/>
          </w:tcPr>
          <w:p>
            <w:pPr>
              <w:spacing w:line="400" w:lineRule="exact"/>
              <w:rPr>
                <w:rFonts w:hint="eastAsia" w:ascii="宋体" w:hAnsi="宋体" w:eastAsia="宋体" w:cs="宋体"/>
                <w:sz w:val="24"/>
                <w:szCs w:val="24"/>
              </w:rPr>
            </w:pPr>
          </w:p>
        </w:tc>
        <w:tc>
          <w:tcPr>
            <w:tcW w:w="1190" w:type="dxa"/>
            <w:noWrap w:val="0"/>
            <w:vAlign w:val="top"/>
          </w:tcPr>
          <w:p>
            <w:pPr>
              <w:spacing w:line="400" w:lineRule="exact"/>
              <w:rPr>
                <w:rFonts w:hint="eastAsia" w:ascii="宋体" w:hAnsi="宋体" w:eastAsia="宋体" w:cs="宋体"/>
                <w:sz w:val="24"/>
                <w:szCs w:val="24"/>
              </w:rPr>
            </w:pPr>
          </w:p>
        </w:tc>
        <w:tc>
          <w:tcPr>
            <w:tcW w:w="778"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51" w:type="dxa"/>
            <w:noWrap w:val="0"/>
            <w:vAlign w:val="top"/>
          </w:tcPr>
          <w:p>
            <w:pPr>
              <w:spacing w:line="400" w:lineRule="exact"/>
              <w:rPr>
                <w:rFonts w:hint="eastAsia" w:ascii="宋体" w:hAnsi="宋体" w:eastAsia="宋体" w:cs="宋体"/>
                <w:sz w:val="24"/>
                <w:szCs w:val="24"/>
              </w:rPr>
            </w:pPr>
          </w:p>
        </w:tc>
        <w:tc>
          <w:tcPr>
            <w:tcW w:w="1225" w:type="dxa"/>
            <w:noWrap w:val="0"/>
            <w:vAlign w:val="top"/>
          </w:tcPr>
          <w:p>
            <w:pPr>
              <w:spacing w:line="400" w:lineRule="exact"/>
              <w:rPr>
                <w:rFonts w:hint="eastAsia" w:ascii="宋体" w:hAnsi="宋体" w:eastAsia="宋体" w:cs="宋体"/>
                <w:sz w:val="24"/>
                <w:szCs w:val="24"/>
              </w:rPr>
            </w:pPr>
          </w:p>
        </w:tc>
        <w:tc>
          <w:tcPr>
            <w:tcW w:w="857" w:type="dxa"/>
            <w:noWrap w:val="0"/>
            <w:vAlign w:val="top"/>
          </w:tcPr>
          <w:p>
            <w:pPr>
              <w:spacing w:line="400" w:lineRule="exact"/>
              <w:rPr>
                <w:rFonts w:hint="eastAsia" w:ascii="宋体" w:hAnsi="宋体" w:eastAsia="宋体" w:cs="宋体"/>
                <w:sz w:val="24"/>
                <w:szCs w:val="24"/>
              </w:rPr>
            </w:pPr>
          </w:p>
        </w:tc>
        <w:tc>
          <w:tcPr>
            <w:tcW w:w="1116" w:type="dxa"/>
            <w:noWrap w:val="0"/>
            <w:vAlign w:val="top"/>
          </w:tcPr>
          <w:p>
            <w:pPr>
              <w:spacing w:line="400" w:lineRule="exact"/>
              <w:rPr>
                <w:rFonts w:hint="eastAsia" w:ascii="宋体" w:hAnsi="宋体" w:eastAsia="宋体" w:cs="宋体"/>
                <w:sz w:val="24"/>
                <w:szCs w:val="24"/>
              </w:rPr>
            </w:pPr>
          </w:p>
        </w:tc>
        <w:tc>
          <w:tcPr>
            <w:tcW w:w="758" w:type="dxa"/>
            <w:noWrap w:val="0"/>
            <w:vAlign w:val="top"/>
          </w:tcPr>
          <w:p>
            <w:pPr>
              <w:spacing w:line="400" w:lineRule="exact"/>
              <w:rPr>
                <w:rFonts w:hint="eastAsia" w:ascii="宋体" w:hAnsi="宋体" w:eastAsia="宋体" w:cs="宋体"/>
                <w:sz w:val="24"/>
                <w:szCs w:val="24"/>
              </w:rPr>
            </w:pPr>
          </w:p>
        </w:tc>
        <w:tc>
          <w:tcPr>
            <w:tcW w:w="832" w:type="dxa"/>
            <w:noWrap w:val="0"/>
            <w:vAlign w:val="top"/>
          </w:tcPr>
          <w:p>
            <w:pPr>
              <w:spacing w:line="400" w:lineRule="exact"/>
              <w:rPr>
                <w:rFonts w:hint="eastAsia" w:ascii="宋体" w:hAnsi="宋体" w:eastAsia="宋体" w:cs="宋体"/>
                <w:sz w:val="24"/>
                <w:szCs w:val="24"/>
              </w:rPr>
            </w:pPr>
          </w:p>
        </w:tc>
        <w:tc>
          <w:tcPr>
            <w:tcW w:w="1367" w:type="dxa"/>
            <w:noWrap w:val="0"/>
            <w:vAlign w:val="top"/>
          </w:tcPr>
          <w:p>
            <w:pPr>
              <w:spacing w:line="400" w:lineRule="exact"/>
              <w:rPr>
                <w:rFonts w:hint="eastAsia" w:ascii="宋体" w:hAnsi="宋体" w:eastAsia="宋体" w:cs="宋体"/>
                <w:sz w:val="24"/>
                <w:szCs w:val="24"/>
              </w:rPr>
            </w:pPr>
          </w:p>
        </w:tc>
        <w:tc>
          <w:tcPr>
            <w:tcW w:w="986" w:type="dxa"/>
            <w:noWrap w:val="0"/>
            <w:vAlign w:val="top"/>
          </w:tcPr>
          <w:p>
            <w:pPr>
              <w:spacing w:line="400" w:lineRule="exact"/>
              <w:rPr>
                <w:rFonts w:hint="eastAsia" w:ascii="宋体" w:hAnsi="宋体" w:eastAsia="宋体" w:cs="宋体"/>
                <w:sz w:val="24"/>
                <w:szCs w:val="24"/>
              </w:rPr>
            </w:pPr>
          </w:p>
        </w:tc>
        <w:tc>
          <w:tcPr>
            <w:tcW w:w="1190" w:type="dxa"/>
            <w:noWrap w:val="0"/>
            <w:vAlign w:val="top"/>
          </w:tcPr>
          <w:p>
            <w:pPr>
              <w:spacing w:line="400" w:lineRule="exact"/>
              <w:rPr>
                <w:rFonts w:hint="eastAsia" w:ascii="宋体" w:hAnsi="宋体" w:eastAsia="宋体" w:cs="宋体"/>
                <w:sz w:val="24"/>
                <w:szCs w:val="24"/>
              </w:rPr>
            </w:pPr>
          </w:p>
        </w:tc>
        <w:tc>
          <w:tcPr>
            <w:tcW w:w="778"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51" w:type="dxa"/>
            <w:noWrap w:val="0"/>
            <w:vAlign w:val="top"/>
          </w:tcPr>
          <w:p>
            <w:pPr>
              <w:spacing w:line="400" w:lineRule="exact"/>
              <w:rPr>
                <w:rFonts w:hint="eastAsia" w:ascii="宋体" w:hAnsi="宋体" w:eastAsia="宋体" w:cs="宋体"/>
                <w:sz w:val="24"/>
                <w:szCs w:val="24"/>
              </w:rPr>
            </w:pPr>
          </w:p>
        </w:tc>
        <w:tc>
          <w:tcPr>
            <w:tcW w:w="1225" w:type="dxa"/>
            <w:noWrap w:val="0"/>
            <w:vAlign w:val="top"/>
          </w:tcPr>
          <w:p>
            <w:pPr>
              <w:spacing w:line="400" w:lineRule="exact"/>
              <w:rPr>
                <w:rFonts w:hint="eastAsia" w:ascii="宋体" w:hAnsi="宋体" w:eastAsia="宋体" w:cs="宋体"/>
                <w:sz w:val="24"/>
                <w:szCs w:val="24"/>
              </w:rPr>
            </w:pPr>
          </w:p>
        </w:tc>
        <w:tc>
          <w:tcPr>
            <w:tcW w:w="857" w:type="dxa"/>
            <w:noWrap w:val="0"/>
            <w:vAlign w:val="top"/>
          </w:tcPr>
          <w:p>
            <w:pPr>
              <w:spacing w:line="400" w:lineRule="exact"/>
              <w:rPr>
                <w:rFonts w:hint="eastAsia" w:ascii="宋体" w:hAnsi="宋体" w:eastAsia="宋体" w:cs="宋体"/>
                <w:sz w:val="24"/>
                <w:szCs w:val="24"/>
              </w:rPr>
            </w:pPr>
          </w:p>
        </w:tc>
        <w:tc>
          <w:tcPr>
            <w:tcW w:w="1116" w:type="dxa"/>
            <w:noWrap w:val="0"/>
            <w:vAlign w:val="top"/>
          </w:tcPr>
          <w:p>
            <w:pPr>
              <w:spacing w:line="400" w:lineRule="exact"/>
              <w:rPr>
                <w:rFonts w:hint="eastAsia" w:ascii="宋体" w:hAnsi="宋体" w:eastAsia="宋体" w:cs="宋体"/>
                <w:sz w:val="24"/>
                <w:szCs w:val="24"/>
              </w:rPr>
            </w:pPr>
          </w:p>
        </w:tc>
        <w:tc>
          <w:tcPr>
            <w:tcW w:w="758" w:type="dxa"/>
            <w:noWrap w:val="0"/>
            <w:vAlign w:val="top"/>
          </w:tcPr>
          <w:p>
            <w:pPr>
              <w:spacing w:line="400" w:lineRule="exact"/>
              <w:rPr>
                <w:rFonts w:hint="eastAsia" w:ascii="宋体" w:hAnsi="宋体" w:eastAsia="宋体" w:cs="宋体"/>
                <w:sz w:val="24"/>
                <w:szCs w:val="24"/>
              </w:rPr>
            </w:pPr>
          </w:p>
        </w:tc>
        <w:tc>
          <w:tcPr>
            <w:tcW w:w="832" w:type="dxa"/>
            <w:noWrap w:val="0"/>
            <w:vAlign w:val="top"/>
          </w:tcPr>
          <w:p>
            <w:pPr>
              <w:spacing w:line="400" w:lineRule="exact"/>
              <w:rPr>
                <w:rFonts w:hint="eastAsia" w:ascii="宋体" w:hAnsi="宋体" w:eastAsia="宋体" w:cs="宋体"/>
                <w:sz w:val="24"/>
                <w:szCs w:val="24"/>
              </w:rPr>
            </w:pPr>
          </w:p>
        </w:tc>
        <w:tc>
          <w:tcPr>
            <w:tcW w:w="1367" w:type="dxa"/>
            <w:noWrap w:val="0"/>
            <w:vAlign w:val="top"/>
          </w:tcPr>
          <w:p>
            <w:pPr>
              <w:spacing w:line="400" w:lineRule="exact"/>
              <w:rPr>
                <w:rFonts w:hint="eastAsia" w:ascii="宋体" w:hAnsi="宋体" w:eastAsia="宋体" w:cs="宋体"/>
                <w:sz w:val="24"/>
                <w:szCs w:val="24"/>
              </w:rPr>
            </w:pPr>
          </w:p>
        </w:tc>
        <w:tc>
          <w:tcPr>
            <w:tcW w:w="986" w:type="dxa"/>
            <w:noWrap w:val="0"/>
            <w:vAlign w:val="top"/>
          </w:tcPr>
          <w:p>
            <w:pPr>
              <w:spacing w:line="400" w:lineRule="exact"/>
              <w:rPr>
                <w:rFonts w:hint="eastAsia" w:ascii="宋体" w:hAnsi="宋体" w:eastAsia="宋体" w:cs="宋体"/>
                <w:sz w:val="24"/>
                <w:szCs w:val="24"/>
              </w:rPr>
            </w:pPr>
          </w:p>
        </w:tc>
        <w:tc>
          <w:tcPr>
            <w:tcW w:w="1190" w:type="dxa"/>
            <w:noWrap w:val="0"/>
            <w:vAlign w:val="top"/>
          </w:tcPr>
          <w:p>
            <w:pPr>
              <w:spacing w:line="400" w:lineRule="exact"/>
              <w:rPr>
                <w:rFonts w:hint="eastAsia" w:ascii="宋体" w:hAnsi="宋体" w:eastAsia="宋体" w:cs="宋体"/>
                <w:sz w:val="24"/>
                <w:szCs w:val="24"/>
              </w:rPr>
            </w:pPr>
          </w:p>
        </w:tc>
        <w:tc>
          <w:tcPr>
            <w:tcW w:w="778"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51" w:type="dxa"/>
            <w:noWrap w:val="0"/>
            <w:vAlign w:val="top"/>
          </w:tcPr>
          <w:p>
            <w:pPr>
              <w:spacing w:line="400" w:lineRule="exact"/>
              <w:rPr>
                <w:rFonts w:hint="eastAsia" w:ascii="宋体" w:hAnsi="宋体" w:eastAsia="宋体" w:cs="宋体"/>
                <w:sz w:val="24"/>
                <w:szCs w:val="24"/>
              </w:rPr>
            </w:pPr>
          </w:p>
        </w:tc>
        <w:tc>
          <w:tcPr>
            <w:tcW w:w="1225" w:type="dxa"/>
            <w:noWrap w:val="0"/>
            <w:vAlign w:val="top"/>
          </w:tcPr>
          <w:p>
            <w:pPr>
              <w:spacing w:line="400" w:lineRule="exact"/>
              <w:rPr>
                <w:rFonts w:hint="eastAsia" w:ascii="宋体" w:hAnsi="宋体" w:eastAsia="宋体" w:cs="宋体"/>
                <w:sz w:val="24"/>
                <w:szCs w:val="24"/>
              </w:rPr>
            </w:pPr>
          </w:p>
        </w:tc>
        <w:tc>
          <w:tcPr>
            <w:tcW w:w="857" w:type="dxa"/>
            <w:noWrap w:val="0"/>
            <w:vAlign w:val="top"/>
          </w:tcPr>
          <w:p>
            <w:pPr>
              <w:spacing w:line="400" w:lineRule="exact"/>
              <w:rPr>
                <w:rFonts w:hint="eastAsia" w:ascii="宋体" w:hAnsi="宋体" w:eastAsia="宋体" w:cs="宋体"/>
                <w:sz w:val="24"/>
                <w:szCs w:val="24"/>
              </w:rPr>
            </w:pPr>
          </w:p>
        </w:tc>
        <w:tc>
          <w:tcPr>
            <w:tcW w:w="1116" w:type="dxa"/>
            <w:noWrap w:val="0"/>
            <w:vAlign w:val="top"/>
          </w:tcPr>
          <w:p>
            <w:pPr>
              <w:spacing w:line="400" w:lineRule="exact"/>
              <w:rPr>
                <w:rFonts w:hint="eastAsia" w:ascii="宋体" w:hAnsi="宋体" w:eastAsia="宋体" w:cs="宋体"/>
                <w:sz w:val="24"/>
                <w:szCs w:val="24"/>
              </w:rPr>
            </w:pPr>
          </w:p>
        </w:tc>
        <w:tc>
          <w:tcPr>
            <w:tcW w:w="758" w:type="dxa"/>
            <w:noWrap w:val="0"/>
            <w:vAlign w:val="top"/>
          </w:tcPr>
          <w:p>
            <w:pPr>
              <w:spacing w:line="400" w:lineRule="exact"/>
              <w:rPr>
                <w:rFonts w:hint="eastAsia" w:ascii="宋体" w:hAnsi="宋体" w:eastAsia="宋体" w:cs="宋体"/>
                <w:sz w:val="24"/>
                <w:szCs w:val="24"/>
              </w:rPr>
            </w:pPr>
          </w:p>
        </w:tc>
        <w:tc>
          <w:tcPr>
            <w:tcW w:w="832" w:type="dxa"/>
            <w:noWrap w:val="0"/>
            <w:vAlign w:val="top"/>
          </w:tcPr>
          <w:p>
            <w:pPr>
              <w:spacing w:line="400" w:lineRule="exact"/>
              <w:rPr>
                <w:rFonts w:hint="eastAsia" w:ascii="宋体" w:hAnsi="宋体" w:eastAsia="宋体" w:cs="宋体"/>
                <w:sz w:val="24"/>
                <w:szCs w:val="24"/>
              </w:rPr>
            </w:pPr>
          </w:p>
        </w:tc>
        <w:tc>
          <w:tcPr>
            <w:tcW w:w="1367" w:type="dxa"/>
            <w:noWrap w:val="0"/>
            <w:vAlign w:val="top"/>
          </w:tcPr>
          <w:p>
            <w:pPr>
              <w:spacing w:line="400" w:lineRule="exact"/>
              <w:rPr>
                <w:rFonts w:hint="eastAsia" w:ascii="宋体" w:hAnsi="宋体" w:eastAsia="宋体" w:cs="宋体"/>
                <w:sz w:val="24"/>
                <w:szCs w:val="24"/>
              </w:rPr>
            </w:pPr>
          </w:p>
        </w:tc>
        <w:tc>
          <w:tcPr>
            <w:tcW w:w="986" w:type="dxa"/>
            <w:noWrap w:val="0"/>
            <w:vAlign w:val="top"/>
          </w:tcPr>
          <w:p>
            <w:pPr>
              <w:spacing w:line="400" w:lineRule="exact"/>
              <w:rPr>
                <w:rFonts w:hint="eastAsia" w:ascii="宋体" w:hAnsi="宋体" w:eastAsia="宋体" w:cs="宋体"/>
                <w:sz w:val="24"/>
                <w:szCs w:val="24"/>
              </w:rPr>
            </w:pPr>
          </w:p>
        </w:tc>
        <w:tc>
          <w:tcPr>
            <w:tcW w:w="1190" w:type="dxa"/>
            <w:noWrap w:val="0"/>
            <w:vAlign w:val="top"/>
          </w:tcPr>
          <w:p>
            <w:pPr>
              <w:spacing w:line="400" w:lineRule="exact"/>
              <w:rPr>
                <w:rFonts w:hint="eastAsia" w:ascii="宋体" w:hAnsi="宋体" w:eastAsia="宋体" w:cs="宋体"/>
                <w:sz w:val="24"/>
                <w:szCs w:val="24"/>
              </w:rPr>
            </w:pPr>
          </w:p>
        </w:tc>
        <w:tc>
          <w:tcPr>
            <w:tcW w:w="778"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51" w:type="dxa"/>
            <w:noWrap w:val="0"/>
            <w:vAlign w:val="top"/>
          </w:tcPr>
          <w:p>
            <w:pPr>
              <w:spacing w:line="400" w:lineRule="exact"/>
              <w:rPr>
                <w:rFonts w:hint="eastAsia" w:ascii="宋体" w:hAnsi="宋体" w:eastAsia="宋体" w:cs="宋体"/>
                <w:sz w:val="24"/>
                <w:szCs w:val="24"/>
              </w:rPr>
            </w:pPr>
          </w:p>
        </w:tc>
        <w:tc>
          <w:tcPr>
            <w:tcW w:w="1225" w:type="dxa"/>
            <w:noWrap w:val="0"/>
            <w:vAlign w:val="top"/>
          </w:tcPr>
          <w:p>
            <w:pPr>
              <w:spacing w:line="400" w:lineRule="exact"/>
              <w:rPr>
                <w:rFonts w:hint="eastAsia" w:ascii="宋体" w:hAnsi="宋体" w:eastAsia="宋体" w:cs="宋体"/>
                <w:sz w:val="24"/>
                <w:szCs w:val="24"/>
              </w:rPr>
            </w:pPr>
          </w:p>
        </w:tc>
        <w:tc>
          <w:tcPr>
            <w:tcW w:w="857" w:type="dxa"/>
            <w:noWrap w:val="0"/>
            <w:vAlign w:val="top"/>
          </w:tcPr>
          <w:p>
            <w:pPr>
              <w:spacing w:line="400" w:lineRule="exact"/>
              <w:rPr>
                <w:rFonts w:hint="eastAsia" w:ascii="宋体" w:hAnsi="宋体" w:eastAsia="宋体" w:cs="宋体"/>
                <w:sz w:val="24"/>
                <w:szCs w:val="24"/>
              </w:rPr>
            </w:pPr>
          </w:p>
        </w:tc>
        <w:tc>
          <w:tcPr>
            <w:tcW w:w="1116" w:type="dxa"/>
            <w:noWrap w:val="0"/>
            <w:vAlign w:val="top"/>
          </w:tcPr>
          <w:p>
            <w:pPr>
              <w:spacing w:line="400" w:lineRule="exact"/>
              <w:rPr>
                <w:rFonts w:hint="eastAsia" w:ascii="宋体" w:hAnsi="宋体" w:eastAsia="宋体" w:cs="宋体"/>
                <w:sz w:val="24"/>
                <w:szCs w:val="24"/>
              </w:rPr>
            </w:pPr>
          </w:p>
        </w:tc>
        <w:tc>
          <w:tcPr>
            <w:tcW w:w="758" w:type="dxa"/>
            <w:noWrap w:val="0"/>
            <w:vAlign w:val="top"/>
          </w:tcPr>
          <w:p>
            <w:pPr>
              <w:spacing w:line="400" w:lineRule="exact"/>
              <w:rPr>
                <w:rFonts w:hint="eastAsia" w:ascii="宋体" w:hAnsi="宋体" w:eastAsia="宋体" w:cs="宋体"/>
                <w:sz w:val="24"/>
                <w:szCs w:val="24"/>
              </w:rPr>
            </w:pPr>
          </w:p>
        </w:tc>
        <w:tc>
          <w:tcPr>
            <w:tcW w:w="832" w:type="dxa"/>
            <w:noWrap w:val="0"/>
            <w:vAlign w:val="top"/>
          </w:tcPr>
          <w:p>
            <w:pPr>
              <w:spacing w:line="400" w:lineRule="exact"/>
              <w:rPr>
                <w:rFonts w:hint="eastAsia" w:ascii="宋体" w:hAnsi="宋体" w:eastAsia="宋体" w:cs="宋体"/>
                <w:sz w:val="24"/>
                <w:szCs w:val="24"/>
              </w:rPr>
            </w:pPr>
          </w:p>
        </w:tc>
        <w:tc>
          <w:tcPr>
            <w:tcW w:w="1367" w:type="dxa"/>
            <w:noWrap w:val="0"/>
            <w:vAlign w:val="top"/>
          </w:tcPr>
          <w:p>
            <w:pPr>
              <w:spacing w:line="400" w:lineRule="exact"/>
              <w:rPr>
                <w:rFonts w:hint="eastAsia" w:ascii="宋体" w:hAnsi="宋体" w:eastAsia="宋体" w:cs="宋体"/>
                <w:sz w:val="24"/>
                <w:szCs w:val="24"/>
              </w:rPr>
            </w:pPr>
          </w:p>
        </w:tc>
        <w:tc>
          <w:tcPr>
            <w:tcW w:w="986" w:type="dxa"/>
            <w:noWrap w:val="0"/>
            <w:vAlign w:val="top"/>
          </w:tcPr>
          <w:p>
            <w:pPr>
              <w:spacing w:line="400" w:lineRule="exact"/>
              <w:rPr>
                <w:rFonts w:hint="eastAsia" w:ascii="宋体" w:hAnsi="宋体" w:eastAsia="宋体" w:cs="宋体"/>
                <w:sz w:val="24"/>
                <w:szCs w:val="24"/>
              </w:rPr>
            </w:pPr>
          </w:p>
        </w:tc>
        <w:tc>
          <w:tcPr>
            <w:tcW w:w="1190" w:type="dxa"/>
            <w:noWrap w:val="0"/>
            <w:vAlign w:val="top"/>
          </w:tcPr>
          <w:p>
            <w:pPr>
              <w:spacing w:line="400" w:lineRule="exact"/>
              <w:rPr>
                <w:rFonts w:hint="eastAsia" w:ascii="宋体" w:hAnsi="宋体" w:eastAsia="宋体" w:cs="宋体"/>
                <w:sz w:val="24"/>
                <w:szCs w:val="24"/>
              </w:rPr>
            </w:pPr>
          </w:p>
        </w:tc>
        <w:tc>
          <w:tcPr>
            <w:tcW w:w="778"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751" w:type="dxa"/>
            <w:noWrap w:val="0"/>
            <w:vAlign w:val="top"/>
          </w:tcPr>
          <w:p>
            <w:pPr>
              <w:spacing w:line="400" w:lineRule="exact"/>
              <w:rPr>
                <w:rFonts w:hint="eastAsia" w:ascii="宋体" w:hAnsi="宋体" w:eastAsia="宋体" w:cs="宋体"/>
                <w:sz w:val="24"/>
                <w:szCs w:val="24"/>
              </w:rPr>
            </w:pPr>
          </w:p>
        </w:tc>
        <w:tc>
          <w:tcPr>
            <w:tcW w:w="1225" w:type="dxa"/>
            <w:noWrap w:val="0"/>
            <w:vAlign w:val="top"/>
          </w:tcPr>
          <w:p>
            <w:pPr>
              <w:spacing w:line="400" w:lineRule="exact"/>
              <w:rPr>
                <w:rFonts w:hint="eastAsia" w:ascii="宋体" w:hAnsi="宋体" w:eastAsia="宋体" w:cs="宋体"/>
                <w:sz w:val="24"/>
                <w:szCs w:val="24"/>
              </w:rPr>
            </w:pPr>
          </w:p>
        </w:tc>
        <w:tc>
          <w:tcPr>
            <w:tcW w:w="857" w:type="dxa"/>
            <w:noWrap w:val="0"/>
            <w:vAlign w:val="top"/>
          </w:tcPr>
          <w:p>
            <w:pPr>
              <w:spacing w:line="400" w:lineRule="exact"/>
              <w:rPr>
                <w:rFonts w:hint="eastAsia" w:ascii="宋体" w:hAnsi="宋体" w:eastAsia="宋体" w:cs="宋体"/>
                <w:sz w:val="24"/>
                <w:szCs w:val="24"/>
              </w:rPr>
            </w:pPr>
          </w:p>
        </w:tc>
        <w:tc>
          <w:tcPr>
            <w:tcW w:w="1116" w:type="dxa"/>
            <w:noWrap w:val="0"/>
            <w:vAlign w:val="top"/>
          </w:tcPr>
          <w:p>
            <w:pPr>
              <w:spacing w:line="400" w:lineRule="exact"/>
              <w:rPr>
                <w:rFonts w:hint="eastAsia" w:ascii="宋体" w:hAnsi="宋体" w:eastAsia="宋体" w:cs="宋体"/>
                <w:sz w:val="24"/>
                <w:szCs w:val="24"/>
              </w:rPr>
            </w:pPr>
          </w:p>
        </w:tc>
        <w:tc>
          <w:tcPr>
            <w:tcW w:w="758" w:type="dxa"/>
            <w:noWrap w:val="0"/>
            <w:vAlign w:val="top"/>
          </w:tcPr>
          <w:p>
            <w:pPr>
              <w:spacing w:line="400" w:lineRule="exact"/>
              <w:rPr>
                <w:rFonts w:hint="eastAsia" w:ascii="宋体" w:hAnsi="宋体" w:eastAsia="宋体" w:cs="宋体"/>
                <w:sz w:val="24"/>
                <w:szCs w:val="24"/>
              </w:rPr>
            </w:pPr>
          </w:p>
        </w:tc>
        <w:tc>
          <w:tcPr>
            <w:tcW w:w="832" w:type="dxa"/>
            <w:noWrap w:val="0"/>
            <w:vAlign w:val="top"/>
          </w:tcPr>
          <w:p>
            <w:pPr>
              <w:spacing w:line="400" w:lineRule="exact"/>
              <w:rPr>
                <w:rFonts w:hint="eastAsia" w:ascii="宋体" w:hAnsi="宋体" w:eastAsia="宋体" w:cs="宋体"/>
                <w:sz w:val="24"/>
                <w:szCs w:val="24"/>
              </w:rPr>
            </w:pPr>
          </w:p>
        </w:tc>
        <w:tc>
          <w:tcPr>
            <w:tcW w:w="1367" w:type="dxa"/>
            <w:noWrap w:val="0"/>
            <w:vAlign w:val="top"/>
          </w:tcPr>
          <w:p>
            <w:pPr>
              <w:spacing w:line="400" w:lineRule="exact"/>
              <w:rPr>
                <w:rFonts w:hint="eastAsia" w:ascii="宋体" w:hAnsi="宋体" w:eastAsia="宋体" w:cs="宋体"/>
                <w:sz w:val="24"/>
                <w:szCs w:val="24"/>
              </w:rPr>
            </w:pPr>
          </w:p>
        </w:tc>
        <w:tc>
          <w:tcPr>
            <w:tcW w:w="986" w:type="dxa"/>
            <w:noWrap w:val="0"/>
            <w:vAlign w:val="top"/>
          </w:tcPr>
          <w:p>
            <w:pPr>
              <w:spacing w:line="400" w:lineRule="exact"/>
              <w:rPr>
                <w:rFonts w:hint="eastAsia" w:ascii="宋体" w:hAnsi="宋体" w:eastAsia="宋体" w:cs="宋体"/>
                <w:sz w:val="24"/>
                <w:szCs w:val="24"/>
              </w:rPr>
            </w:pPr>
          </w:p>
        </w:tc>
        <w:tc>
          <w:tcPr>
            <w:tcW w:w="1190" w:type="dxa"/>
            <w:noWrap w:val="0"/>
            <w:vAlign w:val="top"/>
          </w:tcPr>
          <w:p>
            <w:pPr>
              <w:spacing w:line="400" w:lineRule="exact"/>
              <w:rPr>
                <w:rFonts w:hint="eastAsia" w:ascii="宋体" w:hAnsi="宋体" w:eastAsia="宋体" w:cs="宋体"/>
                <w:sz w:val="24"/>
                <w:szCs w:val="24"/>
              </w:rPr>
            </w:pPr>
          </w:p>
        </w:tc>
        <w:tc>
          <w:tcPr>
            <w:tcW w:w="778"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51" w:type="dxa"/>
            <w:noWrap w:val="0"/>
            <w:vAlign w:val="top"/>
          </w:tcPr>
          <w:p>
            <w:pPr>
              <w:spacing w:line="400" w:lineRule="exact"/>
              <w:rPr>
                <w:rFonts w:hint="eastAsia" w:ascii="宋体" w:hAnsi="宋体" w:eastAsia="宋体" w:cs="宋体"/>
                <w:sz w:val="24"/>
                <w:szCs w:val="24"/>
              </w:rPr>
            </w:pPr>
          </w:p>
        </w:tc>
        <w:tc>
          <w:tcPr>
            <w:tcW w:w="1225" w:type="dxa"/>
            <w:noWrap w:val="0"/>
            <w:vAlign w:val="top"/>
          </w:tcPr>
          <w:p>
            <w:pPr>
              <w:spacing w:line="400" w:lineRule="exact"/>
              <w:rPr>
                <w:rFonts w:hint="eastAsia" w:ascii="宋体" w:hAnsi="宋体" w:eastAsia="宋体" w:cs="宋体"/>
                <w:sz w:val="24"/>
                <w:szCs w:val="24"/>
              </w:rPr>
            </w:pPr>
          </w:p>
        </w:tc>
        <w:tc>
          <w:tcPr>
            <w:tcW w:w="857" w:type="dxa"/>
            <w:noWrap w:val="0"/>
            <w:vAlign w:val="top"/>
          </w:tcPr>
          <w:p>
            <w:pPr>
              <w:spacing w:line="400" w:lineRule="exact"/>
              <w:rPr>
                <w:rFonts w:hint="eastAsia" w:ascii="宋体" w:hAnsi="宋体" w:eastAsia="宋体" w:cs="宋体"/>
                <w:sz w:val="24"/>
                <w:szCs w:val="24"/>
              </w:rPr>
            </w:pPr>
          </w:p>
        </w:tc>
        <w:tc>
          <w:tcPr>
            <w:tcW w:w="1116" w:type="dxa"/>
            <w:noWrap w:val="0"/>
            <w:vAlign w:val="top"/>
          </w:tcPr>
          <w:p>
            <w:pPr>
              <w:spacing w:line="400" w:lineRule="exact"/>
              <w:rPr>
                <w:rFonts w:hint="eastAsia" w:ascii="宋体" w:hAnsi="宋体" w:eastAsia="宋体" w:cs="宋体"/>
                <w:sz w:val="24"/>
                <w:szCs w:val="24"/>
              </w:rPr>
            </w:pPr>
          </w:p>
        </w:tc>
        <w:tc>
          <w:tcPr>
            <w:tcW w:w="758" w:type="dxa"/>
            <w:noWrap w:val="0"/>
            <w:vAlign w:val="top"/>
          </w:tcPr>
          <w:p>
            <w:pPr>
              <w:spacing w:line="400" w:lineRule="exact"/>
              <w:rPr>
                <w:rFonts w:hint="eastAsia" w:ascii="宋体" w:hAnsi="宋体" w:eastAsia="宋体" w:cs="宋体"/>
                <w:sz w:val="24"/>
                <w:szCs w:val="24"/>
              </w:rPr>
            </w:pPr>
          </w:p>
        </w:tc>
        <w:tc>
          <w:tcPr>
            <w:tcW w:w="832" w:type="dxa"/>
            <w:noWrap w:val="0"/>
            <w:vAlign w:val="top"/>
          </w:tcPr>
          <w:p>
            <w:pPr>
              <w:spacing w:line="400" w:lineRule="exact"/>
              <w:rPr>
                <w:rFonts w:hint="eastAsia" w:ascii="宋体" w:hAnsi="宋体" w:eastAsia="宋体" w:cs="宋体"/>
                <w:sz w:val="24"/>
                <w:szCs w:val="24"/>
              </w:rPr>
            </w:pPr>
          </w:p>
        </w:tc>
        <w:tc>
          <w:tcPr>
            <w:tcW w:w="1367" w:type="dxa"/>
            <w:noWrap w:val="0"/>
            <w:vAlign w:val="top"/>
          </w:tcPr>
          <w:p>
            <w:pPr>
              <w:spacing w:line="400" w:lineRule="exact"/>
              <w:rPr>
                <w:rFonts w:hint="eastAsia" w:ascii="宋体" w:hAnsi="宋体" w:eastAsia="宋体" w:cs="宋体"/>
                <w:sz w:val="24"/>
                <w:szCs w:val="24"/>
              </w:rPr>
            </w:pPr>
          </w:p>
        </w:tc>
        <w:tc>
          <w:tcPr>
            <w:tcW w:w="986" w:type="dxa"/>
            <w:noWrap w:val="0"/>
            <w:vAlign w:val="top"/>
          </w:tcPr>
          <w:p>
            <w:pPr>
              <w:spacing w:line="400" w:lineRule="exact"/>
              <w:rPr>
                <w:rFonts w:hint="eastAsia" w:ascii="宋体" w:hAnsi="宋体" w:eastAsia="宋体" w:cs="宋体"/>
                <w:sz w:val="24"/>
                <w:szCs w:val="24"/>
              </w:rPr>
            </w:pPr>
          </w:p>
        </w:tc>
        <w:tc>
          <w:tcPr>
            <w:tcW w:w="1190" w:type="dxa"/>
            <w:noWrap w:val="0"/>
            <w:vAlign w:val="top"/>
          </w:tcPr>
          <w:p>
            <w:pPr>
              <w:spacing w:line="400" w:lineRule="exact"/>
              <w:rPr>
                <w:rFonts w:hint="eastAsia" w:ascii="宋体" w:hAnsi="宋体" w:eastAsia="宋体" w:cs="宋体"/>
                <w:sz w:val="24"/>
                <w:szCs w:val="24"/>
              </w:rPr>
            </w:pPr>
          </w:p>
        </w:tc>
        <w:tc>
          <w:tcPr>
            <w:tcW w:w="778" w:type="dxa"/>
            <w:noWrap w:val="0"/>
            <w:vAlign w:val="top"/>
          </w:tcPr>
          <w:p>
            <w:pPr>
              <w:spacing w:line="400" w:lineRule="exact"/>
              <w:rPr>
                <w:rFonts w:hint="eastAsia" w:ascii="宋体" w:hAnsi="宋体" w:eastAsia="宋体" w:cs="宋体"/>
                <w:sz w:val="24"/>
                <w:szCs w:val="24"/>
              </w:rPr>
            </w:pPr>
          </w:p>
        </w:tc>
      </w:tr>
    </w:tbl>
    <w:p>
      <w:pPr>
        <w:spacing w:line="400" w:lineRule="exact"/>
        <w:rPr>
          <w:rFonts w:hint="eastAsia" w:ascii="宋体" w:hAnsi="宋体" w:eastAsia="宋体" w:cs="宋体"/>
          <w:sz w:val="24"/>
          <w:szCs w:val="24"/>
        </w:rPr>
      </w:pPr>
    </w:p>
    <w:p>
      <w:pPr>
        <w:spacing w:line="400" w:lineRule="exact"/>
        <w:rPr>
          <w:rFonts w:hint="eastAsia" w:ascii="宋体" w:hAnsi="宋体" w:eastAsia="宋体" w:cs="宋体"/>
          <w:b/>
          <w:sz w:val="24"/>
          <w:szCs w:val="24"/>
        </w:rPr>
      </w:pPr>
      <w:bookmarkStart w:id="735" w:name="_Toc168476328"/>
      <w:bookmarkStart w:id="736" w:name="_Toc168475925"/>
      <w:bookmarkStart w:id="737" w:name="_Toc264889004"/>
      <w:bookmarkStart w:id="738" w:name="_Toc221952088"/>
      <w:bookmarkStart w:id="739" w:name="_Toc144974866"/>
      <w:r>
        <w:rPr>
          <w:rFonts w:hint="eastAsia" w:ascii="宋体" w:hAnsi="宋体" w:eastAsia="宋体" w:cs="宋体"/>
          <w:b/>
          <w:sz w:val="24"/>
          <w:szCs w:val="24"/>
        </w:rPr>
        <w:t>附表二：拟投入本标段的试验和检测仪器设备表</w:t>
      </w:r>
      <w:bookmarkEnd w:id="735"/>
      <w:bookmarkEnd w:id="736"/>
      <w:bookmarkEnd w:id="737"/>
      <w:bookmarkEnd w:id="738"/>
      <w:bookmarkEnd w:id="739"/>
    </w:p>
    <w:p>
      <w:pPr>
        <w:spacing w:line="400" w:lineRule="exact"/>
        <w:rPr>
          <w:rFonts w:hint="eastAsia" w:ascii="宋体" w:hAnsi="宋体" w:eastAsia="宋体" w:cs="宋体"/>
          <w:sz w:val="24"/>
          <w:szCs w:val="24"/>
        </w:rPr>
      </w:pPr>
    </w:p>
    <w:tbl>
      <w:tblPr>
        <w:tblStyle w:val="19"/>
        <w:tblW w:w="98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271"/>
        <w:gridCol w:w="1023"/>
        <w:gridCol w:w="1023"/>
        <w:gridCol w:w="786"/>
        <w:gridCol w:w="863"/>
        <w:gridCol w:w="1417"/>
        <w:gridCol w:w="1932"/>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noWrap w:val="0"/>
            <w:vAlign w:val="top"/>
          </w:tcPr>
          <w:p>
            <w:pPr>
              <w:spacing w:line="400" w:lineRule="exact"/>
              <w:rPr>
                <w:rFonts w:hint="eastAsia" w:ascii="宋体" w:hAnsi="宋体" w:eastAsia="宋体" w:cs="宋体"/>
                <w:sz w:val="24"/>
                <w:szCs w:val="24"/>
              </w:rPr>
            </w:pPr>
            <w:bookmarkStart w:id="740" w:name="_Toc221952089"/>
            <w:r>
              <w:rPr>
                <w:rFonts w:hint="eastAsia" w:ascii="宋体" w:hAnsi="宋体" w:eastAsia="宋体" w:cs="宋体"/>
                <w:sz w:val="24"/>
                <w:szCs w:val="24"/>
              </w:rPr>
              <w:t>序号</w:t>
            </w:r>
            <w:bookmarkEnd w:id="740"/>
          </w:p>
        </w:tc>
        <w:tc>
          <w:tcPr>
            <w:tcW w:w="1271" w:type="dxa"/>
            <w:noWrap w:val="0"/>
            <w:vAlign w:val="top"/>
          </w:tcPr>
          <w:p>
            <w:pPr>
              <w:spacing w:line="400" w:lineRule="exact"/>
              <w:rPr>
                <w:rFonts w:hint="eastAsia" w:ascii="宋体" w:hAnsi="宋体" w:eastAsia="宋体" w:cs="宋体"/>
                <w:sz w:val="24"/>
                <w:szCs w:val="24"/>
              </w:rPr>
            </w:pPr>
            <w:bookmarkStart w:id="741" w:name="_Toc221952090"/>
            <w:r>
              <w:rPr>
                <w:rFonts w:hint="eastAsia" w:ascii="宋体" w:hAnsi="宋体" w:eastAsia="宋体" w:cs="宋体"/>
                <w:sz w:val="24"/>
                <w:szCs w:val="24"/>
              </w:rPr>
              <w:t>仪器设备名称</w:t>
            </w:r>
            <w:bookmarkEnd w:id="741"/>
          </w:p>
        </w:tc>
        <w:tc>
          <w:tcPr>
            <w:tcW w:w="1023" w:type="dxa"/>
            <w:noWrap w:val="0"/>
            <w:vAlign w:val="top"/>
          </w:tcPr>
          <w:p>
            <w:pPr>
              <w:spacing w:line="400" w:lineRule="exact"/>
              <w:rPr>
                <w:rFonts w:hint="eastAsia" w:ascii="宋体" w:hAnsi="宋体" w:eastAsia="宋体" w:cs="宋体"/>
                <w:sz w:val="24"/>
                <w:szCs w:val="24"/>
              </w:rPr>
            </w:pPr>
            <w:bookmarkStart w:id="742" w:name="_Toc221952091"/>
            <w:r>
              <w:rPr>
                <w:rFonts w:hint="eastAsia" w:ascii="宋体" w:hAnsi="宋体" w:eastAsia="宋体" w:cs="宋体"/>
                <w:sz w:val="24"/>
                <w:szCs w:val="24"/>
              </w:rPr>
              <w:t>型号</w:t>
            </w:r>
            <w:bookmarkEnd w:id="742"/>
          </w:p>
          <w:p>
            <w:pPr>
              <w:spacing w:line="400" w:lineRule="exact"/>
              <w:rPr>
                <w:rFonts w:hint="eastAsia" w:ascii="宋体" w:hAnsi="宋体" w:eastAsia="宋体" w:cs="宋体"/>
                <w:sz w:val="24"/>
                <w:szCs w:val="24"/>
              </w:rPr>
            </w:pPr>
            <w:bookmarkStart w:id="743" w:name="_Toc221952092"/>
            <w:r>
              <w:rPr>
                <w:rFonts w:hint="eastAsia" w:ascii="宋体" w:hAnsi="宋体" w:eastAsia="宋体" w:cs="宋体"/>
                <w:sz w:val="24"/>
                <w:szCs w:val="24"/>
              </w:rPr>
              <w:t>规格</w:t>
            </w:r>
            <w:bookmarkEnd w:id="743"/>
          </w:p>
        </w:tc>
        <w:tc>
          <w:tcPr>
            <w:tcW w:w="1023" w:type="dxa"/>
            <w:noWrap w:val="0"/>
            <w:vAlign w:val="top"/>
          </w:tcPr>
          <w:p>
            <w:pPr>
              <w:spacing w:line="400" w:lineRule="exact"/>
              <w:rPr>
                <w:rFonts w:hint="eastAsia" w:ascii="宋体" w:hAnsi="宋体" w:eastAsia="宋体" w:cs="宋体"/>
                <w:sz w:val="24"/>
                <w:szCs w:val="24"/>
              </w:rPr>
            </w:pPr>
            <w:bookmarkStart w:id="744" w:name="_Toc221952093"/>
            <w:r>
              <w:rPr>
                <w:rFonts w:hint="eastAsia" w:ascii="宋体" w:hAnsi="宋体" w:eastAsia="宋体" w:cs="宋体"/>
                <w:sz w:val="24"/>
                <w:szCs w:val="24"/>
              </w:rPr>
              <w:t>数量</w:t>
            </w:r>
            <w:bookmarkEnd w:id="744"/>
          </w:p>
        </w:tc>
        <w:tc>
          <w:tcPr>
            <w:tcW w:w="786" w:type="dxa"/>
            <w:noWrap w:val="0"/>
            <w:vAlign w:val="top"/>
          </w:tcPr>
          <w:p>
            <w:pPr>
              <w:spacing w:line="400" w:lineRule="exact"/>
              <w:rPr>
                <w:rFonts w:hint="eastAsia" w:ascii="宋体" w:hAnsi="宋体" w:eastAsia="宋体" w:cs="宋体"/>
                <w:sz w:val="24"/>
                <w:szCs w:val="24"/>
              </w:rPr>
            </w:pPr>
            <w:bookmarkStart w:id="745" w:name="_Toc221952094"/>
            <w:r>
              <w:rPr>
                <w:rFonts w:hint="eastAsia" w:ascii="宋体" w:hAnsi="宋体" w:eastAsia="宋体" w:cs="宋体"/>
                <w:sz w:val="24"/>
                <w:szCs w:val="24"/>
              </w:rPr>
              <w:t>国别</w:t>
            </w:r>
            <w:bookmarkEnd w:id="745"/>
          </w:p>
          <w:p>
            <w:pPr>
              <w:spacing w:line="400" w:lineRule="exact"/>
              <w:rPr>
                <w:rFonts w:hint="eastAsia" w:ascii="宋体" w:hAnsi="宋体" w:eastAsia="宋体" w:cs="宋体"/>
                <w:sz w:val="24"/>
                <w:szCs w:val="24"/>
              </w:rPr>
            </w:pPr>
            <w:bookmarkStart w:id="746" w:name="_Toc221952095"/>
            <w:r>
              <w:rPr>
                <w:rFonts w:hint="eastAsia" w:ascii="宋体" w:hAnsi="宋体" w:eastAsia="宋体" w:cs="宋体"/>
                <w:sz w:val="24"/>
                <w:szCs w:val="24"/>
              </w:rPr>
              <w:t>产地</w:t>
            </w:r>
            <w:bookmarkEnd w:id="746"/>
          </w:p>
        </w:tc>
        <w:tc>
          <w:tcPr>
            <w:tcW w:w="863" w:type="dxa"/>
            <w:noWrap w:val="0"/>
            <w:vAlign w:val="top"/>
          </w:tcPr>
          <w:p>
            <w:pPr>
              <w:spacing w:line="400" w:lineRule="exact"/>
              <w:rPr>
                <w:rFonts w:hint="eastAsia" w:ascii="宋体" w:hAnsi="宋体" w:eastAsia="宋体" w:cs="宋体"/>
                <w:sz w:val="24"/>
                <w:szCs w:val="24"/>
              </w:rPr>
            </w:pPr>
            <w:bookmarkStart w:id="747" w:name="_Toc221952096"/>
            <w:r>
              <w:rPr>
                <w:rFonts w:hint="eastAsia" w:ascii="宋体" w:hAnsi="宋体" w:eastAsia="宋体" w:cs="宋体"/>
                <w:sz w:val="24"/>
                <w:szCs w:val="24"/>
              </w:rPr>
              <w:t>制造</w:t>
            </w:r>
            <w:bookmarkEnd w:id="747"/>
          </w:p>
          <w:p>
            <w:pPr>
              <w:spacing w:line="400" w:lineRule="exact"/>
              <w:rPr>
                <w:rFonts w:hint="eastAsia" w:ascii="宋体" w:hAnsi="宋体" w:eastAsia="宋体" w:cs="宋体"/>
                <w:sz w:val="24"/>
                <w:szCs w:val="24"/>
              </w:rPr>
            </w:pPr>
            <w:bookmarkStart w:id="748" w:name="_Toc221952097"/>
            <w:r>
              <w:rPr>
                <w:rFonts w:hint="eastAsia" w:ascii="宋体" w:hAnsi="宋体" w:eastAsia="宋体" w:cs="宋体"/>
                <w:sz w:val="24"/>
                <w:szCs w:val="24"/>
              </w:rPr>
              <w:t>年份</w:t>
            </w:r>
            <w:bookmarkEnd w:id="748"/>
          </w:p>
        </w:tc>
        <w:tc>
          <w:tcPr>
            <w:tcW w:w="1417" w:type="dxa"/>
            <w:noWrap w:val="0"/>
            <w:vAlign w:val="top"/>
          </w:tcPr>
          <w:p>
            <w:pPr>
              <w:spacing w:line="400" w:lineRule="exact"/>
              <w:rPr>
                <w:rFonts w:hint="eastAsia" w:ascii="宋体" w:hAnsi="宋体" w:eastAsia="宋体" w:cs="宋体"/>
                <w:sz w:val="24"/>
                <w:szCs w:val="24"/>
              </w:rPr>
            </w:pPr>
            <w:bookmarkStart w:id="749" w:name="_Toc221952098"/>
            <w:r>
              <w:rPr>
                <w:rFonts w:hint="eastAsia" w:ascii="宋体" w:hAnsi="宋体" w:eastAsia="宋体" w:cs="宋体"/>
                <w:sz w:val="24"/>
                <w:szCs w:val="24"/>
              </w:rPr>
              <w:t>已使用台时数</w:t>
            </w:r>
            <w:bookmarkEnd w:id="749"/>
          </w:p>
        </w:tc>
        <w:tc>
          <w:tcPr>
            <w:tcW w:w="1932" w:type="dxa"/>
            <w:noWrap w:val="0"/>
            <w:vAlign w:val="top"/>
          </w:tcPr>
          <w:p>
            <w:pPr>
              <w:spacing w:line="400" w:lineRule="exact"/>
              <w:rPr>
                <w:rFonts w:hint="eastAsia" w:ascii="宋体" w:hAnsi="宋体" w:eastAsia="宋体" w:cs="宋体"/>
                <w:sz w:val="24"/>
                <w:szCs w:val="24"/>
              </w:rPr>
            </w:pPr>
            <w:bookmarkStart w:id="750" w:name="_Toc221952099"/>
            <w:r>
              <w:rPr>
                <w:rFonts w:hint="eastAsia" w:ascii="宋体" w:hAnsi="宋体" w:eastAsia="宋体" w:cs="宋体"/>
                <w:sz w:val="24"/>
                <w:szCs w:val="24"/>
              </w:rPr>
              <w:t>用途</w:t>
            </w:r>
            <w:bookmarkEnd w:id="750"/>
          </w:p>
        </w:tc>
        <w:tc>
          <w:tcPr>
            <w:tcW w:w="804" w:type="dxa"/>
            <w:noWrap w:val="0"/>
            <w:vAlign w:val="top"/>
          </w:tcPr>
          <w:p>
            <w:pPr>
              <w:spacing w:line="400" w:lineRule="exact"/>
              <w:rPr>
                <w:rFonts w:hint="eastAsia" w:ascii="宋体" w:hAnsi="宋体" w:eastAsia="宋体" w:cs="宋体"/>
                <w:sz w:val="24"/>
                <w:szCs w:val="24"/>
              </w:rPr>
            </w:pPr>
            <w:bookmarkStart w:id="751" w:name="_Toc221952100"/>
            <w:r>
              <w:rPr>
                <w:rFonts w:hint="eastAsia" w:ascii="宋体" w:hAnsi="宋体" w:eastAsia="宋体" w:cs="宋体"/>
                <w:sz w:val="24"/>
                <w:szCs w:val="24"/>
              </w:rPr>
              <w:t>备注</w:t>
            </w:r>
            <w:bookmarkEnd w:id="7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noWrap w:val="0"/>
            <w:vAlign w:val="top"/>
          </w:tcPr>
          <w:p>
            <w:pPr>
              <w:spacing w:line="400" w:lineRule="exact"/>
              <w:rPr>
                <w:rFonts w:hint="eastAsia" w:ascii="宋体" w:hAnsi="宋体" w:eastAsia="宋体" w:cs="宋体"/>
                <w:sz w:val="24"/>
                <w:szCs w:val="24"/>
              </w:rPr>
            </w:pPr>
          </w:p>
        </w:tc>
        <w:tc>
          <w:tcPr>
            <w:tcW w:w="1271" w:type="dxa"/>
            <w:noWrap w:val="0"/>
            <w:vAlign w:val="top"/>
          </w:tcPr>
          <w:p>
            <w:pPr>
              <w:spacing w:line="400" w:lineRule="exact"/>
              <w:rPr>
                <w:rFonts w:hint="eastAsia" w:ascii="宋体" w:hAnsi="宋体" w:eastAsia="宋体" w:cs="宋体"/>
                <w:sz w:val="24"/>
                <w:szCs w:val="24"/>
              </w:rPr>
            </w:pPr>
          </w:p>
        </w:tc>
        <w:tc>
          <w:tcPr>
            <w:tcW w:w="1023" w:type="dxa"/>
            <w:noWrap w:val="0"/>
            <w:vAlign w:val="top"/>
          </w:tcPr>
          <w:p>
            <w:pPr>
              <w:spacing w:line="400" w:lineRule="exact"/>
              <w:rPr>
                <w:rFonts w:hint="eastAsia" w:ascii="宋体" w:hAnsi="宋体" w:eastAsia="宋体" w:cs="宋体"/>
                <w:sz w:val="24"/>
                <w:szCs w:val="24"/>
              </w:rPr>
            </w:pPr>
          </w:p>
        </w:tc>
        <w:tc>
          <w:tcPr>
            <w:tcW w:w="1023" w:type="dxa"/>
            <w:noWrap w:val="0"/>
            <w:vAlign w:val="top"/>
          </w:tcPr>
          <w:p>
            <w:pPr>
              <w:spacing w:line="400" w:lineRule="exact"/>
              <w:rPr>
                <w:rFonts w:hint="eastAsia" w:ascii="宋体" w:hAnsi="宋体" w:eastAsia="宋体" w:cs="宋体"/>
                <w:sz w:val="24"/>
                <w:szCs w:val="24"/>
              </w:rPr>
            </w:pPr>
          </w:p>
        </w:tc>
        <w:tc>
          <w:tcPr>
            <w:tcW w:w="786" w:type="dxa"/>
            <w:noWrap w:val="0"/>
            <w:vAlign w:val="top"/>
          </w:tcPr>
          <w:p>
            <w:pPr>
              <w:spacing w:line="400" w:lineRule="exact"/>
              <w:rPr>
                <w:rFonts w:hint="eastAsia" w:ascii="宋体" w:hAnsi="宋体" w:eastAsia="宋体" w:cs="宋体"/>
                <w:sz w:val="24"/>
                <w:szCs w:val="24"/>
              </w:rPr>
            </w:pPr>
          </w:p>
        </w:tc>
        <w:tc>
          <w:tcPr>
            <w:tcW w:w="863" w:type="dxa"/>
            <w:noWrap w:val="0"/>
            <w:vAlign w:val="top"/>
          </w:tcPr>
          <w:p>
            <w:pPr>
              <w:spacing w:line="400" w:lineRule="exact"/>
              <w:rPr>
                <w:rFonts w:hint="eastAsia" w:ascii="宋体" w:hAnsi="宋体" w:eastAsia="宋体" w:cs="宋体"/>
                <w:sz w:val="24"/>
                <w:szCs w:val="24"/>
              </w:rPr>
            </w:pPr>
          </w:p>
        </w:tc>
        <w:tc>
          <w:tcPr>
            <w:tcW w:w="1417" w:type="dxa"/>
            <w:noWrap w:val="0"/>
            <w:vAlign w:val="top"/>
          </w:tcPr>
          <w:p>
            <w:pPr>
              <w:spacing w:line="400" w:lineRule="exact"/>
              <w:rPr>
                <w:rFonts w:hint="eastAsia" w:ascii="宋体" w:hAnsi="宋体" w:eastAsia="宋体" w:cs="宋体"/>
                <w:sz w:val="24"/>
                <w:szCs w:val="24"/>
              </w:rPr>
            </w:pPr>
          </w:p>
        </w:tc>
        <w:tc>
          <w:tcPr>
            <w:tcW w:w="1932" w:type="dxa"/>
            <w:noWrap w:val="0"/>
            <w:vAlign w:val="top"/>
          </w:tcPr>
          <w:p>
            <w:pPr>
              <w:spacing w:line="400" w:lineRule="exact"/>
              <w:rPr>
                <w:rFonts w:hint="eastAsia" w:ascii="宋体" w:hAnsi="宋体" w:eastAsia="宋体" w:cs="宋体"/>
                <w:sz w:val="24"/>
                <w:szCs w:val="24"/>
              </w:rPr>
            </w:pPr>
          </w:p>
        </w:tc>
        <w:tc>
          <w:tcPr>
            <w:tcW w:w="804"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noWrap w:val="0"/>
            <w:vAlign w:val="top"/>
          </w:tcPr>
          <w:p>
            <w:pPr>
              <w:spacing w:line="400" w:lineRule="exact"/>
              <w:rPr>
                <w:rFonts w:hint="eastAsia" w:ascii="宋体" w:hAnsi="宋体" w:eastAsia="宋体" w:cs="宋体"/>
                <w:sz w:val="24"/>
                <w:szCs w:val="24"/>
              </w:rPr>
            </w:pPr>
          </w:p>
        </w:tc>
        <w:tc>
          <w:tcPr>
            <w:tcW w:w="1271" w:type="dxa"/>
            <w:noWrap w:val="0"/>
            <w:vAlign w:val="top"/>
          </w:tcPr>
          <w:p>
            <w:pPr>
              <w:spacing w:line="400" w:lineRule="exact"/>
              <w:rPr>
                <w:rFonts w:hint="eastAsia" w:ascii="宋体" w:hAnsi="宋体" w:eastAsia="宋体" w:cs="宋体"/>
                <w:sz w:val="24"/>
                <w:szCs w:val="24"/>
              </w:rPr>
            </w:pPr>
          </w:p>
        </w:tc>
        <w:tc>
          <w:tcPr>
            <w:tcW w:w="1023" w:type="dxa"/>
            <w:noWrap w:val="0"/>
            <w:vAlign w:val="top"/>
          </w:tcPr>
          <w:p>
            <w:pPr>
              <w:spacing w:line="400" w:lineRule="exact"/>
              <w:rPr>
                <w:rFonts w:hint="eastAsia" w:ascii="宋体" w:hAnsi="宋体" w:eastAsia="宋体" w:cs="宋体"/>
                <w:sz w:val="24"/>
                <w:szCs w:val="24"/>
              </w:rPr>
            </w:pPr>
          </w:p>
        </w:tc>
        <w:tc>
          <w:tcPr>
            <w:tcW w:w="1023" w:type="dxa"/>
            <w:noWrap w:val="0"/>
            <w:vAlign w:val="top"/>
          </w:tcPr>
          <w:p>
            <w:pPr>
              <w:spacing w:line="400" w:lineRule="exact"/>
              <w:rPr>
                <w:rFonts w:hint="eastAsia" w:ascii="宋体" w:hAnsi="宋体" w:eastAsia="宋体" w:cs="宋体"/>
                <w:sz w:val="24"/>
                <w:szCs w:val="24"/>
              </w:rPr>
            </w:pPr>
          </w:p>
        </w:tc>
        <w:tc>
          <w:tcPr>
            <w:tcW w:w="786" w:type="dxa"/>
            <w:noWrap w:val="0"/>
            <w:vAlign w:val="top"/>
          </w:tcPr>
          <w:p>
            <w:pPr>
              <w:spacing w:line="400" w:lineRule="exact"/>
              <w:rPr>
                <w:rFonts w:hint="eastAsia" w:ascii="宋体" w:hAnsi="宋体" w:eastAsia="宋体" w:cs="宋体"/>
                <w:sz w:val="24"/>
                <w:szCs w:val="24"/>
              </w:rPr>
            </w:pPr>
          </w:p>
        </w:tc>
        <w:tc>
          <w:tcPr>
            <w:tcW w:w="863" w:type="dxa"/>
            <w:noWrap w:val="0"/>
            <w:vAlign w:val="top"/>
          </w:tcPr>
          <w:p>
            <w:pPr>
              <w:spacing w:line="400" w:lineRule="exact"/>
              <w:rPr>
                <w:rFonts w:hint="eastAsia" w:ascii="宋体" w:hAnsi="宋体" w:eastAsia="宋体" w:cs="宋体"/>
                <w:sz w:val="24"/>
                <w:szCs w:val="24"/>
              </w:rPr>
            </w:pPr>
          </w:p>
        </w:tc>
        <w:tc>
          <w:tcPr>
            <w:tcW w:w="1417" w:type="dxa"/>
            <w:noWrap w:val="0"/>
            <w:vAlign w:val="top"/>
          </w:tcPr>
          <w:p>
            <w:pPr>
              <w:spacing w:line="400" w:lineRule="exact"/>
              <w:rPr>
                <w:rFonts w:hint="eastAsia" w:ascii="宋体" w:hAnsi="宋体" w:eastAsia="宋体" w:cs="宋体"/>
                <w:sz w:val="24"/>
                <w:szCs w:val="24"/>
              </w:rPr>
            </w:pPr>
          </w:p>
        </w:tc>
        <w:tc>
          <w:tcPr>
            <w:tcW w:w="1932" w:type="dxa"/>
            <w:noWrap w:val="0"/>
            <w:vAlign w:val="top"/>
          </w:tcPr>
          <w:p>
            <w:pPr>
              <w:spacing w:line="400" w:lineRule="exact"/>
              <w:rPr>
                <w:rFonts w:hint="eastAsia" w:ascii="宋体" w:hAnsi="宋体" w:eastAsia="宋体" w:cs="宋体"/>
                <w:sz w:val="24"/>
                <w:szCs w:val="24"/>
              </w:rPr>
            </w:pPr>
          </w:p>
        </w:tc>
        <w:tc>
          <w:tcPr>
            <w:tcW w:w="804"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noWrap w:val="0"/>
            <w:vAlign w:val="top"/>
          </w:tcPr>
          <w:p>
            <w:pPr>
              <w:spacing w:line="400" w:lineRule="exact"/>
              <w:rPr>
                <w:rFonts w:hint="eastAsia" w:ascii="宋体" w:hAnsi="宋体" w:eastAsia="宋体" w:cs="宋体"/>
                <w:sz w:val="24"/>
                <w:szCs w:val="24"/>
              </w:rPr>
            </w:pPr>
          </w:p>
        </w:tc>
        <w:tc>
          <w:tcPr>
            <w:tcW w:w="1271" w:type="dxa"/>
            <w:noWrap w:val="0"/>
            <w:vAlign w:val="top"/>
          </w:tcPr>
          <w:p>
            <w:pPr>
              <w:spacing w:line="400" w:lineRule="exact"/>
              <w:rPr>
                <w:rFonts w:hint="eastAsia" w:ascii="宋体" w:hAnsi="宋体" w:eastAsia="宋体" w:cs="宋体"/>
                <w:sz w:val="24"/>
                <w:szCs w:val="24"/>
              </w:rPr>
            </w:pPr>
          </w:p>
        </w:tc>
        <w:tc>
          <w:tcPr>
            <w:tcW w:w="1023" w:type="dxa"/>
            <w:noWrap w:val="0"/>
            <w:vAlign w:val="top"/>
          </w:tcPr>
          <w:p>
            <w:pPr>
              <w:spacing w:line="400" w:lineRule="exact"/>
              <w:rPr>
                <w:rFonts w:hint="eastAsia" w:ascii="宋体" w:hAnsi="宋体" w:eastAsia="宋体" w:cs="宋体"/>
                <w:sz w:val="24"/>
                <w:szCs w:val="24"/>
              </w:rPr>
            </w:pPr>
          </w:p>
        </w:tc>
        <w:tc>
          <w:tcPr>
            <w:tcW w:w="1023" w:type="dxa"/>
            <w:noWrap w:val="0"/>
            <w:vAlign w:val="top"/>
          </w:tcPr>
          <w:p>
            <w:pPr>
              <w:spacing w:line="400" w:lineRule="exact"/>
              <w:rPr>
                <w:rFonts w:hint="eastAsia" w:ascii="宋体" w:hAnsi="宋体" w:eastAsia="宋体" w:cs="宋体"/>
                <w:sz w:val="24"/>
                <w:szCs w:val="24"/>
              </w:rPr>
            </w:pPr>
          </w:p>
        </w:tc>
        <w:tc>
          <w:tcPr>
            <w:tcW w:w="786" w:type="dxa"/>
            <w:noWrap w:val="0"/>
            <w:vAlign w:val="top"/>
          </w:tcPr>
          <w:p>
            <w:pPr>
              <w:spacing w:line="400" w:lineRule="exact"/>
              <w:rPr>
                <w:rFonts w:hint="eastAsia" w:ascii="宋体" w:hAnsi="宋体" w:eastAsia="宋体" w:cs="宋体"/>
                <w:sz w:val="24"/>
                <w:szCs w:val="24"/>
              </w:rPr>
            </w:pPr>
          </w:p>
        </w:tc>
        <w:tc>
          <w:tcPr>
            <w:tcW w:w="863" w:type="dxa"/>
            <w:noWrap w:val="0"/>
            <w:vAlign w:val="top"/>
          </w:tcPr>
          <w:p>
            <w:pPr>
              <w:spacing w:line="400" w:lineRule="exact"/>
              <w:rPr>
                <w:rFonts w:hint="eastAsia" w:ascii="宋体" w:hAnsi="宋体" w:eastAsia="宋体" w:cs="宋体"/>
                <w:sz w:val="24"/>
                <w:szCs w:val="24"/>
              </w:rPr>
            </w:pPr>
          </w:p>
        </w:tc>
        <w:tc>
          <w:tcPr>
            <w:tcW w:w="1417" w:type="dxa"/>
            <w:noWrap w:val="0"/>
            <w:vAlign w:val="top"/>
          </w:tcPr>
          <w:p>
            <w:pPr>
              <w:spacing w:line="400" w:lineRule="exact"/>
              <w:rPr>
                <w:rFonts w:hint="eastAsia" w:ascii="宋体" w:hAnsi="宋体" w:eastAsia="宋体" w:cs="宋体"/>
                <w:sz w:val="24"/>
                <w:szCs w:val="24"/>
              </w:rPr>
            </w:pPr>
          </w:p>
        </w:tc>
        <w:tc>
          <w:tcPr>
            <w:tcW w:w="1932" w:type="dxa"/>
            <w:noWrap w:val="0"/>
            <w:vAlign w:val="top"/>
          </w:tcPr>
          <w:p>
            <w:pPr>
              <w:spacing w:line="400" w:lineRule="exact"/>
              <w:rPr>
                <w:rFonts w:hint="eastAsia" w:ascii="宋体" w:hAnsi="宋体" w:eastAsia="宋体" w:cs="宋体"/>
                <w:sz w:val="24"/>
                <w:szCs w:val="24"/>
              </w:rPr>
            </w:pPr>
          </w:p>
        </w:tc>
        <w:tc>
          <w:tcPr>
            <w:tcW w:w="804"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noWrap w:val="0"/>
            <w:vAlign w:val="top"/>
          </w:tcPr>
          <w:p>
            <w:pPr>
              <w:spacing w:line="400" w:lineRule="exact"/>
              <w:rPr>
                <w:rFonts w:hint="eastAsia" w:ascii="宋体" w:hAnsi="宋体" w:eastAsia="宋体" w:cs="宋体"/>
                <w:sz w:val="24"/>
                <w:szCs w:val="24"/>
              </w:rPr>
            </w:pPr>
          </w:p>
        </w:tc>
        <w:tc>
          <w:tcPr>
            <w:tcW w:w="1271" w:type="dxa"/>
            <w:noWrap w:val="0"/>
            <w:vAlign w:val="top"/>
          </w:tcPr>
          <w:p>
            <w:pPr>
              <w:spacing w:line="400" w:lineRule="exact"/>
              <w:rPr>
                <w:rFonts w:hint="eastAsia" w:ascii="宋体" w:hAnsi="宋体" w:eastAsia="宋体" w:cs="宋体"/>
                <w:sz w:val="24"/>
                <w:szCs w:val="24"/>
              </w:rPr>
            </w:pPr>
          </w:p>
        </w:tc>
        <w:tc>
          <w:tcPr>
            <w:tcW w:w="1023" w:type="dxa"/>
            <w:noWrap w:val="0"/>
            <w:vAlign w:val="top"/>
          </w:tcPr>
          <w:p>
            <w:pPr>
              <w:spacing w:line="400" w:lineRule="exact"/>
              <w:rPr>
                <w:rFonts w:hint="eastAsia" w:ascii="宋体" w:hAnsi="宋体" w:eastAsia="宋体" w:cs="宋体"/>
                <w:sz w:val="24"/>
                <w:szCs w:val="24"/>
              </w:rPr>
            </w:pPr>
          </w:p>
        </w:tc>
        <w:tc>
          <w:tcPr>
            <w:tcW w:w="1023" w:type="dxa"/>
            <w:noWrap w:val="0"/>
            <w:vAlign w:val="top"/>
          </w:tcPr>
          <w:p>
            <w:pPr>
              <w:spacing w:line="400" w:lineRule="exact"/>
              <w:rPr>
                <w:rFonts w:hint="eastAsia" w:ascii="宋体" w:hAnsi="宋体" w:eastAsia="宋体" w:cs="宋体"/>
                <w:sz w:val="24"/>
                <w:szCs w:val="24"/>
              </w:rPr>
            </w:pPr>
          </w:p>
        </w:tc>
        <w:tc>
          <w:tcPr>
            <w:tcW w:w="786" w:type="dxa"/>
            <w:noWrap w:val="0"/>
            <w:vAlign w:val="top"/>
          </w:tcPr>
          <w:p>
            <w:pPr>
              <w:spacing w:line="400" w:lineRule="exact"/>
              <w:rPr>
                <w:rFonts w:hint="eastAsia" w:ascii="宋体" w:hAnsi="宋体" w:eastAsia="宋体" w:cs="宋体"/>
                <w:sz w:val="24"/>
                <w:szCs w:val="24"/>
              </w:rPr>
            </w:pPr>
          </w:p>
        </w:tc>
        <w:tc>
          <w:tcPr>
            <w:tcW w:w="863" w:type="dxa"/>
            <w:noWrap w:val="0"/>
            <w:vAlign w:val="top"/>
          </w:tcPr>
          <w:p>
            <w:pPr>
              <w:spacing w:line="400" w:lineRule="exact"/>
              <w:rPr>
                <w:rFonts w:hint="eastAsia" w:ascii="宋体" w:hAnsi="宋体" w:eastAsia="宋体" w:cs="宋体"/>
                <w:sz w:val="24"/>
                <w:szCs w:val="24"/>
              </w:rPr>
            </w:pPr>
          </w:p>
        </w:tc>
        <w:tc>
          <w:tcPr>
            <w:tcW w:w="1417" w:type="dxa"/>
            <w:noWrap w:val="0"/>
            <w:vAlign w:val="top"/>
          </w:tcPr>
          <w:p>
            <w:pPr>
              <w:spacing w:line="400" w:lineRule="exact"/>
              <w:rPr>
                <w:rFonts w:hint="eastAsia" w:ascii="宋体" w:hAnsi="宋体" w:eastAsia="宋体" w:cs="宋体"/>
                <w:sz w:val="24"/>
                <w:szCs w:val="24"/>
              </w:rPr>
            </w:pPr>
          </w:p>
        </w:tc>
        <w:tc>
          <w:tcPr>
            <w:tcW w:w="1932" w:type="dxa"/>
            <w:noWrap w:val="0"/>
            <w:vAlign w:val="top"/>
          </w:tcPr>
          <w:p>
            <w:pPr>
              <w:spacing w:line="400" w:lineRule="exact"/>
              <w:rPr>
                <w:rFonts w:hint="eastAsia" w:ascii="宋体" w:hAnsi="宋体" w:eastAsia="宋体" w:cs="宋体"/>
                <w:sz w:val="24"/>
                <w:szCs w:val="24"/>
              </w:rPr>
            </w:pPr>
          </w:p>
        </w:tc>
        <w:tc>
          <w:tcPr>
            <w:tcW w:w="804"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noWrap w:val="0"/>
            <w:vAlign w:val="top"/>
          </w:tcPr>
          <w:p>
            <w:pPr>
              <w:spacing w:line="400" w:lineRule="exact"/>
              <w:rPr>
                <w:rFonts w:hint="eastAsia" w:ascii="宋体" w:hAnsi="宋体" w:eastAsia="宋体" w:cs="宋体"/>
                <w:sz w:val="24"/>
                <w:szCs w:val="24"/>
              </w:rPr>
            </w:pPr>
          </w:p>
        </w:tc>
        <w:tc>
          <w:tcPr>
            <w:tcW w:w="1271" w:type="dxa"/>
            <w:noWrap w:val="0"/>
            <w:vAlign w:val="top"/>
          </w:tcPr>
          <w:p>
            <w:pPr>
              <w:spacing w:line="400" w:lineRule="exact"/>
              <w:rPr>
                <w:rFonts w:hint="eastAsia" w:ascii="宋体" w:hAnsi="宋体" w:eastAsia="宋体" w:cs="宋体"/>
                <w:sz w:val="24"/>
                <w:szCs w:val="24"/>
              </w:rPr>
            </w:pPr>
          </w:p>
        </w:tc>
        <w:tc>
          <w:tcPr>
            <w:tcW w:w="1023" w:type="dxa"/>
            <w:noWrap w:val="0"/>
            <w:vAlign w:val="top"/>
          </w:tcPr>
          <w:p>
            <w:pPr>
              <w:spacing w:line="400" w:lineRule="exact"/>
              <w:rPr>
                <w:rFonts w:hint="eastAsia" w:ascii="宋体" w:hAnsi="宋体" w:eastAsia="宋体" w:cs="宋体"/>
                <w:sz w:val="24"/>
                <w:szCs w:val="24"/>
              </w:rPr>
            </w:pPr>
          </w:p>
        </w:tc>
        <w:tc>
          <w:tcPr>
            <w:tcW w:w="1023" w:type="dxa"/>
            <w:noWrap w:val="0"/>
            <w:vAlign w:val="top"/>
          </w:tcPr>
          <w:p>
            <w:pPr>
              <w:spacing w:line="400" w:lineRule="exact"/>
              <w:rPr>
                <w:rFonts w:hint="eastAsia" w:ascii="宋体" w:hAnsi="宋体" w:eastAsia="宋体" w:cs="宋体"/>
                <w:sz w:val="24"/>
                <w:szCs w:val="24"/>
              </w:rPr>
            </w:pPr>
          </w:p>
        </w:tc>
        <w:tc>
          <w:tcPr>
            <w:tcW w:w="786" w:type="dxa"/>
            <w:noWrap w:val="0"/>
            <w:vAlign w:val="top"/>
          </w:tcPr>
          <w:p>
            <w:pPr>
              <w:spacing w:line="400" w:lineRule="exact"/>
              <w:rPr>
                <w:rFonts w:hint="eastAsia" w:ascii="宋体" w:hAnsi="宋体" w:eastAsia="宋体" w:cs="宋体"/>
                <w:sz w:val="24"/>
                <w:szCs w:val="24"/>
              </w:rPr>
            </w:pPr>
          </w:p>
        </w:tc>
        <w:tc>
          <w:tcPr>
            <w:tcW w:w="863" w:type="dxa"/>
            <w:noWrap w:val="0"/>
            <w:vAlign w:val="top"/>
          </w:tcPr>
          <w:p>
            <w:pPr>
              <w:spacing w:line="400" w:lineRule="exact"/>
              <w:rPr>
                <w:rFonts w:hint="eastAsia" w:ascii="宋体" w:hAnsi="宋体" w:eastAsia="宋体" w:cs="宋体"/>
                <w:sz w:val="24"/>
                <w:szCs w:val="24"/>
              </w:rPr>
            </w:pPr>
          </w:p>
        </w:tc>
        <w:tc>
          <w:tcPr>
            <w:tcW w:w="1417" w:type="dxa"/>
            <w:noWrap w:val="0"/>
            <w:vAlign w:val="top"/>
          </w:tcPr>
          <w:p>
            <w:pPr>
              <w:spacing w:line="400" w:lineRule="exact"/>
              <w:rPr>
                <w:rFonts w:hint="eastAsia" w:ascii="宋体" w:hAnsi="宋体" w:eastAsia="宋体" w:cs="宋体"/>
                <w:sz w:val="24"/>
                <w:szCs w:val="24"/>
              </w:rPr>
            </w:pPr>
          </w:p>
        </w:tc>
        <w:tc>
          <w:tcPr>
            <w:tcW w:w="1932" w:type="dxa"/>
            <w:noWrap w:val="0"/>
            <w:vAlign w:val="top"/>
          </w:tcPr>
          <w:p>
            <w:pPr>
              <w:spacing w:line="400" w:lineRule="exact"/>
              <w:rPr>
                <w:rFonts w:hint="eastAsia" w:ascii="宋体" w:hAnsi="宋体" w:eastAsia="宋体" w:cs="宋体"/>
                <w:sz w:val="24"/>
                <w:szCs w:val="24"/>
              </w:rPr>
            </w:pPr>
          </w:p>
        </w:tc>
        <w:tc>
          <w:tcPr>
            <w:tcW w:w="804"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9" w:type="dxa"/>
            <w:noWrap w:val="0"/>
            <w:vAlign w:val="top"/>
          </w:tcPr>
          <w:p>
            <w:pPr>
              <w:spacing w:line="400" w:lineRule="exact"/>
              <w:rPr>
                <w:rFonts w:hint="eastAsia" w:ascii="宋体" w:hAnsi="宋体" w:eastAsia="宋体" w:cs="宋体"/>
                <w:sz w:val="24"/>
                <w:szCs w:val="24"/>
              </w:rPr>
            </w:pPr>
          </w:p>
        </w:tc>
        <w:tc>
          <w:tcPr>
            <w:tcW w:w="1271" w:type="dxa"/>
            <w:noWrap w:val="0"/>
            <w:vAlign w:val="top"/>
          </w:tcPr>
          <w:p>
            <w:pPr>
              <w:spacing w:line="400" w:lineRule="exact"/>
              <w:rPr>
                <w:rFonts w:hint="eastAsia" w:ascii="宋体" w:hAnsi="宋体" w:eastAsia="宋体" w:cs="宋体"/>
                <w:sz w:val="24"/>
                <w:szCs w:val="24"/>
              </w:rPr>
            </w:pPr>
          </w:p>
        </w:tc>
        <w:tc>
          <w:tcPr>
            <w:tcW w:w="1023" w:type="dxa"/>
            <w:noWrap w:val="0"/>
            <w:vAlign w:val="top"/>
          </w:tcPr>
          <w:p>
            <w:pPr>
              <w:spacing w:line="400" w:lineRule="exact"/>
              <w:rPr>
                <w:rFonts w:hint="eastAsia" w:ascii="宋体" w:hAnsi="宋体" w:eastAsia="宋体" w:cs="宋体"/>
                <w:sz w:val="24"/>
                <w:szCs w:val="24"/>
              </w:rPr>
            </w:pPr>
          </w:p>
        </w:tc>
        <w:tc>
          <w:tcPr>
            <w:tcW w:w="1023" w:type="dxa"/>
            <w:noWrap w:val="0"/>
            <w:vAlign w:val="top"/>
          </w:tcPr>
          <w:p>
            <w:pPr>
              <w:spacing w:line="400" w:lineRule="exact"/>
              <w:rPr>
                <w:rFonts w:hint="eastAsia" w:ascii="宋体" w:hAnsi="宋体" w:eastAsia="宋体" w:cs="宋体"/>
                <w:sz w:val="24"/>
                <w:szCs w:val="24"/>
              </w:rPr>
            </w:pPr>
          </w:p>
        </w:tc>
        <w:tc>
          <w:tcPr>
            <w:tcW w:w="786" w:type="dxa"/>
            <w:noWrap w:val="0"/>
            <w:vAlign w:val="top"/>
          </w:tcPr>
          <w:p>
            <w:pPr>
              <w:spacing w:line="400" w:lineRule="exact"/>
              <w:rPr>
                <w:rFonts w:hint="eastAsia" w:ascii="宋体" w:hAnsi="宋体" w:eastAsia="宋体" w:cs="宋体"/>
                <w:sz w:val="24"/>
                <w:szCs w:val="24"/>
              </w:rPr>
            </w:pPr>
          </w:p>
        </w:tc>
        <w:tc>
          <w:tcPr>
            <w:tcW w:w="863" w:type="dxa"/>
            <w:noWrap w:val="0"/>
            <w:vAlign w:val="top"/>
          </w:tcPr>
          <w:p>
            <w:pPr>
              <w:spacing w:line="400" w:lineRule="exact"/>
              <w:rPr>
                <w:rFonts w:hint="eastAsia" w:ascii="宋体" w:hAnsi="宋体" w:eastAsia="宋体" w:cs="宋体"/>
                <w:sz w:val="24"/>
                <w:szCs w:val="24"/>
              </w:rPr>
            </w:pPr>
          </w:p>
        </w:tc>
        <w:tc>
          <w:tcPr>
            <w:tcW w:w="1417" w:type="dxa"/>
            <w:noWrap w:val="0"/>
            <w:vAlign w:val="top"/>
          </w:tcPr>
          <w:p>
            <w:pPr>
              <w:spacing w:line="400" w:lineRule="exact"/>
              <w:rPr>
                <w:rFonts w:hint="eastAsia" w:ascii="宋体" w:hAnsi="宋体" w:eastAsia="宋体" w:cs="宋体"/>
                <w:sz w:val="24"/>
                <w:szCs w:val="24"/>
              </w:rPr>
            </w:pPr>
          </w:p>
        </w:tc>
        <w:tc>
          <w:tcPr>
            <w:tcW w:w="1932" w:type="dxa"/>
            <w:noWrap w:val="0"/>
            <w:vAlign w:val="top"/>
          </w:tcPr>
          <w:p>
            <w:pPr>
              <w:spacing w:line="400" w:lineRule="exact"/>
              <w:rPr>
                <w:rFonts w:hint="eastAsia" w:ascii="宋体" w:hAnsi="宋体" w:eastAsia="宋体" w:cs="宋体"/>
                <w:sz w:val="24"/>
                <w:szCs w:val="24"/>
              </w:rPr>
            </w:pPr>
          </w:p>
        </w:tc>
        <w:tc>
          <w:tcPr>
            <w:tcW w:w="804" w:type="dxa"/>
            <w:noWrap w:val="0"/>
            <w:vAlign w:val="top"/>
          </w:tcPr>
          <w:p>
            <w:pPr>
              <w:spacing w:line="400" w:lineRule="exact"/>
              <w:rPr>
                <w:rFonts w:hint="eastAsia" w:ascii="宋体" w:hAnsi="宋体" w:eastAsia="宋体" w:cs="宋体"/>
                <w:sz w:val="24"/>
                <w:szCs w:val="24"/>
              </w:rPr>
            </w:pPr>
          </w:p>
        </w:tc>
      </w:tr>
    </w:tbl>
    <w:p>
      <w:pPr>
        <w:spacing w:line="400" w:lineRule="exact"/>
        <w:rPr>
          <w:rFonts w:hint="eastAsia" w:ascii="宋体" w:hAnsi="宋体" w:eastAsia="宋体" w:cs="宋体"/>
          <w:b/>
          <w:sz w:val="24"/>
          <w:szCs w:val="24"/>
        </w:rPr>
      </w:pPr>
      <w:bookmarkStart w:id="752" w:name="_Toc221952101"/>
      <w:bookmarkStart w:id="753" w:name="_Toc264889005"/>
      <w:bookmarkStart w:id="754" w:name="_Toc168475926"/>
      <w:bookmarkStart w:id="755" w:name="_Toc144974867"/>
      <w:bookmarkStart w:id="756" w:name="_Toc168476329"/>
      <w:r>
        <w:rPr>
          <w:rFonts w:hint="eastAsia" w:ascii="宋体" w:hAnsi="宋体" w:eastAsia="宋体" w:cs="宋体"/>
          <w:b/>
          <w:sz w:val="24"/>
          <w:szCs w:val="24"/>
        </w:rPr>
        <w:t>附表三：拟投入本标段的劳动力计划表</w:t>
      </w:r>
      <w:bookmarkEnd w:id="752"/>
      <w:bookmarkEnd w:id="753"/>
      <w:bookmarkEnd w:id="754"/>
      <w:bookmarkEnd w:id="755"/>
      <w:bookmarkEnd w:id="756"/>
    </w:p>
    <w:p>
      <w:pPr>
        <w:spacing w:line="400" w:lineRule="exact"/>
        <w:ind w:right="200"/>
        <w:jc w:val="right"/>
        <w:rPr>
          <w:rFonts w:hint="eastAsia" w:ascii="宋体" w:hAnsi="宋体" w:eastAsia="宋体" w:cs="宋体"/>
          <w:sz w:val="24"/>
          <w:szCs w:val="24"/>
        </w:rPr>
      </w:pPr>
      <w:bookmarkStart w:id="757" w:name="_Toc221952102"/>
      <w:r>
        <w:rPr>
          <w:rFonts w:hint="eastAsia" w:ascii="宋体" w:hAnsi="宋体" w:eastAsia="宋体" w:cs="宋体"/>
          <w:sz w:val="24"/>
          <w:szCs w:val="24"/>
        </w:rPr>
        <w:t>单位：人</w:t>
      </w:r>
      <w:bookmarkEnd w:id="757"/>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1525"/>
        <w:gridCol w:w="1245"/>
        <w:gridCol w:w="1245"/>
        <w:gridCol w:w="1245"/>
        <w:gridCol w:w="1245"/>
        <w:gridCol w:w="1245"/>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noWrap w:val="0"/>
            <w:vAlign w:val="top"/>
          </w:tcPr>
          <w:p>
            <w:pPr>
              <w:spacing w:line="400" w:lineRule="exact"/>
              <w:rPr>
                <w:rFonts w:hint="eastAsia" w:ascii="宋体" w:hAnsi="宋体" w:eastAsia="宋体" w:cs="宋体"/>
                <w:sz w:val="24"/>
                <w:szCs w:val="24"/>
              </w:rPr>
            </w:pPr>
            <w:bookmarkStart w:id="758" w:name="_Toc221952103"/>
            <w:r>
              <w:rPr>
                <w:rFonts w:hint="eastAsia" w:ascii="宋体" w:hAnsi="宋体" w:eastAsia="宋体" w:cs="宋体"/>
                <w:sz w:val="24"/>
                <w:szCs w:val="24"/>
              </w:rPr>
              <w:t>工种</w:t>
            </w:r>
            <w:bookmarkEnd w:id="758"/>
          </w:p>
        </w:tc>
        <w:tc>
          <w:tcPr>
            <w:tcW w:w="8993" w:type="dxa"/>
            <w:gridSpan w:val="7"/>
            <w:noWrap w:val="0"/>
            <w:vAlign w:val="top"/>
          </w:tcPr>
          <w:p>
            <w:pPr>
              <w:spacing w:line="400" w:lineRule="exact"/>
              <w:rPr>
                <w:rFonts w:hint="eastAsia" w:ascii="宋体" w:hAnsi="宋体" w:eastAsia="宋体" w:cs="宋体"/>
                <w:sz w:val="24"/>
                <w:szCs w:val="24"/>
              </w:rPr>
            </w:pPr>
            <w:bookmarkStart w:id="759" w:name="_Toc221952104"/>
            <w:r>
              <w:rPr>
                <w:rFonts w:hint="eastAsia" w:ascii="宋体" w:hAnsi="宋体" w:eastAsia="宋体" w:cs="宋体"/>
                <w:sz w:val="24"/>
                <w:szCs w:val="24"/>
              </w:rPr>
              <w:t>按工程施工阶段投入劳动力情况</w:t>
            </w:r>
            <w:bookmarkEnd w:id="7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noWrap w:val="0"/>
            <w:vAlign w:val="top"/>
          </w:tcPr>
          <w:p>
            <w:pPr>
              <w:spacing w:line="400" w:lineRule="exact"/>
              <w:rPr>
                <w:rFonts w:hint="eastAsia" w:ascii="宋体" w:hAnsi="宋体" w:eastAsia="宋体" w:cs="宋体"/>
                <w:sz w:val="24"/>
                <w:szCs w:val="24"/>
              </w:rPr>
            </w:pPr>
          </w:p>
        </w:tc>
        <w:tc>
          <w:tcPr>
            <w:tcW w:w="152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3"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noWrap w:val="0"/>
            <w:vAlign w:val="top"/>
          </w:tcPr>
          <w:p>
            <w:pPr>
              <w:spacing w:line="400" w:lineRule="exact"/>
              <w:rPr>
                <w:rFonts w:hint="eastAsia" w:ascii="宋体" w:hAnsi="宋体" w:eastAsia="宋体" w:cs="宋体"/>
                <w:sz w:val="24"/>
                <w:szCs w:val="24"/>
              </w:rPr>
            </w:pPr>
          </w:p>
        </w:tc>
        <w:tc>
          <w:tcPr>
            <w:tcW w:w="152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3"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noWrap w:val="0"/>
            <w:vAlign w:val="top"/>
          </w:tcPr>
          <w:p>
            <w:pPr>
              <w:spacing w:line="400" w:lineRule="exact"/>
              <w:rPr>
                <w:rFonts w:hint="eastAsia" w:ascii="宋体" w:hAnsi="宋体" w:eastAsia="宋体" w:cs="宋体"/>
                <w:sz w:val="24"/>
                <w:szCs w:val="24"/>
              </w:rPr>
            </w:pPr>
          </w:p>
        </w:tc>
        <w:tc>
          <w:tcPr>
            <w:tcW w:w="152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3"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noWrap w:val="0"/>
            <w:vAlign w:val="top"/>
          </w:tcPr>
          <w:p>
            <w:pPr>
              <w:spacing w:line="400" w:lineRule="exact"/>
              <w:rPr>
                <w:rFonts w:hint="eastAsia" w:ascii="宋体" w:hAnsi="宋体" w:eastAsia="宋体" w:cs="宋体"/>
                <w:sz w:val="24"/>
                <w:szCs w:val="24"/>
              </w:rPr>
            </w:pPr>
          </w:p>
        </w:tc>
        <w:tc>
          <w:tcPr>
            <w:tcW w:w="152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3"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noWrap w:val="0"/>
            <w:vAlign w:val="top"/>
          </w:tcPr>
          <w:p>
            <w:pPr>
              <w:spacing w:line="400" w:lineRule="exact"/>
              <w:rPr>
                <w:rFonts w:hint="eastAsia" w:ascii="宋体" w:hAnsi="宋体" w:eastAsia="宋体" w:cs="宋体"/>
                <w:sz w:val="24"/>
                <w:szCs w:val="24"/>
              </w:rPr>
            </w:pPr>
          </w:p>
        </w:tc>
        <w:tc>
          <w:tcPr>
            <w:tcW w:w="152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3"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9" w:type="dxa"/>
            <w:noWrap w:val="0"/>
            <w:vAlign w:val="top"/>
          </w:tcPr>
          <w:p>
            <w:pPr>
              <w:spacing w:line="400" w:lineRule="exact"/>
              <w:rPr>
                <w:rFonts w:hint="eastAsia" w:ascii="宋体" w:hAnsi="宋体" w:eastAsia="宋体" w:cs="宋体"/>
                <w:sz w:val="24"/>
                <w:szCs w:val="24"/>
              </w:rPr>
            </w:pPr>
          </w:p>
        </w:tc>
        <w:tc>
          <w:tcPr>
            <w:tcW w:w="152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5" w:type="dxa"/>
            <w:noWrap w:val="0"/>
            <w:vAlign w:val="top"/>
          </w:tcPr>
          <w:p>
            <w:pPr>
              <w:spacing w:line="400" w:lineRule="exact"/>
              <w:rPr>
                <w:rFonts w:hint="eastAsia" w:ascii="宋体" w:hAnsi="宋体" w:eastAsia="宋体" w:cs="宋体"/>
                <w:sz w:val="24"/>
                <w:szCs w:val="24"/>
              </w:rPr>
            </w:pPr>
          </w:p>
        </w:tc>
        <w:tc>
          <w:tcPr>
            <w:tcW w:w="1243" w:type="dxa"/>
            <w:noWrap w:val="0"/>
            <w:vAlign w:val="top"/>
          </w:tcPr>
          <w:p>
            <w:pPr>
              <w:spacing w:line="400" w:lineRule="exact"/>
              <w:rPr>
                <w:rFonts w:hint="eastAsia" w:ascii="宋体" w:hAnsi="宋体" w:eastAsia="宋体" w:cs="宋体"/>
                <w:sz w:val="24"/>
                <w:szCs w:val="24"/>
              </w:rPr>
            </w:pPr>
          </w:p>
        </w:tc>
      </w:tr>
    </w:tbl>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pStyle w:val="25"/>
        <w:rPr>
          <w:rFonts w:hint="default"/>
          <w:lang w:val="en-US" w:eastAsia="zh-CN"/>
        </w:rPr>
      </w:pPr>
    </w:p>
    <w:p>
      <w:pPr>
        <w:pStyle w:val="40"/>
        <w:keepNext w:val="0"/>
        <w:keepLines w:val="0"/>
        <w:jc w:val="both"/>
        <w:rPr>
          <w:rFonts w:hint="eastAsia" w:ascii="宋体" w:hAnsi="宋体" w:eastAsia="宋体" w:cs="宋体"/>
          <w:b w:val="0"/>
          <w:sz w:val="24"/>
          <w:szCs w:val="24"/>
        </w:rPr>
      </w:pPr>
      <w:bookmarkStart w:id="760" w:name="_Toc221952105"/>
      <w:bookmarkStart w:id="761" w:name="_Toc144974868"/>
      <w:bookmarkStart w:id="762" w:name="_Toc168476330"/>
      <w:bookmarkStart w:id="763" w:name="_Toc168475927"/>
      <w:bookmarkStart w:id="764" w:name="_Toc264889006"/>
      <w:r>
        <w:rPr>
          <w:rFonts w:hint="eastAsia" w:ascii="宋体" w:hAnsi="宋体" w:eastAsia="宋体" w:cs="宋体"/>
          <w:b w:val="0"/>
          <w:sz w:val="24"/>
          <w:szCs w:val="24"/>
        </w:rPr>
        <w:t>附表四：           计划开工日期、完工日期和施工进度网络图</w:t>
      </w:r>
      <w:bookmarkEnd w:id="760"/>
      <w:bookmarkEnd w:id="761"/>
      <w:bookmarkEnd w:id="762"/>
      <w:bookmarkEnd w:id="763"/>
      <w:bookmarkEnd w:id="764"/>
    </w:p>
    <w:p>
      <w:pPr>
        <w:spacing w:line="400" w:lineRule="exact"/>
        <w:rPr>
          <w:rFonts w:hint="eastAsia" w:ascii="宋体" w:hAnsi="宋体" w:eastAsia="宋体" w:cs="宋体"/>
          <w:sz w:val="24"/>
          <w:szCs w:val="24"/>
        </w:rPr>
      </w:pPr>
    </w:p>
    <w:p>
      <w:pPr>
        <w:spacing w:line="400" w:lineRule="exact"/>
        <w:ind w:firstLine="480" w:firstLineChars="200"/>
        <w:rPr>
          <w:rFonts w:hint="eastAsia" w:ascii="宋体" w:hAnsi="宋体" w:eastAsia="宋体" w:cs="宋体"/>
          <w:sz w:val="24"/>
          <w:szCs w:val="24"/>
        </w:rPr>
      </w:pPr>
      <w:bookmarkStart w:id="765" w:name="_Toc221952106"/>
      <w:r>
        <w:rPr>
          <w:rFonts w:hint="eastAsia" w:ascii="宋体" w:hAnsi="宋体" w:eastAsia="宋体" w:cs="宋体"/>
          <w:sz w:val="24"/>
          <w:szCs w:val="24"/>
        </w:rPr>
        <w:t>1. 投标人应递交施工进度网络图或施工进度表，说明按招标文件要求的计划工期进行施工的各个关键日期。</w:t>
      </w:r>
      <w:bookmarkEnd w:id="765"/>
    </w:p>
    <w:p>
      <w:pPr>
        <w:spacing w:line="400" w:lineRule="exact"/>
        <w:ind w:firstLine="480" w:firstLineChars="200"/>
        <w:rPr>
          <w:rFonts w:hint="eastAsia" w:ascii="宋体" w:hAnsi="宋体" w:eastAsia="宋体" w:cs="宋体"/>
          <w:sz w:val="24"/>
          <w:szCs w:val="24"/>
        </w:rPr>
      </w:pPr>
      <w:bookmarkStart w:id="766" w:name="_Toc221952107"/>
      <w:r>
        <w:rPr>
          <w:rFonts w:hint="eastAsia" w:ascii="宋体" w:hAnsi="宋体" w:eastAsia="宋体" w:cs="宋体"/>
          <w:sz w:val="24"/>
          <w:szCs w:val="24"/>
        </w:rPr>
        <w:t>2. 施工进度表可采用</w:t>
      </w:r>
      <w:r>
        <w:rPr>
          <w:rFonts w:hint="eastAsia" w:ascii="宋体" w:hAnsi="宋体" w:eastAsia="宋体" w:cs="宋体"/>
          <w:sz w:val="24"/>
          <w:szCs w:val="24"/>
          <w:u w:val="single"/>
        </w:rPr>
        <w:t xml:space="preserve">                 </w:t>
      </w:r>
      <w:r>
        <w:rPr>
          <w:rFonts w:hint="eastAsia" w:ascii="宋体" w:hAnsi="宋体" w:eastAsia="宋体" w:cs="宋体"/>
          <w:sz w:val="24"/>
          <w:szCs w:val="24"/>
        </w:rPr>
        <w:t>网络图（或横道图）表示。</w:t>
      </w:r>
      <w:bookmarkEnd w:id="766"/>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sz w:val="24"/>
          <w:szCs w:val="24"/>
        </w:rPr>
      </w:pPr>
    </w:p>
    <w:p>
      <w:pPr>
        <w:spacing w:line="400" w:lineRule="exact"/>
        <w:rPr>
          <w:rFonts w:hint="eastAsia" w:ascii="宋体" w:hAnsi="宋体" w:eastAsia="宋体" w:cs="宋体"/>
          <w:b/>
          <w:sz w:val="24"/>
          <w:szCs w:val="24"/>
        </w:rPr>
      </w:pPr>
      <w:bookmarkStart w:id="767" w:name="_Toc221952108"/>
      <w:bookmarkStart w:id="768" w:name="_Toc168475928"/>
      <w:bookmarkStart w:id="769" w:name="_Toc264889007"/>
      <w:bookmarkStart w:id="770" w:name="_Toc168476331"/>
      <w:bookmarkStart w:id="771" w:name="_Toc144974869"/>
      <w:r>
        <w:rPr>
          <w:rFonts w:hint="eastAsia" w:ascii="宋体" w:hAnsi="宋体" w:eastAsia="宋体" w:cs="宋体"/>
          <w:b/>
          <w:sz w:val="24"/>
          <w:szCs w:val="24"/>
        </w:rPr>
        <w:t>附表五：                         施工总平面图</w:t>
      </w:r>
      <w:bookmarkEnd w:id="767"/>
      <w:bookmarkEnd w:id="768"/>
      <w:bookmarkEnd w:id="769"/>
      <w:bookmarkEnd w:id="770"/>
      <w:bookmarkEnd w:id="771"/>
    </w:p>
    <w:p>
      <w:pPr>
        <w:spacing w:line="400" w:lineRule="exact"/>
        <w:rPr>
          <w:rFonts w:hint="eastAsia" w:ascii="宋体" w:hAnsi="宋体" w:eastAsia="宋体" w:cs="宋体"/>
          <w:sz w:val="24"/>
          <w:szCs w:val="24"/>
        </w:rPr>
      </w:pPr>
      <w:r>
        <w:rPr>
          <w:rFonts w:hint="eastAsia" w:ascii="宋体" w:hAnsi="宋体" w:eastAsia="宋体" w:cs="宋体"/>
          <w:sz w:val="24"/>
          <w:szCs w:val="24"/>
        </w:rPr>
        <w:tab/>
      </w:r>
    </w:p>
    <w:p>
      <w:pPr>
        <w:spacing w:line="400" w:lineRule="exact"/>
        <w:ind w:firstLine="480" w:firstLineChars="200"/>
        <w:rPr>
          <w:rFonts w:hint="eastAsia" w:ascii="宋体" w:hAnsi="宋体" w:eastAsia="宋体" w:cs="宋体"/>
          <w:sz w:val="24"/>
          <w:szCs w:val="24"/>
        </w:rPr>
      </w:pPr>
      <w:bookmarkStart w:id="772" w:name="_Toc221952109"/>
      <w:r>
        <w:rPr>
          <w:rFonts w:hint="eastAsia" w:ascii="宋体" w:hAnsi="宋体" w:eastAsia="宋体" w:cs="宋体"/>
          <w:sz w:val="24"/>
          <w:szCs w:val="24"/>
        </w:rPr>
        <w:t>投标人应递交一份施工总平面图，绘出现场临时设施布置图表并附文字说明，说明临时设施、加工车间、现场办公、设备及仓储、供电、供水、卫生、生活、道路、消防等设施的情况和布置。</w:t>
      </w:r>
      <w:bookmarkEnd w:id="772"/>
    </w:p>
    <w:p>
      <w:pPr>
        <w:spacing w:line="400" w:lineRule="exact"/>
        <w:rPr>
          <w:rFonts w:hint="eastAsia" w:ascii="宋体" w:hAnsi="宋体" w:eastAsia="宋体" w:cs="宋体"/>
          <w:b/>
          <w:sz w:val="24"/>
          <w:szCs w:val="24"/>
        </w:rPr>
      </w:pPr>
      <w:bookmarkStart w:id="773" w:name="_Toc221952110"/>
      <w:bookmarkStart w:id="774" w:name="_Toc144974870"/>
      <w:bookmarkStart w:id="775" w:name="_Toc264889008"/>
      <w:bookmarkStart w:id="776" w:name="_Toc168475929"/>
      <w:bookmarkStart w:id="777" w:name="_Toc168476332"/>
      <w:r>
        <w:rPr>
          <w:rFonts w:hint="eastAsia" w:ascii="宋体" w:hAnsi="宋体" w:eastAsia="宋体" w:cs="宋体"/>
          <w:b/>
          <w:sz w:val="24"/>
          <w:szCs w:val="24"/>
        </w:rPr>
        <w:t>附表六：临时用地表</w:t>
      </w:r>
      <w:bookmarkEnd w:id="773"/>
      <w:bookmarkEnd w:id="774"/>
      <w:bookmarkEnd w:id="775"/>
      <w:bookmarkEnd w:id="776"/>
      <w:bookmarkEnd w:id="777"/>
    </w:p>
    <w:tbl>
      <w:tblPr>
        <w:tblStyle w:val="19"/>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490"/>
        <w:gridCol w:w="249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noWrap w:val="0"/>
            <w:vAlign w:val="top"/>
          </w:tcPr>
          <w:p>
            <w:pPr>
              <w:spacing w:line="400" w:lineRule="exact"/>
              <w:jc w:val="center"/>
              <w:rPr>
                <w:rFonts w:hint="eastAsia" w:ascii="宋体" w:hAnsi="宋体" w:eastAsia="宋体" w:cs="宋体"/>
                <w:sz w:val="24"/>
                <w:szCs w:val="24"/>
              </w:rPr>
            </w:pPr>
            <w:bookmarkStart w:id="778" w:name="_Toc221952111"/>
            <w:r>
              <w:rPr>
                <w:rFonts w:hint="eastAsia" w:ascii="宋体" w:hAnsi="宋体" w:eastAsia="宋体" w:cs="宋体"/>
                <w:sz w:val="24"/>
                <w:szCs w:val="24"/>
              </w:rPr>
              <w:t>用 途</w:t>
            </w:r>
            <w:bookmarkEnd w:id="778"/>
            <w:r>
              <w:rPr>
                <w:rFonts w:hint="eastAsia" w:ascii="宋体" w:hAnsi="宋体" w:eastAsia="宋体" w:cs="宋体"/>
                <w:sz w:val="24"/>
                <w:szCs w:val="24"/>
              </w:rPr>
              <w:cr/>
            </w:r>
          </w:p>
        </w:tc>
        <w:tc>
          <w:tcPr>
            <w:tcW w:w="2490" w:type="dxa"/>
            <w:noWrap w:val="0"/>
            <w:vAlign w:val="top"/>
          </w:tcPr>
          <w:p>
            <w:pPr>
              <w:spacing w:line="400" w:lineRule="exact"/>
              <w:jc w:val="center"/>
              <w:rPr>
                <w:rFonts w:hint="eastAsia" w:ascii="宋体" w:hAnsi="宋体" w:eastAsia="宋体" w:cs="宋体"/>
                <w:sz w:val="24"/>
                <w:szCs w:val="24"/>
              </w:rPr>
            </w:pPr>
            <w:bookmarkStart w:id="779" w:name="_Toc221952112"/>
            <w:r>
              <w:rPr>
                <w:rFonts w:hint="eastAsia" w:ascii="宋体" w:hAnsi="宋体" w:eastAsia="宋体" w:cs="宋体"/>
                <w:sz w:val="24"/>
                <w:szCs w:val="24"/>
              </w:rPr>
              <w:t>面 积（㎡）</w:t>
            </w:r>
            <w:bookmarkEnd w:id="779"/>
          </w:p>
        </w:tc>
        <w:tc>
          <w:tcPr>
            <w:tcW w:w="2491" w:type="dxa"/>
            <w:noWrap w:val="0"/>
            <w:vAlign w:val="top"/>
          </w:tcPr>
          <w:p>
            <w:pPr>
              <w:spacing w:line="400" w:lineRule="exact"/>
              <w:jc w:val="center"/>
              <w:rPr>
                <w:rFonts w:hint="eastAsia" w:ascii="宋体" w:hAnsi="宋体" w:eastAsia="宋体" w:cs="宋体"/>
                <w:sz w:val="24"/>
                <w:szCs w:val="24"/>
              </w:rPr>
            </w:pPr>
            <w:bookmarkStart w:id="780" w:name="_Toc221952113"/>
            <w:r>
              <w:rPr>
                <w:rFonts w:hint="eastAsia" w:ascii="宋体" w:hAnsi="宋体" w:eastAsia="宋体" w:cs="宋体"/>
                <w:sz w:val="24"/>
                <w:szCs w:val="24"/>
              </w:rPr>
              <w:t>位 置</w:t>
            </w:r>
            <w:bookmarkEnd w:id="780"/>
          </w:p>
        </w:tc>
        <w:tc>
          <w:tcPr>
            <w:tcW w:w="2491" w:type="dxa"/>
            <w:noWrap w:val="0"/>
            <w:vAlign w:val="top"/>
          </w:tcPr>
          <w:p>
            <w:pPr>
              <w:spacing w:line="400" w:lineRule="exact"/>
              <w:jc w:val="center"/>
              <w:rPr>
                <w:rFonts w:hint="eastAsia" w:ascii="宋体" w:hAnsi="宋体" w:eastAsia="宋体" w:cs="宋体"/>
                <w:sz w:val="24"/>
                <w:szCs w:val="24"/>
              </w:rPr>
            </w:pPr>
            <w:bookmarkStart w:id="781" w:name="_Toc221952114"/>
            <w:r>
              <w:rPr>
                <w:rFonts w:hint="eastAsia" w:ascii="宋体" w:hAnsi="宋体" w:eastAsia="宋体" w:cs="宋体"/>
                <w:sz w:val="24"/>
                <w:szCs w:val="24"/>
              </w:rPr>
              <w:t>需用时间</w:t>
            </w:r>
            <w:bookmarkEnd w:id="7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noWrap w:val="0"/>
            <w:vAlign w:val="top"/>
          </w:tcPr>
          <w:p>
            <w:pPr>
              <w:spacing w:line="400" w:lineRule="exact"/>
              <w:rPr>
                <w:rFonts w:hint="eastAsia" w:ascii="宋体" w:hAnsi="宋体" w:eastAsia="宋体" w:cs="宋体"/>
                <w:sz w:val="24"/>
                <w:szCs w:val="24"/>
              </w:rPr>
            </w:pPr>
          </w:p>
        </w:tc>
        <w:tc>
          <w:tcPr>
            <w:tcW w:w="2490" w:type="dxa"/>
            <w:noWrap w:val="0"/>
            <w:vAlign w:val="top"/>
          </w:tcPr>
          <w:p>
            <w:pPr>
              <w:spacing w:line="400" w:lineRule="exact"/>
              <w:rPr>
                <w:rFonts w:hint="eastAsia" w:ascii="宋体" w:hAnsi="宋体" w:eastAsia="宋体" w:cs="宋体"/>
                <w:sz w:val="24"/>
                <w:szCs w:val="24"/>
              </w:rPr>
            </w:pPr>
          </w:p>
        </w:tc>
        <w:tc>
          <w:tcPr>
            <w:tcW w:w="2491" w:type="dxa"/>
            <w:noWrap w:val="0"/>
            <w:vAlign w:val="top"/>
          </w:tcPr>
          <w:p>
            <w:pPr>
              <w:spacing w:line="400" w:lineRule="exact"/>
              <w:rPr>
                <w:rFonts w:hint="eastAsia" w:ascii="宋体" w:hAnsi="宋体" w:eastAsia="宋体" w:cs="宋体"/>
                <w:sz w:val="24"/>
                <w:szCs w:val="24"/>
              </w:rPr>
            </w:pPr>
          </w:p>
        </w:tc>
        <w:tc>
          <w:tcPr>
            <w:tcW w:w="2491"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noWrap w:val="0"/>
            <w:vAlign w:val="top"/>
          </w:tcPr>
          <w:p>
            <w:pPr>
              <w:spacing w:line="400" w:lineRule="exact"/>
              <w:rPr>
                <w:rFonts w:hint="eastAsia" w:ascii="宋体" w:hAnsi="宋体" w:eastAsia="宋体" w:cs="宋体"/>
                <w:sz w:val="24"/>
                <w:szCs w:val="24"/>
              </w:rPr>
            </w:pPr>
          </w:p>
        </w:tc>
        <w:tc>
          <w:tcPr>
            <w:tcW w:w="2490" w:type="dxa"/>
            <w:noWrap w:val="0"/>
            <w:vAlign w:val="top"/>
          </w:tcPr>
          <w:p>
            <w:pPr>
              <w:spacing w:line="400" w:lineRule="exact"/>
              <w:rPr>
                <w:rFonts w:hint="eastAsia" w:ascii="宋体" w:hAnsi="宋体" w:eastAsia="宋体" w:cs="宋体"/>
                <w:sz w:val="24"/>
                <w:szCs w:val="24"/>
              </w:rPr>
            </w:pPr>
          </w:p>
        </w:tc>
        <w:tc>
          <w:tcPr>
            <w:tcW w:w="2491" w:type="dxa"/>
            <w:noWrap w:val="0"/>
            <w:vAlign w:val="top"/>
          </w:tcPr>
          <w:p>
            <w:pPr>
              <w:spacing w:line="400" w:lineRule="exact"/>
              <w:rPr>
                <w:rFonts w:hint="eastAsia" w:ascii="宋体" w:hAnsi="宋体" w:eastAsia="宋体" w:cs="宋体"/>
                <w:sz w:val="24"/>
                <w:szCs w:val="24"/>
              </w:rPr>
            </w:pPr>
          </w:p>
        </w:tc>
        <w:tc>
          <w:tcPr>
            <w:tcW w:w="2491"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noWrap w:val="0"/>
            <w:vAlign w:val="top"/>
          </w:tcPr>
          <w:p>
            <w:pPr>
              <w:spacing w:line="400" w:lineRule="exact"/>
              <w:rPr>
                <w:rFonts w:hint="eastAsia" w:ascii="宋体" w:hAnsi="宋体" w:eastAsia="宋体" w:cs="宋体"/>
                <w:sz w:val="24"/>
                <w:szCs w:val="24"/>
              </w:rPr>
            </w:pPr>
          </w:p>
        </w:tc>
        <w:tc>
          <w:tcPr>
            <w:tcW w:w="2490" w:type="dxa"/>
            <w:noWrap w:val="0"/>
            <w:vAlign w:val="top"/>
          </w:tcPr>
          <w:p>
            <w:pPr>
              <w:spacing w:line="400" w:lineRule="exact"/>
              <w:rPr>
                <w:rFonts w:hint="eastAsia" w:ascii="宋体" w:hAnsi="宋体" w:eastAsia="宋体" w:cs="宋体"/>
                <w:sz w:val="24"/>
                <w:szCs w:val="24"/>
              </w:rPr>
            </w:pPr>
          </w:p>
        </w:tc>
        <w:tc>
          <w:tcPr>
            <w:tcW w:w="2491" w:type="dxa"/>
            <w:noWrap w:val="0"/>
            <w:vAlign w:val="top"/>
          </w:tcPr>
          <w:p>
            <w:pPr>
              <w:spacing w:line="400" w:lineRule="exact"/>
              <w:rPr>
                <w:rFonts w:hint="eastAsia" w:ascii="宋体" w:hAnsi="宋体" w:eastAsia="宋体" w:cs="宋体"/>
                <w:sz w:val="24"/>
                <w:szCs w:val="24"/>
              </w:rPr>
            </w:pPr>
          </w:p>
        </w:tc>
        <w:tc>
          <w:tcPr>
            <w:tcW w:w="2491"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noWrap w:val="0"/>
            <w:vAlign w:val="top"/>
          </w:tcPr>
          <w:p>
            <w:pPr>
              <w:spacing w:line="400" w:lineRule="exact"/>
              <w:rPr>
                <w:rFonts w:hint="eastAsia" w:ascii="宋体" w:hAnsi="宋体" w:eastAsia="宋体" w:cs="宋体"/>
                <w:sz w:val="24"/>
                <w:szCs w:val="24"/>
              </w:rPr>
            </w:pPr>
          </w:p>
        </w:tc>
        <w:tc>
          <w:tcPr>
            <w:tcW w:w="2490" w:type="dxa"/>
            <w:noWrap w:val="0"/>
            <w:vAlign w:val="top"/>
          </w:tcPr>
          <w:p>
            <w:pPr>
              <w:spacing w:line="400" w:lineRule="exact"/>
              <w:rPr>
                <w:rFonts w:hint="eastAsia" w:ascii="宋体" w:hAnsi="宋体" w:eastAsia="宋体" w:cs="宋体"/>
                <w:sz w:val="24"/>
                <w:szCs w:val="24"/>
              </w:rPr>
            </w:pPr>
          </w:p>
        </w:tc>
        <w:tc>
          <w:tcPr>
            <w:tcW w:w="2491" w:type="dxa"/>
            <w:noWrap w:val="0"/>
            <w:vAlign w:val="top"/>
          </w:tcPr>
          <w:p>
            <w:pPr>
              <w:spacing w:line="400" w:lineRule="exact"/>
              <w:rPr>
                <w:rFonts w:hint="eastAsia" w:ascii="宋体" w:hAnsi="宋体" w:eastAsia="宋体" w:cs="宋体"/>
                <w:sz w:val="24"/>
                <w:szCs w:val="24"/>
              </w:rPr>
            </w:pPr>
          </w:p>
        </w:tc>
        <w:tc>
          <w:tcPr>
            <w:tcW w:w="2491" w:type="dxa"/>
            <w:noWrap w:val="0"/>
            <w:vAlign w:val="top"/>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90" w:type="dxa"/>
            <w:noWrap w:val="0"/>
            <w:vAlign w:val="top"/>
          </w:tcPr>
          <w:p>
            <w:pPr>
              <w:spacing w:line="400" w:lineRule="exact"/>
              <w:rPr>
                <w:rFonts w:hint="eastAsia" w:ascii="宋体" w:hAnsi="宋体" w:eastAsia="宋体" w:cs="宋体"/>
                <w:sz w:val="24"/>
                <w:szCs w:val="24"/>
              </w:rPr>
            </w:pPr>
          </w:p>
        </w:tc>
        <w:tc>
          <w:tcPr>
            <w:tcW w:w="2490" w:type="dxa"/>
            <w:noWrap w:val="0"/>
            <w:vAlign w:val="top"/>
          </w:tcPr>
          <w:p>
            <w:pPr>
              <w:spacing w:line="400" w:lineRule="exact"/>
              <w:rPr>
                <w:rFonts w:hint="eastAsia" w:ascii="宋体" w:hAnsi="宋体" w:eastAsia="宋体" w:cs="宋体"/>
                <w:sz w:val="24"/>
                <w:szCs w:val="24"/>
              </w:rPr>
            </w:pPr>
          </w:p>
        </w:tc>
        <w:tc>
          <w:tcPr>
            <w:tcW w:w="2491" w:type="dxa"/>
            <w:noWrap w:val="0"/>
            <w:vAlign w:val="top"/>
          </w:tcPr>
          <w:p>
            <w:pPr>
              <w:spacing w:line="400" w:lineRule="exact"/>
              <w:rPr>
                <w:rFonts w:hint="eastAsia" w:ascii="宋体" w:hAnsi="宋体" w:eastAsia="宋体" w:cs="宋体"/>
                <w:sz w:val="24"/>
                <w:szCs w:val="24"/>
              </w:rPr>
            </w:pPr>
          </w:p>
        </w:tc>
        <w:tc>
          <w:tcPr>
            <w:tcW w:w="2491" w:type="dxa"/>
            <w:noWrap w:val="0"/>
            <w:vAlign w:val="top"/>
          </w:tcPr>
          <w:p>
            <w:pPr>
              <w:spacing w:line="400" w:lineRule="exact"/>
              <w:rPr>
                <w:rFonts w:hint="eastAsia" w:ascii="宋体" w:hAnsi="宋体" w:eastAsia="宋体" w:cs="宋体"/>
                <w:sz w:val="24"/>
                <w:szCs w:val="24"/>
              </w:rPr>
            </w:pPr>
          </w:p>
        </w:tc>
      </w:tr>
    </w:tbl>
    <w:p>
      <w:pPr>
        <w:pStyle w:val="4"/>
        <w:keepNext w:val="0"/>
        <w:keepLines w:val="0"/>
        <w:spacing w:line="400" w:lineRule="exact"/>
        <w:ind w:left="0" w:leftChars="0" w:firstLine="0" w:firstLineChars="0"/>
        <w:jc w:val="both"/>
        <w:rPr>
          <w:rFonts w:hint="eastAsia" w:ascii="宋体" w:hAnsi="宋体" w:eastAsia="宋体" w:cs="宋体"/>
          <w:sz w:val="24"/>
          <w:szCs w:val="24"/>
        </w:rPr>
      </w:pPr>
      <w:bookmarkStart w:id="782" w:name="_Toc222031069"/>
      <w:bookmarkStart w:id="783" w:name="_Toc168475930"/>
      <w:bookmarkStart w:id="784" w:name="_Toc409092091"/>
      <w:bookmarkStart w:id="785" w:name="_Toc221952115"/>
      <w:bookmarkStart w:id="786" w:name="_Toc482807304"/>
      <w:bookmarkStart w:id="787" w:name="_Toc222032736"/>
      <w:bookmarkStart w:id="788" w:name="_Toc264889009"/>
      <w:bookmarkStart w:id="789" w:name="_Toc144974871"/>
      <w:bookmarkStart w:id="790" w:name="_Toc259524421"/>
      <w:bookmarkStart w:id="791" w:name="_Toc222033918"/>
      <w:bookmarkStart w:id="792" w:name="_Toc168476333"/>
      <w:bookmarkStart w:id="793" w:name="_Toc229305427"/>
      <w:bookmarkStart w:id="794" w:name="_Toc222029567"/>
      <w:r>
        <w:rPr>
          <w:rFonts w:hint="eastAsia" w:ascii="宋体" w:hAnsi="宋体" w:eastAsia="宋体" w:cs="宋体"/>
          <w:sz w:val="24"/>
          <w:szCs w:val="24"/>
          <w:lang w:val="en-US" w:eastAsia="zh-CN"/>
        </w:rPr>
        <w:t>附表七：</w:t>
      </w:r>
      <w:r>
        <w:rPr>
          <w:rFonts w:hint="eastAsia" w:ascii="宋体" w:hAnsi="宋体" w:eastAsia="宋体" w:cs="宋体"/>
          <w:sz w:val="24"/>
          <w:szCs w:val="24"/>
        </w:rPr>
        <w:t>项目管理机构</w:t>
      </w:r>
      <w:bookmarkEnd w:id="782"/>
      <w:bookmarkEnd w:id="783"/>
      <w:bookmarkEnd w:id="784"/>
      <w:bookmarkEnd w:id="785"/>
      <w:bookmarkEnd w:id="786"/>
      <w:bookmarkEnd w:id="787"/>
      <w:bookmarkEnd w:id="788"/>
      <w:bookmarkEnd w:id="789"/>
      <w:bookmarkEnd w:id="790"/>
      <w:bookmarkEnd w:id="791"/>
      <w:bookmarkEnd w:id="792"/>
      <w:bookmarkEnd w:id="793"/>
      <w:bookmarkEnd w:id="794"/>
    </w:p>
    <w:p>
      <w:pPr>
        <w:spacing w:line="400" w:lineRule="exact"/>
        <w:jc w:val="center"/>
        <w:rPr>
          <w:rFonts w:hint="eastAsia" w:ascii="宋体" w:hAnsi="宋体" w:eastAsia="宋体" w:cs="宋体"/>
          <w:sz w:val="24"/>
          <w:szCs w:val="24"/>
        </w:rPr>
      </w:pPr>
    </w:p>
    <w:p>
      <w:pPr>
        <w:pStyle w:val="40"/>
        <w:keepNext w:val="0"/>
        <w:keepLines w:val="0"/>
        <w:rPr>
          <w:rFonts w:hint="eastAsia" w:ascii="宋体" w:hAnsi="宋体" w:eastAsia="宋体" w:cs="宋体"/>
          <w:b w:val="0"/>
          <w:sz w:val="24"/>
          <w:szCs w:val="24"/>
        </w:rPr>
      </w:pPr>
      <w:bookmarkStart w:id="795" w:name="_Toc264889010"/>
      <w:bookmarkStart w:id="796" w:name="_Toc144974872"/>
      <w:bookmarkStart w:id="797" w:name="_Toc168475931"/>
      <w:bookmarkStart w:id="798" w:name="_Toc221952116"/>
      <w:bookmarkStart w:id="799" w:name="_Toc168476334"/>
      <w:r>
        <w:rPr>
          <w:rFonts w:hint="eastAsia" w:ascii="宋体" w:hAnsi="宋体" w:eastAsia="宋体" w:cs="宋体"/>
          <w:b w:val="0"/>
          <w:sz w:val="24"/>
          <w:szCs w:val="24"/>
        </w:rPr>
        <w:t>（一）项目管理机构组成表</w:t>
      </w:r>
      <w:bookmarkEnd w:id="795"/>
      <w:bookmarkEnd w:id="796"/>
      <w:bookmarkEnd w:id="797"/>
      <w:bookmarkEnd w:id="798"/>
      <w:bookmarkEnd w:id="799"/>
    </w:p>
    <w:tbl>
      <w:tblPr>
        <w:tblStyle w:val="19"/>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63"/>
        <w:gridCol w:w="861"/>
        <w:gridCol w:w="1240"/>
        <w:gridCol w:w="1146"/>
        <w:gridCol w:w="1142"/>
        <w:gridCol w:w="1146"/>
        <w:gridCol w:w="172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664" w:type="dxa"/>
            <w:vMerge w:val="restart"/>
            <w:noWrap w:val="0"/>
            <w:vAlign w:val="center"/>
          </w:tcPr>
          <w:p>
            <w:pPr>
              <w:spacing w:line="400" w:lineRule="exact"/>
              <w:rPr>
                <w:rFonts w:hint="eastAsia" w:ascii="宋体" w:hAnsi="宋体" w:eastAsia="宋体" w:cs="宋体"/>
                <w:sz w:val="24"/>
                <w:szCs w:val="24"/>
              </w:rPr>
            </w:pPr>
            <w:bookmarkStart w:id="800" w:name="_Toc221952117"/>
            <w:r>
              <w:rPr>
                <w:rFonts w:hint="eastAsia" w:ascii="宋体" w:hAnsi="宋体" w:eastAsia="宋体" w:cs="宋体"/>
                <w:sz w:val="24"/>
                <w:szCs w:val="24"/>
              </w:rPr>
              <w:t>职务</w:t>
            </w:r>
            <w:bookmarkEnd w:id="800"/>
          </w:p>
        </w:tc>
        <w:tc>
          <w:tcPr>
            <w:tcW w:w="863" w:type="dxa"/>
            <w:vMerge w:val="restart"/>
            <w:noWrap w:val="0"/>
            <w:vAlign w:val="center"/>
          </w:tcPr>
          <w:p>
            <w:pPr>
              <w:spacing w:line="400" w:lineRule="exact"/>
              <w:rPr>
                <w:rFonts w:hint="eastAsia" w:ascii="宋体" w:hAnsi="宋体" w:eastAsia="宋体" w:cs="宋体"/>
                <w:sz w:val="24"/>
                <w:szCs w:val="24"/>
              </w:rPr>
            </w:pPr>
            <w:bookmarkStart w:id="801" w:name="_Toc221952118"/>
            <w:r>
              <w:rPr>
                <w:rFonts w:hint="eastAsia" w:ascii="宋体" w:hAnsi="宋体" w:eastAsia="宋体" w:cs="宋体"/>
                <w:sz w:val="24"/>
                <w:szCs w:val="24"/>
              </w:rPr>
              <w:t>姓名</w:t>
            </w:r>
            <w:bookmarkEnd w:id="801"/>
          </w:p>
        </w:tc>
        <w:tc>
          <w:tcPr>
            <w:tcW w:w="861" w:type="dxa"/>
            <w:vMerge w:val="restart"/>
            <w:noWrap w:val="0"/>
            <w:vAlign w:val="center"/>
          </w:tcPr>
          <w:p>
            <w:pPr>
              <w:spacing w:line="400" w:lineRule="exact"/>
              <w:rPr>
                <w:rFonts w:hint="eastAsia" w:ascii="宋体" w:hAnsi="宋体" w:eastAsia="宋体" w:cs="宋体"/>
                <w:sz w:val="24"/>
                <w:szCs w:val="24"/>
              </w:rPr>
            </w:pPr>
            <w:bookmarkStart w:id="802" w:name="_Toc221952119"/>
            <w:r>
              <w:rPr>
                <w:rFonts w:hint="eastAsia" w:ascii="宋体" w:hAnsi="宋体" w:eastAsia="宋体" w:cs="宋体"/>
                <w:sz w:val="24"/>
                <w:szCs w:val="24"/>
              </w:rPr>
              <w:t>职称</w:t>
            </w:r>
            <w:bookmarkEnd w:id="802"/>
          </w:p>
        </w:tc>
        <w:tc>
          <w:tcPr>
            <w:tcW w:w="6401" w:type="dxa"/>
            <w:gridSpan w:val="5"/>
            <w:noWrap w:val="0"/>
            <w:vAlign w:val="center"/>
          </w:tcPr>
          <w:p>
            <w:pPr>
              <w:spacing w:line="400" w:lineRule="exact"/>
              <w:jc w:val="center"/>
              <w:rPr>
                <w:rFonts w:hint="eastAsia" w:ascii="宋体" w:hAnsi="宋体" w:eastAsia="宋体" w:cs="宋体"/>
                <w:sz w:val="24"/>
                <w:szCs w:val="24"/>
              </w:rPr>
            </w:pPr>
            <w:bookmarkStart w:id="803" w:name="_Toc221952120"/>
            <w:r>
              <w:rPr>
                <w:rFonts w:hint="eastAsia" w:ascii="宋体" w:hAnsi="宋体" w:eastAsia="宋体" w:cs="宋体"/>
                <w:sz w:val="24"/>
                <w:szCs w:val="24"/>
              </w:rPr>
              <w:t>执业或职业资格证明</w:t>
            </w:r>
            <w:bookmarkEnd w:id="803"/>
          </w:p>
        </w:tc>
        <w:tc>
          <w:tcPr>
            <w:tcW w:w="992" w:type="dxa"/>
            <w:noWrap w:val="0"/>
            <w:vAlign w:val="center"/>
          </w:tcPr>
          <w:p>
            <w:pPr>
              <w:spacing w:line="400" w:lineRule="exact"/>
              <w:rPr>
                <w:rFonts w:hint="eastAsia" w:ascii="宋体" w:hAnsi="宋体" w:eastAsia="宋体" w:cs="宋体"/>
                <w:sz w:val="24"/>
                <w:szCs w:val="24"/>
              </w:rPr>
            </w:pPr>
            <w:bookmarkStart w:id="804" w:name="_Toc221952121"/>
            <w:r>
              <w:rPr>
                <w:rFonts w:hint="eastAsia" w:ascii="宋体" w:hAnsi="宋体" w:eastAsia="宋体" w:cs="宋体"/>
                <w:sz w:val="24"/>
                <w:szCs w:val="24"/>
              </w:rPr>
              <w:t>备注</w:t>
            </w:r>
            <w:bookmarkEnd w:id="80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 w:hRule="atLeast"/>
        </w:trPr>
        <w:tc>
          <w:tcPr>
            <w:tcW w:w="664" w:type="dxa"/>
            <w:vMerge w:val="continue"/>
            <w:noWrap w:val="0"/>
            <w:vAlign w:val="center"/>
          </w:tcPr>
          <w:p>
            <w:pPr>
              <w:spacing w:line="400" w:lineRule="exact"/>
              <w:rPr>
                <w:rFonts w:hint="eastAsia" w:ascii="宋体" w:hAnsi="宋体" w:eastAsia="宋体" w:cs="宋体"/>
                <w:sz w:val="24"/>
                <w:szCs w:val="24"/>
              </w:rPr>
            </w:pPr>
          </w:p>
        </w:tc>
        <w:tc>
          <w:tcPr>
            <w:tcW w:w="863" w:type="dxa"/>
            <w:vMerge w:val="continue"/>
            <w:noWrap w:val="0"/>
            <w:vAlign w:val="center"/>
          </w:tcPr>
          <w:p>
            <w:pPr>
              <w:spacing w:line="400" w:lineRule="exact"/>
              <w:rPr>
                <w:rFonts w:hint="eastAsia" w:ascii="宋体" w:hAnsi="宋体" w:eastAsia="宋体" w:cs="宋体"/>
                <w:sz w:val="24"/>
                <w:szCs w:val="24"/>
              </w:rPr>
            </w:pPr>
          </w:p>
        </w:tc>
        <w:tc>
          <w:tcPr>
            <w:tcW w:w="861" w:type="dxa"/>
            <w:vMerge w:val="continue"/>
            <w:noWrap w:val="0"/>
            <w:vAlign w:val="center"/>
          </w:tcPr>
          <w:p>
            <w:pPr>
              <w:spacing w:line="400" w:lineRule="exact"/>
              <w:rPr>
                <w:rFonts w:hint="eastAsia" w:ascii="宋体" w:hAnsi="宋体" w:eastAsia="宋体" w:cs="宋体"/>
                <w:sz w:val="24"/>
                <w:szCs w:val="24"/>
              </w:rPr>
            </w:pPr>
          </w:p>
        </w:tc>
        <w:tc>
          <w:tcPr>
            <w:tcW w:w="1240" w:type="dxa"/>
            <w:noWrap w:val="0"/>
            <w:vAlign w:val="center"/>
          </w:tcPr>
          <w:p>
            <w:pPr>
              <w:spacing w:line="400" w:lineRule="exact"/>
              <w:rPr>
                <w:rFonts w:hint="eastAsia" w:ascii="宋体" w:hAnsi="宋体" w:eastAsia="宋体" w:cs="宋体"/>
                <w:sz w:val="24"/>
                <w:szCs w:val="24"/>
              </w:rPr>
            </w:pPr>
            <w:bookmarkStart w:id="805" w:name="_Toc221952122"/>
            <w:r>
              <w:rPr>
                <w:rFonts w:hint="eastAsia" w:ascii="宋体" w:hAnsi="宋体" w:eastAsia="宋体" w:cs="宋体"/>
                <w:sz w:val="24"/>
                <w:szCs w:val="24"/>
              </w:rPr>
              <w:t>证书名称</w:t>
            </w:r>
            <w:bookmarkEnd w:id="805"/>
          </w:p>
        </w:tc>
        <w:tc>
          <w:tcPr>
            <w:tcW w:w="1146" w:type="dxa"/>
            <w:noWrap w:val="0"/>
            <w:vAlign w:val="center"/>
          </w:tcPr>
          <w:p>
            <w:pPr>
              <w:spacing w:line="400" w:lineRule="exact"/>
              <w:jc w:val="center"/>
              <w:rPr>
                <w:rFonts w:hint="eastAsia" w:ascii="宋体" w:hAnsi="宋体" w:eastAsia="宋体" w:cs="宋体"/>
                <w:sz w:val="24"/>
                <w:szCs w:val="24"/>
              </w:rPr>
            </w:pPr>
            <w:bookmarkStart w:id="806" w:name="_Toc221952123"/>
            <w:r>
              <w:rPr>
                <w:rFonts w:hint="eastAsia" w:ascii="宋体" w:hAnsi="宋体" w:eastAsia="宋体" w:cs="宋体"/>
                <w:sz w:val="24"/>
                <w:szCs w:val="24"/>
              </w:rPr>
              <w:t>级别</w:t>
            </w:r>
            <w:bookmarkEnd w:id="806"/>
          </w:p>
        </w:tc>
        <w:tc>
          <w:tcPr>
            <w:tcW w:w="1142" w:type="dxa"/>
            <w:noWrap w:val="0"/>
            <w:vAlign w:val="center"/>
          </w:tcPr>
          <w:p>
            <w:pPr>
              <w:spacing w:line="400" w:lineRule="exact"/>
              <w:jc w:val="center"/>
              <w:rPr>
                <w:rFonts w:hint="eastAsia" w:ascii="宋体" w:hAnsi="宋体" w:eastAsia="宋体" w:cs="宋体"/>
                <w:sz w:val="24"/>
                <w:szCs w:val="24"/>
              </w:rPr>
            </w:pPr>
            <w:bookmarkStart w:id="807" w:name="_Toc221952124"/>
            <w:r>
              <w:rPr>
                <w:rFonts w:hint="eastAsia" w:ascii="宋体" w:hAnsi="宋体" w:eastAsia="宋体" w:cs="宋体"/>
                <w:sz w:val="24"/>
                <w:szCs w:val="24"/>
              </w:rPr>
              <w:t>证号</w:t>
            </w:r>
            <w:bookmarkEnd w:id="807"/>
          </w:p>
        </w:tc>
        <w:tc>
          <w:tcPr>
            <w:tcW w:w="1146" w:type="dxa"/>
            <w:noWrap w:val="0"/>
            <w:vAlign w:val="center"/>
          </w:tcPr>
          <w:p>
            <w:pPr>
              <w:spacing w:line="400" w:lineRule="exact"/>
              <w:jc w:val="center"/>
              <w:rPr>
                <w:rFonts w:hint="eastAsia" w:ascii="宋体" w:hAnsi="宋体" w:eastAsia="宋体" w:cs="宋体"/>
                <w:sz w:val="24"/>
                <w:szCs w:val="24"/>
              </w:rPr>
            </w:pPr>
            <w:bookmarkStart w:id="808" w:name="_Toc221952125"/>
            <w:r>
              <w:rPr>
                <w:rFonts w:hint="eastAsia" w:ascii="宋体" w:hAnsi="宋体" w:eastAsia="宋体" w:cs="宋体"/>
                <w:sz w:val="24"/>
                <w:szCs w:val="24"/>
              </w:rPr>
              <w:t>专业</w:t>
            </w:r>
            <w:bookmarkEnd w:id="808"/>
          </w:p>
        </w:tc>
        <w:tc>
          <w:tcPr>
            <w:tcW w:w="1727" w:type="dxa"/>
            <w:noWrap w:val="0"/>
            <w:vAlign w:val="center"/>
          </w:tcPr>
          <w:p>
            <w:pPr>
              <w:spacing w:line="400" w:lineRule="exact"/>
              <w:jc w:val="center"/>
              <w:rPr>
                <w:rFonts w:hint="eastAsia" w:ascii="宋体" w:hAnsi="宋体" w:eastAsia="宋体" w:cs="宋体"/>
                <w:sz w:val="24"/>
                <w:szCs w:val="24"/>
              </w:rPr>
            </w:pPr>
            <w:bookmarkStart w:id="809" w:name="_Toc221952126"/>
            <w:r>
              <w:rPr>
                <w:rFonts w:hint="eastAsia" w:ascii="宋体" w:hAnsi="宋体" w:eastAsia="宋体" w:cs="宋体"/>
                <w:sz w:val="24"/>
                <w:szCs w:val="24"/>
              </w:rPr>
              <w:t>社会保险</w:t>
            </w:r>
            <w:bookmarkEnd w:id="809"/>
          </w:p>
        </w:tc>
        <w:tc>
          <w:tcPr>
            <w:tcW w:w="992" w:type="dxa"/>
            <w:noWrap w:val="0"/>
            <w:vAlign w:val="center"/>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664" w:type="dxa"/>
            <w:noWrap w:val="0"/>
            <w:vAlign w:val="center"/>
          </w:tcPr>
          <w:p>
            <w:pPr>
              <w:spacing w:line="400" w:lineRule="exact"/>
              <w:rPr>
                <w:rFonts w:hint="eastAsia" w:ascii="宋体" w:hAnsi="宋体" w:eastAsia="宋体" w:cs="宋体"/>
                <w:sz w:val="24"/>
                <w:szCs w:val="24"/>
              </w:rPr>
            </w:pPr>
          </w:p>
        </w:tc>
        <w:tc>
          <w:tcPr>
            <w:tcW w:w="863" w:type="dxa"/>
            <w:noWrap w:val="0"/>
            <w:vAlign w:val="center"/>
          </w:tcPr>
          <w:p>
            <w:pPr>
              <w:spacing w:line="400" w:lineRule="exact"/>
              <w:rPr>
                <w:rFonts w:hint="eastAsia" w:ascii="宋体" w:hAnsi="宋体" w:eastAsia="宋体" w:cs="宋体"/>
                <w:sz w:val="24"/>
                <w:szCs w:val="24"/>
              </w:rPr>
            </w:pPr>
          </w:p>
        </w:tc>
        <w:tc>
          <w:tcPr>
            <w:tcW w:w="861" w:type="dxa"/>
            <w:noWrap w:val="0"/>
            <w:vAlign w:val="center"/>
          </w:tcPr>
          <w:p>
            <w:pPr>
              <w:spacing w:line="400" w:lineRule="exact"/>
              <w:rPr>
                <w:rFonts w:hint="eastAsia" w:ascii="宋体" w:hAnsi="宋体" w:eastAsia="宋体" w:cs="宋体"/>
                <w:sz w:val="24"/>
                <w:szCs w:val="24"/>
              </w:rPr>
            </w:pPr>
          </w:p>
        </w:tc>
        <w:tc>
          <w:tcPr>
            <w:tcW w:w="1240"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142"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727" w:type="dxa"/>
            <w:noWrap w:val="0"/>
            <w:vAlign w:val="center"/>
          </w:tcPr>
          <w:p>
            <w:pPr>
              <w:spacing w:line="400" w:lineRule="exact"/>
              <w:rPr>
                <w:rFonts w:hint="eastAsia" w:ascii="宋体" w:hAnsi="宋体" w:eastAsia="宋体" w:cs="宋体"/>
                <w:sz w:val="24"/>
                <w:szCs w:val="24"/>
              </w:rPr>
            </w:pPr>
          </w:p>
        </w:tc>
        <w:tc>
          <w:tcPr>
            <w:tcW w:w="992" w:type="dxa"/>
            <w:noWrap w:val="0"/>
            <w:vAlign w:val="center"/>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664" w:type="dxa"/>
            <w:noWrap w:val="0"/>
            <w:vAlign w:val="center"/>
          </w:tcPr>
          <w:p>
            <w:pPr>
              <w:spacing w:line="400" w:lineRule="exact"/>
              <w:rPr>
                <w:rFonts w:hint="eastAsia" w:ascii="宋体" w:hAnsi="宋体" w:eastAsia="宋体" w:cs="宋体"/>
                <w:sz w:val="24"/>
                <w:szCs w:val="24"/>
              </w:rPr>
            </w:pPr>
          </w:p>
        </w:tc>
        <w:tc>
          <w:tcPr>
            <w:tcW w:w="863" w:type="dxa"/>
            <w:noWrap w:val="0"/>
            <w:vAlign w:val="center"/>
          </w:tcPr>
          <w:p>
            <w:pPr>
              <w:spacing w:line="400" w:lineRule="exact"/>
              <w:rPr>
                <w:rFonts w:hint="eastAsia" w:ascii="宋体" w:hAnsi="宋体" w:eastAsia="宋体" w:cs="宋体"/>
                <w:sz w:val="24"/>
                <w:szCs w:val="24"/>
              </w:rPr>
            </w:pPr>
          </w:p>
        </w:tc>
        <w:tc>
          <w:tcPr>
            <w:tcW w:w="861" w:type="dxa"/>
            <w:noWrap w:val="0"/>
            <w:vAlign w:val="center"/>
          </w:tcPr>
          <w:p>
            <w:pPr>
              <w:spacing w:line="400" w:lineRule="exact"/>
              <w:rPr>
                <w:rFonts w:hint="eastAsia" w:ascii="宋体" w:hAnsi="宋体" w:eastAsia="宋体" w:cs="宋体"/>
                <w:sz w:val="24"/>
                <w:szCs w:val="24"/>
              </w:rPr>
            </w:pPr>
          </w:p>
        </w:tc>
        <w:tc>
          <w:tcPr>
            <w:tcW w:w="1240"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142"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727" w:type="dxa"/>
            <w:noWrap w:val="0"/>
            <w:vAlign w:val="center"/>
          </w:tcPr>
          <w:p>
            <w:pPr>
              <w:spacing w:line="400" w:lineRule="exact"/>
              <w:rPr>
                <w:rFonts w:hint="eastAsia" w:ascii="宋体" w:hAnsi="宋体" w:eastAsia="宋体" w:cs="宋体"/>
                <w:sz w:val="24"/>
                <w:szCs w:val="24"/>
              </w:rPr>
            </w:pPr>
          </w:p>
        </w:tc>
        <w:tc>
          <w:tcPr>
            <w:tcW w:w="992" w:type="dxa"/>
            <w:noWrap w:val="0"/>
            <w:vAlign w:val="center"/>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664" w:type="dxa"/>
            <w:noWrap w:val="0"/>
            <w:vAlign w:val="center"/>
          </w:tcPr>
          <w:p>
            <w:pPr>
              <w:spacing w:line="400" w:lineRule="exact"/>
              <w:rPr>
                <w:rFonts w:hint="eastAsia" w:ascii="宋体" w:hAnsi="宋体" w:eastAsia="宋体" w:cs="宋体"/>
                <w:sz w:val="24"/>
                <w:szCs w:val="24"/>
              </w:rPr>
            </w:pPr>
          </w:p>
        </w:tc>
        <w:tc>
          <w:tcPr>
            <w:tcW w:w="863" w:type="dxa"/>
            <w:noWrap w:val="0"/>
            <w:vAlign w:val="center"/>
          </w:tcPr>
          <w:p>
            <w:pPr>
              <w:spacing w:line="400" w:lineRule="exact"/>
              <w:rPr>
                <w:rFonts w:hint="eastAsia" w:ascii="宋体" w:hAnsi="宋体" w:eastAsia="宋体" w:cs="宋体"/>
                <w:sz w:val="24"/>
                <w:szCs w:val="24"/>
              </w:rPr>
            </w:pPr>
          </w:p>
        </w:tc>
        <w:tc>
          <w:tcPr>
            <w:tcW w:w="861" w:type="dxa"/>
            <w:noWrap w:val="0"/>
            <w:vAlign w:val="center"/>
          </w:tcPr>
          <w:p>
            <w:pPr>
              <w:spacing w:line="400" w:lineRule="exact"/>
              <w:rPr>
                <w:rFonts w:hint="eastAsia" w:ascii="宋体" w:hAnsi="宋体" w:eastAsia="宋体" w:cs="宋体"/>
                <w:sz w:val="24"/>
                <w:szCs w:val="24"/>
              </w:rPr>
            </w:pPr>
          </w:p>
        </w:tc>
        <w:tc>
          <w:tcPr>
            <w:tcW w:w="1240"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142"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727" w:type="dxa"/>
            <w:noWrap w:val="0"/>
            <w:vAlign w:val="center"/>
          </w:tcPr>
          <w:p>
            <w:pPr>
              <w:spacing w:line="400" w:lineRule="exact"/>
              <w:rPr>
                <w:rFonts w:hint="eastAsia" w:ascii="宋体" w:hAnsi="宋体" w:eastAsia="宋体" w:cs="宋体"/>
                <w:sz w:val="24"/>
                <w:szCs w:val="24"/>
              </w:rPr>
            </w:pPr>
          </w:p>
        </w:tc>
        <w:tc>
          <w:tcPr>
            <w:tcW w:w="992" w:type="dxa"/>
            <w:noWrap w:val="0"/>
            <w:vAlign w:val="center"/>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664" w:type="dxa"/>
            <w:noWrap w:val="0"/>
            <w:vAlign w:val="center"/>
          </w:tcPr>
          <w:p>
            <w:pPr>
              <w:spacing w:line="400" w:lineRule="exact"/>
              <w:rPr>
                <w:rFonts w:hint="eastAsia" w:ascii="宋体" w:hAnsi="宋体" w:eastAsia="宋体" w:cs="宋体"/>
                <w:sz w:val="24"/>
                <w:szCs w:val="24"/>
              </w:rPr>
            </w:pPr>
          </w:p>
        </w:tc>
        <w:tc>
          <w:tcPr>
            <w:tcW w:w="863" w:type="dxa"/>
            <w:noWrap w:val="0"/>
            <w:vAlign w:val="center"/>
          </w:tcPr>
          <w:p>
            <w:pPr>
              <w:spacing w:line="400" w:lineRule="exact"/>
              <w:rPr>
                <w:rFonts w:hint="eastAsia" w:ascii="宋体" w:hAnsi="宋体" w:eastAsia="宋体" w:cs="宋体"/>
                <w:sz w:val="24"/>
                <w:szCs w:val="24"/>
              </w:rPr>
            </w:pPr>
          </w:p>
        </w:tc>
        <w:tc>
          <w:tcPr>
            <w:tcW w:w="861" w:type="dxa"/>
            <w:noWrap w:val="0"/>
            <w:vAlign w:val="center"/>
          </w:tcPr>
          <w:p>
            <w:pPr>
              <w:spacing w:line="400" w:lineRule="exact"/>
              <w:rPr>
                <w:rFonts w:hint="eastAsia" w:ascii="宋体" w:hAnsi="宋体" w:eastAsia="宋体" w:cs="宋体"/>
                <w:sz w:val="24"/>
                <w:szCs w:val="24"/>
              </w:rPr>
            </w:pPr>
          </w:p>
        </w:tc>
        <w:tc>
          <w:tcPr>
            <w:tcW w:w="1240"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142"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727" w:type="dxa"/>
            <w:noWrap w:val="0"/>
            <w:vAlign w:val="center"/>
          </w:tcPr>
          <w:p>
            <w:pPr>
              <w:spacing w:line="400" w:lineRule="exact"/>
              <w:rPr>
                <w:rFonts w:hint="eastAsia" w:ascii="宋体" w:hAnsi="宋体" w:eastAsia="宋体" w:cs="宋体"/>
                <w:sz w:val="24"/>
                <w:szCs w:val="24"/>
              </w:rPr>
            </w:pPr>
          </w:p>
        </w:tc>
        <w:tc>
          <w:tcPr>
            <w:tcW w:w="992" w:type="dxa"/>
            <w:noWrap w:val="0"/>
            <w:vAlign w:val="center"/>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664" w:type="dxa"/>
            <w:noWrap w:val="0"/>
            <w:vAlign w:val="center"/>
          </w:tcPr>
          <w:p>
            <w:pPr>
              <w:spacing w:line="400" w:lineRule="exact"/>
              <w:rPr>
                <w:rFonts w:hint="eastAsia" w:ascii="宋体" w:hAnsi="宋体" w:eastAsia="宋体" w:cs="宋体"/>
                <w:sz w:val="24"/>
                <w:szCs w:val="24"/>
              </w:rPr>
            </w:pPr>
          </w:p>
        </w:tc>
        <w:tc>
          <w:tcPr>
            <w:tcW w:w="863" w:type="dxa"/>
            <w:noWrap w:val="0"/>
            <w:vAlign w:val="center"/>
          </w:tcPr>
          <w:p>
            <w:pPr>
              <w:spacing w:line="400" w:lineRule="exact"/>
              <w:rPr>
                <w:rFonts w:hint="eastAsia" w:ascii="宋体" w:hAnsi="宋体" w:eastAsia="宋体" w:cs="宋体"/>
                <w:sz w:val="24"/>
                <w:szCs w:val="24"/>
              </w:rPr>
            </w:pPr>
          </w:p>
        </w:tc>
        <w:tc>
          <w:tcPr>
            <w:tcW w:w="861" w:type="dxa"/>
            <w:noWrap w:val="0"/>
            <w:vAlign w:val="center"/>
          </w:tcPr>
          <w:p>
            <w:pPr>
              <w:spacing w:line="400" w:lineRule="exact"/>
              <w:rPr>
                <w:rFonts w:hint="eastAsia" w:ascii="宋体" w:hAnsi="宋体" w:eastAsia="宋体" w:cs="宋体"/>
                <w:sz w:val="24"/>
                <w:szCs w:val="24"/>
              </w:rPr>
            </w:pPr>
          </w:p>
        </w:tc>
        <w:tc>
          <w:tcPr>
            <w:tcW w:w="1240"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142"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727" w:type="dxa"/>
            <w:noWrap w:val="0"/>
            <w:vAlign w:val="center"/>
          </w:tcPr>
          <w:p>
            <w:pPr>
              <w:spacing w:line="400" w:lineRule="exact"/>
              <w:rPr>
                <w:rFonts w:hint="eastAsia" w:ascii="宋体" w:hAnsi="宋体" w:eastAsia="宋体" w:cs="宋体"/>
                <w:sz w:val="24"/>
                <w:szCs w:val="24"/>
              </w:rPr>
            </w:pPr>
          </w:p>
        </w:tc>
        <w:tc>
          <w:tcPr>
            <w:tcW w:w="992" w:type="dxa"/>
            <w:noWrap w:val="0"/>
            <w:vAlign w:val="center"/>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664" w:type="dxa"/>
            <w:noWrap w:val="0"/>
            <w:vAlign w:val="center"/>
          </w:tcPr>
          <w:p>
            <w:pPr>
              <w:spacing w:line="400" w:lineRule="exact"/>
              <w:rPr>
                <w:rFonts w:hint="eastAsia" w:ascii="宋体" w:hAnsi="宋体" w:eastAsia="宋体" w:cs="宋体"/>
                <w:sz w:val="24"/>
                <w:szCs w:val="24"/>
              </w:rPr>
            </w:pPr>
          </w:p>
        </w:tc>
        <w:tc>
          <w:tcPr>
            <w:tcW w:w="863" w:type="dxa"/>
            <w:noWrap w:val="0"/>
            <w:vAlign w:val="center"/>
          </w:tcPr>
          <w:p>
            <w:pPr>
              <w:spacing w:line="400" w:lineRule="exact"/>
              <w:rPr>
                <w:rFonts w:hint="eastAsia" w:ascii="宋体" w:hAnsi="宋体" w:eastAsia="宋体" w:cs="宋体"/>
                <w:sz w:val="24"/>
                <w:szCs w:val="24"/>
              </w:rPr>
            </w:pPr>
          </w:p>
        </w:tc>
        <w:tc>
          <w:tcPr>
            <w:tcW w:w="861" w:type="dxa"/>
            <w:noWrap w:val="0"/>
            <w:vAlign w:val="center"/>
          </w:tcPr>
          <w:p>
            <w:pPr>
              <w:spacing w:line="400" w:lineRule="exact"/>
              <w:rPr>
                <w:rFonts w:hint="eastAsia" w:ascii="宋体" w:hAnsi="宋体" w:eastAsia="宋体" w:cs="宋体"/>
                <w:sz w:val="24"/>
                <w:szCs w:val="24"/>
              </w:rPr>
            </w:pPr>
          </w:p>
        </w:tc>
        <w:tc>
          <w:tcPr>
            <w:tcW w:w="1240"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142"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727" w:type="dxa"/>
            <w:noWrap w:val="0"/>
            <w:vAlign w:val="center"/>
          </w:tcPr>
          <w:p>
            <w:pPr>
              <w:spacing w:line="400" w:lineRule="exact"/>
              <w:rPr>
                <w:rFonts w:hint="eastAsia" w:ascii="宋体" w:hAnsi="宋体" w:eastAsia="宋体" w:cs="宋体"/>
                <w:sz w:val="24"/>
                <w:szCs w:val="24"/>
              </w:rPr>
            </w:pPr>
          </w:p>
        </w:tc>
        <w:tc>
          <w:tcPr>
            <w:tcW w:w="992" w:type="dxa"/>
            <w:noWrap w:val="0"/>
            <w:vAlign w:val="center"/>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664" w:type="dxa"/>
            <w:noWrap w:val="0"/>
            <w:vAlign w:val="center"/>
          </w:tcPr>
          <w:p>
            <w:pPr>
              <w:spacing w:line="400" w:lineRule="exact"/>
              <w:rPr>
                <w:rFonts w:hint="eastAsia" w:ascii="宋体" w:hAnsi="宋体" w:eastAsia="宋体" w:cs="宋体"/>
                <w:sz w:val="24"/>
                <w:szCs w:val="24"/>
              </w:rPr>
            </w:pPr>
          </w:p>
        </w:tc>
        <w:tc>
          <w:tcPr>
            <w:tcW w:w="863" w:type="dxa"/>
            <w:noWrap w:val="0"/>
            <w:vAlign w:val="center"/>
          </w:tcPr>
          <w:p>
            <w:pPr>
              <w:spacing w:line="400" w:lineRule="exact"/>
              <w:rPr>
                <w:rFonts w:hint="eastAsia" w:ascii="宋体" w:hAnsi="宋体" w:eastAsia="宋体" w:cs="宋体"/>
                <w:sz w:val="24"/>
                <w:szCs w:val="24"/>
              </w:rPr>
            </w:pPr>
          </w:p>
        </w:tc>
        <w:tc>
          <w:tcPr>
            <w:tcW w:w="861" w:type="dxa"/>
            <w:noWrap w:val="0"/>
            <w:vAlign w:val="center"/>
          </w:tcPr>
          <w:p>
            <w:pPr>
              <w:spacing w:line="400" w:lineRule="exact"/>
              <w:rPr>
                <w:rFonts w:hint="eastAsia" w:ascii="宋体" w:hAnsi="宋体" w:eastAsia="宋体" w:cs="宋体"/>
                <w:sz w:val="24"/>
                <w:szCs w:val="24"/>
              </w:rPr>
            </w:pPr>
          </w:p>
        </w:tc>
        <w:tc>
          <w:tcPr>
            <w:tcW w:w="1240"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142"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727" w:type="dxa"/>
            <w:noWrap w:val="0"/>
            <w:vAlign w:val="center"/>
          </w:tcPr>
          <w:p>
            <w:pPr>
              <w:spacing w:line="400" w:lineRule="exact"/>
              <w:rPr>
                <w:rFonts w:hint="eastAsia" w:ascii="宋体" w:hAnsi="宋体" w:eastAsia="宋体" w:cs="宋体"/>
                <w:sz w:val="24"/>
                <w:szCs w:val="24"/>
              </w:rPr>
            </w:pPr>
          </w:p>
        </w:tc>
        <w:tc>
          <w:tcPr>
            <w:tcW w:w="992" w:type="dxa"/>
            <w:noWrap w:val="0"/>
            <w:vAlign w:val="center"/>
          </w:tcPr>
          <w:p>
            <w:pPr>
              <w:spacing w:line="400" w:lineRule="exac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trPr>
        <w:tc>
          <w:tcPr>
            <w:tcW w:w="664" w:type="dxa"/>
            <w:noWrap w:val="0"/>
            <w:vAlign w:val="center"/>
          </w:tcPr>
          <w:p>
            <w:pPr>
              <w:spacing w:line="400" w:lineRule="exact"/>
              <w:rPr>
                <w:rFonts w:hint="eastAsia" w:ascii="宋体" w:hAnsi="宋体" w:eastAsia="宋体" w:cs="宋体"/>
                <w:sz w:val="24"/>
                <w:szCs w:val="24"/>
              </w:rPr>
            </w:pPr>
          </w:p>
        </w:tc>
        <w:tc>
          <w:tcPr>
            <w:tcW w:w="863" w:type="dxa"/>
            <w:noWrap w:val="0"/>
            <w:vAlign w:val="center"/>
          </w:tcPr>
          <w:p>
            <w:pPr>
              <w:spacing w:line="400" w:lineRule="exact"/>
              <w:rPr>
                <w:rFonts w:hint="eastAsia" w:ascii="宋体" w:hAnsi="宋体" w:eastAsia="宋体" w:cs="宋体"/>
                <w:sz w:val="24"/>
                <w:szCs w:val="24"/>
              </w:rPr>
            </w:pPr>
          </w:p>
        </w:tc>
        <w:tc>
          <w:tcPr>
            <w:tcW w:w="861" w:type="dxa"/>
            <w:noWrap w:val="0"/>
            <w:vAlign w:val="center"/>
          </w:tcPr>
          <w:p>
            <w:pPr>
              <w:spacing w:line="400" w:lineRule="exact"/>
              <w:rPr>
                <w:rFonts w:hint="eastAsia" w:ascii="宋体" w:hAnsi="宋体" w:eastAsia="宋体" w:cs="宋体"/>
                <w:sz w:val="24"/>
                <w:szCs w:val="24"/>
              </w:rPr>
            </w:pPr>
          </w:p>
        </w:tc>
        <w:tc>
          <w:tcPr>
            <w:tcW w:w="1240"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142" w:type="dxa"/>
            <w:noWrap w:val="0"/>
            <w:vAlign w:val="center"/>
          </w:tcPr>
          <w:p>
            <w:pPr>
              <w:spacing w:line="400" w:lineRule="exact"/>
              <w:rPr>
                <w:rFonts w:hint="eastAsia" w:ascii="宋体" w:hAnsi="宋体" w:eastAsia="宋体" w:cs="宋体"/>
                <w:sz w:val="24"/>
                <w:szCs w:val="24"/>
              </w:rPr>
            </w:pPr>
          </w:p>
        </w:tc>
        <w:tc>
          <w:tcPr>
            <w:tcW w:w="1146" w:type="dxa"/>
            <w:noWrap w:val="0"/>
            <w:vAlign w:val="center"/>
          </w:tcPr>
          <w:p>
            <w:pPr>
              <w:spacing w:line="400" w:lineRule="exact"/>
              <w:rPr>
                <w:rFonts w:hint="eastAsia" w:ascii="宋体" w:hAnsi="宋体" w:eastAsia="宋体" w:cs="宋体"/>
                <w:sz w:val="24"/>
                <w:szCs w:val="24"/>
              </w:rPr>
            </w:pPr>
          </w:p>
        </w:tc>
        <w:tc>
          <w:tcPr>
            <w:tcW w:w="1727" w:type="dxa"/>
            <w:noWrap w:val="0"/>
            <w:vAlign w:val="center"/>
          </w:tcPr>
          <w:p>
            <w:pPr>
              <w:spacing w:line="400" w:lineRule="exact"/>
              <w:rPr>
                <w:rFonts w:hint="eastAsia" w:ascii="宋体" w:hAnsi="宋体" w:eastAsia="宋体" w:cs="宋体"/>
                <w:sz w:val="24"/>
                <w:szCs w:val="24"/>
              </w:rPr>
            </w:pPr>
          </w:p>
        </w:tc>
        <w:tc>
          <w:tcPr>
            <w:tcW w:w="992" w:type="dxa"/>
            <w:noWrap w:val="0"/>
            <w:vAlign w:val="center"/>
          </w:tcPr>
          <w:p>
            <w:pPr>
              <w:spacing w:line="400" w:lineRule="exact"/>
              <w:rPr>
                <w:rFonts w:hint="eastAsia" w:ascii="宋体" w:hAnsi="宋体" w:eastAsia="宋体" w:cs="宋体"/>
                <w:sz w:val="24"/>
                <w:szCs w:val="24"/>
              </w:rPr>
            </w:pPr>
          </w:p>
        </w:tc>
      </w:tr>
    </w:tbl>
    <w:p>
      <w:pPr>
        <w:rPr>
          <w:rFonts w:hint="default"/>
          <w:color w:val="auto"/>
          <w:highlight w:val="none"/>
          <w:lang w:val="en-US" w:eastAsia="zh-CN"/>
        </w:rPr>
      </w:pPr>
      <w:r>
        <w:rPr>
          <w:rFonts w:hint="default"/>
          <w:color w:val="auto"/>
          <w:highlight w:val="none"/>
          <w:lang w:val="en-US" w:eastAsia="zh-CN"/>
        </w:rPr>
        <w:br w:type="page"/>
      </w:r>
    </w:p>
    <w:p>
      <w:pPr>
        <w:bidi w:val="0"/>
        <w:jc w:val="left"/>
        <w:rPr>
          <w:rFonts w:hint="default"/>
          <w:color w:val="auto"/>
          <w:highlight w:val="none"/>
          <w:lang w:val="en-US" w:eastAsia="zh-CN"/>
        </w:rPr>
      </w:pPr>
    </w:p>
    <w:p>
      <w:pPr>
        <w:pStyle w:val="9"/>
        <w:ind w:firstLine="643" w:firstLineChars="200"/>
        <w:rPr>
          <w:rFonts w:hint="default" w:ascii="宋体" w:hAnsi="宋体" w:eastAsia="宋体" w:cs="宋体"/>
          <w:b/>
          <w:bCs/>
          <w:color w:val="auto"/>
          <w:sz w:val="32"/>
          <w:szCs w:val="32"/>
          <w:highlight w:val="none"/>
          <w:lang w:val="en-US" w:eastAsia="zh-CN"/>
        </w:rPr>
      </w:pPr>
      <w:r>
        <w:rPr>
          <w:rFonts w:hint="default" w:ascii="宋体" w:hAnsi="宋体" w:eastAsia="宋体" w:cs="宋体"/>
          <w:b/>
          <w:bCs/>
          <w:color w:val="auto"/>
          <w:sz w:val="32"/>
          <w:szCs w:val="32"/>
          <w:highlight w:val="none"/>
          <w:lang w:val="en-US" w:eastAsia="zh-CN"/>
        </w:rPr>
        <w:t>保证金退还表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b/>
          <w:bCs/>
          <w:sz w:val="44"/>
          <w:szCs w:val="44"/>
          <w:lang w:val="en-US" w:eastAsia="zh-CN"/>
        </w:rPr>
      </w:pPr>
      <w:r>
        <w:rPr>
          <w:rFonts w:hint="eastAsia"/>
          <w:b/>
          <w:bCs/>
          <w:sz w:val="44"/>
          <w:szCs w:val="44"/>
          <w:lang w:val="en-US" w:eastAsia="zh-CN"/>
        </w:rPr>
        <w:t>收  据</w:t>
      </w:r>
    </w:p>
    <w:p>
      <w:pPr>
        <w:keepNext w:val="0"/>
        <w:keepLines w:val="0"/>
        <w:pageBreakBefore w:val="0"/>
        <w:widowControl w:val="0"/>
        <w:kinsoku/>
        <w:wordWrap/>
        <w:overflowPunct/>
        <w:topLinePunct w:val="0"/>
        <w:autoSpaceDE/>
        <w:autoSpaceDN/>
        <w:bidi w:val="0"/>
        <w:adjustRightInd/>
        <w:snapToGrid/>
        <w:spacing w:line="480" w:lineRule="exact"/>
        <w:ind w:left="883" w:hanging="883" w:hangingChars="200"/>
        <w:jc w:val="left"/>
        <w:textAlignment w:val="auto"/>
        <w:rPr>
          <w:rFonts w:hint="eastAsia"/>
          <w:b/>
          <w:bCs/>
          <w:sz w:val="28"/>
          <w:szCs w:val="28"/>
          <w:lang w:val="en-US" w:eastAsia="zh-CN"/>
        </w:rPr>
      </w:pPr>
      <w:r>
        <w:rPr>
          <w:rFonts w:hint="eastAsia"/>
          <w:b/>
          <w:bCs/>
          <w:sz w:val="44"/>
          <w:szCs w:val="44"/>
          <w:lang w:val="en-US" w:eastAsia="zh-CN"/>
        </w:rPr>
        <w:t xml:space="preserve">                             </w:t>
      </w:r>
      <w:r>
        <w:rPr>
          <w:rFonts w:hint="eastAsia"/>
          <w:b/>
          <w:bCs/>
          <w:sz w:val="28"/>
          <w:szCs w:val="28"/>
          <w:lang w:val="en-US" w:eastAsia="zh-CN"/>
        </w:rPr>
        <w:t>2024年   月   日</w:t>
      </w:r>
    </w:p>
    <w:tbl>
      <w:tblPr>
        <w:tblStyle w:val="20"/>
        <w:tblpPr w:leftFromText="180" w:rightFromText="180" w:vertAnchor="text" w:horzAnchor="page" w:tblpX="1093" w:tblpY="495"/>
        <w:tblOverlap w:val="never"/>
        <w:tblW w:w="10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3" w:hRule="atLeast"/>
        </w:trPr>
        <w:tc>
          <w:tcPr>
            <w:tcW w:w="10331" w:type="dxa"/>
          </w:tcPr>
          <w:p>
            <w:pPr>
              <w:ind w:firstLine="643" w:firstLineChars="200"/>
              <w:jc w:val="left"/>
              <w:rPr>
                <w:rFonts w:hint="eastAsia"/>
                <w:b/>
                <w:bCs/>
                <w:sz w:val="32"/>
                <w:szCs w:val="32"/>
                <w:vertAlign w:val="baseline"/>
                <w:lang w:val="en-US" w:eastAsia="zh-CN"/>
              </w:rPr>
            </w:pPr>
          </w:p>
          <w:p>
            <w:pPr>
              <w:ind w:firstLine="643" w:firstLineChars="200"/>
              <w:jc w:val="left"/>
              <w:rPr>
                <w:rFonts w:hint="eastAsia"/>
                <w:b/>
                <w:bCs/>
                <w:sz w:val="32"/>
                <w:szCs w:val="32"/>
                <w:u w:val="single"/>
                <w:vertAlign w:val="baseline"/>
                <w:lang w:val="en-US" w:eastAsia="zh-CN"/>
              </w:rPr>
            </w:pPr>
            <w:r>
              <w:rPr>
                <w:rFonts w:hint="eastAsia"/>
                <w:b/>
                <w:bCs/>
                <w:sz w:val="32"/>
                <w:szCs w:val="32"/>
                <w:vertAlign w:val="baseline"/>
                <w:lang w:val="en-US" w:eastAsia="zh-CN"/>
              </w:rPr>
              <w:t>今收到</w:t>
            </w:r>
            <w:r>
              <w:rPr>
                <w:rFonts w:hint="eastAsia"/>
                <w:b/>
                <w:bCs/>
                <w:sz w:val="32"/>
                <w:szCs w:val="32"/>
                <w:u w:val="single"/>
                <w:vertAlign w:val="baseline"/>
                <w:lang w:val="en-US" w:eastAsia="zh-CN"/>
              </w:rPr>
              <w:t xml:space="preserve">  新疆德宏招标代理有限公司                           </w:t>
            </w:r>
          </w:p>
          <w:p>
            <w:pPr>
              <w:spacing w:before="176" w:line="227" w:lineRule="auto"/>
              <w:jc w:val="left"/>
              <w:rPr>
                <w:rFonts w:hint="eastAsia"/>
                <w:b/>
                <w:bCs/>
                <w:sz w:val="32"/>
                <w:szCs w:val="32"/>
                <w:u w:val="none"/>
                <w:vertAlign w:val="baseline"/>
                <w:lang w:val="en-US" w:eastAsia="zh-CN"/>
              </w:rPr>
            </w:pPr>
          </w:p>
          <w:p>
            <w:pPr>
              <w:spacing w:before="176" w:line="227" w:lineRule="auto"/>
              <w:jc w:val="left"/>
              <w:rPr>
                <w:rFonts w:hint="eastAsia"/>
                <w:b/>
                <w:bCs/>
                <w:sz w:val="32"/>
                <w:szCs w:val="32"/>
                <w:u w:val="single"/>
                <w:vertAlign w:val="baseline"/>
                <w:lang w:val="en-US" w:eastAsia="zh-CN"/>
              </w:rPr>
            </w:pPr>
            <w:r>
              <w:rPr>
                <w:rFonts w:hint="eastAsia"/>
                <w:b/>
                <w:bCs/>
                <w:sz w:val="32"/>
                <w:szCs w:val="32"/>
                <w:u w:val="none"/>
                <w:vertAlign w:val="baseline"/>
                <w:lang w:val="en-US" w:eastAsia="zh-CN"/>
              </w:rPr>
              <w:t xml:space="preserve">退还  </w:t>
            </w:r>
            <w:r>
              <w:rPr>
                <w:rFonts w:hint="eastAsia"/>
                <w:b/>
                <w:bCs/>
                <w:sz w:val="32"/>
                <w:szCs w:val="32"/>
                <w:u w:val="single"/>
                <w:vertAlign w:val="baseline"/>
                <w:lang w:val="en-US" w:eastAsia="zh-CN"/>
              </w:rPr>
              <w:t xml:space="preserve">项目名称XXXXXXXXXXX投标保证金                           </w:t>
            </w:r>
          </w:p>
          <w:p>
            <w:pPr>
              <w:spacing w:before="176" w:line="227" w:lineRule="auto"/>
              <w:jc w:val="left"/>
              <w:rPr>
                <w:rFonts w:hint="eastAsia"/>
                <w:b/>
                <w:bCs/>
                <w:sz w:val="32"/>
                <w:szCs w:val="32"/>
                <w:u w:val="single"/>
                <w:vertAlign w:val="baseline"/>
                <w:lang w:val="en-US" w:eastAsia="zh-CN"/>
              </w:rPr>
            </w:pPr>
            <w:r>
              <w:rPr>
                <w:rFonts w:hint="eastAsia"/>
                <w:b/>
                <w:bCs/>
                <w:sz w:val="32"/>
                <w:szCs w:val="32"/>
                <w:u w:val="single"/>
                <w:vertAlign w:val="baseline"/>
                <w:lang w:val="en-US" w:eastAsia="zh-CN"/>
              </w:rPr>
              <w:t xml:space="preserve">                           </w:t>
            </w:r>
          </w:p>
          <w:p>
            <w:pPr>
              <w:jc w:val="left"/>
              <w:rPr>
                <w:rFonts w:hint="eastAsia"/>
                <w:b/>
                <w:bCs/>
                <w:sz w:val="32"/>
                <w:szCs w:val="32"/>
                <w:u w:val="single"/>
                <w:vertAlign w:val="baseline"/>
                <w:lang w:val="en-US" w:eastAsia="zh-CN"/>
              </w:rPr>
            </w:pPr>
            <w:r>
              <w:rPr>
                <w:rFonts w:hint="eastAsia"/>
                <w:b/>
                <w:bCs/>
                <w:sz w:val="32"/>
                <w:szCs w:val="32"/>
                <w:u w:val="none"/>
                <w:vertAlign w:val="baseline"/>
                <w:lang w:val="en-US" w:eastAsia="zh-CN"/>
              </w:rPr>
              <w:t xml:space="preserve">金额（大写）  </w:t>
            </w:r>
            <w:r>
              <w:rPr>
                <w:rFonts w:hint="eastAsia"/>
                <w:b/>
                <w:bCs/>
                <w:sz w:val="32"/>
                <w:szCs w:val="32"/>
                <w:u w:val="single"/>
                <w:vertAlign w:val="baseline"/>
                <w:lang w:val="en-US" w:eastAsia="zh-CN"/>
              </w:rPr>
              <w:t>佰   拾  万  仟   佰  拾  元   角      分</w:t>
            </w:r>
          </w:p>
          <w:p>
            <w:pPr>
              <w:pStyle w:val="8"/>
              <w:rPr>
                <w:rFonts w:hint="eastAsia"/>
                <w:lang w:val="en-US" w:eastAsia="zh-CN"/>
              </w:rPr>
            </w:pPr>
          </w:p>
          <w:p>
            <w:pPr>
              <w:jc w:val="left"/>
              <w:rPr>
                <w:rFonts w:hint="default"/>
                <w:b/>
                <w:bCs/>
                <w:sz w:val="32"/>
                <w:szCs w:val="32"/>
                <w:u w:val="single"/>
                <w:vertAlign w:val="baseline"/>
                <w:lang w:val="en-US" w:eastAsia="zh-CN"/>
              </w:rPr>
            </w:pPr>
            <w:r>
              <w:rPr>
                <w:rFonts w:hint="eastAsia"/>
                <w:b/>
                <w:bCs/>
                <w:sz w:val="32"/>
                <w:szCs w:val="32"/>
                <w:u w:val="none"/>
                <w:vertAlign w:val="baseline"/>
                <w:lang w:val="en-US" w:eastAsia="zh-CN"/>
              </w:rPr>
              <w:t>收款单位（财务章）                         ￥</w:t>
            </w:r>
            <w:r>
              <w:rPr>
                <w:rFonts w:hint="eastAsia"/>
                <w:b/>
                <w:bCs/>
                <w:sz w:val="32"/>
                <w:szCs w:val="32"/>
                <w:u w:val="single"/>
                <w:vertAlign w:val="baseline"/>
                <w:lang w:val="en-US" w:eastAsia="zh-CN"/>
              </w:rPr>
              <w:t xml:space="preserve">    元          </w:t>
            </w:r>
          </w:p>
        </w:tc>
      </w:tr>
    </w:tbl>
    <w:p>
      <w:pPr>
        <w:jc w:val="left"/>
        <w:rPr>
          <w:rFonts w:hint="eastAsia"/>
          <w:b/>
          <w:bCs/>
          <w:sz w:val="28"/>
          <w:szCs w:val="28"/>
          <w:lang w:val="en-US" w:eastAsia="zh-CN"/>
        </w:rPr>
      </w:pPr>
      <w:r>
        <w:rPr>
          <w:rFonts w:hint="eastAsia"/>
          <w:b/>
          <w:bCs/>
          <w:sz w:val="32"/>
          <w:szCs w:val="32"/>
          <w:lang w:val="en-US" w:eastAsia="zh-CN"/>
        </w:rPr>
        <w:t xml:space="preserve">                                                         </w:t>
      </w:r>
      <w:r>
        <w:rPr>
          <w:rFonts w:hint="eastAsia"/>
          <w:b/>
          <w:bCs/>
          <w:sz w:val="28"/>
          <w:szCs w:val="28"/>
          <w:lang w:val="en-US" w:eastAsia="zh-CN"/>
        </w:rPr>
        <w:t xml:space="preserve">                     </w:t>
      </w:r>
      <w:r>
        <w:rPr>
          <w:rFonts w:hint="eastAsia"/>
          <w:b/>
          <w:bCs/>
          <w:sz w:val="32"/>
          <w:szCs w:val="32"/>
          <w:lang w:val="en-US" w:eastAsia="zh-CN"/>
        </w:rPr>
        <w:t xml:space="preserve"> </w:t>
      </w:r>
      <w:r>
        <w:rPr>
          <w:rFonts w:hint="eastAsia"/>
          <w:b/>
          <w:bCs/>
          <w:sz w:val="28"/>
          <w:szCs w:val="28"/>
          <w:lang w:val="en-US" w:eastAsia="zh-CN"/>
        </w:rPr>
        <w:t>核准：                       出纳：                  经手人：</w:t>
      </w:r>
    </w:p>
    <w:p>
      <w:pPr>
        <w:jc w:val="left"/>
        <w:rPr>
          <w:rFonts w:hint="eastAsia"/>
          <w:b/>
          <w:bCs/>
          <w:sz w:val="28"/>
          <w:szCs w:val="28"/>
          <w:lang w:val="en-US" w:eastAsia="zh-CN"/>
        </w:rPr>
      </w:pPr>
    </w:p>
    <w:p>
      <w:pPr>
        <w:rPr>
          <w:rFonts w:hint="eastAsia" w:eastAsia="宋体"/>
          <w:color w:val="auto"/>
          <w:highlight w:val="none"/>
          <w:lang w:val="en-US" w:eastAsia="zh-CN"/>
        </w:rPr>
      </w:pPr>
    </w:p>
    <w:p/>
    <w:sectPr>
      <w:headerReference r:id="rId21" w:type="default"/>
      <w:pgSz w:w="11910" w:h="16840"/>
      <w:pgMar w:top="1417" w:right="1531" w:bottom="1134" w:left="1531" w:header="670" w:footer="1041" w:gutter="0"/>
      <w:cols w:space="72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Garamond">
    <w:panose1 w:val="02020404030301010803"/>
    <w:charset w:val="00"/>
    <w:family w:val="roman"/>
    <w:pitch w:val="default"/>
    <w:sig w:usb0="00000287" w:usb1="00000000" w:usb2="00000000" w:usb3="00000000" w:csb0="0000009F" w:csb1="DFD70000"/>
  </w:font>
  <w:font w:name="PMingLiU">
    <w:altName w:val="PMingLiU-ExtB"/>
    <w:panose1 w:val="02020500000000000000"/>
    <w:charset w:val="88"/>
    <w:family w:val="auto"/>
    <w:pitch w:val="default"/>
    <w:sig w:usb0="00000000" w:usb1="00000000"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HYb2gj">
    <w:altName w:val="宋体"/>
    <w:panose1 w:val="00000000000000000000"/>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margin">
                <wp:posOffset>2535555</wp:posOffset>
              </wp:positionH>
              <wp:positionV relativeFrom="paragraph">
                <wp:posOffset>0</wp:posOffset>
              </wp:positionV>
              <wp:extent cx="114935" cy="153035"/>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left:199.65pt;margin-top:0pt;height:12.05pt;width:9.05pt;mso-position-horizontal-relative:margin;mso-wrap-style:none;z-index:251670528;mso-width-relative:page;mso-height-relative:page;" filled="f" stroked="f" coordsize="21600,21600" o:gfxdata="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QSs8m1wAAAAcBAAAPAAAAAAAAAAEAIAAAACIAAABkcnMvZG93bnJldi54bWxQSwEC&#10;FAAUAAAACACHTuJAzPkwTbwBAABVAwAADgAAAAAAAAABACAAAAAmAQAAZHJzL2Uyb0RvYy54bWxQ&#10;SwUGAAAAAAYABgBZAQAAVAUAAAAA&#10;">
              <v:fill on="f" focussize="0,0"/>
              <v:stroke on="f" weight="1.25pt"/>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MLO8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mRDOFHZ1+fD/9fDj9+kagA0Ct9TP4bSw8Q/fOdFj0oPdQxrm7&#10;yql4YyICO6A+XuAVXSA8Bk0n02kOE4dteCB/9hhunQ/vhVEkCgV12F+ClR3WPvSug0usps2qkTLt&#10;UGrSFvTq9d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ws7xQCAAAVBAAADgAAAAAAAAAB&#10;ACAAAAAfAQAAZHJzL2Uyb0RvYy54bWxQSwUGAAAAAAYABgBZAQAApQUAAAAA&#10;">
              <v:fill on="f" focussize="0,0"/>
              <v:stroke on="f" weight="0.5pt"/>
              <v:imagedata o:title=""/>
              <o:lock v:ext="edit" aspectratio="f"/>
              <v:textbox inset="0mm,0mm,0mm,0mm" style="mso-fit-shape-to-text:t;">
                <w:txbxContent>
                  <w:p>
                    <w:pPr>
                      <w:pStyle w:val="13"/>
                      <w:rPr>
                        <w:rFonts w:hint="default" w:eastAsia="宋体"/>
                        <w:lang w:val="en-US" w:eastAsia="zh-CN"/>
                      </w:rPr>
                    </w:pPr>
                    <w:r>
                      <w:rPr>
                        <w:rFonts w:hint="eastAsia"/>
                        <w:lang w:val="en-US" w:eastAsia="zh-CN"/>
                      </w:rPr>
                      <w:t>1</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default"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nJ0VAgAAFQ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n+nJ0VAgAAFQQAAA4AAAAAAAAA&#10;AQAgAAAAHwEAAGRycy9lMm9Eb2MueG1sUEsFBgAAAAAGAAYAWQEAAKYFAAAAAA==&#10;">
              <v:fill on="f" focussize="0,0"/>
              <v:stroke on="f" weight="0.5pt"/>
              <v:imagedata o:title=""/>
              <o:lock v:ext="edit" aspectratio="f"/>
              <v:textbox inset="0mm,0mm,0mm,0mm" style="mso-fit-shape-to-text:t;">
                <w:txbxContent>
                  <w:p>
                    <w:pPr>
                      <w:pStyle w:val="13"/>
                      <w:rPr>
                        <w:rFonts w:hint="default" w:eastAsia="宋体"/>
                        <w:lang w:val="en-US" w:eastAsia="zh-CN"/>
                      </w:rPr>
                    </w:pPr>
                    <w:r>
                      <w:rPr>
                        <w:rFonts w:hint="eastAsia"/>
                        <w:lang w:val="en-US" w:eastAsia="zh-CN"/>
                      </w:rPr>
                      <w:t>1</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14935" cy="15303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wps:spPr>
                    <wps:txbx>
                      <w:txbxContent>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71552;mso-width-relative:page;mso-height-relative:page;" filled="f" stroked="f" coordsize="21600,21600" o:gfxdata="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K7PZT1AAAAAMBAAAPAAAAAAAAAAEAIAAAACIAAABkcnMvZG93bnJldi54bWxQSwECFAAU&#10;AAAACACHTuJAgoycLLwBAABVAwAADgAAAAAAAAABACAAAAAjAQAAZHJzL2Uyb0RvYy54bWxQSwUG&#10;AAAAAAYABgBZAQAAUQUAAAAA&#10;">
              <v:fill on="f" focussize="0,0"/>
              <v:stroke on="f" weight="1.25pt"/>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9icBLABAABNAwAADgAAAGRycy9lMm9Eb2MueG1srVPNThsxEL5X4h0s&#10;34mXUFX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Hnnylx3OKMdr9+7n7/3f15IujDBvUBasx7CJiZhis/4KBHP6Az6x5UtPmL&#10;igjGsdXbY3vlkIjIj2bT2azCkMDYeEF89vw8REi30luSjYZGnF9pK998hbRPHVNyNedvtDFlhsb9&#10;50DM7GGZ+55jttKwHA6Clr7dop4eR99Qh7tJiblz2Nm8JaMRR2M5GusQ9aora5TrQbhcJyRRuOUK&#10;e9hDYZxZUXfYr7wUL+8l6/kvW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J/YnASwAQAA&#10;TQMAAA4AAAAAAAAAAQAgAAAAHgEAAGRycy9lMm9Eb2MueG1sUEsFBgAAAAAGAAYAWQEAAEAFAAAA&#10;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3236595</wp:posOffset>
              </wp:positionH>
              <wp:positionV relativeFrom="page">
                <wp:posOffset>9891395</wp:posOffset>
              </wp:positionV>
              <wp:extent cx="1088390" cy="1524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088390" cy="15240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254.85pt;margin-top:778.85pt;height:12pt;width:85.7pt;mso-position-horizontal-relative:page;mso-position-vertical-relative:page;z-index:-251644928;mso-width-relative:page;mso-height-relative:page;" filled="f" stroked="f" coordsize="21600,21600" o:gfxdata="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TrtVDaAAAADQEAAA8AAAAA&#10;AAAAAQAgAAAAIgAAAGRycy9kb3ducmV2LnhtbFBLAQIUABQAAAAIAIdO4kDdFqiAoAEAACYDAAAO&#10;AAAAAAAAAAEAIAAAACkBAABkcnMvZTJvRG9jLnhtbFBLBQYAAAAABgAGAFkBAAA7BQAAAAA=&#10;">
              <v:fill on="f" focussize="0,0"/>
              <v:stroke on="f"/>
              <v:imagedata o:title=""/>
              <o:lock v:ext="edit" aspectratio="f"/>
              <v:textbox inset="0mm,0mm,0mm,0mm">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IuDPaetAQAATQMA&#10;AA4AAAAAAAAAAQAgAAAAHgEAAGRycy9lMm9Eb2MueG1sUEsFBgAAAAAGAAYAWQEAAD0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 PAGE </w:instrText>
    </w:r>
    <w:r>
      <w:fldChar w:fldCharType="separate"/>
    </w:r>
    <w:r>
      <w:rPr>
        <w:rStyle w:val="23"/>
      </w:rPr>
      <w:t>26</w:t>
    </w:r>
    <w:r>
      <w:fldChar w:fldCharType="end"/>
    </w:r>
  </w:p>
  <w:p>
    <w:pPr>
      <w:pStyle w:val="13"/>
      <w:jc w:val="center"/>
    </w:pPr>
  </w:p>
  <w:p>
    <w:pPr>
      <w:pStyle w:val="13"/>
      <w:jc w:val="center"/>
      <w:rPr>
        <w:rFonts w:asci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 PAGE </w:instrText>
    </w:r>
    <w:r>
      <w:fldChar w:fldCharType="separate"/>
    </w:r>
    <w:r>
      <w:rPr>
        <w:rStyle w:val="23"/>
      </w:rPr>
      <w:t>26</w:t>
    </w:r>
    <w:r>
      <w:fldChar w:fldCharType="end"/>
    </w:r>
  </w:p>
  <w:p>
    <w:pPr>
      <w:pStyle w:val="13"/>
      <w:jc w:val="center"/>
    </w:pPr>
  </w:p>
  <w:p>
    <w:pPr>
      <w:pStyle w:val="13"/>
      <w:jc w:val="center"/>
      <w:rPr>
        <w:rFonts w:asci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 PAGE </w:instrTex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7456"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9024;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dqHs52AAAAAkBAAAPAAAAAAAA&#10;AAEAIAAAACIAAABkcnMvZG93bnJldi54bWxQSwECFAAUAAAACACHTuJAFWkUaKABAAAmAwAADgAA&#10;AAAAAAABACAAAAAnAQAAZHJzL2Uyb0RvYy54bWxQSwUGAAAAAAYABgBZAQAAOQUAAAAA&#10;">
              <v:fill on="f" focussize="0,0"/>
              <v:stroke on="f"/>
              <v:imagedata o:title=""/>
              <o:lock v:ext="edit" aspectratio="f"/>
              <v:textbox inset="0mm,0mm,0mm,0mm">
                <w:txbxContent>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3120;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dqHs52AAAAAkBAAAPAAAAAAAA&#10;AAEAIAAAACIAAABkcnMvZG93bnJldi54bWxQSwECFAAUAAAACACHTuJA2Ex4mqABAAAmAwAADgAA&#10;AAAAAAABACAAAAAnAQAAZHJzL2Uyb0RvYy54bWxQSwUGAAAAAAYABgBZAQAAOQUAAAAA&#10;">
              <v:fill on="f" focussize="0,0"/>
              <v:stroke on="f"/>
              <v:imagedata o:title=""/>
              <o:lock v:ext="edit" aspectratio="f"/>
              <v:textbox inset="0mm,0mm,0mm,0mm">
                <w:txbxContent>
                  <w:p>
                    <w:pPr>
                      <w:rPr>
                        <w:rFonts w:hint="eastAsia"/>
                        <w:lang w:eastAsia="zh-CN"/>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pPr>
                            <w:pStyle w:val="2"/>
                            <w:spacing w:line="251" w:lineRule="exact"/>
                            <w:ind w:left="20"/>
                          </w:pPr>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2096;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quaUDYAAAACgEAAA8AAAAAAAAA&#10;AQAgAAAAIgAAAGRycy9kb3ducmV2LnhtbFBLAQIUABQAAAAIAIdO4kBN6UFgnwEAACYDAAAOAAAA&#10;AAAAAAEAIAAAACcBAABkcnMvZTJvRG9jLnhtbFBLBQYAAAAABgAGAFkBAAA4BQAAAAA=&#10;">
              <v:fill on="f" focussize="0,0"/>
              <v:stroke on="f"/>
              <v:imagedata o:title=""/>
              <o:lock v:ext="edit" aspectratio="f"/>
              <v:textbox inset="0mm,0mm,0mm,0mm">
                <w:txbxContent>
                  <w:p>
                    <w:pPr>
                      <w:pStyle w:val="2"/>
                      <w:spacing w:line="251" w:lineRule="exact"/>
                      <w:ind w:left="2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7052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595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dqHs52AAAAAkBAAAPAAAAAAAA&#10;AAEAIAAAACIAAABkcnMvZG93bnJldi54bWxQSwECFAAUAAAACACHTuJAdKf8bKABAAAmAwAADgAA&#10;AAAAAAABACAAAAAnAQAAZHJzL2Uyb0RvYy54bWxQSwUGAAAAAAYABgBZAQAAOQUAAAAA&#10;">
              <v:fill on="f" focussize="0,0"/>
              <v:stroke on="f"/>
              <v:imagedata o:title=""/>
              <o:lock v:ext="edit" aspectratio="f"/>
              <v:textbox inset="0mm,0mm,0mm,0mm">
                <w:txbxContent>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8480"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a:effectLst/>
                    </wps:spPr>
                    <wps:txbx>
                      <w:txbxContent>
                        <w:p>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48000;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3ah7OdgAAAAJAQAADwAA&#10;AAAAAAABACAAAAAiAAAAZHJzL2Rvd25yZXYueG1sUEsBAhQAFAAAAAgAh07iQE45UvOkAQAANAMA&#10;AA4AAAAAAAAAAQAgAAAAJwEAAGRycy9lMm9Eb2MueG1sUEsFBgAAAAAGAAYAWQEAAD0FAAAAAA==&#10;">
              <v:fill on="f" focussize="0,0"/>
              <v:stroke on="f"/>
              <v:imagedata o:title=""/>
              <o:lock v:ext="edit" aspectratio="f"/>
              <v:textbox inset="0mm,0mm,0mm,0mm">
                <w:txbxContent>
                  <w:p>
                    <w:pPr>
                      <w:rPr>
                        <w:rFonts w:hint="eastAsia"/>
                        <w:lang w:eastAsia="zh-CN"/>
                      </w:rPr>
                    </w:pPr>
                  </w:p>
                </w:txbxContent>
              </v:textbox>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a:effectLst/>
                    </wps:spPr>
                    <wps:txbx>
                      <w:txbxContent>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46976;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q5pQNgAAAAKAQAADwAA&#10;AAAAAAABACAAAAAiAAAAZHJzL2Rvd25yZXYueG1sUEsBAhQAFAAAAAgAh07iQAOwP4mkAQAANAMA&#10;AA4AAAAAAAAAAQAgAAAAJwEAAGRycy9lMm9Eb2MueG1sUEsFBgAAAAAGAAYAWQEAAD0FAAAAAA==&#10;">
              <v:fill on="f" focussize="0,0"/>
              <v:stroke on="f"/>
              <v:imagedata o:title=""/>
              <o:lock v:ext="edit" aspectratio="f"/>
              <v:textbox inset="0mm,0mm,0mm,0mm">
                <w:txbxContent>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pPr>
                            <w:rPr>
                              <w:rFonts w:hint="eastAsia"/>
                              <w:lang w:eastAsia="zh-CN"/>
                            </w:rPr>
                          </w:pPr>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5168;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2oeznYAAAACQEAAA8AAAAAAAAA&#10;AQAgAAAAIgAAAGRycy9kb3ducmV2LnhtbFBLAQIUABQAAAAIAIdO4kC2Oy1lnwEAACYDAAAOAAAA&#10;AAAAAAEAIAAAACcBAABkcnMvZTJvRG9jLnhtbFBLBQYAAAAABgAGAFkBAAA4BQAAAAA=&#10;">
              <v:fill on="f" focussize="0,0"/>
              <v:stroke on="f"/>
              <v:imagedata o:title=""/>
              <o:lock v:ext="edit" aspectratio="f"/>
              <v:textbox inset="0mm,0mm,0mm,0mm">
                <w:txbxContent>
                  <w:p>
                    <w:pPr>
                      <w:rPr>
                        <w:rFonts w:hint="eastAsia"/>
                        <w:lang w:eastAsia="zh-CN"/>
                      </w:rPr>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4144;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KrmlA2AAAAAoBAAAPAAAAAAAA&#10;AAEAIAAAACIAAABkcnMvZG93bnJldi54bWxQSwECFAAUAAAACACHTuJAJhQYmqABAAAmAwAADgAA&#10;AAAAAAABACAAAAAnAQAAZHJzL2Uyb0RvYy54bWxQSwUGAAAAAAYABgBZAQAAOQUAAAAA&#10;">
              <v:fill on="f" focussize="0,0"/>
              <v:stroke on="f"/>
              <v:imagedata o:title=""/>
              <o:lock v:ext="edit" aspectratio="f"/>
              <v:textbox inset="0mm,0mm,0mm,0mm">
                <w:txbxContent>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107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dqHs52AAAAAkBAAAPAAAAAAAA&#10;AAEAIAAAACIAAABkcnMvZG93bnJldi54bWxQSwECFAAUAAAACACHTuJAkXcfj6ABAAAmAwAADgAA&#10;AAAAAAABACAAAAAnAQAAZHJzL2Uyb0RvYy54bWxQSwUGAAAAAAYABgBZAQAAOQUAAAAA&#10;">
              <v:fill on="f" focussize="0,0"/>
              <v:stroke on="f"/>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004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quaUDYAAAACgEAAA8AAAAAAAAA&#10;AQAgAAAAIgAAAGRycy9kb3ducmV2LnhtbFBLAQIUABQAAAAIAIdO4kD4072gnwEAACYDAAAOAAAA&#10;AAAAAAEAIAAAACcBAABkcnMvZTJvRG9jLnhtbFBLBQYAAAAABgAGAFkBAAA4BQAAAAA=&#10;">
              <v:fill on="f" focussize="0,0"/>
              <v:stroke on="f"/>
              <v:imagedata o:title=""/>
              <o:lock v:ext="edit" aspectratio="f"/>
              <v:textbox inset="0mm,0mm,0mm,0mm">
                <w:txbxContent>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8E1102"/>
    <w:multiLevelType w:val="singleLevel"/>
    <w:tmpl w:val="968E1102"/>
    <w:lvl w:ilvl="0" w:tentative="0">
      <w:start w:val="2"/>
      <w:numFmt w:val="chineseCounting"/>
      <w:suff w:val="nothing"/>
      <w:lvlText w:val="（%1）"/>
      <w:lvlJc w:val="left"/>
      <w:rPr>
        <w:rFonts w:hint="eastAsia"/>
      </w:rPr>
    </w:lvl>
  </w:abstractNum>
  <w:abstractNum w:abstractNumId="1">
    <w:nsid w:val="00000005"/>
    <w:multiLevelType w:val="multilevel"/>
    <w:tmpl w:val="00000005"/>
    <w:lvl w:ilvl="0" w:tentative="0">
      <w:start w:val="16"/>
      <w:numFmt w:val="bullet"/>
      <w:lvlText w:val="△"/>
      <w:lvlJc w:val="left"/>
      <w:pPr>
        <w:tabs>
          <w:tab w:val="left" w:pos="780"/>
        </w:tabs>
        <w:ind w:left="780" w:hanging="360"/>
      </w:pPr>
      <w:rPr>
        <w:rFonts w:hint="eastAsia" w:ascii="宋体" w:hAnsi="宋体" w:eastAsia="宋体" w:cs="Times New Roman"/>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166B6D96"/>
    <w:multiLevelType w:val="singleLevel"/>
    <w:tmpl w:val="166B6D96"/>
    <w:lvl w:ilvl="0" w:tentative="0">
      <w:start w:val="1"/>
      <w:numFmt w:val="chineseCounting"/>
      <w:suff w:val="nothing"/>
      <w:lvlText w:val="（%1）"/>
      <w:lvlJc w:val="left"/>
      <w:pPr>
        <w:ind w:left="2660"/>
      </w:pPr>
      <w:rPr>
        <w:rFonts w:hint="eastAsia"/>
      </w:rPr>
    </w:lvl>
  </w:abstractNum>
  <w:abstractNum w:abstractNumId="3">
    <w:nsid w:val="35B385D1"/>
    <w:multiLevelType w:val="singleLevel"/>
    <w:tmpl w:val="35B385D1"/>
    <w:lvl w:ilvl="0" w:tentative="0">
      <w:start w:val="1"/>
      <w:numFmt w:val="chineseCounting"/>
      <w:suff w:val="nothing"/>
      <w:lvlText w:val="（%1）"/>
      <w:lvlJc w:val="left"/>
      <w:rPr>
        <w:rFonts w:hint="eastAsia"/>
      </w:rPr>
    </w:lvl>
  </w:abstractNum>
  <w:abstractNum w:abstractNumId="4">
    <w:nsid w:val="4D8D7295"/>
    <w:multiLevelType w:val="singleLevel"/>
    <w:tmpl w:val="4D8D7295"/>
    <w:lvl w:ilvl="0" w:tentative="0">
      <w:start w:val="2"/>
      <w:numFmt w:val="decimal"/>
      <w:suff w:val="nothing"/>
      <w:lvlText w:val="%1、"/>
      <w:lvlJc w:val="left"/>
    </w:lvl>
  </w:abstractNum>
  <w:abstractNum w:abstractNumId="5">
    <w:nsid w:val="4DF817E4"/>
    <w:multiLevelType w:val="singleLevel"/>
    <w:tmpl w:val="4DF817E4"/>
    <w:lvl w:ilvl="0" w:tentative="0">
      <w:start w:val="6"/>
      <w:numFmt w:val="chineseCounting"/>
      <w:suff w:val="nothing"/>
      <w:lvlText w:val="%1、"/>
      <w:lvlJc w:val="left"/>
      <w:rPr>
        <w:rFonts w:hint="eastAsia" w:cs="Times New Roman"/>
        <w:b/>
        <w:bCs/>
      </w:rPr>
    </w:lvl>
  </w:abstractNum>
  <w:abstractNum w:abstractNumId="6">
    <w:nsid w:val="68FC6059"/>
    <w:multiLevelType w:val="singleLevel"/>
    <w:tmpl w:val="68FC6059"/>
    <w:lvl w:ilvl="0" w:tentative="0">
      <w:start w:val="5"/>
      <w:numFmt w:val="chineseCounting"/>
      <w:suff w:val="space"/>
      <w:lvlText w:val="%1、"/>
      <w:lvlJc w:val="left"/>
      <w:rPr>
        <w:rFonts w:hint="eastAsia"/>
      </w:rPr>
    </w:lvl>
  </w:abstractNum>
  <w:num w:numId="1">
    <w:abstractNumId w:val="5"/>
  </w:num>
  <w:num w:numId="2">
    <w:abstractNumId w:val="2"/>
  </w:num>
  <w:num w:numId="3">
    <w:abstractNumId w:val="3"/>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2185"/>
    <w:rsid w:val="000B7DB2"/>
    <w:rsid w:val="00261B57"/>
    <w:rsid w:val="00265E98"/>
    <w:rsid w:val="00286F66"/>
    <w:rsid w:val="00460EDD"/>
    <w:rsid w:val="004E773E"/>
    <w:rsid w:val="005C0076"/>
    <w:rsid w:val="005D6E36"/>
    <w:rsid w:val="005F2F79"/>
    <w:rsid w:val="00655C7F"/>
    <w:rsid w:val="00A31AFB"/>
    <w:rsid w:val="00B52D29"/>
    <w:rsid w:val="00B62819"/>
    <w:rsid w:val="00D05501"/>
    <w:rsid w:val="00E02D21"/>
    <w:rsid w:val="00E070EC"/>
    <w:rsid w:val="00F26BE8"/>
    <w:rsid w:val="01052BEB"/>
    <w:rsid w:val="010F4EFF"/>
    <w:rsid w:val="015A57AA"/>
    <w:rsid w:val="0199766D"/>
    <w:rsid w:val="019F0A8C"/>
    <w:rsid w:val="01A52348"/>
    <w:rsid w:val="01A7290C"/>
    <w:rsid w:val="01A97D30"/>
    <w:rsid w:val="01AD0BB8"/>
    <w:rsid w:val="01B237A8"/>
    <w:rsid w:val="01C032F7"/>
    <w:rsid w:val="01C63438"/>
    <w:rsid w:val="01DE409E"/>
    <w:rsid w:val="01FF3C6A"/>
    <w:rsid w:val="02277B3E"/>
    <w:rsid w:val="02397C41"/>
    <w:rsid w:val="025018CE"/>
    <w:rsid w:val="0255083C"/>
    <w:rsid w:val="026F56AC"/>
    <w:rsid w:val="027E6E6D"/>
    <w:rsid w:val="0293228A"/>
    <w:rsid w:val="029B4B12"/>
    <w:rsid w:val="029E2AB3"/>
    <w:rsid w:val="029F4A63"/>
    <w:rsid w:val="02A86B5F"/>
    <w:rsid w:val="02AA5533"/>
    <w:rsid w:val="02B96C92"/>
    <w:rsid w:val="02C45A11"/>
    <w:rsid w:val="02D7640D"/>
    <w:rsid w:val="02E61FA3"/>
    <w:rsid w:val="02F4094B"/>
    <w:rsid w:val="02FA0824"/>
    <w:rsid w:val="0303579F"/>
    <w:rsid w:val="0307783A"/>
    <w:rsid w:val="033A104B"/>
    <w:rsid w:val="034D4D51"/>
    <w:rsid w:val="03521CBA"/>
    <w:rsid w:val="035531F3"/>
    <w:rsid w:val="035759BB"/>
    <w:rsid w:val="03696311"/>
    <w:rsid w:val="037264B7"/>
    <w:rsid w:val="03874574"/>
    <w:rsid w:val="03934BC8"/>
    <w:rsid w:val="039736D3"/>
    <w:rsid w:val="03AA4CBA"/>
    <w:rsid w:val="03BD1D93"/>
    <w:rsid w:val="03BD1ED4"/>
    <w:rsid w:val="03BF0753"/>
    <w:rsid w:val="03E448FA"/>
    <w:rsid w:val="040067DB"/>
    <w:rsid w:val="041F28ED"/>
    <w:rsid w:val="042E1A95"/>
    <w:rsid w:val="0433526B"/>
    <w:rsid w:val="043D74D7"/>
    <w:rsid w:val="04486DF4"/>
    <w:rsid w:val="04565236"/>
    <w:rsid w:val="045905E0"/>
    <w:rsid w:val="045D2545"/>
    <w:rsid w:val="04643951"/>
    <w:rsid w:val="04750913"/>
    <w:rsid w:val="047B500B"/>
    <w:rsid w:val="049E19B2"/>
    <w:rsid w:val="04A077F1"/>
    <w:rsid w:val="04CF2673"/>
    <w:rsid w:val="04D2689C"/>
    <w:rsid w:val="04D94D69"/>
    <w:rsid w:val="04DC34A1"/>
    <w:rsid w:val="04E0622C"/>
    <w:rsid w:val="04E2798C"/>
    <w:rsid w:val="04E34662"/>
    <w:rsid w:val="04EB5A6E"/>
    <w:rsid w:val="04F16EF3"/>
    <w:rsid w:val="04FA4C53"/>
    <w:rsid w:val="051D19FB"/>
    <w:rsid w:val="05481313"/>
    <w:rsid w:val="0549619D"/>
    <w:rsid w:val="05634C69"/>
    <w:rsid w:val="05691B27"/>
    <w:rsid w:val="05A502AD"/>
    <w:rsid w:val="05AC739E"/>
    <w:rsid w:val="05B90175"/>
    <w:rsid w:val="05BD4F8F"/>
    <w:rsid w:val="05F6195E"/>
    <w:rsid w:val="06060AA7"/>
    <w:rsid w:val="061022F9"/>
    <w:rsid w:val="0610391D"/>
    <w:rsid w:val="061A14F7"/>
    <w:rsid w:val="0631037D"/>
    <w:rsid w:val="063B7B7F"/>
    <w:rsid w:val="06546E1C"/>
    <w:rsid w:val="06595D01"/>
    <w:rsid w:val="06735AF3"/>
    <w:rsid w:val="06774D69"/>
    <w:rsid w:val="06795942"/>
    <w:rsid w:val="068A6A28"/>
    <w:rsid w:val="068D6BD2"/>
    <w:rsid w:val="06A9399C"/>
    <w:rsid w:val="06B66DD1"/>
    <w:rsid w:val="06D35435"/>
    <w:rsid w:val="06F35C7C"/>
    <w:rsid w:val="06FA03E8"/>
    <w:rsid w:val="0701092B"/>
    <w:rsid w:val="070C0865"/>
    <w:rsid w:val="071D5CDB"/>
    <w:rsid w:val="072D3D67"/>
    <w:rsid w:val="07354E8A"/>
    <w:rsid w:val="073B2573"/>
    <w:rsid w:val="073D5C7F"/>
    <w:rsid w:val="07401BC0"/>
    <w:rsid w:val="07412F45"/>
    <w:rsid w:val="074F0C31"/>
    <w:rsid w:val="075A0111"/>
    <w:rsid w:val="077237F0"/>
    <w:rsid w:val="07964D17"/>
    <w:rsid w:val="07967E0E"/>
    <w:rsid w:val="07B6484E"/>
    <w:rsid w:val="07BB5CE1"/>
    <w:rsid w:val="07C07A5E"/>
    <w:rsid w:val="07C92C47"/>
    <w:rsid w:val="07D36C9F"/>
    <w:rsid w:val="07FC7C73"/>
    <w:rsid w:val="081D28B0"/>
    <w:rsid w:val="082750D8"/>
    <w:rsid w:val="083802A9"/>
    <w:rsid w:val="08465CCC"/>
    <w:rsid w:val="085D27D6"/>
    <w:rsid w:val="08761107"/>
    <w:rsid w:val="08823A87"/>
    <w:rsid w:val="089050F2"/>
    <w:rsid w:val="089F76E9"/>
    <w:rsid w:val="08A220F9"/>
    <w:rsid w:val="08A917A9"/>
    <w:rsid w:val="08B74BCB"/>
    <w:rsid w:val="08BA0970"/>
    <w:rsid w:val="08CF6EED"/>
    <w:rsid w:val="08D2262C"/>
    <w:rsid w:val="08E75201"/>
    <w:rsid w:val="090709EE"/>
    <w:rsid w:val="09072556"/>
    <w:rsid w:val="09160835"/>
    <w:rsid w:val="091627B4"/>
    <w:rsid w:val="09636248"/>
    <w:rsid w:val="09A06F3D"/>
    <w:rsid w:val="09B31CB9"/>
    <w:rsid w:val="09C93AD6"/>
    <w:rsid w:val="09DE5F99"/>
    <w:rsid w:val="09E0585C"/>
    <w:rsid w:val="09EC6100"/>
    <w:rsid w:val="0A1A760F"/>
    <w:rsid w:val="0A254977"/>
    <w:rsid w:val="0A3F06D3"/>
    <w:rsid w:val="0A435088"/>
    <w:rsid w:val="0A436837"/>
    <w:rsid w:val="0A48619C"/>
    <w:rsid w:val="0A553678"/>
    <w:rsid w:val="0A690FE3"/>
    <w:rsid w:val="0AAA44D8"/>
    <w:rsid w:val="0AB5060E"/>
    <w:rsid w:val="0AD7590D"/>
    <w:rsid w:val="0AE4173B"/>
    <w:rsid w:val="0AEC344C"/>
    <w:rsid w:val="0B006B17"/>
    <w:rsid w:val="0B387E5F"/>
    <w:rsid w:val="0B482EAB"/>
    <w:rsid w:val="0B4B7B71"/>
    <w:rsid w:val="0B5A084B"/>
    <w:rsid w:val="0B721DFD"/>
    <w:rsid w:val="0B73741B"/>
    <w:rsid w:val="0B7476CC"/>
    <w:rsid w:val="0B7D4C0D"/>
    <w:rsid w:val="0B851AE6"/>
    <w:rsid w:val="0B973556"/>
    <w:rsid w:val="0BB01070"/>
    <w:rsid w:val="0BB11ECA"/>
    <w:rsid w:val="0BBB2B6B"/>
    <w:rsid w:val="0BBE512A"/>
    <w:rsid w:val="0BC76569"/>
    <w:rsid w:val="0BD6109F"/>
    <w:rsid w:val="0C1D7B3F"/>
    <w:rsid w:val="0C1E5797"/>
    <w:rsid w:val="0C2E444A"/>
    <w:rsid w:val="0C392E6B"/>
    <w:rsid w:val="0C646F22"/>
    <w:rsid w:val="0C6A5728"/>
    <w:rsid w:val="0C733E10"/>
    <w:rsid w:val="0CCF1F69"/>
    <w:rsid w:val="0CD01864"/>
    <w:rsid w:val="0CDA2F4B"/>
    <w:rsid w:val="0CFF587E"/>
    <w:rsid w:val="0D115134"/>
    <w:rsid w:val="0D19439F"/>
    <w:rsid w:val="0D197199"/>
    <w:rsid w:val="0D26470F"/>
    <w:rsid w:val="0D5509C8"/>
    <w:rsid w:val="0D5C5A91"/>
    <w:rsid w:val="0D742730"/>
    <w:rsid w:val="0D765E60"/>
    <w:rsid w:val="0D7C004F"/>
    <w:rsid w:val="0D9041D8"/>
    <w:rsid w:val="0D957835"/>
    <w:rsid w:val="0D97377D"/>
    <w:rsid w:val="0DAF6F2D"/>
    <w:rsid w:val="0DB30E50"/>
    <w:rsid w:val="0DB80411"/>
    <w:rsid w:val="0DC30017"/>
    <w:rsid w:val="0DC702B4"/>
    <w:rsid w:val="0DD164B1"/>
    <w:rsid w:val="0DD46BB2"/>
    <w:rsid w:val="0DD664A8"/>
    <w:rsid w:val="0DDB6EB4"/>
    <w:rsid w:val="0DDD3F20"/>
    <w:rsid w:val="0DDE0C5B"/>
    <w:rsid w:val="0DEE649A"/>
    <w:rsid w:val="0E1B6F89"/>
    <w:rsid w:val="0E2622F8"/>
    <w:rsid w:val="0E390A1E"/>
    <w:rsid w:val="0E3A76D7"/>
    <w:rsid w:val="0E461AE8"/>
    <w:rsid w:val="0E555731"/>
    <w:rsid w:val="0E5700C1"/>
    <w:rsid w:val="0E966A66"/>
    <w:rsid w:val="0EA82CDC"/>
    <w:rsid w:val="0EA87BA9"/>
    <w:rsid w:val="0EB86FDC"/>
    <w:rsid w:val="0EC06C77"/>
    <w:rsid w:val="0ECF1BBF"/>
    <w:rsid w:val="0EE934BB"/>
    <w:rsid w:val="0EF8535A"/>
    <w:rsid w:val="0EFB5D33"/>
    <w:rsid w:val="0F1756DE"/>
    <w:rsid w:val="0F246858"/>
    <w:rsid w:val="0F4638BA"/>
    <w:rsid w:val="0F474B2F"/>
    <w:rsid w:val="0F5B3692"/>
    <w:rsid w:val="0F5F6006"/>
    <w:rsid w:val="0F683902"/>
    <w:rsid w:val="0F7202A9"/>
    <w:rsid w:val="0F7A3F46"/>
    <w:rsid w:val="0F7C1686"/>
    <w:rsid w:val="0F8A773F"/>
    <w:rsid w:val="0F972B62"/>
    <w:rsid w:val="0FA26AF6"/>
    <w:rsid w:val="0FB002FE"/>
    <w:rsid w:val="0FBE77CA"/>
    <w:rsid w:val="0FD32213"/>
    <w:rsid w:val="0FD665BD"/>
    <w:rsid w:val="0FD947AA"/>
    <w:rsid w:val="0FF40AC1"/>
    <w:rsid w:val="0FFC67FF"/>
    <w:rsid w:val="10015A45"/>
    <w:rsid w:val="101918CB"/>
    <w:rsid w:val="1033518C"/>
    <w:rsid w:val="10452AC2"/>
    <w:rsid w:val="104C66F9"/>
    <w:rsid w:val="10651960"/>
    <w:rsid w:val="107E4DEA"/>
    <w:rsid w:val="10832CF8"/>
    <w:rsid w:val="10955E5B"/>
    <w:rsid w:val="10A057E3"/>
    <w:rsid w:val="10A63015"/>
    <w:rsid w:val="10C233B1"/>
    <w:rsid w:val="10C84D82"/>
    <w:rsid w:val="10C97BB0"/>
    <w:rsid w:val="10ED61CF"/>
    <w:rsid w:val="10EE5AD5"/>
    <w:rsid w:val="10F350A1"/>
    <w:rsid w:val="10F867B5"/>
    <w:rsid w:val="10FB241A"/>
    <w:rsid w:val="11047883"/>
    <w:rsid w:val="110E0877"/>
    <w:rsid w:val="114036D0"/>
    <w:rsid w:val="11712F94"/>
    <w:rsid w:val="11727973"/>
    <w:rsid w:val="117973F2"/>
    <w:rsid w:val="118F2EA3"/>
    <w:rsid w:val="11B438D4"/>
    <w:rsid w:val="11C42512"/>
    <w:rsid w:val="11CE2FA0"/>
    <w:rsid w:val="11D17C89"/>
    <w:rsid w:val="11D24983"/>
    <w:rsid w:val="11D45639"/>
    <w:rsid w:val="11E60D6E"/>
    <w:rsid w:val="11F34CE7"/>
    <w:rsid w:val="11F744EE"/>
    <w:rsid w:val="11FF7AE5"/>
    <w:rsid w:val="120951C1"/>
    <w:rsid w:val="122961D3"/>
    <w:rsid w:val="123A016F"/>
    <w:rsid w:val="12425DA3"/>
    <w:rsid w:val="124D7FD1"/>
    <w:rsid w:val="125406D3"/>
    <w:rsid w:val="12564F25"/>
    <w:rsid w:val="12A51D70"/>
    <w:rsid w:val="12A7253B"/>
    <w:rsid w:val="12A90848"/>
    <w:rsid w:val="12B14B9B"/>
    <w:rsid w:val="12D47D70"/>
    <w:rsid w:val="12E319F0"/>
    <w:rsid w:val="12E6610F"/>
    <w:rsid w:val="12F947F6"/>
    <w:rsid w:val="1306003F"/>
    <w:rsid w:val="131814E4"/>
    <w:rsid w:val="131D2882"/>
    <w:rsid w:val="132F4B0D"/>
    <w:rsid w:val="133B47E7"/>
    <w:rsid w:val="133B6953"/>
    <w:rsid w:val="1343350F"/>
    <w:rsid w:val="13586E4A"/>
    <w:rsid w:val="13665051"/>
    <w:rsid w:val="138A5483"/>
    <w:rsid w:val="13A41DB9"/>
    <w:rsid w:val="13A8055F"/>
    <w:rsid w:val="13A947E6"/>
    <w:rsid w:val="13E636CA"/>
    <w:rsid w:val="13EE4B21"/>
    <w:rsid w:val="13F55502"/>
    <w:rsid w:val="1403612A"/>
    <w:rsid w:val="140C05F5"/>
    <w:rsid w:val="141310A4"/>
    <w:rsid w:val="142859F2"/>
    <w:rsid w:val="1431106B"/>
    <w:rsid w:val="147245F0"/>
    <w:rsid w:val="1472755A"/>
    <w:rsid w:val="148D3668"/>
    <w:rsid w:val="149B4E68"/>
    <w:rsid w:val="149D24D2"/>
    <w:rsid w:val="14D82364"/>
    <w:rsid w:val="14EB3016"/>
    <w:rsid w:val="1516245E"/>
    <w:rsid w:val="151E0F64"/>
    <w:rsid w:val="15214850"/>
    <w:rsid w:val="15230DAC"/>
    <w:rsid w:val="15276E7E"/>
    <w:rsid w:val="157A3D9E"/>
    <w:rsid w:val="1581738A"/>
    <w:rsid w:val="158C5CA7"/>
    <w:rsid w:val="15A21D2D"/>
    <w:rsid w:val="15A312E4"/>
    <w:rsid w:val="15BC3500"/>
    <w:rsid w:val="15C22611"/>
    <w:rsid w:val="15D44723"/>
    <w:rsid w:val="15E960C6"/>
    <w:rsid w:val="15EB2A45"/>
    <w:rsid w:val="16090798"/>
    <w:rsid w:val="160E4620"/>
    <w:rsid w:val="162B6996"/>
    <w:rsid w:val="162C7FB8"/>
    <w:rsid w:val="163C1C7F"/>
    <w:rsid w:val="164F5113"/>
    <w:rsid w:val="165703C5"/>
    <w:rsid w:val="165E67CE"/>
    <w:rsid w:val="16747C94"/>
    <w:rsid w:val="168B616C"/>
    <w:rsid w:val="168D7D9B"/>
    <w:rsid w:val="16CB3B19"/>
    <w:rsid w:val="171C55F3"/>
    <w:rsid w:val="17210A69"/>
    <w:rsid w:val="173018D4"/>
    <w:rsid w:val="17367E61"/>
    <w:rsid w:val="173D75F4"/>
    <w:rsid w:val="17475592"/>
    <w:rsid w:val="17526B24"/>
    <w:rsid w:val="175765D0"/>
    <w:rsid w:val="17654A9C"/>
    <w:rsid w:val="176711E0"/>
    <w:rsid w:val="176906DA"/>
    <w:rsid w:val="178D3846"/>
    <w:rsid w:val="179039E7"/>
    <w:rsid w:val="179360D5"/>
    <w:rsid w:val="17BC521D"/>
    <w:rsid w:val="17BF5E29"/>
    <w:rsid w:val="17C3127F"/>
    <w:rsid w:val="17C40390"/>
    <w:rsid w:val="17D529A7"/>
    <w:rsid w:val="17F36543"/>
    <w:rsid w:val="18175F69"/>
    <w:rsid w:val="18466423"/>
    <w:rsid w:val="184867AE"/>
    <w:rsid w:val="18615A30"/>
    <w:rsid w:val="1869476C"/>
    <w:rsid w:val="18717940"/>
    <w:rsid w:val="18754815"/>
    <w:rsid w:val="187F70FF"/>
    <w:rsid w:val="18803922"/>
    <w:rsid w:val="188067E8"/>
    <w:rsid w:val="18876000"/>
    <w:rsid w:val="188B535B"/>
    <w:rsid w:val="18A75CFC"/>
    <w:rsid w:val="18AB6784"/>
    <w:rsid w:val="18B31FE7"/>
    <w:rsid w:val="18DE2765"/>
    <w:rsid w:val="18F8529A"/>
    <w:rsid w:val="190F7A28"/>
    <w:rsid w:val="191927D4"/>
    <w:rsid w:val="192A63E1"/>
    <w:rsid w:val="194F1CC7"/>
    <w:rsid w:val="195025C6"/>
    <w:rsid w:val="195C0D3B"/>
    <w:rsid w:val="19643CB5"/>
    <w:rsid w:val="196A6CC6"/>
    <w:rsid w:val="196C71BF"/>
    <w:rsid w:val="1993551E"/>
    <w:rsid w:val="199436A0"/>
    <w:rsid w:val="19D40979"/>
    <w:rsid w:val="19E241C1"/>
    <w:rsid w:val="19E65789"/>
    <w:rsid w:val="19F27DCC"/>
    <w:rsid w:val="19F37AC0"/>
    <w:rsid w:val="1A162D24"/>
    <w:rsid w:val="1A174BE2"/>
    <w:rsid w:val="1A2778AC"/>
    <w:rsid w:val="1A3266E5"/>
    <w:rsid w:val="1A762FEF"/>
    <w:rsid w:val="1A7740EA"/>
    <w:rsid w:val="1A774115"/>
    <w:rsid w:val="1A9D2F62"/>
    <w:rsid w:val="1AAF4B13"/>
    <w:rsid w:val="1AD75B43"/>
    <w:rsid w:val="1AE84512"/>
    <w:rsid w:val="1AE87581"/>
    <w:rsid w:val="1AFB2CD7"/>
    <w:rsid w:val="1B0773E3"/>
    <w:rsid w:val="1B0F63AB"/>
    <w:rsid w:val="1B135931"/>
    <w:rsid w:val="1B1805B2"/>
    <w:rsid w:val="1B1E5751"/>
    <w:rsid w:val="1B25202A"/>
    <w:rsid w:val="1B2A59D4"/>
    <w:rsid w:val="1B3741AC"/>
    <w:rsid w:val="1B3F3C83"/>
    <w:rsid w:val="1B401D7A"/>
    <w:rsid w:val="1B425BD7"/>
    <w:rsid w:val="1B556F15"/>
    <w:rsid w:val="1B62397B"/>
    <w:rsid w:val="1B7538EE"/>
    <w:rsid w:val="1BE3448B"/>
    <w:rsid w:val="1C216DAD"/>
    <w:rsid w:val="1C255AA5"/>
    <w:rsid w:val="1C333A07"/>
    <w:rsid w:val="1C58705C"/>
    <w:rsid w:val="1C847E74"/>
    <w:rsid w:val="1C8A3CC9"/>
    <w:rsid w:val="1C8B50F3"/>
    <w:rsid w:val="1C9172AC"/>
    <w:rsid w:val="1CA3378E"/>
    <w:rsid w:val="1CAA6909"/>
    <w:rsid w:val="1CBC49E7"/>
    <w:rsid w:val="1CBD34DD"/>
    <w:rsid w:val="1CBF36E0"/>
    <w:rsid w:val="1CF827B6"/>
    <w:rsid w:val="1D061653"/>
    <w:rsid w:val="1D076929"/>
    <w:rsid w:val="1D240C2D"/>
    <w:rsid w:val="1D371F8F"/>
    <w:rsid w:val="1D3A341D"/>
    <w:rsid w:val="1D3F583E"/>
    <w:rsid w:val="1D4370A1"/>
    <w:rsid w:val="1D615880"/>
    <w:rsid w:val="1D725F3B"/>
    <w:rsid w:val="1D807D15"/>
    <w:rsid w:val="1D906188"/>
    <w:rsid w:val="1D940A38"/>
    <w:rsid w:val="1DB03C82"/>
    <w:rsid w:val="1DB251AA"/>
    <w:rsid w:val="1DB30D23"/>
    <w:rsid w:val="1DB414DB"/>
    <w:rsid w:val="1DCC0440"/>
    <w:rsid w:val="1DD005F3"/>
    <w:rsid w:val="1DF32F8C"/>
    <w:rsid w:val="1E0D29FC"/>
    <w:rsid w:val="1E3E63B4"/>
    <w:rsid w:val="1E54775C"/>
    <w:rsid w:val="1E5E765E"/>
    <w:rsid w:val="1E687019"/>
    <w:rsid w:val="1E6F055D"/>
    <w:rsid w:val="1E754291"/>
    <w:rsid w:val="1E7558D1"/>
    <w:rsid w:val="1E785C9E"/>
    <w:rsid w:val="1E913EE8"/>
    <w:rsid w:val="1E9B67FD"/>
    <w:rsid w:val="1EB0458E"/>
    <w:rsid w:val="1EDD6794"/>
    <w:rsid w:val="1EE52434"/>
    <w:rsid w:val="1EE52A42"/>
    <w:rsid w:val="1EEF5A49"/>
    <w:rsid w:val="1F0942B3"/>
    <w:rsid w:val="1F0C4279"/>
    <w:rsid w:val="1F0F3C1E"/>
    <w:rsid w:val="1F35015D"/>
    <w:rsid w:val="1F3E3F9D"/>
    <w:rsid w:val="1F604B99"/>
    <w:rsid w:val="1F616A4A"/>
    <w:rsid w:val="1F6F4CE1"/>
    <w:rsid w:val="1F874F34"/>
    <w:rsid w:val="1F8751BA"/>
    <w:rsid w:val="1F934DDE"/>
    <w:rsid w:val="1FA21DE0"/>
    <w:rsid w:val="1FBE0C9C"/>
    <w:rsid w:val="1FC5779C"/>
    <w:rsid w:val="201204B5"/>
    <w:rsid w:val="20173949"/>
    <w:rsid w:val="201C4F5B"/>
    <w:rsid w:val="2022125E"/>
    <w:rsid w:val="20295BFF"/>
    <w:rsid w:val="202C7C07"/>
    <w:rsid w:val="20476D9D"/>
    <w:rsid w:val="204E3AFA"/>
    <w:rsid w:val="20686D48"/>
    <w:rsid w:val="2083506E"/>
    <w:rsid w:val="208A63D5"/>
    <w:rsid w:val="208D377B"/>
    <w:rsid w:val="208E580A"/>
    <w:rsid w:val="209C3AB2"/>
    <w:rsid w:val="20A1758E"/>
    <w:rsid w:val="20A268F0"/>
    <w:rsid w:val="20AB1143"/>
    <w:rsid w:val="20D10EAA"/>
    <w:rsid w:val="20D40166"/>
    <w:rsid w:val="20D93EFA"/>
    <w:rsid w:val="20EE6D4F"/>
    <w:rsid w:val="21027314"/>
    <w:rsid w:val="21191CC6"/>
    <w:rsid w:val="21335FE8"/>
    <w:rsid w:val="216A16BA"/>
    <w:rsid w:val="2178448A"/>
    <w:rsid w:val="21801690"/>
    <w:rsid w:val="218625F5"/>
    <w:rsid w:val="218847E3"/>
    <w:rsid w:val="218C5659"/>
    <w:rsid w:val="21A729A7"/>
    <w:rsid w:val="21AC2EBA"/>
    <w:rsid w:val="21B67509"/>
    <w:rsid w:val="21D569EF"/>
    <w:rsid w:val="21E94084"/>
    <w:rsid w:val="220C594D"/>
    <w:rsid w:val="222F0AD7"/>
    <w:rsid w:val="224D11A0"/>
    <w:rsid w:val="224F0636"/>
    <w:rsid w:val="22A136A4"/>
    <w:rsid w:val="22A2109D"/>
    <w:rsid w:val="22AD02C3"/>
    <w:rsid w:val="22AD4C06"/>
    <w:rsid w:val="22BF54A3"/>
    <w:rsid w:val="22C629FC"/>
    <w:rsid w:val="22CD4172"/>
    <w:rsid w:val="22D7047E"/>
    <w:rsid w:val="23566FBD"/>
    <w:rsid w:val="235740AB"/>
    <w:rsid w:val="2359387E"/>
    <w:rsid w:val="23612282"/>
    <w:rsid w:val="23677E76"/>
    <w:rsid w:val="237E34E4"/>
    <w:rsid w:val="238E0E53"/>
    <w:rsid w:val="23A57662"/>
    <w:rsid w:val="23CB5346"/>
    <w:rsid w:val="23CC6936"/>
    <w:rsid w:val="23DE5C34"/>
    <w:rsid w:val="23E91248"/>
    <w:rsid w:val="23EA7531"/>
    <w:rsid w:val="24440291"/>
    <w:rsid w:val="244B12F8"/>
    <w:rsid w:val="24561810"/>
    <w:rsid w:val="245E3385"/>
    <w:rsid w:val="246519F2"/>
    <w:rsid w:val="24910720"/>
    <w:rsid w:val="24922AD7"/>
    <w:rsid w:val="24A25E19"/>
    <w:rsid w:val="24AD2733"/>
    <w:rsid w:val="24BD6CC4"/>
    <w:rsid w:val="24C6321B"/>
    <w:rsid w:val="24C77539"/>
    <w:rsid w:val="24C968FF"/>
    <w:rsid w:val="24CC0DB6"/>
    <w:rsid w:val="24CC4C52"/>
    <w:rsid w:val="24DC1868"/>
    <w:rsid w:val="24DD11D5"/>
    <w:rsid w:val="24E214E5"/>
    <w:rsid w:val="24EC774B"/>
    <w:rsid w:val="2502577D"/>
    <w:rsid w:val="251E5686"/>
    <w:rsid w:val="25451BA3"/>
    <w:rsid w:val="25561959"/>
    <w:rsid w:val="256424E6"/>
    <w:rsid w:val="257629DE"/>
    <w:rsid w:val="258B4A59"/>
    <w:rsid w:val="25904372"/>
    <w:rsid w:val="25932412"/>
    <w:rsid w:val="259F2098"/>
    <w:rsid w:val="25A348DB"/>
    <w:rsid w:val="25A92037"/>
    <w:rsid w:val="25AC4869"/>
    <w:rsid w:val="25AF7916"/>
    <w:rsid w:val="25D11374"/>
    <w:rsid w:val="25D246D4"/>
    <w:rsid w:val="25E03320"/>
    <w:rsid w:val="25E652E2"/>
    <w:rsid w:val="25F679EB"/>
    <w:rsid w:val="25FF3590"/>
    <w:rsid w:val="26246161"/>
    <w:rsid w:val="26252385"/>
    <w:rsid w:val="26324C06"/>
    <w:rsid w:val="263D0A01"/>
    <w:rsid w:val="264973C7"/>
    <w:rsid w:val="26535483"/>
    <w:rsid w:val="26550EDB"/>
    <w:rsid w:val="26561FDC"/>
    <w:rsid w:val="26733F04"/>
    <w:rsid w:val="2675670E"/>
    <w:rsid w:val="26794CD9"/>
    <w:rsid w:val="26AB0C4E"/>
    <w:rsid w:val="26AC1C2D"/>
    <w:rsid w:val="26B33DDC"/>
    <w:rsid w:val="26D329F4"/>
    <w:rsid w:val="26D40F41"/>
    <w:rsid w:val="26DE1FA5"/>
    <w:rsid w:val="26E83B89"/>
    <w:rsid w:val="26E966B8"/>
    <w:rsid w:val="27001741"/>
    <w:rsid w:val="2706551E"/>
    <w:rsid w:val="27204934"/>
    <w:rsid w:val="27773464"/>
    <w:rsid w:val="277F1439"/>
    <w:rsid w:val="27820665"/>
    <w:rsid w:val="279810BC"/>
    <w:rsid w:val="279B38AB"/>
    <w:rsid w:val="27A95FEA"/>
    <w:rsid w:val="27AF22E7"/>
    <w:rsid w:val="27C6726F"/>
    <w:rsid w:val="27D24280"/>
    <w:rsid w:val="27DF3E39"/>
    <w:rsid w:val="27E43857"/>
    <w:rsid w:val="27E83FCC"/>
    <w:rsid w:val="27F12988"/>
    <w:rsid w:val="28004179"/>
    <w:rsid w:val="2801640F"/>
    <w:rsid w:val="28031934"/>
    <w:rsid w:val="28063286"/>
    <w:rsid w:val="28132417"/>
    <w:rsid w:val="282D04C8"/>
    <w:rsid w:val="28334B09"/>
    <w:rsid w:val="28342BC9"/>
    <w:rsid w:val="283D593F"/>
    <w:rsid w:val="287912F6"/>
    <w:rsid w:val="287F6F26"/>
    <w:rsid w:val="288A3814"/>
    <w:rsid w:val="289655D4"/>
    <w:rsid w:val="28B616CA"/>
    <w:rsid w:val="28C370BC"/>
    <w:rsid w:val="28EF5261"/>
    <w:rsid w:val="28F24ED1"/>
    <w:rsid w:val="28FA7D08"/>
    <w:rsid w:val="29000280"/>
    <w:rsid w:val="29080516"/>
    <w:rsid w:val="290A3CD5"/>
    <w:rsid w:val="291C65B3"/>
    <w:rsid w:val="29241437"/>
    <w:rsid w:val="294039D2"/>
    <w:rsid w:val="295C6C72"/>
    <w:rsid w:val="29655320"/>
    <w:rsid w:val="29670025"/>
    <w:rsid w:val="2977326A"/>
    <w:rsid w:val="297771EE"/>
    <w:rsid w:val="297A76C4"/>
    <w:rsid w:val="2989519F"/>
    <w:rsid w:val="2995246C"/>
    <w:rsid w:val="29A15975"/>
    <w:rsid w:val="29A922F1"/>
    <w:rsid w:val="29B13AF1"/>
    <w:rsid w:val="29E55DC8"/>
    <w:rsid w:val="29F14AF4"/>
    <w:rsid w:val="29F7094C"/>
    <w:rsid w:val="2A045C55"/>
    <w:rsid w:val="2A141EEF"/>
    <w:rsid w:val="2A174733"/>
    <w:rsid w:val="2A190AA4"/>
    <w:rsid w:val="2A1C7E63"/>
    <w:rsid w:val="2A1E5E53"/>
    <w:rsid w:val="2A26353B"/>
    <w:rsid w:val="2A282DB1"/>
    <w:rsid w:val="2A64606A"/>
    <w:rsid w:val="2A6D401C"/>
    <w:rsid w:val="2A87476C"/>
    <w:rsid w:val="2A914EE7"/>
    <w:rsid w:val="2A96180B"/>
    <w:rsid w:val="2AB00660"/>
    <w:rsid w:val="2ACE7FFE"/>
    <w:rsid w:val="2AE45C0A"/>
    <w:rsid w:val="2AF8771E"/>
    <w:rsid w:val="2B0175C8"/>
    <w:rsid w:val="2B027BD8"/>
    <w:rsid w:val="2B114BA4"/>
    <w:rsid w:val="2B2E419E"/>
    <w:rsid w:val="2B396C5B"/>
    <w:rsid w:val="2B5953D5"/>
    <w:rsid w:val="2B613648"/>
    <w:rsid w:val="2B8279B9"/>
    <w:rsid w:val="2B896C48"/>
    <w:rsid w:val="2B97311C"/>
    <w:rsid w:val="2B9952AB"/>
    <w:rsid w:val="2BA006EC"/>
    <w:rsid w:val="2BA21A80"/>
    <w:rsid w:val="2BB14068"/>
    <w:rsid w:val="2BC10346"/>
    <w:rsid w:val="2BC13F57"/>
    <w:rsid w:val="2BCA0A0E"/>
    <w:rsid w:val="2BEF5160"/>
    <w:rsid w:val="2C056896"/>
    <w:rsid w:val="2C1613F8"/>
    <w:rsid w:val="2C1D7347"/>
    <w:rsid w:val="2C4B71C7"/>
    <w:rsid w:val="2C5C366B"/>
    <w:rsid w:val="2C723BD5"/>
    <w:rsid w:val="2C76674C"/>
    <w:rsid w:val="2C78134A"/>
    <w:rsid w:val="2C7B7FAC"/>
    <w:rsid w:val="2C8044FE"/>
    <w:rsid w:val="2C8C3B52"/>
    <w:rsid w:val="2CA72D41"/>
    <w:rsid w:val="2CB46496"/>
    <w:rsid w:val="2CB9668D"/>
    <w:rsid w:val="2CC15482"/>
    <w:rsid w:val="2CC96292"/>
    <w:rsid w:val="2CD848D8"/>
    <w:rsid w:val="2D1074CC"/>
    <w:rsid w:val="2D147D79"/>
    <w:rsid w:val="2D183F3B"/>
    <w:rsid w:val="2D1D47A5"/>
    <w:rsid w:val="2D2330FF"/>
    <w:rsid w:val="2D3F6A50"/>
    <w:rsid w:val="2D414AFE"/>
    <w:rsid w:val="2D57771E"/>
    <w:rsid w:val="2D6173D3"/>
    <w:rsid w:val="2D617D51"/>
    <w:rsid w:val="2D6E52E4"/>
    <w:rsid w:val="2D741CF1"/>
    <w:rsid w:val="2D8A2AFB"/>
    <w:rsid w:val="2D9D50A1"/>
    <w:rsid w:val="2DA970B4"/>
    <w:rsid w:val="2DB56D45"/>
    <w:rsid w:val="2DB933F0"/>
    <w:rsid w:val="2DC662C7"/>
    <w:rsid w:val="2DCD48CC"/>
    <w:rsid w:val="2DE105B7"/>
    <w:rsid w:val="2DFB21DF"/>
    <w:rsid w:val="2E082376"/>
    <w:rsid w:val="2E3B51C6"/>
    <w:rsid w:val="2E3D1B0D"/>
    <w:rsid w:val="2E66596B"/>
    <w:rsid w:val="2E8B4B2A"/>
    <w:rsid w:val="2E8E2F84"/>
    <w:rsid w:val="2EB10C68"/>
    <w:rsid w:val="2EDE3AB9"/>
    <w:rsid w:val="2EE541E3"/>
    <w:rsid w:val="2EE82738"/>
    <w:rsid w:val="2EF6443C"/>
    <w:rsid w:val="2EF865E7"/>
    <w:rsid w:val="2F062DC8"/>
    <w:rsid w:val="2F3F6EC9"/>
    <w:rsid w:val="2F460C75"/>
    <w:rsid w:val="2F550D0C"/>
    <w:rsid w:val="2F6166D8"/>
    <w:rsid w:val="2F794B22"/>
    <w:rsid w:val="2F7A2842"/>
    <w:rsid w:val="2F7D1AFE"/>
    <w:rsid w:val="2F9D73AF"/>
    <w:rsid w:val="2FA17D86"/>
    <w:rsid w:val="2FB451EF"/>
    <w:rsid w:val="2FBA7303"/>
    <w:rsid w:val="2FBE46A0"/>
    <w:rsid w:val="2FC531BC"/>
    <w:rsid w:val="2FCB4606"/>
    <w:rsid w:val="2FCE1857"/>
    <w:rsid w:val="301D6290"/>
    <w:rsid w:val="30466D45"/>
    <w:rsid w:val="30585BF6"/>
    <w:rsid w:val="306A63AC"/>
    <w:rsid w:val="307B7C0B"/>
    <w:rsid w:val="307F530F"/>
    <w:rsid w:val="30AA49AD"/>
    <w:rsid w:val="30AF4D9B"/>
    <w:rsid w:val="30B44AB3"/>
    <w:rsid w:val="30B604B5"/>
    <w:rsid w:val="30C164BB"/>
    <w:rsid w:val="30C5120B"/>
    <w:rsid w:val="30D009FB"/>
    <w:rsid w:val="30D46A2B"/>
    <w:rsid w:val="30E53848"/>
    <w:rsid w:val="30EF6ABD"/>
    <w:rsid w:val="30F3703E"/>
    <w:rsid w:val="310B518B"/>
    <w:rsid w:val="31327BBC"/>
    <w:rsid w:val="313F09DB"/>
    <w:rsid w:val="314040CF"/>
    <w:rsid w:val="31531F49"/>
    <w:rsid w:val="317701A2"/>
    <w:rsid w:val="3191568F"/>
    <w:rsid w:val="3193190E"/>
    <w:rsid w:val="31A1229A"/>
    <w:rsid w:val="31AA70E4"/>
    <w:rsid w:val="31B03840"/>
    <w:rsid w:val="31C47469"/>
    <w:rsid w:val="31E56BF5"/>
    <w:rsid w:val="31F661EA"/>
    <w:rsid w:val="32086C90"/>
    <w:rsid w:val="32096434"/>
    <w:rsid w:val="3268508C"/>
    <w:rsid w:val="32750DD6"/>
    <w:rsid w:val="32884CA4"/>
    <w:rsid w:val="328C61B1"/>
    <w:rsid w:val="328F3A80"/>
    <w:rsid w:val="32952FAB"/>
    <w:rsid w:val="3298429D"/>
    <w:rsid w:val="329A3A92"/>
    <w:rsid w:val="32A060A9"/>
    <w:rsid w:val="32AD19F6"/>
    <w:rsid w:val="32CD0517"/>
    <w:rsid w:val="32CD4003"/>
    <w:rsid w:val="32D44088"/>
    <w:rsid w:val="32DE2C7F"/>
    <w:rsid w:val="32E26351"/>
    <w:rsid w:val="32F20CF0"/>
    <w:rsid w:val="33293ABF"/>
    <w:rsid w:val="333B38C4"/>
    <w:rsid w:val="334A7AF9"/>
    <w:rsid w:val="335A1509"/>
    <w:rsid w:val="33631CB5"/>
    <w:rsid w:val="33697130"/>
    <w:rsid w:val="336A0C68"/>
    <w:rsid w:val="33722D11"/>
    <w:rsid w:val="33780B7D"/>
    <w:rsid w:val="33A23C03"/>
    <w:rsid w:val="33A978E7"/>
    <w:rsid w:val="33AA0994"/>
    <w:rsid w:val="33BB77BD"/>
    <w:rsid w:val="33D36185"/>
    <w:rsid w:val="33DA016E"/>
    <w:rsid w:val="33F1366C"/>
    <w:rsid w:val="33FC6915"/>
    <w:rsid w:val="341A2462"/>
    <w:rsid w:val="342A402B"/>
    <w:rsid w:val="34316F99"/>
    <w:rsid w:val="344E1E9C"/>
    <w:rsid w:val="34532913"/>
    <w:rsid w:val="34560914"/>
    <w:rsid w:val="3468023C"/>
    <w:rsid w:val="34777446"/>
    <w:rsid w:val="347E7C30"/>
    <w:rsid w:val="348144F0"/>
    <w:rsid w:val="348D3C27"/>
    <w:rsid w:val="34B9335D"/>
    <w:rsid w:val="34E07D7E"/>
    <w:rsid w:val="34F45EBA"/>
    <w:rsid w:val="350A7F97"/>
    <w:rsid w:val="35364743"/>
    <w:rsid w:val="35605710"/>
    <w:rsid w:val="35671771"/>
    <w:rsid w:val="357D24BC"/>
    <w:rsid w:val="35832C49"/>
    <w:rsid w:val="359D70BD"/>
    <w:rsid w:val="35A97BD8"/>
    <w:rsid w:val="35AA30CF"/>
    <w:rsid w:val="35C05896"/>
    <w:rsid w:val="35CE6467"/>
    <w:rsid w:val="35D044CF"/>
    <w:rsid w:val="35D74A1E"/>
    <w:rsid w:val="36011497"/>
    <w:rsid w:val="36161C8D"/>
    <w:rsid w:val="361D7AF0"/>
    <w:rsid w:val="36245285"/>
    <w:rsid w:val="362A5559"/>
    <w:rsid w:val="362C089A"/>
    <w:rsid w:val="365979C0"/>
    <w:rsid w:val="3674545E"/>
    <w:rsid w:val="36AA6D8F"/>
    <w:rsid w:val="36BD195D"/>
    <w:rsid w:val="36C56376"/>
    <w:rsid w:val="36C57A72"/>
    <w:rsid w:val="36E17FA7"/>
    <w:rsid w:val="36EB6901"/>
    <w:rsid w:val="3714214C"/>
    <w:rsid w:val="3735645D"/>
    <w:rsid w:val="37384221"/>
    <w:rsid w:val="37466EB1"/>
    <w:rsid w:val="374940E8"/>
    <w:rsid w:val="37637E81"/>
    <w:rsid w:val="376E1C50"/>
    <w:rsid w:val="37767A90"/>
    <w:rsid w:val="3778356C"/>
    <w:rsid w:val="377C7CB3"/>
    <w:rsid w:val="37945CB7"/>
    <w:rsid w:val="37962D89"/>
    <w:rsid w:val="37A565BA"/>
    <w:rsid w:val="37BA43A1"/>
    <w:rsid w:val="37EA5A2E"/>
    <w:rsid w:val="3800556D"/>
    <w:rsid w:val="380615D8"/>
    <w:rsid w:val="383250E7"/>
    <w:rsid w:val="38684865"/>
    <w:rsid w:val="387E56CB"/>
    <w:rsid w:val="38A72689"/>
    <w:rsid w:val="38AE4FEF"/>
    <w:rsid w:val="38C93326"/>
    <w:rsid w:val="38CC0810"/>
    <w:rsid w:val="38CD3EB4"/>
    <w:rsid w:val="391478AF"/>
    <w:rsid w:val="391902DC"/>
    <w:rsid w:val="39283E9C"/>
    <w:rsid w:val="392C3443"/>
    <w:rsid w:val="39307BB7"/>
    <w:rsid w:val="39573EDD"/>
    <w:rsid w:val="395E172B"/>
    <w:rsid w:val="395E6A65"/>
    <w:rsid w:val="396F6721"/>
    <w:rsid w:val="398D6023"/>
    <w:rsid w:val="39AB2FFD"/>
    <w:rsid w:val="39D445BF"/>
    <w:rsid w:val="39D93FBE"/>
    <w:rsid w:val="39E03BCC"/>
    <w:rsid w:val="3A1922C0"/>
    <w:rsid w:val="3A241B23"/>
    <w:rsid w:val="3A3B37CA"/>
    <w:rsid w:val="3A48135C"/>
    <w:rsid w:val="3A7B0B55"/>
    <w:rsid w:val="3A8242BD"/>
    <w:rsid w:val="3A8E4832"/>
    <w:rsid w:val="3AA97735"/>
    <w:rsid w:val="3AB00A33"/>
    <w:rsid w:val="3AC46947"/>
    <w:rsid w:val="3AC86C53"/>
    <w:rsid w:val="3ACD67BD"/>
    <w:rsid w:val="3AE7148B"/>
    <w:rsid w:val="3AF218CB"/>
    <w:rsid w:val="3B060870"/>
    <w:rsid w:val="3B1F0465"/>
    <w:rsid w:val="3B212D90"/>
    <w:rsid w:val="3B3D33BB"/>
    <w:rsid w:val="3B3E51B9"/>
    <w:rsid w:val="3B404E03"/>
    <w:rsid w:val="3B412635"/>
    <w:rsid w:val="3B497BE3"/>
    <w:rsid w:val="3B9017EB"/>
    <w:rsid w:val="3B962BC5"/>
    <w:rsid w:val="3BAB3438"/>
    <w:rsid w:val="3BB0110B"/>
    <w:rsid w:val="3BB2264A"/>
    <w:rsid w:val="3BB4439D"/>
    <w:rsid w:val="3BB536CB"/>
    <w:rsid w:val="3BC36E9D"/>
    <w:rsid w:val="3BD93AB6"/>
    <w:rsid w:val="3BDB6E6E"/>
    <w:rsid w:val="3BE7032B"/>
    <w:rsid w:val="3BE759A6"/>
    <w:rsid w:val="3BF7696F"/>
    <w:rsid w:val="3BFD56A0"/>
    <w:rsid w:val="3BFE46C7"/>
    <w:rsid w:val="3C045F61"/>
    <w:rsid w:val="3C084C8F"/>
    <w:rsid w:val="3C167BDD"/>
    <w:rsid w:val="3C1A2B8D"/>
    <w:rsid w:val="3C230FB7"/>
    <w:rsid w:val="3C557447"/>
    <w:rsid w:val="3C6373B8"/>
    <w:rsid w:val="3C926889"/>
    <w:rsid w:val="3C9516BE"/>
    <w:rsid w:val="3CA02CAD"/>
    <w:rsid w:val="3CA87FC1"/>
    <w:rsid w:val="3CB27B2D"/>
    <w:rsid w:val="3CD230C6"/>
    <w:rsid w:val="3CEC5F7B"/>
    <w:rsid w:val="3CF0423F"/>
    <w:rsid w:val="3CF77C4C"/>
    <w:rsid w:val="3CFB6F75"/>
    <w:rsid w:val="3D022124"/>
    <w:rsid w:val="3D096C24"/>
    <w:rsid w:val="3D122F09"/>
    <w:rsid w:val="3D197C5D"/>
    <w:rsid w:val="3D1A7D2B"/>
    <w:rsid w:val="3D53179E"/>
    <w:rsid w:val="3D6327DD"/>
    <w:rsid w:val="3D9400B7"/>
    <w:rsid w:val="3D9B4727"/>
    <w:rsid w:val="3DA838FF"/>
    <w:rsid w:val="3DAB31C8"/>
    <w:rsid w:val="3DB83FC5"/>
    <w:rsid w:val="3DD22D21"/>
    <w:rsid w:val="3DD42C95"/>
    <w:rsid w:val="3DFB62D0"/>
    <w:rsid w:val="3E023DB1"/>
    <w:rsid w:val="3E104AC7"/>
    <w:rsid w:val="3E132CC8"/>
    <w:rsid w:val="3E1D0352"/>
    <w:rsid w:val="3E233163"/>
    <w:rsid w:val="3E497595"/>
    <w:rsid w:val="3E617929"/>
    <w:rsid w:val="3E6548CF"/>
    <w:rsid w:val="3E7F0D02"/>
    <w:rsid w:val="3E9A6FAE"/>
    <w:rsid w:val="3EAC674E"/>
    <w:rsid w:val="3EB047EF"/>
    <w:rsid w:val="3EB75A5D"/>
    <w:rsid w:val="3ECE42BF"/>
    <w:rsid w:val="3EE33FDE"/>
    <w:rsid w:val="3EE64576"/>
    <w:rsid w:val="3EEE50D8"/>
    <w:rsid w:val="3EF8323F"/>
    <w:rsid w:val="3EFA14EE"/>
    <w:rsid w:val="3F004999"/>
    <w:rsid w:val="3F0938B6"/>
    <w:rsid w:val="3F0C1EF1"/>
    <w:rsid w:val="3F112089"/>
    <w:rsid w:val="3F155427"/>
    <w:rsid w:val="3F1E28C8"/>
    <w:rsid w:val="3F2F139E"/>
    <w:rsid w:val="3F4635A2"/>
    <w:rsid w:val="3F475F7D"/>
    <w:rsid w:val="3F5F313B"/>
    <w:rsid w:val="3F713B15"/>
    <w:rsid w:val="3F714FBF"/>
    <w:rsid w:val="3F872CE1"/>
    <w:rsid w:val="3F955D9F"/>
    <w:rsid w:val="3FB3522F"/>
    <w:rsid w:val="3FB84EEE"/>
    <w:rsid w:val="3FBA0DAF"/>
    <w:rsid w:val="3FC37237"/>
    <w:rsid w:val="3FC65AEC"/>
    <w:rsid w:val="40175665"/>
    <w:rsid w:val="403474C7"/>
    <w:rsid w:val="403D7489"/>
    <w:rsid w:val="405C55C4"/>
    <w:rsid w:val="40A3710B"/>
    <w:rsid w:val="40C474DA"/>
    <w:rsid w:val="40CB67CC"/>
    <w:rsid w:val="40D33666"/>
    <w:rsid w:val="40DF334C"/>
    <w:rsid w:val="40F50743"/>
    <w:rsid w:val="41075EDA"/>
    <w:rsid w:val="410D523D"/>
    <w:rsid w:val="411570A6"/>
    <w:rsid w:val="41163E57"/>
    <w:rsid w:val="411F7144"/>
    <w:rsid w:val="41353F7E"/>
    <w:rsid w:val="413967CE"/>
    <w:rsid w:val="4148394F"/>
    <w:rsid w:val="415370F2"/>
    <w:rsid w:val="415F674D"/>
    <w:rsid w:val="41734511"/>
    <w:rsid w:val="41756760"/>
    <w:rsid w:val="41795897"/>
    <w:rsid w:val="41881862"/>
    <w:rsid w:val="418A1D7E"/>
    <w:rsid w:val="418D3932"/>
    <w:rsid w:val="41A25E91"/>
    <w:rsid w:val="41BC45CF"/>
    <w:rsid w:val="41EC59B9"/>
    <w:rsid w:val="41F40B49"/>
    <w:rsid w:val="42134767"/>
    <w:rsid w:val="423E1303"/>
    <w:rsid w:val="42443AE3"/>
    <w:rsid w:val="424C3C39"/>
    <w:rsid w:val="426948F4"/>
    <w:rsid w:val="4294732F"/>
    <w:rsid w:val="429A143F"/>
    <w:rsid w:val="429A5DEF"/>
    <w:rsid w:val="429D40C0"/>
    <w:rsid w:val="42BB2E6C"/>
    <w:rsid w:val="42C4411A"/>
    <w:rsid w:val="42C9430A"/>
    <w:rsid w:val="42D812CB"/>
    <w:rsid w:val="42E068D9"/>
    <w:rsid w:val="42E40883"/>
    <w:rsid w:val="42F01311"/>
    <w:rsid w:val="42FC5EFD"/>
    <w:rsid w:val="43015D9C"/>
    <w:rsid w:val="430218B4"/>
    <w:rsid w:val="430E701E"/>
    <w:rsid w:val="431762FC"/>
    <w:rsid w:val="431E7670"/>
    <w:rsid w:val="432B4DCA"/>
    <w:rsid w:val="432D6C45"/>
    <w:rsid w:val="433E035F"/>
    <w:rsid w:val="43563025"/>
    <w:rsid w:val="435F6FEC"/>
    <w:rsid w:val="43663CEB"/>
    <w:rsid w:val="43795F17"/>
    <w:rsid w:val="439C251F"/>
    <w:rsid w:val="43A075B7"/>
    <w:rsid w:val="43A13C0B"/>
    <w:rsid w:val="43AB10E1"/>
    <w:rsid w:val="43BC023E"/>
    <w:rsid w:val="43CC3C73"/>
    <w:rsid w:val="43DE1C6F"/>
    <w:rsid w:val="43F400B3"/>
    <w:rsid w:val="44041B52"/>
    <w:rsid w:val="440709DF"/>
    <w:rsid w:val="44071A17"/>
    <w:rsid w:val="440F3111"/>
    <w:rsid w:val="44101D81"/>
    <w:rsid w:val="441E3989"/>
    <w:rsid w:val="443D7234"/>
    <w:rsid w:val="445F529F"/>
    <w:rsid w:val="447A3488"/>
    <w:rsid w:val="44A50977"/>
    <w:rsid w:val="44B53A55"/>
    <w:rsid w:val="44C028D3"/>
    <w:rsid w:val="44CC1122"/>
    <w:rsid w:val="44DB6E6E"/>
    <w:rsid w:val="44EA3A8A"/>
    <w:rsid w:val="44EE3B22"/>
    <w:rsid w:val="44F30819"/>
    <w:rsid w:val="450534B4"/>
    <w:rsid w:val="450E4684"/>
    <w:rsid w:val="45142781"/>
    <w:rsid w:val="45230C9A"/>
    <w:rsid w:val="4540575D"/>
    <w:rsid w:val="455E66DB"/>
    <w:rsid w:val="455F57C9"/>
    <w:rsid w:val="45796B3B"/>
    <w:rsid w:val="45934E1E"/>
    <w:rsid w:val="45990EFA"/>
    <w:rsid w:val="45AB3E07"/>
    <w:rsid w:val="45CA3FB8"/>
    <w:rsid w:val="45D14384"/>
    <w:rsid w:val="45EC4FEA"/>
    <w:rsid w:val="45EF2CEA"/>
    <w:rsid w:val="46000CE7"/>
    <w:rsid w:val="4606307C"/>
    <w:rsid w:val="462A0363"/>
    <w:rsid w:val="462A06D3"/>
    <w:rsid w:val="465B5DCE"/>
    <w:rsid w:val="46825AEB"/>
    <w:rsid w:val="4690134D"/>
    <w:rsid w:val="469556DD"/>
    <w:rsid w:val="46D834D4"/>
    <w:rsid w:val="46DC3196"/>
    <w:rsid w:val="46DF52CB"/>
    <w:rsid w:val="46E91C72"/>
    <w:rsid w:val="46F1006E"/>
    <w:rsid w:val="47297420"/>
    <w:rsid w:val="47361F71"/>
    <w:rsid w:val="473F2295"/>
    <w:rsid w:val="475869C3"/>
    <w:rsid w:val="475E752D"/>
    <w:rsid w:val="47860E2F"/>
    <w:rsid w:val="47AF12A6"/>
    <w:rsid w:val="47DE0E2A"/>
    <w:rsid w:val="47DF3D79"/>
    <w:rsid w:val="47F700B2"/>
    <w:rsid w:val="47FE76D7"/>
    <w:rsid w:val="48135BE3"/>
    <w:rsid w:val="482963FC"/>
    <w:rsid w:val="4833327D"/>
    <w:rsid w:val="483D2F80"/>
    <w:rsid w:val="484023C8"/>
    <w:rsid w:val="484E7138"/>
    <w:rsid w:val="485805A6"/>
    <w:rsid w:val="48616D38"/>
    <w:rsid w:val="487359E2"/>
    <w:rsid w:val="4878361E"/>
    <w:rsid w:val="487C1E4D"/>
    <w:rsid w:val="48B62DBE"/>
    <w:rsid w:val="48C95384"/>
    <w:rsid w:val="48D204B0"/>
    <w:rsid w:val="48E45D61"/>
    <w:rsid w:val="48F1069A"/>
    <w:rsid w:val="48F97371"/>
    <w:rsid w:val="4900165A"/>
    <w:rsid w:val="49097142"/>
    <w:rsid w:val="490B115C"/>
    <w:rsid w:val="493D5006"/>
    <w:rsid w:val="497C0B9E"/>
    <w:rsid w:val="497E1814"/>
    <w:rsid w:val="498C0651"/>
    <w:rsid w:val="499D49C4"/>
    <w:rsid w:val="49AD62D6"/>
    <w:rsid w:val="49C83A47"/>
    <w:rsid w:val="49C9141A"/>
    <w:rsid w:val="49E84E4C"/>
    <w:rsid w:val="49F05721"/>
    <w:rsid w:val="4A004427"/>
    <w:rsid w:val="4A0A34B1"/>
    <w:rsid w:val="4A1C05B0"/>
    <w:rsid w:val="4A323C2B"/>
    <w:rsid w:val="4A397A08"/>
    <w:rsid w:val="4A4A5D6B"/>
    <w:rsid w:val="4A50386F"/>
    <w:rsid w:val="4A55780B"/>
    <w:rsid w:val="4A772A2A"/>
    <w:rsid w:val="4A8A1057"/>
    <w:rsid w:val="4AB332C5"/>
    <w:rsid w:val="4ADD2403"/>
    <w:rsid w:val="4AE61A22"/>
    <w:rsid w:val="4B01056E"/>
    <w:rsid w:val="4B1A6E45"/>
    <w:rsid w:val="4B233370"/>
    <w:rsid w:val="4B491DE2"/>
    <w:rsid w:val="4B505EBD"/>
    <w:rsid w:val="4B5B0D64"/>
    <w:rsid w:val="4B5B58D6"/>
    <w:rsid w:val="4B6936F9"/>
    <w:rsid w:val="4B9E32BF"/>
    <w:rsid w:val="4BC22DB5"/>
    <w:rsid w:val="4BC71DDA"/>
    <w:rsid w:val="4BF76373"/>
    <w:rsid w:val="4BFA737C"/>
    <w:rsid w:val="4BFE7308"/>
    <w:rsid w:val="4C2D2F51"/>
    <w:rsid w:val="4C31774B"/>
    <w:rsid w:val="4C342DAF"/>
    <w:rsid w:val="4C371B6A"/>
    <w:rsid w:val="4C7418F1"/>
    <w:rsid w:val="4C7B788C"/>
    <w:rsid w:val="4C94384C"/>
    <w:rsid w:val="4CBB0CEE"/>
    <w:rsid w:val="4CCC210D"/>
    <w:rsid w:val="4CD43BFB"/>
    <w:rsid w:val="4CDE6982"/>
    <w:rsid w:val="4CE30926"/>
    <w:rsid w:val="4CE85D46"/>
    <w:rsid w:val="4CF06150"/>
    <w:rsid w:val="4CF46F71"/>
    <w:rsid w:val="4D0C31CE"/>
    <w:rsid w:val="4D1D2513"/>
    <w:rsid w:val="4D2461B3"/>
    <w:rsid w:val="4D2970E7"/>
    <w:rsid w:val="4D3E65D2"/>
    <w:rsid w:val="4D613EB0"/>
    <w:rsid w:val="4D65076B"/>
    <w:rsid w:val="4D7165FB"/>
    <w:rsid w:val="4D8A7823"/>
    <w:rsid w:val="4DB33F78"/>
    <w:rsid w:val="4DB6336C"/>
    <w:rsid w:val="4DC71A91"/>
    <w:rsid w:val="4DCC30F3"/>
    <w:rsid w:val="4DD43D1E"/>
    <w:rsid w:val="4DDB7025"/>
    <w:rsid w:val="4DDF7E5A"/>
    <w:rsid w:val="4E022216"/>
    <w:rsid w:val="4E035269"/>
    <w:rsid w:val="4E15356C"/>
    <w:rsid w:val="4E3B5781"/>
    <w:rsid w:val="4E3D7DA9"/>
    <w:rsid w:val="4E490870"/>
    <w:rsid w:val="4E503D93"/>
    <w:rsid w:val="4E506334"/>
    <w:rsid w:val="4E57517D"/>
    <w:rsid w:val="4E8D6674"/>
    <w:rsid w:val="4E947510"/>
    <w:rsid w:val="4E96204B"/>
    <w:rsid w:val="4EAB5EB9"/>
    <w:rsid w:val="4EAB740D"/>
    <w:rsid w:val="4EBF1984"/>
    <w:rsid w:val="4EC049F7"/>
    <w:rsid w:val="4ED811B4"/>
    <w:rsid w:val="4EDB0584"/>
    <w:rsid w:val="4EFB0B2C"/>
    <w:rsid w:val="4EFD4C50"/>
    <w:rsid w:val="4F0A1380"/>
    <w:rsid w:val="4F1D64AB"/>
    <w:rsid w:val="4F205B5F"/>
    <w:rsid w:val="4F2149B4"/>
    <w:rsid w:val="4F224B62"/>
    <w:rsid w:val="4F261C03"/>
    <w:rsid w:val="4F2C7E3C"/>
    <w:rsid w:val="4F5406F1"/>
    <w:rsid w:val="4F6871D4"/>
    <w:rsid w:val="4F792398"/>
    <w:rsid w:val="4F7D7C5D"/>
    <w:rsid w:val="4F8061D2"/>
    <w:rsid w:val="4F890E35"/>
    <w:rsid w:val="4F8F375E"/>
    <w:rsid w:val="4FA16E5C"/>
    <w:rsid w:val="4FD316E2"/>
    <w:rsid w:val="4FDD4BA4"/>
    <w:rsid w:val="4FDD5236"/>
    <w:rsid w:val="50001490"/>
    <w:rsid w:val="50003DB9"/>
    <w:rsid w:val="500A2BAF"/>
    <w:rsid w:val="5024194A"/>
    <w:rsid w:val="50292D83"/>
    <w:rsid w:val="503E65F8"/>
    <w:rsid w:val="504C2E3D"/>
    <w:rsid w:val="508A1DA5"/>
    <w:rsid w:val="50976EA9"/>
    <w:rsid w:val="50A55251"/>
    <w:rsid w:val="50AA2C30"/>
    <w:rsid w:val="50BB24F7"/>
    <w:rsid w:val="50C13E5A"/>
    <w:rsid w:val="50C22140"/>
    <w:rsid w:val="50C85885"/>
    <w:rsid w:val="50D50B7A"/>
    <w:rsid w:val="50D91537"/>
    <w:rsid w:val="50E32B1F"/>
    <w:rsid w:val="50E45AA3"/>
    <w:rsid w:val="50FE67E5"/>
    <w:rsid w:val="5113532F"/>
    <w:rsid w:val="5121011E"/>
    <w:rsid w:val="512709D7"/>
    <w:rsid w:val="51401D53"/>
    <w:rsid w:val="517143AC"/>
    <w:rsid w:val="518224E3"/>
    <w:rsid w:val="518C02D2"/>
    <w:rsid w:val="518D03E1"/>
    <w:rsid w:val="518E693D"/>
    <w:rsid w:val="51987CBC"/>
    <w:rsid w:val="519D5616"/>
    <w:rsid w:val="51D31ABF"/>
    <w:rsid w:val="51E46461"/>
    <w:rsid w:val="51EC063D"/>
    <w:rsid w:val="51FB4479"/>
    <w:rsid w:val="520D445E"/>
    <w:rsid w:val="52284795"/>
    <w:rsid w:val="52305AAC"/>
    <w:rsid w:val="523816F1"/>
    <w:rsid w:val="52490CB4"/>
    <w:rsid w:val="5252421B"/>
    <w:rsid w:val="525272B0"/>
    <w:rsid w:val="526E6E3E"/>
    <w:rsid w:val="52707654"/>
    <w:rsid w:val="527A6550"/>
    <w:rsid w:val="527C2294"/>
    <w:rsid w:val="527E3FC2"/>
    <w:rsid w:val="52860582"/>
    <w:rsid w:val="529D3EE4"/>
    <w:rsid w:val="529D3F7A"/>
    <w:rsid w:val="529F214D"/>
    <w:rsid w:val="52C7716E"/>
    <w:rsid w:val="52CB0C6E"/>
    <w:rsid w:val="52D44432"/>
    <w:rsid w:val="52D46648"/>
    <w:rsid w:val="52E30ED8"/>
    <w:rsid w:val="52E359E2"/>
    <w:rsid w:val="52E47B09"/>
    <w:rsid w:val="52EF1C4A"/>
    <w:rsid w:val="53081D13"/>
    <w:rsid w:val="53125BDD"/>
    <w:rsid w:val="53287761"/>
    <w:rsid w:val="532C3A6D"/>
    <w:rsid w:val="536212FA"/>
    <w:rsid w:val="537266F4"/>
    <w:rsid w:val="53777E6D"/>
    <w:rsid w:val="538F45EA"/>
    <w:rsid w:val="53962BCA"/>
    <w:rsid w:val="53AA020A"/>
    <w:rsid w:val="53BC50A8"/>
    <w:rsid w:val="53C265C7"/>
    <w:rsid w:val="53CB1FF1"/>
    <w:rsid w:val="53DA223D"/>
    <w:rsid w:val="53E90A53"/>
    <w:rsid w:val="53EA064B"/>
    <w:rsid w:val="53EB4926"/>
    <w:rsid w:val="53ED2950"/>
    <w:rsid w:val="53FD7AB8"/>
    <w:rsid w:val="5401095C"/>
    <w:rsid w:val="540D6224"/>
    <w:rsid w:val="54105BC6"/>
    <w:rsid w:val="54135959"/>
    <w:rsid w:val="5430022A"/>
    <w:rsid w:val="543625A5"/>
    <w:rsid w:val="54392750"/>
    <w:rsid w:val="544D6010"/>
    <w:rsid w:val="54546517"/>
    <w:rsid w:val="54560490"/>
    <w:rsid w:val="54582A29"/>
    <w:rsid w:val="546875AF"/>
    <w:rsid w:val="547C0E3C"/>
    <w:rsid w:val="547E4657"/>
    <w:rsid w:val="54845F1A"/>
    <w:rsid w:val="548C0A01"/>
    <w:rsid w:val="54920A3C"/>
    <w:rsid w:val="54A327AC"/>
    <w:rsid w:val="54A37F10"/>
    <w:rsid w:val="54D00729"/>
    <w:rsid w:val="54F549BE"/>
    <w:rsid w:val="54F63162"/>
    <w:rsid w:val="55137725"/>
    <w:rsid w:val="551720FD"/>
    <w:rsid w:val="551C5F87"/>
    <w:rsid w:val="55254F5C"/>
    <w:rsid w:val="55255AC7"/>
    <w:rsid w:val="5548698F"/>
    <w:rsid w:val="554972D9"/>
    <w:rsid w:val="554C24E5"/>
    <w:rsid w:val="5553279E"/>
    <w:rsid w:val="555D3FB8"/>
    <w:rsid w:val="555F549D"/>
    <w:rsid w:val="55675BAC"/>
    <w:rsid w:val="558A3956"/>
    <w:rsid w:val="55962A27"/>
    <w:rsid w:val="55C24453"/>
    <w:rsid w:val="55C83395"/>
    <w:rsid w:val="55D80A2A"/>
    <w:rsid w:val="55FF71D5"/>
    <w:rsid w:val="561E4C75"/>
    <w:rsid w:val="561F3BFA"/>
    <w:rsid w:val="5623602E"/>
    <w:rsid w:val="564778C3"/>
    <w:rsid w:val="564C7744"/>
    <w:rsid w:val="567325C1"/>
    <w:rsid w:val="56842490"/>
    <w:rsid w:val="568D645B"/>
    <w:rsid w:val="56C046D1"/>
    <w:rsid w:val="56C124E0"/>
    <w:rsid w:val="56C375A9"/>
    <w:rsid w:val="56DA730F"/>
    <w:rsid w:val="56F27015"/>
    <w:rsid w:val="56F5488D"/>
    <w:rsid w:val="56F861C7"/>
    <w:rsid w:val="57093B06"/>
    <w:rsid w:val="570F633F"/>
    <w:rsid w:val="572706F9"/>
    <w:rsid w:val="57302C16"/>
    <w:rsid w:val="57333622"/>
    <w:rsid w:val="573408D3"/>
    <w:rsid w:val="573E7F16"/>
    <w:rsid w:val="575D4693"/>
    <w:rsid w:val="576D58F3"/>
    <w:rsid w:val="57746362"/>
    <w:rsid w:val="57910D30"/>
    <w:rsid w:val="57914578"/>
    <w:rsid w:val="57BD26CF"/>
    <w:rsid w:val="57BD54F1"/>
    <w:rsid w:val="57DA0331"/>
    <w:rsid w:val="57F871FF"/>
    <w:rsid w:val="57F92A7C"/>
    <w:rsid w:val="58044368"/>
    <w:rsid w:val="580B4A9B"/>
    <w:rsid w:val="58124FC9"/>
    <w:rsid w:val="581B1814"/>
    <w:rsid w:val="583B47E5"/>
    <w:rsid w:val="58604841"/>
    <w:rsid w:val="586E2E86"/>
    <w:rsid w:val="58911202"/>
    <w:rsid w:val="58A73CBE"/>
    <w:rsid w:val="58B75C0C"/>
    <w:rsid w:val="58BA547C"/>
    <w:rsid w:val="58C42085"/>
    <w:rsid w:val="58CD52E6"/>
    <w:rsid w:val="58D45880"/>
    <w:rsid w:val="58D70726"/>
    <w:rsid w:val="58DE20CD"/>
    <w:rsid w:val="58DF121D"/>
    <w:rsid w:val="59117203"/>
    <w:rsid w:val="5920039B"/>
    <w:rsid w:val="592026A0"/>
    <w:rsid w:val="59231D05"/>
    <w:rsid w:val="59263A4D"/>
    <w:rsid w:val="59457D91"/>
    <w:rsid w:val="59515830"/>
    <w:rsid w:val="59726422"/>
    <w:rsid w:val="599C621A"/>
    <w:rsid w:val="59C068BE"/>
    <w:rsid w:val="59D0163F"/>
    <w:rsid w:val="59E23947"/>
    <w:rsid w:val="5A0F6BEE"/>
    <w:rsid w:val="5A28553A"/>
    <w:rsid w:val="5A313584"/>
    <w:rsid w:val="5A33202B"/>
    <w:rsid w:val="5A453A57"/>
    <w:rsid w:val="5A4A001E"/>
    <w:rsid w:val="5A597F3B"/>
    <w:rsid w:val="5A627D92"/>
    <w:rsid w:val="5A721121"/>
    <w:rsid w:val="5A786F0C"/>
    <w:rsid w:val="5AB7282E"/>
    <w:rsid w:val="5ABC1501"/>
    <w:rsid w:val="5AD02AFD"/>
    <w:rsid w:val="5ADF3653"/>
    <w:rsid w:val="5AF97116"/>
    <w:rsid w:val="5B1B1077"/>
    <w:rsid w:val="5B3E26C9"/>
    <w:rsid w:val="5B712E03"/>
    <w:rsid w:val="5B875AFF"/>
    <w:rsid w:val="5B89568B"/>
    <w:rsid w:val="5B8F6B42"/>
    <w:rsid w:val="5B993E74"/>
    <w:rsid w:val="5BAE66E2"/>
    <w:rsid w:val="5BB93907"/>
    <w:rsid w:val="5BBE43E7"/>
    <w:rsid w:val="5BCC44DD"/>
    <w:rsid w:val="5BDC12DF"/>
    <w:rsid w:val="5BF13B3F"/>
    <w:rsid w:val="5BF847E2"/>
    <w:rsid w:val="5BFC2FEE"/>
    <w:rsid w:val="5BFF3E21"/>
    <w:rsid w:val="5C1A7021"/>
    <w:rsid w:val="5C32559B"/>
    <w:rsid w:val="5C3637FE"/>
    <w:rsid w:val="5C5910DD"/>
    <w:rsid w:val="5C613926"/>
    <w:rsid w:val="5C6B0C96"/>
    <w:rsid w:val="5C6B5F84"/>
    <w:rsid w:val="5C7C054B"/>
    <w:rsid w:val="5C95286B"/>
    <w:rsid w:val="5CBB7EA9"/>
    <w:rsid w:val="5CBD0883"/>
    <w:rsid w:val="5CBF40FC"/>
    <w:rsid w:val="5CC3433D"/>
    <w:rsid w:val="5CCB51D1"/>
    <w:rsid w:val="5CD2764E"/>
    <w:rsid w:val="5CDA46C6"/>
    <w:rsid w:val="5CE50C85"/>
    <w:rsid w:val="5CEE53C4"/>
    <w:rsid w:val="5CEF60E5"/>
    <w:rsid w:val="5D046552"/>
    <w:rsid w:val="5D086ED8"/>
    <w:rsid w:val="5D0E2858"/>
    <w:rsid w:val="5D174567"/>
    <w:rsid w:val="5D1778D7"/>
    <w:rsid w:val="5D1A631D"/>
    <w:rsid w:val="5D1D78B2"/>
    <w:rsid w:val="5D32527B"/>
    <w:rsid w:val="5D4646B0"/>
    <w:rsid w:val="5D490339"/>
    <w:rsid w:val="5D5A63AF"/>
    <w:rsid w:val="5D640AF7"/>
    <w:rsid w:val="5D65662B"/>
    <w:rsid w:val="5D784B93"/>
    <w:rsid w:val="5D7D676A"/>
    <w:rsid w:val="5D990D49"/>
    <w:rsid w:val="5D9A747E"/>
    <w:rsid w:val="5DB34C90"/>
    <w:rsid w:val="5DDC0B12"/>
    <w:rsid w:val="5DE4431B"/>
    <w:rsid w:val="5DEC36B0"/>
    <w:rsid w:val="5DF12E7C"/>
    <w:rsid w:val="5DF37348"/>
    <w:rsid w:val="5DF83001"/>
    <w:rsid w:val="5DFD7C17"/>
    <w:rsid w:val="5E03488E"/>
    <w:rsid w:val="5E265FEF"/>
    <w:rsid w:val="5E4A61AB"/>
    <w:rsid w:val="5E545D2E"/>
    <w:rsid w:val="5E633CC7"/>
    <w:rsid w:val="5E706451"/>
    <w:rsid w:val="5E8F25ED"/>
    <w:rsid w:val="5E9357C5"/>
    <w:rsid w:val="5EC65F91"/>
    <w:rsid w:val="5ECA57A0"/>
    <w:rsid w:val="5ECA5D1B"/>
    <w:rsid w:val="5ED47F94"/>
    <w:rsid w:val="5EE8671B"/>
    <w:rsid w:val="5EE969FF"/>
    <w:rsid w:val="5EEB4590"/>
    <w:rsid w:val="5F122981"/>
    <w:rsid w:val="5F161E55"/>
    <w:rsid w:val="5F262820"/>
    <w:rsid w:val="5F307A57"/>
    <w:rsid w:val="5F56089F"/>
    <w:rsid w:val="5F5E44B8"/>
    <w:rsid w:val="5F670A7C"/>
    <w:rsid w:val="5F7740DD"/>
    <w:rsid w:val="5FA55D1D"/>
    <w:rsid w:val="5FB663DC"/>
    <w:rsid w:val="5FD142F6"/>
    <w:rsid w:val="5FDE2AE5"/>
    <w:rsid w:val="5FF67F8B"/>
    <w:rsid w:val="60091B29"/>
    <w:rsid w:val="600C11D4"/>
    <w:rsid w:val="60146A7B"/>
    <w:rsid w:val="602E618A"/>
    <w:rsid w:val="60336B99"/>
    <w:rsid w:val="60403315"/>
    <w:rsid w:val="60927E40"/>
    <w:rsid w:val="609D3550"/>
    <w:rsid w:val="609E04DD"/>
    <w:rsid w:val="60A25B71"/>
    <w:rsid w:val="60A9526C"/>
    <w:rsid w:val="60DC7DF6"/>
    <w:rsid w:val="60EF3731"/>
    <w:rsid w:val="61087F2B"/>
    <w:rsid w:val="61185E12"/>
    <w:rsid w:val="613563FB"/>
    <w:rsid w:val="61361281"/>
    <w:rsid w:val="614053DD"/>
    <w:rsid w:val="61573966"/>
    <w:rsid w:val="61577DC5"/>
    <w:rsid w:val="615F0F9F"/>
    <w:rsid w:val="6169384D"/>
    <w:rsid w:val="61831714"/>
    <w:rsid w:val="61850653"/>
    <w:rsid w:val="61893ED0"/>
    <w:rsid w:val="618D0081"/>
    <w:rsid w:val="619E12DE"/>
    <w:rsid w:val="61A94E66"/>
    <w:rsid w:val="61AE0914"/>
    <w:rsid w:val="61B171B9"/>
    <w:rsid w:val="61C5543F"/>
    <w:rsid w:val="61D077E8"/>
    <w:rsid w:val="61D25B5E"/>
    <w:rsid w:val="61F157F6"/>
    <w:rsid w:val="61F432E9"/>
    <w:rsid w:val="61FF49E6"/>
    <w:rsid w:val="62037022"/>
    <w:rsid w:val="621109F7"/>
    <w:rsid w:val="6221527E"/>
    <w:rsid w:val="622766BB"/>
    <w:rsid w:val="62326CD0"/>
    <w:rsid w:val="624150E8"/>
    <w:rsid w:val="624445CD"/>
    <w:rsid w:val="627004CB"/>
    <w:rsid w:val="627757F5"/>
    <w:rsid w:val="627841E1"/>
    <w:rsid w:val="627C0BE2"/>
    <w:rsid w:val="62802C81"/>
    <w:rsid w:val="629570A7"/>
    <w:rsid w:val="62AE3BC9"/>
    <w:rsid w:val="62B66CD9"/>
    <w:rsid w:val="62C64882"/>
    <w:rsid w:val="62C819DC"/>
    <w:rsid w:val="62D13D89"/>
    <w:rsid w:val="62D55870"/>
    <w:rsid w:val="62E90032"/>
    <w:rsid w:val="62F9770F"/>
    <w:rsid w:val="63047645"/>
    <w:rsid w:val="631023A5"/>
    <w:rsid w:val="631F3BDD"/>
    <w:rsid w:val="632501AE"/>
    <w:rsid w:val="63385032"/>
    <w:rsid w:val="633A7B59"/>
    <w:rsid w:val="63564FE9"/>
    <w:rsid w:val="63567918"/>
    <w:rsid w:val="63762FDD"/>
    <w:rsid w:val="63802D37"/>
    <w:rsid w:val="639E758C"/>
    <w:rsid w:val="63A44979"/>
    <w:rsid w:val="63AE798A"/>
    <w:rsid w:val="63E81E7E"/>
    <w:rsid w:val="63F035B2"/>
    <w:rsid w:val="63F40352"/>
    <w:rsid w:val="63F477AA"/>
    <w:rsid w:val="63F5399B"/>
    <w:rsid w:val="64073490"/>
    <w:rsid w:val="64165F90"/>
    <w:rsid w:val="64310B49"/>
    <w:rsid w:val="64432C2F"/>
    <w:rsid w:val="646B641E"/>
    <w:rsid w:val="64794C32"/>
    <w:rsid w:val="64AE2DFD"/>
    <w:rsid w:val="64D020F2"/>
    <w:rsid w:val="64D1688D"/>
    <w:rsid w:val="64D63DE3"/>
    <w:rsid w:val="64E9292F"/>
    <w:rsid w:val="64E92B52"/>
    <w:rsid w:val="64F538A6"/>
    <w:rsid w:val="65021F15"/>
    <w:rsid w:val="651C400C"/>
    <w:rsid w:val="652217F6"/>
    <w:rsid w:val="65271E57"/>
    <w:rsid w:val="655A36F4"/>
    <w:rsid w:val="6567096C"/>
    <w:rsid w:val="657C2593"/>
    <w:rsid w:val="65982AA7"/>
    <w:rsid w:val="65A47CEF"/>
    <w:rsid w:val="65A65A7A"/>
    <w:rsid w:val="65AB634D"/>
    <w:rsid w:val="65C01B52"/>
    <w:rsid w:val="65E21D27"/>
    <w:rsid w:val="65E30AD2"/>
    <w:rsid w:val="65E77415"/>
    <w:rsid w:val="65E80116"/>
    <w:rsid w:val="65EB0784"/>
    <w:rsid w:val="65EC2816"/>
    <w:rsid w:val="65F513EC"/>
    <w:rsid w:val="6602276E"/>
    <w:rsid w:val="66076BCD"/>
    <w:rsid w:val="660E6EB8"/>
    <w:rsid w:val="661B08D5"/>
    <w:rsid w:val="66271946"/>
    <w:rsid w:val="6641012B"/>
    <w:rsid w:val="664B2F13"/>
    <w:rsid w:val="66664513"/>
    <w:rsid w:val="666A206C"/>
    <w:rsid w:val="6692588C"/>
    <w:rsid w:val="66984CE5"/>
    <w:rsid w:val="66A20A47"/>
    <w:rsid w:val="66BD29F8"/>
    <w:rsid w:val="66BD3E39"/>
    <w:rsid w:val="66C8787B"/>
    <w:rsid w:val="66E91031"/>
    <w:rsid w:val="66EA0E1E"/>
    <w:rsid w:val="66F719CC"/>
    <w:rsid w:val="670118FF"/>
    <w:rsid w:val="671C18FE"/>
    <w:rsid w:val="671F7E33"/>
    <w:rsid w:val="67422A7A"/>
    <w:rsid w:val="67546B55"/>
    <w:rsid w:val="67740317"/>
    <w:rsid w:val="67A7312F"/>
    <w:rsid w:val="67AD1D5C"/>
    <w:rsid w:val="67B23308"/>
    <w:rsid w:val="67B9448C"/>
    <w:rsid w:val="67C630ED"/>
    <w:rsid w:val="67C85EDA"/>
    <w:rsid w:val="67D659DA"/>
    <w:rsid w:val="67D83F5A"/>
    <w:rsid w:val="67FB2B72"/>
    <w:rsid w:val="67FB7FAA"/>
    <w:rsid w:val="67FD3412"/>
    <w:rsid w:val="681871B6"/>
    <w:rsid w:val="68235F37"/>
    <w:rsid w:val="683C1071"/>
    <w:rsid w:val="68405799"/>
    <w:rsid w:val="684A65EF"/>
    <w:rsid w:val="6856082A"/>
    <w:rsid w:val="686864C3"/>
    <w:rsid w:val="68721E51"/>
    <w:rsid w:val="687A5F1F"/>
    <w:rsid w:val="68987192"/>
    <w:rsid w:val="689A791B"/>
    <w:rsid w:val="689D4A69"/>
    <w:rsid w:val="68B36E0B"/>
    <w:rsid w:val="68B8486C"/>
    <w:rsid w:val="68D43659"/>
    <w:rsid w:val="68EC6070"/>
    <w:rsid w:val="68FC200E"/>
    <w:rsid w:val="690537AA"/>
    <w:rsid w:val="690E0E0B"/>
    <w:rsid w:val="69187DBC"/>
    <w:rsid w:val="691A35EB"/>
    <w:rsid w:val="69510D16"/>
    <w:rsid w:val="695F6EEE"/>
    <w:rsid w:val="69672F68"/>
    <w:rsid w:val="696C3DAE"/>
    <w:rsid w:val="696D03FC"/>
    <w:rsid w:val="696F192A"/>
    <w:rsid w:val="69753738"/>
    <w:rsid w:val="69814951"/>
    <w:rsid w:val="69A42E48"/>
    <w:rsid w:val="69B51D5F"/>
    <w:rsid w:val="69B664FD"/>
    <w:rsid w:val="69C46096"/>
    <w:rsid w:val="69D35793"/>
    <w:rsid w:val="69DC1BED"/>
    <w:rsid w:val="69E42CF5"/>
    <w:rsid w:val="69F22218"/>
    <w:rsid w:val="6A115EE9"/>
    <w:rsid w:val="6A164498"/>
    <w:rsid w:val="6A22076C"/>
    <w:rsid w:val="6A470B0C"/>
    <w:rsid w:val="6A4A2EDA"/>
    <w:rsid w:val="6A547B43"/>
    <w:rsid w:val="6A620167"/>
    <w:rsid w:val="6A840F9A"/>
    <w:rsid w:val="6A85194E"/>
    <w:rsid w:val="6AA40160"/>
    <w:rsid w:val="6AB0205E"/>
    <w:rsid w:val="6AB500CB"/>
    <w:rsid w:val="6AB6347D"/>
    <w:rsid w:val="6AD1795C"/>
    <w:rsid w:val="6AD54632"/>
    <w:rsid w:val="6AF5754E"/>
    <w:rsid w:val="6AFA4A81"/>
    <w:rsid w:val="6AFB2E67"/>
    <w:rsid w:val="6B0249A7"/>
    <w:rsid w:val="6B03416C"/>
    <w:rsid w:val="6B135F79"/>
    <w:rsid w:val="6B363B66"/>
    <w:rsid w:val="6B4A6E5D"/>
    <w:rsid w:val="6B536D88"/>
    <w:rsid w:val="6B5A4350"/>
    <w:rsid w:val="6B842395"/>
    <w:rsid w:val="6B8D62D6"/>
    <w:rsid w:val="6BAF1A37"/>
    <w:rsid w:val="6BDE2D62"/>
    <w:rsid w:val="6BE070C8"/>
    <w:rsid w:val="6BFB59B8"/>
    <w:rsid w:val="6C1D08E9"/>
    <w:rsid w:val="6C2C4784"/>
    <w:rsid w:val="6C3C1CA2"/>
    <w:rsid w:val="6C3C5FA7"/>
    <w:rsid w:val="6C4137D9"/>
    <w:rsid w:val="6C8662B2"/>
    <w:rsid w:val="6C885D7B"/>
    <w:rsid w:val="6C8E782C"/>
    <w:rsid w:val="6C9E6322"/>
    <w:rsid w:val="6C9F55AE"/>
    <w:rsid w:val="6CA129BA"/>
    <w:rsid w:val="6CA55910"/>
    <w:rsid w:val="6CAB6374"/>
    <w:rsid w:val="6CAC1B44"/>
    <w:rsid w:val="6CB760A5"/>
    <w:rsid w:val="6CC232C5"/>
    <w:rsid w:val="6CCC6017"/>
    <w:rsid w:val="6CCF08B0"/>
    <w:rsid w:val="6CEA4B62"/>
    <w:rsid w:val="6CEC4BAE"/>
    <w:rsid w:val="6CED20D5"/>
    <w:rsid w:val="6CF12F16"/>
    <w:rsid w:val="6D211FB3"/>
    <w:rsid w:val="6D2B5EE8"/>
    <w:rsid w:val="6D3572C1"/>
    <w:rsid w:val="6D387E73"/>
    <w:rsid w:val="6D4D37F6"/>
    <w:rsid w:val="6D614340"/>
    <w:rsid w:val="6D6522C5"/>
    <w:rsid w:val="6D797432"/>
    <w:rsid w:val="6D7F1D07"/>
    <w:rsid w:val="6D874D3F"/>
    <w:rsid w:val="6D981CAD"/>
    <w:rsid w:val="6DB9670A"/>
    <w:rsid w:val="6DCC5190"/>
    <w:rsid w:val="6DEF2231"/>
    <w:rsid w:val="6E082072"/>
    <w:rsid w:val="6E1733B1"/>
    <w:rsid w:val="6E1B3D45"/>
    <w:rsid w:val="6E20325E"/>
    <w:rsid w:val="6E8E5B2C"/>
    <w:rsid w:val="6EC15E31"/>
    <w:rsid w:val="6ED05D7B"/>
    <w:rsid w:val="6EE32699"/>
    <w:rsid w:val="6EFC6357"/>
    <w:rsid w:val="6F062B1D"/>
    <w:rsid w:val="6F0C7FD5"/>
    <w:rsid w:val="6F235BB6"/>
    <w:rsid w:val="6F433A30"/>
    <w:rsid w:val="6F45316F"/>
    <w:rsid w:val="6F453824"/>
    <w:rsid w:val="6F457543"/>
    <w:rsid w:val="6F5A2AB0"/>
    <w:rsid w:val="6F664401"/>
    <w:rsid w:val="6F735D6B"/>
    <w:rsid w:val="6F7377C1"/>
    <w:rsid w:val="6F7E41E1"/>
    <w:rsid w:val="6FBA585B"/>
    <w:rsid w:val="6FBD2937"/>
    <w:rsid w:val="6FC04B77"/>
    <w:rsid w:val="6FC57899"/>
    <w:rsid w:val="6FD10631"/>
    <w:rsid w:val="70090758"/>
    <w:rsid w:val="700E0F47"/>
    <w:rsid w:val="701D0E2C"/>
    <w:rsid w:val="701E7C50"/>
    <w:rsid w:val="70457C69"/>
    <w:rsid w:val="7050652E"/>
    <w:rsid w:val="705939A3"/>
    <w:rsid w:val="705E7870"/>
    <w:rsid w:val="70623260"/>
    <w:rsid w:val="70691400"/>
    <w:rsid w:val="706B6565"/>
    <w:rsid w:val="706C3C5F"/>
    <w:rsid w:val="70711ABD"/>
    <w:rsid w:val="708E4251"/>
    <w:rsid w:val="70C03E6F"/>
    <w:rsid w:val="70EF4424"/>
    <w:rsid w:val="70FE4C3E"/>
    <w:rsid w:val="710863D7"/>
    <w:rsid w:val="7117203C"/>
    <w:rsid w:val="7122127C"/>
    <w:rsid w:val="712A35E1"/>
    <w:rsid w:val="71376307"/>
    <w:rsid w:val="71485851"/>
    <w:rsid w:val="714B77BC"/>
    <w:rsid w:val="71A53F32"/>
    <w:rsid w:val="71C93B41"/>
    <w:rsid w:val="71D82870"/>
    <w:rsid w:val="71DA5CC7"/>
    <w:rsid w:val="71DB2D08"/>
    <w:rsid w:val="71DF3CE5"/>
    <w:rsid w:val="71FE38FC"/>
    <w:rsid w:val="7208070D"/>
    <w:rsid w:val="721E4002"/>
    <w:rsid w:val="72425427"/>
    <w:rsid w:val="7245732F"/>
    <w:rsid w:val="724B2D44"/>
    <w:rsid w:val="7255297C"/>
    <w:rsid w:val="72566B6E"/>
    <w:rsid w:val="7269366C"/>
    <w:rsid w:val="727E273B"/>
    <w:rsid w:val="72A01879"/>
    <w:rsid w:val="72A84E46"/>
    <w:rsid w:val="72B26270"/>
    <w:rsid w:val="72B46BC4"/>
    <w:rsid w:val="72C4169B"/>
    <w:rsid w:val="72C62748"/>
    <w:rsid w:val="72DA7105"/>
    <w:rsid w:val="72ED4F8E"/>
    <w:rsid w:val="72EE40A0"/>
    <w:rsid w:val="72F03865"/>
    <w:rsid w:val="72F27C01"/>
    <w:rsid w:val="72FD6E6A"/>
    <w:rsid w:val="73080538"/>
    <w:rsid w:val="73133F1E"/>
    <w:rsid w:val="731370ED"/>
    <w:rsid w:val="73287602"/>
    <w:rsid w:val="732E077D"/>
    <w:rsid w:val="733775DA"/>
    <w:rsid w:val="733D544F"/>
    <w:rsid w:val="734817F7"/>
    <w:rsid w:val="734A044E"/>
    <w:rsid w:val="73663D1E"/>
    <w:rsid w:val="73727061"/>
    <w:rsid w:val="737A2A83"/>
    <w:rsid w:val="73804C6D"/>
    <w:rsid w:val="73970146"/>
    <w:rsid w:val="73A07C1B"/>
    <w:rsid w:val="73AF7B5F"/>
    <w:rsid w:val="73BB4867"/>
    <w:rsid w:val="73BD2028"/>
    <w:rsid w:val="73C361DB"/>
    <w:rsid w:val="73CE4A1F"/>
    <w:rsid w:val="73F11C9A"/>
    <w:rsid w:val="73F97C27"/>
    <w:rsid w:val="74037002"/>
    <w:rsid w:val="743A014A"/>
    <w:rsid w:val="743D70C7"/>
    <w:rsid w:val="74410580"/>
    <w:rsid w:val="74511097"/>
    <w:rsid w:val="74557DCE"/>
    <w:rsid w:val="745844B4"/>
    <w:rsid w:val="745939EF"/>
    <w:rsid w:val="746353A8"/>
    <w:rsid w:val="746C2E6B"/>
    <w:rsid w:val="74781E72"/>
    <w:rsid w:val="747F6F30"/>
    <w:rsid w:val="74880582"/>
    <w:rsid w:val="74D75072"/>
    <w:rsid w:val="74DB215F"/>
    <w:rsid w:val="74DE1A70"/>
    <w:rsid w:val="75025D14"/>
    <w:rsid w:val="751B3628"/>
    <w:rsid w:val="752042E6"/>
    <w:rsid w:val="752072DC"/>
    <w:rsid w:val="75236EB8"/>
    <w:rsid w:val="75362F8E"/>
    <w:rsid w:val="753C09DA"/>
    <w:rsid w:val="75581EB0"/>
    <w:rsid w:val="755B27D5"/>
    <w:rsid w:val="755B67E2"/>
    <w:rsid w:val="755F3604"/>
    <w:rsid w:val="75697DEC"/>
    <w:rsid w:val="75771AE7"/>
    <w:rsid w:val="757A7C7B"/>
    <w:rsid w:val="759541D1"/>
    <w:rsid w:val="759C65CD"/>
    <w:rsid w:val="75A45F3C"/>
    <w:rsid w:val="75B0028D"/>
    <w:rsid w:val="75C50751"/>
    <w:rsid w:val="75CB025A"/>
    <w:rsid w:val="75CC0F27"/>
    <w:rsid w:val="75F165AD"/>
    <w:rsid w:val="75F35076"/>
    <w:rsid w:val="760377F5"/>
    <w:rsid w:val="760A0B45"/>
    <w:rsid w:val="76100DF8"/>
    <w:rsid w:val="76110F29"/>
    <w:rsid w:val="7616035E"/>
    <w:rsid w:val="761D4105"/>
    <w:rsid w:val="761E1427"/>
    <w:rsid w:val="762C68B4"/>
    <w:rsid w:val="762E5214"/>
    <w:rsid w:val="76675A5D"/>
    <w:rsid w:val="76680BCF"/>
    <w:rsid w:val="767E730C"/>
    <w:rsid w:val="76944A39"/>
    <w:rsid w:val="76950FBC"/>
    <w:rsid w:val="76A616A0"/>
    <w:rsid w:val="76A845C4"/>
    <w:rsid w:val="76C32392"/>
    <w:rsid w:val="76C93289"/>
    <w:rsid w:val="76E94B38"/>
    <w:rsid w:val="76F33371"/>
    <w:rsid w:val="76F52972"/>
    <w:rsid w:val="76F8090B"/>
    <w:rsid w:val="77033710"/>
    <w:rsid w:val="77206AB2"/>
    <w:rsid w:val="772B089E"/>
    <w:rsid w:val="772C076B"/>
    <w:rsid w:val="772E58D9"/>
    <w:rsid w:val="773B7C13"/>
    <w:rsid w:val="7741313E"/>
    <w:rsid w:val="77525387"/>
    <w:rsid w:val="77855707"/>
    <w:rsid w:val="7788210C"/>
    <w:rsid w:val="77954095"/>
    <w:rsid w:val="779E47F4"/>
    <w:rsid w:val="77AA175A"/>
    <w:rsid w:val="77AA5FD1"/>
    <w:rsid w:val="77AE6028"/>
    <w:rsid w:val="77B67AF6"/>
    <w:rsid w:val="77B71080"/>
    <w:rsid w:val="77B855B6"/>
    <w:rsid w:val="781770A0"/>
    <w:rsid w:val="7839732A"/>
    <w:rsid w:val="786A6675"/>
    <w:rsid w:val="786B0A1F"/>
    <w:rsid w:val="78883B59"/>
    <w:rsid w:val="788C7D53"/>
    <w:rsid w:val="788F2EC0"/>
    <w:rsid w:val="78A17F99"/>
    <w:rsid w:val="78B164B4"/>
    <w:rsid w:val="78B44EA3"/>
    <w:rsid w:val="78D721EF"/>
    <w:rsid w:val="78D91D8C"/>
    <w:rsid w:val="78DF524E"/>
    <w:rsid w:val="78E20790"/>
    <w:rsid w:val="78E722A6"/>
    <w:rsid w:val="78E85965"/>
    <w:rsid w:val="78EF7E10"/>
    <w:rsid w:val="78F44048"/>
    <w:rsid w:val="79116E06"/>
    <w:rsid w:val="7916284E"/>
    <w:rsid w:val="792726BA"/>
    <w:rsid w:val="792C17FD"/>
    <w:rsid w:val="793100A6"/>
    <w:rsid w:val="794D31B6"/>
    <w:rsid w:val="795030F2"/>
    <w:rsid w:val="796519E6"/>
    <w:rsid w:val="796B5A23"/>
    <w:rsid w:val="796D676C"/>
    <w:rsid w:val="79766841"/>
    <w:rsid w:val="798C6425"/>
    <w:rsid w:val="79B25482"/>
    <w:rsid w:val="79B578EB"/>
    <w:rsid w:val="79CA1ABB"/>
    <w:rsid w:val="79DA531B"/>
    <w:rsid w:val="79EE4319"/>
    <w:rsid w:val="79F86042"/>
    <w:rsid w:val="79FF1D67"/>
    <w:rsid w:val="7A3F3C25"/>
    <w:rsid w:val="7A424CA4"/>
    <w:rsid w:val="7A597291"/>
    <w:rsid w:val="7A760650"/>
    <w:rsid w:val="7A810FFA"/>
    <w:rsid w:val="7A904D3E"/>
    <w:rsid w:val="7A9B3A9D"/>
    <w:rsid w:val="7A9C6A34"/>
    <w:rsid w:val="7AB30E59"/>
    <w:rsid w:val="7AF1141E"/>
    <w:rsid w:val="7AFC1F2C"/>
    <w:rsid w:val="7B0D644D"/>
    <w:rsid w:val="7B102F66"/>
    <w:rsid w:val="7B1C4F98"/>
    <w:rsid w:val="7B1E1606"/>
    <w:rsid w:val="7B1E35EC"/>
    <w:rsid w:val="7B406C2D"/>
    <w:rsid w:val="7B8631ED"/>
    <w:rsid w:val="7B874C0E"/>
    <w:rsid w:val="7B8A7A76"/>
    <w:rsid w:val="7B8F1963"/>
    <w:rsid w:val="7B9713FD"/>
    <w:rsid w:val="7BA57B15"/>
    <w:rsid w:val="7BBC3376"/>
    <w:rsid w:val="7BBD20D4"/>
    <w:rsid w:val="7BD31429"/>
    <w:rsid w:val="7BEC1F58"/>
    <w:rsid w:val="7BF54614"/>
    <w:rsid w:val="7C1576C6"/>
    <w:rsid w:val="7C3714CF"/>
    <w:rsid w:val="7C4943AE"/>
    <w:rsid w:val="7C54440B"/>
    <w:rsid w:val="7C5B3307"/>
    <w:rsid w:val="7C6747C6"/>
    <w:rsid w:val="7C85377B"/>
    <w:rsid w:val="7C884C46"/>
    <w:rsid w:val="7C8A4607"/>
    <w:rsid w:val="7CA155CE"/>
    <w:rsid w:val="7CB93A93"/>
    <w:rsid w:val="7CBF43FD"/>
    <w:rsid w:val="7CE002CB"/>
    <w:rsid w:val="7CEE3960"/>
    <w:rsid w:val="7D08662D"/>
    <w:rsid w:val="7D0F6ECD"/>
    <w:rsid w:val="7D1C21F6"/>
    <w:rsid w:val="7D1F353E"/>
    <w:rsid w:val="7D2256E0"/>
    <w:rsid w:val="7D2471AE"/>
    <w:rsid w:val="7D403060"/>
    <w:rsid w:val="7D481BF3"/>
    <w:rsid w:val="7D5157BA"/>
    <w:rsid w:val="7D7B45CB"/>
    <w:rsid w:val="7DB60EBE"/>
    <w:rsid w:val="7DB76AA5"/>
    <w:rsid w:val="7DDE2EAA"/>
    <w:rsid w:val="7DF45FDD"/>
    <w:rsid w:val="7E0C2C87"/>
    <w:rsid w:val="7E106A78"/>
    <w:rsid w:val="7E166F02"/>
    <w:rsid w:val="7E1E6E06"/>
    <w:rsid w:val="7E3C09C0"/>
    <w:rsid w:val="7E3E2A9C"/>
    <w:rsid w:val="7E4516FB"/>
    <w:rsid w:val="7E4807C8"/>
    <w:rsid w:val="7E6228D9"/>
    <w:rsid w:val="7E630B36"/>
    <w:rsid w:val="7E6F0F4D"/>
    <w:rsid w:val="7E794EEE"/>
    <w:rsid w:val="7EAE296C"/>
    <w:rsid w:val="7EAF3E0E"/>
    <w:rsid w:val="7ECA1799"/>
    <w:rsid w:val="7ED600FB"/>
    <w:rsid w:val="7EDE10C4"/>
    <w:rsid w:val="7EE43205"/>
    <w:rsid w:val="7F0A00D7"/>
    <w:rsid w:val="7F26384E"/>
    <w:rsid w:val="7F3E003F"/>
    <w:rsid w:val="7F6E6151"/>
    <w:rsid w:val="7F7555FC"/>
    <w:rsid w:val="7F972415"/>
    <w:rsid w:val="7F982E42"/>
    <w:rsid w:val="7FA0738E"/>
    <w:rsid w:val="7FAF431D"/>
    <w:rsid w:val="7FC16397"/>
    <w:rsid w:val="7FCD7592"/>
    <w:rsid w:val="7FD34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0"/>
    <w:pPr>
      <w:keepNext/>
      <w:keepLines/>
      <w:spacing w:line="360" w:lineRule="auto"/>
      <w:outlineLvl w:val="0"/>
    </w:pPr>
    <w:rPr>
      <w:rFonts w:ascii="Calibri" w:hAnsi="Calibri" w:eastAsia="宋体" w:cs="Times New Roman"/>
      <w:b/>
      <w:bCs/>
      <w:kern w:val="44"/>
      <w:sz w:val="32"/>
      <w:szCs w:val="44"/>
    </w:rPr>
  </w:style>
  <w:style w:type="paragraph" w:styleId="4">
    <w:name w:val="heading 2"/>
    <w:basedOn w:val="1"/>
    <w:next w:val="1"/>
    <w:qFormat/>
    <w:uiPriority w:val="1"/>
    <w:pPr>
      <w:spacing w:before="12"/>
      <w:ind w:left="3685"/>
      <w:outlineLvl w:val="1"/>
    </w:pPr>
    <w:rPr>
      <w:rFonts w:ascii="微软雅黑" w:hAnsi="微软雅黑" w:eastAsia="微软雅黑" w:cs="微软雅黑"/>
      <w:b/>
      <w:bCs/>
      <w:sz w:val="32"/>
      <w:szCs w:val="32"/>
      <w:lang w:val="zh-CN" w:eastAsia="zh-CN" w:bidi="zh-CN"/>
    </w:rPr>
  </w:style>
  <w:style w:type="paragraph" w:styleId="5">
    <w:name w:val="heading 3"/>
    <w:basedOn w:val="1"/>
    <w:next w:val="1"/>
    <w:qFormat/>
    <w:uiPriority w:val="0"/>
    <w:pPr>
      <w:keepNext/>
      <w:keepLines/>
      <w:spacing w:line="360" w:lineRule="auto"/>
      <w:outlineLvl w:val="2"/>
    </w:pPr>
    <w:rPr>
      <w:rFonts w:ascii="Calibri" w:hAnsi="Calibri" w:eastAsia="宋体" w:cs="Times New Roman"/>
      <w:sz w:val="24"/>
      <w:szCs w:val="32"/>
    </w:rPr>
  </w:style>
  <w:style w:type="paragraph" w:styleId="6">
    <w:name w:val="heading 4"/>
    <w:basedOn w:val="1"/>
    <w:next w:val="1"/>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1">
    <w:name w:val="Default Paragraph Font"/>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1"/>
      <w:szCs w:val="21"/>
      <w:lang w:val="zh-CN" w:eastAsia="zh-CN" w:bidi="zh-CN"/>
    </w:rPr>
  </w:style>
  <w:style w:type="paragraph" w:styleId="7">
    <w:name w:val="Normal Indent"/>
    <w:basedOn w:val="1"/>
    <w:qFormat/>
    <w:uiPriority w:val="0"/>
    <w:pPr>
      <w:ind w:firstLine="420"/>
    </w:pPr>
    <w:rPr>
      <w:sz w:val="21"/>
    </w:rPr>
  </w:style>
  <w:style w:type="paragraph" w:styleId="8">
    <w:name w:val="toa heading"/>
    <w:basedOn w:val="1"/>
    <w:next w:val="1"/>
    <w:qFormat/>
    <w:uiPriority w:val="0"/>
    <w:pPr>
      <w:spacing w:before="120"/>
    </w:pPr>
    <w:rPr>
      <w:rFonts w:ascii="Arial" w:hAnsi="Arial"/>
      <w:sz w:val="24"/>
      <w:szCs w:val="21"/>
    </w:rPr>
  </w:style>
  <w:style w:type="paragraph" w:styleId="9">
    <w:name w:val="index 6"/>
    <w:basedOn w:val="1"/>
    <w:next w:val="1"/>
    <w:qFormat/>
    <w:uiPriority w:val="99"/>
    <w:pPr>
      <w:ind w:left="2100"/>
    </w:pPr>
  </w:style>
  <w:style w:type="paragraph" w:styleId="10">
    <w:name w:val="Plain Text"/>
    <w:basedOn w:val="1"/>
    <w:qFormat/>
    <w:uiPriority w:val="0"/>
    <w:rPr>
      <w:rFonts w:ascii="宋体" w:hAnsi="Courier New"/>
      <w:szCs w:val="20"/>
    </w:rPr>
  </w:style>
  <w:style w:type="paragraph" w:styleId="11">
    <w:name w:val="Date"/>
    <w:basedOn w:val="1"/>
    <w:next w:val="1"/>
    <w:qFormat/>
    <w:uiPriority w:val="0"/>
    <w:rPr>
      <w:szCs w:val="24"/>
    </w:rPr>
  </w:style>
  <w:style w:type="paragraph" w:styleId="12">
    <w:name w:val="Body Text Indent 2"/>
    <w:basedOn w:val="1"/>
    <w:qFormat/>
    <w:uiPriority w:val="0"/>
    <w:pPr>
      <w:spacing w:after="120" w:line="480" w:lineRule="auto"/>
      <w:ind w:leftChars="200"/>
    </w:pPr>
    <w:rPr>
      <w:rFonts w:ascii="Calibri" w:hAnsi="Calibri" w:eastAsia="宋体" w:cs="Times New Roman"/>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footnote text"/>
    <w:basedOn w:val="1"/>
    <w:qFormat/>
    <w:uiPriority w:val="0"/>
    <w:pPr>
      <w:snapToGrid w:val="0"/>
      <w:spacing w:line="240" w:lineRule="auto"/>
      <w:jc w:val="left"/>
    </w:pPr>
    <w:rPr>
      <w:kern w:val="0"/>
      <w:sz w:val="18"/>
      <w:szCs w:val="18"/>
    </w:rPr>
  </w:style>
  <w:style w:type="paragraph" w:styleId="16">
    <w:name w:val="Message Header"/>
    <w:basedOn w:val="1"/>
    <w:next w:val="10"/>
    <w:qFormat/>
    <w:uiPriority w:val="0"/>
    <w:pPr>
      <w:keepLines/>
      <w:widowControl/>
      <w:spacing w:after="40" w:line="140" w:lineRule="atLeast"/>
      <w:ind w:left="360"/>
      <w:jc w:val="left"/>
    </w:pPr>
    <w:rPr>
      <w:rFonts w:ascii="Garamond" w:hAnsi="Garamond" w:eastAsia="PMingLiU"/>
      <w:spacing w:val="-5"/>
      <w:kern w:val="0"/>
      <w:sz w:val="24"/>
      <w:szCs w:val="20"/>
      <w:lang w:eastAsia="zh-TW"/>
    </w:rPr>
  </w:style>
  <w:style w:type="paragraph" w:styleId="17">
    <w:name w:val="Normal (Web)"/>
    <w:basedOn w:val="1"/>
    <w:next w:val="14"/>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2"/>
    <w:qFormat/>
    <w:uiPriority w:val="0"/>
    <w:pPr>
      <w:spacing w:line="360" w:lineRule="auto"/>
      <w:ind w:firstLine="200" w:firstLineChars="200"/>
    </w:pPr>
    <w:rPr>
      <w:rFonts w:ascii="仿宋_GB2312" w:eastAsia="仿宋_GB2312"/>
      <w:sz w:val="30"/>
      <w:szCs w:val="3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Strong"/>
    <w:basedOn w:val="21"/>
    <w:qFormat/>
    <w:uiPriority w:val="0"/>
    <w:rPr>
      <w:b/>
    </w:rPr>
  </w:style>
  <w:style w:type="character" w:styleId="23">
    <w:name w:val="page number"/>
    <w:basedOn w:val="21"/>
    <w:qFormat/>
    <w:uiPriority w:val="99"/>
  </w:style>
  <w:style w:type="character" w:styleId="24">
    <w:name w:val="HTML Sample"/>
    <w:basedOn w:val="21"/>
    <w:qFormat/>
    <w:uiPriority w:val="0"/>
    <w:rPr>
      <w:rFonts w:ascii="Courier New" w:hAnsi="Courier New"/>
    </w:rPr>
  </w:style>
  <w:style w:type="paragraph" w:customStyle="1" w:styleId="25">
    <w:name w:val="TOC 标题1"/>
    <w:basedOn w:val="3"/>
    <w:next w:val="1"/>
    <w:qFormat/>
    <w:uiPriority w:val="99"/>
    <w:pPr>
      <w:widowControl/>
      <w:spacing w:line="276" w:lineRule="auto"/>
      <w:jc w:val="left"/>
      <w:outlineLvl w:val="9"/>
    </w:pPr>
    <w:rPr>
      <w:rFonts w:ascii="Cambria" w:hAnsi="Cambria" w:cs="黑体"/>
      <w:color w:val="365F90"/>
      <w:kern w:val="0"/>
      <w:sz w:val="28"/>
      <w:szCs w:val="28"/>
    </w:rPr>
  </w:style>
  <w:style w:type="paragraph" w:customStyle="1" w:styleId="26">
    <w:name w:val="文档正文"/>
    <w:basedOn w:val="7"/>
    <w:qFormat/>
    <w:uiPriority w:val="0"/>
    <w:pPr>
      <w:spacing w:line="480" w:lineRule="atLeast"/>
      <w:textAlignment w:val="baseline"/>
    </w:pPr>
    <w:rPr>
      <w:kern w:val="0"/>
      <w:sz w:val="24"/>
    </w:rPr>
  </w:style>
  <w:style w:type="paragraph" w:customStyle="1" w:styleId="27">
    <w:name w:val="目录 81"/>
    <w:basedOn w:val="1"/>
    <w:next w:val="1"/>
    <w:qFormat/>
    <w:uiPriority w:val="0"/>
    <w:pPr>
      <w:ind w:left="1470"/>
      <w:jc w:val="left"/>
    </w:pPr>
    <w:rPr>
      <w:rFonts w:ascii="Times New Roman" w:hAnsi="Times New Roman" w:eastAsia="宋体" w:cs="Times New Roman"/>
      <w:szCs w:val="21"/>
    </w:rPr>
  </w:style>
  <w:style w:type="paragraph" w:customStyle="1" w:styleId="28">
    <w:name w:val="Normal_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29">
    <w:name w:val="Normal_1_0"/>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0">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31">
    <w:name w:val="Table Paragraph"/>
    <w:basedOn w:val="1"/>
    <w:qFormat/>
    <w:uiPriority w:val="1"/>
    <w:rPr>
      <w:rFonts w:ascii="宋体" w:hAnsi="宋体" w:eastAsia="宋体" w:cs="宋体"/>
      <w:lang w:val="zh-CN" w:eastAsia="zh-CN" w:bidi="zh-CN"/>
    </w:rPr>
  </w:style>
  <w:style w:type="paragraph" w:customStyle="1" w:styleId="3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lang w:bidi="ar-SA"/>
    </w:rPr>
  </w:style>
  <w:style w:type="paragraph" w:customStyle="1" w:styleId="33">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列出段落1"/>
    <w:basedOn w:val="1"/>
    <w:qFormat/>
    <w:uiPriority w:val="0"/>
    <w:pPr>
      <w:spacing w:line="240" w:lineRule="auto"/>
      <w:ind w:firstLine="420" w:firstLineChars="200"/>
    </w:pPr>
    <w:rPr>
      <w:sz w:val="21"/>
      <w:szCs w:val="24"/>
    </w:rPr>
  </w:style>
  <w:style w:type="paragraph" w:customStyle="1" w:styleId="3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样式 首行缩进:  2 字符"/>
    <w:basedOn w:val="1"/>
    <w:qFormat/>
    <w:uiPriority w:val="99"/>
    <w:pPr>
      <w:spacing w:beforeLines="50" w:afterLines="50"/>
      <w:ind w:firstLine="200" w:firstLineChars="200"/>
    </w:pPr>
    <w:rPr>
      <w:rFonts w:eastAsia="仿宋" w:cs="宋体"/>
      <w:sz w:val="24"/>
      <w:szCs w:val="20"/>
    </w:rPr>
  </w:style>
  <w:style w:type="paragraph" w:customStyle="1" w:styleId="3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9">
    <w:name w:val="WPS Plain"/>
    <w:qFormat/>
    <w:uiPriority w:val="99"/>
    <w:rPr>
      <w:rFonts w:ascii="Times New Roman" w:hAnsi="Times New Roman" w:eastAsia="宋体" w:cs="Times New Roman"/>
      <w:sz w:val="21"/>
      <w:szCs w:val="22"/>
      <w:lang w:val="en-US" w:eastAsia="zh-CN" w:bidi="ar-SA"/>
    </w:rPr>
  </w:style>
  <w:style w:type="paragraph" w:customStyle="1" w:styleId="40">
    <w:name w:val="样式 标题 3 + (中文) 黑体 小四 非加粗 段前: 7.8 磅 段后: 0 磅 行距: 固定值 20 磅"/>
    <w:basedOn w:val="5"/>
    <w:qFormat/>
    <w:uiPriority w:val="0"/>
    <w:pPr>
      <w:spacing w:line="400" w:lineRule="exact"/>
      <w:jc w:val="left"/>
    </w:pPr>
    <w:rPr>
      <w:rFonts w:ascii="宋体" w:hAnsi="宋体" w:eastAsia="黑体" w:cs="宋体"/>
      <w:b/>
      <w:bCs/>
      <w:szCs w:val="20"/>
    </w:rPr>
  </w:style>
  <w:style w:type="paragraph" w:customStyle="1" w:styleId="41">
    <w:name w:val=" Char"/>
    <w:basedOn w:val="1"/>
    <w:qFormat/>
    <w:uiPriority w:val="0"/>
    <w:rPr>
      <w:rFonts w:ascii="Calibri" w:hAnsi="Calibri" w:eastAsia="宋体" w:cs="Times New Roman"/>
    </w:rPr>
  </w:style>
  <w:style w:type="paragraph" w:customStyle="1" w:styleId="42">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43">
    <w:name w:val="Default"/>
    <w:qFormat/>
    <w:uiPriority w:val="0"/>
    <w:pPr>
      <w:widowControl w:val="0"/>
      <w:autoSpaceDE w:val="0"/>
      <w:autoSpaceDN w:val="0"/>
      <w:adjustRightInd w:val="0"/>
    </w:pPr>
    <w:rPr>
      <w:rFonts w:ascii="HYb2gj" w:hAnsi="Times New Roman" w:eastAsia="HYb2gj" w:cs="HYb2gj"/>
      <w:color w:val="000000"/>
      <w:sz w:val="24"/>
      <w:szCs w:val="24"/>
      <w:lang w:val="en-US" w:eastAsia="zh-CN" w:bidi="ar-SA"/>
    </w:rPr>
  </w:style>
  <w:style w:type="paragraph" w:customStyle="1" w:styleId="44">
    <w:name w:val="Table Text"/>
    <w:basedOn w:val="1"/>
    <w:semiHidden/>
    <w:qFormat/>
    <w:uiPriority w:val="0"/>
    <w:rPr>
      <w:rFonts w:ascii="宋体" w:hAnsi="宋体" w:eastAsia="宋体" w:cs="宋体"/>
      <w:sz w:val="21"/>
      <w:szCs w:val="21"/>
      <w:lang w:val="en-US" w:eastAsia="en-US" w:bidi="ar-SA"/>
    </w:rPr>
  </w:style>
  <w:style w:type="table" w:customStyle="1" w:styleId="4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2023-05-18T09:27:00Z</dcterms:created>
  <dc:creator>Administrator</dc:creator>
  <cp:lastModifiedBy>Administrator</cp:lastModifiedBy>
  <cp:lastPrinted>2023-05-19T08:51:00Z</cp:lastPrinted>
  <dcterms:modified xsi:type="dcterms:W3CDTF">2024-01-25T04:32:32Z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