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20" w:lineRule="exact"/>
        <w:ind w:firstLine="566" w:firstLineChars="200"/>
        <w:jc w:val="right"/>
        <w:rPr>
          <w:rFonts w:hint="default" w:ascii="宋体" w:hAnsi="宋体" w:eastAsia="宋体" w:cs="宋体"/>
          <w:bCs/>
          <w:color w:val="000000"/>
          <w:kern w:val="0"/>
          <w:sz w:val="24"/>
          <w:highlight w:val="none"/>
          <w:lang w:val="en-US" w:eastAsia="zh-CN"/>
        </w:rPr>
      </w:pPr>
      <w:r>
        <w:rPr>
          <w:rFonts w:hint="eastAsia" w:ascii="宋体" w:hAnsi="宋体" w:cs="宋体"/>
          <w:bCs/>
          <w:color w:val="000000"/>
          <w:kern w:val="0"/>
          <w:sz w:val="28"/>
          <w:szCs w:val="28"/>
          <w:highlight w:val="none"/>
        </w:rPr>
        <w:t>招标文件编号：</w:t>
      </w:r>
      <w:r>
        <w:rPr>
          <w:rFonts w:hint="eastAsia" w:ascii="宋体" w:hAnsi="宋体" w:cs="宋体"/>
          <w:bCs/>
          <w:color w:val="000000"/>
          <w:kern w:val="0"/>
          <w:sz w:val="28"/>
          <w:szCs w:val="28"/>
          <w:highlight w:val="none"/>
          <w:lang w:val="en-US" w:eastAsia="zh-CN"/>
        </w:rPr>
        <w:t>XJKCJY-2021-01</w:t>
      </w:r>
    </w:p>
    <w:p>
      <w:pPr>
        <w:spacing w:line="420" w:lineRule="exact"/>
        <w:ind w:firstLine="486" w:firstLineChars="200"/>
        <w:jc w:val="center"/>
        <w:rPr>
          <w:rFonts w:hint="eastAsia" w:ascii="宋体" w:hAnsi="宋体" w:cs="宋体"/>
          <w:bCs/>
          <w:color w:val="000000"/>
          <w:kern w:val="0"/>
          <w:sz w:val="24"/>
        </w:rPr>
      </w:pPr>
    </w:p>
    <w:p>
      <w:pPr>
        <w:jc w:val="center"/>
        <w:rPr>
          <w:rFonts w:hint="eastAsia" w:ascii="宋体" w:hAnsi="宋体" w:eastAsia="宋体" w:cs="宋体"/>
          <w:b/>
          <w:bCs w:val="0"/>
          <w:sz w:val="44"/>
          <w:szCs w:val="44"/>
        </w:rPr>
      </w:pPr>
    </w:p>
    <w:p>
      <w:pPr>
        <w:spacing w:line="360" w:lineRule="auto"/>
        <w:jc w:val="center"/>
        <w:rPr>
          <w:rFonts w:hint="eastAsia" w:eastAsia="宋体"/>
          <w:b/>
          <w:bCs/>
          <w:color w:val="000000"/>
          <w:sz w:val="44"/>
          <w:szCs w:val="44"/>
          <w:u w:val="none"/>
          <w:lang w:eastAsia="zh-CN"/>
        </w:rPr>
      </w:pPr>
      <w:r>
        <w:rPr>
          <w:rFonts w:hint="eastAsia" w:ascii="宋体" w:hAnsi="宋体" w:eastAsia="宋体" w:cs="宋体"/>
          <w:b/>
          <w:bCs/>
          <w:i w:val="0"/>
          <w:iCs w:val="0"/>
          <w:caps w:val="0"/>
          <w:color w:val="333333"/>
          <w:spacing w:val="0"/>
          <w:sz w:val="44"/>
          <w:szCs w:val="44"/>
          <w:u w:val="none"/>
          <w:shd w:val="clear" w:color="auto" w:fill="FFFFFF"/>
          <w:lang w:eastAsia="zh-CN"/>
        </w:rPr>
        <w:t>伊犁州民用运输机场布局规划研究方案编制服务</w:t>
      </w:r>
    </w:p>
    <w:p>
      <w:pPr>
        <w:spacing w:line="420" w:lineRule="exact"/>
        <w:ind w:firstLine="966" w:firstLineChars="200"/>
        <w:jc w:val="center"/>
        <w:rPr>
          <w:rFonts w:hint="eastAsia"/>
          <w:b/>
          <w:bCs w:val="0"/>
          <w:color w:val="000000"/>
          <w:sz w:val="48"/>
          <w:szCs w:val="48"/>
        </w:rPr>
      </w:pPr>
    </w:p>
    <w:p>
      <w:pPr>
        <w:spacing w:line="480" w:lineRule="auto"/>
        <w:rPr>
          <w:rFonts w:hint="eastAsia"/>
          <w:b/>
          <w:bCs w:val="0"/>
          <w:color w:val="000000"/>
          <w:sz w:val="48"/>
          <w:szCs w:val="48"/>
        </w:rPr>
      </w:pPr>
    </w:p>
    <w:p>
      <w:pPr>
        <w:pStyle w:val="2"/>
        <w:rPr>
          <w:rFonts w:hint="eastAsia"/>
          <w:b/>
          <w:bCs w:val="0"/>
          <w:color w:val="000000"/>
          <w:sz w:val="48"/>
          <w:szCs w:val="48"/>
        </w:rPr>
      </w:pPr>
    </w:p>
    <w:p>
      <w:pPr>
        <w:pStyle w:val="2"/>
        <w:rPr>
          <w:rFonts w:hint="eastAsia"/>
          <w:b/>
          <w:bCs w:val="0"/>
          <w:color w:val="000000"/>
          <w:sz w:val="48"/>
          <w:szCs w:val="48"/>
        </w:rPr>
      </w:pPr>
    </w:p>
    <w:p>
      <w:pPr>
        <w:pStyle w:val="2"/>
        <w:rPr>
          <w:rFonts w:hint="eastAsia"/>
          <w:b/>
          <w:bCs w:val="0"/>
          <w:color w:val="000000"/>
          <w:sz w:val="48"/>
          <w:szCs w:val="48"/>
        </w:rPr>
      </w:pPr>
    </w:p>
    <w:p>
      <w:pPr>
        <w:spacing w:line="480" w:lineRule="auto"/>
        <w:jc w:val="center"/>
        <w:rPr>
          <w:rFonts w:hint="eastAsia"/>
          <w:b/>
          <w:bCs w:val="0"/>
          <w:color w:val="000000"/>
          <w:sz w:val="48"/>
          <w:szCs w:val="48"/>
        </w:rPr>
      </w:pPr>
      <w:r>
        <w:rPr>
          <w:rFonts w:hint="eastAsia"/>
          <w:b/>
          <w:bCs w:val="0"/>
          <w:color w:val="000000"/>
          <w:sz w:val="56"/>
          <w:szCs w:val="56"/>
          <w:lang w:eastAsia="zh-CN"/>
        </w:rPr>
        <w:t>招标</w:t>
      </w:r>
      <w:r>
        <w:rPr>
          <w:rFonts w:hint="eastAsia"/>
          <w:b/>
          <w:bCs w:val="0"/>
          <w:color w:val="000000"/>
          <w:sz w:val="56"/>
          <w:szCs w:val="56"/>
        </w:rPr>
        <w:t>文件</w:t>
      </w:r>
    </w:p>
    <w:p>
      <w:pPr>
        <w:spacing w:line="420" w:lineRule="exact"/>
        <w:ind w:firstLine="566" w:firstLineChars="200"/>
        <w:rPr>
          <w:rFonts w:hint="eastAsia"/>
          <w:color w:val="000000"/>
          <w:sz w:val="28"/>
          <w:szCs w:val="28"/>
        </w:rPr>
      </w:pPr>
    </w:p>
    <w:p>
      <w:pPr>
        <w:spacing w:line="420" w:lineRule="exact"/>
        <w:rPr>
          <w:rFonts w:hint="eastAsia"/>
          <w:color w:val="000000"/>
          <w:sz w:val="28"/>
          <w:szCs w:val="28"/>
        </w:rPr>
      </w:pPr>
    </w:p>
    <w:p>
      <w:pPr>
        <w:spacing w:line="420" w:lineRule="exact"/>
        <w:rPr>
          <w:rFonts w:hint="eastAsia"/>
          <w:color w:val="000000"/>
          <w:sz w:val="28"/>
          <w:szCs w:val="28"/>
        </w:rPr>
      </w:pPr>
    </w:p>
    <w:p>
      <w:pPr>
        <w:spacing w:line="420" w:lineRule="exact"/>
        <w:rPr>
          <w:rFonts w:hint="eastAsia"/>
          <w:color w:val="000000"/>
          <w:sz w:val="28"/>
          <w:szCs w:val="28"/>
        </w:rPr>
      </w:pPr>
    </w:p>
    <w:p>
      <w:pPr>
        <w:spacing w:line="800" w:lineRule="exact"/>
        <w:rPr>
          <w:rFonts w:hint="eastAsia"/>
          <w:color w:val="000000"/>
          <w:sz w:val="30"/>
          <w:szCs w:val="30"/>
        </w:rPr>
      </w:pPr>
    </w:p>
    <w:p>
      <w:pPr>
        <w:spacing w:line="800" w:lineRule="exact"/>
        <w:ind w:firstLine="909" w:firstLineChars="300"/>
        <w:rPr>
          <w:rFonts w:hint="eastAsia"/>
          <w:color w:val="000000"/>
          <w:kern w:val="0"/>
          <w:sz w:val="30"/>
          <w:szCs w:val="30"/>
        </w:rPr>
      </w:pPr>
      <w:r>
        <w:rPr>
          <w:rFonts w:hint="eastAsia"/>
          <w:color w:val="000000"/>
          <w:sz w:val="30"/>
          <w:szCs w:val="30"/>
        </w:rPr>
        <w:t>招 标 人</w:t>
      </w:r>
      <w:r>
        <w:rPr>
          <w:rFonts w:hint="eastAsia"/>
          <w:color w:val="000000"/>
          <w:kern w:val="0"/>
          <w:sz w:val="30"/>
          <w:szCs w:val="30"/>
        </w:rPr>
        <w:t>：</w:t>
      </w:r>
      <w:r>
        <w:rPr>
          <w:rFonts w:hint="eastAsia"/>
          <w:color w:val="000000"/>
          <w:kern w:val="0"/>
          <w:sz w:val="30"/>
          <w:szCs w:val="30"/>
          <w:lang w:eastAsia="zh-CN"/>
        </w:rPr>
        <w:t>霍尔果斯市发展和改革委员会</w:t>
      </w:r>
    </w:p>
    <w:p>
      <w:pPr>
        <w:spacing w:line="800" w:lineRule="exact"/>
        <w:ind w:firstLine="909" w:firstLineChars="300"/>
        <w:rPr>
          <w:rFonts w:hint="eastAsia" w:eastAsia="宋体"/>
          <w:color w:val="000000"/>
          <w:kern w:val="0"/>
          <w:sz w:val="30"/>
          <w:szCs w:val="30"/>
          <w:lang w:eastAsia="zh-CN"/>
        </w:rPr>
      </w:pPr>
      <w:r>
        <w:rPr>
          <w:rFonts w:hint="eastAsia"/>
          <w:color w:val="000000"/>
          <w:kern w:val="0"/>
          <w:sz w:val="30"/>
          <w:szCs w:val="30"/>
        </w:rPr>
        <w:t>招标代理：</w:t>
      </w:r>
      <w:r>
        <w:rPr>
          <w:rFonts w:hint="eastAsia"/>
          <w:color w:val="000000"/>
          <w:kern w:val="0"/>
          <w:sz w:val="30"/>
          <w:szCs w:val="30"/>
          <w:lang w:eastAsia="zh-CN"/>
        </w:rPr>
        <w:t>新疆开创纪元全过程项目管理有限公司</w:t>
      </w:r>
    </w:p>
    <w:p>
      <w:pPr>
        <w:autoSpaceDE w:val="0"/>
        <w:autoSpaceDN w:val="0"/>
        <w:adjustRightInd w:val="0"/>
        <w:spacing w:line="800" w:lineRule="exact"/>
        <w:ind w:firstLine="2424" w:firstLineChars="800"/>
        <w:rPr>
          <w:rFonts w:hint="eastAsia"/>
          <w:color w:val="000000"/>
          <w:kern w:val="0"/>
          <w:sz w:val="30"/>
          <w:szCs w:val="30"/>
        </w:rPr>
      </w:pPr>
    </w:p>
    <w:p>
      <w:pPr>
        <w:autoSpaceDE w:val="0"/>
        <w:autoSpaceDN w:val="0"/>
        <w:adjustRightInd w:val="0"/>
        <w:spacing w:line="800" w:lineRule="exact"/>
        <w:ind w:firstLine="2424" w:firstLineChars="800"/>
        <w:rPr>
          <w:rFonts w:hint="eastAsia" w:ascii="宋体" w:hAnsi="宋体" w:cs="宋体"/>
          <w:b/>
          <w:color w:val="000000"/>
          <w:kern w:val="0"/>
          <w:sz w:val="32"/>
          <w:szCs w:val="32"/>
        </w:rPr>
      </w:pPr>
      <w:r>
        <w:rPr>
          <w:rFonts w:hint="eastAsia"/>
          <w:color w:val="000000"/>
          <w:kern w:val="0"/>
          <w:sz w:val="30"/>
          <w:szCs w:val="30"/>
        </w:rPr>
        <w:t>日    期：二O</w:t>
      </w:r>
      <w:r>
        <w:rPr>
          <w:rFonts w:hint="eastAsia"/>
          <w:color w:val="000000"/>
          <w:kern w:val="0"/>
          <w:sz w:val="30"/>
          <w:szCs w:val="30"/>
          <w:lang w:eastAsia="zh-CN"/>
        </w:rPr>
        <w:t>二一</w:t>
      </w:r>
      <w:r>
        <w:rPr>
          <w:rFonts w:hint="eastAsia"/>
          <w:color w:val="000000"/>
          <w:kern w:val="0"/>
          <w:sz w:val="30"/>
          <w:szCs w:val="30"/>
        </w:rPr>
        <w:t>年</w:t>
      </w:r>
      <w:r>
        <w:rPr>
          <w:rFonts w:hint="eastAsia"/>
          <w:color w:val="000000"/>
          <w:kern w:val="0"/>
          <w:sz w:val="30"/>
          <w:szCs w:val="30"/>
          <w:lang w:eastAsia="zh-CN"/>
        </w:rPr>
        <w:t>九</w:t>
      </w:r>
      <w:r>
        <w:rPr>
          <w:rFonts w:hint="eastAsia"/>
          <w:color w:val="000000"/>
          <w:kern w:val="0"/>
          <w:sz w:val="30"/>
          <w:szCs w:val="30"/>
        </w:rPr>
        <w:t>月</w:t>
      </w:r>
    </w:p>
    <w:p>
      <w:pPr>
        <w:autoSpaceDE w:val="0"/>
        <w:autoSpaceDN w:val="0"/>
        <w:adjustRightInd w:val="0"/>
        <w:spacing w:line="800" w:lineRule="exact"/>
        <w:rPr>
          <w:rFonts w:hint="eastAsia" w:ascii="宋体" w:hAnsi="宋体" w:cs="宋体"/>
          <w:b/>
          <w:color w:val="000000"/>
          <w:kern w:val="0"/>
          <w:sz w:val="32"/>
          <w:szCs w:val="32"/>
        </w:rPr>
        <w:sectPr>
          <w:headerReference r:id="rId3" w:type="default"/>
          <w:footerReference r:id="rId4" w:type="default"/>
          <w:footerReference r:id="rId5" w:type="even"/>
          <w:pgSz w:w="11906" w:h="16838"/>
          <w:pgMar w:top="1440" w:right="1247" w:bottom="1440" w:left="1247" w:header="851" w:footer="992" w:gutter="0"/>
          <w:cols w:space="720" w:num="1"/>
          <w:rtlGutter w:val="0"/>
          <w:docGrid w:type="linesAndChars" w:linePitch="312" w:charSpace="800"/>
        </w:sectPr>
      </w:pPr>
    </w:p>
    <w:p>
      <w:pPr>
        <w:rPr>
          <w:rFonts w:hint="eastAsia" w:hAnsi="宋体"/>
          <w:b/>
          <w:color w:val="auto"/>
          <w:sz w:val="36"/>
          <w:szCs w:val="36"/>
        </w:rPr>
      </w:pPr>
      <w:bookmarkStart w:id="0" w:name="_Toc35339868"/>
    </w:p>
    <w:p>
      <w:pPr>
        <w:pStyle w:val="10"/>
        <w:spacing w:before="120" w:after="120" w:line="360" w:lineRule="auto"/>
        <w:jc w:val="center"/>
        <w:outlineLvl w:val="0"/>
        <w:rPr>
          <w:rFonts w:hAnsi="宋体"/>
          <w:b/>
          <w:color w:val="auto"/>
          <w:sz w:val="36"/>
          <w:szCs w:val="36"/>
        </w:rPr>
      </w:pPr>
      <w:r>
        <w:rPr>
          <w:rFonts w:hint="eastAsia" w:hAnsi="宋体"/>
          <w:b/>
          <w:color w:val="auto"/>
          <w:sz w:val="36"/>
          <w:szCs w:val="36"/>
        </w:rPr>
        <w:t>电子交易须知</w:t>
      </w:r>
      <w:bookmarkEnd w:id="0"/>
    </w:p>
    <w:p>
      <w:pPr>
        <w:pStyle w:val="10"/>
        <w:spacing w:before="120" w:after="120" w:line="360" w:lineRule="auto"/>
        <w:ind w:firstLine="480" w:firstLineChars="200"/>
        <w:rPr>
          <w:rFonts w:hAnsi="宋体"/>
          <w:b w:val="0"/>
          <w:bCs/>
          <w:color w:val="auto"/>
          <w:szCs w:val="24"/>
        </w:rPr>
      </w:pPr>
      <w:r>
        <w:rPr>
          <w:rFonts w:hint="eastAsia" w:hAnsi="宋体"/>
          <w:b w:val="0"/>
          <w:bCs/>
          <w:color w:val="auto"/>
          <w:szCs w:val="24"/>
        </w:rPr>
        <w:t>1、本次采购采用电子交易方式，电子交易平台为“政府采购云平台（www.zcygov.cn）”。供应商参与本项目电子交易活动前，应注册成为政府采购云平台供应商。编制电子投标文件前还需申领CA证书并绑定帐号，CA获取地址请查看招标公告下方附件《</w:t>
      </w:r>
      <w:r>
        <w:rPr>
          <w:rFonts w:hint="eastAsia" w:hAnsi="宋体"/>
          <w:b w:val="0"/>
          <w:bCs/>
          <w:color w:val="auto"/>
          <w:szCs w:val="24"/>
          <w:u w:val="single"/>
        </w:rPr>
        <w:t>全疆服务机构联系表》</w:t>
      </w:r>
      <w:r>
        <w:rPr>
          <w:rFonts w:hint="eastAsia" w:hAnsi="宋体"/>
          <w:b w:val="0"/>
          <w:bCs/>
          <w:color w:val="auto"/>
          <w:szCs w:val="24"/>
        </w:rPr>
        <w:t>。</w:t>
      </w:r>
    </w:p>
    <w:p>
      <w:pPr>
        <w:pStyle w:val="10"/>
        <w:spacing w:before="120" w:after="120" w:line="360" w:lineRule="auto"/>
        <w:ind w:firstLine="480" w:firstLineChars="200"/>
        <w:rPr>
          <w:rFonts w:hAnsi="宋体"/>
          <w:b w:val="0"/>
          <w:bCs/>
          <w:color w:val="auto"/>
          <w:szCs w:val="24"/>
        </w:rPr>
      </w:pPr>
      <w:r>
        <w:rPr>
          <w:rFonts w:hint="eastAsia" w:hAnsi="宋体"/>
          <w:b w:val="0"/>
          <w:bCs/>
          <w:color w:val="auto"/>
          <w:szCs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pStyle w:val="10"/>
        <w:spacing w:before="120" w:after="120" w:line="360" w:lineRule="auto"/>
        <w:ind w:firstLine="480" w:firstLineChars="200"/>
        <w:rPr>
          <w:rFonts w:hAnsi="宋体"/>
          <w:b w:val="0"/>
          <w:bCs/>
          <w:color w:val="auto"/>
          <w:szCs w:val="24"/>
        </w:rPr>
      </w:pPr>
      <w:r>
        <w:rPr>
          <w:rFonts w:hint="eastAsia" w:hAnsi="宋体"/>
          <w:b w:val="0"/>
          <w:bCs/>
          <w:color w:val="auto"/>
          <w:szCs w:val="24"/>
        </w:rPr>
        <w:t>3、供应商应当在投标截止时间前，将“电子招投标供应商客户端”生成的“电子加密投标文件”上传电子交易平台。</w:t>
      </w:r>
    </w:p>
    <w:p>
      <w:pPr>
        <w:pStyle w:val="10"/>
        <w:spacing w:before="120" w:after="120" w:line="360" w:lineRule="auto"/>
        <w:ind w:firstLine="480" w:firstLineChars="200"/>
        <w:jc w:val="left"/>
        <w:rPr>
          <w:rFonts w:hAnsi="宋体"/>
          <w:b w:val="0"/>
          <w:bCs/>
          <w:color w:val="auto"/>
          <w:szCs w:val="24"/>
        </w:rPr>
      </w:pPr>
      <w:r>
        <w:rPr>
          <w:rFonts w:hint="eastAsia" w:hAnsi="宋体"/>
          <w:b w:val="0"/>
          <w:bCs/>
          <w:color w:val="auto"/>
          <w:szCs w:val="24"/>
        </w:rPr>
        <w:t>4、服务与支持。各政府采购代理机构（含集采机构）及供应商对不见面开评标系统的技术操作咨询，可通过</w:t>
      </w:r>
      <w:r>
        <w:rPr>
          <w:b w:val="0"/>
          <w:bCs/>
          <w:color w:val="auto"/>
        </w:rPr>
        <w:fldChar w:fldCharType="begin"/>
      </w:r>
      <w:r>
        <w:rPr>
          <w:b w:val="0"/>
          <w:bCs/>
          <w:color w:val="auto"/>
        </w:rPr>
        <w:instrText xml:space="preserve"> HYPERLINK "https://edu.zcygov.cn/luban/xinjiang-e-biding" </w:instrText>
      </w:r>
      <w:r>
        <w:rPr>
          <w:b w:val="0"/>
          <w:bCs/>
          <w:color w:val="auto"/>
        </w:rPr>
        <w:fldChar w:fldCharType="separate"/>
      </w:r>
      <w:r>
        <w:rPr>
          <w:rFonts w:hAnsi="宋体"/>
          <w:b w:val="0"/>
          <w:bCs/>
          <w:color w:val="auto"/>
          <w:szCs w:val="24"/>
          <w:u w:val="single"/>
        </w:rPr>
        <w:t>https://edu.zcygov.cn/luban/xinjiang-e-biding</w:t>
      </w:r>
      <w:r>
        <w:rPr>
          <w:rFonts w:hAnsi="宋体"/>
          <w:b w:val="0"/>
          <w:bCs/>
          <w:color w:val="auto"/>
          <w:szCs w:val="24"/>
          <w:u w:val="single"/>
        </w:rPr>
        <w:fldChar w:fldCharType="end"/>
      </w:r>
      <w:r>
        <w:rPr>
          <w:rFonts w:hint="eastAsia" w:hAnsi="宋体"/>
          <w:b w:val="0"/>
          <w:bCs/>
          <w:color w:val="auto"/>
          <w:szCs w:val="24"/>
        </w:rPr>
        <w:t>自助查询，也</w:t>
      </w:r>
      <w:r>
        <w:rPr>
          <w:rFonts w:hAnsi="宋体"/>
          <w:b w:val="0"/>
          <w:bCs/>
          <w:color w:val="auto"/>
          <w:szCs w:val="24"/>
        </w:rPr>
        <w:t>可在政采云帮助中心常见问题解答和操作流程讲解视频中自助查询，网址为：</w:t>
      </w:r>
      <w:r>
        <w:rPr>
          <w:b w:val="0"/>
          <w:bCs/>
          <w:color w:val="auto"/>
        </w:rPr>
        <w:fldChar w:fldCharType="begin"/>
      </w:r>
      <w:r>
        <w:rPr>
          <w:b w:val="0"/>
          <w:bCs/>
          <w:color w:val="auto"/>
        </w:rPr>
        <w:instrText xml:space="preserve"> HYPERLINK "https://service.zcygov.cn/" \l "/help" </w:instrText>
      </w:r>
      <w:r>
        <w:rPr>
          <w:b w:val="0"/>
          <w:bCs/>
          <w:color w:val="auto"/>
        </w:rPr>
        <w:fldChar w:fldCharType="separate"/>
      </w:r>
      <w:r>
        <w:rPr>
          <w:rFonts w:hint="eastAsia" w:hAnsi="宋体"/>
          <w:b w:val="0"/>
          <w:bCs/>
          <w:color w:val="auto"/>
          <w:szCs w:val="24"/>
          <w:u w:val="single"/>
        </w:rPr>
        <w:t>https://service.zcygov.cn/#/help</w:t>
      </w:r>
      <w:r>
        <w:rPr>
          <w:rFonts w:hint="eastAsia" w:hAnsi="宋体"/>
          <w:b w:val="0"/>
          <w:bCs/>
          <w:color w:val="auto"/>
          <w:szCs w:val="24"/>
          <w:u w:val="single"/>
        </w:rPr>
        <w:fldChar w:fldCharType="end"/>
      </w:r>
      <w:r>
        <w:rPr>
          <w:rFonts w:hAnsi="宋体"/>
          <w:b w:val="0"/>
          <w:bCs/>
          <w:color w:val="auto"/>
          <w:szCs w:val="24"/>
        </w:rPr>
        <w:t>，“项目采购”—“操作流程-电子招投</w:t>
      </w:r>
      <w:r>
        <w:rPr>
          <w:rFonts w:hint="eastAsia" w:hAnsi="宋体"/>
          <w:b w:val="0"/>
          <w:bCs/>
          <w:color w:val="auto"/>
          <w:szCs w:val="24"/>
        </w:rPr>
        <w:t>标”—</w:t>
      </w:r>
      <w:r>
        <w:rPr>
          <w:rFonts w:hAnsi="宋体"/>
          <w:b w:val="0"/>
          <w:bCs/>
          <w:color w:val="auto"/>
          <w:szCs w:val="24"/>
        </w:rPr>
        <w:t>“</w:t>
      </w:r>
      <w:r>
        <w:rPr>
          <w:rFonts w:hint="eastAsia" w:hAnsi="宋体"/>
          <w:b w:val="0"/>
          <w:bCs/>
          <w:color w:val="auto"/>
          <w:szCs w:val="24"/>
        </w:rPr>
        <w:t>政府采购项目电子交易管理操作指南-供应商</w:t>
      </w:r>
      <w:r>
        <w:rPr>
          <w:rFonts w:hAnsi="宋体"/>
          <w:b w:val="0"/>
          <w:bCs/>
          <w:color w:val="auto"/>
          <w:szCs w:val="24"/>
        </w:rPr>
        <w:t>”</w:t>
      </w:r>
      <w:r>
        <w:rPr>
          <w:rFonts w:hint="eastAsia" w:hAnsi="宋体"/>
          <w:b w:val="0"/>
          <w:bCs/>
          <w:color w:val="auto"/>
          <w:szCs w:val="24"/>
        </w:rPr>
        <w:t>版面获取操作指南，</w:t>
      </w:r>
      <w:r>
        <w:rPr>
          <w:rFonts w:hAnsi="宋体"/>
          <w:b w:val="0"/>
          <w:bCs/>
          <w:color w:val="auto"/>
          <w:szCs w:val="24"/>
        </w:rPr>
        <w:t>同时对自助查询无法解决的问题可通过钉钉群及政采云在线客服获取服务支持。</w:t>
      </w:r>
    </w:p>
    <w:p>
      <w:pPr>
        <w:pStyle w:val="10"/>
        <w:spacing w:before="120" w:after="120" w:line="360" w:lineRule="auto"/>
        <w:ind w:firstLine="482" w:firstLineChars="200"/>
        <w:jc w:val="center"/>
        <w:rPr>
          <w:rFonts w:hAnsi="宋体"/>
          <w:b/>
          <w:color w:val="000000" w:themeColor="text1"/>
          <w:spacing w:val="160"/>
          <w:sz w:val="36"/>
          <w:szCs w:val="36"/>
          <w14:textFill>
            <w14:solidFill>
              <w14:schemeClr w14:val="tx1"/>
            </w14:solidFill>
          </w14:textFill>
        </w:rPr>
      </w:pPr>
      <w:r>
        <w:rPr>
          <w:rFonts w:hAnsi="宋体"/>
          <w:b/>
          <w:color w:val="000000" w:themeColor="text1"/>
          <w14:textFill>
            <w14:solidFill>
              <w14:schemeClr w14:val="tx1"/>
            </w14:solidFill>
          </w14:textFill>
        </w:rPr>
        <w:br w:type="page"/>
      </w:r>
      <w:r>
        <w:rPr>
          <w:rFonts w:hint="eastAsia" w:hAnsi="宋体"/>
          <w:b/>
          <w:color w:val="000000" w:themeColor="text1"/>
          <w:spacing w:val="160"/>
          <w:sz w:val="36"/>
          <w:szCs w:val="36"/>
          <w14:textFill>
            <w14:solidFill>
              <w14:schemeClr w14:val="tx1"/>
            </w14:solidFill>
          </w14:textFill>
        </w:rPr>
        <w:t>目录</w:t>
      </w:r>
    </w:p>
    <w:p>
      <w:pPr>
        <w:pStyle w:val="10"/>
        <w:adjustRightInd w:val="0"/>
        <w:snapToGrid w:val="0"/>
        <w:spacing w:line="360" w:lineRule="auto"/>
        <w:rPr>
          <w:rFonts w:hAnsi="宋体"/>
          <w:b/>
          <w:color w:val="000000" w:themeColor="text1"/>
          <w:szCs w:val="24"/>
          <w14:textFill>
            <w14:solidFill>
              <w14:schemeClr w14:val="tx1"/>
            </w14:solidFill>
          </w14:textFill>
        </w:rPr>
      </w:pPr>
    </w:p>
    <w:p>
      <w:pPr>
        <w:pStyle w:val="14"/>
        <w:tabs>
          <w:tab w:val="right" w:leader="hyphen" w:pos="8834"/>
        </w:tabs>
        <w:rPr>
          <w:b w:val="0"/>
          <w:bCs w:val="0"/>
          <w:caps w:val="0"/>
          <w:color w:val="000000" w:themeColor="text1"/>
          <w:sz w:val="21"/>
          <w:szCs w:val="24"/>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TOC \o "1-3" \h \z \u </w:instrText>
      </w:r>
      <w:r>
        <w:rPr>
          <w:rFonts w:ascii="宋体" w:hAnsi="宋体"/>
          <w:color w:val="000000" w:themeColor="text1"/>
          <w:szCs w:val="21"/>
          <w14:textFill>
            <w14:solidFill>
              <w14:schemeClr w14:val="tx1"/>
            </w14:solidFill>
          </w14:textFill>
        </w:rPr>
        <w:fldChar w:fldCharType="separate"/>
      </w:r>
    </w:p>
    <w:p>
      <w:pPr>
        <w:pStyle w:val="14"/>
        <w:tabs>
          <w:tab w:val="right" w:leader="hyphen" w:pos="8834"/>
        </w:tabs>
        <w:spacing w:line="240" w:lineRule="auto"/>
        <w:jc w:val="left"/>
        <w:rPr>
          <w:rFonts w:hint="eastAsia" w:ascii="宋体" w:hAnsi="宋体" w:eastAsia="宋体" w:cs="宋体"/>
          <w:b w:val="0"/>
          <w:bCs w:val="0"/>
          <w:i w:val="0"/>
          <w:iCs w:val="0"/>
          <w:cap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"_Toc474235940"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第一章  招标公告</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14"/>
        <w:tabs>
          <w:tab w:val="right" w:leader="hyphen" w:pos="8834"/>
        </w:tabs>
        <w:spacing w:line="240" w:lineRule="auto"/>
        <w:jc w:val="left"/>
        <w:rPr>
          <w:rFonts w:hint="eastAsia" w:ascii="宋体" w:hAnsi="宋体" w:eastAsia="宋体" w:cs="宋体"/>
          <w:b w:val="0"/>
          <w:bCs w:val="0"/>
          <w:i w:val="0"/>
          <w:iCs w:val="0"/>
          <w:cap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"_Toc474235941"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第二章 投标须知</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15"/>
        <w:tabs>
          <w:tab w:val="right" w:leader="hyphen" w:pos="8834"/>
        </w:tabs>
        <w:spacing w:line="240" w:lineRule="auto"/>
        <w:jc w:val="left"/>
        <w:rPr>
          <w:rFonts w:hint="eastAsia" w:ascii="宋体" w:hAnsi="宋体" w:eastAsia="宋体" w:cs="宋体"/>
          <w:b w:val="0"/>
          <w:bCs w:val="0"/>
          <w:i w:val="0"/>
          <w:iCs w:val="0"/>
          <w:smallCap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"_Toc474235942"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投标须知前附表</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15"/>
        <w:tabs>
          <w:tab w:val="right" w:leader="hyphen" w:pos="8834"/>
        </w:tabs>
        <w:spacing w:line="240" w:lineRule="auto"/>
        <w:jc w:val="left"/>
        <w:rPr>
          <w:rFonts w:hint="eastAsia" w:ascii="宋体" w:hAnsi="宋体" w:eastAsia="宋体" w:cs="宋体"/>
          <w:b w:val="0"/>
          <w:bCs w:val="0"/>
          <w:i w:val="0"/>
          <w:iCs w:val="0"/>
          <w:smallCap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"_Toc474235943"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投标须知正文</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9"/>
        <w:tabs>
          <w:tab w:val="right" w:leader="hyphen" w:pos="8834"/>
        </w:tabs>
        <w:spacing w:line="240" w:lineRule="auto"/>
        <w:jc w:val="left"/>
        <w:rPr>
          <w:rFonts w:hint="eastAsia" w:ascii="宋体" w:hAnsi="宋体" w:eastAsia="宋体" w:cs="宋体"/>
          <w:b w:val="0"/>
          <w:bCs w:val="0"/>
          <w:i w:val="0"/>
          <w:iC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"_Toc474235944"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一、总则</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9"/>
        <w:tabs>
          <w:tab w:val="right" w:leader="hyphen" w:pos="8834"/>
        </w:tabs>
        <w:spacing w:line="240" w:lineRule="auto"/>
        <w:jc w:val="left"/>
        <w:rPr>
          <w:rFonts w:hint="eastAsia" w:ascii="宋体" w:hAnsi="宋体" w:eastAsia="宋体" w:cs="宋体"/>
          <w:b w:val="0"/>
          <w:bCs w:val="0"/>
          <w:i w:val="0"/>
          <w:iC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"_Toc474235945"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二、招标文件</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9"/>
        <w:tabs>
          <w:tab w:val="right" w:leader="hyphen" w:pos="8834"/>
        </w:tabs>
        <w:spacing w:line="240" w:lineRule="auto"/>
        <w:jc w:val="left"/>
        <w:rPr>
          <w:rFonts w:hint="eastAsia" w:ascii="宋体" w:hAnsi="宋体" w:eastAsia="宋体" w:cs="宋体"/>
          <w:b w:val="0"/>
          <w:bCs w:val="0"/>
          <w:i w:val="0"/>
          <w:iC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"_Toc474235946"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三、投标文件</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9"/>
        <w:tabs>
          <w:tab w:val="right" w:leader="hyphen" w:pos="8834"/>
        </w:tabs>
        <w:spacing w:line="240" w:lineRule="auto"/>
        <w:jc w:val="left"/>
        <w:rPr>
          <w:rFonts w:hint="eastAsia" w:ascii="宋体" w:hAnsi="宋体" w:eastAsia="宋体" w:cs="宋体"/>
          <w:b w:val="0"/>
          <w:bCs w:val="0"/>
          <w:i w:val="0"/>
          <w:iC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"_Toc474235947"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四、投标文件的递交</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9"/>
        <w:tabs>
          <w:tab w:val="right" w:leader="hyphen" w:pos="8834"/>
        </w:tabs>
        <w:spacing w:line="240" w:lineRule="auto"/>
        <w:jc w:val="left"/>
        <w:rPr>
          <w:rFonts w:hint="eastAsia" w:ascii="宋体" w:hAnsi="宋体" w:eastAsia="宋体" w:cs="宋体"/>
          <w:b w:val="0"/>
          <w:bCs w:val="0"/>
          <w:i w:val="0"/>
          <w:iC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"_Toc474235948"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五、开标和评标</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14"/>
        <w:tabs>
          <w:tab w:val="right" w:leader="hyphen" w:pos="8834"/>
        </w:tabs>
        <w:spacing w:line="240" w:lineRule="auto"/>
        <w:jc w:val="left"/>
        <w:rPr>
          <w:rFonts w:hint="eastAsia" w:ascii="宋体" w:hAnsi="宋体" w:eastAsia="宋体" w:cs="宋体"/>
          <w:b w:val="0"/>
          <w:bCs w:val="0"/>
          <w:i w:val="0"/>
          <w:iCs w:val="0"/>
          <w:cap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"_Toc474235949"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第三章 评标方法及标准</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14"/>
        <w:tabs>
          <w:tab w:val="right" w:leader="hyphen" w:pos="8834"/>
        </w:tabs>
        <w:spacing w:line="240" w:lineRule="auto"/>
        <w:jc w:val="left"/>
        <w:rPr>
          <w:rFonts w:hint="eastAsia" w:ascii="宋体" w:hAnsi="宋体" w:eastAsia="宋体" w:cs="宋体"/>
          <w:b w:val="0"/>
          <w:bCs w:val="0"/>
          <w:i w:val="0"/>
          <w:iCs w:val="0"/>
          <w:cap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"_Toc474235950"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第四章  政府采购合同格式、验收书</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15"/>
        <w:tabs>
          <w:tab w:val="right" w:leader="hyphen" w:pos="8834"/>
        </w:tabs>
        <w:spacing w:line="240" w:lineRule="auto"/>
        <w:jc w:val="left"/>
        <w:rPr>
          <w:rFonts w:hint="eastAsia" w:ascii="宋体" w:hAnsi="宋体" w:eastAsia="宋体" w:cs="宋体"/>
          <w:b w:val="0"/>
          <w:bCs w:val="0"/>
          <w:i w:val="0"/>
          <w:iCs w:val="0"/>
          <w:smallCap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"_Toc474235951"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一、政府采购合同协议书</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15"/>
        <w:tabs>
          <w:tab w:val="right" w:leader="hyphen" w:pos="8834"/>
        </w:tabs>
        <w:spacing w:line="240" w:lineRule="auto"/>
        <w:jc w:val="left"/>
        <w:rPr>
          <w:rFonts w:hint="eastAsia" w:ascii="宋体" w:hAnsi="宋体" w:eastAsia="宋体" w:cs="宋体"/>
          <w:b w:val="0"/>
          <w:bCs w:val="0"/>
          <w:i w:val="0"/>
          <w:iCs w:val="0"/>
          <w:smallCap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"_Toc474235952"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二、政府采购合同通用条款</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15"/>
        <w:tabs>
          <w:tab w:val="right" w:leader="hyphen" w:pos="8834"/>
        </w:tabs>
        <w:spacing w:line="240" w:lineRule="auto"/>
        <w:jc w:val="left"/>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"_Toc474235953"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三、政府采购合同专用条款</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15"/>
        <w:tabs>
          <w:tab w:val="right" w:leader="hyphen" w:pos="8834"/>
        </w:tabs>
        <w:spacing w:line="240" w:lineRule="auto"/>
        <w:jc w:val="left"/>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sz w:val="24"/>
          <w:szCs w:val="24"/>
          <w:u w:val="none"/>
        </w:rPr>
        <w:t>四、验收书</w:t>
      </w:r>
    </w:p>
    <w:p>
      <w:pPr>
        <w:pStyle w:val="14"/>
        <w:tabs>
          <w:tab w:val="right" w:leader="hyphen" w:pos="8834"/>
        </w:tabs>
        <w:spacing w:line="240" w:lineRule="auto"/>
        <w:jc w:val="left"/>
        <w:rPr>
          <w:rFonts w:hint="eastAsia" w:ascii="宋体" w:hAnsi="宋体" w:eastAsia="宋体" w:cs="宋体"/>
          <w:b w:val="0"/>
          <w:bCs w:val="0"/>
          <w:i w:val="0"/>
          <w:iCs w:val="0"/>
          <w:cap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"_Toc474235954"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第五章 采购需求</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14"/>
        <w:tabs>
          <w:tab w:val="right" w:leader="hyphen" w:pos="8834"/>
        </w:tabs>
        <w:spacing w:line="240" w:lineRule="auto"/>
        <w:jc w:val="left"/>
        <w:rPr>
          <w:rFonts w:hint="eastAsia" w:ascii="宋体" w:hAnsi="宋体" w:eastAsia="宋体" w:cs="宋体"/>
          <w:b w:val="0"/>
          <w:bCs w:val="0"/>
          <w:i w:val="0"/>
          <w:iCs w:val="0"/>
          <w:cap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"_Toc474235955"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第六章 投标文件格式</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15"/>
        <w:tabs>
          <w:tab w:val="right" w:leader="hyphen" w:pos="8834"/>
        </w:tabs>
        <w:spacing w:line="240" w:lineRule="auto"/>
        <w:jc w:val="left"/>
        <w:rPr>
          <w:rFonts w:hint="eastAsia" w:ascii="宋体" w:hAnsi="宋体" w:eastAsia="宋体" w:cs="宋体"/>
          <w:b w:val="0"/>
          <w:bCs w:val="0"/>
          <w:i w:val="0"/>
          <w:iCs w:val="0"/>
          <w:smallCap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"_Toc474235956"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一、资格性自查表</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15"/>
        <w:tabs>
          <w:tab w:val="right" w:leader="hyphen" w:pos="8834"/>
        </w:tabs>
        <w:spacing w:line="240" w:lineRule="auto"/>
        <w:jc w:val="left"/>
        <w:rPr>
          <w:rFonts w:hint="eastAsia" w:ascii="宋体" w:hAnsi="宋体" w:eastAsia="宋体" w:cs="宋体"/>
          <w:b w:val="0"/>
          <w:bCs w:val="0"/>
          <w:i w:val="0"/>
          <w:iCs w:val="0"/>
          <w:smallCap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"_Toc474235957"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二、投标函</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15"/>
        <w:tabs>
          <w:tab w:val="right" w:leader="hyphen" w:pos="8834"/>
        </w:tabs>
        <w:spacing w:line="240" w:lineRule="auto"/>
        <w:jc w:val="left"/>
        <w:rPr>
          <w:rFonts w:hint="eastAsia" w:ascii="宋体" w:hAnsi="宋体" w:eastAsia="宋体" w:cs="宋体"/>
          <w:b w:val="0"/>
          <w:bCs w:val="0"/>
          <w:i w:val="0"/>
          <w:iCs w:val="0"/>
          <w:smallCap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"_Toc474235958"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三、投标保证金</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15"/>
        <w:tabs>
          <w:tab w:val="right" w:leader="hyphen" w:pos="8834"/>
        </w:tabs>
        <w:spacing w:line="240" w:lineRule="auto"/>
        <w:jc w:val="left"/>
        <w:rPr>
          <w:rFonts w:hint="eastAsia" w:ascii="宋体" w:hAnsi="宋体" w:eastAsia="宋体" w:cs="宋体"/>
          <w:b w:val="0"/>
          <w:bCs w:val="0"/>
          <w:i w:val="0"/>
          <w:iCs w:val="0"/>
          <w:smallCap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"_Toc474235959"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四、开标记录表及投标报价明细表</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15"/>
        <w:tabs>
          <w:tab w:val="right" w:leader="hyphen" w:pos="8834"/>
        </w:tabs>
        <w:spacing w:line="240" w:lineRule="auto"/>
        <w:jc w:val="left"/>
        <w:rPr>
          <w:rFonts w:hint="eastAsia" w:ascii="宋体" w:hAnsi="宋体" w:eastAsia="宋体" w:cs="宋体"/>
          <w:b w:val="0"/>
          <w:bCs w:val="0"/>
          <w:i w:val="0"/>
          <w:iCs w:val="0"/>
          <w:smallCap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"_Toc474235960"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五、投标人的资格证明材料</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15"/>
        <w:tabs>
          <w:tab w:val="right" w:leader="hyphen" w:pos="8834"/>
        </w:tabs>
        <w:spacing w:line="240" w:lineRule="auto"/>
        <w:jc w:val="left"/>
        <w:rPr>
          <w:rFonts w:hint="eastAsia" w:ascii="宋体" w:hAnsi="宋体" w:eastAsia="宋体" w:cs="宋体"/>
          <w:b w:val="0"/>
          <w:bCs w:val="0"/>
          <w:i w:val="0"/>
          <w:iCs w:val="0"/>
          <w:smallCap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"_Toc474235961"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六、货物说明</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15"/>
        <w:tabs>
          <w:tab w:val="right" w:leader="hyphen" w:pos="8834"/>
        </w:tabs>
        <w:spacing w:line="240" w:lineRule="auto"/>
        <w:jc w:val="left"/>
        <w:rPr>
          <w:rFonts w:hint="eastAsia" w:ascii="宋体" w:hAnsi="宋体" w:eastAsia="宋体" w:cs="宋体"/>
          <w:b w:val="0"/>
          <w:bCs w:val="0"/>
          <w:i w:val="0"/>
          <w:iCs w:val="0"/>
          <w:smallCap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"_Toc474235962"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七、实施方案</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15"/>
        <w:tabs>
          <w:tab w:val="right" w:leader="hyphen" w:pos="8834"/>
        </w:tabs>
        <w:spacing w:line="240" w:lineRule="auto"/>
        <w:jc w:val="left"/>
        <w:rPr>
          <w:rFonts w:hint="eastAsia" w:ascii="宋体" w:hAnsi="宋体" w:eastAsia="宋体" w:cs="宋体"/>
          <w:b w:val="0"/>
          <w:bCs w:val="0"/>
          <w:i w:val="0"/>
          <w:iCs w:val="0"/>
          <w:smallCaps w:val="0"/>
          <w:color w:val="000000" w:themeColor="text1"/>
          <w:sz w:val="28"/>
          <w:szCs w:val="36"/>
          <w:u w:val="none"/>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"_Toc474235963"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八、商务响应与偏离表</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15"/>
        <w:tabs>
          <w:tab w:val="right" w:leader="hyphen" w:pos="8834"/>
        </w:tabs>
        <w:spacing w:line="240" w:lineRule="auto"/>
        <w:jc w:val="left"/>
        <w:rPr>
          <w:smallCaps w:val="0"/>
          <w:color w:val="000000" w:themeColor="text1"/>
          <w:sz w:val="21"/>
          <w:szCs w:val="24"/>
          <w14:textFill>
            <w14:solidFill>
              <w14:schemeClr w14:val="tx1"/>
            </w14:solidFill>
          </w14:textFill>
        </w:rPr>
      </w:pPr>
      <w:r>
        <w:rPr>
          <w:rFonts w:hint="eastAsia" w:ascii="宋体" w:hAnsi="宋体" w:eastAsia="宋体" w:cs="宋体"/>
          <w:b w:val="0"/>
          <w:bCs w:val="0"/>
          <w:i w:val="0"/>
          <w:iCs w:val="0"/>
          <w:sz w:val="24"/>
          <w:szCs w:val="24"/>
          <w:u w:val="none"/>
        </w:rPr>
        <w:fldChar w:fldCharType="begin"/>
      </w:r>
      <w:r>
        <w:rPr>
          <w:rFonts w:hint="eastAsia" w:ascii="宋体" w:hAnsi="宋体" w:eastAsia="宋体" w:cs="宋体"/>
          <w:b w:val="0"/>
          <w:bCs w:val="0"/>
          <w:i w:val="0"/>
          <w:iCs w:val="0"/>
          <w:sz w:val="24"/>
          <w:szCs w:val="24"/>
          <w:u w:val="none"/>
        </w:rPr>
        <w:instrText xml:space="preserve"> HYPERLINK \l "_Toc474235964" </w:instrText>
      </w:r>
      <w:r>
        <w:rPr>
          <w:rFonts w:hint="eastAsia" w:ascii="宋体" w:hAnsi="宋体" w:eastAsia="宋体" w:cs="宋体"/>
          <w:b w:val="0"/>
          <w:bCs w:val="0"/>
          <w:i w:val="0"/>
          <w:iCs w:val="0"/>
          <w:sz w:val="24"/>
          <w:szCs w:val="24"/>
          <w:u w:val="none"/>
        </w:rPr>
        <w:fldChar w:fldCharType="separate"/>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t>九、投标人认为需要提供的其它资料</w:t>
      </w:r>
      <w:r>
        <w:rPr>
          <w:rStyle w:val="24"/>
          <w:rFonts w:hint="eastAsia" w:ascii="宋体" w:hAnsi="宋体" w:eastAsia="宋体" w:cs="宋体"/>
          <w:b w:val="0"/>
          <w:bCs w:val="0"/>
          <w:i w:val="0"/>
          <w:iCs w:val="0"/>
          <w:color w:val="000000" w:themeColor="text1"/>
          <w:sz w:val="24"/>
          <w:szCs w:val="24"/>
          <w:u w:val="none"/>
          <w14:textFill>
            <w14:solidFill>
              <w14:schemeClr w14:val="tx1"/>
            </w14:solidFill>
          </w14:textFill>
        </w:rPr>
        <w:fldChar w:fldCharType="end"/>
      </w:r>
    </w:p>
    <w:p>
      <w:pPr>
        <w:pStyle w:val="14"/>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Cs w:val="21"/>
          <w14:textFill>
            <w14:solidFill>
              <w14:schemeClr w14:val="tx1"/>
            </w14:solidFill>
          </w14:textFill>
        </w:rPr>
        <w:fldChar w:fldCharType="end"/>
      </w:r>
    </w:p>
    <w:p>
      <w:pPr>
        <w:spacing w:line="360" w:lineRule="exact"/>
        <w:jc w:val="center"/>
        <w:outlineLvl w:val="0"/>
        <w:rPr>
          <w:rFonts w:ascii="宋体" w:hAnsi="宋体"/>
          <w:b/>
          <w:color w:val="000000" w:themeColor="text1"/>
          <w:sz w:val="32"/>
          <w:szCs w:val="32"/>
          <w14:textFill>
            <w14:solidFill>
              <w14:schemeClr w14:val="tx1"/>
            </w14:solidFill>
          </w14:textFill>
        </w:rPr>
      </w:pPr>
      <w:bookmarkStart w:id="1" w:name="_Toc420948005"/>
      <w:bookmarkStart w:id="2" w:name="_Toc419219491"/>
      <w:bookmarkStart w:id="3" w:name="_Toc419219410"/>
      <w:bookmarkStart w:id="4" w:name="_Toc419219645"/>
    </w:p>
    <w:p>
      <w:pPr>
        <w:spacing w:line="360" w:lineRule="exact"/>
        <w:jc w:val="center"/>
        <w:outlineLvl w:val="0"/>
        <w:rPr>
          <w:rFonts w:ascii="宋体" w:hAnsi="宋体"/>
          <w:b/>
          <w:color w:val="000000" w:themeColor="text1"/>
          <w:sz w:val="32"/>
          <w:szCs w:val="32"/>
          <w14:textFill>
            <w14:solidFill>
              <w14:schemeClr w14:val="tx1"/>
            </w14:solidFill>
          </w14:textFill>
        </w:rPr>
        <w:sectPr>
          <w:headerReference r:id="rId6" w:type="default"/>
          <w:footerReference r:id="rId7" w:type="default"/>
          <w:pgSz w:w="11906" w:h="16838"/>
          <w:pgMar w:top="1440" w:right="1800" w:bottom="1440" w:left="1800" w:header="851" w:footer="992" w:gutter="0"/>
          <w:cols w:space="720" w:num="1"/>
          <w:docGrid w:type="lines" w:linePitch="312" w:charSpace="0"/>
        </w:sectPr>
      </w:pPr>
    </w:p>
    <w:p>
      <w:pPr>
        <w:spacing w:line="360" w:lineRule="exact"/>
        <w:jc w:val="center"/>
        <w:outlineLvl w:val="0"/>
        <w:rPr>
          <w:rFonts w:hint="eastAsia" w:ascii="宋体" w:hAnsi="宋体" w:eastAsia="宋体"/>
          <w:b/>
          <w:color w:val="000000" w:themeColor="text1"/>
          <w:sz w:val="32"/>
          <w:szCs w:val="32"/>
          <w:lang w:eastAsia="zh-CN"/>
          <w14:textFill>
            <w14:solidFill>
              <w14:schemeClr w14:val="tx1"/>
            </w14:solidFill>
          </w14:textFill>
        </w:rPr>
      </w:pPr>
      <w:bookmarkStart w:id="5" w:name="_Toc474235940"/>
      <w:r>
        <w:rPr>
          <w:rFonts w:hint="eastAsia" w:ascii="宋体" w:hAnsi="宋体"/>
          <w:b/>
          <w:color w:val="000000" w:themeColor="text1"/>
          <w:sz w:val="32"/>
          <w:szCs w:val="32"/>
          <w14:textFill>
            <w14:solidFill>
              <w14:schemeClr w14:val="tx1"/>
            </w14:solidFill>
          </w14:textFill>
        </w:rPr>
        <w:t>第一</w:t>
      </w:r>
      <w:r>
        <w:rPr>
          <w:rFonts w:ascii="宋体" w:hAnsi="宋体"/>
          <w:b/>
          <w:color w:val="000000" w:themeColor="text1"/>
          <w:sz w:val="32"/>
          <w:szCs w:val="32"/>
          <w14:textFill>
            <w14:solidFill>
              <w14:schemeClr w14:val="tx1"/>
            </w14:solidFill>
          </w14:textFill>
        </w:rPr>
        <w:t xml:space="preserve">章  </w:t>
      </w:r>
      <w:bookmarkEnd w:id="1"/>
      <w:bookmarkEnd w:id="2"/>
      <w:bookmarkEnd w:id="3"/>
      <w:bookmarkEnd w:id="4"/>
      <w:bookmarkEnd w:id="5"/>
      <w:bookmarkStart w:id="6" w:name="OLE_LINK1"/>
      <w:bookmarkEnd w:id="6"/>
      <w:bookmarkStart w:id="7" w:name="OLE_LINK4"/>
      <w:bookmarkEnd w:id="7"/>
      <w:bookmarkStart w:id="8" w:name="OLE_LINK2"/>
      <w:bookmarkEnd w:id="8"/>
      <w:bookmarkStart w:id="9" w:name="OLE_LINK3"/>
      <w:bookmarkEnd w:id="9"/>
      <w:r>
        <w:rPr>
          <w:rFonts w:hint="eastAsia" w:ascii="宋体" w:hAnsi="宋体"/>
          <w:b/>
          <w:color w:val="000000" w:themeColor="text1"/>
          <w:sz w:val="32"/>
          <w:szCs w:val="32"/>
          <w:lang w:eastAsia="zh-CN"/>
          <w14:textFill>
            <w14:solidFill>
              <w14:schemeClr w14:val="tx1"/>
            </w14:solidFill>
          </w14:textFill>
        </w:rPr>
        <w:t>投标邀请函</w:t>
      </w:r>
    </w:p>
    <w:p>
      <w:pPr>
        <w:bidi w:val="0"/>
        <w:spacing w:line="240" w:lineRule="auto"/>
        <w:ind w:firstLine="240" w:firstLineChars="100"/>
        <w:rPr>
          <w:rFonts w:hint="eastAsia"/>
          <w:sz w:val="24"/>
          <w:szCs w:val="24"/>
          <w:lang w:val="en-US" w:eastAsia="zh-CN"/>
        </w:rPr>
      </w:pPr>
      <w:bookmarkStart w:id="10" w:name="_Toc474235941"/>
      <w:bookmarkStart w:id="11" w:name="_Toc420948006"/>
      <w:r>
        <w:rPr>
          <w:rFonts w:hint="eastAsia"/>
          <w:sz w:val="24"/>
          <w:szCs w:val="24"/>
          <w:lang w:val="en-US" w:eastAsia="zh-CN"/>
        </w:rPr>
        <w:t>至</w:t>
      </w:r>
      <w:r>
        <w:rPr>
          <w:rFonts w:hint="eastAsia"/>
          <w:sz w:val="24"/>
          <w:szCs w:val="24"/>
          <w:u w:val="single"/>
          <w:lang w:val="en-US" w:eastAsia="zh-CN"/>
        </w:rPr>
        <w:t xml:space="preserve">                  </w:t>
      </w:r>
      <w:r>
        <w:rPr>
          <w:rFonts w:hint="eastAsia"/>
          <w:sz w:val="24"/>
          <w:szCs w:val="24"/>
          <w:lang w:val="en-US" w:eastAsia="zh-CN"/>
        </w:rPr>
        <w:t>：</w:t>
      </w:r>
    </w:p>
    <w:p>
      <w:pPr>
        <w:pStyle w:val="2"/>
        <w:spacing w:line="360" w:lineRule="auto"/>
        <w:rPr>
          <w:rFonts w:hint="default"/>
          <w:lang w:val="en-US" w:eastAsia="zh-CN"/>
        </w:rPr>
      </w:pPr>
      <w:r>
        <w:rPr>
          <w:rFonts w:hint="eastAsia" w:ascii="宋体" w:hAnsi="宋体" w:eastAsia="宋体" w:cs="宋体"/>
          <w:b w:val="0"/>
          <w:bCs w:val="0"/>
          <w:color w:val="000000"/>
          <w:sz w:val="24"/>
          <w:szCs w:val="24"/>
          <w:lang w:val="en-US" w:eastAsia="zh-CN"/>
        </w:rPr>
        <w:t>关于</w:t>
      </w:r>
      <w:r>
        <w:rPr>
          <w:rFonts w:hint="eastAsia" w:ascii="宋体" w:hAnsi="宋体" w:eastAsia="宋体" w:cs="宋体"/>
          <w:i w:val="0"/>
          <w:iCs w:val="0"/>
          <w:caps w:val="0"/>
          <w:color w:val="333333"/>
          <w:spacing w:val="0"/>
          <w:sz w:val="24"/>
          <w:szCs w:val="24"/>
          <w:u w:val="single"/>
          <w:shd w:val="clear" w:color="auto" w:fill="FFFFFF"/>
          <w:lang w:eastAsia="zh-CN"/>
        </w:rPr>
        <w:t>伊犁州民用运输机场布局规划研究方案编制服务</w:t>
      </w:r>
      <w:r>
        <w:rPr>
          <w:rFonts w:hint="eastAsia" w:ascii="宋体" w:hAnsi="宋体" w:eastAsia="宋体" w:cs="宋体"/>
          <w:b w:val="0"/>
          <w:bCs w:val="0"/>
          <w:color w:val="000000"/>
          <w:sz w:val="24"/>
          <w:szCs w:val="24"/>
        </w:rPr>
        <w:t>的邀</w:t>
      </w:r>
      <w:r>
        <w:rPr>
          <w:rFonts w:hint="eastAsia" w:ascii="宋体" w:hAnsi="宋体" w:cs="宋体"/>
          <w:b w:val="0"/>
          <w:bCs w:val="0"/>
          <w:color w:val="000000"/>
          <w:sz w:val="24"/>
          <w:szCs w:val="24"/>
          <w:lang w:eastAsia="zh-CN"/>
        </w:rPr>
        <w:t>请</w:t>
      </w:r>
      <w:r>
        <w:rPr>
          <w:rFonts w:hint="eastAsia" w:ascii="宋体" w:hAnsi="宋体" w:eastAsia="宋体" w:cs="宋体"/>
          <w:b w:val="0"/>
          <w:bCs w:val="0"/>
          <w:color w:val="000000"/>
          <w:sz w:val="24"/>
          <w:szCs w:val="24"/>
        </w:rPr>
        <w:t>函</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现邀请贵公司参与</w:t>
      </w:r>
      <w:r>
        <w:rPr>
          <w:rFonts w:hint="eastAsia" w:ascii="宋体" w:hAnsi="宋体" w:eastAsia="宋体" w:cs="宋体"/>
          <w:i w:val="0"/>
          <w:iCs w:val="0"/>
          <w:caps w:val="0"/>
          <w:color w:val="333333"/>
          <w:spacing w:val="0"/>
          <w:sz w:val="24"/>
          <w:szCs w:val="24"/>
          <w:u w:val="single"/>
          <w:shd w:val="clear" w:color="auto" w:fill="FFFFFF"/>
          <w:lang w:eastAsia="zh-CN"/>
        </w:rPr>
        <w:t>伊犁州民用运输机场布局规划研究方案编制服务</w:t>
      </w:r>
      <w:r>
        <w:rPr>
          <w:rFonts w:hint="eastAsia" w:ascii="宋体" w:hAnsi="宋体" w:eastAsia="宋体" w:cs="宋体"/>
          <w:b w:val="0"/>
          <w:bCs w:val="0"/>
          <w:color w:val="000000"/>
          <w:sz w:val="24"/>
          <w:szCs w:val="24"/>
        </w:rPr>
        <w:t>投标</w:t>
      </w:r>
      <w:r>
        <w:rPr>
          <w:rFonts w:hint="eastAsia" w:ascii="宋体" w:hAnsi="宋体" w:eastAsia="宋体" w:cs="宋体"/>
          <w:b w:val="0"/>
          <w:bCs w:val="0"/>
          <w:color w:val="000000"/>
          <w:sz w:val="24"/>
          <w:szCs w:val="24"/>
          <w:lang w:eastAsia="zh-CN"/>
        </w:rPr>
        <w:t>。</w:t>
      </w:r>
    </w:p>
    <w:p>
      <w:pPr>
        <w:pStyle w:val="16"/>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FF0000"/>
          <w:sz w:val="24"/>
          <w:szCs w:val="24"/>
          <w:lang w:val="en-US" w:eastAsia="zh-CN"/>
        </w:rPr>
      </w:pPr>
      <w:r>
        <w:rPr>
          <w:rStyle w:val="22"/>
          <w:rFonts w:hint="eastAsia" w:ascii="宋体" w:hAnsi="宋体" w:eastAsia="宋体" w:cs="宋体"/>
          <w:color w:val="auto"/>
          <w:sz w:val="24"/>
          <w:szCs w:val="24"/>
        </w:rPr>
        <w:t>一、招标项目编号：</w:t>
      </w:r>
      <w:r>
        <w:rPr>
          <w:rFonts w:hint="eastAsia" w:ascii="宋体" w:hAnsi="宋体" w:eastAsia="宋体" w:cs="宋体"/>
          <w:color w:val="auto"/>
          <w:sz w:val="24"/>
          <w:szCs w:val="24"/>
          <w:lang w:eastAsia="zh-CN"/>
        </w:rPr>
        <w:t>XJKCJY-2021-01</w:t>
      </w:r>
    </w:p>
    <w:p>
      <w:pPr>
        <w:pStyle w:val="16"/>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bookmarkStart w:id="12" w:name="_Toc11111"/>
      <w:r>
        <w:rPr>
          <w:rStyle w:val="22"/>
          <w:rFonts w:hint="eastAsia" w:ascii="宋体" w:hAnsi="宋体" w:eastAsia="宋体" w:cs="宋体"/>
          <w:color w:val="000000"/>
          <w:sz w:val="24"/>
          <w:szCs w:val="24"/>
        </w:rPr>
        <w:t>二、采购组织类型：</w:t>
      </w:r>
      <w:r>
        <w:rPr>
          <w:rFonts w:hint="eastAsia" w:cs="宋体"/>
          <w:color w:val="000000"/>
          <w:sz w:val="24"/>
          <w:szCs w:val="24"/>
          <w:lang w:eastAsia="zh-CN"/>
        </w:rPr>
        <w:t>分散</w:t>
      </w:r>
      <w:r>
        <w:rPr>
          <w:rFonts w:hint="eastAsia" w:ascii="宋体" w:hAnsi="宋体" w:eastAsia="宋体" w:cs="宋体"/>
          <w:color w:val="000000"/>
          <w:sz w:val="24"/>
          <w:szCs w:val="24"/>
        </w:rPr>
        <w:t>采购-</w:t>
      </w:r>
      <w:r>
        <w:rPr>
          <w:rFonts w:hint="eastAsia" w:cs="宋体"/>
          <w:color w:val="000000"/>
          <w:sz w:val="24"/>
          <w:szCs w:val="24"/>
          <w:lang w:eastAsia="zh-CN"/>
        </w:rPr>
        <w:t>分散</w:t>
      </w:r>
      <w:r>
        <w:rPr>
          <w:rFonts w:hint="eastAsia" w:ascii="宋体" w:hAnsi="宋体" w:eastAsia="宋体" w:cs="宋体"/>
          <w:color w:val="000000"/>
          <w:sz w:val="24"/>
          <w:szCs w:val="24"/>
        </w:rPr>
        <w:t>委托中介 </w:t>
      </w:r>
      <w:bookmarkEnd w:id="12"/>
    </w:p>
    <w:p>
      <w:pPr>
        <w:pStyle w:val="16"/>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bookmarkStart w:id="13" w:name="_Toc32681"/>
      <w:r>
        <w:rPr>
          <w:rStyle w:val="22"/>
          <w:rFonts w:hint="eastAsia" w:ascii="宋体" w:hAnsi="宋体" w:eastAsia="宋体" w:cs="宋体"/>
          <w:color w:val="000000"/>
          <w:sz w:val="24"/>
          <w:szCs w:val="24"/>
        </w:rPr>
        <w:t>三、招标项目概况</w:t>
      </w:r>
      <w:bookmarkEnd w:id="13"/>
    </w:p>
    <w:tbl>
      <w:tblPr>
        <w:tblStyle w:val="19"/>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3"/>
        <w:gridCol w:w="1197"/>
        <w:gridCol w:w="607"/>
        <w:gridCol w:w="1214"/>
        <w:gridCol w:w="538"/>
        <w:gridCol w:w="5157"/>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1" w:hRule="atLeast"/>
          <w:jc w:val="center"/>
        </w:trPr>
        <w:tc>
          <w:tcPr>
            <w:tcW w:w="58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22"/>
                <w:rFonts w:hint="eastAsia" w:ascii="宋体" w:hAnsi="宋体" w:eastAsia="宋体" w:cs="宋体"/>
                <w:b w:val="0"/>
                <w:bCs/>
                <w:color w:val="000000"/>
                <w:sz w:val="24"/>
                <w:szCs w:val="24"/>
                <w:lang w:bidi="ar"/>
              </w:rPr>
            </w:pPr>
            <w:r>
              <w:rPr>
                <w:rStyle w:val="22"/>
                <w:rFonts w:hint="eastAsia" w:ascii="宋体" w:hAnsi="宋体" w:eastAsia="宋体" w:cs="宋体"/>
                <w:b w:val="0"/>
                <w:bCs/>
                <w:color w:val="000000"/>
                <w:sz w:val="24"/>
                <w:szCs w:val="24"/>
                <w:lang w:bidi="ar"/>
              </w:rPr>
              <w:t>序号</w:t>
            </w:r>
          </w:p>
        </w:tc>
        <w:tc>
          <w:tcPr>
            <w:tcW w:w="1197"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22"/>
                <w:rFonts w:hint="eastAsia" w:ascii="宋体" w:hAnsi="宋体" w:eastAsia="宋体" w:cs="宋体"/>
                <w:b w:val="0"/>
                <w:bCs/>
                <w:color w:val="000000"/>
                <w:sz w:val="24"/>
                <w:szCs w:val="24"/>
                <w:lang w:bidi="ar"/>
              </w:rPr>
            </w:pPr>
            <w:r>
              <w:rPr>
                <w:rStyle w:val="22"/>
                <w:rFonts w:hint="eastAsia" w:ascii="宋体" w:hAnsi="宋体" w:eastAsia="宋体" w:cs="宋体"/>
                <w:b w:val="0"/>
                <w:bCs/>
                <w:color w:val="000000"/>
                <w:sz w:val="24"/>
                <w:szCs w:val="24"/>
                <w:lang w:bidi="ar"/>
              </w:rPr>
              <w:t>标项名称</w:t>
            </w:r>
          </w:p>
        </w:tc>
        <w:tc>
          <w:tcPr>
            <w:tcW w:w="607"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22"/>
                <w:rFonts w:hint="eastAsia" w:ascii="宋体" w:hAnsi="宋体" w:eastAsia="宋体" w:cs="宋体"/>
                <w:b w:val="0"/>
                <w:bCs/>
                <w:color w:val="000000"/>
                <w:sz w:val="24"/>
                <w:szCs w:val="24"/>
                <w:lang w:bidi="ar"/>
              </w:rPr>
            </w:pPr>
            <w:r>
              <w:rPr>
                <w:rStyle w:val="22"/>
                <w:rFonts w:hint="eastAsia" w:ascii="宋体" w:hAnsi="宋体" w:eastAsia="宋体" w:cs="宋体"/>
                <w:b w:val="0"/>
                <w:bCs/>
                <w:color w:val="000000"/>
                <w:sz w:val="24"/>
                <w:szCs w:val="24"/>
                <w:lang w:bidi="ar"/>
              </w:rPr>
              <w:t>数量</w:t>
            </w:r>
          </w:p>
        </w:tc>
        <w:tc>
          <w:tcPr>
            <w:tcW w:w="1214"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22"/>
                <w:rFonts w:hint="eastAsia" w:ascii="宋体" w:hAnsi="宋体" w:eastAsia="宋体" w:cs="宋体"/>
                <w:b w:val="0"/>
                <w:bCs/>
                <w:color w:val="000000"/>
                <w:sz w:val="24"/>
                <w:szCs w:val="24"/>
                <w:lang w:bidi="ar"/>
              </w:rPr>
            </w:pPr>
            <w:r>
              <w:rPr>
                <w:rStyle w:val="22"/>
                <w:rFonts w:hint="eastAsia" w:ascii="宋体" w:hAnsi="宋体" w:eastAsia="宋体" w:cs="宋体"/>
                <w:b w:val="0"/>
                <w:bCs/>
                <w:color w:val="000000"/>
                <w:sz w:val="24"/>
                <w:szCs w:val="24"/>
                <w:lang w:bidi="ar"/>
              </w:rPr>
              <w:t>预算金额(元)</w:t>
            </w:r>
          </w:p>
        </w:tc>
        <w:tc>
          <w:tcPr>
            <w:tcW w:w="53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22"/>
                <w:rFonts w:hint="eastAsia" w:ascii="宋体" w:hAnsi="宋体" w:eastAsia="宋体" w:cs="宋体"/>
                <w:b w:val="0"/>
                <w:bCs/>
                <w:color w:val="000000"/>
                <w:sz w:val="24"/>
                <w:szCs w:val="24"/>
                <w:lang w:bidi="ar"/>
              </w:rPr>
            </w:pPr>
            <w:r>
              <w:rPr>
                <w:rStyle w:val="22"/>
                <w:rFonts w:hint="eastAsia" w:ascii="宋体" w:hAnsi="宋体" w:eastAsia="宋体" w:cs="宋体"/>
                <w:b w:val="0"/>
                <w:bCs/>
                <w:color w:val="000000"/>
                <w:sz w:val="24"/>
                <w:szCs w:val="24"/>
                <w:lang w:bidi="ar"/>
              </w:rPr>
              <w:t>单位</w:t>
            </w:r>
          </w:p>
        </w:tc>
        <w:tc>
          <w:tcPr>
            <w:tcW w:w="5157"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22"/>
                <w:rFonts w:hint="eastAsia" w:ascii="宋体" w:hAnsi="宋体" w:eastAsia="宋体" w:cs="宋体"/>
                <w:b w:val="0"/>
                <w:bCs/>
                <w:color w:val="000000"/>
                <w:sz w:val="24"/>
                <w:szCs w:val="24"/>
                <w:lang w:bidi="ar"/>
              </w:rPr>
            </w:pPr>
            <w:r>
              <w:rPr>
                <w:rStyle w:val="22"/>
                <w:rFonts w:hint="eastAsia" w:ascii="宋体" w:hAnsi="宋体" w:eastAsia="宋体" w:cs="宋体"/>
                <w:b w:val="0"/>
                <w:bCs/>
                <w:color w:val="000000"/>
                <w:sz w:val="24"/>
                <w:szCs w:val="24"/>
                <w:lang w:bidi="ar"/>
              </w:rPr>
              <w:t>简要规格描述</w:t>
            </w:r>
          </w:p>
        </w:tc>
        <w:tc>
          <w:tcPr>
            <w:tcW w:w="981"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22"/>
                <w:rFonts w:hint="eastAsia" w:ascii="宋体" w:hAnsi="宋体" w:eastAsia="宋体" w:cs="宋体"/>
                <w:b w:val="0"/>
                <w:bCs/>
                <w:color w:val="000000"/>
                <w:sz w:val="24"/>
                <w:szCs w:val="24"/>
                <w:lang w:eastAsia="zh-CN" w:bidi="ar"/>
              </w:rPr>
            </w:pPr>
            <w:r>
              <w:rPr>
                <w:rStyle w:val="22"/>
                <w:rFonts w:hint="eastAsia" w:ascii="宋体" w:hAnsi="宋体" w:eastAsia="宋体" w:cs="宋体"/>
                <w:b w:val="0"/>
                <w:bCs/>
                <w:color w:val="000000"/>
                <w:sz w:val="24"/>
                <w:szCs w:val="24"/>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401" w:hRule="exact"/>
          <w:jc w:val="center"/>
        </w:trPr>
        <w:tc>
          <w:tcPr>
            <w:tcW w:w="58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Style w:val="22"/>
                <w:rFonts w:hint="eastAsia" w:ascii="宋体" w:hAnsi="宋体" w:eastAsia="宋体" w:cs="宋体"/>
                <w:b w:val="0"/>
                <w:bCs/>
                <w:color w:val="000000"/>
                <w:sz w:val="24"/>
                <w:szCs w:val="24"/>
                <w:lang w:bidi="ar"/>
              </w:rPr>
            </w:pPr>
            <w:r>
              <w:rPr>
                <w:rStyle w:val="22"/>
                <w:rFonts w:hint="eastAsia" w:ascii="宋体" w:hAnsi="宋体" w:eastAsia="宋体" w:cs="宋体"/>
                <w:b w:val="0"/>
                <w:bCs/>
                <w:color w:val="000000"/>
                <w:sz w:val="24"/>
                <w:szCs w:val="24"/>
                <w:lang w:bidi="ar"/>
              </w:rPr>
              <w:t>1</w:t>
            </w:r>
          </w:p>
        </w:tc>
        <w:tc>
          <w:tcPr>
            <w:tcW w:w="1197"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22"/>
                <w:rFonts w:hint="eastAsia" w:ascii="宋体" w:hAnsi="宋体" w:eastAsia="宋体" w:cs="宋体"/>
                <w:b w:val="0"/>
                <w:bCs/>
                <w:color w:val="000000"/>
                <w:sz w:val="24"/>
                <w:szCs w:val="24"/>
                <w:lang w:eastAsia="zh-CN" w:bidi="ar"/>
              </w:rPr>
            </w:pPr>
            <w:r>
              <w:rPr>
                <w:rFonts w:hint="eastAsia" w:ascii="宋体" w:hAnsi="宋体" w:eastAsia="宋体" w:cs="宋体"/>
                <w:i w:val="0"/>
                <w:iCs w:val="0"/>
                <w:caps w:val="0"/>
                <w:color w:val="333333"/>
                <w:spacing w:val="0"/>
                <w:sz w:val="24"/>
                <w:szCs w:val="24"/>
                <w:shd w:val="clear" w:color="auto" w:fill="FFFFFF"/>
                <w:lang w:eastAsia="zh-CN"/>
              </w:rPr>
              <w:t>伊犁州民用运输机场布局规划研究方案编制服务</w:t>
            </w:r>
          </w:p>
        </w:tc>
        <w:tc>
          <w:tcPr>
            <w:tcW w:w="607" w:type="dxa"/>
            <w:noWrap w:val="0"/>
            <w:tcMar>
              <w:top w:w="75" w:type="dxa"/>
              <w:left w:w="150" w:type="dxa"/>
              <w:bottom w:w="75" w:type="dxa"/>
              <w:right w:w="150" w:type="dxa"/>
            </w:tcMar>
            <w:vAlign w:val="center"/>
          </w:tcPr>
          <w:p>
            <w:pPr>
              <w:pStyle w:val="2"/>
              <w:spacing w:line="240" w:lineRule="auto"/>
              <w:ind w:left="0" w:leftChars="0" w:firstLine="0" w:firstLineChars="0"/>
              <w:jc w:val="center"/>
              <w:rPr>
                <w:rStyle w:val="22"/>
                <w:rFonts w:hint="eastAsia" w:ascii="宋体" w:hAnsi="宋体" w:eastAsia="宋体" w:cs="宋体"/>
                <w:b w:val="0"/>
                <w:bCs/>
                <w:color w:val="000000"/>
                <w:sz w:val="24"/>
                <w:szCs w:val="24"/>
                <w:lang w:val="en-US" w:eastAsia="zh-CN" w:bidi="ar"/>
              </w:rPr>
            </w:pPr>
            <w:r>
              <w:rPr>
                <w:rFonts w:hint="eastAsia" w:ascii="宋体" w:hAnsi="宋体" w:eastAsia="宋体" w:cs="宋体"/>
                <w:sz w:val="24"/>
                <w:szCs w:val="24"/>
                <w:lang w:val="en-US" w:eastAsia="zh-CN"/>
              </w:rPr>
              <w:t>1</w:t>
            </w:r>
          </w:p>
        </w:tc>
        <w:tc>
          <w:tcPr>
            <w:tcW w:w="1214"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22"/>
                <w:rFonts w:hint="default" w:ascii="宋体" w:hAnsi="宋体" w:eastAsia="宋体" w:cs="宋体"/>
                <w:b w:val="0"/>
                <w:bCs/>
                <w:color w:val="000000"/>
                <w:sz w:val="24"/>
                <w:szCs w:val="24"/>
                <w:lang w:val="en-US" w:eastAsia="zh-CN" w:bidi="ar"/>
              </w:rPr>
            </w:pPr>
            <w:r>
              <w:rPr>
                <w:rStyle w:val="22"/>
                <w:rFonts w:hint="eastAsia" w:ascii="宋体" w:hAnsi="宋体" w:eastAsia="宋体" w:cs="宋体"/>
                <w:b w:val="0"/>
                <w:bCs/>
                <w:color w:val="000000"/>
                <w:sz w:val="24"/>
                <w:szCs w:val="24"/>
                <w:lang w:val="en-US" w:eastAsia="zh-CN" w:bidi="ar"/>
              </w:rPr>
              <w:t>1100000</w:t>
            </w:r>
          </w:p>
        </w:tc>
        <w:tc>
          <w:tcPr>
            <w:tcW w:w="53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Style w:val="22"/>
                <w:rFonts w:hint="default" w:ascii="宋体" w:hAnsi="宋体" w:eastAsia="宋体" w:cs="宋体"/>
                <w:b w:val="0"/>
                <w:bCs/>
                <w:color w:val="000000"/>
                <w:sz w:val="24"/>
                <w:szCs w:val="24"/>
                <w:lang w:val="en-US" w:eastAsia="zh-CN" w:bidi="ar"/>
              </w:rPr>
            </w:pPr>
            <w:r>
              <w:rPr>
                <w:rStyle w:val="22"/>
                <w:rFonts w:hint="eastAsia" w:ascii="宋体" w:hAnsi="宋体" w:eastAsia="宋体" w:cs="宋体"/>
                <w:b w:val="0"/>
                <w:bCs/>
                <w:color w:val="000000"/>
                <w:sz w:val="24"/>
                <w:szCs w:val="24"/>
                <w:lang w:val="en-US" w:eastAsia="zh-CN" w:bidi="ar"/>
              </w:rPr>
              <w:t>项</w:t>
            </w:r>
          </w:p>
        </w:tc>
        <w:tc>
          <w:tcPr>
            <w:tcW w:w="5157" w:type="dxa"/>
            <w:noWrap w:val="0"/>
            <w:tcMar>
              <w:top w:w="75" w:type="dxa"/>
              <w:left w:w="150" w:type="dxa"/>
              <w:bottom w:w="75" w:type="dxa"/>
              <w:right w:w="150" w:type="dxa"/>
            </w:tcMar>
            <w:vAlign w:val="center"/>
          </w:tcPr>
          <w:p>
            <w:pPr>
              <w:pStyle w:val="17"/>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i w:val="0"/>
                <w:iCs w:val="0"/>
                <w:caps w:val="0"/>
                <w:color w:val="333333"/>
                <w:spacing w:val="0"/>
                <w:sz w:val="24"/>
                <w:szCs w:val="24"/>
                <w:shd w:val="clear" w:color="auto" w:fill="FFFFFF"/>
                <w:lang w:eastAsia="zh-CN"/>
              </w:rPr>
              <w:t>根据：</w:t>
            </w:r>
            <w:r>
              <w:rPr>
                <w:rFonts w:hint="eastAsia" w:ascii="宋体" w:hAnsi="宋体" w:eastAsia="宋体" w:cs="宋体"/>
                <w:i w:val="0"/>
                <w:iCs w:val="0"/>
                <w:caps w:val="0"/>
                <w:color w:val="333333"/>
                <w:spacing w:val="0"/>
                <w:sz w:val="24"/>
                <w:szCs w:val="24"/>
                <w:shd w:val="clear" w:color="auto" w:fill="FFFFFF"/>
                <w:lang w:val="en-US" w:eastAsia="zh-CN"/>
              </w:rPr>
              <w:t>1.《中华人民共和国民用航空法》、2.国务院《民用机场管理条例》、3.民航局、发改委《全国民用运输机场布局规划》、4.交通部《民用机场建设管理规定》、5.建设部、发改委《民用机场工程项目建设标准》、6.交通部《中国综合交通发展“十四五”规划》、7.民航局《中国民用航空发展“十四五”规划》、8.民航局《民用运输机场建设“十四五”规划》、9.民航局《民用运输机场选址规范》、10.民航局《民用航空支线机场建设标准》、11.民航局《民用机场飞行区技术标准》、12.新疆自治区人民政府《关于进一步推进霍尔果斯高质量发展的指导意见》、13.伊犁州发改委《伊犁哈萨克自治州直国民经济和社会发展第十四个五年规划纲要》、14.霍尔果斯市人民政府《霍尔果斯市国民经济和社会发展第十四个五年规划和二〇三五年远景目标纲要》等规范要求，</w:t>
            </w:r>
            <w:r>
              <w:rPr>
                <w:rFonts w:hint="eastAsia" w:ascii="宋体" w:hAnsi="宋体" w:eastAsia="宋体" w:cs="宋体"/>
                <w:i w:val="0"/>
                <w:iCs w:val="0"/>
                <w:caps w:val="0"/>
                <w:color w:val="333333"/>
                <w:spacing w:val="0"/>
                <w:sz w:val="24"/>
                <w:szCs w:val="24"/>
                <w:shd w:val="clear" w:color="auto" w:fill="FFFFFF"/>
                <w:lang w:eastAsia="zh-CN"/>
              </w:rPr>
              <w:t>编制完成伊犁州民用运输机场布局规划研究方案</w:t>
            </w:r>
          </w:p>
        </w:tc>
        <w:tc>
          <w:tcPr>
            <w:tcW w:w="981" w:type="dxa"/>
            <w:noWrap w:val="0"/>
            <w:tcMar>
              <w:top w:w="75" w:type="dxa"/>
              <w:left w:w="150" w:type="dxa"/>
              <w:bottom w:w="75" w:type="dxa"/>
              <w:right w:w="150" w:type="dxa"/>
            </w:tcMar>
            <w:vAlign w:val="center"/>
          </w:tcPr>
          <w:p>
            <w:pPr>
              <w:pStyle w:val="17"/>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i w:val="0"/>
                <w:iCs w:val="0"/>
                <w:caps w:val="0"/>
                <w:color w:val="333333"/>
                <w:spacing w:val="0"/>
                <w:sz w:val="24"/>
                <w:szCs w:val="24"/>
                <w:shd w:val="clear" w:color="auto" w:fill="FFFFFF"/>
                <w:lang w:eastAsia="zh-CN"/>
              </w:rPr>
              <w:t>采购内容：编制完成伊犁州民用运输机场布局规划研究方案</w:t>
            </w:r>
          </w:p>
        </w:tc>
      </w:tr>
    </w:tbl>
    <w:p>
      <w:pPr>
        <w:pStyle w:val="16"/>
        <w:keepNext w:val="0"/>
        <w:keepLines w:val="0"/>
        <w:pageBreakBefore w:val="0"/>
        <w:kinsoku/>
        <w:wordWrap/>
        <w:overflowPunct/>
        <w:topLinePunct w:val="0"/>
        <w:autoSpaceDE/>
        <w:autoSpaceDN/>
        <w:bidi w:val="0"/>
        <w:adjustRightInd/>
        <w:snapToGrid/>
        <w:spacing w:before="0" w:after="0" w:line="240" w:lineRule="auto"/>
        <w:textAlignment w:val="auto"/>
        <w:rPr>
          <w:rStyle w:val="22"/>
          <w:rFonts w:hint="eastAsia" w:ascii="宋体" w:hAnsi="宋体" w:eastAsia="宋体" w:cs="宋体"/>
          <w:bCs w:val="0"/>
          <w:color w:val="000000"/>
          <w:sz w:val="24"/>
          <w:szCs w:val="24"/>
          <w:lang w:bidi="ar"/>
        </w:rPr>
      </w:pPr>
      <w:r>
        <w:rPr>
          <w:rStyle w:val="22"/>
          <w:rFonts w:hint="eastAsia" w:ascii="宋体" w:hAnsi="宋体" w:eastAsia="宋体" w:cs="宋体"/>
          <w:bCs w:val="0"/>
          <w:color w:val="000000"/>
          <w:sz w:val="24"/>
          <w:szCs w:val="24"/>
          <w:lang w:bidi="ar"/>
        </w:rPr>
        <w:t>四、投标供应商资格要求:</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i w:val="0"/>
          <w:iCs w:val="0"/>
          <w:caps w:val="0"/>
          <w:color w:val="000000"/>
          <w:spacing w:val="0"/>
          <w:sz w:val="24"/>
          <w:szCs w:val="24"/>
          <w:shd w:val="clear" w:color="auto" w:fill="FAFAFA"/>
        </w:rPr>
      </w:pPr>
      <w:r>
        <w:rPr>
          <w:rFonts w:hint="eastAsia" w:ascii="宋体" w:hAnsi="宋体" w:eastAsia="宋体" w:cs="宋体"/>
          <w:i w:val="0"/>
          <w:iCs w:val="0"/>
          <w:caps w:val="0"/>
          <w:color w:val="000000"/>
          <w:spacing w:val="0"/>
          <w:sz w:val="24"/>
          <w:szCs w:val="24"/>
          <w:shd w:val="clear" w:color="auto" w:fill="FAFAFA"/>
        </w:rPr>
        <w:t>1.符合《中华人民共和国政府采购法》第二十二条的规定</w:t>
      </w:r>
      <w:r>
        <w:rPr>
          <w:rFonts w:hint="eastAsia" w:cs="宋体"/>
          <w:i w:val="0"/>
          <w:iCs w:val="0"/>
          <w:caps w:val="0"/>
          <w:color w:val="000000"/>
          <w:spacing w:val="0"/>
          <w:sz w:val="24"/>
          <w:szCs w:val="24"/>
          <w:shd w:val="clear" w:color="auto" w:fill="FAFAFA"/>
          <w:lang w:eastAsia="zh-CN"/>
        </w:rPr>
        <w:t>；</w:t>
      </w:r>
      <w:r>
        <w:rPr>
          <w:rFonts w:hint="eastAsia" w:ascii="宋体" w:hAnsi="宋体" w:eastAsia="宋体" w:cs="宋体"/>
          <w:i w:val="0"/>
          <w:iCs w:val="0"/>
          <w:caps w:val="0"/>
          <w:color w:val="000000"/>
          <w:spacing w:val="0"/>
          <w:sz w:val="24"/>
          <w:szCs w:val="24"/>
          <w:shd w:val="clear" w:color="auto" w:fill="FAFAFA"/>
        </w:rPr>
        <w:t xml:space="preserve"> </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i w:val="0"/>
          <w:iCs w:val="0"/>
          <w:caps w:val="0"/>
          <w:color w:val="000000"/>
          <w:spacing w:val="0"/>
          <w:sz w:val="24"/>
          <w:szCs w:val="24"/>
          <w:shd w:val="clear" w:color="auto" w:fill="FAFAFA"/>
        </w:rPr>
      </w:pPr>
      <w:r>
        <w:rPr>
          <w:rFonts w:hint="eastAsia" w:ascii="宋体" w:hAnsi="宋体" w:eastAsia="宋体" w:cs="宋体"/>
          <w:i w:val="0"/>
          <w:iCs w:val="0"/>
          <w:caps w:val="0"/>
          <w:color w:val="000000"/>
          <w:spacing w:val="0"/>
          <w:sz w:val="24"/>
          <w:szCs w:val="24"/>
          <w:shd w:val="clear" w:color="auto" w:fill="FAFAFA"/>
        </w:rPr>
        <w:t>2</w:t>
      </w:r>
      <w:r>
        <w:rPr>
          <w:rFonts w:hint="eastAsia" w:cs="宋体"/>
          <w:i w:val="0"/>
          <w:iCs w:val="0"/>
          <w:caps w:val="0"/>
          <w:color w:val="000000"/>
          <w:spacing w:val="0"/>
          <w:sz w:val="24"/>
          <w:szCs w:val="24"/>
          <w:shd w:val="clear" w:color="auto" w:fill="FAFAFA"/>
          <w:lang w:val="en-US" w:eastAsia="zh-CN"/>
        </w:rPr>
        <w:t>.</w:t>
      </w:r>
      <w:r>
        <w:rPr>
          <w:rFonts w:hint="eastAsia" w:ascii="宋体" w:hAnsi="宋体" w:eastAsia="宋体" w:cs="宋体"/>
          <w:i w:val="0"/>
          <w:iCs w:val="0"/>
          <w:caps w:val="0"/>
          <w:color w:val="000000"/>
          <w:spacing w:val="0"/>
          <w:sz w:val="24"/>
          <w:szCs w:val="24"/>
          <w:shd w:val="clear" w:color="auto" w:fill="FAFAFA"/>
        </w:rPr>
        <w:t>未被“信用中国”（www.creditchina.gov.cn）、中国政府采购网（www.ccgp.gov.cn）列入失信被执行人、重大税收违法案件当事人名单、政府采购严重违法失信行为记录名单</w:t>
      </w:r>
      <w:r>
        <w:rPr>
          <w:rFonts w:hint="eastAsia" w:cs="宋体"/>
          <w:i w:val="0"/>
          <w:iCs w:val="0"/>
          <w:caps w:val="0"/>
          <w:color w:val="000000"/>
          <w:spacing w:val="0"/>
          <w:sz w:val="24"/>
          <w:szCs w:val="24"/>
          <w:shd w:val="clear" w:color="auto" w:fill="FAFAFA"/>
          <w:lang w:eastAsia="zh-CN"/>
        </w:rPr>
        <w:t>；</w:t>
      </w:r>
      <w:r>
        <w:rPr>
          <w:rFonts w:hint="eastAsia" w:ascii="宋体" w:hAnsi="宋体" w:eastAsia="宋体" w:cs="宋体"/>
          <w:i w:val="0"/>
          <w:iCs w:val="0"/>
          <w:caps w:val="0"/>
          <w:color w:val="000000"/>
          <w:spacing w:val="0"/>
          <w:sz w:val="24"/>
          <w:szCs w:val="24"/>
          <w:shd w:val="clear" w:color="auto" w:fill="FAFAFA"/>
        </w:rPr>
        <w:t xml:space="preserve"> </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AFAFA"/>
        </w:rPr>
        <w:t xml:space="preserve">3. </w:t>
      </w:r>
      <w:r>
        <w:rPr>
          <w:rFonts w:hint="eastAsia" w:ascii="宋体" w:hAnsi="宋体" w:eastAsia="宋体" w:cs="宋体"/>
          <w:color w:val="auto"/>
          <w:sz w:val="24"/>
          <w:szCs w:val="24"/>
        </w:rPr>
        <w:t>中华人民共和国境内法人或者其他组织，具有独立承担民事责任的能力</w:t>
      </w:r>
      <w:r>
        <w:rPr>
          <w:rFonts w:hint="eastAsia" w:cs="宋体"/>
          <w:color w:val="auto"/>
          <w:sz w:val="24"/>
          <w:szCs w:val="24"/>
          <w:lang w:eastAsia="zh-CN"/>
        </w:rPr>
        <w:t>；</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i w:val="0"/>
          <w:iCs w:val="0"/>
          <w:caps w:val="0"/>
          <w:color w:val="000000"/>
          <w:spacing w:val="0"/>
          <w:sz w:val="24"/>
          <w:szCs w:val="24"/>
          <w:shd w:val="clear" w:color="auto" w:fill="FAFAFA"/>
        </w:rPr>
      </w:pPr>
      <w:r>
        <w:rPr>
          <w:rFonts w:hint="eastAsia" w:cs="宋体"/>
          <w:color w:val="000000"/>
          <w:sz w:val="24"/>
          <w:szCs w:val="24"/>
          <w:lang w:val="en-US" w:eastAsia="zh-CN"/>
        </w:rPr>
        <w:t>4.</w:t>
      </w:r>
      <w:r>
        <w:rPr>
          <w:rFonts w:hint="eastAsia" w:cs="宋体"/>
          <w:i w:val="0"/>
          <w:iCs w:val="0"/>
          <w:caps w:val="0"/>
          <w:color w:val="000000"/>
          <w:spacing w:val="0"/>
          <w:sz w:val="24"/>
          <w:szCs w:val="24"/>
          <w:shd w:val="clear" w:color="auto" w:fill="FAFAFA"/>
          <w:lang w:eastAsia="zh-CN"/>
        </w:rPr>
        <w:t>投标人须具备有效的营业执照或企事业单位法人证书；</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cs="仿宋"/>
          <w:sz w:val="24"/>
          <w:szCs w:val="24"/>
          <w:lang w:eastAsia="zh-CN"/>
        </w:rPr>
      </w:pPr>
      <w:r>
        <w:rPr>
          <w:rFonts w:hint="eastAsia" w:cs="宋体"/>
          <w:i w:val="0"/>
          <w:iCs w:val="0"/>
          <w:caps w:val="0"/>
          <w:color w:val="000000"/>
          <w:spacing w:val="0"/>
          <w:sz w:val="24"/>
          <w:szCs w:val="24"/>
          <w:shd w:val="clear" w:color="auto" w:fill="FAFAFA"/>
          <w:lang w:val="en-US" w:eastAsia="zh-CN"/>
        </w:rPr>
        <w:t>5.</w:t>
      </w:r>
      <w:r>
        <w:rPr>
          <w:rFonts w:hint="eastAsia" w:ascii="宋体" w:hAnsi="宋体" w:cs="宋体"/>
          <w:sz w:val="24"/>
        </w:rPr>
        <w:t>投标人须具有</w:t>
      </w:r>
      <w:r>
        <w:rPr>
          <w:rFonts w:hint="eastAsia" w:ascii="宋体" w:hAnsi="宋体" w:cs="宋体"/>
          <w:sz w:val="24"/>
          <w:lang w:eastAsia="zh-CN"/>
        </w:rPr>
        <w:t>工程咨询单位</w:t>
      </w:r>
      <w:r>
        <w:rPr>
          <w:rFonts w:hint="eastAsia" w:ascii="宋体" w:hAnsi="宋体" w:cs="宋体"/>
          <w:sz w:val="24"/>
        </w:rPr>
        <w:t>乙级</w:t>
      </w:r>
      <w:r>
        <w:rPr>
          <w:rFonts w:hint="eastAsia" w:ascii="宋体" w:hAnsi="宋体" w:cs="宋体"/>
          <w:sz w:val="24"/>
          <w:lang w:eastAsia="zh-CN"/>
        </w:rPr>
        <w:t>资信证书</w:t>
      </w:r>
      <w:r>
        <w:rPr>
          <w:rFonts w:hint="eastAsia" w:cs="宋体"/>
          <w:sz w:val="24"/>
          <w:lang w:eastAsia="zh-CN"/>
        </w:rPr>
        <w:t>（民航专业）</w:t>
      </w:r>
      <w:r>
        <w:rPr>
          <w:rFonts w:hint="eastAsia" w:ascii="宋体" w:hAnsi="宋体" w:cs="宋体"/>
          <w:sz w:val="24"/>
        </w:rPr>
        <w:t>及以上资</w:t>
      </w:r>
      <w:r>
        <w:rPr>
          <w:rFonts w:hint="eastAsia" w:ascii="宋体" w:hAnsi="宋体" w:cs="宋体"/>
          <w:sz w:val="24"/>
          <w:lang w:eastAsia="zh-CN"/>
        </w:rPr>
        <w:t>格</w:t>
      </w:r>
      <w:r>
        <w:rPr>
          <w:rFonts w:hint="eastAsia" w:ascii="宋体" w:hAnsi="宋体" w:cs="宋体"/>
          <w:sz w:val="24"/>
        </w:rPr>
        <w:t>；投标人还需具有履行合同所必须的专业技术、设备和经济能力，具有良好的商业信誉</w:t>
      </w:r>
      <w:r>
        <w:rPr>
          <w:rFonts w:hint="eastAsia" w:cs="仿宋"/>
          <w:sz w:val="24"/>
          <w:szCs w:val="24"/>
          <w:lang w:eastAsia="zh-CN"/>
        </w:rPr>
        <w:t>；</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cs="仿宋"/>
          <w:sz w:val="24"/>
          <w:szCs w:val="24"/>
          <w:lang w:val="en-US" w:eastAsia="zh-CN"/>
        </w:rPr>
      </w:pPr>
      <w:r>
        <w:rPr>
          <w:rFonts w:hint="eastAsia" w:cs="仿宋"/>
          <w:sz w:val="24"/>
          <w:szCs w:val="24"/>
          <w:lang w:val="en-US" w:eastAsia="zh-CN"/>
        </w:rPr>
        <w:t>6.项目负责人须具有高级职称资格。</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cs="仿宋"/>
          <w:sz w:val="24"/>
          <w:szCs w:val="24"/>
          <w:lang w:val="en-US" w:eastAsia="zh-CN"/>
        </w:rPr>
      </w:pPr>
      <w:r>
        <w:rPr>
          <w:rFonts w:hint="eastAsia" w:cs="仿宋"/>
          <w:sz w:val="24"/>
          <w:szCs w:val="24"/>
          <w:lang w:val="en-US" w:eastAsia="zh-CN"/>
        </w:rPr>
        <w:t>7.类似业绩：具有3个以上机场布局规划或机场发展规划类项目（含）。</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仿宋"/>
          <w:sz w:val="24"/>
          <w:szCs w:val="24"/>
        </w:rPr>
      </w:pPr>
      <w:r>
        <w:rPr>
          <w:rFonts w:hint="eastAsia" w:cs="仿宋"/>
          <w:sz w:val="24"/>
          <w:szCs w:val="24"/>
          <w:lang w:val="en-US" w:eastAsia="zh-CN"/>
        </w:rPr>
        <w:t>8</w:t>
      </w:r>
      <w:r>
        <w:rPr>
          <w:rFonts w:hint="eastAsia" w:ascii="宋体" w:hAnsi="宋体" w:cs="仿宋"/>
          <w:sz w:val="24"/>
          <w:szCs w:val="24"/>
          <w:lang w:val="en-US" w:eastAsia="zh-CN"/>
        </w:rPr>
        <w:t>.</w:t>
      </w:r>
      <w:r>
        <w:rPr>
          <w:rFonts w:hint="eastAsia" w:ascii="宋体" w:hAnsi="宋体" w:cs="仿宋"/>
          <w:sz w:val="24"/>
          <w:szCs w:val="24"/>
        </w:rPr>
        <w:t>本项目不接受联合体投标。</w:t>
      </w:r>
    </w:p>
    <w:p>
      <w:pPr>
        <w:spacing w:line="360" w:lineRule="auto"/>
      </w:pPr>
      <w:r>
        <w:rPr>
          <w:rFonts w:hint="eastAsia" w:ascii="宋体" w:hAnsi="宋体" w:cs="仿宋"/>
          <w:sz w:val="24"/>
          <w:szCs w:val="24"/>
          <w:lang w:eastAsia="zh-CN"/>
        </w:rPr>
        <w:t>备注：</w:t>
      </w:r>
      <w:r>
        <w:rPr>
          <w:rFonts w:hint="eastAsia" w:ascii="宋体" w:hAnsi="宋体" w:cs="仿宋"/>
          <w:sz w:val="24"/>
          <w:szCs w:val="24"/>
        </w:rPr>
        <w:t>对列入失信被执行人、重大税收违法案件当事人名单、政府采购严重违法失信行为记录名单的供应商拒绝参与政府采购活动。</w:t>
      </w:r>
    </w:p>
    <w:p>
      <w:pPr>
        <w:pStyle w:val="16"/>
        <w:keepNext w:val="0"/>
        <w:keepLines w:val="0"/>
        <w:pageBreakBefore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000000"/>
          <w:sz w:val="24"/>
          <w:szCs w:val="24"/>
        </w:rPr>
      </w:pPr>
      <w:r>
        <w:rPr>
          <w:rStyle w:val="22"/>
          <w:rFonts w:hint="eastAsia" w:ascii="宋体" w:hAnsi="宋体" w:eastAsia="宋体" w:cs="宋体"/>
          <w:color w:val="000000"/>
          <w:sz w:val="24"/>
          <w:szCs w:val="24"/>
        </w:rPr>
        <w:t>五、</w:t>
      </w:r>
      <w:r>
        <w:rPr>
          <w:rStyle w:val="22"/>
          <w:rFonts w:hint="eastAsia" w:eastAsia="宋体" w:cs="宋体"/>
          <w:color w:val="000000"/>
          <w:sz w:val="24"/>
          <w:szCs w:val="24"/>
          <w:lang w:eastAsia="zh-CN"/>
        </w:rPr>
        <w:t>获取采购文件</w:t>
      </w:r>
      <w:r>
        <w:rPr>
          <w:rStyle w:val="22"/>
          <w:rFonts w:hint="eastAsia" w:ascii="宋体" w:hAnsi="宋体" w:eastAsia="宋体" w:cs="宋体"/>
          <w:color w:val="000000"/>
          <w:sz w:val="24"/>
          <w:szCs w:val="24"/>
        </w:rPr>
        <w:t>时间、地址、售价:</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i w:val="0"/>
          <w:iCs w:val="0"/>
          <w:caps w:val="0"/>
          <w:color w:val="000000"/>
          <w:spacing w:val="0"/>
          <w:sz w:val="24"/>
          <w:szCs w:val="24"/>
          <w:shd w:val="clear" w:color="auto" w:fill="FAFAFA"/>
          <w:lang w:val="en-US"/>
        </w:rPr>
      </w:pPr>
      <w:r>
        <w:rPr>
          <w:rFonts w:hint="eastAsia" w:ascii="宋体" w:hAnsi="宋体" w:eastAsia="宋体" w:cs="宋体"/>
          <w:i w:val="0"/>
          <w:iCs w:val="0"/>
          <w:caps w:val="0"/>
          <w:color w:val="000000"/>
          <w:spacing w:val="0"/>
          <w:sz w:val="24"/>
          <w:szCs w:val="24"/>
          <w:shd w:val="clear" w:color="auto" w:fill="FAFAFA"/>
        </w:rPr>
        <w:t>1．时间：202</w:t>
      </w:r>
      <w:r>
        <w:rPr>
          <w:rFonts w:hint="eastAsia" w:ascii="宋体" w:hAnsi="宋体" w:eastAsia="宋体" w:cs="宋体"/>
          <w:i w:val="0"/>
          <w:iCs w:val="0"/>
          <w:caps w:val="0"/>
          <w:color w:val="000000"/>
          <w:spacing w:val="0"/>
          <w:sz w:val="24"/>
          <w:szCs w:val="24"/>
          <w:shd w:val="clear" w:color="auto" w:fill="FAFAFA"/>
          <w:lang w:val="en-US" w:eastAsia="zh-CN"/>
        </w:rPr>
        <w:t>1</w:t>
      </w:r>
      <w:r>
        <w:rPr>
          <w:rFonts w:hint="eastAsia" w:ascii="宋体" w:hAnsi="宋体" w:eastAsia="宋体" w:cs="宋体"/>
          <w:i w:val="0"/>
          <w:iCs w:val="0"/>
          <w:caps w:val="0"/>
          <w:color w:val="000000"/>
          <w:spacing w:val="0"/>
          <w:sz w:val="24"/>
          <w:szCs w:val="24"/>
          <w:shd w:val="clear" w:color="auto" w:fill="FAFAFA"/>
        </w:rPr>
        <w:t>-</w:t>
      </w:r>
      <w:r>
        <w:rPr>
          <w:rFonts w:hint="eastAsia" w:ascii="宋体" w:hAnsi="宋体" w:eastAsia="宋体" w:cs="宋体"/>
          <w:i w:val="0"/>
          <w:iCs w:val="0"/>
          <w:caps w:val="0"/>
          <w:color w:val="000000"/>
          <w:spacing w:val="0"/>
          <w:sz w:val="24"/>
          <w:szCs w:val="24"/>
          <w:shd w:val="clear" w:color="auto" w:fill="FAFAFA"/>
          <w:lang w:val="en-US" w:eastAsia="zh-CN"/>
        </w:rPr>
        <w:t>9</w:t>
      </w:r>
      <w:r>
        <w:rPr>
          <w:rFonts w:hint="eastAsia" w:ascii="宋体" w:hAnsi="宋体" w:eastAsia="宋体" w:cs="宋体"/>
          <w:i w:val="0"/>
          <w:iCs w:val="0"/>
          <w:caps w:val="0"/>
          <w:color w:val="000000"/>
          <w:spacing w:val="0"/>
          <w:sz w:val="24"/>
          <w:szCs w:val="24"/>
          <w:shd w:val="clear" w:color="auto" w:fill="FAFAFA"/>
        </w:rPr>
        <w:t>-</w:t>
      </w:r>
      <w:r>
        <w:rPr>
          <w:rFonts w:hint="eastAsia" w:ascii="宋体" w:hAnsi="宋体" w:eastAsia="宋体" w:cs="宋体"/>
          <w:i w:val="0"/>
          <w:iCs w:val="0"/>
          <w:caps w:val="0"/>
          <w:color w:val="000000"/>
          <w:spacing w:val="0"/>
          <w:sz w:val="24"/>
          <w:szCs w:val="24"/>
          <w:shd w:val="clear" w:color="auto" w:fill="FAFAFA"/>
          <w:lang w:val="en-US" w:eastAsia="zh-CN"/>
        </w:rPr>
        <w:t>17</w:t>
      </w:r>
      <w:r>
        <w:rPr>
          <w:rFonts w:hint="eastAsia" w:ascii="宋体" w:hAnsi="宋体" w:eastAsia="宋体" w:cs="宋体"/>
          <w:i w:val="0"/>
          <w:iCs w:val="0"/>
          <w:caps w:val="0"/>
          <w:color w:val="000000"/>
          <w:spacing w:val="0"/>
          <w:sz w:val="24"/>
          <w:szCs w:val="24"/>
          <w:shd w:val="clear" w:color="auto" w:fill="FAFAFA"/>
          <w:lang w:eastAsia="zh-CN"/>
        </w:rPr>
        <w:t>上午</w:t>
      </w:r>
      <w:r>
        <w:rPr>
          <w:rFonts w:hint="eastAsia" w:ascii="宋体" w:hAnsi="宋体" w:eastAsia="宋体" w:cs="宋体"/>
          <w:i w:val="0"/>
          <w:iCs w:val="0"/>
          <w:caps w:val="0"/>
          <w:color w:val="000000"/>
          <w:spacing w:val="0"/>
          <w:sz w:val="24"/>
          <w:szCs w:val="24"/>
          <w:shd w:val="clear" w:color="auto" w:fill="FAFAFA"/>
          <w:lang w:val="en-US" w:eastAsia="zh-CN"/>
        </w:rPr>
        <w:t>10：00</w:t>
      </w:r>
      <w:r>
        <w:rPr>
          <w:rFonts w:hint="eastAsia" w:ascii="宋体" w:hAnsi="宋体" w:eastAsia="宋体" w:cs="宋体"/>
          <w:i w:val="0"/>
          <w:iCs w:val="0"/>
          <w:caps w:val="0"/>
          <w:color w:val="000000"/>
          <w:spacing w:val="0"/>
          <w:sz w:val="24"/>
          <w:szCs w:val="24"/>
          <w:shd w:val="clear" w:color="auto" w:fill="FAFAFA"/>
        </w:rPr>
        <w:t>至202</w:t>
      </w:r>
      <w:r>
        <w:rPr>
          <w:rFonts w:hint="eastAsia" w:ascii="宋体" w:hAnsi="宋体" w:eastAsia="宋体" w:cs="宋体"/>
          <w:i w:val="0"/>
          <w:iCs w:val="0"/>
          <w:caps w:val="0"/>
          <w:color w:val="000000"/>
          <w:spacing w:val="0"/>
          <w:sz w:val="24"/>
          <w:szCs w:val="24"/>
          <w:shd w:val="clear" w:color="auto" w:fill="FAFAFA"/>
          <w:lang w:val="en-US" w:eastAsia="zh-CN"/>
        </w:rPr>
        <w:t>1</w:t>
      </w:r>
      <w:r>
        <w:rPr>
          <w:rFonts w:hint="eastAsia" w:ascii="宋体" w:hAnsi="宋体" w:eastAsia="宋体" w:cs="宋体"/>
          <w:i w:val="0"/>
          <w:iCs w:val="0"/>
          <w:caps w:val="0"/>
          <w:color w:val="000000"/>
          <w:spacing w:val="0"/>
          <w:sz w:val="24"/>
          <w:szCs w:val="24"/>
          <w:shd w:val="clear" w:color="auto" w:fill="FAFAFA"/>
        </w:rPr>
        <w:t>-</w:t>
      </w:r>
      <w:r>
        <w:rPr>
          <w:rFonts w:hint="eastAsia" w:ascii="宋体" w:hAnsi="宋体" w:eastAsia="宋体" w:cs="宋体"/>
          <w:i w:val="0"/>
          <w:iCs w:val="0"/>
          <w:caps w:val="0"/>
          <w:color w:val="000000"/>
          <w:spacing w:val="0"/>
          <w:sz w:val="24"/>
          <w:szCs w:val="24"/>
          <w:shd w:val="clear" w:color="auto" w:fill="FAFAFA"/>
          <w:lang w:val="en-US" w:eastAsia="zh-CN"/>
        </w:rPr>
        <w:t>9</w:t>
      </w:r>
      <w:r>
        <w:rPr>
          <w:rFonts w:hint="eastAsia" w:ascii="宋体" w:hAnsi="宋体" w:eastAsia="宋体" w:cs="宋体"/>
          <w:i w:val="0"/>
          <w:iCs w:val="0"/>
          <w:caps w:val="0"/>
          <w:color w:val="000000"/>
          <w:spacing w:val="0"/>
          <w:sz w:val="24"/>
          <w:szCs w:val="24"/>
          <w:shd w:val="clear" w:color="auto" w:fill="FAFAFA"/>
        </w:rPr>
        <w:t>-</w:t>
      </w:r>
      <w:r>
        <w:rPr>
          <w:rFonts w:hint="eastAsia" w:ascii="宋体" w:hAnsi="宋体" w:eastAsia="宋体" w:cs="宋体"/>
          <w:i w:val="0"/>
          <w:iCs w:val="0"/>
          <w:caps w:val="0"/>
          <w:color w:val="000000"/>
          <w:spacing w:val="0"/>
          <w:sz w:val="24"/>
          <w:szCs w:val="24"/>
          <w:shd w:val="clear" w:color="auto" w:fill="FAFAFA"/>
          <w:lang w:val="en-US" w:eastAsia="zh-CN"/>
        </w:rPr>
        <w:t>24下午19：30</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i w:val="0"/>
          <w:iCs w:val="0"/>
          <w:caps w:val="0"/>
          <w:color w:val="000000"/>
          <w:spacing w:val="0"/>
          <w:sz w:val="24"/>
          <w:szCs w:val="24"/>
          <w:shd w:val="clear" w:color="auto" w:fill="FAFAFA"/>
        </w:rPr>
      </w:pPr>
      <w:r>
        <w:rPr>
          <w:rFonts w:hint="eastAsia" w:ascii="宋体" w:hAnsi="宋体" w:eastAsia="宋体" w:cs="宋体"/>
          <w:i w:val="0"/>
          <w:iCs w:val="0"/>
          <w:caps w:val="0"/>
          <w:color w:val="000000"/>
          <w:spacing w:val="0"/>
          <w:sz w:val="24"/>
          <w:szCs w:val="24"/>
          <w:shd w:val="clear" w:color="auto" w:fill="FAFAFA"/>
          <w:lang w:val="en-US" w:eastAsia="zh-CN"/>
        </w:rPr>
        <w:t>2.</w:t>
      </w:r>
      <w:r>
        <w:rPr>
          <w:rFonts w:hint="eastAsia" w:ascii="宋体" w:hAnsi="宋体" w:eastAsia="宋体" w:cs="宋体"/>
          <w:i w:val="0"/>
          <w:iCs w:val="0"/>
          <w:caps w:val="0"/>
          <w:color w:val="000000"/>
          <w:spacing w:val="0"/>
          <w:sz w:val="24"/>
          <w:szCs w:val="24"/>
          <w:shd w:val="clear" w:color="auto" w:fill="FAFAFA"/>
        </w:rPr>
        <w:t>地址：</w:t>
      </w:r>
      <w:r>
        <w:rPr>
          <w:rFonts w:hint="eastAsia" w:ascii="宋体" w:hAnsi="宋体" w:eastAsia="宋体" w:cs="宋体"/>
          <w:i w:val="0"/>
          <w:iCs w:val="0"/>
          <w:caps w:val="0"/>
          <w:color w:val="000000"/>
          <w:spacing w:val="0"/>
          <w:sz w:val="24"/>
          <w:szCs w:val="24"/>
          <w:shd w:val="clear" w:color="auto" w:fill="FAFAFA"/>
          <w:lang w:eastAsia="zh-CN"/>
        </w:rPr>
        <w:t>政采云平台</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i w:val="0"/>
          <w:iCs w:val="0"/>
          <w:caps w:val="0"/>
          <w:color w:val="000000"/>
          <w:spacing w:val="0"/>
          <w:sz w:val="24"/>
          <w:szCs w:val="24"/>
          <w:shd w:val="clear" w:color="auto" w:fill="FAFAFA"/>
        </w:rPr>
      </w:pPr>
      <w:r>
        <w:rPr>
          <w:rFonts w:hint="eastAsia" w:ascii="宋体" w:hAnsi="宋体" w:eastAsia="宋体" w:cs="宋体"/>
          <w:i w:val="0"/>
          <w:iCs w:val="0"/>
          <w:caps w:val="0"/>
          <w:color w:val="000000"/>
          <w:spacing w:val="0"/>
          <w:sz w:val="24"/>
          <w:szCs w:val="24"/>
          <w:shd w:val="clear" w:color="auto" w:fill="FAFAFA"/>
          <w:lang w:val="en-US" w:eastAsia="zh-CN"/>
        </w:rPr>
        <w:t>3.</w:t>
      </w:r>
      <w:r>
        <w:rPr>
          <w:rFonts w:hint="eastAsia" w:ascii="宋体" w:hAnsi="宋体" w:eastAsia="宋体" w:cs="宋体"/>
          <w:i w:val="0"/>
          <w:iCs w:val="0"/>
          <w:caps w:val="0"/>
          <w:color w:val="000000"/>
          <w:spacing w:val="0"/>
          <w:sz w:val="24"/>
          <w:szCs w:val="24"/>
          <w:shd w:val="clear" w:color="auto" w:fill="FAFAFA"/>
        </w:rPr>
        <w:t>方式：供应商登录政采云平台https://www.zcygov.cn/在线申请获取采购文件（进入“项目采购”应用，在获取采购文件菜单中选择项目，申请获取采购文件）</w:t>
      </w:r>
    </w:p>
    <w:p>
      <w:pPr>
        <w:pStyle w:val="16"/>
        <w:keepNext w:val="0"/>
        <w:keepLines w:val="0"/>
        <w:pageBreakBefore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sz w:val="24"/>
          <w:szCs w:val="24"/>
          <w:highlight w:val="none"/>
        </w:rPr>
      </w:pPr>
      <w:bookmarkStart w:id="14" w:name="_Toc30153"/>
      <w:r>
        <w:rPr>
          <w:rStyle w:val="22"/>
          <w:rFonts w:hint="eastAsia" w:ascii="宋体" w:hAnsi="宋体" w:eastAsia="宋体" w:cs="宋体"/>
          <w:color w:val="auto"/>
          <w:sz w:val="24"/>
          <w:szCs w:val="24"/>
          <w:highlight w:val="none"/>
        </w:rPr>
        <w:t>六、 投标截止时间：202</w:t>
      </w:r>
      <w:r>
        <w:rPr>
          <w:rStyle w:val="22"/>
          <w:rFonts w:hint="eastAsia" w:cs="宋体"/>
          <w:color w:val="auto"/>
          <w:sz w:val="24"/>
          <w:szCs w:val="24"/>
          <w:highlight w:val="none"/>
          <w:lang w:val="en-US" w:eastAsia="zh-CN"/>
        </w:rPr>
        <w:t>1</w:t>
      </w:r>
      <w:r>
        <w:rPr>
          <w:rStyle w:val="22"/>
          <w:rFonts w:hint="eastAsia" w:ascii="宋体" w:hAnsi="宋体" w:eastAsia="宋体" w:cs="宋体"/>
          <w:color w:val="auto"/>
          <w:sz w:val="24"/>
          <w:szCs w:val="24"/>
          <w:highlight w:val="none"/>
        </w:rPr>
        <w:t>-</w:t>
      </w:r>
      <w:r>
        <w:rPr>
          <w:rStyle w:val="22"/>
          <w:rFonts w:hint="eastAsia" w:cs="宋体"/>
          <w:color w:val="auto"/>
          <w:sz w:val="24"/>
          <w:szCs w:val="24"/>
          <w:highlight w:val="none"/>
          <w:lang w:val="en-US" w:eastAsia="zh-CN"/>
        </w:rPr>
        <w:t>10</w:t>
      </w:r>
      <w:r>
        <w:rPr>
          <w:rStyle w:val="22"/>
          <w:rFonts w:hint="eastAsia" w:ascii="宋体" w:hAnsi="宋体" w:eastAsia="宋体" w:cs="宋体"/>
          <w:color w:val="auto"/>
          <w:sz w:val="24"/>
          <w:szCs w:val="24"/>
          <w:highlight w:val="none"/>
        </w:rPr>
        <w:t>-</w:t>
      </w:r>
      <w:r>
        <w:rPr>
          <w:rStyle w:val="22"/>
          <w:rFonts w:hint="eastAsia" w:ascii="宋体" w:hAnsi="宋体" w:eastAsia="宋体" w:cs="宋体"/>
          <w:color w:val="auto"/>
          <w:sz w:val="24"/>
          <w:szCs w:val="24"/>
          <w:highlight w:val="none"/>
          <w:lang w:val="en-US" w:eastAsia="zh-CN"/>
        </w:rPr>
        <w:t>0</w:t>
      </w:r>
      <w:r>
        <w:rPr>
          <w:rStyle w:val="22"/>
          <w:rFonts w:hint="eastAsia" w:cs="宋体"/>
          <w:color w:val="auto"/>
          <w:sz w:val="24"/>
          <w:szCs w:val="24"/>
          <w:highlight w:val="none"/>
          <w:lang w:val="en-US" w:eastAsia="zh-CN"/>
        </w:rPr>
        <w:t>8</w:t>
      </w:r>
      <w:r>
        <w:rPr>
          <w:rStyle w:val="22"/>
          <w:rFonts w:hint="eastAsia" w:ascii="宋体" w:hAnsi="宋体" w:eastAsia="宋体" w:cs="宋体"/>
          <w:color w:val="auto"/>
          <w:sz w:val="24"/>
          <w:szCs w:val="24"/>
          <w:highlight w:val="none"/>
          <w:lang w:val="en-US" w:eastAsia="zh-CN"/>
        </w:rPr>
        <w:t xml:space="preserve">  </w:t>
      </w:r>
      <w:r>
        <w:rPr>
          <w:rStyle w:val="22"/>
          <w:rFonts w:hint="eastAsia" w:ascii="宋体" w:hAnsi="宋体" w:eastAsia="宋体" w:cs="宋体"/>
          <w:color w:val="auto"/>
          <w:sz w:val="24"/>
          <w:szCs w:val="24"/>
          <w:highlight w:val="none"/>
        </w:rPr>
        <w:t>1</w:t>
      </w:r>
      <w:r>
        <w:rPr>
          <w:rStyle w:val="22"/>
          <w:rFonts w:hint="eastAsia" w:cs="宋体"/>
          <w:color w:val="auto"/>
          <w:sz w:val="24"/>
          <w:szCs w:val="24"/>
          <w:highlight w:val="none"/>
          <w:lang w:val="en-US" w:eastAsia="zh-CN"/>
        </w:rPr>
        <w:t>6</w:t>
      </w:r>
      <w:r>
        <w:rPr>
          <w:rStyle w:val="22"/>
          <w:rFonts w:hint="eastAsia" w:ascii="宋体" w:hAnsi="宋体" w:eastAsia="宋体" w:cs="宋体"/>
          <w:color w:val="auto"/>
          <w:sz w:val="24"/>
          <w:szCs w:val="24"/>
          <w:highlight w:val="none"/>
        </w:rPr>
        <w:t>:</w:t>
      </w:r>
      <w:r>
        <w:rPr>
          <w:rStyle w:val="22"/>
          <w:rFonts w:hint="eastAsia" w:cs="宋体"/>
          <w:color w:val="auto"/>
          <w:sz w:val="24"/>
          <w:szCs w:val="24"/>
          <w:highlight w:val="none"/>
          <w:lang w:val="en-US" w:eastAsia="zh-CN"/>
        </w:rPr>
        <w:t>0</w:t>
      </w:r>
      <w:r>
        <w:rPr>
          <w:rStyle w:val="22"/>
          <w:rFonts w:hint="eastAsia" w:ascii="宋体" w:hAnsi="宋体" w:eastAsia="宋体" w:cs="宋体"/>
          <w:color w:val="auto"/>
          <w:sz w:val="24"/>
          <w:szCs w:val="24"/>
          <w:highlight w:val="none"/>
        </w:rPr>
        <w:t>0:00 </w:t>
      </w:r>
      <w:bookmarkEnd w:id="14"/>
    </w:p>
    <w:p>
      <w:pPr>
        <w:pStyle w:val="16"/>
        <w:keepNext w:val="0"/>
        <w:keepLines w:val="0"/>
        <w:pageBreakBefore w:val="0"/>
        <w:kinsoku/>
        <w:wordWrap/>
        <w:overflowPunct/>
        <w:topLinePunct w:val="0"/>
        <w:autoSpaceDE/>
        <w:autoSpaceDN/>
        <w:bidi w:val="0"/>
        <w:adjustRightInd/>
        <w:snapToGrid/>
        <w:spacing w:before="0" w:after="0" w:line="240" w:lineRule="auto"/>
        <w:textAlignment w:val="auto"/>
        <w:rPr>
          <w:rStyle w:val="22"/>
          <w:rFonts w:hint="eastAsia" w:ascii="宋体" w:hAnsi="宋体" w:eastAsia="宋体" w:cs="宋体"/>
          <w:b w:val="0"/>
          <w:color w:val="auto"/>
          <w:sz w:val="24"/>
          <w:szCs w:val="24"/>
          <w:highlight w:val="none"/>
        </w:rPr>
      </w:pPr>
      <w:bookmarkStart w:id="15" w:name="_Toc5018"/>
      <w:r>
        <w:rPr>
          <w:rStyle w:val="22"/>
          <w:rFonts w:hint="eastAsia" w:ascii="宋体" w:hAnsi="宋体" w:eastAsia="宋体" w:cs="宋体"/>
          <w:color w:val="auto"/>
          <w:sz w:val="24"/>
          <w:szCs w:val="24"/>
          <w:highlight w:val="none"/>
        </w:rPr>
        <w:t>七、 投标地址：</w:t>
      </w:r>
      <w:bookmarkEnd w:id="15"/>
      <w:r>
        <w:rPr>
          <w:rStyle w:val="22"/>
          <w:rFonts w:hint="eastAsia" w:ascii="宋体" w:hAnsi="宋体" w:eastAsia="宋体" w:cs="宋体"/>
          <w:color w:val="auto"/>
          <w:sz w:val="24"/>
          <w:szCs w:val="24"/>
          <w:highlight w:val="none"/>
        </w:rPr>
        <w:t>政采云平台</w:t>
      </w:r>
    </w:p>
    <w:p>
      <w:pPr>
        <w:pStyle w:val="16"/>
        <w:keepNext w:val="0"/>
        <w:keepLines w:val="0"/>
        <w:pageBreakBefore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sz w:val="24"/>
          <w:szCs w:val="24"/>
          <w:highlight w:val="none"/>
        </w:rPr>
      </w:pPr>
      <w:bookmarkStart w:id="16" w:name="_Toc23115"/>
      <w:r>
        <w:rPr>
          <w:rStyle w:val="22"/>
          <w:rFonts w:hint="eastAsia" w:ascii="宋体" w:hAnsi="宋体" w:eastAsia="宋体" w:cs="宋体"/>
          <w:color w:val="auto"/>
          <w:sz w:val="24"/>
          <w:szCs w:val="24"/>
          <w:highlight w:val="none"/>
        </w:rPr>
        <w:t>八、 开标时间：</w:t>
      </w:r>
      <w:bookmarkEnd w:id="16"/>
      <w:r>
        <w:rPr>
          <w:rStyle w:val="22"/>
          <w:rFonts w:hint="eastAsia" w:ascii="宋体" w:hAnsi="宋体" w:eastAsia="宋体" w:cs="宋体"/>
          <w:color w:val="auto"/>
          <w:sz w:val="24"/>
          <w:szCs w:val="24"/>
          <w:highlight w:val="none"/>
        </w:rPr>
        <w:t>202</w:t>
      </w:r>
      <w:r>
        <w:rPr>
          <w:rStyle w:val="22"/>
          <w:rFonts w:hint="eastAsia" w:cs="宋体"/>
          <w:color w:val="auto"/>
          <w:sz w:val="24"/>
          <w:szCs w:val="24"/>
          <w:highlight w:val="none"/>
          <w:lang w:val="en-US" w:eastAsia="zh-CN"/>
        </w:rPr>
        <w:t>1</w:t>
      </w:r>
      <w:r>
        <w:rPr>
          <w:rStyle w:val="22"/>
          <w:rFonts w:hint="eastAsia" w:ascii="宋体" w:hAnsi="宋体" w:eastAsia="宋体" w:cs="宋体"/>
          <w:color w:val="auto"/>
          <w:sz w:val="24"/>
          <w:szCs w:val="24"/>
          <w:highlight w:val="none"/>
        </w:rPr>
        <w:t>-</w:t>
      </w:r>
      <w:r>
        <w:rPr>
          <w:rStyle w:val="22"/>
          <w:rFonts w:hint="eastAsia" w:cs="宋体"/>
          <w:color w:val="auto"/>
          <w:sz w:val="24"/>
          <w:szCs w:val="24"/>
          <w:highlight w:val="none"/>
          <w:lang w:val="en-US" w:eastAsia="zh-CN"/>
        </w:rPr>
        <w:t>10</w:t>
      </w:r>
      <w:r>
        <w:rPr>
          <w:rStyle w:val="22"/>
          <w:rFonts w:hint="eastAsia" w:ascii="宋体" w:hAnsi="宋体" w:eastAsia="宋体" w:cs="宋体"/>
          <w:color w:val="auto"/>
          <w:sz w:val="24"/>
          <w:szCs w:val="24"/>
          <w:highlight w:val="none"/>
        </w:rPr>
        <w:t>-</w:t>
      </w:r>
      <w:r>
        <w:rPr>
          <w:rStyle w:val="22"/>
          <w:rFonts w:hint="eastAsia" w:cs="宋体"/>
          <w:color w:val="auto"/>
          <w:sz w:val="24"/>
          <w:szCs w:val="24"/>
          <w:highlight w:val="none"/>
          <w:lang w:val="en-US" w:eastAsia="zh-CN"/>
        </w:rPr>
        <w:t>08</w:t>
      </w:r>
      <w:r>
        <w:rPr>
          <w:rStyle w:val="22"/>
          <w:rFonts w:hint="eastAsia" w:ascii="宋体" w:hAnsi="宋体" w:eastAsia="宋体" w:cs="宋体"/>
          <w:color w:val="auto"/>
          <w:sz w:val="24"/>
          <w:szCs w:val="24"/>
          <w:highlight w:val="none"/>
          <w:lang w:val="en-US" w:eastAsia="zh-CN"/>
        </w:rPr>
        <w:t xml:space="preserve"> </w:t>
      </w:r>
      <w:r>
        <w:rPr>
          <w:rStyle w:val="22"/>
          <w:rFonts w:hint="eastAsia" w:ascii="宋体" w:hAnsi="宋体" w:eastAsia="宋体" w:cs="宋体"/>
          <w:color w:val="auto"/>
          <w:sz w:val="24"/>
          <w:szCs w:val="24"/>
          <w:highlight w:val="none"/>
        </w:rPr>
        <w:t>1</w:t>
      </w:r>
      <w:r>
        <w:rPr>
          <w:rStyle w:val="22"/>
          <w:rFonts w:hint="eastAsia" w:cs="宋体"/>
          <w:color w:val="auto"/>
          <w:sz w:val="24"/>
          <w:szCs w:val="24"/>
          <w:highlight w:val="none"/>
          <w:lang w:val="en-US" w:eastAsia="zh-CN"/>
        </w:rPr>
        <w:t>6</w:t>
      </w:r>
      <w:r>
        <w:rPr>
          <w:rStyle w:val="22"/>
          <w:rFonts w:hint="eastAsia" w:ascii="宋体" w:hAnsi="宋体" w:eastAsia="宋体" w:cs="宋体"/>
          <w:color w:val="auto"/>
          <w:sz w:val="24"/>
          <w:szCs w:val="24"/>
          <w:highlight w:val="none"/>
        </w:rPr>
        <w:t>:</w:t>
      </w:r>
      <w:r>
        <w:rPr>
          <w:rStyle w:val="22"/>
          <w:rFonts w:hint="eastAsia" w:cs="宋体"/>
          <w:color w:val="auto"/>
          <w:sz w:val="24"/>
          <w:szCs w:val="24"/>
          <w:highlight w:val="none"/>
          <w:lang w:val="en-US" w:eastAsia="zh-CN"/>
        </w:rPr>
        <w:t>0</w:t>
      </w:r>
      <w:r>
        <w:rPr>
          <w:rStyle w:val="22"/>
          <w:rFonts w:hint="eastAsia" w:ascii="宋体" w:hAnsi="宋体" w:eastAsia="宋体" w:cs="宋体"/>
          <w:color w:val="auto"/>
          <w:sz w:val="24"/>
          <w:szCs w:val="24"/>
          <w:highlight w:val="none"/>
        </w:rPr>
        <w:t>0:00</w:t>
      </w:r>
    </w:p>
    <w:p>
      <w:pPr>
        <w:pStyle w:val="16"/>
        <w:keepNext w:val="0"/>
        <w:keepLines w:val="0"/>
        <w:pageBreakBefore w:val="0"/>
        <w:kinsoku/>
        <w:wordWrap/>
        <w:overflowPunct/>
        <w:topLinePunct w:val="0"/>
        <w:autoSpaceDE/>
        <w:autoSpaceDN/>
        <w:bidi w:val="0"/>
        <w:adjustRightInd/>
        <w:snapToGrid/>
        <w:spacing w:before="0" w:after="0" w:line="240" w:lineRule="auto"/>
        <w:textAlignment w:val="auto"/>
        <w:rPr>
          <w:rStyle w:val="22"/>
          <w:rFonts w:hint="eastAsia" w:ascii="宋体" w:hAnsi="宋体" w:eastAsia="宋体" w:cs="宋体"/>
          <w:color w:val="000000"/>
          <w:sz w:val="24"/>
          <w:szCs w:val="24"/>
        </w:rPr>
      </w:pPr>
      <w:bookmarkStart w:id="17" w:name="_Toc31807"/>
      <w:r>
        <w:rPr>
          <w:rStyle w:val="22"/>
          <w:rFonts w:hint="eastAsia" w:ascii="宋体" w:hAnsi="宋体" w:eastAsia="宋体" w:cs="宋体"/>
          <w:color w:val="000000"/>
          <w:sz w:val="24"/>
          <w:szCs w:val="24"/>
        </w:rPr>
        <w:t>九、 开标地址：</w:t>
      </w:r>
      <w:bookmarkEnd w:id="17"/>
      <w:bookmarkStart w:id="18" w:name="_Toc28925"/>
      <w:r>
        <w:rPr>
          <w:rStyle w:val="22"/>
          <w:rFonts w:hint="eastAsia" w:ascii="宋体" w:hAnsi="宋体" w:eastAsia="宋体" w:cs="宋体"/>
          <w:color w:val="000000"/>
          <w:sz w:val="24"/>
          <w:szCs w:val="24"/>
        </w:rPr>
        <w:t>霍尔果斯市行政服务中心二楼公共资源交易中心</w:t>
      </w:r>
    </w:p>
    <w:bookmarkEnd w:id="18"/>
    <w:p>
      <w:pPr>
        <w:pStyle w:val="16"/>
        <w:keepNext w:val="0"/>
        <w:keepLines w:val="0"/>
        <w:pageBreakBefore w:val="0"/>
        <w:kinsoku/>
        <w:wordWrap/>
        <w:overflowPunct/>
        <w:topLinePunct w:val="0"/>
        <w:autoSpaceDE/>
        <w:autoSpaceDN/>
        <w:bidi w:val="0"/>
        <w:adjustRightInd/>
        <w:snapToGrid/>
        <w:spacing w:before="0" w:after="0" w:line="240" w:lineRule="auto"/>
        <w:textAlignment w:val="auto"/>
        <w:rPr>
          <w:rStyle w:val="22"/>
          <w:rFonts w:hint="eastAsia" w:ascii="宋体" w:hAnsi="宋体" w:eastAsia="宋体" w:cs="宋体"/>
          <w:color w:val="000000"/>
          <w:sz w:val="24"/>
          <w:szCs w:val="24"/>
          <w:lang w:eastAsia="zh-CN"/>
        </w:rPr>
      </w:pPr>
      <w:r>
        <w:rPr>
          <w:rStyle w:val="22"/>
          <w:rFonts w:hint="eastAsia" w:ascii="宋体" w:hAnsi="宋体" w:eastAsia="宋体" w:cs="宋体"/>
          <w:color w:val="000000"/>
          <w:sz w:val="24"/>
          <w:szCs w:val="24"/>
        </w:rPr>
        <w:t>十、</w:t>
      </w:r>
      <w:r>
        <w:rPr>
          <w:rStyle w:val="22"/>
          <w:rFonts w:hint="eastAsia" w:ascii="宋体" w:hAnsi="宋体" w:eastAsia="宋体" w:cs="宋体"/>
          <w:color w:val="000000"/>
          <w:sz w:val="24"/>
          <w:szCs w:val="24"/>
          <w:lang w:eastAsia="zh-CN"/>
        </w:rPr>
        <w:t>投标保证金：无</w:t>
      </w:r>
    </w:p>
    <w:p>
      <w:pPr>
        <w:pStyle w:val="16"/>
        <w:keepNext w:val="0"/>
        <w:keepLines w:val="0"/>
        <w:pageBreakBefore w:val="0"/>
        <w:kinsoku/>
        <w:wordWrap/>
        <w:overflowPunct/>
        <w:topLinePunct w:val="0"/>
        <w:autoSpaceDE/>
        <w:autoSpaceDN/>
        <w:bidi w:val="0"/>
        <w:adjustRightInd/>
        <w:snapToGrid/>
        <w:spacing w:before="0" w:after="0" w:line="240" w:lineRule="auto"/>
        <w:textAlignment w:val="auto"/>
        <w:rPr>
          <w:rStyle w:val="22"/>
          <w:rFonts w:hint="eastAsia" w:ascii="宋体" w:hAnsi="宋体" w:eastAsia="宋体" w:cs="宋体"/>
          <w:color w:val="000000"/>
          <w:sz w:val="24"/>
          <w:szCs w:val="24"/>
          <w:lang w:eastAsia="zh-CN"/>
        </w:rPr>
      </w:pPr>
      <w:r>
        <w:rPr>
          <w:rStyle w:val="22"/>
          <w:rFonts w:hint="eastAsia" w:ascii="宋体" w:hAnsi="宋体" w:eastAsia="宋体" w:cs="宋体"/>
          <w:color w:val="000000"/>
          <w:sz w:val="24"/>
          <w:szCs w:val="24"/>
          <w:lang w:eastAsia="zh-CN"/>
        </w:rPr>
        <w:t>十一、联系方式</w:t>
      </w:r>
    </w:p>
    <w:p>
      <w:pPr>
        <w:pStyle w:val="16"/>
        <w:keepNext w:val="0"/>
        <w:keepLines w:val="0"/>
        <w:pageBreakBefore w:val="0"/>
        <w:kinsoku/>
        <w:wordWrap/>
        <w:overflowPunct/>
        <w:topLinePunct w:val="0"/>
        <w:autoSpaceDE/>
        <w:autoSpaceDN/>
        <w:bidi w:val="0"/>
        <w:adjustRightInd/>
        <w:snapToGrid/>
        <w:spacing w:before="0" w:after="0" w:line="240" w:lineRule="auto"/>
        <w:textAlignment w:val="auto"/>
        <w:rPr>
          <w:rStyle w:val="22"/>
          <w:rFonts w:hint="eastAsia" w:ascii="宋体" w:hAnsi="宋体" w:eastAsia="宋体" w:cs="宋体"/>
          <w:color w:val="000000"/>
          <w:sz w:val="24"/>
          <w:szCs w:val="24"/>
          <w:lang w:eastAsia="zh-CN"/>
        </w:rPr>
      </w:pPr>
      <w:r>
        <w:rPr>
          <w:rStyle w:val="22"/>
          <w:rFonts w:hint="eastAsia" w:ascii="宋体" w:hAnsi="宋体" w:eastAsia="宋体" w:cs="宋体"/>
          <w:color w:val="000000"/>
          <w:sz w:val="24"/>
          <w:szCs w:val="24"/>
        </w:rPr>
        <w:t>1、</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采购代理机构名称：</w:t>
      </w:r>
      <w:r>
        <w:rPr>
          <w:rFonts w:hint="eastAsia" w:ascii="宋体" w:hAnsi="宋体" w:eastAsia="宋体" w:cs="宋体"/>
          <w:color w:val="000000"/>
          <w:sz w:val="24"/>
          <w:szCs w:val="24"/>
          <w:lang w:eastAsia="zh-CN"/>
        </w:rPr>
        <w:t>新疆开创纪元全过程项目管理有限公司</w:t>
      </w:r>
    </w:p>
    <w:p>
      <w:pPr>
        <w:pStyle w:val="16"/>
        <w:keepNext w:val="0"/>
        <w:keepLines w:val="0"/>
        <w:pageBreakBefore w:val="0"/>
        <w:kinsoku/>
        <w:wordWrap/>
        <w:overflowPunct/>
        <w:topLinePunct w:val="0"/>
        <w:autoSpaceDE/>
        <w:autoSpaceDN/>
        <w:bidi w:val="0"/>
        <w:adjustRightInd/>
        <w:snapToGrid/>
        <w:spacing w:before="0" w:after="0" w:line="240" w:lineRule="auto"/>
        <w:ind w:firstLine="482" w:firstLineChars="200"/>
        <w:textAlignment w:val="auto"/>
        <w:rPr>
          <w:rFonts w:hint="eastAsia" w:ascii="宋体" w:hAnsi="宋体" w:eastAsia="宋体" w:cs="宋体"/>
          <w:color w:val="000000"/>
          <w:sz w:val="24"/>
          <w:szCs w:val="24"/>
          <w:lang w:eastAsia="zh-CN"/>
        </w:rPr>
      </w:pPr>
      <w:r>
        <w:rPr>
          <w:rStyle w:val="22"/>
          <w:rFonts w:hint="eastAsia" w:ascii="宋体" w:hAnsi="宋体" w:eastAsia="宋体" w:cs="宋体"/>
          <w:color w:val="000000"/>
          <w:sz w:val="24"/>
          <w:szCs w:val="24"/>
        </w:rPr>
        <w:t>联</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系</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人：</w:t>
      </w:r>
      <w:r>
        <w:rPr>
          <w:rFonts w:hint="eastAsia" w:eastAsia="宋体" w:cs="宋体"/>
          <w:color w:val="000000"/>
          <w:sz w:val="24"/>
          <w:szCs w:val="24"/>
          <w:lang w:eastAsia="zh-CN"/>
        </w:rPr>
        <w:t>江艳</w:t>
      </w:r>
    </w:p>
    <w:p>
      <w:pPr>
        <w:pStyle w:val="16"/>
        <w:keepNext w:val="0"/>
        <w:keepLines w:val="0"/>
        <w:pageBreakBefore w:val="0"/>
        <w:kinsoku/>
        <w:wordWrap/>
        <w:overflowPunct/>
        <w:topLinePunct w:val="0"/>
        <w:autoSpaceDE/>
        <w:autoSpaceDN/>
        <w:bidi w:val="0"/>
        <w:adjustRightInd/>
        <w:snapToGrid/>
        <w:spacing w:before="0" w:after="0" w:line="240" w:lineRule="auto"/>
        <w:ind w:firstLine="482" w:firstLineChars="200"/>
        <w:textAlignment w:val="auto"/>
        <w:rPr>
          <w:rFonts w:hint="eastAsia" w:eastAsia="宋体" w:cs="宋体"/>
          <w:color w:val="000000"/>
          <w:sz w:val="24"/>
          <w:szCs w:val="24"/>
          <w:lang w:val="en-US" w:eastAsia="zh-CN"/>
        </w:rPr>
      </w:pPr>
      <w:r>
        <w:rPr>
          <w:rStyle w:val="22"/>
          <w:rFonts w:hint="eastAsia" w:ascii="宋体" w:hAnsi="宋体" w:eastAsia="宋体" w:cs="宋体"/>
          <w:color w:val="000000"/>
          <w:sz w:val="24"/>
          <w:szCs w:val="24"/>
        </w:rPr>
        <w:t>联</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系</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电</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话：</w:t>
      </w:r>
      <w:r>
        <w:rPr>
          <w:rFonts w:hint="eastAsia" w:eastAsia="宋体" w:cs="宋体"/>
          <w:color w:val="000000"/>
          <w:sz w:val="24"/>
          <w:szCs w:val="24"/>
          <w:lang w:val="en-US" w:eastAsia="zh-CN"/>
        </w:rPr>
        <w:t>18309015000</w:t>
      </w:r>
    </w:p>
    <w:p>
      <w:pPr>
        <w:pStyle w:val="16"/>
        <w:keepNext w:val="0"/>
        <w:keepLines w:val="0"/>
        <w:pageBreakBefore w:val="0"/>
        <w:kinsoku/>
        <w:wordWrap/>
        <w:overflowPunct/>
        <w:topLinePunct w:val="0"/>
        <w:autoSpaceDE/>
        <w:autoSpaceDN/>
        <w:bidi w:val="0"/>
        <w:adjustRightInd/>
        <w:snapToGrid/>
        <w:spacing w:before="0" w:after="0" w:line="240" w:lineRule="auto"/>
        <w:ind w:firstLine="482" w:firstLineChars="200"/>
        <w:textAlignment w:val="auto"/>
        <w:rPr>
          <w:rFonts w:hint="default" w:ascii="宋体" w:hAnsi="宋体" w:eastAsia="宋体" w:cs="宋体"/>
          <w:color w:val="000000"/>
          <w:sz w:val="24"/>
          <w:szCs w:val="24"/>
          <w:lang w:val="en-US" w:eastAsia="zh-CN"/>
        </w:rPr>
      </w:pPr>
      <w:r>
        <w:rPr>
          <w:rStyle w:val="22"/>
          <w:rFonts w:hint="eastAsia" w:ascii="宋体" w:hAnsi="宋体" w:eastAsia="宋体" w:cs="宋体"/>
          <w:color w:val="000000"/>
          <w:sz w:val="24"/>
          <w:szCs w:val="24"/>
        </w:rPr>
        <w:t>地</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址：</w:t>
      </w:r>
      <w:r>
        <w:rPr>
          <w:rFonts w:hint="eastAsia" w:ascii="宋体" w:hAnsi="宋体" w:eastAsia="宋体" w:cs="宋体"/>
          <w:color w:val="000000"/>
          <w:sz w:val="24"/>
          <w:szCs w:val="24"/>
          <w:lang w:eastAsia="zh-CN"/>
        </w:rPr>
        <w:t>伊宁市嘉会大酒店二楼</w:t>
      </w:r>
      <w:r>
        <w:rPr>
          <w:rFonts w:hint="eastAsia" w:ascii="宋体" w:hAnsi="宋体" w:eastAsia="宋体" w:cs="宋体"/>
          <w:color w:val="000000"/>
          <w:sz w:val="24"/>
          <w:szCs w:val="24"/>
          <w:lang w:val="en-US" w:eastAsia="zh-CN"/>
        </w:rPr>
        <w:t>2-41</w:t>
      </w:r>
    </w:p>
    <w:p>
      <w:pPr>
        <w:pStyle w:val="16"/>
        <w:keepNext w:val="0"/>
        <w:keepLines w:val="0"/>
        <w:pageBreakBefore w:val="0"/>
        <w:numPr>
          <w:ilvl w:val="0"/>
          <w:numId w:val="1"/>
        </w:numPr>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000000"/>
          <w:sz w:val="24"/>
          <w:szCs w:val="24"/>
          <w:lang w:eastAsia="zh-CN"/>
        </w:rPr>
      </w:pPr>
      <w:r>
        <w:rPr>
          <w:rStyle w:val="22"/>
          <w:rFonts w:hint="eastAsia" w:ascii="宋体" w:hAnsi="宋体" w:eastAsia="宋体" w:cs="宋体"/>
          <w:color w:val="000000"/>
          <w:sz w:val="24"/>
          <w:szCs w:val="24"/>
        </w:rPr>
        <w:t>采</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购</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人</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名</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称：</w:t>
      </w:r>
      <w:r>
        <w:rPr>
          <w:rFonts w:hint="eastAsia" w:ascii="宋体" w:hAnsi="宋体" w:eastAsia="宋体" w:cs="宋体"/>
          <w:color w:val="000000"/>
          <w:sz w:val="24"/>
          <w:szCs w:val="24"/>
          <w:lang w:eastAsia="zh-CN"/>
        </w:rPr>
        <w:t>霍尔果斯市发展和改革委员会</w:t>
      </w:r>
    </w:p>
    <w:p>
      <w:pPr>
        <w:pStyle w:val="16"/>
        <w:keepNext w:val="0"/>
        <w:keepLines w:val="0"/>
        <w:pageBreakBefore w:val="0"/>
        <w:kinsoku/>
        <w:wordWrap/>
        <w:overflowPunct/>
        <w:topLinePunct w:val="0"/>
        <w:autoSpaceDE/>
        <w:autoSpaceDN/>
        <w:bidi w:val="0"/>
        <w:adjustRightInd/>
        <w:snapToGrid/>
        <w:spacing w:before="0" w:after="0" w:line="240" w:lineRule="auto"/>
        <w:ind w:firstLine="482" w:firstLineChars="200"/>
        <w:textAlignment w:val="auto"/>
        <w:rPr>
          <w:rFonts w:hint="default" w:ascii="宋体" w:hAnsi="宋体" w:eastAsia="宋体" w:cs="宋体"/>
          <w:color w:val="000000"/>
          <w:sz w:val="24"/>
          <w:szCs w:val="24"/>
          <w:lang w:val="en-US" w:eastAsia="zh-CN"/>
        </w:rPr>
      </w:pPr>
      <w:r>
        <w:rPr>
          <w:rStyle w:val="22"/>
          <w:rFonts w:hint="eastAsia" w:ascii="宋体" w:hAnsi="宋体" w:eastAsia="宋体" w:cs="宋体"/>
          <w:color w:val="000000"/>
          <w:sz w:val="24"/>
          <w:szCs w:val="24"/>
        </w:rPr>
        <w:t>联</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系</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人：</w:t>
      </w:r>
      <w:r>
        <w:rPr>
          <w:rFonts w:hint="eastAsia" w:ascii="宋体" w:hAnsi="宋体" w:eastAsia="宋体" w:cs="宋体"/>
          <w:color w:val="000000"/>
          <w:sz w:val="24"/>
          <w:szCs w:val="24"/>
          <w:lang w:eastAsia="zh-CN"/>
        </w:rPr>
        <w:t>黄杰</w:t>
      </w:r>
    </w:p>
    <w:p>
      <w:pPr>
        <w:pStyle w:val="16"/>
        <w:keepNext w:val="0"/>
        <w:keepLines w:val="0"/>
        <w:pageBreakBefore w:val="0"/>
        <w:kinsoku/>
        <w:wordWrap/>
        <w:overflowPunct/>
        <w:topLinePunct w:val="0"/>
        <w:autoSpaceDE/>
        <w:autoSpaceDN/>
        <w:bidi w:val="0"/>
        <w:adjustRightInd/>
        <w:snapToGrid/>
        <w:spacing w:before="0" w:after="0" w:line="240" w:lineRule="auto"/>
        <w:ind w:firstLine="482" w:firstLineChars="200"/>
        <w:textAlignment w:val="auto"/>
        <w:rPr>
          <w:rFonts w:hint="eastAsia" w:ascii="宋体" w:hAnsi="宋体" w:eastAsia="宋体" w:cs="宋体"/>
          <w:color w:val="000000"/>
          <w:sz w:val="24"/>
          <w:szCs w:val="24"/>
        </w:rPr>
      </w:pPr>
      <w:r>
        <w:rPr>
          <w:rStyle w:val="22"/>
          <w:rFonts w:hint="eastAsia" w:ascii="宋体" w:hAnsi="宋体" w:eastAsia="宋体" w:cs="宋体"/>
          <w:color w:val="000000"/>
          <w:sz w:val="24"/>
          <w:szCs w:val="24"/>
        </w:rPr>
        <w:t>联</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系</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电</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话：</w:t>
      </w:r>
      <w:r>
        <w:rPr>
          <w:rFonts w:hint="eastAsia" w:ascii="宋体" w:hAnsi="宋体" w:eastAsia="宋体" w:cs="宋体"/>
          <w:color w:val="000000"/>
          <w:sz w:val="24"/>
          <w:szCs w:val="24"/>
          <w:lang w:val="en-US" w:eastAsia="zh-CN"/>
        </w:rPr>
        <w:t>17799395130</w:t>
      </w:r>
    </w:p>
    <w:p>
      <w:pPr>
        <w:pStyle w:val="16"/>
        <w:keepNext w:val="0"/>
        <w:keepLines w:val="0"/>
        <w:pageBreakBefore w:val="0"/>
        <w:numPr>
          <w:ilvl w:val="0"/>
          <w:numId w:val="1"/>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宋体" w:hAnsi="宋体" w:eastAsia="宋体" w:cs="宋体"/>
          <w:color w:val="000000"/>
          <w:sz w:val="24"/>
          <w:szCs w:val="24"/>
        </w:rPr>
      </w:pPr>
      <w:r>
        <w:rPr>
          <w:rStyle w:val="22"/>
          <w:rFonts w:hint="eastAsia" w:ascii="宋体" w:hAnsi="宋体" w:eastAsia="宋体" w:cs="宋体"/>
          <w:color w:val="000000"/>
          <w:sz w:val="24"/>
          <w:szCs w:val="24"/>
        </w:rPr>
        <w:t>同级政府采购监督管理部门名称：</w:t>
      </w:r>
      <w:r>
        <w:rPr>
          <w:rFonts w:hint="eastAsia" w:ascii="宋体" w:hAnsi="宋体" w:eastAsia="宋体" w:cs="宋体"/>
          <w:color w:val="000000"/>
          <w:sz w:val="24"/>
          <w:szCs w:val="24"/>
        </w:rPr>
        <w:t> </w:t>
      </w:r>
      <w:r>
        <w:rPr>
          <w:rFonts w:hint="eastAsia" w:ascii="宋体" w:hAnsi="宋体" w:eastAsia="宋体" w:cs="宋体"/>
          <w:color w:val="000000"/>
          <w:sz w:val="24"/>
          <w:szCs w:val="24"/>
          <w:lang w:eastAsia="zh-CN"/>
        </w:rPr>
        <w:t>霍尔果斯</w:t>
      </w:r>
      <w:r>
        <w:rPr>
          <w:rFonts w:hint="eastAsia" w:ascii="宋体" w:hAnsi="宋体" w:eastAsia="宋体" w:cs="宋体"/>
          <w:color w:val="000000"/>
          <w:sz w:val="24"/>
          <w:szCs w:val="24"/>
        </w:rPr>
        <w:t>市</w:t>
      </w:r>
      <w:r>
        <w:rPr>
          <w:rFonts w:hint="eastAsia" w:ascii="宋体" w:hAnsi="宋体" w:eastAsia="宋体" w:cs="宋体"/>
          <w:color w:val="000000"/>
          <w:sz w:val="24"/>
          <w:szCs w:val="24"/>
          <w:lang w:eastAsia="zh-CN"/>
        </w:rPr>
        <w:t>政府</w:t>
      </w:r>
      <w:r>
        <w:rPr>
          <w:rFonts w:hint="eastAsia" w:ascii="宋体" w:hAnsi="宋体" w:eastAsia="宋体" w:cs="宋体"/>
          <w:color w:val="000000"/>
          <w:sz w:val="24"/>
          <w:szCs w:val="24"/>
        </w:rPr>
        <w:t>采购办 </w:t>
      </w:r>
    </w:p>
    <w:p>
      <w:pPr>
        <w:pStyle w:val="16"/>
        <w:keepNext w:val="0"/>
        <w:keepLines w:val="0"/>
        <w:pageBreakBefore w:val="0"/>
        <w:kinsoku/>
        <w:wordWrap/>
        <w:overflowPunct/>
        <w:topLinePunct w:val="0"/>
        <w:autoSpaceDE/>
        <w:autoSpaceDN/>
        <w:bidi w:val="0"/>
        <w:adjustRightInd/>
        <w:snapToGrid/>
        <w:spacing w:before="0" w:after="0" w:line="240" w:lineRule="auto"/>
        <w:ind w:firstLine="482" w:firstLineChars="200"/>
        <w:textAlignment w:val="auto"/>
        <w:rPr>
          <w:rFonts w:hint="eastAsia" w:ascii="宋体" w:hAnsi="宋体" w:eastAsia="宋体" w:cs="宋体"/>
          <w:color w:val="000000"/>
          <w:sz w:val="24"/>
          <w:szCs w:val="24"/>
        </w:rPr>
      </w:pPr>
      <w:r>
        <w:rPr>
          <w:rStyle w:val="22"/>
          <w:rFonts w:hint="eastAsia" w:ascii="宋体" w:hAnsi="宋体" w:eastAsia="宋体" w:cs="宋体"/>
          <w:color w:val="000000"/>
          <w:sz w:val="24"/>
          <w:szCs w:val="24"/>
        </w:rPr>
        <w:t>联</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系</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人：</w:t>
      </w:r>
      <w:r>
        <w:rPr>
          <w:rStyle w:val="22"/>
          <w:rFonts w:hint="eastAsia" w:ascii="宋体" w:hAnsi="宋体" w:eastAsia="宋体" w:cs="宋体"/>
          <w:b w:val="0"/>
          <w:bCs w:val="0"/>
          <w:color w:val="000000"/>
          <w:sz w:val="24"/>
          <w:szCs w:val="24"/>
        </w:rPr>
        <w:t>詹镇汀</w:t>
      </w:r>
      <w:r>
        <w:rPr>
          <w:rStyle w:val="22"/>
          <w:rFonts w:hint="eastAsia" w:ascii="宋体" w:hAnsi="宋体" w:eastAsia="宋体" w:cs="宋体"/>
          <w:color w:val="000000"/>
          <w:sz w:val="24"/>
          <w:szCs w:val="24"/>
        </w:rPr>
        <w:t xml:space="preserve"> </w:t>
      </w:r>
    </w:p>
    <w:p>
      <w:pPr>
        <w:pStyle w:val="16"/>
        <w:keepNext w:val="0"/>
        <w:keepLines w:val="0"/>
        <w:pageBreakBefore w:val="0"/>
        <w:kinsoku/>
        <w:wordWrap/>
        <w:overflowPunct/>
        <w:topLinePunct w:val="0"/>
        <w:autoSpaceDE/>
        <w:autoSpaceDN/>
        <w:bidi w:val="0"/>
        <w:adjustRightInd/>
        <w:snapToGrid/>
        <w:spacing w:before="0" w:after="0" w:line="240" w:lineRule="auto"/>
        <w:ind w:firstLine="482" w:firstLineChars="200"/>
        <w:textAlignment w:val="auto"/>
        <w:rPr>
          <w:rFonts w:hint="eastAsia" w:ascii="宋体" w:hAnsi="宋体" w:eastAsia="宋体" w:cs="宋体"/>
          <w:color w:val="000000"/>
          <w:sz w:val="24"/>
          <w:szCs w:val="24"/>
        </w:rPr>
      </w:pPr>
      <w:r>
        <w:rPr>
          <w:rStyle w:val="22"/>
          <w:rFonts w:hint="eastAsia" w:ascii="宋体" w:hAnsi="宋体" w:eastAsia="宋体" w:cs="宋体"/>
          <w:color w:val="000000"/>
          <w:sz w:val="24"/>
          <w:szCs w:val="24"/>
        </w:rPr>
        <w:t>监</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督</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投</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诉</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电</w:t>
      </w:r>
      <w:r>
        <w:rPr>
          <w:rStyle w:val="22"/>
          <w:rFonts w:hint="eastAsia" w:ascii="宋体" w:hAnsi="宋体" w:eastAsia="宋体" w:cs="宋体"/>
          <w:color w:val="000000"/>
          <w:sz w:val="24"/>
          <w:szCs w:val="24"/>
          <w:lang w:val="en-US" w:eastAsia="zh-CN"/>
        </w:rPr>
        <w:t xml:space="preserve"> </w:t>
      </w:r>
      <w:r>
        <w:rPr>
          <w:rStyle w:val="22"/>
          <w:rFonts w:hint="eastAsia" w:ascii="宋体" w:hAnsi="宋体" w:eastAsia="宋体" w:cs="宋体"/>
          <w:color w:val="000000"/>
          <w:sz w:val="24"/>
          <w:szCs w:val="24"/>
        </w:rPr>
        <w:t>话：</w:t>
      </w:r>
      <w:r>
        <w:rPr>
          <w:rStyle w:val="22"/>
          <w:rFonts w:hint="eastAsia" w:ascii="宋体" w:hAnsi="宋体" w:eastAsia="宋体" w:cs="宋体"/>
          <w:b w:val="0"/>
          <w:bCs w:val="0"/>
          <w:color w:val="000000"/>
          <w:sz w:val="24"/>
          <w:szCs w:val="24"/>
        </w:rPr>
        <w:t xml:space="preserve">0999-8961270 </w:t>
      </w:r>
    </w:p>
    <w:p>
      <w:pPr>
        <w:widowControl/>
        <w:spacing w:line="240" w:lineRule="auto"/>
        <w:ind w:firstLine="6000" w:firstLineChars="2500"/>
        <w:jc w:val="left"/>
        <w:rPr>
          <w:rFonts w:hint="eastAsia" w:ascii="宋体" w:hAnsi="宋体" w:eastAsia="宋体" w:cs="宋体"/>
          <w:color w:val="000000"/>
          <w:sz w:val="24"/>
          <w:szCs w:val="24"/>
        </w:rPr>
      </w:pPr>
    </w:p>
    <w:p>
      <w:pPr>
        <w:widowControl/>
        <w:spacing w:line="240" w:lineRule="auto"/>
        <w:ind w:firstLine="6000" w:firstLineChars="2500"/>
        <w:jc w:val="left"/>
        <w:rPr>
          <w:rFonts w:hint="eastAsia"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17</w:t>
      </w:r>
      <w:r>
        <w:rPr>
          <w:rFonts w:hint="eastAsia" w:ascii="宋体" w:hAnsi="宋体" w:eastAsia="宋体" w:cs="宋体"/>
          <w:color w:val="000000"/>
          <w:sz w:val="24"/>
          <w:szCs w:val="24"/>
        </w:rPr>
        <w:t>日</w:t>
      </w:r>
    </w:p>
    <w:p>
      <w:pPr>
        <w:pStyle w:val="2"/>
        <w:rPr>
          <w:rFonts w:hint="eastAsia" w:ascii="宋体" w:hAnsi="宋体" w:eastAsia="宋体" w:cs="宋体"/>
          <w:color w:val="000000"/>
          <w:sz w:val="24"/>
          <w:szCs w:val="24"/>
        </w:rPr>
      </w:pPr>
    </w:p>
    <w:p>
      <w:pPr>
        <w:pStyle w:val="2"/>
        <w:rPr>
          <w:rFonts w:hint="eastAsia" w:ascii="宋体" w:hAnsi="宋体" w:eastAsia="宋体" w:cs="宋体"/>
          <w:color w:val="000000"/>
          <w:sz w:val="24"/>
          <w:szCs w:val="24"/>
        </w:rPr>
      </w:pPr>
    </w:p>
    <w:p>
      <w:pPr>
        <w:spacing w:line="400" w:lineRule="exact"/>
        <w:rPr>
          <w:rFonts w:ascii="宋体" w:hAnsi="宋体"/>
          <w:b/>
          <w:sz w:val="32"/>
          <w:szCs w:val="32"/>
        </w:rPr>
      </w:pPr>
      <w:r>
        <w:rPr>
          <w:rFonts w:hint="eastAsia" w:ascii="宋体" w:hAnsi="宋体"/>
          <w:b/>
        </w:rPr>
        <w:t>注：本项目采购公告发布截止日后，请持续关注本项目后续网上发布变更、答疑澄清等内容。</w:t>
      </w:r>
    </w:p>
    <w:p>
      <w:pPr>
        <w:widowControl/>
        <w:spacing w:line="400" w:lineRule="exact"/>
        <w:outlineLvl w:val="0"/>
        <w:rPr>
          <w:rFonts w:ascii="宋体" w:hAnsi="宋体"/>
          <w:b/>
          <w:sz w:val="32"/>
          <w:szCs w:val="32"/>
        </w:rPr>
      </w:pPr>
    </w:p>
    <w:p>
      <w:pPr>
        <w:widowControl/>
        <w:spacing w:line="400" w:lineRule="exact"/>
        <w:jc w:val="center"/>
        <w:outlineLvl w:val="0"/>
        <w:rPr>
          <w:rFonts w:ascii="宋体" w:hAnsi="宋体"/>
          <w:b/>
          <w:sz w:val="32"/>
          <w:szCs w:val="32"/>
        </w:rPr>
      </w:pPr>
    </w:p>
    <w:p>
      <w:pPr>
        <w:widowControl/>
        <w:spacing w:line="400" w:lineRule="exact"/>
        <w:jc w:val="center"/>
        <w:outlineLvl w:val="0"/>
        <w:rPr>
          <w:rFonts w:ascii="宋体" w:hAnsi="宋体"/>
          <w:b/>
          <w:sz w:val="32"/>
          <w:szCs w:val="32"/>
        </w:rPr>
      </w:pPr>
    </w:p>
    <w:p>
      <w:pPr>
        <w:widowControl/>
        <w:spacing w:line="400" w:lineRule="exact"/>
        <w:jc w:val="center"/>
        <w:outlineLvl w:val="0"/>
        <w:rPr>
          <w:rFonts w:ascii="宋体" w:hAnsi="宋体"/>
          <w:b/>
          <w:sz w:val="32"/>
          <w:szCs w:val="32"/>
        </w:rPr>
      </w:pPr>
    </w:p>
    <w:p>
      <w:pPr>
        <w:widowControl/>
        <w:spacing w:line="400" w:lineRule="exact"/>
        <w:jc w:val="center"/>
        <w:outlineLvl w:val="0"/>
        <w:rPr>
          <w:rFonts w:ascii="宋体" w:hAnsi="宋体"/>
          <w:b/>
          <w:sz w:val="32"/>
          <w:szCs w:val="32"/>
        </w:rPr>
      </w:pPr>
    </w:p>
    <w:p>
      <w:pPr>
        <w:widowControl/>
        <w:spacing w:line="400" w:lineRule="exact"/>
        <w:jc w:val="center"/>
        <w:outlineLvl w:val="0"/>
        <w:rPr>
          <w:rFonts w:ascii="宋体" w:hAnsi="宋体"/>
          <w:b/>
          <w:sz w:val="32"/>
          <w:szCs w:val="32"/>
        </w:rPr>
      </w:pPr>
      <w:r>
        <w:rPr>
          <w:rFonts w:hint="eastAsia" w:ascii="宋体" w:hAnsi="宋体"/>
          <w:b/>
          <w:sz w:val="32"/>
          <w:szCs w:val="32"/>
        </w:rPr>
        <w:br w:type="page"/>
      </w:r>
      <w:r>
        <w:rPr>
          <w:rFonts w:hint="eastAsia" w:ascii="宋体" w:hAnsi="宋体"/>
          <w:b/>
          <w:sz w:val="32"/>
          <w:szCs w:val="32"/>
        </w:rPr>
        <w:t>第二章 投标须知</w:t>
      </w:r>
      <w:bookmarkEnd w:id="10"/>
      <w:bookmarkEnd w:id="11"/>
    </w:p>
    <w:p>
      <w:pPr>
        <w:pStyle w:val="10"/>
        <w:jc w:val="center"/>
        <w:outlineLvl w:val="1"/>
        <w:rPr>
          <w:rFonts w:hAnsi="宋体"/>
          <w:b/>
          <w:sz w:val="30"/>
          <w:szCs w:val="30"/>
        </w:rPr>
      </w:pPr>
      <w:bookmarkStart w:id="19" w:name="_Toc474235942"/>
      <w:r>
        <w:rPr>
          <w:rFonts w:hint="eastAsia" w:hAnsi="宋体"/>
          <w:b/>
          <w:sz w:val="30"/>
          <w:szCs w:val="30"/>
        </w:rPr>
        <w:t>投标须知前附表</w:t>
      </w:r>
      <w:bookmarkEnd w:id="19"/>
    </w:p>
    <w:tbl>
      <w:tblPr>
        <w:tblStyle w:val="19"/>
        <w:tblW w:w="927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38"/>
        <w:gridCol w:w="2055"/>
        <w:gridCol w:w="54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16" w:hRule="atLeast"/>
          <w:tblHeader/>
          <w:jc w:val="center"/>
        </w:trPr>
        <w:tc>
          <w:tcPr>
            <w:tcW w:w="1738" w:type="dxa"/>
            <w:vAlign w:val="center"/>
          </w:tcPr>
          <w:p>
            <w:pPr>
              <w:adjustRightInd w:val="0"/>
              <w:snapToGrid w:val="0"/>
              <w:spacing w:line="400" w:lineRule="exact"/>
              <w:jc w:val="center"/>
              <w:rPr>
                <w:rFonts w:hint="eastAsia" w:ascii="宋体" w:hAnsi="宋体" w:eastAsia="宋体" w:cs="宋体"/>
                <w:b/>
                <w:szCs w:val="21"/>
              </w:rPr>
            </w:pPr>
            <w:r>
              <w:rPr>
                <w:rFonts w:hint="eastAsia" w:ascii="宋体" w:hAnsi="宋体" w:eastAsia="宋体" w:cs="宋体"/>
                <w:b/>
                <w:szCs w:val="21"/>
              </w:rPr>
              <w:t>条款号</w:t>
            </w:r>
          </w:p>
        </w:tc>
        <w:tc>
          <w:tcPr>
            <w:tcW w:w="2055" w:type="dxa"/>
            <w:vAlign w:val="center"/>
          </w:tcPr>
          <w:p>
            <w:pPr>
              <w:adjustRightInd w:val="0"/>
              <w:snapToGrid w:val="0"/>
              <w:spacing w:line="400" w:lineRule="exact"/>
              <w:jc w:val="center"/>
              <w:rPr>
                <w:rFonts w:hint="eastAsia" w:ascii="宋体" w:hAnsi="宋体" w:eastAsia="宋体" w:cs="宋体"/>
                <w:b/>
                <w:szCs w:val="21"/>
              </w:rPr>
            </w:pPr>
            <w:r>
              <w:rPr>
                <w:rFonts w:hint="eastAsia" w:ascii="宋体" w:hAnsi="宋体" w:eastAsia="宋体" w:cs="宋体"/>
                <w:b/>
                <w:szCs w:val="21"/>
              </w:rPr>
              <w:t>条款名称</w:t>
            </w:r>
          </w:p>
        </w:tc>
        <w:tc>
          <w:tcPr>
            <w:tcW w:w="5486" w:type="dxa"/>
            <w:vAlign w:val="center"/>
          </w:tcPr>
          <w:p>
            <w:pPr>
              <w:adjustRightInd w:val="0"/>
              <w:snapToGrid w:val="0"/>
              <w:spacing w:line="400" w:lineRule="exact"/>
              <w:jc w:val="center"/>
              <w:rPr>
                <w:rFonts w:hint="eastAsia" w:ascii="宋体" w:hAnsi="宋体" w:eastAsia="宋体" w:cs="宋体"/>
                <w:b/>
                <w:szCs w:val="21"/>
              </w:rPr>
            </w:pPr>
            <w:r>
              <w:rPr>
                <w:rFonts w:hint="eastAsia" w:ascii="宋体" w:hAnsi="宋体" w:eastAsia="宋体" w:cs="宋体"/>
                <w:b/>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1" w:hRule="atLeast"/>
          <w:jc w:val="center"/>
        </w:trPr>
        <w:tc>
          <w:tcPr>
            <w:tcW w:w="9279" w:type="dxa"/>
            <w:gridSpan w:val="3"/>
            <w:vAlign w:val="center"/>
          </w:tcPr>
          <w:p>
            <w:pPr>
              <w:adjustRightInd w:val="0"/>
              <w:snapToGrid w:val="0"/>
              <w:spacing w:line="400" w:lineRule="exact"/>
              <w:rPr>
                <w:rFonts w:hint="eastAsia" w:ascii="宋体" w:hAnsi="宋体" w:eastAsia="宋体" w:cs="宋体"/>
                <w:szCs w:val="21"/>
              </w:rPr>
            </w:pPr>
            <w:r>
              <w:rPr>
                <w:rFonts w:hint="eastAsia" w:ascii="宋体" w:hAnsi="宋体" w:eastAsia="宋体" w:cs="宋体"/>
                <w:b/>
                <w:szCs w:val="21"/>
              </w:rPr>
              <w:t>一、说明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22" w:hRule="atLeast"/>
          <w:jc w:val="center"/>
        </w:trPr>
        <w:tc>
          <w:tcPr>
            <w:tcW w:w="1738" w:type="dxa"/>
            <w:vAlign w:val="center"/>
          </w:tcPr>
          <w:p>
            <w:pPr>
              <w:adjustRightInd w:val="0"/>
              <w:snapToGrid w:val="0"/>
              <w:spacing w:line="400" w:lineRule="exact"/>
              <w:jc w:val="center"/>
              <w:rPr>
                <w:rFonts w:hint="eastAsia" w:ascii="宋体" w:hAnsi="宋体" w:eastAsia="宋体" w:cs="宋体"/>
                <w:szCs w:val="21"/>
              </w:rPr>
            </w:pPr>
            <w:r>
              <w:rPr>
                <w:rFonts w:hint="eastAsia" w:ascii="宋体" w:hAnsi="宋体" w:eastAsia="宋体" w:cs="宋体"/>
                <w:szCs w:val="21"/>
              </w:rPr>
              <w:t>第二章第1.1款</w:t>
            </w:r>
          </w:p>
        </w:tc>
        <w:tc>
          <w:tcPr>
            <w:tcW w:w="2055" w:type="dxa"/>
            <w:vAlign w:val="center"/>
          </w:tcPr>
          <w:p>
            <w:pPr>
              <w:adjustRightInd w:val="0"/>
              <w:snapToGrid w:val="0"/>
              <w:spacing w:line="400" w:lineRule="exact"/>
              <w:rPr>
                <w:rFonts w:hint="eastAsia" w:ascii="宋体" w:hAnsi="宋体" w:eastAsia="宋体" w:cs="宋体"/>
                <w:szCs w:val="21"/>
              </w:rPr>
            </w:pPr>
            <w:r>
              <w:rPr>
                <w:rFonts w:hint="eastAsia" w:ascii="宋体" w:hAnsi="宋体" w:eastAsia="宋体" w:cs="宋体"/>
                <w:szCs w:val="21"/>
              </w:rPr>
              <w:t>项目名称</w:t>
            </w:r>
          </w:p>
        </w:tc>
        <w:tc>
          <w:tcPr>
            <w:tcW w:w="5486" w:type="dxa"/>
            <w:vAlign w:val="center"/>
          </w:tcPr>
          <w:p>
            <w:pPr>
              <w:widowControl/>
              <w:spacing w:line="380" w:lineRule="exact"/>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伊犁州民用运输机场布局规划研究方案编制服务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63" w:hRule="atLeast"/>
          <w:jc w:val="center"/>
        </w:trPr>
        <w:tc>
          <w:tcPr>
            <w:tcW w:w="1738"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第二章第1.2款</w:t>
            </w:r>
          </w:p>
        </w:tc>
        <w:tc>
          <w:tcPr>
            <w:tcW w:w="2055" w:type="dxa"/>
            <w:vAlign w:val="center"/>
          </w:tcPr>
          <w:p>
            <w:pPr>
              <w:spacing w:line="380" w:lineRule="exact"/>
              <w:rPr>
                <w:rFonts w:hint="eastAsia" w:ascii="宋体" w:hAnsi="宋体" w:eastAsia="宋体" w:cs="宋体"/>
              </w:rPr>
            </w:pPr>
            <w:r>
              <w:rPr>
                <w:rFonts w:hint="eastAsia" w:ascii="宋体" w:hAnsi="宋体" w:eastAsia="宋体" w:cs="宋体"/>
              </w:rPr>
              <w:t>采购范围</w:t>
            </w:r>
          </w:p>
        </w:tc>
        <w:tc>
          <w:tcPr>
            <w:tcW w:w="5486" w:type="dxa"/>
            <w:tcBorders>
              <w:bottom w:val="single" w:color="auto" w:sz="4" w:space="0"/>
            </w:tcBorders>
            <w:vAlign w:val="center"/>
          </w:tcPr>
          <w:p>
            <w:pPr>
              <w:jc w:val="left"/>
              <w:rPr>
                <w:rFonts w:hint="eastAsia" w:ascii="宋体" w:hAnsi="宋体" w:eastAsia="宋体" w:cs="宋体"/>
              </w:rPr>
            </w:pPr>
            <w:r>
              <w:rPr>
                <w:rFonts w:hint="eastAsia" w:ascii="宋体" w:hAnsi="宋体" w:eastAsia="宋体" w:cs="宋体"/>
                <w:kern w:val="0"/>
                <w:szCs w:val="21"/>
                <w:lang w:eastAsia="zh-CN"/>
              </w:rPr>
              <w:t>依据相关法规编制完成伊犁州民用运输机场布局规划研究方案。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49" w:hRule="atLeast"/>
          <w:jc w:val="center"/>
        </w:trPr>
        <w:tc>
          <w:tcPr>
            <w:tcW w:w="1738"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第二章第1.3款</w:t>
            </w:r>
          </w:p>
        </w:tc>
        <w:tc>
          <w:tcPr>
            <w:tcW w:w="2055" w:type="dxa"/>
            <w:vAlign w:val="center"/>
          </w:tcPr>
          <w:p>
            <w:pPr>
              <w:spacing w:line="400" w:lineRule="exact"/>
              <w:rPr>
                <w:rFonts w:hint="eastAsia" w:ascii="宋体" w:hAnsi="宋体" w:eastAsia="宋体" w:cs="宋体"/>
                <w:szCs w:val="21"/>
              </w:rPr>
            </w:pPr>
            <w:r>
              <w:rPr>
                <w:rFonts w:hint="eastAsia" w:ascii="宋体" w:hAnsi="宋体" w:eastAsia="宋体" w:cs="宋体"/>
                <w:szCs w:val="21"/>
              </w:rPr>
              <w:t>项目地点</w:t>
            </w:r>
          </w:p>
        </w:tc>
        <w:tc>
          <w:tcPr>
            <w:tcW w:w="5486" w:type="dxa"/>
            <w:vAlign w:val="center"/>
          </w:tcPr>
          <w:p>
            <w:pPr>
              <w:spacing w:line="400" w:lineRule="exact"/>
              <w:jc w:val="left"/>
              <w:rPr>
                <w:rFonts w:hint="eastAsia" w:ascii="宋体" w:hAnsi="宋体" w:eastAsia="宋体" w:cs="宋体"/>
                <w:kern w:val="0"/>
                <w:szCs w:val="21"/>
              </w:rPr>
            </w:pPr>
            <w:r>
              <w:rPr>
                <w:rFonts w:hint="eastAsia" w:ascii="宋体" w:hAnsi="宋体" w:eastAsia="宋体" w:cs="宋体"/>
                <w:kern w:val="0"/>
                <w:szCs w:val="21"/>
              </w:rPr>
              <w:t>新疆霍尔果斯市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71" w:hRule="atLeast"/>
          <w:jc w:val="center"/>
        </w:trPr>
        <w:tc>
          <w:tcPr>
            <w:tcW w:w="1738"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第二章第1.4款</w:t>
            </w:r>
          </w:p>
        </w:tc>
        <w:tc>
          <w:tcPr>
            <w:tcW w:w="2055" w:type="dxa"/>
            <w:vAlign w:val="center"/>
          </w:tcPr>
          <w:p>
            <w:pPr>
              <w:spacing w:line="400" w:lineRule="exact"/>
              <w:rPr>
                <w:rFonts w:hint="eastAsia" w:ascii="宋体" w:hAnsi="宋体" w:eastAsia="宋体" w:cs="宋体"/>
                <w:szCs w:val="21"/>
              </w:rPr>
            </w:pPr>
            <w:r>
              <w:rPr>
                <w:rFonts w:hint="eastAsia" w:ascii="宋体" w:hAnsi="宋体" w:eastAsia="宋体" w:cs="宋体"/>
                <w:szCs w:val="21"/>
              </w:rPr>
              <w:t>采购方式</w:t>
            </w:r>
          </w:p>
        </w:tc>
        <w:tc>
          <w:tcPr>
            <w:tcW w:w="5486" w:type="dxa"/>
            <w:vAlign w:val="center"/>
          </w:tcPr>
          <w:p>
            <w:pPr>
              <w:spacing w:line="400" w:lineRule="exact"/>
              <w:jc w:val="left"/>
              <w:rPr>
                <w:rFonts w:hint="eastAsia" w:ascii="宋体" w:hAnsi="宋体" w:eastAsia="宋体" w:cs="宋体"/>
                <w:szCs w:val="21"/>
              </w:rPr>
            </w:pPr>
            <w:r>
              <w:rPr>
                <w:rFonts w:hint="eastAsia" w:ascii="宋体" w:hAnsi="宋体" w:cs="宋体"/>
                <w:szCs w:val="21"/>
                <w:lang w:eastAsia="zh-CN"/>
              </w:rPr>
              <w:t>邀请</w:t>
            </w:r>
            <w:r>
              <w:rPr>
                <w:rFonts w:hint="eastAsia" w:ascii="宋体" w:hAnsi="宋体" w:eastAsia="宋体" w:cs="宋体"/>
                <w:szCs w:val="21"/>
              </w:rPr>
              <w:t>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56" w:hRule="atLeast"/>
          <w:jc w:val="center"/>
        </w:trPr>
        <w:tc>
          <w:tcPr>
            <w:tcW w:w="1738"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第二章第1.5款</w:t>
            </w:r>
          </w:p>
        </w:tc>
        <w:tc>
          <w:tcPr>
            <w:tcW w:w="2055" w:type="dxa"/>
            <w:vAlign w:val="center"/>
          </w:tcPr>
          <w:p>
            <w:pPr>
              <w:adjustRightInd w:val="0"/>
              <w:snapToGrid w:val="0"/>
              <w:spacing w:line="400" w:lineRule="exact"/>
              <w:rPr>
                <w:rFonts w:hint="eastAsia" w:ascii="宋体" w:hAnsi="宋体" w:eastAsia="宋体" w:cs="宋体"/>
                <w:szCs w:val="21"/>
              </w:rPr>
            </w:pPr>
            <w:r>
              <w:rPr>
                <w:rFonts w:hint="eastAsia" w:ascii="宋体" w:hAnsi="宋体" w:eastAsia="宋体" w:cs="宋体"/>
                <w:szCs w:val="21"/>
              </w:rPr>
              <w:t>完工期限</w:t>
            </w:r>
          </w:p>
        </w:tc>
        <w:tc>
          <w:tcPr>
            <w:tcW w:w="5486" w:type="dxa"/>
            <w:tcBorders>
              <w:bottom w:val="single" w:color="auto" w:sz="4" w:space="0"/>
            </w:tcBorders>
            <w:vAlign w:val="center"/>
          </w:tcPr>
          <w:p>
            <w:pPr>
              <w:adjustRightInd w:val="0"/>
              <w:snapToGrid w:val="0"/>
              <w:spacing w:line="400" w:lineRule="exact"/>
              <w:rPr>
                <w:rFonts w:hint="eastAsia" w:ascii="宋体" w:hAnsi="宋体" w:eastAsia="宋体" w:cs="宋体"/>
                <w:kern w:val="0"/>
                <w:szCs w:val="21"/>
                <w:highlight w:val="none"/>
              </w:rPr>
            </w:pPr>
            <w:r>
              <w:rPr>
                <w:rFonts w:hint="eastAsia" w:ascii="宋体" w:hAnsi="宋体" w:eastAsia="宋体" w:cs="宋体"/>
                <w:kern w:val="0"/>
                <w:szCs w:val="21"/>
                <w:highlight w:val="none"/>
              </w:rPr>
              <w:t>自签订合同之日起且资料收集齐全后30个工作日内。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75" w:hRule="atLeast"/>
          <w:jc w:val="center"/>
        </w:trPr>
        <w:tc>
          <w:tcPr>
            <w:tcW w:w="1738" w:type="dxa"/>
            <w:vAlign w:val="center"/>
          </w:tcPr>
          <w:p>
            <w:pPr>
              <w:adjustRightInd w:val="0"/>
              <w:snapToGrid w:val="0"/>
              <w:spacing w:line="400" w:lineRule="exact"/>
              <w:jc w:val="center"/>
              <w:rPr>
                <w:rFonts w:hint="eastAsia" w:ascii="宋体" w:hAnsi="宋体" w:eastAsia="宋体" w:cs="宋体"/>
                <w:szCs w:val="21"/>
              </w:rPr>
            </w:pPr>
            <w:r>
              <w:rPr>
                <w:rFonts w:hint="eastAsia" w:ascii="宋体" w:hAnsi="宋体" w:eastAsia="宋体" w:cs="宋体"/>
                <w:szCs w:val="21"/>
              </w:rPr>
              <w:t>第二章第2.1款</w:t>
            </w:r>
          </w:p>
        </w:tc>
        <w:tc>
          <w:tcPr>
            <w:tcW w:w="2055" w:type="dxa"/>
            <w:vAlign w:val="center"/>
          </w:tcPr>
          <w:p>
            <w:pPr>
              <w:adjustRightInd w:val="0"/>
              <w:snapToGrid w:val="0"/>
              <w:spacing w:line="400" w:lineRule="exact"/>
              <w:rPr>
                <w:rFonts w:hint="eastAsia" w:ascii="宋体" w:hAnsi="宋体" w:eastAsia="宋体" w:cs="宋体"/>
                <w:szCs w:val="21"/>
              </w:rPr>
            </w:pPr>
            <w:r>
              <w:rPr>
                <w:rFonts w:hint="eastAsia" w:ascii="宋体" w:hAnsi="宋体" w:eastAsia="宋体" w:cs="宋体"/>
                <w:szCs w:val="21"/>
              </w:rPr>
              <w:t>采购人</w:t>
            </w:r>
          </w:p>
        </w:tc>
        <w:tc>
          <w:tcPr>
            <w:tcW w:w="5486" w:type="dxa"/>
            <w:vAlign w:val="center"/>
          </w:tcPr>
          <w:p>
            <w:pPr>
              <w:pStyle w:val="30"/>
              <w:widowControl w:val="0"/>
              <w:overflowPunct/>
              <w:snapToGrid w:val="0"/>
              <w:spacing w:line="44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采购人：霍尔果斯市发展和改革委员会</w:t>
            </w:r>
          </w:p>
          <w:p>
            <w:pPr>
              <w:widowControl/>
              <w:spacing w:line="38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联系人：黄杰 </w:t>
            </w:r>
          </w:p>
          <w:p>
            <w:pPr>
              <w:widowControl/>
              <w:spacing w:line="380" w:lineRule="exact"/>
              <w:jc w:val="left"/>
              <w:rPr>
                <w:rFonts w:hint="eastAsia" w:ascii="宋体" w:hAnsi="宋体" w:eastAsia="宋体" w:cs="宋体"/>
                <w:szCs w:val="21"/>
              </w:rPr>
            </w:pPr>
            <w:r>
              <w:rPr>
                <w:rFonts w:hint="eastAsia" w:ascii="宋体" w:hAnsi="宋体" w:eastAsia="宋体" w:cs="宋体"/>
                <w:color w:val="auto"/>
                <w:kern w:val="2"/>
                <w:sz w:val="21"/>
                <w:szCs w:val="21"/>
                <w:lang w:val="en-US" w:eastAsia="zh-CN" w:bidi="ar-SA"/>
              </w:rPr>
              <w:t>电话：17799395130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995" w:hRule="atLeast"/>
          <w:jc w:val="center"/>
        </w:trPr>
        <w:tc>
          <w:tcPr>
            <w:tcW w:w="1738" w:type="dxa"/>
            <w:vAlign w:val="center"/>
          </w:tcPr>
          <w:p>
            <w:pPr>
              <w:adjustRightInd w:val="0"/>
              <w:snapToGrid w:val="0"/>
              <w:spacing w:line="400" w:lineRule="exact"/>
              <w:jc w:val="center"/>
              <w:rPr>
                <w:rFonts w:hint="eastAsia" w:ascii="宋体" w:hAnsi="宋体" w:eastAsia="宋体" w:cs="宋体"/>
                <w:szCs w:val="21"/>
              </w:rPr>
            </w:pPr>
            <w:r>
              <w:rPr>
                <w:rFonts w:hint="eastAsia" w:ascii="宋体" w:hAnsi="宋体" w:eastAsia="宋体" w:cs="宋体"/>
                <w:szCs w:val="21"/>
              </w:rPr>
              <w:t>第二章第2.2款</w:t>
            </w:r>
          </w:p>
        </w:tc>
        <w:tc>
          <w:tcPr>
            <w:tcW w:w="2055" w:type="dxa"/>
            <w:vAlign w:val="center"/>
          </w:tcPr>
          <w:p>
            <w:pPr>
              <w:adjustRightInd w:val="0"/>
              <w:snapToGrid w:val="0"/>
              <w:spacing w:line="400" w:lineRule="exact"/>
              <w:rPr>
                <w:rFonts w:hint="eastAsia" w:ascii="宋体" w:hAnsi="宋体" w:eastAsia="宋体" w:cs="宋体"/>
                <w:szCs w:val="21"/>
              </w:rPr>
            </w:pPr>
            <w:r>
              <w:rPr>
                <w:rFonts w:hint="eastAsia" w:ascii="宋体" w:hAnsi="宋体" w:eastAsia="宋体" w:cs="宋体"/>
                <w:szCs w:val="21"/>
              </w:rPr>
              <w:t>采购代理机构</w:t>
            </w:r>
          </w:p>
        </w:tc>
        <w:tc>
          <w:tcPr>
            <w:tcW w:w="5486" w:type="dxa"/>
            <w:vAlign w:val="center"/>
          </w:tcPr>
          <w:p>
            <w:pPr>
              <w:pStyle w:val="30"/>
              <w:widowControl w:val="0"/>
              <w:overflowPunct/>
              <w:snapToGrid w:val="0"/>
              <w:spacing w:line="44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采购代理机构：新疆开创纪元全过程项目管理有限公司        </w:t>
            </w:r>
          </w:p>
          <w:p>
            <w:pPr>
              <w:pStyle w:val="30"/>
              <w:widowControl w:val="0"/>
              <w:overflowPunct/>
              <w:snapToGrid w:val="0"/>
              <w:spacing w:line="44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联系人：江艳    </w:t>
            </w:r>
          </w:p>
          <w:p>
            <w:pPr>
              <w:pStyle w:val="30"/>
              <w:widowControl w:val="0"/>
              <w:overflowPunct/>
              <w:snapToGrid w:val="0"/>
              <w:spacing w:line="440" w:lineRule="exact"/>
              <w:jc w:val="both"/>
              <w:textAlignment w:val="auto"/>
              <w:rPr>
                <w:rFonts w:hint="eastAsia"/>
                <w:lang w:val="en-US" w:eastAsia="zh-CN"/>
              </w:rPr>
            </w:pPr>
            <w:r>
              <w:rPr>
                <w:rFonts w:hint="eastAsia" w:ascii="宋体" w:hAnsi="宋体" w:eastAsia="宋体" w:cs="宋体"/>
                <w:color w:val="auto"/>
                <w:kern w:val="2"/>
                <w:sz w:val="21"/>
                <w:szCs w:val="21"/>
                <w:lang w:val="en-US" w:eastAsia="zh-CN" w:bidi="ar-SA"/>
              </w:rPr>
              <w:t>电  话：18309015000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763" w:hRule="atLeast"/>
          <w:jc w:val="center"/>
        </w:trPr>
        <w:tc>
          <w:tcPr>
            <w:tcW w:w="1738" w:type="dxa"/>
            <w:vAlign w:val="center"/>
          </w:tcPr>
          <w:p>
            <w:pPr>
              <w:adjustRightInd w:val="0"/>
              <w:snapToGrid w:val="0"/>
              <w:spacing w:line="400" w:lineRule="exact"/>
              <w:jc w:val="center"/>
              <w:rPr>
                <w:rFonts w:hint="eastAsia" w:ascii="宋体" w:hAnsi="宋体" w:eastAsia="宋体" w:cs="宋体"/>
                <w:szCs w:val="21"/>
              </w:rPr>
            </w:pPr>
            <w:r>
              <w:rPr>
                <w:rFonts w:hint="eastAsia" w:ascii="宋体" w:hAnsi="宋体" w:eastAsia="宋体" w:cs="宋体"/>
                <w:szCs w:val="21"/>
              </w:rPr>
              <w:t>第二章第3.1款</w:t>
            </w:r>
          </w:p>
        </w:tc>
        <w:tc>
          <w:tcPr>
            <w:tcW w:w="2055" w:type="dxa"/>
            <w:vAlign w:val="center"/>
          </w:tcPr>
          <w:p>
            <w:pPr>
              <w:adjustRightInd w:val="0"/>
              <w:snapToGrid w:val="0"/>
              <w:spacing w:line="400" w:lineRule="exact"/>
              <w:jc w:val="left"/>
              <w:rPr>
                <w:rFonts w:hint="eastAsia" w:ascii="宋体" w:hAnsi="宋体" w:eastAsia="宋体" w:cs="宋体"/>
              </w:rPr>
            </w:pPr>
            <w:r>
              <w:rPr>
                <w:rFonts w:hint="eastAsia" w:ascii="宋体" w:hAnsi="宋体" w:eastAsia="宋体" w:cs="宋体"/>
              </w:rPr>
              <w:t>投标人资格条件</w:t>
            </w:r>
          </w:p>
        </w:tc>
        <w:tc>
          <w:tcPr>
            <w:tcW w:w="5486" w:type="dxa"/>
            <w:vAlign w:val="center"/>
          </w:tcPr>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1.符合《中华人民共和国政府采购法》第二十二条的规定； </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2.未被“信用中国”（www.creditchina.gov.cn）、中国政府采购网（www.ccgp.gov.cn）列入失信被执行人、重大税收违法案件当事人名单、政府采购严重违法失信行为记录名单； </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 中华人民共和国境内法人或者其他组织，具有独立承担民事责任的能力；</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4.投标人须具备有效的营业执照</w:t>
            </w:r>
            <w:r>
              <w:rPr>
                <w:rFonts w:hint="eastAsia" w:cs="宋体"/>
                <w:kern w:val="2"/>
                <w:sz w:val="21"/>
                <w:szCs w:val="24"/>
                <w:lang w:val="en-US" w:eastAsia="zh-CN" w:bidi="ar-SA"/>
              </w:rPr>
              <w:t>或企事业单位法人证书</w:t>
            </w:r>
            <w:r>
              <w:rPr>
                <w:rFonts w:hint="eastAsia" w:ascii="宋体" w:hAnsi="宋体" w:eastAsia="宋体" w:cs="宋体"/>
                <w:kern w:val="2"/>
                <w:sz w:val="21"/>
                <w:szCs w:val="24"/>
                <w:lang w:val="en-US" w:eastAsia="zh-CN" w:bidi="ar-SA"/>
              </w:rPr>
              <w:t>；</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w:t>
            </w:r>
            <w:bookmarkStart w:id="209" w:name="_GoBack"/>
            <w:r>
              <w:rPr>
                <w:rFonts w:hint="eastAsia" w:ascii="宋体" w:hAnsi="宋体" w:eastAsia="宋体" w:cs="宋体"/>
                <w:kern w:val="2"/>
                <w:sz w:val="21"/>
                <w:szCs w:val="24"/>
                <w:lang w:val="en-US" w:eastAsia="zh-CN" w:bidi="ar-SA"/>
              </w:rPr>
              <w:t>投标人须具有工程咨询单位乙级资信证书</w:t>
            </w:r>
            <w:r>
              <w:rPr>
                <w:rFonts w:hint="eastAsia" w:cs="宋体"/>
                <w:sz w:val="24"/>
                <w:lang w:eastAsia="zh-CN"/>
              </w:rPr>
              <w:t>（民航专业）</w:t>
            </w:r>
            <w:r>
              <w:rPr>
                <w:rFonts w:hint="eastAsia" w:ascii="宋体" w:hAnsi="宋体" w:eastAsia="宋体" w:cs="宋体"/>
                <w:kern w:val="2"/>
                <w:sz w:val="21"/>
                <w:szCs w:val="24"/>
                <w:lang w:val="en-US" w:eastAsia="zh-CN" w:bidi="ar-SA"/>
              </w:rPr>
              <w:t>及以上资格；投标人还需具有履行合同所必须的专业技术、设备和经济能力，具有良好的商业信誉</w:t>
            </w:r>
            <w:bookmarkEnd w:id="209"/>
            <w:r>
              <w:rPr>
                <w:rFonts w:hint="eastAsia" w:ascii="宋体" w:hAnsi="宋体" w:eastAsia="宋体" w:cs="宋体"/>
                <w:kern w:val="2"/>
                <w:sz w:val="21"/>
                <w:szCs w:val="24"/>
                <w:lang w:val="en-US" w:eastAsia="zh-CN" w:bidi="ar-SA"/>
              </w:rPr>
              <w:t>；</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6.项目负责人须具有高级职称资格。</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7.</w:t>
            </w:r>
            <w:r>
              <w:rPr>
                <w:rFonts w:hint="default" w:ascii="宋体" w:hAnsi="宋体" w:eastAsia="宋体" w:cs="宋体"/>
                <w:kern w:val="2"/>
                <w:sz w:val="21"/>
                <w:szCs w:val="24"/>
                <w:lang w:val="en-US" w:eastAsia="zh-CN" w:bidi="ar-SA"/>
              </w:rPr>
              <w:t>类似业绩：具有3个以上机场布局规划或机场发展规划类项目（含）。</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kern w:val="2"/>
                <w:sz w:val="21"/>
                <w:szCs w:val="24"/>
                <w:lang w:val="en-US" w:eastAsia="zh-CN" w:bidi="ar-SA"/>
              </w:rPr>
            </w:pPr>
            <w:r>
              <w:rPr>
                <w:rFonts w:hint="eastAsia" w:cs="宋体"/>
                <w:kern w:val="2"/>
                <w:sz w:val="21"/>
                <w:szCs w:val="24"/>
                <w:lang w:val="en-US" w:eastAsia="zh-CN" w:bidi="ar-SA"/>
              </w:rPr>
              <w:t>8</w:t>
            </w:r>
            <w:r>
              <w:rPr>
                <w:rFonts w:hint="eastAsia" w:ascii="宋体" w:hAnsi="宋体" w:eastAsia="宋体" w:cs="宋体"/>
                <w:kern w:val="2"/>
                <w:sz w:val="21"/>
                <w:szCs w:val="24"/>
                <w:lang w:val="en-US" w:eastAsia="zh-CN" w:bidi="ar-SA"/>
              </w:rPr>
              <w:t>.本项目不接受联合体投标。</w:t>
            </w:r>
          </w:p>
          <w:p>
            <w:pPr>
              <w:adjustRightInd w:val="0"/>
              <w:snapToGrid w:val="0"/>
              <w:spacing w:line="400" w:lineRule="exact"/>
              <w:jc w:val="left"/>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备注：对列入失信被执行人、重大税收违法案件当事人名单、政府采购严重违法失信行为记录名单的供应商拒绝参与政府采购活动。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1738" w:type="dxa"/>
            <w:vAlign w:val="center"/>
          </w:tcPr>
          <w:p>
            <w:pPr>
              <w:adjustRightInd w:val="0"/>
              <w:snapToGrid w:val="0"/>
              <w:spacing w:line="340" w:lineRule="exact"/>
              <w:jc w:val="center"/>
              <w:rPr>
                <w:rFonts w:hint="eastAsia" w:ascii="宋体" w:hAnsi="宋体" w:eastAsia="宋体" w:cs="宋体"/>
                <w:szCs w:val="21"/>
              </w:rPr>
            </w:pPr>
            <w:r>
              <w:rPr>
                <w:rFonts w:hint="eastAsia" w:ascii="宋体" w:hAnsi="宋体" w:eastAsia="宋体" w:cs="宋体"/>
                <w:szCs w:val="21"/>
              </w:rPr>
              <w:t>第二章第6.1款</w:t>
            </w:r>
          </w:p>
        </w:tc>
        <w:tc>
          <w:tcPr>
            <w:tcW w:w="2055" w:type="dxa"/>
            <w:vAlign w:val="center"/>
          </w:tcPr>
          <w:p>
            <w:pPr>
              <w:adjustRightInd w:val="0"/>
              <w:snapToGrid w:val="0"/>
              <w:spacing w:line="340" w:lineRule="exact"/>
              <w:rPr>
                <w:rFonts w:hint="eastAsia" w:ascii="宋体" w:hAnsi="宋体" w:eastAsia="宋体" w:cs="宋体"/>
                <w:szCs w:val="21"/>
              </w:rPr>
            </w:pPr>
            <w:r>
              <w:rPr>
                <w:rFonts w:hint="eastAsia" w:ascii="宋体" w:hAnsi="宋体" w:eastAsia="宋体" w:cs="宋体"/>
                <w:szCs w:val="21"/>
              </w:rPr>
              <w:t>联合体形式</w:t>
            </w:r>
          </w:p>
        </w:tc>
        <w:tc>
          <w:tcPr>
            <w:tcW w:w="5486" w:type="dxa"/>
            <w:vAlign w:val="center"/>
          </w:tcPr>
          <w:p>
            <w:pPr>
              <w:adjustRightInd w:val="0"/>
              <w:snapToGrid w:val="0"/>
              <w:spacing w:line="340" w:lineRule="exact"/>
              <w:rPr>
                <w:rFonts w:hint="eastAsia" w:ascii="宋体" w:hAnsi="宋体" w:eastAsia="宋体" w:cs="宋体"/>
                <w:szCs w:val="21"/>
              </w:rPr>
            </w:pPr>
            <w:r>
              <w:rPr>
                <w:rFonts w:hint="eastAsia" w:ascii="宋体" w:hAnsi="宋体" w:eastAsia="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1" w:hRule="atLeast"/>
          <w:jc w:val="center"/>
        </w:trPr>
        <w:tc>
          <w:tcPr>
            <w:tcW w:w="1738" w:type="dxa"/>
            <w:vAlign w:val="center"/>
          </w:tcPr>
          <w:p>
            <w:pPr>
              <w:adjustRightInd w:val="0"/>
              <w:snapToGrid w:val="0"/>
              <w:spacing w:line="340" w:lineRule="exact"/>
              <w:jc w:val="center"/>
              <w:rPr>
                <w:rFonts w:hint="eastAsia" w:ascii="宋体" w:hAnsi="宋体" w:eastAsia="宋体" w:cs="宋体"/>
                <w:szCs w:val="21"/>
              </w:rPr>
            </w:pPr>
            <w:r>
              <w:rPr>
                <w:rFonts w:hint="eastAsia" w:ascii="宋体" w:hAnsi="宋体" w:eastAsia="宋体" w:cs="宋体"/>
                <w:szCs w:val="21"/>
              </w:rPr>
              <w:t>第二章第7.1款</w:t>
            </w:r>
          </w:p>
        </w:tc>
        <w:tc>
          <w:tcPr>
            <w:tcW w:w="2055" w:type="dxa"/>
            <w:vAlign w:val="center"/>
          </w:tcPr>
          <w:p>
            <w:pPr>
              <w:adjustRightInd w:val="0"/>
              <w:snapToGrid w:val="0"/>
              <w:spacing w:line="340" w:lineRule="exact"/>
              <w:rPr>
                <w:rFonts w:hint="eastAsia" w:ascii="宋体" w:hAnsi="宋体" w:eastAsia="宋体" w:cs="宋体"/>
                <w:szCs w:val="21"/>
              </w:rPr>
            </w:pPr>
            <w:r>
              <w:rPr>
                <w:rFonts w:hint="eastAsia" w:ascii="宋体" w:hAnsi="宋体" w:eastAsia="宋体" w:cs="宋体"/>
                <w:szCs w:val="21"/>
              </w:rPr>
              <w:t>现场勘察</w:t>
            </w:r>
          </w:p>
        </w:tc>
        <w:tc>
          <w:tcPr>
            <w:tcW w:w="5486" w:type="dxa"/>
            <w:vAlign w:val="center"/>
          </w:tcPr>
          <w:p>
            <w:pPr>
              <w:adjustRightInd w:val="0"/>
              <w:snapToGrid w:val="0"/>
              <w:spacing w:line="400" w:lineRule="exact"/>
              <w:jc w:val="left"/>
              <w:rPr>
                <w:rFonts w:hint="eastAsia" w:ascii="宋体" w:hAnsi="宋体" w:eastAsia="宋体" w:cs="宋体"/>
                <w:szCs w:val="21"/>
              </w:rPr>
            </w:pPr>
            <w:r>
              <w:rPr>
                <w:rFonts w:hint="eastAsia" w:ascii="宋体" w:hAnsi="宋体" w:cs="宋体"/>
                <w:lang w:val="en-US" w:eastAsia="zh-CN"/>
              </w:rPr>
              <w:t>自行</w:t>
            </w:r>
            <w:r>
              <w:rPr>
                <w:rFonts w:hint="eastAsia" w:ascii="宋体" w:hAnsi="宋体" w:eastAsia="宋体" w:cs="宋体"/>
                <w:lang w:val="en-US" w:eastAsia="zh-CN"/>
              </w:rPr>
              <w:t>现场</w:t>
            </w:r>
            <w:r>
              <w:rPr>
                <w:rFonts w:hint="eastAsia" w:ascii="宋体" w:hAnsi="宋体" w:eastAsia="宋体" w:cs="宋体"/>
              </w:rPr>
              <w:t>勘查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28" w:hRule="atLeast"/>
          <w:jc w:val="center"/>
        </w:trPr>
        <w:tc>
          <w:tcPr>
            <w:tcW w:w="1738" w:type="dxa"/>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第二章第9.1款</w:t>
            </w:r>
          </w:p>
        </w:tc>
        <w:tc>
          <w:tcPr>
            <w:tcW w:w="2055" w:type="dxa"/>
            <w:vAlign w:val="center"/>
          </w:tcPr>
          <w:p>
            <w:pPr>
              <w:spacing w:line="300" w:lineRule="exact"/>
              <w:rPr>
                <w:rFonts w:hint="eastAsia" w:ascii="宋体" w:hAnsi="宋体" w:eastAsia="宋体" w:cs="宋体"/>
                <w:bCs/>
                <w:kern w:val="0"/>
                <w:szCs w:val="21"/>
              </w:rPr>
            </w:pPr>
            <w:r>
              <w:rPr>
                <w:rFonts w:hint="eastAsia" w:ascii="宋体" w:hAnsi="宋体" w:eastAsia="宋体" w:cs="宋体"/>
                <w:bCs/>
                <w:kern w:val="0"/>
                <w:szCs w:val="21"/>
              </w:rPr>
              <w:t>支持</w:t>
            </w:r>
            <w:r>
              <w:rPr>
                <w:rFonts w:hint="eastAsia" w:ascii="宋体" w:hAnsi="宋体" w:eastAsia="宋体" w:cs="宋体"/>
                <w:szCs w:val="21"/>
              </w:rPr>
              <w:t>中小企业发展</w:t>
            </w:r>
          </w:p>
        </w:tc>
        <w:tc>
          <w:tcPr>
            <w:tcW w:w="5486" w:type="dxa"/>
            <w:vAlign w:val="center"/>
          </w:tcPr>
          <w:p>
            <w:pPr>
              <w:spacing w:line="300" w:lineRule="exact"/>
              <w:rPr>
                <w:rFonts w:hint="eastAsia" w:ascii="宋体" w:hAnsi="宋体" w:eastAsia="宋体" w:cs="宋体"/>
                <w:szCs w:val="21"/>
                <w:lang w:eastAsia="zh-CN"/>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1" w:hRule="atLeast"/>
          <w:jc w:val="center"/>
        </w:trPr>
        <w:tc>
          <w:tcPr>
            <w:tcW w:w="9279" w:type="dxa"/>
            <w:gridSpan w:val="3"/>
            <w:vAlign w:val="center"/>
          </w:tcPr>
          <w:p>
            <w:pPr>
              <w:adjustRightInd w:val="0"/>
              <w:snapToGrid w:val="0"/>
              <w:spacing w:line="400" w:lineRule="exact"/>
              <w:rPr>
                <w:rFonts w:hint="eastAsia" w:ascii="宋体" w:hAnsi="宋体" w:eastAsia="宋体" w:cs="宋体"/>
                <w:b/>
                <w:szCs w:val="21"/>
              </w:rPr>
            </w:pPr>
            <w:r>
              <w:rPr>
                <w:rFonts w:hint="eastAsia" w:ascii="宋体" w:hAnsi="宋体" w:eastAsia="宋体" w:cs="宋体"/>
                <w:b/>
                <w:szCs w:val="21"/>
              </w:rPr>
              <w:t>二、招标文件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50" w:hRule="atLeast"/>
          <w:jc w:val="center"/>
        </w:trPr>
        <w:tc>
          <w:tcPr>
            <w:tcW w:w="1738" w:type="dxa"/>
            <w:vMerge w:val="restart"/>
            <w:vAlign w:val="center"/>
          </w:tcPr>
          <w:p>
            <w:pPr>
              <w:adjustRightInd w:val="0"/>
              <w:snapToGrid w:val="0"/>
              <w:spacing w:line="340" w:lineRule="exact"/>
              <w:jc w:val="center"/>
              <w:rPr>
                <w:rFonts w:hint="eastAsia" w:ascii="宋体" w:hAnsi="宋体" w:eastAsia="宋体" w:cs="宋体"/>
                <w:szCs w:val="21"/>
              </w:rPr>
            </w:pPr>
            <w:r>
              <w:rPr>
                <w:rFonts w:hint="eastAsia" w:ascii="宋体" w:hAnsi="宋体" w:eastAsia="宋体" w:cs="宋体"/>
                <w:szCs w:val="21"/>
              </w:rPr>
              <w:t>第二章第11.1款</w:t>
            </w:r>
          </w:p>
        </w:tc>
        <w:tc>
          <w:tcPr>
            <w:tcW w:w="2055" w:type="dxa"/>
            <w:tcBorders>
              <w:bottom w:val="single" w:color="auto" w:sz="4" w:space="0"/>
            </w:tcBorders>
            <w:vAlign w:val="center"/>
          </w:tcPr>
          <w:p>
            <w:pPr>
              <w:adjustRightInd w:val="0"/>
              <w:snapToGrid w:val="0"/>
              <w:spacing w:line="340" w:lineRule="exact"/>
              <w:rPr>
                <w:rFonts w:hint="eastAsia" w:ascii="宋体" w:hAnsi="宋体" w:eastAsia="宋体" w:cs="宋体"/>
                <w:szCs w:val="21"/>
              </w:rPr>
            </w:pPr>
            <w:r>
              <w:rPr>
                <w:rFonts w:hint="eastAsia" w:ascii="宋体" w:hAnsi="宋体" w:eastAsia="宋体" w:cs="宋体"/>
                <w:szCs w:val="21"/>
              </w:rPr>
              <w:t>提交电子投标文件的截止时间</w:t>
            </w:r>
          </w:p>
        </w:tc>
        <w:tc>
          <w:tcPr>
            <w:tcW w:w="5486" w:type="dxa"/>
            <w:tcBorders>
              <w:bottom w:val="single" w:color="auto" w:sz="4" w:space="0"/>
            </w:tcBorders>
            <w:vAlign w:val="center"/>
          </w:tcPr>
          <w:p>
            <w:pPr>
              <w:adjustRightInd w:val="0"/>
              <w:snapToGrid w:val="0"/>
              <w:spacing w:line="340" w:lineRule="exact"/>
              <w:jc w:val="left"/>
              <w:rPr>
                <w:rFonts w:hint="eastAsia" w:ascii="宋体" w:hAnsi="宋体" w:eastAsia="宋体" w:cs="宋体"/>
                <w:b/>
                <w:color w:val="auto"/>
                <w:szCs w:val="21"/>
              </w:rPr>
            </w:pPr>
            <w:r>
              <w:rPr>
                <w:rFonts w:hint="eastAsia" w:ascii="宋体" w:hAnsi="宋体" w:eastAsia="宋体" w:cs="宋体"/>
                <w:b/>
                <w:color w:val="auto"/>
                <w:szCs w:val="21"/>
                <w:u w:val="single"/>
              </w:rPr>
              <w:t>2021年</w:t>
            </w:r>
            <w:r>
              <w:rPr>
                <w:rFonts w:hint="eastAsia" w:ascii="宋体" w:hAnsi="宋体" w:cs="宋体"/>
                <w:b/>
                <w:color w:val="auto"/>
                <w:szCs w:val="21"/>
                <w:u w:val="single"/>
                <w:lang w:val="en-US" w:eastAsia="zh-CN"/>
              </w:rPr>
              <w:t>10</w:t>
            </w:r>
            <w:r>
              <w:rPr>
                <w:rFonts w:hint="eastAsia" w:ascii="宋体" w:hAnsi="宋体" w:eastAsia="宋体" w:cs="宋体"/>
                <w:b/>
                <w:color w:val="auto"/>
                <w:szCs w:val="21"/>
                <w:u w:val="single"/>
                <w:lang w:eastAsia="zh-CN"/>
              </w:rPr>
              <w:t>月</w:t>
            </w:r>
            <w:r>
              <w:rPr>
                <w:rFonts w:hint="eastAsia" w:ascii="宋体" w:hAnsi="宋体" w:cs="宋体"/>
                <w:b/>
                <w:color w:val="auto"/>
                <w:szCs w:val="21"/>
                <w:u w:val="single"/>
                <w:lang w:val="en-US" w:eastAsia="zh-CN"/>
              </w:rPr>
              <w:t>08</w:t>
            </w:r>
            <w:r>
              <w:rPr>
                <w:rFonts w:hint="eastAsia" w:ascii="宋体" w:hAnsi="宋体" w:eastAsia="宋体" w:cs="宋体"/>
                <w:b/>
                <w:color w:val="auto"/>
                <w:szCs w:val="21"/>
                <w:u w:val="single"/>
                <w:lang w:eastAsia="zh-CN"/>
              </w:rPr>
              <w:t>日</w:t>
            </w:r>
            <w:r>
              <w:rPr>
                <w:rFonts w:hint="eastAsia" w:ascii="宋体" w:hAnsi="宋体" w:eastAsia="宋体" w:cs="宋体"/>
                <w:b/>
                <w:color w:val="auto"/>
                <w:szCs w:val="21"/>
                <w:u w:val="single"/>
              </w:rPr>
              <w:t>1</w:t>
            </w:r>
            <w:r>
              <w:rPr>
                <w:rFonts w:hint="eastAsia" w:ascii="宋体" w:hAnsi="宋体" w:cs="宋体"/>
                <w:b/>
                <w:color w:val="auto"/>
                <w:szCs w:val="21"/>
                <w:u w:val="single"/>
                <w:lang w:val="en-US" w:eastAsia="zh-CN"/>
              </w:rPr>
              <w:t>6</w:t>
            </w:r>
            <w:r>
              <w:rPr>
                <w:rFonts w:hint="eastAsia" w:ascii="宋体" w:hAnsi="宋体" w:eastAsia="宋体" w:cs="宋体"/>
                <w:b/>
                <w:color w:val="auto"/>
                <w:szCs w:val="21"/>
                <w:u w:val="single"/>
              </w:rPr>
              <w:t>：</w:t>
            </w:r>
            <w:r>
              <w:rPr>
                <w:rFonts w:hint="eastAsia" w:ascii="宋体" w:hAnsi="宋体" w:cs="宋体"/>
                <w:b/>
                <w:color w:val="auto"/>
                <w:szCs w:val="21"/>
                <w:u w:val="single"/>
                <w:lang w:val="en-US" w:eastAsia="zh-CN"/>
              </w:rPr>
              <w:t>0</w:t>
            </w:r>
            <w:r>
              <w:rPr>
                <w:rFonts w:hint="eastAsia" w:ascii="宋体" w:hAnsi="宋体" w:eastAsia="宋体" w:cs="宋体"/>
                <w:b/>
                <w:color w:val="auto"/>
                <w:szCs w:val="21"/>
                <w:u w:val="single"/>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37" w:hRule="atLeast"/>
          <w:jc w:val="center"/>
        </w:trPr>
        <w:tc>
          <w:tcPr>
            <w:tcW w:w="1738" w:type="dxa"/>
            <w:vMerge w:val="continue"/>
            <w:tcBorders>
              <w:right w:val="single" w:color="auto" w:sz="4" w:space="0"/>
            </w:tcBorders>
            <w:vAlign w:val="center"/>
          </w:tcPr>
          <w:p>
            <w:pPr>
              <w:adjustRightInd w:val="0"/>
              <w:snapToGrid w:val="0"/>
              <w:spacing w:line="340" w:lineRule="exact"/>
              <w:jc w:val="center"/>
              <w:rPr>
                <w:rFonts w:hint="eastAsia" w:ascii="宋体" w:hAnsi="宋体" w:eastAsia="宋体" w:cs="宋体"/>
                <w:szCs w:val="21"/>
              </w:rPr>
            </w:pPr>
          </w:p>
        </w:tc>
        <w:tc>
          <w:tcPr>
            <w:tcW w:w="20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hint="eastAsia" w:ascii="宋体" w:hAnsi="宋体" w:eastAsia="宋体" w:cs="宋体"/>
                <w:szCs w:val="21"/>
              </w:rPr>
            </w:pPr>
            <w:r>
              <w:rPr>
                <w:rFonts w:hint="eastAsia" w:ascii="宋体" w:hAnsi="宋体" w:eastAsia="宋体" w:cs="宋体"/>
                <w:szCs w:val="21"/>
              </w:rPr>
              <w:t>电子投标文件解密时间</w:t>
            </w:r>
          </w:p>
        </w:tc>
        <w:tc>
          <w:tcPr>
            <w:tcW w:w="5486" w:type="dxa"/>
            <w:tcBorders>
              <w:top w:val="single" w:color="auto" w:sz="4" w:space="0"/>
              <w:left w:val="single" w:color="auto" w:sz="4" w:space="0"/>
              <w:bottom w:val="single" w:color="auto" w:sz="4" w:space="0"/>
            </w:tcBorders>
            <w:vAlign w:val="center"/>
          </w:tcPr>
          <w:p>
            <w:pPr>
              <w:spacing w:line="300" w:lineRule="exact"/>
              <w:rPr>
                <w:rFonts w:hint="eastAsia" w:ascii="宋体" w:hAnsi="宋体" w:eastAsia="宋体" w:cs="宋体"/>
                <w:color w:val="auto"/>
                <w:szCs w:val="21"/>
              </w:rPr>
            </w:pPr>
            <w:r>
              <w:rPr>
                <w:rFonts w:hint="eastAsia" w:ascii="宋体" w:hAnsi="宋体" w:eastAsia="宋体" w:cs="宋体"/>
                <w:b/>
                <w:bCs/>
                <w:color w:val="auto"/>
                <w:szCs w:val="21"/>
              </w:rPr>
              <w:t>开标时间后30分钟内（2021年</w:t>
            </w:r>
            <w:r>
              <w:rPr>
                <w:rFonts w:hint="eastAsia" w:ascii="宋体" w:hAnsi="宋体" w:cs="宋体"/>
                <w:b/>
                <w:bCs/>
                <w:color w:val="auto"/>
                <w:szCs w:val="21"/>
                <w:lang w:val="en-US" w:eastAsia="zh-CN"/>
              </w:rPr>
              <w:t>10</w:t>
            </w:r>
            <w:r>
              <w:rPr>
                <w:rFonts w:hint="eastAsia" w:ascii="宋体" w:hAnsi="宋体" w:eastAsia="宋体" w:cs="宋体"/>
                <w:b/>
                <w:bCs/>
                <w:color w:val="auto"/>
                <w:szCs w:val="21"/>
                <w:lang w:eastAsia="zh-CN"/>
              </w:rPr>
              <w:t>月</w:t>
            </w:r>
            <w:r>
              <w:rPr>
                <w:rFonts w:hint="eastAsia" w:ascii="宋体" w:hAnsi="宋体" w:cs="宋体"/>
                <w:b/>
                <w:bCs/>
                <w:color w:val="auto"/>
                <w:szCs w:val="21"/>
                <w:lang w:val="en-US" w:eastAsia="zh-CN"/>
              </w:rPr>
              <w:t>08</w:t>
            </w:r>
            <w:r>
              <w:rPr>
                <w:rFonts w:hint="eastAsia" w:ascii="宋体" w:hAnsi="宋体" w:eastAsia="宋体" w:cs="宋体"/>
                <w:b/>
                <w:bCs/>
                <w:color w:val="auto"/>
                <w:szCs w:val="21"/>
                <w:lang w:eastAsia="zh-CN"/>
              </w:rPr>
              <w:t>日</w:t>
            </w:r>
            <w:r>
              <w:rPr>
                <w:rFonts w:hint="eastAsia" w:ascii="宋体" w:hAnsi="宋体" w:cs="宋体"/>
                <w:b/>
                <w:bCs/>
                <w:color w:val="auto"/>
                <w:szCs w:val="21"/>
                <w:lang w:eastAsia="zh-CN"/>
              </w:rPr>
              <w:t>下</w:t>
            </w:r>
            <w:r>
              <w:rPr>
                <w:rFonts w:hint="eastAsia" w:ascii="宋体" w:hAnsi="宋体" w:eastAsia="宋体" w:cs="宋体"/>
                <w:b/>
                <w:bCs/>
                <w:color w:val="auto"/>
                <w:szCs w:val="21"/>
              </w:rPr>
              <w:t>午1</w:t>
            </w:r>
            <w:r>
              <w:rPr>
                <w:rFonts w:hint="eastAsia" w:ascii="宋体" w:hAnsi="宋体" w:cs="宋体"/>
                <w:b/>
                <w:bCs/>
                <w:color w:val="auto"/>
                <w:szCs w:val="21"/>
                <w:lang w:val="en-US" w:eastAsia="zh-CN"/>
              </w:rPr>
              <w:t>6</w:t>
            </w:r>
            <w:r>
              <w:rPr>
                <w:rFonts w:hint="eastAsia" w:ascii="宋体" w:hAnsi="宋体" w:eastAsia="宋体" w:cs="宋体"/>
                <w:b/>
                <w:bCs/>
                <w:color w:val="auto"/>
                <w:szCs w:val="21"/>
              </w:rPr>
              <w:t>:</w:t>
            </w:r>
            <w:r>
              <w:rPr>
                <w:rFonts w:hint="eastAsia" w:ascii="宋体" w:hAnsi="宋体" w:cs="宋体"/>
                <w:b/>
                <w:bCs/>
                <w:color w:val="auto"/>
                <w:szCs w:val="21"/>
                <w:lang w:val="en-US" w:eastAsia="zh-CN"/>
              </w:rPr>
              <w:t>00</w:t>
            </w:r>
            <w:r>
              <w:rPr>
                <w:rFonts w:hint="eastAsia" w:ascii="宋体" w:hAnsi="宋体" w:eastAsia="宋体" w:cs="宋体"/>
                <w:b/>
                <w:bCs/>
                <w:color w:val="auto"/>
                <w:szCs w:val="21"/>
              </w:rPr>
              <w:t>-1</w:t>
            </w:r>
            <w:r>
              <w:rPr>
                <w:rFonts w:hint="eastAsia" w:ascii="宋体" w:hAnsi="宋体" w:cs="宋体"/>
                <w:b/>
                <w:bCs/>
                <w:color w:val="auto"/>
                <w:szCs w:val="21"/>
                <w:lang w:val="en-US" w:eastAsia="zh-CN"/>
              </w:rPr>
              <w:t>6</w:t>
            </w:r>
            <w:r>
              <w:rPr>
                <w:rFonts w:hint="eastAsia" w:ascii="宋体" w:hAnsi="宋体" w:eastAsia="宋体" w:cs="宋体"/>
                <w:b/>
                <w:bCs/>
                <w:color w:val="auto"/>
                <w:szCs w:val="21"/>
              </w:rPr>
              <w:t>：</w:t>
            </w:r>
            <w:r>
              <w:rPr>
                <w:rFonts w:hint="eastAsia" w:ascii="宋体" w:hAnsi="宋体" w:cs="宋体"/>
                <w:b/>
                <w:bCs/>
                <w:color w:val="auto"/>
                <w:szCs w:val="21"/>
                <w:lang w:val="en-US" w:eastAsia="zh-CN"/>
              </w:rPr>
              <w:t>30</w:t>
            </w:r>
            <w:r>
              <w:rPr>
                <w:rFonts w:hint="eastAsia" w:ascii="宋体" w:hAnsi="宋体" w:eastAsia="宋体" w:cs="宋体"/>
                <w:b/>
                <w:bCs/>
                <w:color w:val="auto"/>
                <w:szCs w:val="21"/>
              </w:rPr>
              <w:t>前）供应商登录“政采云”平台，用“项目采购-开标评标”功能进行解密投标文件。若供应商在规定时间内（2021年</w:t>
            </w:r>
            <w:r>
              <w:rPr>
                <w:rFonts w:hint="eastAsia" w:ascii="宋体" w:hAnsi="宋体" w:cs="宋体"/>
                <w:b/>
                <w:bCs/>
                <w:color w:val="auto"/>
                <w:szCs w:val="21"/>
                <w:lang w:val="en-US" w:eastAsia="zh-CN"/>
              </w:rPr>
              <w:t>10</w:t>
            </w:r>
            <w:r>
              <w:rPr>
                <w:rFonts w:hint="eastAsia" w:ascii="宋体" w:hAnsi="宋体" w:eastAsia="宋体" w:cs="宋体"/>
                <w:b/>
                <w:bCs/>
                <w:color w:val="auto"/>
                <w:szCs w:val="21"/>
                <w:lang w:eastAsia="zh-CN"/>
              </w:rPr>
              <w:t>月</w:t>
            </w:r>
            <w:r>
              <w:rPr>
                <w:rFonts w:hint="eastAsia" w:ascii="宋体" w:hAnsi="宋体" w:cs="宋体"/>
                <w:b/>
                <w:bCs/>
                <w:color w:val="auto"/>
                <w:szCs w:val="21"/>
                <w:lang w:val="en-US" w:eastAsia="zh-CN"/>
              </w:rPr>
              <w:t>08</w:t>
            </w:r>
            <w:r>
              <w:rPr>
                <w:rFonts w:hint="eastAsia" w:ascii="宋体" w:hAnsi="宋体" w:eastAsia="宋体" w:cs="宋体"/>
                <w:b/>
                <w:bCs/>
                <w:color w:val="auto"/>
                <w:szCs w:val="21"/>
                <w:lang w:eastAsia="zh-CN"/>
              </w:rPr>
              <w:t>日</w:t>
            </w:r>
            <w:r>
              <w:rPr>
                <w:rFonts w:hint="eastAsia" w:ascii="宋体" w:hAnsi="宋体" w:cs="宋体"/>
                <w:b/>
                <w:bCs/>
                <w:color w:val="auto"/>
                <w:szCs w:val="21"/>
                <w:lang w:eastAsia="zh-CN"/>
              </w:rPr>
              <w:t>下</w:t>
            </w:r>
            <w:r>
              <w:rPr>
                <w:rFonts w:hint="eastAsia" w:ascii="宋体" w:hAnsi="宋体" w:eastAsia="宋体" w:cs="宋体"/>
                <w:b/>
                <w:bCs/>
                <w:color w:val="auto"/>
                <w:szCs w:val="21"/>
              </w:rPr>
              <w:t>午1</w:t>
            </w:r>
            <w:r>
              <w:rPr>
                <w:rFonts w:hint="eastAsia" w:ascii="宋体" w:hAnsi="宋体" w:cs="宋体"/>
                <w:b/>
                <w:bCs/>
                <w:color w:val="auto"/>
                <w:szCs w:val="21"/>
                <w:lang w:val="en-US" w:eastAsia="zh-CN"/>
              </w:rPr>
              <w:t>6</w:t>
            </w:r>
            <w:r>
              <w:rPr>
                <w:rFonts w:hint="eastAsia" w:ascii="宋体" w:hAnsi="宋体" w:eastAsia="宋体" w:cs="宋体"/>
                <w:b/>
                <w:bCs/>
                <w:color w:val="auto"/>
                <w:szCs w:val="21"/>
              </w:rPr>
              <w:t>:</w:t>
            </w:r>
            <w:r>
              <w:rPr>
                <w:rFonts w:hint="eastAsia" w:ascii="宋体" w:hAnsi="宋体" w:cs="宋体"/>
                <w:b/>
                <w:bCs/>
                <w:color w:val="auto"/>
                <w:szCs w:val="21"/>
                <w:lang w:val="en-US" w:eastAsia="zh-CN"/>
              </w:rPr>
              <w:t>3</w:t>
            </w:r>
            <w:r>
              <w:rPr>
                <w:rFonts w:hint="eastAsia" w:ascii="宋体" w:hAnsi="宋体" w:eastAsia="宋体" w:cs="宋体"/>
                <w:b/>
                <w:bCs/>
                <w:color w:val="auto"/>
                <w:szCs w:val="21"/>
              </w:rPr>
              <w:t>0前）未按时解密的，视为无效投标。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1" w:hRule="atLeast"/>
          <w:jc w:val="center"/>
        </w:trPr>
        <w:tc>
          <w:tcPr>
            <w:tcW w:w="9279" w:type="dxa"/>
            <w:gridSpan w:val="3"/>
            <w:vAlign w:val="center"/>
          </w:tcPr>
          <w:p>
            <w:pPr>
              <w:adjustRightInd w:val="0"/>
              <w:snapToGrid w:val="0"/>
              <w:spacing w:line="400" w:lineRule="exact"/>
              <w:rPr>
                <w:rFonts w:hint="eastAsia" w:ascii="宋体" w:hAnsi="宋体" w:eastAsia="宋体" w:cs="宋体"/>
                <w:szCs w:val="21"/>
              </w:rPr>
            </w:pPr>
            <w:r>
              <w:rPr>
                <w:rFonts w:hint="eastAsia" w:ascii="宋体" w:hAnsi="宋体" w:eastAsia="宋体" w:cs="宋体"/>
                <w:b/>
                <w:szCs w:val="21"/>
              </w:rPr>
              <w:t>三、投标文件的编写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82" w:hRule="exact"/>
          <w:jc w:val="center"/>
        </w:trPr>
        <w:tc>
          <w:tcPr>
            <w:tcW w:w="1738" w:type="dxa"/>
            <w:vAlign w:val="center"/>
          </w:tcPr>
          <w:p>
            <w:pPr>
              <w:adjustRightInd w:val="0"/>
              <w:snapToGrid w:val="0"/>
              <w:spacing w:line="400" w:lineRule="exact"/>
              <w:jc w:val="center"/>
              <w:rPr>
                <w:rFonts w:hint="eastAsia" w:ascii="宋体" w:hAnsi="宋体" w:eastAsia="宋体" w:cs="宋体"/>
                <w:szCs w:val="21"/>
              </w:rPr>
            </w:pPr>
            <w:r>
              <w:rPr>
                <w:rFonts w:hint="eastAsia" w:ascii="宋体" w:hAnsi="宋体" w:eastAsia="宋体" w:cs="宋体"/>
                <w:szCs w:val="21"/>
              </w:rPr>
              <w:t>第二章第15.4款</w:t>
            </w:r>
          </w:p>
        </w:tc>
        <w:tc>
          <w:tcPr>
            <w:tcW w:w="2055" w:type="dxa"/>
            <w:vAlign w:val="center"/>
          </w:tcPr>
          <w:p>
            <w:pPr>
              <w:adjustRightInd w:val="0"/>
              <w:snapToGrid w:val="0"/>
              <w:spacing w:line="400" w:lineRule="exact"/>
              <w:jc w:val="left"/>
              <w:rPr>
                <w:rFonts w:hint="eastAsia" w:ascii="宋体" w:hAnsi="宋体" w:eastAsia="宋体" w:cs="宋体"/>
                <w:szCs w:val="21"/>
              </w:rPr>
            </w:pPr>
            <w:r>
              <w:rPr>
                <w:rFonts w:hint="eastAsia" w:ascii="宋体" w:hAnsi="宋体" w:eastAsia="宋体" w:cs="宋体"/>
                <w:szCs w:val="21"/>
              </w:rPr>
              <w:t>预算总资金</w:t>
            </w:r>
          </w:p>
        </w:tc>
        <w:tc>
          <w:tcPr>
            <w:tcW w:w="5486" w:type="dxa"/>
            <w:tcBorders>
              <w:bottom w:val="single" w:color="auto" w:sz="4" w:space="0"/>
            </w:tcBorders>
            <w:vAlign w:val="center"/>
          </w:tcPr>
          <w:p>
            <w:pPr>
              <w:adjustRightInd w:val="0"/>
              <w:snapToGrid w:val="0"/>
              <w:spacing w:line="400" w:lineRule="exact"/>
              <w:jc w:val="left"/>
              <w:rPr>
                <w:rFonts w:hint="eastAsia" w:ascii="宋体" w:hAnsi="宋体" w:eastAsia="宋体" w:cs="宋体"/>
                <w:bCs/>
                <w:szCs w:val="21"/>
              </w:rPr>
            </w:pPr>
            <w:r>
              <w:rPr>
                <w:rFonts w:hint="eastAsia" w:ascii="宋体" w:hAnsi="宋体" w:cs="宋体"/>
                <w:bCs/>
                <w:szCs w:val="21"/>
                <w:lang w:val="en-US" w:eastAsia="zh-CN"/>
              </w:rPr>
              <w:t>11</w:t>
            </w:r>
            <w:r>
              <w:rPr>
                <w:rFonts w:hint="eastAsia" w:ascii="宋体" w:hAnsi="宋体" w:eastAsia="宋体" w:cs="宋体"/>
                <w:bCs/>
                <w:szCs w:val="21"/>
                <w:lang w:val="en-US" w:eastAsia="zh-CN"/>
              </w:rPr>
              <w:t>00000</w:t>
            </w:r>
            <w:r>
              <w:rPr>
                <w:rFonts w:hint="eastAsia" w:ascii="宋体" w:hAnsi="宋体" w:eastAsia="宋体" w:cs="宋体"/>
                <w:bCs/>
                <w:szCs w:val="21"/>
              </w:rPr>
              <w:t>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52" w:hRule="atLeast"/>
          <w:jc w:val="center"/>
        </w:trPr>
        <w:tc>
          <w:tcPr>
            <w:tcW w:w="1738" w:type="dxa"/>
            <w:vAlign w:val="center"/>
          </w:tcPr>
          <w:p>
            <w:pPr>
              <w:adjustRightInd w:val="0"/>
              <w:snapToGrid w:val="0"/>
              <w:spacing w:line="340" w:lineRule="exact"/>
              <w:jc w:val="center"/>
              <w:rPr>
                <w:rFonts w:hint="eastAsia" w:ascii="宋体" w:hAnsi="宋体" w:eastAsia="宋体" w:cs="宋体"/>
                <w:szCs w:val="21"/>
              </w:rPr>
            </w:pPr>
            <w:r>
              <w:rPr>
                <w:rFonts w:hint="eastAsia" w:ascii="宋体" w:hAnsi="宋体" w:eastAsia="宋体" w:cs="宋体"/>
                <w:szCs w:val="21"/>
              </w:rPr>
              <w:t>第二章第16.3款</w:t>
            </w:r>
          </w:p>
        </w:tc>
        <w:tc>
          <w:tcPr>
            <w:tcW w:w="2055" w:type="dxa"/>
            <w:vAlign w:val="center"/>
          </w:tcPr>
          <w:p>
            <w:pPr>
              <w:adjustRightInd w:val="0"/>
              <w:snapToGrid w:val="0"/>
              <w:spacing w:line="340" w:lineRule="exact"/>
              <w:jc w:val="left"/>
              <w:rPr>
                <w:rFonts w:hint="eastAsia" w:ascii="宋体" w:hAnsi="宋体" w:eastAsia="宋体" w:cs="宋体"/>
                <w:szCs w:val="21"/>
              </w:rPr>
            </w:pPr>
            <w:r>
              <w:rPr>
                <w:rFonts w:hint="eastAsia" w:ascii="宋体" w:hAnsi="宋体" w:eastAsia="宋体" w:cs="宋体"/>
                <w:szCs w:val="21"/>
              </w:rPr>
              <w:t>业绩</w:t>
            </w:r>
          </w:p>
        </w:tc>
        <w:tc>
          <w:tcPr>
            <w:tcW w:w="5486" w:type="dxa"/>
            <w:tcBorders>
              <w:bottom w:val="single" w:color="auto" w:sz="4" w:space="0"/>
            </w:tcBorders>
            <w:vAlign w:val="center"/>
          </w:tcPr>
          <w:p>
            <w:pPr>
              <w:adjustRightInd w:val="0"/>
              <w:snapToGrid w:val="0"/>
              <w:spacing w:line="340" w:lineRule="exact"/>
              <w:rPr>
                <w:rFonts w:hint="eastAsia" w:ascii="宋体" w:hAnsi="宋体" w:eastAsia="宋体" w:cs="宋体"/>
                <w:bCs/>
                <w:szCs w:val="21"/>
              </w:rPr>
            </w:pPr>
            <w:r>
              <w:rPr>
                <w:rFonts w:hint="eastAsia" w:ascii="宋体" w:hAnsi="宋体" w:eastAsia="宋体" w:cs="宋体"/>
                <w:bCs/>
                <w:szCs w:val="21"/>
              </w:rPr>
              <w:t>提供同类项目业绩（201</w:t>
            </w:r>
            <w:r>
              <w:rPr>
                <w:rFonts w:hint="eastAsia" w:ascii="宋体" w:hAnsi="宋体" w:cs="宋体"/>
                <w:bCs/>
                <w:szCs w:val="21"/>
                <w:lang w:val="en-US" w:eastAsia="zh-CN"/>
              </w:rPr>
              <w:t>5</w:t>
            </w:r>
            <w:r>
              <w:rPr>
                <w:rFonts w:hint="eastAsia" w:ascii="宋体" w:hAnsi="宋体" w:eastAsia="宋体" w:cs="宋体"/>
                <w:bCs/>
                <w:szCs w:val="21"/>
              </w:rPr>
              <w:t>年1月1日至今），证明材料扫描件编制于投标文件内（具体查看评分因素）。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738" w:type="dxa"/>
            <w:vMerge w:val="restart"/>
            <w:vAlign w:val="center"/>
          </w:tcPr>
          <w:p>
            <w:pPr>
              <w:adjustRightInd w:val="0"/>
              <w:snapToGrid w:val="0"/>
              <w:spacing w:line="400" w:lineRule="exact"/>
              <w:jc w:val="center"/>
              <w:rPr>
                <w:rFonts w:hint="eastAsia" w:ascii="宋体" w:hAnsi="宋体" w:eastAsia="宋体" w:cs="宋体"/>
                <w:szCs w:val="21"/>
              </w:rPr>
            </w:pPr>
            <w:r>
              <w:rPr>
                <w:rFonts w:hint="eastAsia" w:ascii="宋体" w:hAnsi="宋体" w:eastAsia="宋体" w:cs="宋体"/>
                <w:szCs w:val="21"/>
              </w:rPr>
              <w:t>第二章第17.1款</w:t>
            </w:r>
          </w:p>
        </w:tc>
        <w:tc>
          <w:tcPr>
            <w:tcW w:w="2055" w:type="dxa"/>
            <w:vMerge w:val="restart"/>
            <w:vAlign w:val="center"/>
          </w:tcPr>
          <w:p>
            <w:pPr>
              <w:adjustRightInd w:val="0"/>
              <w:snapToGrid w:val="0"/>
              <w:spacing w:line="400" w:lineRule="exact"/>
              <w:ind w:left="-533" w:leftChars="-254" w:firstLine="533" w:firstLineChars="254"/>
              <w:rPr>
                <w:rFonts w:hint="eastAsia" w:ascii="宋体" w:hAnsi="宋体" w:eastAsia="宋体" w:cs="宋体"/>
                <w:szCs w:val="21"/>
              </w:rPr>
            </w:pPr>
            <w:r>
              <w:rPr>
                <w:rFonts w:hint="eastAsia" w:ascii="宋体" w:hAnsi="宋体" w:eastAsia="宋体" w:cs="宋体"/>
                <w:szCs w:val="21"/>
              </w:rPr>
              <w:t>投标保证金</w:t>
            </w:r>
          </w:p>
        </w:tc>
        <w:tc>
          <w:tcPr>
            <w:tcW w:w="5486" w:type="dxa"/>
            <w:tcBorders>
              <w:bottom w:val="single" w:color="auto" w:sz="4" w:space="0"/>
            </w:tcBorders>
            <w:vAlign w:val="center"/>
          </w:tcPr>
          <w:p>
            <w:pPr>
              <w:adjustRightInd w:val="0"/>
              <w:snapToGrid w:val="0"/>
              <w:spacing w:line="400" w:lineRule="exact"/>
              <w:jc w:val="left"/>
              <w:rPr>
                <w:rFonts w:hint="eastAsia" w:ascii="宋体" w:hAnsi="宋体" w:eastAsia="宋体" w:cs="宋体"/>
              </w:rPr>
            </w:pPr>
            <w:r>
              <w:rPr>
                <w:rFonts w:hint="eastAsia" w:ascii="宋体" w:hAnsi="宋体" w:eastAsia="宋体" w:cs="宋体"/>
                <w:bCs/>
                <w:szCs w:val="21"/>
              </w:rPr>
              <w:t>金额：</w:t>
            </w:r>
            <w:r>
              <w:rPr>
                <w:rFonts w:hint="eastAsia" w:ascii="宋体" w:hAnsi="宋体" w:cs="宋体"/>
                <w:bCs/>
                <w:szCs w:val="21"/>
                <w:u w:val="single"/>
                <w:lang w:val="en-US" w:eastAsia="zh-CN"/>
              </w:rPr>
              <w:t>0元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62" w:hRule="atLeast"/>
          <w:jc w:val="center"/>
        </w:trPr>
        <w:tc>
          <w:tcPr>
            <w:tcW w:w="1738" w:type="dxa"/>
            <w:vMerge w:val="continue"/>
            <w:vAlign w:val="center"/>
          </w:tcPr>
          <w:p>
            <w:pPr>
              <w:adjustRightInd w:val="0"/>
              <w:snapToGrid w:val="0"/>
              <w:spacing w:line="400" w:lineRule="exact"/>
              <w:jc w:val="center"/>
              <w:rPr>
                <w:rFonts w:hint="eastAsia" w:ascii="宋体" w:hAnsi="宋体" w:eastAsia="宋体" w:cs="宋体"/>
                <w:szCs w:val="21"/>
              </w:rPr>
            </w:pPr>
          </w:p>
        </w:tc>
        <w:tc>
          <w:tcPr>
            <w:tcW w:w="2055" w:type="dxa"/>
            <w:vMerge w:val="continue"/>
            <w:vAlign w:val="center"/>
          </w:tcPr>
          <w:p>
            <w:pPr>
              <w:adjustRightInd w:val="0"/>
              <w:snapToGrid w:val="0"/>
              <w:spacing w:line="400" w:lineRule="exact"/>
              <w:ind w:left="-533" w:leftChars="-254" w:firstLine="533" w:firstLineChars="254"/>
              <w:rPr>
                <w:rFonts w:hint="eastAsia" w:ascii="宋体" w:hAnsi="宋体" w:eastAsia="宋体" w:cs="宋体"/>
                <w:szCs w:val="21"/>
              </w:rPr>
            </w:pPr>
          </w:p>
        </w:tc>
        <w:tc>
          <w:tcPr>
            <w:tcW w:w="5486" w:type="dxa"/>
            <w:tcBorders>
              <w:top w:val="double" w:color="auto" w:sz="4" w:space="0"/>
            </w:tcBorders>
            <w:vAlign w:val="center"/>
          </w:tcPr>
          <w:p>
            <w:pPr>
              <w:adjustRightInd w:val="0"/>
              <w:snapToGrid w:val="0"/>
              <w:spacing w:line="280" w:lineRule="exact"/>
              <w:rPr>
                <w:rFonts w:hint="eastAsia" w:ascii="宋体" w:hAnsi="宋体" w:eastAsia="宋体" w:cs="宋体"/>
              </w:rPr>
            </w:pPr>
            <w:r>
              <w:rPr>
                <w:rFonts w:hint="eastAsia" w:ascii="宋体" w:hAnsi="宋体" w:eastAsia="宋体" w:cs="宋体"/>
              </w:rPr>
              <w:t>2、形式：投标人请以企业名义（基本户）通过</w:t>
            </w:r>
            <w:r>
              <w:rPr>
                <w:rFonts w:hint="eastAsia" w:ascii="宋体" w:hAnsi="宋体" w:eastAsia="宋体" w:cs="宋体"/>
                <w:lang w:val="en-US" w:eastAsia="zh-CN"/>
              </w:rPr>
              <w:t>汇款、</w:t>
            </w:r>
            <w:r>
              <w:rPr>
                <w:rFonts w:hint="eastAsia" w:ascii="宋体" w:hAnsi="宋体" w:eastAsia="宋体" w:cs="宋体"/>
              </w:rPr>
              <w:t>支票、汇票、保函等形式缴纳保证金；不允许以个人名义或现金方式缴纳保证金，否则视为无效投标。（注意：投标保证金需一次性足额缴纳，不得分批次、分时间缴纳，否则视为无效投标；汇款时须备注项目编号，如“2021年</w:t>
            </w:r>
            <w:r>
              <w:rPr>
                <w:rFonts w:hint="eastAsia" w:ascii="宋体" w:hAnsi="宋体" w:eastAsia="宋体" w:cs="宋体"/>
                <w:lang w:val="en-US" w:eastAsia="zh-CN"/>
              </w:rPr>
              <w:t>11</w:t>
            </w:r>
            <w:r>
              <w:rPr>
                <w:rFonts w:hint="eastAsia" w:ascii="宋体" w:hAnsi="宋体" w:eastAsia="宋体" w:cs="宋体"/>
              </w:rPr>
              <w:t>号”）</w:t>
            </w:r>
          </w:p>
          <w:p>
            <w:pPr>
              <w:adjustRightInd w:val="0"/>
              <w:snapToGrid w:val="0"/>
              <w:spacing w:line="320" w:lineRule="exact"/>
              <w:rPr>
                <w:rFonts w:hint="eastAsia" w:ascii="宋体" w:hAnsi="宋体" w:eastAsia="宋体" w:cs="宋体"/>
              </w:rPr>
            </w:pPr>
            <w:r>
              <w:rPr>
                <w:rFonts w:hint="eastAsia" w:ascii="宋体" w:hAnsi="宋体" w:eastAsia="宋体" w:cs="宋体"/>
              </w:rPr>
              <w:t>3、保证金截止时间：与投标截止时间相同（以采购中心到账时间为准）；</w:t>
            </w:r>
          </w:p>
          <w:p>
            <w:pPr>
              <w:adjustRightInd w:val="0"/>
              <w:snapToGrid w:val="0"/>
              <w:spacing w:line="320" w:lineRule="exact"/>
              <w:rPr>
                <w:rFonts w:hint="eastAsia" w:ascii="宋体" w:hAnsi="宋体" w:eastAsia="宋体" w:cs="宋体"/>
              </w:rPr>
            </w:pPr>
            <w:r>
              <w:rPr>
                <w:rFonts w:hint="eastAsia" w:ascii="宋体" w:hAnsi="宋体" w:eastAsia="宋体" w:cs="宋体"/>
              </w:rPr>
              <w:t>4、账户信息：</w:t>
            </w:r>
          </w:p>
          <w:p>
            <w:pPr>
              <w:adjustRightInd w:val="0"/>
              <w:snapToGrid w:val="0"/>
              <w:spacing w:line="280" w:lineRule="exact"/>
              <w:rPr>
                <w:rFonts w:hint="eastAsia" w:ascii="宋体" w:hAnsi="宋体" w:eastAsia="宋体" w:cs="宋体"/>
              </w:rPr>
            </w:pPr>
            <w:r>
              <w:rPr>
                <w:rFonts w:hint="eastAsia" w:ascii="宋体" w:hAnsi="宋体" w:eastAsia="宋体" w:cs="宋体"/>
              </w:rPr>
              <w:t>全称：霍尔果斯市行政服务中心</w:t>
            </w:r>
          </w:p>
          <w:p>
            <w:pPr>
              <w:adjustRightInd w:val="0"/>
              <w:snapToGrid w:val="0"/>
              <w:spacing w:line="280" w:lineRule="exact"/>
              <w:rPr>
                <w:rFonts w:hint="eastAsia" w:ascii="宋体" w:hAnsi="宋体" w:eastAsia="宋体" w:cs="宋体"/>
              </w:rPr>
            </w:pPr>
            <w:r>
              <w:rPr>
                <w:rFonts w:hint="eastAsia" w:ascii="宋体" w:hAnsi="宋体" w:eastAsia="宋体" w:cs="宋体"/>
              </w:rPr>
              <w:t>账号：1076 5779 3582</w:t>
            </w:r>
          </w:p>
          <w:p>
            <w:pPr>
              <w:adjustRightInd w:val="0"/>
              <w:snapToGrid w:val="0"/>
              <w:spacing w:line="280" w:lineRule="exact"/>
              <w:rPr>
                <w:rFonts w:hint="eastAsia" w:ascii="宋体" w:hAnsi="宋体" w:eastAsia="宋体" w:cs="宋体"/>
              </w:rPr>
            </w:pPr>
            <w:r>
              <w:rPr>
                <w:rFonts w:hint="eastAsia" w:ascii="宋体" w:hAnsi="宋体" w:eastAsia="宋体" w:cs="宋体"/>
              </w:rPr>
              <w:t>开户银行：中国银行股份有限公司霍尔果斯市支行</w:t>
            </w:r>
          </w:p>
          <w:p>
            <w:pPr>
              <w:adjustRightInd w:val="0"/>
              <w:snapToGrid w:val="0"/>
              <w:spacing w:line="280" w:lineRule="exact"/>
              <w:rPr>
                <w:rFonts w:hint="eastAsia" w:ascii="宋体" w:hAnsi="宋体" w:eastAsia="宋体" w:cs="宋体"/>
              </w:rPr>
            </w:pPr>
            <w:r>
              <w:rPr>
                <w:rFonts w:hint="eastAsia" w:ascii="宋体" w:hAnsi="宋体" w:eastAsia="宋体" w:cs="宋体"/>
              </w:rPr>
              <w:t>开户行行号：1048 9940 1037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27" w:hRule="atLeast"/>
          <w:jc w:val="center"/>
        </w:trPr>
        <w:tc>
          <w:tcPr>
            <w:tcW w:w="1738" w:type="dxa"/>
            <w:vAlign w:val="center"/>
          </w:tcPr>
          <w:p>
            <w:pPr>
              <w:adjustRightInd w:val="0"/>
              <w:snapToGrid w:val="0"/>
              <w:spacing w:line="400" w:lineRule="exact"/>
              <w:jc w:val="center"/>
              <w:rPr>
                <w:rFonts w:hint="eastAsia" w:ascii="宋体" w:hAnsi="宋体" w:eastAsia="宋体" w:cs="宋体"/>
                <w:szCs w:val="21"/>
              </w:rPr>
            </w:pPr>
            <w:r>
              <w:rPr>
                <w:rFonts w:hint="eastAsia" w:ascii="宋体" w:hAnsi="宋体" w:eastAsia="宋体" w:cs="宋体"/>
                <w:szCs w:val="21"/>
              </w:rPr>
              <w:t>第二章第18.1款</w:t>
            </w:r>
          </w:p>
        </w:tc>
        <w:tc>
          <w:tcPr>
            <w:tcW w:w="2055" w:type="dxa"/>
            <w:vAlign w:val="center"/>
          </w:tcPr>
          <w:p>
            <w:pPr>
              <w:adjustRightInd w:val="0"/>
              <w:snapToGrid w:val="0"/>
              <w:spacing w:line="400" w:lineRule="exact"/>
              <w:rPr>
                <w:rFonts w:hint="eastAsia" w:ascii="宋体" w:hAnsi="宋体" w:eastAsia="宋体" w:cs="宋体"/>
                <w:bCs/>
                <w:szCs w:val="21"/>
              </w:rPr>
            </w:pPr>
            <w:r>
              <w:rPr>
                <w:rFonts w:hint="eastAsia" w:ascii="宋体" w:hAnsi="宋体" w:eastAsia="宋体" w:cs="宋体"/>
                <w:bCs/>
                <w:szCs w:val="21"/>
              </w:rPr>
              <w:t>投标文件有效期</w:t>
            </w:r>
          </w:p>
        </w:tc>
        <w:tc>
          <w:tcPr>
            <w:tcW w:w="5486" w:type="dxa"/>
            <w:vAlign w:val="center"/>
          </w:tcPr>
          <w:p>
            <w:pPr>
              <w:adjustRightInd w:val="0"/>
              <w:snapToGrid w:val="0"/>
              <w:spacing w:line="400" w:lineRule="exact"/>
              <w:rPr>
                <w:rFonts w:hint="eastAsia" w:ascii="宋体" w:hAnsi="宋体" w:eastAsia="宋体" w:cs="宋体"/>
                <w:bCs/>
                <w:szCs w:val="21"/>
              </w:rPr>
            </w:pPr>
            <w:r>
              <w:rPr>
                <w:rFonts w:hint="eastAsia" w:ascii="宋体" w:hAnsi="宋体" w:eastAsia="宋体" w:cs="宋体"/>
                <w:szCs w:val="21"/>
              </w:rPr>
              <w:t>90日历日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67" w:hRule="atLeast"/>
          <w:jc w:val="center"/>
        </w:trPr>
        <w:tc>
          <w:tcPr>
            <w:tcW w:w="1738" w:type="dxa"/>
            <w:vAlign w:val="center"/>
          </w:tcPr>
          <w:p>
            <w:pPr>
              <w:adjustRightInd w:val="0"/>
              <w:snapToGrid w:val="0"/>
              <w:spacing w:line="400" w:lineRule="exact"/>
              <w:jc w:val="center"/>
              <w:rPr>
                <w:rFonts w:hint="eastAsia" w:ascii="宋体" w:hAnsi="宋体" w:eastAsia="宋体" w:cs="宋体"/>
                <w:szCs w:val="21"/>
              </w:rPr>
            </w:pPr>
            <w:r>
              <w:rPr>
                <w:rFonts w:hint="eastAsia" w:ascii="宋体" w:hAnsi="宋体" w:eastAsia="宋体" w:cs="宋体"/>
                <w:szCs w:val="21"/>
              </w:rPr>
              <w:t>第二章第19.1款</w:t>
            </w:r>
          </w:p>
        </w:tc>
        <w:tc>
          <w:tcPr>
            <w:tcW w:w="2055" w:type="dxa"/>
            <w:vAlign w:val="center"/>
          </w:tcPr>
          <w:p>
            <w:pPr>
              <w:adjustRightInd w:val="0"/>
              <w:snapToGrid w:val="0"/>
              <w:spacing w:line="400" w:lineRule="exact"/>
              <w:rPr>
                <w:rFonts w:hint="eastAsia" w:ascii="宋体" w:hAnsi="宋体" w:eastAsia="宋体" w:cs="宋体"/>
                <w:bCs/>
                <w:szCs w:val="21"/>
              </w:rPr>
            </w:pPr>
            <w:r>
              <w:rPr>
                <w:rFonts w:hint="eastAsia" w:ascii="宋体" w:hAnsi="宋体" w:eastAsia="宋体" w:cs="宋体"/>
                <w:bCs/>
                <w:szCs w:val="21"/>
              </w:rPr>
              <w:t>投标文件份数</w:t>
            </w:r>
          </w:p>
        </w:tc>
        <w:tc>
          <w:tcPr>
            <w:tcW w:w="5486" w:type="dxa"/>
            <w:vAlign w:val="center"/>
          </w:tcPr>
          <w:p>
            <w:pPr>
              <w:adjustRightInd w:val="0"/>
              <w:snapToGrid w:val="0"/>
              <w:spacing w:line="400" w:lineRule="exact"/>
              <w:rPr>
                <w:rFonts w:hint="eastAsia" w:ascii="宋体" w:hAnsi="宋体" w:eastAsia="宋体" w:cs="宋体"/>
                <w:bCs/>
                <w:szCs w:val="21"/>
              </w:rPr>
            </w:pPr>
            <w:r>
              <w:rPr>
                <w:rFonts w:hint="eastAsia" w:ascii="宋体" w:hAnsi="宋体" w:eastAsia="宋体" w:cs="宋体"/>
                <w:bCs/>
                <w:szCs w:val="21"/>
              </w:rPr>
              <w:t>电子加密投标文件一份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1" w:hRule="atLeast"/>
          <w:jc w:val="center"/>
        </w:trPr>
        <w:tc>
          <w:tcPr>
            <w:tcW w:w="9279" w:type="dxa"/>
            <w:gridSpan w:val="3"/>
            <w:vAlign w:val="center"/>
          </w:tcPr>
          <w:p>
            <w:pPr>
              <w:adjustRightInd w:val="0"/>
              <w:snapToGrid w:val="0"/>
              <w:spacing w:line="400" w:lineRule="exact"/>
              <w:rPr>
                <w:rFonts w:hint="eastAsia" w:ascii="宋体" w:hAnsi="宋体" w:eastAsia="宋体" w:cs="宋体"/>
                <w:b/>
                <w:bCs/>
                <w:szCs w:val="21"/>
              </w:rPr>
            </w:pPr>
            <w:r>
              <w:rPr>
                <w:rFonts w:hint="eastAsia" w:ascii="宋体" w:hAnsi="宋体" w:eastAsia="宋体" w:cs="宋体"/>
                <w:b/>
                <w:szCs w:val="21"/>
              </w:rPr>
              <w:t>四、投标文件递交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5" w:hRule="atLeast"/>
          <w:jc w:val="center"/>
        </w:trPr>
        <w:tc>
          <w:tcPr>
            <w:tcW w:w="1738" w:type="dxa"/>
            <w:vAlign w:val="center"/>
          </w:tcPr>
          <w:p>
            <w:pPr>
              <w:adjustRightInd w:val="0"/>
              <w:snapToGrid w:val="0"/>
              <w:spacing w:line="340" w:lineRule="exact"/>
              <w:jc w:val="center"/>
              <w:rPr>
                <w:rFonts w:hint="eastAsia" w:ascii="宋体" w:hAnsi="宋体" w:eastAsia="宋体" w:cs="宋体"/>
                <w:szCs w:val="21"/>
              </w:rPr>
            </w:pPr>
            <w:r>
              <w:rPr>
                <w:rFonts w:hint="eastAsia" w:ascii="宋体" w:hAnsi="宋体" w:eastAsia="宋体" w:cs="宋体"/>
                <w:szCs w:val="21"/>
              </w:rPr>
              <w:t>第二章第22.1款</w:t>
            </w:r>
          </w:p>
        </w:tc>
        <w:tc>
          <w:tcPr>
            <w:tcW w:w="2055" w:type="dxa"/>
            <w:vAlign w:val="center"/>
          </w:tcPr>
          <w:p>
            <w:pPr>
              <w:adjustRightInd w:val="0"/>
              <w:snapToGrid w:val="0"/>
              <w:spacing w:line="400" w:lineRule="exact"/>
              <w:rPr>
                <w:rFonts w:hint="eastAsia" w:ascii="宋体" w:hAnsi="宋体" w:eastAsia="宋体" w:cs="宋体"/>
                <w:szCs w:val="21"/>
              </w:rPr>
            </w:pPr>
            <w:r>
              <w:rPr>
                <w:rFonts w:hint="eastAsia" w:ascii="宋体" w:hAnsi="宋体" w:eastAsia="宋体" w:cs="宋体"/>
                <w:bCs/>
                <w:szCs w:val="21"/>
              </w:rPr>
              <w:t>投标地点（网址）</w:t>
            </w:r>
          </w:p>
        </w:tc>
        <w:tc>
          <w:tcPr>
            <w:tcW w:w="5486" w:type="dxa"/>
            <w:vAlign w:val="center"/>
          </w:tcPr>
          <w:p>
            <w:pPr>
              <w:adjustRightInd w:val="0"/>
              <w:snapToGrid w:val="0"/>
              <w:spacing w:line="400" w:lineRule="exact"/>
              <w:rPr>
                <w:rFonts w:hint="eastAsia" w:ascii="宋体" w:hAnsi="宋体" w:eastAsia="宋体" w:cs="宋体"/>
              </w:rPr>
            </w:pPr>
            <w:r>
              <w:rPr>
                <w:rFonts w:hint="eastAsia" w:ascii="宋体" w:hAnsi="宋体" w:eastAsia="宋体" w:cs="宋体"/>
                <w:b/>
                <w:szCs w:val="21"/>
              </w:rPr>
              <w:t>电子版投标文件提交至政采云平台在线投标，投标人无需到达评标现场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1" w:hRule="atLeast"/>
          <w:jc w:val="center"/>
        </w:trPr>
        <w:tc>
          <w:tcPr>
            <w:tcW w:w="9279" w:type="dxa"/>
            <w:gridSpan w:val="3"/>
            <w:vAlign w:val="center"/>
          </w:tcPr>
          <w:p>
            <w:pPr>
              <w:adjustRightInd w:val="0"/>
              <w:snapToGrid w:val="0"/>
              <w:spacing w:line="400" w:lineRule="exact"/>
              <w:rPr>
                <w:rFonts w:hint="eastAsia" w:ascii="宋体" w:hAnsi="宋体" w:eastAsia="宋体" w:cs="宋体"/>
                <w:szCs w:val="21"/>
              </w:rPr>
            </w:pPr>
            <w:r>
              <w:rPr>
                <w:rFonts w:hint="eastAsia" w:ascii="宋体" w:hAnsi="宋体" w:eastAsia="宋体" w:cs="宋体"/>
                <w:b/>
                <w:szCs w:val="21"/>
              </w:rPr>
              <w:t>五、开标和评标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1738" w:type="dxa"/>
            <w:vAlign w:val="center"/>
          </w:tcPr>
          <w:p>
            <w:pPr>
              <w:adjustRightInd w:val="0"/>
              <w:snapToGrid w:val="0"/>
              <w:spacing w:line="320" w:lineRule="exact"/>
              <w:jc w:val="center"/>
              <w:rPr>
                <w:rFonts w:hint="eastAsia" w:ascii="宋体" w:hAnsi="宋体" w:eastAsia="宋体" w:cs="宋体"/>
                <w:szCs w:val="21"/>
              </w:rPr>
            </w:pPr>
            <w:r>
              <w:rPr>
                <w:rFonts w:hint="eastAsia" w:ascii="宋体" w:hAnsi="宋体" w:eastAsia="宋体" w:cs="宋体"/>
                <w:szCs w:val="21"/>
              </w:rPr>
              <w:t>第二章第25.1款</w:t>
            </w:r>
          </w:p>
        </w:tc>
        <w:tc>
          <w:tcPr>
            <w:tcW w:w="2055" w:type="dxa"/>
            <w:vAlign w:val="center"/>
          </w:tcPr>
          <w:p>
            <w:pPr>
              <w:adjustRightInd w:val="0"/>
              <w:snapToGrid w:val="0"/>
              <w:spacing w:line="320" w:lineRule="exact"/>
              <w:rPr>
                <w:rFonts w:hint="eastAsia" w:ascii="宋体" w:hAnsi="宋体" w:eastAsia="宋体" w:cs="宋体"/>
                <w:szCs w:val="21"/>
              </w:rPr>
            </w:pPr>
            <w:r>
              <w:rPr>
                <w:rFonts w:hint="eastAsia" w:ascii="宋体" w:hAnsi="宋体" w:eastAsia="宋体" w:cs="宋体"/>
                <w:szCs w:val="21"/>
              </w:rPr>
              <w:t>评标办法</w:t>
            </w:r>
          </w:p>
        </w:tc>
        <w:tc>
          <w:tcPr>
            <w:tcW w:w="5486" w:type="dxa"/>
            <w:vAlign w:val="center"/>
          </w:tcPr>
          <w:p>
            <w:pPr>
              <w:adjustRightInd w:val="0"/>
              <w:snapToGrid w:val="0"/>
              <w:spacing w:line="320" w:lineRule="exact"/>
              <w:rPr>
                <w:rFonts w:hint="eastAsia" w:ascii="宋体" w:hAnsi="宋体" w:eastAsia="宋体" w:cs="宋体"/>
                <w:szCs w:val="21"/>
              </w:rPr>
            </w:pPr>
            <w:r>
              <w:rPr>
                <w:rFonts w:hint="eastAsia" w:ascii="宋体" w:hAnsi="宋体" w:eastAsia="宋体"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9279" w:type="dxa"/>
            <w:gridSpan w:val="3"/>
            <w:vAlign w:val="center"/>
          </w:tcPr>
          <w:p>
            <w:pPr>
              <w:adjustRightInd w:val="0"/>
              <w:snapToGrid w:val="0"/>
              <w:spacing w:line="400" w:lineRule="exact"/>
              <w:rPr>
                <w:rFonts w:hint="eastAsia" w:ascii="宋体" w:hAnsi="宋体" w:eastAsia="宋体" w:cs="宋体"/>
                <w:szCs w:val="21"/>
              </w:rPr>
            </w:pPr>
            <w:r>
              <w:rPr>
                <w:rFonts w:hint="eastAsia" w:ascii="宋体" w:hAnsi="宋体" w:eastAsia="宋体" w:cs="宋体"/>
                <w:b/>
                <w:szCs w:val="21"/>
              </w:rPr>
              <w:t>六、中标结果信息公布与履约保证金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64" w:hRule="atLeast"/>
          <w:jc w:val="center"/>
        </w:trPr>
        <w:tc>
          <w:tcPr>
            <w:tcW w:w="1738" w:type="dxa"/>
            <w:vAlign w:val="center"/>
          </w:tcPr>
          <w:p>
            <w:pPr>
              <w:adjustRightInd w:val="0"/>
              <w:snapToGrid w:val="0"/>
              <w:spacing w:line="320" w:lineRule="exact"/>
              <w:jc w:val="center"/>
              <w:rPr>
                <w:rFonts w:hint="eastAsia" w:ascii="宋体" w:hAnsi="宋体" w:eastAsia="宋体" w:cs="宋体"/>
                <w:szCs w:val="21"/>
              </w:rPr>
            </w:pPr>
            <w:r>
              <w:rPr>
                <w:rFonts w:hint="eastAsia" w:ascii="宋体" w:hAnsi="宋体" w:eastAsia="宋体" w:cs="宋体"/>
                <w:szCs w:val="21"/>
              </w:rPr>
              <w:t>第二章第30.1款</w:t>
            </w:r>
          </w:p>
        </w:tc>
        <w:tc>
          <w:tcPr>
            <w:tcW w:w="2055" w:type="dxa"/>
            <w:vAlign w:val="center"/>
          </w:tcPr>
          <w:p>
            <w:pPr>
              <w:adjustRightInd w:val="0"/>
              <w:snapToGrid w:val="0"/>
              <w:spacing w:line="320" w:lineRule="exact"/>
              <w:rPr>
                <w:rFonts w:hint="eastAsia" w:ascii="宋体" w:hAnsi="宋体" w:eastAsia="宋体" w:cs="宋体"/>
                <w:szCs w:val="21"/>
              </w:rPr>
            </w:pPr>
            <w:r>
              <w:rPr>
                <w:rFonts w:hint="eastAsia" w:ascii="宋体" w:hAnsi="宋体" w:eastAsia="宋体" w:cs="宋体"/>
                <w:szCs w:val="21"/>
              </w:rPr>
              <w:t>财政部门指定的媒体</w:t>
            </w:r>
          </w:p>
        </w:tc>
        <w:tc>
          <w:tcPr>
            <w:tcW w:w="5486" w:type="dxa"/>
            <w:vAlign w:val="center"/>
          </w:tcPr>
          <w:p>
            <w:pPr>
              <w:adjustRightInd w:val="0"/>
              <w:snapToGrid w:val="0"/>
              <w:spacing w:line="320" w:lineRule="exact"/>
              <w:jc w:val="left"/>
              <w:rPr>
                <w:rFonts w:hint="eastAsia" w:ascii="宋体" w:hAnsi="宋体" w:eastAsia="宋体" w:cs="宋体"/>
                <w:kern w:val="0"/>
                <w:szCs w:val="21"/>
              </w:rPr>
            </w:pPr>
            <w:r>
              <w:rPr>
                <w:rFonts w:hint="eastAsia" w:ascii="宋体" w:hAnsi="宋体" w:eastAsia="宋体" w:cs="宋体"/>
                <w:kern w:val="0"/>
                <w:szCs w:val="21"/>
              </w:rPr>
              <w:t>新疆政府采购网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54" w:hRule="atLeast"/>
          <w:jc w:val="center"/>
        </w:trPr>
        <w:tc>
          <w:tcPr>
            <w:tcW w:w="1738" w:type="dxa"/>
            <w:vAlign w:val="center"/>
          </w:tcPr>
          <w:p>
            <w:pPr>
              <w:adjustRightInd w:val="0"/>
              <w:snapToGrid w:val="0"/>
              <w:spacing w:line="400" w:lineRule="exact"/>
              <w:jc w:val="center"/>
              <w:rPr>
                <w:rFonts w:hint="eastAsia" w:ascii="宋体" w:hAnsi="宋体" w:eastAsia="宋体" w:cs="宋体"/>
                <w:szCs w:val="21"/>
              </w:rPr>
            </w:pPr>
            <w:r>
              <w:rPr>
                <w:rFonts w:hint="eastAsia" w:ascii="宋体" w:hAnsi="宋体" w:eastAsia="宋体" w:cs="宋体"/>
                <w:szCs w:val="21"/>
              </w:rPr>
              <w:t>第二章第32.3款</w:t>
            </w:r>
          </w:p>
        </w:tc>
        <w:tc>
          <w:tcPr>
            <w:tcW w:w="2055" w:type="dxa"/>
            <w:vAlign w:val="center"/>
          </w:tcPr>
          <w:p>
            <w:pPr>
              <w:adjustRightInd w:val="0"/>
              <w:snapToGrid w:val="0"/>
              <w:spacing w:line="400" w:lineRule="exact"/>
              <w:rPr>
                <w:rFonts w:hint="eastAsia" w:ascii="宋体" w:hAnsi="宋体" w:eastAsia="宋体" w:cs="宋体"/>
                <w:szCs w:val="21"/>
              </w:rPr>
            </w:pPr>
            <w:r>
              <w:rPr>
                <w:rFonts w:hint="eastAsia" w:ascii="宋体" w:hAnsi="宋体" w:eastAsia="宋体" w:cs="宋体"/>
                <w:szCs w:val="21"/>
              </w:rPr>
              <w:t>履约保证金</w:t>
            </w:r>
          </w:p>
        </w:tc>
        <w:tc>
          <w:tcPr>
            <w:tcW w:w="5486" w:type="dxa"/>
            <w:vAlign w:val="center"/>
          </w:tcPr>
          <w:p>
            <w:pPr>
              <w:adjustRightInd w:val="0"/>
              <w:snapToGrid w:val="0"/>
              <w:spacing w:line="320" w:lineRule="exact"/>
              <w:jc w:val="left"/>
              <w:rPr>
                <w:rFonts w:hint="eastAsia" w:ascii="宋体" w:hAnsi="宋体" w:cs="宋体"/>
                <w:szCs w:val="21"/>
                <w:lang w:val="en-US" w:eastAsia="zh-CN"/>
              </w:rPr>
            </w:pPr>
            <w:r>
              <w:rPr>
                <w:rFonts w:hint="eastAsia" w:ascii="宋体" w:hAnsi="宋体" w:eastAsia="宋体" w:cs="宋体"/>
                <w:szCs w:val="21"/>
              </w:rPr>
              <w:t>履约保证金金额：</w:t>
            </w:r>
            <w:r>
              <w:rPr>
                <w:rFonts w:hint="eastAsia" w:ascii="宋体" w:hAnsi="宋体" w:cs="宋体"/>
                <w:szCs w:val="21"/>
                <w:lang w:val="en-US" w:eastAsia="zh-CN"/>
              </w:rPr>
              <w:t>无</w:t>
            </w:r>
          </w:p>
          <w:p>
            <w:pPr>
              <w:adjustRightInd w:val="0"/>
              <w:snapToGrid w:val="0"/>
              <w:spacing w:line="320" w:lineRule="exact"/>
              <w:jc w:val="left"/>
              <w:rPr>
                <w:rFonts w:hint="eastAsia" w:ascii="宋体" w:hAnsi="宋体" w:eastAsia="宋体" w:cs="宋体"/>
                <w:szCs w:val="21"/>
                <w:lang w:val="en-US" w:eastAsia="zh-CN"/>
              </w:rPr>
            </w:pPr>
            <w:r>
              <w:rPr>
                <w:rFonts w:hint="eastAsia" w:ascii="宋体" w:hAnsi="宋体" w:eastAsia="宋体" w:cs="宋体"/>
                <w:szCs w:val="21"/>
              </w:rPr>
              <w:t>履约保证金递交：中标人收到中标通知书后（签订合同前）向采购人缴纳</w:t>
            </w:r>
            <w:r>
              <w:rPr>
                <w:rFonts w:hint="eastAsia" w:ascii="宋体" w:hAnsi="宋体" w:eastAsia="宋体" w:cs="宋体"/>
                <w:szCs w:val="21"/>
                <w:lang w:eastAsia="zh-CN"/>
              </w:rPr>
              <w:t>。</w:t>
            </w:r>
          </w:p>
          <w:p>
            <w:pPr>
              <w:adjustRightInd w:val="0"/>
              <w:snapToGrid w:val="0"/>
              <w:spacing w:line="320" w:lineRule="exact"/>
              <w:jc w:val="left"/>
              <w:rPr>
                <w:rFonts w:hint="eastAsia" w:ascii="宋体" w:hAnsi="宋体" w:eastAsia="宋体" w:cs="宋体"/>
                <w:szCs w:val="21"/>
                <w:lang w:eastAsia="zh-CN"/>
              </w:rPr>
            </w:pPr>
            <w:r>
              <w:rPr>
                <w:rFonts w:hint="eastAsia" w:ascii="宋体" w:hAnsi="宋体" w:eastAsia="宋体" w:cs="宋体"/>
                <w:szCs w:val="21"/>
              </w:rPr>
              <w:t>履约保证金形式：支票、汇票、本票等非现金形式</w:t>
            </w:r>
            <w:r>
              <w:rPr>
                <w:rFonts w:hint="eastAsia" w:ascii="宋体" w:hAnsi="宋体" w:eastAsia="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1" w:hRule="atLeast"/>
          <w:jc w:val="center"/>
        </w:trPr>
        <w:tc>
          <w:tcPr>
            <w:tcW w:w="9279" w:type="dxa"/>
            <w:gridSpan w:val="3"/>
            <w:vAlign w:val="center"/>
          </w:tcPr>
          <w:p>
            <w:pPr>
              <w:adjustRightInd w:val="0"/>
              <w:snapToGrid w:val="0"/>
              <w:spacing w:line="400" w:lineRule="exact"/>
              <w:rPr>
                <w:rFonts w:hint="eastAsia" w:ascii="宋体" w:hAnsi="宋体" w:eastAsia="宋体" w:cs="宋体"/>
                <w:b/>
                <w:szCs w:val="21"/>
              </w:rPr>
            </w:pPr>
            <w:r>
              <w:rPr>
                <w:rFonts w:hint="eastAsia" w:ascii="宋体" w:hAnsi="宋体" w:eastAsia="宋体" w:cs="宋体"/>
                <w:b/>
                <w:szCs w:val="21"/>
              </w:rPr>
              <w:t>七、其他规定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45" w:hRule="atLeast"/>
          <w:jc w:val="center"/>
        </w:trPr>
        <w:tc>
          <w:tcPr>
            <w:tcW w:w="1738" w:type="dxa"/>
            <w:vAlign w:val="center"/>
          </w:tcPr>
          <w:p>
            <w:pPr>
              <w:adjustRightInd w:val="0"/>
              <w:snapToGrid w:val="0"/>
              <w:spacing w:line="400" w:lineRule="exact"/>
              <w:jc w:val="center"/>
              <w:rPr>
                <w:rFonts w:hint="eastAsia" w:ascii="宋体" w:hAnsi="宋体" w:eastAsia="宋体" w:cs="宋体"/>
                <w:bCs/>
                <w:color w:val="auto"/>
                <w:szCs w:val="21"/>
              </w:rPr>
            </w:pPr>
            <w:r>
              <w:rPr>
                <w:rFonts w:hint="eastAsia" w:ascii="宋体" w:hAnsi="宋体" w:eastAsia="宋体" w:cs="宋体"/>
                <w:bCs/>
                <w:color w:val="auto"/>
                <w:szCs w:val="21"/>
                <w:highlight w:val="none"/>
              </w:rPr>
              <w:t>付款方式</w:t>
            </w:r>
          </w:p>
        </w:tc>
        <w:tc>
          <w:tcPr>
            <w:tcW w:w="7541" w:type="dxa"/>
            <w:gridSpan w:val="2"/>
            <w:vAlign w:val="center"/>
          </w:tcPr>
          <w:p>
            <w:pPr>
              <w:adjustRightInd w:val="0"/>
              <w:snapToGrid w:val="0"/>
              <w:spacing w:line="400" w:lineRule="exact"/>
              <w:jc w:val="left"/>
              <w:rPr>
                <w:rFonts w:hint="eastAsia" w:ascii="宋体" w:hAnsi="宋体" w:eastAsia="宋体" w:cs="宋体"/>
                <w:bCs/>
                <w:color w:val="auto"/>
                <w:szCs w:val="21"/>
              </w:rPr>
            </w:pPr>
            <w:r>
              <w:rPr>
                <w:rFonts w:hint="eastAsia" w:ascii="宋体" w:hAnsi="宋体" w:cs="宋体"/>
                <w:color w:val="auto"/>
                <w:szCs w:val="21"/>
                <w:lang w:eastAsia="zh-CN"/>
              </w:rPr>
              <w:t>签订合同后</w:t>
            </w:r>
            <w:r>
              <w:rPr>
                <w:rFonts w:hint="eastAsia" w:ascii="宋体" w:hAnsi="宋体" w:eastAsia="宋体" w:cs="宋体"/>
                <w:color w:val="auto"/>
                <w:szCs w:val="21"/>
              </w:rPr>
              <w:t>支付合同金额的</w:t>
            </w:r>
            <w:r>
              <w:rPr>
                <w:rFonts w:hint="eastAsia" w:ascii="宋体" w:hAnsi="宋体" w:cs="宋体"/>
                <w:color w:val="auto"/>
                <w:szCs w:val="21"/>
                <w:lang w:val="en-US" w:eastAsia="zh-CN"/>
              </w:rPr>
              <w:t>70</w:t>
            </w:r>
            <w:r>
              <w:rPr>
                <w:rFonts w:hint="eastAsia" w:ascii="宋体" w:hAnsi="宋体" w:eastAsia="宋体" w:cs="宋体"/>
                <w:color w:val="auto"/>
                <w:szCs w:val="21"/>
              </w:rPr>
              <w:t>%，</w:t>
            </w:r>
            <w:r>
              <w:rPr>
                <w:rFonts w:hint="eastAsia" w:ascii="宋体" w:hAnsi="宋体" w:cs="宋体"/>
                <w:color w:val="auto"/>
                <w:szCs w:val="21"/>
                <w:lang w:eastAsia="zh-CN"/>
              </w:rPr>
              <w:t>项目结束后</w:t>
            </w:r>
            <w:r>
              <w:rPr>
                <w:rFonts w:hint="eastAsia" w:ascii="宋体" w:hAnsi="宋体" w:eastAsia="宋体" w:cs="宋体"/>
                <w:color w:val="auto"/>
                <w:szCs w:val="21"/>
              </w:rPr>
              <w:t>支付合同总金额的</w:t>
            </w:r>
            <w:r>
              <w:rPr>
                <w:rFonts w:hint="eastAsia" w:ascii="宋体" w:hAnsi="宋体" w:cs="宋体"/>
                <w:color w:val="auto"/>
                <w:szCs w:val="21"/>
                <w:lang w:val="en-US" w:eastAsia="zh-CN"/>
              </w:rPr>
              <w:t>30</w:t>
            </w:r>
            <w:r>
              <w:rPr>
                <w:rFonts w:hint="eastAsia" w:ascii="宋体" w:hAnsi="宋体" w:eastAsia="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6" w:hRule="atLeast"/>
          <w:jc w:val="center"/>
        </w:trPr>
        <w:tc>
          <w:tcPr>
            <w:tcW w:w="1738" w:type="dxa"/>
            <w:vAlign w:val="center"/>
          </w:tcPr>
          <w:p>
            <w:pPr>
              <w:adjustRightInd w:val="0"/>
              <w:snapToGrid w:val="0"/>
              <w:spacing w:line="400" w:lineRule="exact"/>
              <w:jc w:val="center"/>
              <w:rPr>
                <w:rFonts w:hint="eastAsia" w:ascii="宋体" w:hAnsi="宋体" w:eastAsia="宋体" w:cs="宋体"/>
                <w:szCs w:val="21"/>
              </w:rPr>
            </w:pPr>
            <w:r>
              <w:rPr>
                <w:rFonts w:hint="eastAsia" w:ascii="宋体" w:hAnsi="宋体" w:eastAsia="宋体" w:cs="宋体"/>
                <w:szCs w:val="21"/>
              </w:rPr>
              <w:t>样品</w:t>
            </w:r>
          </w:p>
        </w:tc>
        <w:tc>
          <w:tcPr>
            <w:tcW w:w="7541" w:type="dxa"/>
            <w:gridSpan w:val="2"/>
            <w:vAlign w:val="center"/>
          </w:tcPr>
          <w:p>
            <w:pPr>
              <w:tabs>
                <w:tab w:val="center" w:pos="4422"/>
                <w:tab w:val="left" w:pos="7920"/>
              </w:tabs>
              <w:spacing w:line="280" w:lineRule="exact"/>
              <w:rPr>
                <w:rFonts w:hint="eastAsia" w:ascii="宋体" w:hAnsi="宋体" w:eastAsia="宋体" w:cs="宋体"/>
                <w:b/>
                <w:szCs w:val="21"/>
              </w:rPr>
            </w:pPr>
            <w:r>
              <w:rPr>
                <w:rFonts w:hint="eastAsia" w:ascii="宋体" w:hAnsi="宋体" w:eastAsia="宋体" w:cs="宋体"/>
                <w:szCs w:val="21"/>
              </w:rPr>
              <w:t>本项目无需提供。</w:t>
            </w:r>
          </w:p>
        </w:tc>
      </w:tr>
    </w:tbl>
    <w:p>
      <w:pPr>
        <w:adjustRightInd w:val="0"/>
        <w:snapToGrid w:val="0"/>
        <w:spacing w:line="360" w:lineRule="auto"/>
        <w:jc w:val="center"/>
        <w:outlineLvl w:val="1"/>
        <w:rPr>
          <w:rFonts w:ascii="宋体" w:hAnsi="宋体"/>
          <w:b/>
          <w:sz w:val="24"/>
        </w:rPr>
      </w:pPr>
      <w:bookmarkStart w:id="20" w:name="_Toc420948007"/>
      <w:r>
        <w:rPr>
          <w:rFonts w:ascii="宋体" w:hAnsi="宋体"/>
          <w:b/>
          <w:sz w:val="24"/>
        </w:rPr>
        <w:br w:type="page"/>
      </w:r>
      <w:bookmarkStart w:id="21" w:name="_Toc474235943"/>
      <w:r>
        <w:rPr>
          <w:rFonts w:hint="eastAsia" w:ascii="宋体" w:hAnsi="宋体"/>
          <w:b/>
          <w:sz w:val="24"/>
        </w:rPr>
        <w:t>投标须知正文</w:t>
      </w:r>
      <w:bookmarkEnd w:id="20"/>
      <w:bookmarkEnd w:id="21"/>
    </w:p>
    <w:p>
      <w:pPr>
        <w:adjustRightInd w:val="0"/>
        <w:snapToGrid w:val="0"/>
        <w:spacing w:line="360" w:lineRule="auto"/>
        <w:outlineLvl w:val="2"/>
        <w:rPr>
          <w:rFonts w:ascii="宋体" w:hAnsi="宋体"/>
          <w:b/>
          <w:sz w:val="24"/>
        </w:rPr>
      </w:pPr>
      <w:bookmarkStart w:id="22" w:name="_Toc420948008"/>
      <w:bookmarkStart w:id="23" w:name="_Toc474235944"/>
      <w:r>
        <w:rPr>
          <w:rFonts w:hint="eastAsia" w:ascii="宋体" w:hAnsi="宋体"/>
          <w:b/>
          <w:sz w:val="24"/>
        </w:rPr>
        <w:t>一、</w:t>
      </w:r>
      <w:bookmarkEnd w:id="22"/>
      <w:r>
        <w:rPr>
          <w:rFonts w:hint="eastAsia" w:ascii="宋体" w:hAnsi="宋体"/>
          <w:b/>
          <w:sz w:val="24"/>
        </w:rPr>
        <w:t>总则</w:t>
      </w:r>
      <w:bookmarkEnd w:id="23"/>
    </w:p>
    <w:p>
      <w:pPr>
        <w:adjustRightInd w:val="0"/>
        <w:snapToGrid w:val="0"/>
        <w:spacing w:line="360" w:lineRule="auto"/>
        <w:rPr>
          <w:rFonts w:ascii="宋体" w:hAnsi="宋体"/>
          <w:b/>
          <w:szCs w:val="21"/>
        </w:rPr>
      </w:pPr>
      <w:r>
        <w:rPr>
          <w:rFonts w:hint="eastAsia" w:ascii="宋体" w:hAnsi="宋体"/>
          <w:b/>
          <w:szCs w:val="21"/>
        </w:rPr>
        <w:t>1. 项目概况</w:t>
      </w:r>
    </w:p>
    <w:p>
      <w:pPr>
        <w:adjustRightInd w:val="0"/>
        <w:snapToGrid w:val="0"/>
        <w:spacing w:line="360" w:lineRule="auto"/>
        <w:ind w:firstLine="420" w:firstLineChars="200"/>
        <w:rPr>
          <w:rFonts w:ascii="宋体" w:hAnsi="宋体"/>
          <w:szCs w:val="21"/>
        </w:rPr>
      </w:pPr>
      <w:r>
        <w:rPr>
          <w:rFonts w:hint="eastAsia" w:ascii="宋体" w:hAnsi="宋体"/>
          <w:szCs w:val="21"/>
        </w:rPr>
        <w:t>1.1项目名称：详见</w:t>
      </w:r>
      <w:r>
        <w:rPr>
          <w:rFonts w:hint="eastAsia" w:ascii="宋体" w:hAnsi="宋体"/>
          <w:b/>
          <w:szCs w:val="21"/>
        </w:rPr>
        <w:t>投标须知前附表</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1.2采购范围：详见</w:t>
      </w:r>
      <w:r>
        <w:rPr>
          <w:rFonts w:hint="eastAsia" w:ascii="宋体" w:hAnsi="宋体"/>
          <w:b/>
          <w:szCs w:val="21"/>
        </w:rPr>
        <w:t>投标须知前附表</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1.3项目地点：详见</w:t>
      </w:r>
      <w:r>
        <w:rPr>
          <w:rFonts w:hint="eastAsia" w:ascii="宋体" w:hAnsi="宋体"/>
          <w:b/>
          <w:szCs w:val="21"/>
        </w:rPr>
        <w:t>投标须知前附表</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1.4采购方式：详见</w:t>
      </w:r>
      <w:r>
        <w:rPr>
          <w:rFonts w:hint="eastAsia" w:ascii="宋体" w:hAnsi="宋体"/>
          <w:b/>
          <w:szCs w:val="21"/>
        </w:rPr>
        <w:t>投标须知前附表</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1.5完工期限：详见</w:t>
      </w:r>
      <w:r>
        <w:rPr>
          <w:rFonts w:hint="eastAsia" w:ascii="宋体" w:hAnsi="宋体"/>
          <w:b/>
          <w:szCs w:val="21"/>
        </w:rPr>
        <w:t>投标须知前附表</w:t>
      </w:r>
      <w:r>
        <w:rPr>
          <w:rFonts w:hint="eastAsia" w:ascii="宋体" w:hAnsi="宋体"/>
          <w:szCs w:val="21"/>
        </w:rPr>
        <w:t>。</w:t>
      </w:r>
    </w:p>
    <w:p>
      <w:pPr>
        <w:adjustRightInd w:val="0"/>
        <w:snapToGrid w:val="0"/>
        <w:spacing w:line="360" w:lineRule="auto"/>
        <w:rPr>
          <w:rFonts w:ascii="宋体" w:hAnsi="宋体"/>
          <w:b/>
          <w:bCs/>
          <w:szCs w:val="21"/>
        </w:rPr>
      </w:pPr>
      <w:r>
        <w:rPr>
          <w:rFonts w:hint="eastAsia" w:ascii="宋体" w:hAnsi="宋体"/>
          <w:b/>
          <w:bCs/>
          <w:szCs w:val="21"/>
        </w:rPr>
        <w:t>2.定义</w:t>
      </w:r>
    </w:p>
    <w:p>
      <w:pPr>
        <w:adjustRightInd w:val="0"/>
        <w:snapToGrid w:val="0"/>
        <w:spacing w:line="360" w:lineRule="auto"/>
        <w:ind w:firstLine="420" w:firstLineChars="200"/>
        <w:rPr>
          <w:rFonts w:ascii="宋体" w:hAnsi="宋体"/>
          <w:b/>
          <w:szCs w:val="21"/>
        </w:rPr>
      </w:pPr>
      <w:r>
        <w:rPr>
          <w:rFonts w:hint="eastAsia" w:ascii="宋体" w:hAnsi="宋体"/>
          <w:szCs w:val="21"/>
        </w:rPr>
        <w:t>2.1 “采购人”是指依法进行政府采购的国家机关、事业单位、团体组织。采购人名称、地址、电话、联系人见</w:t>
      </w:r>
      <w:r>
        <w:rPr>
          <w:rFonts w:hint="eastAsia" w:ascii="宋体" w:hAnsi="宋体"/>
          <w:b/>
          <w:szCs w:val="21"/>
        </w:rPr>
        <w:t>投标须知前附表</w:t>
      </w:r>
      <w:r>
        <w:rPr>
          <w:rFonts w:hint="eastAsia" w:ascii="宋体" w:hAnsi="宋体"/>
          <w:szCs w:val="21"/>
        </w:rPr>
        <w:t>。</w:t>
      </w:r>
    </w:p>
    <w:p>
      <w:pPr>
        <w:adjustRightInd w:val="0"/>
        <w:snapToGrid w:val="0"/>
        <w:spacing w:line="360" w:lineRule="auto"/>
        <w:ind w:firstLine="420" w:firstLineChars="200"/>
        <w:rPr>
          <w:rFonts w:ascii="宋体" w:hAnsi="宋体"/>
          <w:b/>
          <w:szCs w:val="21"/>
        </w:rPr>
      </w:pPr>
      <w:r>
        <w:rPr>
          <w:rFonts w:hint="eastAsia" w:ascii="宋体" w:hAnsi="宋体"/>
          <w:szCs w:val="21"/>
        </w:rPr>
        <w:t>2.2 “采购代理机构”是指接受采购人委托，代理采购项目的集中采购机构和其他采购代理机构。采购代理机构名称、地址、电话、联系人见</w:t>
      </w:r>
      <w:r>
        <w:rPr>
          <w:rFonts w:hint="eastAsia" w:ascii="宋体" w:hAnsi="宋体"/>
          <w:b/>
          <w:szCs w:val="21"/>
        </w:rPr>
        <w:t>投标须知前附表。</w:t>
      </w:r>
    </w:p>
    <w:p>
      <w:pPr>
        <w:adjustRightInd w:val="0"/>
        <w:snapToGrid w:val="0"/>
        <w:spacing w:line="360" w:lineRule="auto"/>
        <w:ind w:firstLine="420" w:firstLineChars="200"/>
        <w:rPr>
          <w:rFonts w:ascii="宋体" w:hAnsi="宋体"/>
        </w:rPr>
      </w:pPr>
      <w:r>
        <w:rPr>
          <w:rFonts w:hint="eastAsia" w:ascii="宋体" w:hAnsi="宋体"/>
          <w:szCs w:val="21"/>
        </w:rPr>
        <w:t>2.3 “投标人”是指响应招标文件要求、参加招标采购的法人、其他组织或者自然人。</w:t>
      </w:r>
    </w:p>
    <w:p>
      <w:pPr>
        <w:adjustRightInd w:val="0"/>
        <w:snapToGrid w:val="0"/>
        <w:spacing w:line="360" w:lineRule="auto"/>
        <w:ind w:firstLine="420" w:firstLineChars="200"/>
        <w:rPr>
          <w:rFonts w:ascii="宋体" w:hAnsi="宋体"/>
          <w:szCs w:val="21"/>
        </w:rPr>
      </w:pPr>
      <w:r>
        <w:rPr>
          <w:rFonts w:hint="eastAsia" w:ascii="宋体" w:hAnsi="宋体"/>
          <w:szCs w:val="21"/>
        </w:rPr>
        <w:t>2.4 “货物”是指各种形态和种类的物品，包括原材料、燃料、设备、产品等，详见《政府采购品目分类目录》(</w:t>
      </w:r>
      <w:r>
        <w:rPr>
          <w:rStyle w:val="22"/>
          <w:rFonts w:ascii="宋体" w:hAnsi="宋体"/>
          <w:b w:val="0"/>
        </w:rPr>
        <w:t>财库</w:t>
      </w:r>
      <w:r>
        <w:rPr>
          <w:rStyle w:val="22"/>
          <w:rFonts w:hint="eastAsia" w:ascii="宋体" w:hAnsi="宋体"/>
          <w:b w:val="0"/>
        </w:rPr>
        <w:t>[</w:t>
      </w:r>
      <w:r>
        <w:rPr>
          <w:rStyle w:val="22"/>
          <w:rFonts w:ascii="宋体" w:hAnsi="宋体"/>
          <w:b w:val="0"/>
        </w:rPr>
        <w:t>2013</w:t>
      </w:r>
      <w:r>
        <w:rPr>
          <w:rStyle w:val="22"/>
          <w:rFonts w:hint="eastAsia" w:ascii="宋体" w:hAnsi="宋体"/>
          <w:b w:val="0"/>
        </w:rPr>
        <w:t>]</w:t>
      </w:r>
      <w:r>
        <w:rPr>
          <w:rStyle w:val="22"/>
          <w:rFonts w:ascii="宋体" w:hAnsi="宋体"/>
          <w:b w:val="0"/>
        </w:rPr>
        <w:t>189号</w:t>
      </w:r>
      <w:r>
        <w:rPr>
          <w:rFonts w:hint="eastAsia" w:ascii="宋体" w:hAnsi="宋体"/>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2.5 “进口产品”是指通过中国海关报关验收进入中国境内且产自关境外的产品，详见《</w:t>
      </w:r>
      <w:r>
        <w:rPr>
          <w:rFonts w:ascii="宋体" w:hAnsi="宋体" w:cs="宋体"/>
          <w:kern w:val="0"/>
          <w:szCs w:val="21"/>
        </w:rPr>
        <w:t>关于政府采购进口产品管理有关问题的通知</w:t>
      </w:r>
      <w:r>
        <w:rPr>
          <w:rFonts w:hint="eastAsia" w:ascii="宋体" w:hAnsi="宋体" w:cs="宋体"/>
          <w:kern w:val="0"/>
          <w:szCs w:val="21"/>
        </w:rPr>
        <w:t>》(财库[2007]119号)。</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2.6偏离</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2.6.1本条所称偏离为投标文件对招标文件的偏离，即不满足、或不响应招标文件的要求。偏离分为对招标文件的实质性要求条款偏离和对招标文件的一般商务和技术条款偏离。</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2.6.2除法律、法规和规章规定外，招标文件中用“拒绝”、“不接受”、“无效”、“不得”等文字规定的条款为实质性要求条款（即重要条款），对其中任何一条的偏离，在评标时将其视为无效投标。未用上述文字规定或符号标注的条款为非实质性要求条款(即一般条款)。</w:t>
      </w:r>
    </w:p>
    <w:p>
      <w:pPr>
        <w:adjustRightInd w:val="0"/>
        <w:snapToGrid w:val="0"/>
        <w:spacing w:line="360" w:lineRule="auto"/>
        <w:ind w:firstLine="422"/>
        <w:rPr>
          <w:rFonts w:ascii="宋体" w:hAnsi="宋体" w:cs="宋体"/>
          <w:kern w:val="0"/>
          <w:szCs w:val="21"/>
        </w:rPr>
      </w:pPr>
      <w:r>
        <w:rPr>
          <w:rFonts w:hint="eastAsia" w:ascii="宋体" w:hAnsi="宋体" w:cs="宋体"/>
          <w:kern w:val="0"/>
          <w:szCs w:val="21"/>
        </w:rPr>
        <w:t>2.7.特别说明</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2.7.1投标人投标所使用的资格、信誉、荣誉、业绩与企业认证等必须为投标人所拥有。</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2.7.2投标人应仔细阅读招标文件的所有内容，按照招标文件的要求提交投标文件，并对所提供的全部资料的真实性承担法律责任。</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2.7.3投标人在投标活动中提</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供任何虚假材料，其投标无效并承担相应法律责任。</w:t>
      </w:r>
    </w:p>
    <w:p>
      <w:pPr>
        <w:adjustRightInd w:val="0"/>
        <w:snapToGrid w:val="0"/>
        <w:spacing w:line="360" w:lineRule="auto"/>
        <w:rPr>
          <w:rFonts w:ascii="宋体" w:hAnsi="宋体"/>
          <w:b/>
          <w:bCs/>
          <w:szCs w:val="21"/>
        </w:rPr>
      </w:pPr>
      <w:r>
        <w:rPr>
          <w:rFonts w:hint="eastAsia" w:ascii="宋体" w:hAnsi="宋体"/>
          <w:b/>
          <w:bCs/>
          <w:szCs w:val="21"/>
        </w:rPr>
        <w:t>3.投标人的资格要求</w:t>
      </w:r>
    </w:p>
    <w:p>
      <w:pPr>
        <w:adjustRightInd w:val="0"/>
        <w:snapToGrid w:val="0"/>
        <w:spacing w:line="360" w:lineRule="auto"/>
        <w:ind w:firstLine="420" w:firstLineChars="200"/>
        <w:rPr>
          <w:rFonts w:ascii="宋体" w:hAnsi="宋体"/>
          <w:szCs w:val="21"/>
        </w:rPr>
      </w:pPr>
      <w:r>
        <w:rPr>
          <w:rFonts w:hint="eastAsia" w:ascii="宋体" w:hAnsi="宋体"/>
          <w:szCs w:val="21"/>
        </w:rPr>
        <w:t>3.1 投标人应当符合</w:t>
      </w:r>
      <w:r>
        <w:rPr>
          <w:rFonts w:hint="eastAsia" w:ascii="宋体" w:hAnsi="宋体"/>
          <w:b/>
          <w:szCs w:val="21"/>
        </w:rPr>
        <w:t>投标须知前附表</w:t>
      </w:r>
      <w:r>
        <w:rPr>
          <w:rFonts w:hint="eastAsia" w:ascii="宋体" w:hAnsi="宋体"/>
          <w:szCs w:val="21"/>
        </w:rPr>
        <w:t>中规定的资格条件要求；</w:t>
      </w:r>
    </w:p>
    <w:p>
      <w:pPr>
        <w:adjustRightInd w:val="0"/>
        <w:snapToGrid w:val="0"/>
        <w:spacing w:line="360" w:lineRule="auto"/>
        <w:ind w:firstLine="420" w:firstLineChars="200"/>
        <w:rPr>
          <w:rFonts w:ascii="宋体" w:hAnsi="宋体"/>
          <w:szCs w:val="21"/>
        </w:rPr>
      </w:pPr>
      <w:r>
        <w:rPr>
          <w:rFonts w:hint="eastAsia" w:ascii="宋体" w:hAnsi="宋体"/>
          <w:szCs w:val="21"/>
        </w:rPr>
        <w:t>3.2 投标人不得存在下列情形之一：</w:t>
      </w:r>
    </w:p>
    <w:p>
      <w:pPr>
        <w:adjustRightInd w:val="0"/>
        <w:snapToGrid w:val="0"/>
        <w:spacing w:line="360" w:lineRule="auto"/>
        <w:ind w:firstLine="420" w:firstLineChars="200"/>
        <w:rPr>
          <w:rFonts w:ascii="宋体" w:hAnsi="宋体"/>
          <w:szCs w:val="21"/>
        </w:rPr>
      </w:pPr>
      <w:r>
        <w:rPr>
          <w:rFonts w:hint="eastAsia" w:ascii="宋体" w:hAnsi="宋体"/>
          <w:szCs w:val="21"/>
        </w:rPr>
        <w:t>（l）与采购人、采购代理机构存在</w:t>
      </w:r>
      <w:r>
        <w:rPr>
          <w:rFonts w:hint="eastAsia" w:ascii="宋体" w:hAnsi="宋体"/>
          <w:bCs/>
          <w:szCs w:val="21"/>
        </w:rPr>
        <w:t>利害关系</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（2）单位负责人为同一人或者存在直接控股、管理关系的不同投标单位，不得参加同一合同项下的政府采购活动。</w:t>
      </w:r>
    </w:p>
    <w:p>
      <w:pPr>
        <w:adjustRightInd w:val="0"/>
        <w:snapToGrid w:val="0"/>
        <w:spacing w:line="360" w:lineRule="auto"/>
        <w:ind w:firstLine="420" w:firstLineChars="200"/>
        <w:rPr>
          <w:rFonts w:ascii="宋体" w:hAnsi="宋体"/>
          <w:szCs w:val="21"/>
        </w:rPr>
      </w:pPr>
      <w:r>
        <w:rPr>
          <w:rFonts w:hint="eastAsia" w:ascii="宋体" w:hAnsi="宋体"/>
          <w:szCs w:val="21"/>
        </w:rPr>
        <w:t>（3）除单一来源采购项目外，为采购项目提供整体设计、规范编制或者项目管理、监理、检测等服务的投标单位，不得再参加该采购项目的其他采购活动。</w:t>
      </w:r>
    </w:p>
    <w:p>
      <w:pPr>
        <w:adjustRightInd w:val="0"/>
        <w:snapToGrid w:val="0"/>
        <w:spacing w:line="360" w:lineRule="auto"/>
        <w:ind w:firstLine="420" w:firstLineChars="200"/>
        <w:rPr>
          <w:rFonts w:ascii="宋体" w:hAnsi="宋体"/>
          <w:szCs w:val="21"/>
        </w:rPr>
      </w:pPr>
      <w:r>
        <w:rPr>
          <w:rFonts w:hint="eastAsia" w:ascii="宋体" w:hAnsi="宋体"/>
          <w:szCs w:val="21"/>
        </w:rPr>
        <w:t>3.3 投标人具有履行合同所必需的设备和专业技术能力，在人员、设备、资金等方面具有相应能力；投标人提供的的产品必须是成熟产品；在项目地具有技术支持和后续服务等能力。</w:t>
      </w:r>
    </w:p>
    <w:p>
      <w:pPr>
        <w:adjustRightInd w:val="0"/>
        <w:snapToGrid w:val="0"/>
        <w:spacing w:line="360" w:lineRule="auto"/>
        <w:ind w:firstLine="420" w:firstLineChars="200"/>
        <w:rPr>
          <w:rFonts w:ascii="宋体" w:hAnsi="宋体"/>
          <w:szCs w:val="21"/>
        </w:rPr>
      </w:pPr>
      <w:r>
        <w:rPr>
          <w:rFonts w:hint="eastAsia" w:ascii="宋体" w:hAnsi="宋体"/>
          <w:szCs w:val="21"/>
        </w:rPr>
        <w:t>3.4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p>
      <w:pPr>
        <w:adjustRightInd w:val="0"/>
        <w:snapToGrid w:val="0"/>
        <w:spacing w:line="360" w:lineRule="auto"/>
        <w:rPr>
          <w:rFonts w:ascii="宋体" w:hAnsi="宋体"/>
          <w:b/>
          <w:bCs/>
          <w:szCs w:val="21"/>
        </w:rPr>
      </w:pPr>
      <w:r>
        <w:rPr>
          <w:rFonts w:hint="eastAsia" w:ascii="宋体" w:hAnsi="宋体"/>
          <w:b/>
          <w:bCs/>
          <w:szCs w:val="21"/>
        </w:rPr>
        <w:t>4. 投标费用和知识产权</w:t>
      </w:r>
    </w:p>
    <w:p>
      <w:pPr>
        <w:adjustRightInd w:val="0"/>
        <w:snapToGrid w:val="0"/>
        <w:spacing w:line="360" w:lineRule="auto"/>
        <w:ind w:firstLine="420" w:firstLineChars="200"/>
        <w:rPr>
          <w:rFonts w:ascii="宋体" w:hAnsi="宋体"/>
          <w:szCs w:val="21"/>
        </w:rPr>
      </w:pPr>
      <w:r>
        <w:rPr>
          <w:rFonts w:hint="eastAsia" w:ascii="宋体" w:hAnsi="宋体"/>
          <w:szCs w:val="21"/>
        </w:rPr>
        <w:t>4.1投标人应承担其参加本招标活动自身所发生的费用。招标文件所提供的资料，是采购人现有的能被投标人利用的资料，采购人对投标人做出的任何推论、理解和结论均不负责任。</w:t>
      </w:r>
    </w:p>
    <w:p>
      <w:pPr>
        <w:adjustRightInd w:val="0"/>
        <w:snapToGrid w:val="0"/>
        <w:spacing w:line="360" w:lineRule="auto"/>
        <w:ind w:firstLine="420" w:firstLineChars="200"/>
        <w:rPr>
          <w:rFonts w:ascii="宋体" w:hAnsi="宋体"/>
          <w:szCs w:val="21"/>
        </w:rPr>
      </w:pPr>
      <w:r>
        <w:rPr>
          <w:rFonts w:hint="eastAsia" w:ascii="宋体" w:hAnsi="宋体"/>
          <w:szCs w:val="21"/>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pStyle w:val="10"/>
        <w:adjustRightInd w:val="0"/>
        <w:snapToGrid w:val="0"/>
        <w:spacing w:line="360" w:lineRule="auto"/>
        <w:rPr>
          <w:rFonts w:ascii="宋体" w:hAnsi="宋体"/>
          <w:b/>
          <w:bCs/>
          <w:sz w:val="21"/>
          <w:szCs w:val="21"/>
        </w:rPr>
      </w:pPr>
      <w:r>
        <w:rPr>
          <w:rFonts w:hint="eastAsia" w:ascii="宋体" w:hAnsi="宋体"/>
          <w:b/>
          <w:sz w:val="21"/>
          <w:szCs w:val="21"/>
        </w:rPr>
        <w:t>5．</w:t>
      </w:r>
      <w:r>
        <w:rPr>
          <w:rFonts w:hint="eastAsia" w:ascii="宋体" w:hAnsi="宋体"/>
          <w:b/>
          <w:bCs/>
          <w:sz w:val="21"/>
          <w:szCs w:val="21"/>
        </w:rPr>
        <w:t>授权委托</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5.1投标人代表为投标人法定代表人的，应提供法定代表人身份证明。投标人代表不是投标人法定代表人的，应提供法定代表人授权书。</w:t>
      </w:r>
    </w:p>
    <w:p>
      <w:pPr>
        <w:pStyle w:val="10"/>
        <w:adjustRightInd w:val="0"/>
        <w:snapToGrid w:val="0"/>
        <w:spacing w:line="360" w:lineRule="auto"/>
        <w:rPr>
          <w:rFonts w:ascii="宋体" w:hAnsi="宋体"/>
          <w:b/>
          <w:sz w:val="21"/>
          <w:szCs w:val="21"/>
        </w:rPr>
      </w:pPr>
      <w:r>
        <w:rPr>
          <w:rFonts w:hint="eastAsia" w:ascii="宋体" w:hAnsi="宋体"/>
          <w:b/>
          <w:sz w:val="21"/>
          <w:szCs w:val="21"/>
        </w:rPr>
        <w:t>6．联合体形式</w:t>
      </w:r>
      <w:r>
        <w:rPr>
          <w:rFonts w:hint="eastAsia" w:ascii="宋体" w:hAnsi="宋体"/>
          <w:sz w:val="21"/>
          <w:szCs w:val="21"/>
        </w:rPr>
        <w:t xml:space="preserve"> </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6.1除</w:t>
      </w:r>
      <w:r>
        <w:rPr>
          <w:rFonts w:hint="eastAsia" w:ascii="宋体" w:hAnsi="宋体"/>
          <w:b/>
          <w:sz w:val="21"/>
          <w:szCs w:val="21"/>
        </w:rPr>
        <w:t>投标须知前附表</w:t>
      </w:r>
      <w:r>
        <w:rPr>
          <w:rFonts w:hint="eastAsia" w:ascii="宋体" w:hAnsi="宋体"/>
          <w:sz w:val="21"/>
          <w:szCs w:val="21"/>
        </w:rPr>
        <w:t>中另有规定，本次招标采购不接受为联合体形式的投标人。</w:t>
      </w:r>
    </w:p>
    <w:p>
      <w:pPr>
        <w:adjustRightInd w:val="0"/>
        <w:snapToGrid w:val="0"/>
        <w:spacing w:line="360" w:lineRule="auto"/>
        <w:rPr>
          <w:rFonts w:ascii="宋体" w:hAnsi="宋体"/>
          <w:b/>
          <w:szCs w:val="21"/>
        </w:rPr>
      </w:pPr>
      <w:r>
        <w:rPr>
          <w:rFonts w:hint="eastAsia" w:ascii="宋体" w:hAnsi="宋体"/>
          <w:b/>
          <w:szCs w:val="21"/>
        </w:rPr>
        <w:t>7.现场勘察</w:t>
      </w:r>
    </w:p>
    <w:p>
      <w:pPr>
        <w:adjustRightInd w:val="0"/>
        <w:snapToGrid w:val="0"/>
        <w:spacing w:line="360" w:lineRule="auto"/>
        <w:ind w:firstLine="420" w:firstLineChars="200"/>
        <w:rPr>
          <w:rFonts w:ascii="宋体" w:hAnsi="宋体"/>
          <w:szCs w:val="21"/>
        </w:rPr>
      </w:pPr>
      <w:r>
        <w:rPr>
          <w:rFonts w:hint="eastAsia" w:ascii="宋体" w:hAnsi="宋体"/>
          <w:szCs w:val="21"/>
        </w:rPr>
        <w:t>7.1投标人应按</w:t>
      </w:r>
      <w:r>
        <w:rPr>
          <w:rFonts w:hint="eastAsia" w:ascii="宋体" w:hAnsi="宋体"/>
          <w:b/>
        </w:rPr>
        <w:t>投标须知前附表</w:t>
      </w:r>
      <w:r>
        <w:rPr>
          <w:rFonts w:hint="eastAsia" w:ascii="宋体" w:hAnsi="宋体"/>
        </w:rPr>
        <w:t>中规定</w:t>
      </w:r>
      <w:r>
        <w:rPr>
          <w:rFonts w:hint="eastAsia" w:ascii="宋体" w:hAnsi="宋体"/>
          <w:szCs w:val="21"/>
        </w:rPr>
        <w:t>对招标采购项目现场设备型号、数量和周围环境进行现场考察。</w:t>
      </w:r>
    </w:p>
    <w:p>
      <w:pPr>
        <w:adjustRightInd w:val="0"/>
        <w:snapToGrid w:val="0"/>
        <w:spacing w:line="360" w:lineRule="auto"/>
        <w:ind w:firstLine="420" w:firstLineChars="200"/>
        <w:rPr>
          <w:rFonts w:ascii="宋体" w:hAnsi="宋体"/>
          <w:szCs w:val="21"/>
        </w:rPr>
      </w:pPr>
      <w:r>
        <w:rPr>
          <w:rFonts w:hint="eastAsia" w:ascii="宋体" w:hAnsi="宋体"/>
          <w:szCs w:val="21"/>
        </w:rPr>
        <w:t>7.2勘察现场的费用由投标人自己承担，勘察期间所发生的人身伤害及 财产损失由投标人自己负责。</w:t>
      </w:r>
    </w:p>
    <w:p>
      <w:pPr>
        <w:adjustRightInd w:val="0"/>
        <w:snapToGrid w:val="0"/>
        <w:spacing w:line="360" w:lineRule="auto"/>
        <w:ind w:firstLine="420" w:firstLineChars="200"/>
        <w:jc w:val="left"/>
        <w:rPr>
          <w:rFonts w:ascii="宋体" w:hAnsi="宋体"/>
          <w:b/>
          <w:szCs w:val="21"/>
        </w:rPr>
      </w:pPr>
      <w:r>
        <w:rPr>
          <w:rFonts w:hint="eastAsia" w:ascii="宋体" w:hAnsi="宋体"/>
          <w:szCs w:val="21"/>
        </w:rPr>
        <w:t>7.3采购人不对投标人据此而做出的推论、理解和结论负责。一旦中标，投标人不得以任何借口，而提出额外补偿，或延长合同期限的要求。</w:t>
      </w:r>
    </w:p>
    <w:p>
      <w:pPr>
        <w:adjustRightInd w:val="0"/>
        <w:snapToGrid w:val="0"/>
        <w:spacing w:line="360" w:lineRule="auto"/>
        <w:jc w:val="left"/>
        <w:rPr>
          <w:rFonts w:ascii="宋体" w:hAnsi="宋体"/>
          <w:b/>
          <w:szCs w:val="21"/>
        </w:rPr>
      </w:pPr>
      <w:r>
        <w:rPr>
          <w:rFonts w:hint="eastAsia" w:ascii="宋体" w:hAnsi="宋体"/>
          <w:b/>
          <w:szCs w:val="21"/>
        </w:rPr>
        <w:t>8.采购进口产品</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szCs w:val="21"/>
        </w:rPr>
        <w:t>8.1除</w:t>
      </w:r>
      <w:r>
        <w:rPr>
          <w:rFonts w:hint="eastAsia" w:ascii="宋体" w:hAnsi="宋体"/>
          <w:b/>
          <w:szCs w:val="21"/>
        </w:rPr>
        <w:t>投标须知前附表</w:t>
      </w:r>
      <w:r>
        <w:rPr>
          <w:rFonts w:hint="eastAsia" w:ascii="宋体" w:hAnsi="宋体"/>
          <w:szCs w:val="21"/>
        </w:rPr>
        <w:t>另有规定外，本项目</w:t>
      </w:r>
      <w:r>
        <w:rPr>
          <w:rFonts w:hint="eastAsia" w:ascii="宋体" w:hAnsi="宋体" w:cs="宋体"/>
          <w:kern w:val="0"/>
          <w:szCs w:val="21"/>
        </w:rPr>
        <w:t>拒绝进口产品参加</w:t>
      </w:r>
      <w:r>
        <w:rPr>
          <w:rFonts w:hint="eastAsia" w:ascii="宋体" w:hAnsi="宋体"/>
          <w:szCs w:val="21"/>
        </w:rPr>
        <w:t>招标采购活动</w:t>
      </w:r>
      <w:r>
        <w:rPr>
          <w:rFonts w:hint="eastAsia" w:ascii="宋体" w:hAnsi="宋体" w:cs="宋体"/>
          <w:kern w:val="0"/>
          <w:szCs w:val="21"/>
        </w:rPr>
        <w:t>。</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8.2</w:t>
      </w:r>
      <w:r>
        <w:rPr>
          <w:rFonts w:hint="eastAsia" w:ascii="宋体" w:hAnsi="宋体"/>
          <w:szCs w:val="21"/>
        </w:rPr>
        <w:t>本章第8.1</w:t>
      </w:r>
      <w:r>
        <w:rPr>
          <w:rFonts w:hint="eastAsia" w:ascii="宋体" w:hAnsi="宋体" w:cs="宋体"/>
          <w:kern w:val="0"/>
          <w:szCs w:val="21"/>
          <w:lang w:val="zh-CN"/>
        </w:rPr>
        <w:t>款</w:t>
      </w:r>
      <w:r>
        <w:rPr>
          <w:rFonts w:hint="eastAsia" w:ascii="宋体" w:hAnsi="宋体"/>
          <w:szCs w:val="21"/>
        </w:rPr>
        <w:t>规定</w:t>
      </w:r>
      <w:r>
        <w:rPr>
          <w:rFonts w:ascii="宋体" w:hAnsi="宋体" w:cs="宋体"/>
          <w:kern w:val="0"/>
          <w:szCs w:val="21"/>
        </w:rPr>
        <w:t>同意购买进口产品的</w:t>
      </w:r>
      <w:r>
        <w:rPr>
          <w:rFonts w:hint="eastAsia" w:ascii="宋体" w:hAnsi="宋体" w:cs="宋体"/>
          <w:kern w:val="0"/>
          <w:szCs w:val="21"/>
        </w:rPr>
        <w:t>，</w:t>
      </w:r>
      <w:r>
        <w:rPr>
          <w:rFonts w:hint="eastAsia" w:ascii="宋体" w:hAnsi="宋体"/>
          <w:szCs w:val="21"/>
        </w:rPr>
        <w:t>本项目</w:t>
      </w:r>
      <w:r>
        <w:rPr>
          <w:rFonts w:hint="eastAsia" w:ascii="宋体" w:hAnsi="宋体" w:cs="宋体"/>
          <w:kern w:val="0"/>
          <w:szCs w:val="21"/>
          <w:lang w:val="zh-CN"/>
        </w:rPr>
        <w:t>采购活动</w:t>
      </w:r>
      <w:r>
        <w:rPr>
          <w:rFonts w:hint="eastAsia" w:ascii="宋体" w:hAnsi="宋体" w:cs="宋体"/>
          <w:kern w:val="0"/>
          <w:szCs w:val="21"/>
        </w:rPr>
        <w:t>不</w:t>
      </w:r>
      <w:r>
        <w:rPr>
          <w:rFonts w:ascii="宋体" w:hAnsi="宋体" w:cs="宋体"/>
          <w:kern w:val="0"/>
          <w:szCs w:val="21"/>
        </w:rPr>
        <w:t>限制满足</w:t>
      </w:r>
      <w:r>
        <w:rPr>
          <w:rFonts w:hint="eastAsia" w:ascii="宋体" w:hAnsi="宋体"/>
          <w:szCs w:val="21"/>
        </w:rPr>
        <w:t>招标文件要求</w:t>
      </w:r>
      <w:r>
        <w:rPr>
          <w:rFonts w:ascii="宋体" w:hAnsi="宋体" w:cs="宋体"/>
          <w:kern w:val="0"/>
          <w:szCs w:val="21"/>
        </w:rPr>
        <w:t>的国内产品参与</w:t>
      </w:r>
      <w:r>
        <w:rPr>
          <w:rFonts w:hint="eastAsia" w:ascii="宋体" w:hAnsi="宋体"/>
          <w:szCs w:val="21"/>
        </w:rPr>
        <w:t>招标</w:t>
      </w:r>
      <w:r>
        <w:rPr>
          <w:rFonts w:ascii="宋体" w:hAnsi="宋体" w:cs="宋体"/>
          <w:kern w:val="0"/>
          <w:szCs w:val="21"/>
        </w:rPr>
        <w:t>。</w:t>
      </w:r>
    </w:p>
    <w:p>
      <w:pPr>
        <w:adjustRightInd w:val="0"/>
        <w:snapToGrid w:val="0"/>
        <w:spacing w:line="360" w:lineRule="auto"/>
        <w:jc w:val="left"/>
        <w:rPr>
          <w:rFonts w:ascii="宋体" w:hAnsi="宋体"/>
          <w:b/>
          <w:szCs w:val="21"/>
        </w:rPr>
      </w:pPr>
      <w:r>
        <w:rPr>
          <w:rFonts w:hint="eastAsia" w:ascii="宋体" w:hAnsi="宋体"/>
          <w:b/>
          <w:bCs/>
          <w:szCs w:val="21"/>
        </w:rPr>
        <w:t>9.</w:t>
      </w:r>
      <w:r>
        <w:rPr>
          <w:rFonts w:hint="eastAsia" w:ascii="宋体" w:hAnsi="宋体"/>
          <w:b/>
          <w:szCs w:val="21"/>
        </w:rPr>
        <w:t xml:space="preserve">政府采购政策支持 </w:t>
      </w:r>
    </w:p>
    <w:p>
      <w:pPr>
        <w:adjustRightInd w:val="0"/>
        <w:snapToGrid w:val="0"/>
        <w:spacing w:line="360" w:lineRule="auto"/>
        <w:ind w:firstLine="420" w:firstLineChars="200"/>
        <w:jc w:val="left"/>
        <w:rPr>
          <w:rFonts w:ascii="宋体" w:hAnsi="宋体"/>
          <w:szCs w:val="21"/>
        </w:rPr>
      </w:pPr>
      <w:r>
        <w:rPr>
          <w:rFonts w:hint="eastAsia" w:ascii="宋体" w:hAnsi="宋体"/>
          <w:szCs w:val="21"/>
        </w:rPr>
        <w:t>9.1为</w:t>
      </w:r>
      <w:r>
        <w:rPr>
          <w:rFonts w:hint="eastAsia" w:ascii="宋体" w:hAnsi="宋体" w:cs="宋体"/>
          <w:szCs w:val="21"/>
        </w:rPr>
        <w:t>推进政府采购诚信体系建设，</w:t>
      </w:r>
      <w:r>
        <w:rPr>
          <w:rFonts w:hint="eastAsia" w:ascii="宋体" w:hAnsi="宋体"/>
          <w:szCs w:val="21"/>
        </w:rPr>
        <w:t>投标人在签署相关承诺，提供相关信息前，应认真阅读财政部门相关政策规定。符合本章第9.1</w:t>
      </w:r>
      <w:r>
        <w:rPr>
          <w:rFonts w:hint="eastAsia" w:ascii="宋体" w:hAnsi="宋体" w:cs="宋体"/>
          <w:kern w:val="0"/>
          <w:szCs w:val="21"/>
          <w:lang w:val="zh-CN"/>
        </w:rPr>
        <w:t>款</w:t>
      </w:r>
      <w:r>
        <w:rPr>
          <w:rFonts w:hint="eastAsia" w:ascii="宋体" w:hAnsi="宋体"/>
          <w:szCs w:val="21"/>
        </w:rPr>
        <w:t>的，应提供相关证明材料。</w:t>
      </w:r>
    </w:p>
    <w:p>
      <w:pPr>
        <w:pStyle w:val="10"/>
        <w:adjustRightInd w:val="0"/>
        <w:snapToGrid w:val="0"/>
        <w:spacing w:line="360" w:lineRule="auto"/>
        <w:ind w:firstLine="420" w:firstLineChars="200"/>
        <w:rPr>
          <w:highlight w:val="none"/>
        </w:rPr>
      </w:pPr>
      <w:r>
        <w:rPr>
          <w:rFonts w:hint="eastAsia" w:ascii="宋体" w:hAnsi="宋体"/>
          <w:sz w:val="21"/>
          <w:szCs w:val="21"/>
          <w:highlight w:val="none"/>
        </w:rPr>
        <w:t>9.2电子版投标文件内所有资格证明文件，投标人须逐页加盖电子签章。</w:t>
      </w:r>
    </w:p>
    <w:p>
      <w:pPr>
        <w:adjustRightInd w:val="0"/>
        <w:snapToGrid w:val="0"/>
        <w:spacing w:line="360" w:lineRule="auto"/>
        <w:outlineLvl w:val="2"/>
        <w:rPr>
          <w:rFonts w:ascii="宋体" w:hAnsi="宋体"/>
          <w:b/>
          <w:sz w:val="24"/>
        </w:rPr>
      </w:pPr>
      <w:bookmarkStart w:id="24" w:name="_Toc420948009"/>
      <w:bookmarkStart w:id="25" w:name="_Toc474235945"/>
      <w:r>
        <w:rPr>
          <w:rFonts w:hint="eastAsia" w:ascii="宋体" w:hAnsi="宋体"/>
          <w:b/>
          <w:sz w:val="24"/>
        </w:rPr>
        <w:t>二、招标</w:t>
      </w:r>
      <w:bookmarkEnd w:id="24"/>
      <w:r>
        <w:rPr>
          <w:rFonts w:hint="eastAsia" w:ascii="宋体" w:hAnsi="宋体"/>
          <w:b/>
          <w:sz w:val="24"/>
        </w:rPr>
        <w:t>文件</w:t>
      </w:r>
      <w:bookmarkEnd w:id="25"/>
    </w:p>
    <w:p>
      <w:pPr>
        <w:adjustRightInd w:val="0"/>
        <w:snapToGrid w:val="0"/>
        <w:spacing w:line="360" w:lineRule="auto"/>
        <w:rPr>
          <w:rFonts w:ascii="宋体" w:hAnsi="宋体"/>
          <w:b/>
          <w:bCs/>
          <w:szCs w:val="21"/>
        </w:rPr>
      </w:pPr>
      <w:r>
        <w:rPr>
          <w:rFonts w:hint="eastAsia" w:ascii="宋体" w:hAnsi="宋体"/>
          <w:b/>
          <w:bCs/>
          <w:szCs w:val="21"/>
        </w:rPr>
        <w:t>10.招标文件的组成</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10.1 招标文件由下列文件组成：</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第一章 招标公告</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第二章 投标须知</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第三章 评标方法及标准</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第四章 政府采购合同格式条款</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第五章 采购需求</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第六章 投标文件格式</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10.2</w:t>
      </w:r>
      <w:r>
        <w:rPr>
          <w:rFonts w:hint="eastAsia" w:ascii="宋体" w:hAnsi="宋体"/>
          <w:bCs/>
          <w:sz w:val="21"/>
          <w:szCs w:val="21"/>
        </w:rPr>
        <w:t>本章第11.1</w:t>
      </w:r>
      <w:r>
        <w:rPr>
          <w:rFonts w:hint="eastAsia" w:ascii="宋体" w:hAnsi="宋体" w:cs="宋体"/>
          <w:kern w:val="0"/>
          <w:sz w:val="21"/>
          <w:szCs w:val="21"/>
          <w:lang w:val="zh-CN"/>
        </w:rPr>
        <w:t>款</w:t>
      </w:r>
      <w:r>
        <w:rPr>
          <w:rFonts w:hint="eastAsia" w:ascii="宋体" w:hAnsi="宋体"/>
          <w:bCs/>
          <w:sz w:val="21"/>
          <w:szCs w:val="21"/>
        </w:rPr>
        <w:t>规定的</w:t>
      </w:r>
      <w:r>
        <w:rPr>
          <w:rFonts w:hint="eastAsia" w:ascii="宋体" w:hAnsi="宋体" w:cs="宋体"/>
          <w:kern w:val="0"/>
          <w:sz w:val="21"/>
          <w:szCs w:val="21"/>
        </w:rPr>
        <w:t>提交投标文件截止时间前对招标文件澄清或者修改内容，为招标文件的组成部分。</w:t>
      </w:r>
    </w:p>
    <w:p>
      <w:pPr>
        <w:adjustRightInd w:val="0"/>
        <w:snapToGrid w:val="0"/>
        <w:spacing w:line="360" w:lineRule="auto"/>
        <w:ind w:firstLine="420" w:firstLineChars="200"/>
        <w:rPr>
          <w:rFonts w:ascii="宋体" w:hAnsi="宋体"/>
          <w:szCs w:val="21"/>
        </w:rPr>
      </w:pPr>
      <w:r>
        <w:rPr>
          <w:rFonts w:hint="eastAsia" w:ascii="宋体" w:hAnsi="宋体"/>
        </w:rPr>
        <w:t>10.3</w:t>
      </w:r>
      <w:r>
        <w:rPr>
          <w:rFonts w:hint="eastAsia" w:ascii="宋体" w:hAnsi="宋体"/>
          <w:szCs w:val="21"/>
        </w:rPr>
        <w:t>投标人应仔细阅读</w:t>
      </w:r>
      <w:r>
        <w:rPr>
          <w:rFonts w:hint="eastAsia" w:ascii="宋体" w:hAnsi="宋体"/>
          <w:bCs/>
          <w:szCs w:val="21"/>
        </w:rPr>
        <w:t>招标文件</w:t>
      </w:r>
      <w:r>
        <w:rPr>
          <w:rFonts w:hint="eastAsia" w:ascii="宋体" w:hAnsi="宋体"/>
          <w:szCs w:val="21"/>
        </w:rPr>
        <w:t>的全部内容，按照</w:t>
      </w:r>
      <w:r>
        <w:rPr>
          <w:rFonts w:hint="eastAsia" w:ascii="宋体" w:hAnsi="宋体"/>
          <w:bCs/>
          <w:szCs w:val="21"/>
        </w:rPr>
        <w:t>招标文件</w:t>
      </w:r>
      <w:r>
        <w:rPr>
          <w:rFonts w:hint="eastAsia" w:ascii="宋体" w:hAnsi="宋体"/>
          <w:szCs w:val="21"/>
        </w:rPr>
        <w:t>要求编制投标文件。任何对</w:t>
      </w:r>
      <w:r>
        <w:rPr>
          <w:rFonts w:hint="eastAsia" w:ascii="宋体" w:hAnsi="宋体"/>
          <w:bCs/>
          <w:szCs w:val="21"/>
        </w:rPr>
        <w:t>招标文件</w:t>
      </w:r>
      <w:r>
        <w:rPr>
          <w:rFonts w:hint="eastAsia" w:ascii="宋体" w:hAnsi="宋体"/>
          <w:szCs w:val="21"/>
        </w:rPr>
        <w:t>的忽略或误解不能作为投标文件存在缺陷或瑕疵的理由，其风险由投标人承担。</w:t>
      </w:r>
    </w:p>
    <w:p>
      <w:pPr>
        <w:pStyle w:val="10"/>
        <w:adjustRightInd w:val="0"/>
        <w:snapToGrid w:val="0"/>
        <w:spacing w:line="360" w:lineRule="auto"/>
        <w:rPr>
          <w:rFonts w:ascii="宋体" w:hAnsi="宋体"/>
          <w:sz w:val="21"/>
          <w:szCs w:val="21"/>
        </w:rPr>
      </w:pPr>
      <w:r>
        <w:rPr>
          <w:rFonts w:hint="eastAsia" w:ascii="宋体" w:hAnsi="宋体"/>
          <w:b/>
          <w:sz w:val="21"/>
          <w:szCs w:val="21"/>
        </w:rPr>
        <w:t>11.</w:t>
      </w:r>
      <w:r>
        <w:rPr>
          <w:rFonts w:hint="eastAsia" w:ascii="宋体" w:hAnsi="宋体" w:cs="宋体"/>
          <w:b/>
          <w:kern w:val="0"/>
          <w:sz w:val="21"/>
          <w:szCs w:val="21"/>
        </w:rPr>
        <w:t>提交投标文件</w:t>
      </w:r>
      <w:r>
        <w:rPr>
          <w:rFonts w:hint="eastAsia" w:ascii="宋体" w:hAnsi="宋体"/>
          <w:b/>
          <w:sz w:val="21"/>
          <w:szCs w:val="21"/>
        </w:rPr>
        <w:t>的</w:t>
      </w:r>
      <w:r>
        <w:rPr>
          <w:rFonts w:hint="eastAsia" w:ascii="宋体" w:hAnsi="宋体" w:cs="宋体"/>
          <w:b/>
          <w:kern w:val="0"/>
          <w:sz w:val="21"/>
          <w:szCs w:val="21"/>
        </w:rPr>
        <w:t>截止</w:t>
      </w:r>
      <w:r>
        <w:rPr>
          <w:rFonts w:hint="eastAsia" w:ascii="宋体" w:hAnsi="宋体"/>
          <w:b/>
          <w:sz w:val="21"/>
          <w:szCs w:val="21"/>
        </w:rPr>
        <w:t>时间</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11.1投标人</w:t>
      </w:r>
      <w:r>
        <w:rPr>
          <w:rFonts w:hint="eastAsia" w:ascii="宋体" w:hAnsi="宋体" w:cs="宋体"/>
          <w:kern w:val="0"/>
          <w:sz w:val="21"/>
          <w:szCs w:val="21"/>
        </w:rPr>
        <w:t>提交投标文件截止</w:t>
      </w:r>
      <w:r>
        <w:rPr>
          <w:rFonts w:hint="eastAsia" w:ascii="宋体" w:hAnsi="宋体"/>
          <w:sz w:val="21"/>
          <w:szCs w:val="21"/>
        </w:rPr>
        <w:t>时间见</w:t>
      </w:r>
      <w:r>
        <w:rPr>
          <w:rFonts w:hint="eastAsia" w:ascii="宋体" w:hAnsi="宋体"/>
          <w:b/>
          <w:sz w:val="21"/>
          <w:szCs w:val="21"/>
        </w:rPr>
        <w:t>投标须知前附表</w:t>
      </w:r>
      <w:r>
        <w:rPr>
          <w:rFonts w:hint="eastAsia" w:ascii="宋体" w:hAnsi="宋体"/>
          <w:sz w:val="21"/>
          <w:szCs w:val="21"/>
        </w:rPr>
        <w:t>。</w:t>
      </w:r>
    </w:p>
    <w:p>
      <w:pPr>
        <w:adjustRightInd w:val="0"/>
        <w:snapToGrid w:val="0"/>
        <w:spacing w:line="360" w:lineRule="auto"/>
        <w:rPr>
          <w:rFonts w:ascii="宋体" w:hAnsi="宋体"/>
          <w:b/>
          <w:bCs/>
          <w:szCs w:val="21"/>
        </w:rPr>
      </w:pPr>
      <w:r>
        <w:rPr>
          <w:rFonts w:hint="eastAsia" w:ascii="宋体" w:hAnsi="宋体"/>
          <w:b/>
          <w:bCs/>
          <w:szCs w:val="21"/>
        </w:rPr>
        <w:t>12.招标文件的澄清</w:t>
      </w:r>
      <w:r>
        <w:rPr>
          <w:rFonts w:hint="eastAsia" w:ascii="宋体" w:hAnsi="宋体"/>
          <w:b/>
          <w:kern w:val="0"/>
          <w:szCs w:val="21"/>
          <w:lang w:val="zh-CN"/>
        </w:rPr>
        <w:t>或者</w:t>
      </w:r>
      <w:r>
        <w:rPr>
          <w:rFonts w:hint="eastAsia" w:ascii="宋体" w:hAnsi="宋体"/>
          <w:b/>
          <w:bCs/>
          <w:szCs w:val="21"/>
        </w:rPr>
        <w:t>修改</w:t>
      </w:r>
    </w:p>
    <w:p>
      <w:pPr>
        <w:pStyle w:val="10"/>
        <w:adjustRightInd w:val="0"/>
        <w:snapToGrid w:val="0"/>
        <w:spacing w:line="360" w:lineRule="auto"/>
        <w:ind w:firstLine="420" w:firstLineChars="200"/>
        <w:rPr>
          <w:rFonts w:ascii="宋体" w:hAnsi="宋体"/>
          <w:sz w:val="21"/>
          <w:szCs w:val="21"/>
        </w:rPr>
      </w:pPr>
      <w:bookmarkStart w:id="26" w:name="_Toc420948010"/>
      <w:r>
        <w:rPr>
          <w:rFonts w:hint="eastAsia" w:ascii="宋体" w:hAnsi="宋体"/>
          <w:sz w:val="21"/>
          <w:szCs w:val="21"/>
        </w:rPr>
        <w:t>12.1采购代理机构对已发出的招标文件进行必要澄清或者修改的，在招标文件前附表规定的提交投标文件截止时间十五日前，通知所有招标文件收受人。招标文件的澄清或者修改在新疆政府采购网上公布(新疆政府采购网， http://www.ccgp-xinjiang.gov.cn)，投标人应自行查阅澄清公告或更正公告，澄清或者修改文件作为招标文件的组成部分对投标人具有约束力。</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12.2 如果澄清或者修改发出的时间距规定的投标截止时间不足十五日，将相应顺延投标截止时间。</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12.3采购代理机构可以视采购具体情况，延长投标截止时间和开标时间，但应当在规定的提交投标文件的截止时间三日前，将变更时间书面通知所有招标文件收受人，并在指定的媒体上发布更正公告。</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12.4投标人认为招标文件存在歧视性条款的，应在收到招标文件之日或者招标文件公告期限届满之日起7个工作日内以书面形式向本代理机构提出。</w:t>
      </w:r>
    </w:p>
    <w:p>
      <w:pPr>
        <w:adjustRightInd w:val="0"/>
        <w:snapToGrid w:val="0"/>
        <w:spacing w:line="360" w:lineRule="auto"/>
        <w:outlineLvl w:val="2"/>
        <w:rPr>
          <w:rFonts w:ascii="宋体" w:hAnsi="宋体"/>
          <w:b/>
          <w:sz w:val="24"/>
        </w:rPr>
      </w:pPr>
      <w:bookmarkStart w:id="27" w:name="_Toc474235946"/>
      <w:r>
        <w:rPr>
          <w:rFonts w:hint="eastAsia" w:ascii="宋体" w:hAnsi="宋体"/>
          <w:b/>
          <w:sz w:val="24"/>
        </w:rPr>
        <w:t>三、投标文件</w:t>
      </w:r>
      <w:bookmarkEnd w:id="26"/>
      <w:bookmarkEnd w:id="27"/>
    </w:p>
    <w:p>
      <w:pPr>
        <w:adjustRightInd w:val="0"/>
        <w:snapToGrid w:val="0"/>
        <w:spacing w:line="360" w:lineRule="auto"/>
        <w:rPr>
          <w:rFonts w:ascii="宋体" w:hAnsi="宋体"/>
          <w:b/>
          <w:bCs/>
          <w:szCs w:val="21"/>
        </w:rPr>
      </w:pPr>
      <w:r>
        <w:rPr>
          <w:rFonts w:hint="eastAsia" w:ascii="宋体" w:hAnsi="宋体"/>
          <w:b/>
          <w:bCs/>
          <w:szCs w:val="21"/>
        </w:rPr>
        <w:t>13.一般要求</w:t>
      </w:r>
    </w:p>
    <w:p>
      <w:pPr>
        <w:adjustRightInd w:val="0"/>
        <w:snapToGrid w:val="0"/>
        <w:spacing w:line="360" w:lineRule="auto"/>
        <w:ind w:firstLine="420" w:firstLineChars="200"/>
        <w:rPr>
          <w:rFonts w:ascii="宋体" w:hAnsi="宋体"/>
          <w:bCs/>
          <w:szCs w:val="21"/>
        </w:rPr>
      </w:pPr>
      <w:r>
        <w:rPr>
          <w:rFonts w:hint="eastAsia" w:ascii="宋体" w:hAnsi="宋体"/>
          <w:bCs/>
          <w:szCs w:val="21"/>
        </w:rPr>
        <w:t xml:space="preserve">13.1 </w:t>
      </w:r>
      <w:r>
        <w:rPr>
          <w:rFonts w:hint="eastAsia" w:ascii="宋体" w:hAnsi="宋体"/>
          <w:szCs w:val="21"/>
        </w:rPr>
        <w:t>投标人</w:t>
      </w:r>
      <w:r>
        <w:rPr>
          <w:rFonts w:hint="eastAsia" w:ascii="宋体" w:hAnsi="宋体"/>
          <w:bCs/>
          <w:szCs w:val="21"/>
        </w:rPr>
        <w:t>应仔细阅读招标文件的所有内容，按招标文件的要求编制投标文件，并保证所提供的全部资料的真实性，以使其投标文件对招标文件做出实质性的投标。</w:t>
      </w:r>
    </w:p>
    <w:p>
      <w:pPr>
        <w:adjustRightInd w:val="0"/>
        <w:snapToGrid w:val="0"/>
        <w:spacing w:line="360" w:lineRule="auto"/>
        <w:ind w:firstLine="420" w:firstLineChars="200"/>
        <w:rPr>
          <w:rFonts w:ascii="宋体" w:hAnsi="宋体"/>
          <w:bCs/>
          <w:szCs w:val="21"/>
        </w:rPr>
      </w:pPr>
      <w:r>
        <w:rPr>
          <w:rFonts w:hint="eastAsia" w:ascii="宋体" w:hAnsi="宋体"/>
          <w:bCs/>
          <w:szCs w:val="21"/>
        </w:rPr>
        <w:t xml:space="preserve">13.2 </w:t>
      </w:r>
      <w:r>
        <w:rPr>
          <w:rFonts w:hint="eastAsia" w:ascii="宋体" w:hAnsi="宋体"/>
          <w:szCs w:val="21"/>
        </w:rPr>
        <w:t>投标人提交的投标文件及投标人与采购人或采购代理机构就有关招标的所有来往函电均使用中文。投标人可以提交其它语言的资料，但应附中文注释，在有差异时以中文为准。</w:t>
      </w:r>
    </w:p>
    <w:p>
      <w:pPr>
        <w:pStyle w:val="10"/>
        <w:adjustRightInd w:val="0"/>
        <w:snapToGrid w:val="0"/>
        <w:spacing w:line="360" w:lineRule="auto"/>
        <w:ind w:firstLine="420" w:firstLineChars="200"/>
        <w:rPr>
          <w:rFonts w:ascii="宋体" w:hAnsi="宋体"/>
          <w:sz w:val="21"/>
          <w:szCs w:val="21"/>
        </w:rPr>
      </w:pPr>
      <w:r>
        <w:rPr>
          <w:rFonts w:hint="eastAsia" w:ascii="宋体" w:hAnsi="宋体"/>
          <w:bCs/>
          <w:sz w:val="21"/>
          <w:szCs w:val="21"/>
        </w:rPr>
        <w:t xml:space="preserve">13.3 </w:t>
      </w:r>
      <w:r>
        <w:rPr>
          <w:rFonts w:hint="eastAsia" w:ascii="宋体" w:hAnsi="宋体"/>
          <w:sz w:val="21"/>
          <w:szCs w:val="21"/>
        </w:rPr>
        <w:t>计量单位应使用我国法定计量单位，未列明时应默认为我国法定计量单位。</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13.4 投标文件应采用书面形式，传真、电子邮件形式的投标文件概不接受。</w:t>
      </w:r>
    </w:p>
    <w:p>
      <w:pPr>
        <w:adjustRightInd w:val="0"/>
        <w:snapToGrid w:val="0"/>
        <w:spacing w:line="360" w:lineRule="auto"/>
        <w:ind w:firstLine="420" w:firstLineChars="200"/>
        <w:rPr>
          <w:rFonts w:ascii="宋体" w:hAnsi="宋体"/>
          <w:szCs w:val="21"/>
        </w:rPr>
      </w:pPr>
      <w:r>
        <w:rPr>
          <w:rFonts w:hint="eastAsia" w:ascii="宋体" w:hAnsi="宋体"/>
          <w:szCs w:val="21"/>
        </w:rPr>
        <w:t>13.5 投标人应按招标文件中提供的投标文件格式填写。</w:t>
      </w:r>
    </w:p>
    <w:p>
      <w:pPr>
        <w:adjustRightInd w:val="0"/>
        <w:snapToGrid w:val="0"/>
        <w:spacing w:line="360" w:lineRule="auto"/>
        <w:rPr>
          <w:rFonts w:ascii="宋体" w:hAnsi="宋体"/>
          <w:b/>
          <w:bCs/>
          <w:szCs w:val="21"/>
        </w:rPr>
      </w:pPr>
      <w:r>
        <w:rPr>
          <w:rFonts w:hint="eastAsia" w:ascii="宋体" w:hAnsi="宋体"/>
          <w:b/>
          <w:bCs/>
          <w:szCs w:val="21"/>
        </w:rPr>
        <w:t>14.</w:t>
      </w:r>
      <w:r>
        <w:rPr>
          <w:rFonts w:hint="eastAsia" w:ascii="宋体" w:hAnsi="宋体"/>
          <w:b/>
          <w:bCs/>
          <w:szCs w:val="21"/>
          <w:lang w:val="en-US" w:eastAsia="zh-CN"/>
        </w:rPr>
        <w:t>电子</w:t>
      </w:r>
      <w:r>
        <w:rPr>
          <w:rFonts w:hint="eastAsia" w:ascii="宋体" w:hAnsi="宋体"/>
          <w:b/>
          <w:szCs w:val="21"/>
        </w:rPr>
        <w:t>投标文件</w:t>
      </w:r>
      <w:r>
        <w:rPr>
          <w:rFonts w:hint="eastAsia" w:ascii="宋体" w:hAnsi="宋体"/>
          <w:b/>
          <w:bCs/>
          <w:szCs w:val="21"/>
        </w:rPr>
        <w:t>的组成</w:t>
      </w:r>
    </w:p>
    <w:p>
      <w:pPr>
        <w:adjustRightInd w:val="0"/>
        <w:snapToGrid w:val="0"/>
        <w:spacing w:line="360" w:lineRule="auto"/>
        <w:ind w:firstLine="420" w:firstLineChars="200"/>
        <w:jc w:val="left"/>
        <w:rPr>
          <w:rFonts w:hint="eastAsia" w:ascii="宋体" w:hAnsi="宋体"/>
          <w:color w:val="auto"/>
        </w:rPr>
      </w:pPr>
      <w:bookmarkStart w:id="28" w:name="_Toc420948011"/>
      <w:bookmarkStart w:id="29" w:name="_Toc427862404"/>
      <w:r>
        <w:rPr>
          <w:rFonts w:hint="eastAsia" w:ascii="宋体" w:hAnsi="宋体"/>
          <w:color w:val="auto"/>
        </w:rPr>
        <w:t xml:space="preserve">14.1 </w:t>
      </w:r>
      <w:r>
        <w:rPr>
          <w:rFonts w:hint="eastAsia" w:ascii="宋体" w:hAnsi="宋体"/>
          <w:color w:val="auto"/>
          <w:lang w:val="en-US" w:eastAsia="zh-CN"/>
        </w:rPr>
        <w:t>电子</w:t>
      </w:r>
      <w:r>
        <w:rPr>
          <w:rFonts w:hint="eastAsia" w:ascii="宋体" w:hAnsi="宋体"/>
          <w:color w:val="auto"/>
        </w:rPr>
        <w:t>投标文件包括下列内容：</w:t>
      </w:r>
      <w:bookmarkEnd w:id="28"/>
      <w:bookmarkEnd w:id="29"/>
    </w:p>
    <w:p>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lang w:eastAsia="zh-CN"/>
        </w:rPr>
        <w:t>商务部分：</w:t>
      </w:r>
      <w:r>
        <w:rPr>
          <w:rFonts w:hint="eastAsia" w:ascii="宋体" w:hAnsi="宋体"/>
          <w:color w:val="auto"/>
          <w:szCs w:val="21"/>
        </w:rPr>
        <w:t xml:space="preserve"> </w:t>
      </w:r>
    </w:p>
    <w:p>
      <w:pPr>
        <w:autoSpaceDE w:val="0"/>
        <w:autoSpaceDN w:val="0"/>
        <w:adjustRightInd w:val="0"/>
        <w:spacing w:line="360" w:lineRule="auto"/>
        <w:ind w:firstLine="480"/>
        <w:rPr>
          <w:rFonts w:hint="eastAsia" w:ascii="宋体" w:hAnsi="宋体" w:eastAsia="宋体" w:cs="宋体"/>
          <w:sz w:val="21"/>
          <w:szCs w:val="21"/>
          <w:lang w:val="zh-CN"/>
        </w:rPr>
      </w:pPr>
      <w:r>
        <w:rPr>
          <w:rFonts w:hint="eastAsia" w:ascii="宋体" w:hAnsi="宋体" w:eastAsia="宋体" w:cs="宋体"/>
          <w:sz w:val="21"/>
          <w:szCs w:val="21"/>
          <w:lang w:val="zh-CN"/>
        </w:rPr>
        <w:t>（1）投标回函</w:t>
      </w:r>
    </w:p>
    <w:p>
      <w:pPr>
        <w:autoSpaceDE w:val="0"/>
        <w:autoSpaceDN w:val="0"/>
        <w:adjustRightInd w:val="0"/>
        <w:spacing w:line="360" w:lineRule="auto"/>
        <w:ind w:firstLine="480"/>
        <w:rPr>
          <w:rFonts w:hint="eastAsia" w:ascii="宋体" w:hAnsi="宋体" w:eastAsia="宋体" w:cs="宋体"/>
          <w:sz w:val="21"/>
          <w:szCs w:val="21"/>
          <w:lang w:val="zh-CN"/>
        </w:rPr>
      </w:pPr>
      <w:r>
        <w:rPr>
          <w:rFonts w:hint="eastAsia" w:ascii="宋体" w:hAnsi="宋体" w:eastAsia="宋体" w:cs="宋体"/>
          <w:sz w:val="21"/>
          <w:szCs w:val="21"/>
          <w:lang w:val="zh-CN"/>
        </w:rPr>
        <w:t>（2）开标一览表</w:t>
      </w:r>
    </w:p>
    <w:p>
      <w:pPr>
        <w:autoSpaceDE w:val="0"/>
        <w:autoSpaceDN w:val="0"/>
        <w:adjustRightInd w:val="0"/>
        <w:spacing w:line="360" w:lineRule="auto"/>
        <w:ind w:firstLine="4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（3）法定代表人授权书</w:t>
      </w:r>
    </w:p>
    <w:p>
      <w:pPr>
        <w:autoSpaceDE w:val="0"/>
        <w:autoSpaceDN w:val="0"/>
        <w:adjustRightInd w:val="0"/>
        <w:spacing w:line="360" w:lineRule="auto"/>
        <w:ind w:firstLine="4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（4）投标供应商资格证明文件（营业执照、资质证书等）</w:t>
      </w:r>
    </w:p>
    <w:p>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（5）项目负责人相关证件</w:t>
      </w:r>
    </w:p>
    <w:p>
      <w:pPr>
        <w:pStyle w:val="2"/>
        <w:spacing w:line="360" w:lineRule="auto"/>
        <w:rPr>
          <w:rFonts w:hint="eastAsia" w:ascii="宋体" w:hAnsi="宋体"/>
          <w:color w:val="333333"/>
          <w:kern w:val="0"/>
          <w:sz w:val="21"/>
          <w:szCs w:val="21"/>
          <w:highlight w:val="none"/>
        </w:rPr>
      </w:pPr>
      <w:r>
        <w:rPr>
          <w:rFonts w:hint="eastAsia" w:ascii="宋体" w:hAnsi="宋体" w:eastAsia="宋体" w:cs="宋体"/>
          <w:sz w:val="21"/>
          <w:szCs w:val="21"/>
          <w:lang w:val="en-US" w:eastAsia="zh-CN"/>
        </w:rPr>
        <w:t>（6）企业</w:t>
      </w:r>
      <w:r>
        <w:rPr>
          <w:rFonts w:hint="eastAsia" w:ascii="宋体" w:hAnsi="宋体"/>
          <w:color w:val="333333"/>
          <w:kern w:val="0"/>
          <w:sz w:val="21"/>
          <w:szCs w:val="21"/>
          <w:highlight w:val="none"/>
        </w:rPr>
        <w:t>类似项目业绩</w:t>
      </w:r>
    </w:p>
    <w:p>
      <w:pPr>
        <w:pStyle w:val="2"/>
        <w:spacing w:line="360" w:lineRule="auto"/>
        <w:rPr>
          <w:rFonts w:hint="eastAsia" w:ascii="宋体" w:hAnsi="宋体" w:eastAsia="宋体"/>
          <w:color w:val="333333"/>
          <w:kern w:val="0"/>
          <w:sz w:val="21"/>
          <w:szCs w:val="21"/>
          <w:highlight w:val="none"/>
          <w:lang w:val="en-US" w:eastAsia="zh-CN"/>
        </w:rPr>
      </w:pPr>
      <w:r>
        <w:rPr>
          <w:rFonts w:hint="eastAsia" w:ascii="宋体" w:hAnsi="宋体"/>
          <w:color w:val="333333"/>
          <w:kern w:val="0"/>
          <w:sz w:val="21"/>
          <w:szCs w:val="21"/>
          <w:highlight w:val="none"/>
          <w:lang w:eastAsia="zh-CN"/>
        </w:rPr>
        <w:t>（</w:t>
      </w:r>
      <w:r>
        <w:rPr>
          <w:rFonts w:hint="eastAsia" w:ascii="宋体" w:hAnsi="宋体"/>
          <w:color w:val="333333"/>
          <w:kern w:val="0"/>
          <w:sz w:val="21"/>
          <w:szCs w:val="21"/>
          <w:highlight w:val="none"/>
          <w:lang w:val="en-US" w:eastAsia="zh-CN"/>
        </w:rPr>
        <w:t>7</w:t>
      </w:r>
      <w:r>
        <w:rPr>
          <w:rFonts w:hint="eastAsia" w:ascii="宋体" w:hAnsi="宋体"/>
          <w:color w:val="333333"/>
          <w:kern w:val="0"/>
          <w:sz w:val="21"/>
          <w:szCs w:val="21"/>
          <w:highlight w:val="none"/>
          <w:lang w:eastAsia="zh-CN"/>
        </w:rPr>
        <w:t>）项目负责人类似业绩</w:t>
      </w:r>
    </w:p>
    <w:p>
      <w:pPr>
        <w:autoSpaceDE w:val="0"/>
        <w:autoSpaceDN w:val="0"/>
        <w:adjustRightInd w:val="0"/>
        <w:spacing w:line="480" w:lineRule="auto"/>
        <w:ind w:firstLine="480"/>
        <w:rPr>
          <w:rFonts w:hint="eastAsia" w:ascii="宋体" w:hAnsi="宋体" w:eastAsia="宋体" w:cs="宋体"/>
          <w:sz w:val="21"/>
          <w:szCs w:val="21"/>
          <w:lang w:val="zh-CN"/>
        </w:rPr>
      </w:pPr>
      <w:r>
        <w:rPr>
          <w:rFonts w:hint="eastAsia" w:ascii="宋体" w:hAnsi="宋体" w:eastAsia="宋体" w:cs="宋体"/>
          <w:sz w:val="21"/>
          <w:szCs w:val="21"/>
          <w:lang w:val="zh-CN"/>
        </w:rPr>
        <w:t>技术部分：</w:t>
      </w:r>
    </w:p>
    <w:p>
      <w:pPr>
        <w:numPr>
          <w:ilvl w:val="0"/>
          <w:numId w:val="2"/>
        </w:numPr>
        <w:bidi w:val="0"/>
        <w:spacing w:line="480" w:lineRule="auto"/>
        <w:rPr>
          <w:rFonts w:hint="default"/>
          <w:sz w:val="21"/>
          <w:szCs w:val="21"/>
          <w:lang w:val="en-US" w:eastAsia="zh-CN"/>
        </w:rPr>
      </w:pPr>
      <w:r>
        <w:rPr>
          <w:rFonts w:hint="eastAsia"/>
          <w:sz w:val="21"/>
          <w:szCs w:val="21"/>
          <w:lang w:eastAsia="zh-CN"/>
        </w:rPr>
        <w:t>对项目的了解程度</w:t>
      </w:r>
    </w:p>
    <w:p>
      <w:pPr>
        <w:numPr>
          <w:ilvl w:val="0"/>
          <w:numId w:val="2"/>
        </w:numPr>
        <w:bidi w:val="0"/>
        <w:spacing w:line="480" w:lineRule="auto"/>
        <w:rPr>
          <w:rFonts w:hint="default"/>
          <w:sz w:val="21"/>
          <w:szCs w:val="21"/>
          <w:lang w:val="en-US" w:eastAsia="zh-CN"/>
        </w:rPr>
      </w:pPr>
      <w:r>
        <w:rPr>
          <w:rFonts w:hint="eastAsia"/>
          <w:sz w:val="21"/>
          <w:szCs w:val="21"/>
        </w:rPr>
        <w:t>规划研究编制方案重难点及解决措施</w:t>
      </w:r>
    </w:p>
    <w:p>
      <w:pPr>
        <w:numPr>
          <w:ilvl w:val="0"/>
          <w:numId w:val="2"/>
        </w:numPr>
        <w:bidi w:val="0"/>
        <w:spacing w:line="480" w:lineRule="auto"/>
        <w:rPr>
          <w:rFonts w:hint="default"/>
          <w:sz w:val="21"/>
          <w:szCs w:val="21"/>
          <w:lang w:val="en-US" w:eastAsia="zh-CN"/>
        </w:rPr>
      </w:pPr>
      <w:r>
        <w:rPr>
          <w:rFonts w:hint="eastAsia"/>
          <w:sz w:val="21"/>
          <w:szCs w:val="21"/>
          <w:lang w:val="en-US" w:eastAsia="zh-CN"/>
        </w:rPr>
        <w:t>规划研究编制方案</w:t>
      </w:r>
    </w:p>
    <w:p>
      <w:pPr>
        <w:numPr>
          <w:ilvl w:val="0"/>
          <w:numId w:val="2"/>
        </w:numPr>
        <w:bidi w:val="0"/>
        <w:spacing w:line="480" w:lineRule="auto"/>
        <w:rPr>
          <w:rFonts w:hint="eastAsia"/>
          <w:sz w:val="21"/>
          <w:szCs w:val="21"/>
          <w:lang w:val="en-US" w:eastAsia="zh-CN"/>
        </w:rPr>
      </w:pPr>
      <w:r>
        <w:rPr>
          <w:rFonts w:hint="eastAsia"/>
          <w:sz w:val="21"/>
          <w:szCs w:val="21"/>
        </w:rPr>
        <w:t>后续支持及服务方案</w:t>
      </w:r>
    </w:p>
    <w:p>
      <w:pPr>
        <w:adjustRightInd w:val="0"/>
        <w:snapToGrid w:val="0"/>
        <w:spacing w:line="360" w:lineRule="auto"/>
        <w:rPr>
          <w:rFonts w:ascii="宋体" w:hAnsi="宋体"/>
          <w:b/>
          <w:bCs/>
          <w:szCs w:val="21"/>
        </w:rPr>
      </w:pPr>
      <w:r>
        <w:rPr>
          <w:rFonts w:hint="eastAsia" w:ascii="宋体" w:hAnsi="宋体"/>
          <w:b/>
          <w:bCs/>
          <w:szCs w:val="21"/>
        </w:rPr>
        <w:t>15.报价</w:t>
      </w:r>
    </w:p>
    <w:p>
      <w:pPr>
        <w:adjustRightInd w:val="0"/>
        <w:snapToGrid w:val="0"/>
        <w:spacing w:line="360" w:lineRule="auto"/>
        <w:ind w:firstLine="420" w:firstLineChars="200"/>
        <w:rPr>
          <w:rFonts w:ascii="宋体" w:hAnsi="宋体"/>
          <w:szCs w:val="21"/>
        </w:rPr>
      </w:pPr>
      <w:r>
        <w:rPr>
          <w:rFonts w:hint="eastAsia" w:ascii="宋体" w:hAnsi="宋体"/>
          <w:szCs w:val="21"/>
        </w:rPr>
        <w:t>15.1投标人应当根据招标文件要求和范围，以</w:t>
      </w:r>
      <w:r>
        <w:rPr>
          <w:rFonts w:hint="eastAsia" w:ascii="宋体" w:hAnsi="宋体"/>
          <w:bCs/>
          <w:szCs w:val="21"/>
        </w:rPr>
        <w:t>人民币</w:t>
      </w:r>
      <w:r>
        <w:rPr>
          <w:rFonts w:hint="eastAsia" w:ascii="宋体" w:hAnsi="宋体"/>
          <w:szCs w:val="21"/>
        </w:rPr>
        <w:t>报价，以元为单位，保留小数点后两位。</w:t>
      </w:r>
    </w:p>
    <w:p>
      <w:pPr>
        <w:adjustRightInd w:val="0"/>
        <w:snapToGrid w:val="0"/>
        <w:spacing w:line="360" w:lineRule="auto"/>
        <w:ind w:firstLine="420" w:firstLineChars="200"/>
        <w:rPr>
          <w:rFonts w:ascii="宋体" w:hAnsi="宋体"/>
          <w:szCs w:val="21"/>
        </w:rPr>
      </w:pPr>
      <w:r>
        <w:rPr>
          <w:rFonts w:hint="eastAsia" w:ascii="宋体" w:hAnsi="宋体"/>
          <w:szCs w:val="21"/>
        </w:rPr>
        <w:t>15.2投标报价是履行合同的最终价格，应包括为完成本项目采购范围内所有货物、配套工具及供货、运输、调试、培训、保险、税金及其它附带服务的全部费用。投标人漏报的单价或每项单价报价中漏报、少报的费用，视为此项费用已隐含在其他报价中，中标后不予调整。</w:t>
      </w:r>
    </w:p>
    <w:p>
      <w:pPr>
        <w:pStyle w:val="26"/>
        <w:adjustRightInd w:val="0"/>
        <w:snapToGrid w:val="0"/>
        <w:spacing w:line="360" w:lineRule="auto"/>
        <w:ind w:firstLine="420" w:firstLineChars="200"/>
        <w:rPr>
          <w:rFonts w:ascii="宋体" w:hAnsi="宋体"/>
        </w:rPr>
      </w:pPr>
      <w:r>
        <w:rPr>
          <w:rFonts w:hint="eastAsia" w:ascii="宋体" w:hAnsi="宋体"/>
        </w:rPr>
        <w:t>15.3投标人应按第四章“采购需求”要求及第五章“投标文件组成”格式填写。投标人在</w:t>
      </w:r>
      <w:r>
        <w:rPr>
          <w:rFonts w:hint="eastAsia" w:ascii="宋体" w:hAnsi="宋体"/>
          <w:bCs/>
        </w:rPr>
        <w:t>本章第11.1</w:t>
      </w:r>
      <w:r>
        <w:rPr>
          <w:rFonts w:hint="eastAsia" w:ascii="宋体" w:hAnsi="宋体" w:cs="宋体"/>
          <w:lang w:val="zh-CN"/>
        </w:rPr>
        <w:t>款</w:t>
      </w:r>
      <w:r>
        <w:rPr>
          <w:rFonts w:hint="eastAsia" w:ascii="宋体" w:hAnsi="宋体"/>
          <w:bCs/>
        </w:rPr>
        <w:t>规定的</w:t>
      </w:r>
      <w:r>
        <w:rPr>
          <w:rFonts w:hint="eastAsia" w:ascii="宋体" w:hAnsi="宋体" w:cs="宋体"/>
        </w:rPr>
        <w:t>提交投标文件截止之日前</w:t>
      </w:r>
      <w:r>
        <w:rPr>
          <w:rFonts w:hint="eastAsia" w:ascii="宋体" w:hAnsi="宋体"/>
        </w:rPr>
        <w:t>修改开标记录表中的报价，应同时修改其按第五章要求填写的相应表格中的报价。此修改须符合本章第21.1款的有关要求。</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15.4投标文件中标明的价格在合同执行过程中是固定不变的，不得以任何理由予以变更。以可变动价格提交的报价将被认为是非实质投标而被拒绝。</w:t>
      </w:r>
    </w:p>
    <w:p>
      <w:pPr>
        <w:pStyle w:val="10"/>
        <w:adjustRightInd w:val="0"/>
        <w:snapToGrid w:val="0"/>
        <w:spacing w:line="360" w:lineRule="auto"/>
        <w:ind w:firstLine="420" w:firstLineChars="200"/>
        <w:rPr>
          <w:rFonts w:hAnsi="宋体"/>
        </w:rPr>
      </w:pPr>
      <w:r>
        <w:rPr>
          <w:rFonts w:hint="eastAsia" w:ascii="宋体" w:hAnsi="宋体"/>
          <w:sz w:val="21"/>
          <w:szCs w:val="21"/>
        </w:rPr>
        <w:t>15.5</w:t>
      </w:r>
      <w:r>
        <w:rPr>
          <w:rFonts w:hint="eastAsia" w:ascii="宋体" w:hAnsi="宋体"/>
          <w:b/>
          <w:sz w:val="21"/>
          <w:szCs w:val="21"/>
        </w:rPr>
        <w:t>投标人的报价不得超过采购项目预算总金额，</w:t>
      </w:r>
      <w:r>
        <w:rPr>
          <w:rFonts w:hint="eastAsia" w:ascii="宋体" w:hAnsi="宋体"/>
          <w:sz w:val="21"/>
          <w:szCs w:val="21"/>
        </w:rPr>
        <w:t>采购项目预算或其计算方法见</w:t>
      </w:r>
      <w:r>
        <w:rPr>
          <w:rFonts w:hint="eastAsia" w:ascii="宋体" w:hAnsi="宋体"/>
          <w:b/>
          <w:sz w:val="21"/>
          <w:szCs w:val="21"/>
        </w:rPr>
        <w:t>招标须知前附表</w:t>
      </w:r>
      <w:r>
        <w:rPr>
          <w:rFonts w:hint="eastAsia" w:ascii="宋体" w:hAnsi="宋体"/>
          <w:sz w:val="21"/>
          <w:szCs w:val="21"/>
        </w:rPr>
        <w:t>。</w:t>
      </w:r>
    </w:p>
    <w:p>
      <w:pPr>
        <w:pStyle w:val="10"/>
        <w:adjustRightInd w:val="0"/>
        <w:snapToGrid w:val="0"/>
        <w:spacing w:line="360" w:lineRule="auto"/>
        <w:rPr>
          <w:rFonts w:ascii="宋体" w:hAnsi="宋体"/>
          <w:b/>
          <w:sz w:val="21"/>
          <w:szCs w:val="21"/>
        </w:rPr>
      </w:pPr>
      <w:r>
        <w:rPr>
          <w:rFonts w:hint="eastAsia" w:ascii="宋体" w:hAnsi="宋体"/>
          <w:b/>
          <w:sz w:val="21"/>
          <w:szCs w:val="21"/>
        </w:rPr>
        <w:t>16.</w:t>
      </w:r>
      <w:r>
        <w:rPr>
          <w:rFonts w:hint="eastAsia" w:ascii="宋体" w:hAnsi="宋体"/>
          <w:sz w:val="21"/>
          <w:szCs w:val="21"/>
        </w:rPr>
        <w:t xml:space="preserve"> </w:t>
      </w:r>
      <w:r>
        <w:rPr>
          <w:rFonts w:hint="eastAsia" w:ascii="宋体" w:hAnsi="宋体"/>
          <w:b/>
          <w:sz w:val="21"/>
          <w:szCs w:val="21"/>
        </w:rPr>
        <w:t>投标人满足招标文件规定的资格证明文件</w:t>
      </w:r>
    </w:p>
    <w:p>
      <w:pPr>
        <w:adjustRightInd w:val="0"/>
        <w:snapToGrid w:val="0"/>
        <w:spacing w:line="360" w:lineRule="auto"/>
        <w:ind w:firstLine="420" w:firstLineChars="200"/>
        <w:rPr>
          <w:rFonts w:ascii="宋体" w:hAnsi="宋体"/>
          <w:szCs w:val="21"/>
        </w:rPr>
      </w:pPr>
      <w:r>
        <w:rPr>
          <w:rFonts w:hint="eastAsia" w:ascii="宋体" w:hAnsi="宋体" w:cs="宋体"/>
          <w:kern w:val="0"/>
          <w:lang w:val="zh-CN"/>
        </w:rPr>
        <w:t>16.1</w:t>
      </w:r>
      <w:r>
        <w:rPr>
          <w:rFonts w:hint="eastAsia" w:ascii="宋体" w:hAnsi="宋体"/>
          <w:szCs w:val="21"/>
        </w:rPr>
        <w:t>投标人应提供资格证明材料，以证实其各项条件能满足本章第3.1</w:t>
      </w:r>
      <w:r>
        <w:rPr>
          <w:rFonts w:hint="eastAsia" w:ascii="宋体" w:hAnsi="宋体" w:cs="宋体"/>
          <w:kern w:val="0"/>
          <w:szCs w:val="21"/>
          <w:lang w:val="zh-CN"/>
        </w:rPr>
        <w:t>款</w:t>
      </w:r>
      <w:r>
        <w:rPr>
          <w:rFonts w:hint="eastAsia" w:ascii="宋体" w:hAnsi="宋体"/>
          <w:szCs w:val="21"/>
        </w:rPr>
        <w:t>规定的投标人资格条件要求。</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16.2投标人应当提交满足招标文件规定的业绩证明文件，该证明文件作为投标文件的一部分，业绩证明文件要求详见</w:t>
      </w:r>
      <w:r>
        <w:rPr>
          <w:rFonts w:hint="eastAsia" w:ascii="宋体" w:hAnsi="宋体" w:cs="宋体"/>
          <w:b/>
          <w:kern w:val="0"/>
          <w:szCs w:val="21"/>
        </w:rPr>
        <w:t>投标须知前附表</w:t>
      </w:r>
      <w:r>
        <w:rPr>
          <w:rFonts w:hint="eastAsia" w:ascii="宋体" w:hAnsi="宋体" w:cs="宋体"/>
          <w:kern w:val="0"/>
          <w:szCs w:val="21"/>
        </w:rPr>
        <w:t>。</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16.3投标单位在货物说明一览表中应当说明货物的品牌型号、规格参数、制造商及原产地等，交货时应出具原产地证明及出厂合格证明。</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16.4上述证明文件可以是文字资料、图纸和数据，并须提供：</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（1）货物主要性能和参数的详细说明； </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（2）对照招标文件技术规格，逐条说明所提供货物和服务对招标文件的技术规格条文的响应与偏离。对有具体参数要求的指标，投标单位应提供具体参数值；</w:t>
      </w:r>
    </w:p>
    <w:p>
      <w:pPr>
        <w:adjustRightInd w:val="0"/>
        <w:snapToGrid w:val="0"/>
        <w:spacing w:line="360" w:lineRule="auto"/>
        <w:rPr>
          <w:rFonts w:ascii="宋体" w:hAnsi="宋体"/>
          <w:b/>
          <w:bCs/>
          <w:szCs w:val="21"/>
        </w:rPr>
      </w:pPr>
      <w:r>
        <w:rPr>
          <w:rFonts w:hint="eastAsia" w:ascii="宋体" w:hAnsi="宋体"/>
          <w:b/>
          <w:bCs/>
          <w:szCs w:val="21"/>
        </w:rPr>
        <w:t>17.投标保证金</w:t>
      </w:r>
    </w:p>
    <w:p>
      <w:pPr>
        <w:pStyle w:val="10"/>
        <w:adjustRightInd w:val="0"/>
        <w:snapToGrid w:val="0"/>
        <w:spacing w:line="360" w:lineRule="auto"/>
        <w:ind w:firstLine="420" w:firstLineChars="200"/>
        <w:rPr>
          <w:rFonts w:ascii="宋体" w:hAnsi="宋体"/>
          <w:bCs/>
          <w:sz w:val="21"/>
          <w:szCs w:val="21"/>
        </w:rPr>
      </w:pPr>
      <w:r>
        <w:rPr>
          <w:rFonts w:hint="eastAsia" w:ascii="宋体" w:hAnsi="宋体"/>
          <w:sz w:val="21"/>
          <w:szCs w:val="21"/>
        </w:rPr>
        <w:t>17.1</w:t>
      </w:r>
      <w:r>
        <w:rPr>
          <w:rFonts w:hint="eastAsia" w:ascii="宋体" w:hAnsi="宋体"/>
          <w:b/>
          <w:sz w:val="21"/>
          <w:szCs w:val="21"/>
        </w:rPr>
        <w:t>投标须知前附表</w:t>
      </w:r>
      <w:r>
        <w:rPr>
          <w:rFonts w:hint="eastAsia" w:ascii="宋体" w:hAnsi="宋体"/>
          <w:sz w:val="21"/>
          <w:szCs w:val="21"/>
        </w:rPr>
        <w:t>规定交纳投标</w:t>
      </w:r>
      <w:r>
        <w:rPr>
          <w:rFonts w:hint="eastAsia" w:ascii="宋体" w:hAnsi="宋体"/>
          <w:bCs/>
          <w:sz w:val="21"/>
          <w:szCs w:val="21"/>
        </w:rPr>
        <w:t>保证金的</w:t>
      </w:r>
      <w:r>
        <w:rPr>
          <w:rFonts w:hint="eastAsia" w:ascii="宋体" w:hAnsi="宋体"/>
          <w:sz w:val="21"/>
          <w:szCs w:val="21"/>
        </w:rPr>
        <w:t>，应按</w:t>
      </w:r>
      <w:r>
        <w:rPr>
          <w:rFonts w:hint="eastAsia" w:ascii="宋体" w:hAnsi="宋体"/>
          <w:b/>
          <w:sz w:val="21"/>
          <w:szCs w:val="21"/>
        </w:rPr>
        <w:t>投标须知前附表</w:t>
      </w:r>
      <w:r>
        <w:rPr>
          <w:rFonts w:hint="eastAsia" w:ascii="宋体" w:hAnsi="宋体"/>
          <w:sz w:val="21"/>
          <w:szCs w:val="21"/>
        </w:rPr>
        <w:t>规定的</w:t>
      </w:r>
      <w:r>
        <w:rPr>
          <w:rFonts w:hint="eastAsia" w:ascii="宋体" w:hAnsi="宋体"/>
          <w:bCs/>
          <w:sz w:val="21"/>
          <w:szCs w:val="21"/>
        </w:rPr>
        <w:t>形式、金额，</w:t>
      </w:r>
      <w:r>
        <w:rPr>
          <w:rFonts w:hint="eastAsia" w:ascii="宋体" w:hAnsi="宋体"/>
          <w:sz w:val="21"/>
          <w:szCs w:val="21"/>
        </w:rPr>
        <w:t>在本章第11.1</w:t>
      </w:r>
      <w:r>
        <w:rPr>
          <w:rFonts w:hint="eastAsia" w:ascii="宋体" w:hAnsi="宋体" w:cs="宋体"/>
          <w:kern w:val="0"/>
          <w:sz w:val="21"/>
          <w:szCs w:val="21"/>
          <w:lang w:val="zh-CN"/>
        </w:rPr>
        <w:t>款</w:t>
      </w:r>
      <w:r>
        <w:rPr>
          <w:rFonts w:hint="eastAsia" w:ascii="宋体" w:hAnsi="宋体"/>
          <w:sz w:val="21"/>
          <w:szCs w:val="21"/>
        </w:rPr>
        <w:t>规定的</w:t>
      </w:r>
      <w:r>
        <w:rPr>
          <w:rFonts w:hint="eastAsia" w:ascii="宋体" w:hAnsi="宋体" w:cs="宋体"/>
          <w:kern w:val="0"/>
          <w:sz w:val="21"/>
          <w:szCs w:val="21"/>
        </w:rPr>
        <w:t>提交投标文件截止时间</w:t>
      </w:r>
      <w:r>
        <w:rPr>
          <w:rFonts w:hint="eastAsia" w:ascii="宋体" w:hAnsi="宋体"/>
          <w:sz w:val="21"/>
          <w:szCs w:val="21"/>
        </w:rPr>
        <w:t>前，</w:t>
      </w:r>
      <w:r>
        <w:rPr>
          <w:rFonts w:hint="eastAsia" w:ascii="宋体" w:hAnsi="宋体"/>
          <w:bCs/>
          <w:sz w:val="21"/>
          <w:szCs w:val="21"/>
        </w:rPr>
        <w:t>提交投标保证金</w:t>
      </w:r>
      <w:r>
        <w:rPr>
          <w:rFonts w:hint="eastAsia" w:ascii="宋体" w:hAnsi="宋体"/>
          <w:sz w:val="21"/>
          <w:szCs w:val="21"/>
        </w:rPr>
        <w:t>。投标</w:t>
      </w:r>
      <w:r>
        <w:rPr>
          <w:rFonts w:hint="eastAsia" w:ascii="宋体" w:hAnsi="宋体"/>
          <w:bCs/>
          <w:sz w:val="21"/>
          <w:szCs w:val="21"/>
        </w:rPr>
        <w:t>保证金有效期应当与</w:t>
      </w:r>
      <w:r>
        <w:rPr>
          <w:rFonts w:hint="eastAsia" w:ascii="宋体" w:hAnsi="宋体"/>
          <w:sz w:val="21"/>
          <w:szCs w:val="21"/>
        </w:rPr>
        <w:t>本章第18.1</w:t>
      </w:r>
      <w:r>
        <w:rPr>
          <w:rFonts w:hint="eastAsia" w:ascii="宋体" w:hAnsi="宋体" w:cs="宋体"/>
          <w:kern w:val="0"/>
          <w:sz w:val="21"/>
          <w:szCs w:val="21"/>
          <w:lang w:val="zh-CN"/>
        </w:rPr>
        <w:t>款</w:t>
      </w:r>
      <w:r>
        <w:rPr>
          <w:rFonts w:hint="eastAsia" w:ascii="宋体" w:hAnsi="宋体"/>
          <w:sz w:val="21"/>
          <w:szCs w:val="21"/>
        </w:rPr>
        <w:t>规定的</w:t>
      </w:r>
      <w:r>
        <w:rPr>
          <w:rFonts w:hint="eastAsia" w:ascii="宋体" w:hAnsi="宋体"/>
          <w:bCs/>
          <w:sz w:val="21"/>
          <w:szCs w:val="21"/>
        </w:rPr>
        <w:t>投标文件有效期一致。</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17.2 未按招标文件规定提交投标保证金的，</w:t>
      </w:r>
      <w:r>
        <w:rPr>
          <w:rFonts w:hint="eastAsia" w:ascii="宋体" w:hAnsi="宋体"/>
          <w:bCs/>
          <w:sz w:val="21"/>
          <w:szCs w:val="21"/>
        </w:rPr>
        <w:t>采购人或采购代理机构应当拒绝接收</w:t>
      </w:r>
      <w:r>
        <w:rPr>
          <w:rFonts w:hint="eastAsia" w:ascii="宋体" w:hAnsi="宋体"/>
          <w:sz w:val="21"/>
          <w:szCs w:val="21"/>
        </w:rPr>
        <w:t>投标人</w:t>
      </w:r>
      <w:r>
        <w:rPr>
          <w:rFonts w:hint="eastAsia" w:ascii="宋体" w:hAnsi="宋体"/>
          <w:bCs/>
          <w:sz w:val="21"/>
          <w:szCs w:val="21"/>
        </w:rPr>
        <w:t>的投标文件</w:t>
      </w:r>
      <w:r>
        <w:rPr>
          <w:rFonts w:hint="eastAsia" w:ascii="宋体" w:hAnsi="宋体"/>
          <w:sz w:val="21"/>
          <w:szCs w:val="21"/>
        </w:rPr>
        <w:t>。</w:t>
      </w:r>
    </w:p>
    <w:p>
      <w:pPr>
        <w:pStyle w:val="10"/>
        <w:tabs>
          <w:tab w:val="left" w:pos="6300"/>
        </w:tabs>
        <w:adjustRightInd w:val="0"/>
        <w:snapToGrid w:val="0"/>
        <w:spacing w:line="360" w:lineRule="auto"/>
        <w:ind w:firstLine="420" w:firstLineChars="200"/>
        <w:rPr>
          <w:rFonts w:ascii="宋体" w:hAnsi="宋体"/>
          <w:sz w:val="21"/>
          <w:szCs w:val="21"/>
        </w:rPr>
      </w:pPr>
      <w:r>
        <w:rPr>
          <w:rFonts w:hint="eastAsia" w:ascii="宋体" w:hAnsi="宋体"/>
          <w:sz w:val="21"/>
          <w:szCs w:val="21"/>
        </w:rPr>
        <w:t>17.3采购代理机构在中标通知书发出后5个工作日内退还未中标人的投标保证金；在采购合同签定后5个工作日内退还中标人的投标保证金，但因投标人自身原因导致无法及时退还的除外。</w:t>
      </w:r>
    </w:p>
    <w:p>
      <w:pPr>
        <w:pStyle w:val="10"/>
        <w:adjustRightInd w:val="0"/>
        <w:snapToGrid w:val="0"/>
        <w:spacing w:line="360" w:lineRule="auto"/>
        <w:ind w:firstLine="420" w:firstLineChars="200"/>
        <w:rPr>
          <w:rFonts w:ascii="宋体" w:hAnsi="宋体"/>
          <w:kern w:val="0"/>
          <w:sz w:val="21"/>
          <w:szCs w:val="21"/>
        </w:rPr>
      </w:pPr>
      <w:r>
        <w:rPr>
          <w:rFonts w:hint="eastAsia" w:ascii="宋体" w:hAnsi="宋体"/>
          <w:sz w:val="21"/>
          <w:szCs w:val="21"/>
        </w:rPr>
        <w:t xml:space="preserve">17.4 </w:t>
      </w:r>
      <w:r>
        <w:rPr>
          <w:rFonts w:hint="eastAsia" w:ascii="宋体" w:hAnsi="宋体"/>
          <w:kern w:val="0"/>
          <w:sz w:val="21"/>
          <w:szCs w:val="21"/>
        </w:rPr>
        <w:t>有下列情形之一的，投标保证金不予退还：</w:t>
      </w:r>
    </w:p>
    <w:p>
      <w:pPr>
        <w:pStyle w:val="10"/>
        <w:adjustRightInd w:val="0"/>
        <w:snapToGrid w:val="0"/>
        <w:spacing w:line="360" w:lineRule="auto"/>
        <w:ind w:firstLine="840" w:firstLineChars="400"/>
        <w:rPr>
          <w:rFonts w:ascii="宋体" w:hAnsi="宋体" w:cs="宋体"/>
          <w:kern w:val="0"/>
          <w:sz w:val="21"/>
          <w:szCs w:val="21"/>
        </w:rPr>
      </w:pPr>
      <w:r>
        <w:rPr>
          <w:rFonts w:hint="eastAsia" w:ascii="宋体" w:hAnsi="宋体" w:cs="宋体"/>
          <w:kern w:val="0"/>
          <w:sz w:val="21"/>
          <w:szCs w:val="21"/>
        </w:rPr>
        <w:t xml:space="preserve">（1）中标后无正当理由不与采购人签订合同的； </w:t>
      </w:r>
    </w:p>
    <w:p>
      <w:pPr>
        <w:pStyle w:val="10"/>
        <w:adjustRightInd w:val="0"/>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 xml:space="preserve">　　（2）将中标项目转让给他人，或者在投标文件中未说明，且未经采购招标机构同意，将中标项目分包给他人的； </w:t>
      </w:r>
    </w:p>
    <w:p>
      <w:pPr>
        <w:pStyle w:val="10"/>
        <w:adjustRightInd w:val="0"/>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　　（3）拒绝履行合同义务的；</w:t>
      </w:r>
    </w:p>
    <w:p>
      <w:pPr>
        <w:pStyle w:val="10"/>
        <w:adjustRightInd w:val="0"/>
        <w:snapToGrid w:val="0"/>
        <w:spacing w:line="360" w:lineRule="auto"/>
        <w:ind w:firstLine="840" w:firstLineChars="400"/>
        <w:rPr>
          <w:rFonts w:ascii="宋体" w:hAnsi="宋体" w:cs="宋体"/>
          <w:kern w:val="0"/>
          <w:sz w:val="21"/>
          <w:szCs w:val="21"/>
        </w:rPr>
      </w:pPr>
      <w:r>
        <w:rPr>
          <w:rFonts w:hint="eastAsia" w:ascii="宋体" w:hAnsi="宋体" w:cs="宋体"/>
          <w:kern w:val="0"/>
          <w:sz w:val="21"/>
          <w:szCs w:val="21"/>
        </w:rPr>
        <w:t>（4）供应商在投标文件中提供虚假资料的。</w:t>
      </w:r>
    </w:p>
    <w:p>
      <w:pPr>
        <w:pStyle w:val="10"/>
        <w:adjustRightInd w:val="0"/>
        <w:snapToGrid w:val="0"/>
        <w:spacing w:line="360" w:lineRule="auto"/>
        <w:rPr>
          <w:rFonts w:ascii="宋体" w:hAnsi="宋体"/>
          <w:b/>
          <w:bCs/>
          <w:sz w:val="21"/>
          <w:szCs w:val="21"/>
        </w:rPr>
      </w:pPr>
      <w:r>
        <w:rPr>
          <w:rFonts w:hint="eastAsia" w:ascii="宋体" w:hAnsi="宋体"/>
          <w:b/>
          <w:bCs/>
          <w:sz w:val="21"/>
          <w:szCs w:val="21"/>
        </w:rPr>
        <w:t>18.</w:t>
      </w:r>
      <w:r>
        <w:rPr>
          <w:rFonts w:hint="eastAsia" w:ascii="宋体" w:hAnsi="宋体"/>
          <w:sz w:val="21"/>
          <w:szCs w:val="21"/>
        </w:rPr>
        <w:t xml:space="preserve"> </w:t>
      </w:r>
      <w:r>
        <w:rPr>
          <w:rFonts w:hint="eastAsia" w:ascii="宋体" w:hAnsi="宋体"/>
          <w:b/>
          <w:sz w:val="21"/>
          <w:szCs w:val="21"/>
        </w:rPr>
        <w:t>投标文件有效期</w:t>
      </w:r>
    </w:p>
    <w:p>
      <w:pPr>
        <w:adjustRightInd w:val="0"/>
        <w:snapToGrid w:val="0"/>
        <w:spacing w:line="360" w:lineRule="auto"/>
        <w:ind w:firstLine="420" w:firstLineChars="200"/>
        <w:jc w:val="left"/>
        <w:rPr>
          <w:rFonts w:ascii="宋体" w:hAnsi="宋体"/>
        </w:rPr>
      </w:pPr>
      <w:r>
        <w:rPr>
          <w:rFonts w:hint="eastAsia" w:ascii="宋体" w:hAnsi="宋体"/>
        </w:rPr>
        <w:t>18.1投标文件</w:t>
      </w:r>
      <w:r>
        <w:rPr>
          <w:rFonts w:hint="eastAsia" w:ascii="宋体" w:hAnsi="宋体"/>
          <w:szCs w:val="21"/>
        </w:rPr>
        <w:t>有效期见</w:t>
      </w:r>
      <w:r>
        <w:rPr>
          <w:rFonts w:hint="eastAsia" w:ascii="宋体" w:hAnsi="宋体"/>
          <w:b/>
        </w:rPr>
        <w:t>投标须知前附表</w:t>
      </w:r>
      <w:r>
        <w:rPr>
          <w:rFonts w:hint="eastAsia" w:ascii="宋体" w:hAnsi="宋体"/>
          <w:szCs w:val="21"/>
        </w:rPr>
        <w:t>，在此期间</w:t>
      </w:r>
      <w:r>
        <w:rPr>
          <w:rFonts w:hint="eastAsia" w:ascii="宋体" w:hAnsi="宋体"/>
        </w:rPr>
        <w:t>投标</w:t>
      </w:r>
      <w:r>
        <w:rPr>
          <w:rFonts w:hint="eastAsia" w:ascii="宋体" w:hAnsi="宋体"/>
          <w:szCs w:val="21"/>
        </w:rPr>
        <w:t>文件对投标人具有法律约束力，</w:t>
      </w:r>
      <w:r>
        <w:rPr>
          <w:rFonts w:hint="eastAsia" w:ascii="宋体" w:hAnsi="宋体" w:cs="Arial"/>
        </w:rPr>
        <w:t>从</w:t>
      </w:r>
      <w:r>
        <w:rPr>
          <w:rFonts w:hint="eastAsia" w:ascii="宋体" w:hAnsi="宋体"/>
        </w:rPr>
        <w:t>本章第11.1</w:t>
      </w:r>
      <w:r>
        <w:rPr>
          <w:rFonts w:hint="eastAsia" w:ascii="宋体" w:hAnsi="宋体" w:cs="宋体"/>
          <w:kern w:val="0"/>
          <w:szCs w:val="21"/>
          <w:lang w:val="zh-CN"/>
        </w:rPr>
        <w:t>款</w:t>
      </w:r>
      <w:r>
        <w:rPr>
          <w:rFonts w:hint="eastAsia" w:ascii="宋体" w:hAnsi="宋体"/>
        </w:rPr>
        <w:t>规定的</w:t>
      </w:r>
      <w:r>
        <w:rPr>
          <w:rFonts w:hint="eastAsia" w:ascii="宋体" w:hAnsi="宋体" w:cs="宋体"/>
          <w:kern w:val="0"/>
          <w:szCs w:val="21"/>
        </w:rPr>
        <w:t>提交投标文件截止时间</w:t>
      </w:r>
      <w:r>
        <w:rPr>
          <w:rFonts w:hint="eastAsia" w:ascii="宋体" w:hAnsi="宋体"/>
        </w:rPr>
        <w:t>之日</w:t>
      </w:r>
      <w:r>
        <w:rPr>
          <w:rFonts w:hint="eastAsia" w:ascii="宋体" w:hAnsi="宋体" w:cs="Arial"/>
        </w:rPr>
        <w:t>起计算。</w:t>
      </w:r>
      <w:r>
        <w:rPr>
          <w:rFonts w:hint="eastAsia" w:ascii="宋体" w:hAnsi="宋体"/>
        </w:rPr>
        <w:t>投标文件有效期不足的将被视为无效投标。</w:t>
      </w:r>
    </w:p>
    <w:p>
      <w:pPr>
        <w:adjustRightInd w:val="0"/>
        <w:snapToGrid w:val="0"/>
        <w:spacing w:line="360" w:lineRule="auto"/>
        <w:rPr>
          <w:rFonts w:ascii="宋体" w:hAnsi="宋体"/>
          <w:b/>
          <w:bCs/>
          <w:szCs w:val="21"/>
        </w:rPr>
      </w:pPr>
      <w:r>
        <w:rPr>
          <w:rFonts w:hint="eastAsia" w:ascii="宋体" w:hAnsi="宋体"/>
          <w:b/>
          <w:bCs/>
          <w:szCs w:val="21"/>
        </w:rPr>
        <w:t>19.投标文件的签署及规定</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19.1采用电子签章。</w:t>
      </w:r>
    </w:p>
    <w:p>
      <w:pPr>
        <w:adjustRightInd w:val="0"/>
        <w:snapToGrid w:val="0"/>
        <w:spacing w:line="360" w:lineRule="auto"/>
        <w:outlineLvl w:val="2"/>
        <w:rPr>
          <w:rFonts w:ascii="宋体" w:hAnsi="宋体"/>
          <w:b/>
          <w:sz w:val="24"/>
        </w:rPr>
      </w:pPr>
      <w:bookmarkStart w:id="30" w:name="_Toc474235947"/>
      <w:bookmarkStart w:id="31" w:name="_Toc420948012"/>
      <w:r>
        <w:rPr>
          <w:rFonts w:hint="eastAsia" w:ascii="宋体" w:hAnsi="宋体"/>
          <w:b/>
          <w:sz w:val="24"/>
        </w:rPr>
        <w:t>四、投标文件的递交</w:t>
      </w:r>
      <w:bookmarkEnd w:id="30"/>
      <w:bookmarkEnd w:id="31"/>
    </w:p>
    <w:p>
      <w:pPr>
        <w:adjustRightInd w:val="0"/>
        <w:snapToGrid w:val="0"/>
        <w:spacing w:line="360" w:lineRule="auto"/>
        <w:rPr>
          <w:rFonts w:ascii="宋体" w:hAnsi="宋体"/>
          <w:b/>
          <w:bCs/>
          <w:szCs w:val="21"/>
        </w:rPr>
      </w:pPr>
      <w:r>
        <w:rPr>
          <w:rFonts w:hint="eastAsia" w:ascii="宋体" w:hAnsi="宋体"/>
          <w:b/>
          <w:bCs/>
          <w:szCs w:val="21"/>
        </w:rPr>
        <w:t>20.</w:t>
      </w:r>
      <w:r>
        <w:rPr>
          <w:rFonts w:hint="eastAsia" w:ascii="宋体" w:hAnsi="宋体"/>
          <w:b/>
          <w:szCs w:val="21"/>
        </w:rPr>
        <w:t>投标文件</w:t>
      </w:r>
      <w:r>
        <w:rPr>
          <w:rFonts w:hint="eastAsia" w:ascii="宋体" w:hAnsi="宋体"/>
          <w:b/>
          <w:bCs/>
          <w:szCs w:val="21"/>
        </w:rPr>
        <w:t>的密封和标记</w:t>
      </w:r>
    </w:p>
    <w:p>
      <w:pPr>
        <w:adjustRightInd w:val="0"/>
        <w:snapToGrid w:val="0"/>
        <w:spacing w:line="360" w:lineRule="auto"/>
        <w:ind w:firstLine="420" w:firstLineChars="200"/>
        <w:jc w:val="left"/>
        <w:rPr>
          <w:rFonts w:ascii="宋体" w:hAnsi="宋体"/>
          <w:b/>
          <w:szCs w:val="21"/>
        </w:rPr>
      </w:pPr>
      <w:r>
        <w:rPr>
          <w:rFonts w:hint="eastAsia" w:ascii="宋体" w:hAnsi="宋体"/>
          <w:szCs w:val="21"/>
        </w:rPr>
        <w:t>20.1“电子加密投标文件”的递交：在线上传递交。供应商应在投标截止时间前将“电子加密投标文件”成功上传递交至“政府采购云平台”，否则投标无效。</w:t>
      </w:r>
    </w:p>
    <w:p>
      <w:pPr>
        <w:autoSpaceDE w:val="0"/>
        <w:autoSpaceDN w:val="0"/>
        <w:snapToGrid w:val="0"/>
        <w:spacing w:line="360" w:lineRule="auto"/>
        <w:ind w:firstLine="420" w:firstLineChars="200"/>
        <w:textAlignment w:val="bottom"/>
        <w:rPr>
          <w:rFonts w:ascii="宋体" w:hAnsi="宋体"/>
          <w:sz w:val="24"/>
        </w:rPr>
      </w:pPr>
      <w:r>
        <w:rPr>
          <w:rFonts w:hint="eastAsia" w:ascii="宋体" w:hAnsi="宋体"/>
          <w:szCs w:val="21"/>
        </w:rPr>
        <w:t>20.2“电子加密投标文件”成功上传递交后，供应商可自行打印投标文件接收回执。</w:t>
      </w:r>
    </w:p>
    <w:p>
      <w:pPr>
        <w:adjustRightInd w:val="0"/>
        <w:snapToGrid w:val="0"/>
        <w:spacing w:line="360" w:lineRule="auto"/>
        <w:ind w:firstLine="420" w:firstLineChars="200"/>
        <w:jc w:val="left"/>
        <w:rPr>
          <w:rFonts w:ascii="宋体" w:hAnsi="宋体"/>
          <w:szCs w:val="21"/>
        </w:rPr>
      </w:pPr>
      <w:r>
        <w:rPr>
          <w:rFonts w:hint="eastAsia" w:ascii="宋体" w:hAnsi="宋体"/>
          <w:szCs w:val="21"/>
        </w:rPr>
        <w:t>20.3投标文件如果未按上述规定解密、上传，</w:t>
      </w:r>
      <w:r>
        <w:rPr>
          <w:rFonts w:hint="eastAsia" w:ascii="宋体" w:hAnsi="宋体"/>
          <w:b/>
          <w:szCs w:val="21"/>
        </w:rPr>
        <w:t>采购人或采购代理机构将视为无效投标</w:t>
      </w:r>
      <w:r>
        <w:rPr>
          <w:rFonts w:hint="eastAsia" w:ascii="宋体" w:hAnsi="宋体"/>
          <w:szCs w:val="21"/>
        </w:rPr>
        <w:t>。</w:t>
      </w:r>
    </w:p>
    <w:p>
      <w:pPr>
        <w:adjustRightInd w:val="0"/>
        <w:snapToGrid w:val="0"/>
        <w:spacing w:line="360" w:lineRule="auto"/>
        <w:rPr>
          <w:rFonts w:ascii="宋体" w:hAnsi="宋体"/>
          <w:b/>
          <w:bCs/>
          <w:szCs w:val="21"/>
        </w:rPr>
      </w:pPr>
      <w:r>
        <w:rPr>
          <w:rFonts w:hint="eastAsia" w:ascii="宋体" w:hAnsi="宋体"/>
          <w:b/>
          <w:bCs/>
          <w:szCs w:val="21"/>
        </w:rPr>
        <w:t>21.投标文件的</w:t>
      </w:r>
      <w:r>
        <w:rPr>
          <w:rFonts w:hint="eastAsia" w:ascii="宋体" w:hAnsi="宋体" w:cs="宋体"/>
          <w:b/>
          <w:kern w:val="0"/>
          <w:szCs w:val="21"/>
          <w:lang w:val="zh-CN"/>
        </w:rPr>
        <w:t>补充、修改或者撤回</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21.1投标人</w:t>
      </w:r>
      <w:r>
        <w:rPr>
          <w:rFonts w:hint="eastAsia" w:ascii="宋体" w:hAnsi="宋体" w:cs="宋体"/>
          <w:kern w:val="0"/>
          <w:sz w:val="21"/>
          <w:szCs w:val="21"/>
        </w:rPr>
        <w:t>在</w:t>
      </w:r>
      <w:r>
        <w:rPr>
          <w:rFonts w:hint="eastAsia" w:ascii="宋体" w:hAnsi="宋体"/>
          <w:sz w:val="21"/>
          <w:szCs w:val="21"/>
        </w:rPr>
        <w:t>本章第11.1</w:t>
      </w:r>
      <w:r>
        <w:rPr>
          <w:rFonts w:hint="eastAsia" w:ascii="宋体" w:hAnsi="宋体" w:cs="宋体"/>
          <w:kern w:val="0"/>
          <w:sz w:val="21"/>
          <w:szCs w:val="21"/>
          <w:lang w:val="zh-CN"/>
        </w:rPr>
        <w:t>款</w:t>
      </w:r>
      <w:r>
        <w:rPr>
          <w:rFonts w:hint="eastAsia" w:ascii="宋体" w:hAnsi="宋体"/>
          <w:sz w:val="21"/>
          <w:szCs w:val="21"/>
        </w:rPr>
        <w:t>规定的</w:t>
      </w:r>
      <w:r>
        <w:rPr>
          <w:rFonts w:hint="eastAsia" w:ascii="宋体" w:hAnsi="宋体" w:cs="宋体"/>
          <w:kern w:val="0"/>
          <w:sz w:val="21"/>
          <w:szCs w:val="21"/>
        </w:rPr>
        <w:t>提交投标文件截止时间前，可以对所提交的投标文件进行补充、修改或者撤回，并书面通知采购人、采购代理机构。</w:t>
      </w:r>
      <w:r>
        <w:rPr>
          <w:rFonts w:hint="eastAsia" w:ascii="宋体" w:hAnsi="宋体"/>
          <w:sz w:val="21"/>
          <w:szCs w:val="21"/>
        </w:rPr>
        <w:t>该通知应有投标人法定代表人或其委托代理人签字。</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21.2</w:t>
      </w:r>
      <w:r>
        <w:rPr>
          <w:rFonts w:hint="eastAsia" w:ascii="宋体" w:hAnsi="宋体" w:cs="宋体"/>
          <w:kern w:val="0"/>
          <w:sz w:val="21"/>
          <w:szCs w:val="21"/>
          <w:lang w:val="zh-CN"/>
        </w:rPr>
        <w:t>补充、修改的内容与投标文件不一致时，以补充、修改的内容为准。</w:t>
      </w:r>
    </w:p>
    <w:p>
      <w:pPr>
        <w:adjustRightInd w:val="0"/>
        <w:snapToGrid w:val="0"/>
        <w:spacing w:line="360" w:lineRule="auto"/>
        <w:rPr>
          <w:rFonts w:ascii="宋体" w:hAnsi="宋体"/>
          <w:b/>
          <w:bCs/>
          <w:szCs w:val="21"/>
        </w:rPr>
      </w:pPr>
      <w:r>
        <w:rPr>
          <w:rFonts w:hint="eastAsia" w:ascii="宋体" w:hAnsi="宋体"/>
          <w:b/>
          <w:bCs/>
          <w:szCs w:val="21"/>
        </w:rPr>
        <w:t>22.投标文件的递交与接收</w:t>
      </w:r>
    </w:p>
    <w:p>
      <w:pPr>
        <w:adjustRightInd w:val="0"/>
        <w:snapToGrid w:val="0"/>
        <w:spacing w:line="360" w:lineRule="auto"/>
        <w:ind w:firstLine="420" w:firstLineChars="200"/>
        <w:rPr>
          <w:rFonts w:ascii="宋体" w:hAnsi="宋体"/>
          <w:szCs w:val="21"/>
        </w:rPr>
      </w:pPr>
      <w:r>
        <w:rPr>
          <w:rFonts w:hint="eastAsia" w:ascii="宋体" w:hAnsi="宋体"/>
          <w:szCs w:val="21"/>
        </w:rPr>
        <w:t>22.1 投标人应在</w:t>
      </w:r>
      <w:r>
        <w:rPr>
          <w:rFonts w:hint="eastAsia" w:ascii="宋体" w:hAnsi="宋体"/>
        </w:rPr>
        <w:t>本章第11.1</w:t>
      </w:r>
      <w:r>
        <w:rPr>
          <w:rFonts w:hint="eastAsia" w:ascii="宋体" w:hAnsi="宋体" w:cs="宋体"/>
          <w:kern w:val="0"/>
          <w:szCs w:val="21"/>
          <w:lang w:val="zh-CN"/>
        </w:rPr>
        <w:t>款</w:t>
      </w:r>
      <w:r>
        <w:rPr>
          <w:rFonts w:hint="eastAsia" w:ascii="宋体" w:hAnsi="宋体"/>
        </w:rPr>
        <w:t>规定的</w:t>
      </w:r>
      <w:r>
        <w:rPr>
          <w:rFonts w:hint="eastAsia" w:ascii="宋体" w:hAnsi="宋体" w:cs="宋体"/>
          <w:kern w:val="0"/>
          <w:szCs w:val="21"/>
        </w:rPr>
        <w:t>提交投标文件截止时间</w:t>
      </w:r>
      <w:r>
        <w:rPr>
          <w:rFonts w:hint="eastAsia" w:ascii="宋体" w:hAnsi="宋体"/>
          <w:szCs w:val="21"/>
        </w:rPr>
        <w:t>前，将投标文件送</w:t>
      </w:r>
      <w:r>
        <w:rPr>
          <w:rFonts w:hint="eastAsia" w:ascii="宋体" w:hAnsi="宋体" w:cs="Arial"/>
          <w:szCs w:val="21"/>
        </w:rPr>
        <w:t>达</w:t>
      </w:r>
      <w:r>
        <w:rPr>
          <w:rFonts w:hint="eastAsia" w:ascii="宋体" w:hAnsi="宋体"/>
          <w:b/>
          <w:szCs w:val="21"/>
        </w:rPr>
        <w:t>投标须知前附表</w:t>
      </w:r>
      <w:r>
        <w:rPr>
          <w:rFonts w:hint="eastAsia" w:ascii="宋体" w:hAnsi="宋体"/>
          <w:szCs w:val="21"/>
        </w:rPr>
        <w:t>中指定的地点（网址）。</w:t>
      </w:r>
      <w:r>
        <w:rPr>
          <w:rFonts w:hint="eastAsia" w:ascii="宋体" w:hAnsi="宋体" w:cs="宋体"/>
          <w:kern w:val="0"/>
        </w:rPr>
        <w:t>在截止时间后送达的投标文件，采购人、采购代理机构应当拒收。</w:t>
      </w:r>
    </w:p>
    <w:p>
      <w:pPr>
        <w:pStyle w:val="16"/>
        <w:adjustRightInd w:val="0"/>
        <w:snapToGrid w:val="0"/>
        <w:spacing w:before="156" w:beforeLines="50" w:beforeAutospacing="0" w:after="0" w:afterAutospacing="0" w:line="360" w:lineRule="auto"/>
        <w:outlineLvl w:val="2"/>
        <w:rPr>
          <w:b/>
          <w:sz w:val="21"/>
          <w:szCs w:val="21"/>
        </w:rPr>
      </w:pPr>
      <w:bookmarkStart w:id="32" w:name="_Toc474235948"/>
      <w:bookmarkStart w:id="33" w:name="_Toc420948013"/>
      <w:r>
        <w:rPr>
          <w:rFonts w:hint="eastAsia"/>
          <w:b/>
        </w:rPr>
        <w:t>五、</w:t>
      </w:r>
      <w:r>
        <w:rPr>
          <w:rFonts w:cs="Times New Roman"/>
          <w:b/>
          <w:kern w:val="2"/>
        </w:rPr>
        <w:t>开标和评标</w:t>
      </w:r>
      <w:bookmarkEnd w:id="32"/>
    </w:p>
    <w:p>
      <w:pPr>
        <w:pStyle w:val="10"/>
        <w:adjustRightInd w:val="0"/>
        <w:snapToGrid w:val="0"/>
        <w:spacing w:line="360" w:lineRule="auto"/>
        <w:rPr>
          <w:rFonts w:ascii="宋体" w:hAnsi="宋体"/>
          <w:sz w:val="21"/>
          <w:szCs w:val="21"/>
        </w:rPr>
      </w:pPr>
      <w:r>
        <w:rPr>
          <w:rFonts w:hint="eastAsia" w:ascii="宋体" w:hAnsi="宋体"/>
          <w:b/>
          <w:bCs/>
          <w:sz w:val="21"/>
          <w:szCs w:val="21"/>
        </w:rPr>
        <w:t>23.开标</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23.1 采购组织机构将按照招标文件规定的时间通过“政府采购云平台”组织开标，所有供应商均应当准时在线参加。供应商自行承担因不参加在线开标而产生的不利后果。</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23.2 向各投标供应商发出电子加密投标文件【开始解密】通知，各投标供应商代表应当在接到解密通知后</w:t>
      </w:r>
      <w:r>
        <w:rPr>
          <w:rFonts w:hint="eastAsia" w:ascii="黑体" w:hAnsi="黑体" w:eastAsia="黑体" w:cs="黑体"/>
          <w:b/>
          <w:bCs/>
          <w:sz w:val="28"/>
          <w:szCs w:val="28"/>
          <w:highlight w:val="none"/>
        </w:rPr>
        <w:t>30分钟内</w:t>
      </w:r>
      <w:r>
        <w:rPr>
          <w:rFonts w:hint="eastAsia" w:ascii="宋体" w:hAnsi="宋体"/>
          <w:szCs w:val="21"/>
          <w:highlight w:val="none"/>
        </w:rPr>
        <w:t>自行完成“电子加密投标文件”的在线解密，如未按时解密则视为无效投标。</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23.3 开启《开标记录表》，公布投标供应商报价，各投标供应商代表应当在</w:t>
      </w:r>
      <w:r>
        <w:rPr>
          <w:rFonts w:hint="eastAsia" w:ascii="黑体" w:hAnsi="黑体" w:eastAsia="黑体" w:cs="黑体"/>
          <w:b/>
          <w:bCs/>
          <w:sz w:val="28"/>
          <w:szCs w:val="28"/>
          <w:highlight w:val="none"/>
        </w:rPr>
        <w:t>20分钟内</w:t>
      </w:r>
      <w:r>
        <w:rPr>
          <w:rFonts w:hint="eastAsia" w:ascii="宋体" w:hAnsi="宋体"/>
          <w:szCs w:val="21"/>
          <w:highlight w:val="none"/>
        </w:rPr>
        <w:t>CA签字确认。</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23.4 开启资格证明文件，由采购人在监督下进行资格审查；评审小组对通过资格审查的投标供应商进行符合性审查。</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23.5 通过电子交易平台公布无效供应商名单及导致无效的原因。</w:t>
      </w:r>
    </w:p>
    <w:p>
      <w:pPr>
        <w:autoSpaceDE w:val="0"/>
        <w:autoSpaceDN w:val="0"/>
        <w:adjustRightInd w:val="0"/>
        <w:spacing w:line="360" w:lineRule="auto"/>
        <w:ind w:firstLine="420" w:firstLineChars="200"/>
        <w:jc w:val="left"/>
        <w:rPr>
          <w:rFonts w:ascii="宋体" w:hAnsi="宋体"/>
          <w:sz w:val="24"/>
          <w:highlight w:val="none"/>
        </w:rPr>
      </w:pPr>
      <w:r>
        <w:rPr>
          <w:rFonts w:hint="eastAsia" w:ascii="宋体" w:hAnsi="宋体"/>
          <w:szCs w:val="21"/>
          <w:highlight w:val="none"/>
        </w:rPr>
        <w:t>23.6 开启在线评标，评审小组进行商务、技术评分并汇总商务技术评分及结果。</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23.7 开启报价文件，核实政策价格认定资料，扣除优惠报价，汇总报价得分。</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23.7 汇总商务、技术评分及报价得分，得出有效投标（响应）供应商评分排名。</w:t>
      </w:r>
    </w:p>
    <w:p>
      <w:pPr>
        <w:pStyle w:val="9"/>
        <w:rPr>
          <w:rFonts w:ascii="宋体" w:hAnsi="宋体"/>
          <w:i w:val="0"/>
          <w:iCs w:val="0"/>
          <w:color w:val="FF0000"/>
          <w:sz w:val="21"/>
          <w:szCs w:val="21"/>
          <w:highlight w:val="none"/>
        </w:rPr>
      </w:pPr>
      <w:r>
        <w:rPr>
          <w:rFonts w:hint="eastAsia" w:ascii="宋体" w:hAnsi="宋体"/>
          <w:i w:val="0"/>
          <w:iCs w:val="0"/>
          <w:sz w:val="21"/>
          <w:szCs w:val="21"/>
          <w:highlight w:val="none"/>
        </w:rPr>
        <w:t>23.8 推荐2个中标候选供应商名</w:t>
      </w:r>
      <w:r>
        <w:rPr>
          <w:rFonts w:hint="eastAsia" w:ascii="宋体" w:hAnsi="宋体"/>
          <w:i w:val="0"/>
          <w:iCs w:val="0"/>
          <w:color w:val="auto"/>
          <w:sz w:val="21"/>
          <w:szCs w:val="21"/>
          <w:highlight w:val="none"/>
        </w:rPr>
        <w:t>单，采购人在5个工作日内确认中标供应商，公示结果。</w:t>
      </w:r>
    </w:p>
    <w:p>
      <w:pPr>
        <w:tabs>
          <w:tab w:val="left" w:pos="0"/>
        </w:tabs>
        <w:adjustRightInd w:val="0"/>
        <w:snapToGrid w:val="0"/>
        <w:spacing w:line="360" w:lineRule="auto"/>
        <w:rPr>
          <w:rFonts w:ascii="宋体" w:hAnsi="宋体"/>
          <w:b/>
          <w:bCs/>
          <w:szCs w:val="21"/>
        </w:rPr>
      </w:pPr>
      <w:r>
        <w:rPr>
          <w:rFonts w:hint="eastAsia" w:ascii="宋体" w:hAnsi="宋体"/>
          <w:b/>
          <w:bCs/>
          <w:szCs w:val="21"/>
        </w:rPr>
        <w:t>24.评标委员会</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24.1评标委员会由采购人代表和评审专家组成，成员人数应当为5人以上单数，其中评审专家不得少于成员总数的三分之二。</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　　采购项目符合下列情形之一的，评标委员会成员人数应当为7人以上单数：</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　　（一）采购预算金额在1000万元以上；</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　　（二）技术复杂；</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　　（三）社会影响较大。</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　　评审专家对本单位的采购项目只能作为采购人代表参与评标</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24.2评标委员会成员与投标人存在利害关系的，应当回避。</w:t>
      </w:r>
    </w:p>
    <w:p>
      <w:pPr>
        <w:pStyle w:val="10"/>
        <w:adjustRightInd w:val="0"/>
        <w:snapToGrid w:val="0"/>
        <w:spacing w:line="360" w:lineRule="auto"/>
        <w:rPr>
          <w:rFonts w:ascii="宋体" w:hAnsi="宋体"/>
          <w:b/>
          <w:sz w:val="21"/>
          <w:szCs w:val="21"/>
        </w:rPr>
      </w:pPr>
      <w:r>
        <w:rPr>
          <w:rFonts w:hint="eastAsia" w:ascii="宋体" w:hAnsi="宋体" w:cs="宋体"/>
          <w:b/>
          <w:kern w:val="0"/>
          <w:sz w:val="21"/>
          <w:szCs w:val="21"/>
        </w:rPr>
        <w:t>25</w:t>
      </w:r>
      <w:r>
        <w:rPr>
          <w:rFonts w:hint="eastAsia" w:ascii="宋体" w:hAnsi="宋体"/>
          <w:b/>
          <w:sz w:val="21"/>
          <w:szCs w:val="21"/>
        </w:rPr>
        <w:t>.评标</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25.1 评标委员会按照第三章“评标方法及标准” 规定的评标方法、评审因素、标准和程序以及有关法律、法规及规章对投标文件进行评审。</w:t>
      </w:r>
      <w:bookmarkEnd w:id="33"/>
    </w:p>
    <w:p>
      <w:pPr>
        <w:pStyle w:val="10"/>
        <w:adjustRightInd w:val="0"/>
        <w:snapToGrid w:val="0"/>
        <w:spacing w:line="360" w:lineRule="auto"/>
        <w:rPr>
          <w:rFonts w:ascii="宋体" w:hAnsi="宋体"/>
          <w:b/>
          <w:sz w:val="21"/>
          <w:szCs w:val="21"/>
        </w:rPr>
      </w:pPr>
      <w:r>
        <w:rPr>
          <w:rFonts w:hint="eastAsia" w:ascii="宋体" w:hAnsi="宋体"/>
          <w:b/>
          <w:sz w:val="21"/>
          <w:szCs w:val="21"/>
        </w:rPr>
        <w:t>26.确定中标人</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26.1采购人不保证将合同授予最低投标报价的投标人。</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26.2采购代理机构应当在评审结束后2个工作日内将评标报告送采购人确认。</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26.3采购人应当在收到评标报告后5个工作日内，从评标报告提出中标候选人中，根据质量和服务均能满足招标文件实质性要求，评标总得分最高的原则确定中标人（中标候选人并列的，由采购人或者采购人委托评标委员会按照招标文件规定的方式确定中标人；招标文件未规定的，采取随机抽取的方式确定），也可以书面授权评标委员会直接确定中标人。采购人在收到评标报告5个工作日内未按评标报告推荐的中标候选人顺序确定中标人，又不能说明合法理由的，视同按评标报告推荐的顺序确定排名第一的中标候选人为中标人。</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26.4由采购人确定中标人的，在确定中标人前，采购人将通过“信用中国”网站(www.creditchina.gov.cn)、中国政府采购网(www.ccgp.gov.cn)查询中标候选人的信用记录，采购人将确定未被列入失信被执行人、重大税收违法案件当事人名单、政府采购严重违法失信行为记录名单的，排名第一的中标候选人为中标人。</w:t>
      </w:r>
    </w:p>
    <w:p>
      <w:pPr>
        <w:pStyle w:val="10"/>
        <w:adjustRightInd w:val="0"/>
        <w:snapToGrid w:val="0"/>
        <w:spacing w:line="360" w:lineRule="auto"/>
        <w:rPr>
          <w:rFonts w:ascii="宋体" w:hAnsi="宋体"/>
          <w:b/>
          <w:sz w:val="21"/>
          <w:szCs w:val="21"/>
        </w:rPr>
      </w:pPr>
      <w:r>
        <w:rPr>
          <w:rFonts w:hint="eastAsia" w:ascii="宋体" w:hAnsi="宋体"/>
          <w:b/>
          <w:sz w:val="21"/>
          <w:szCs w:val="21"/>
        </w:rPr>
        <w:t>27.招标终止</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27.1采购人、采购代理机构在发出招标公告后，除因重大变故采购任务取消情况外，不得擅自终止招标活动。终止招标的，应当及时在原公告发布媒体上发布终止公告，并将项目实施情况和采购任务取消原因报告本级财政部门。</w:t>
      </w:r>
    </w:p>
    <w:p>
      <w:pPr>
        <w:pStyle w:val="10"/>
        <w:adjustRightInd w:val="0"/>
        <w:snapToGrid w:val="0"/>
        <w:spacing w:line="360" w:lineRule="auto"/>
        <w:ind w:firstLine="420" w:firstLineChars="200"/>
        <w:rPr>
          <w:rFonts w:ascii="宋体" w:hAnsi="宋体"/>
          <w:bCs/>
          <w:sz w:val="21"/>
          <w:szCs w:val="21"/>
        </w:rPr>
      </w:pPr>
      <w:r>
        <w:rPr>
          <w:rFonts w:hint="eastAsia" w:ascii="宋体" w:hAnsi="宋体"/>
          <w:sz w:val="21"/>
          <w:szCs w:val="21"/>
        </w:rPr>
        <w:t xml:space="preserve">27.2 </w:t>
      </w:r>
      <w:r>
        <w:rPr>
          <w:rFonts w:hint="eastAsia" w:ascii="宋体" w:hAnsi="宋体"/>
          <w:bCs/>
          <w:sz w:val="21"/>
          <w:szCs w:val="21"/>
        </w:rPr>
        <w:t>采购过程中出现以下情形，导致电子交易平台无法正常运行，或者无法保证电子交易的公平、公正和安全时，采购人（或代理机构）可中止电子交易活动：</w:t>
      </w:r>
    </w:p>
    <w:p>
      <w:pPr>
        <w:pStyle w:val="10"/>
        <w:adjustRightInd w:val="0"/>
        <w:snapToGrid w:val="0"/>
        <w:spacing w:line="360" w:lineRule="auto"/>
        <w:ind w:firstLine="420" w:firstLineChars="200"/>
        <w:rPr>
          <w:rFonts w:ascii="宋体" w:hAnsi="宋体"/>
          <w:bCs/>
          <w:sz w:val="21"/>
          <w:szCs w:val="21"/>
        </w:rPr>
      </w:pPr>
      <w:r>
        <w:rPr>
          <w:rFonts w:hint="eastAsia" w:ascii="宋体" w:hAnsi="宋体"/>
          <w:bCs/>
          <w:sz w:val="21"/>
          <w:szCs w:val="21"/>
        </w:rPr>
        <w:t xml:space="preserve">（1）电子交易平台发生故障而无法登录访问的； </w:t>
      </w:r>
    </w:p>
    <w:p>
      <w:pPr>
        <w:pStyle w:val="10"/>
        <w:adjustRightInd w:val="0"/>
        <w:snapToGrid w:val="0"/>
        <w:spacing w:line="360" w:lineRule="auto"/>
        <w:ind w:firstLine="420" w:firstLineChars="200"/>
        <w:rPr>
          <w:rFonts w:ascii="宋体" w:hAnsi="宋体"/>
          <w:bCs/>
          <w:sz w:val="21"/>
          <w:szCs w:val="21"/>
        </w:rPr>
      </w:pPr>
      <w:r>
        <w:rPr>
          <w:rFonts w:hint="eastAsia" w:ascii="宋体" w:hAnsi="宋体"/>
          <w:bCs/>
          <w:sz w:val="21"/>
          <w:szCs w:val="21"/>
        </w:rPr>
        <w:t>（2）电子交易平台应用或数据库出现错误，不能进行正常操作的；</w:t>
      </w:r>
    </w:p>
    <w:p>
      <w:pPr>
        <w:pStyle w:val="10"/>
        <w:adjustRightInd w:val="0"/>
        <w:snapToGrid w:val="0"/>
        <w:spacing w:line="360" w:lineRule="auto"/>
        <w:ind w:firstLine="420" w:firstLineChars="200"/>
        <w:rPr>
          <w:rFonts w:ascii="宋体" w:hAnsi="宋体"/>
          <w:bCs/>
          <w:sz w:val="21"/>
          <w:szCs w:val="21"/>
        </w:rPr>
      </w:pPr>
      <w:r>
        <w:rPr>
          <w:rFonts w:hint="eastAsia" w:ascii="宋体" w:hAnsi="宋体"/>
          <w:bCs/>
          <w:sz w:val="21"/>
          <w:szCs w:val="21"/>
        </w:rPr>
        <w:t>（3）电子交易平台发现严重安全漏洞，有潜在泄密危险的；</w:t>
      </w:r>
    </w:p>
    <w:p>
      <w:pPr>
        <w:pStyle w:val="10"/>
        <w:adjustRightInd w:val="0"/>
        <w:snapToGrid w:val="0"/>
        <w:spacing w:line="360" w:lineRule="auto"/>
        <w:ind w:firstLine="420" w:firstLineChars="200"/>
        <w:rPr>
          <w:rFonts w:ascii="宋体" w:hAnsi="宋体"/>
          <w:bCs/>
          <w:sz w:val="21"/>
          <w:szCs w:val="21"/>
        </w:rPr>
      </w:pPr>
      <w:r>
        <w:rPr>
          <w:rFonts w:hint="eastAsia" w:ascii="宋体" w:hAnsi="宋体"/>
          <w:bCs/>
          <w:sz w:val="21"/>
          <w:szCs w:val="21"/>
        </w:rPr>
        <w:t>（4）病毒发作导致不能进行正常操作的；</w:t>
      </w:r>
    </w:p>
    <w:p>
      <w:pPr>
        <w:pStyle w:val="10"/>
        <w:adjustRightInd w:val="0"/>
        <w:snapToGrid w:val="0"/>
        <w:spacing w:line="360" w:lineRule="auto"/>
        <w:ind w:firstLine="420" w:firstLineChars="200"/>
        <w:rPr>
          <w:rFonts w:ascii="宋体" w:hAnsi="宋体"/>
          <w:bCs/>
          <w:sz w:val="21"/>
          <w:szCs w:val="21"/>
        </w:rPr>
      </w:pPr>
      <w:r>
        <w:rPr>
          <w:rFonts w:hint="eastAsia" w:ascii="宋体" w:hAnsi="宋体"/>
          <w:bCs/>
          <w:sz w:val="21"/>
          <w:szCs w:val="21"/>
        </w:rPr>
        <w:t>（5）其他无法保证电子交易的公平、公正和安全的情况。</w:t>
      </w:r>
    </w:p>
    <w:p>
      <w:pPr>
        <w:pStyle w:val="10"/>
        <w:adjustRightInd w:val="0"/>
        <w:snapToGrid w:val="0"/>
        <w:spacing w:line="360" w:lineRule="auto"/>
        <w:ind w:firstLine="420" w:firstLineChars="200"/>
        <w:rPr>
          <w:rFonts w:ascii="宋体" w:hAnsi="宋体"/>
          <w:bCs/>
          <w:sz w:val="21"/>
          <w:szCs w:val="21"/>
        </w:rPr>
      </w:pPr>
      <w:r>
        <w:rPr>
          <w:rFonts w:hint="eastAsia" w:ascii="宋体" w:hAnsi="宋体"/>
          <w:bCs/>
          <w:sz w:val="21"/>
          <w:szCs w:val="21"/>
        </w:rPr>
        <w:t>出现上述规定情形，不影响采购公平、公正性的，采购人（或代理机构）可以待上述情形消除后继续组织电子交易活动，也可以决定某些环节以纸质形式进行。</w:t>
      </w:r>
    </w:p>
    <w:p>
      <w:pPr>
        <w:pStyle w:val="10"/>
        <w:adjustRightInd w:val="0"/>
        <w:snapToGrid w:val="0"/>
        <w:spacing w:line="360" w:lineRule="auto"/>
        <w:rPr>
          <w:rFonts w:ascii="宋体" w:hAnsi="宋体"/>
          <w:b/>
          <w:sz w:val="21"/>
          <w:szCs w:val="21"/>
        </w:rPr>
      </w:pPr>
      <w:r>
        <w:rPr>
          <w:rFonts w:hint="eastAsia" w:ascii="宋体" w:hAnsi="宋体"/>
          <w:b/>
          <w:sz w:val="21"/>
          <w:szCs w:val="21"/>
        </w:rPr>
        <w:t>28．重新评审</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28.1除资格性审查认定错误和价格计算错误外，采购人或者采购代理机构不能以任何理由组织重新评审。采购人、采购代理机构发现评标委员会未按照招标文件规定的评标标准进行评审的，应当重新开展采购活动，并同时书面报告本级财政部门。</w:t>
      </w:r>
    </w:p>
    <w:p>
      <w:pPr>
        <w:pStyle w:val="10"/>
        <w:adjustRightInd w:val="0"/>
        <w:snapToGrid w:val="0"/>
        <w:spacing w:line="360" w:lineRule="auto"/>
        <w:rPr>
          <w:rFonts w:ascii="宋体" w:hAnsi="宋体"/>
          <w:b/>
          <w:sz w:val="21"/>
          <w:szCs w:val="21"/>
        </w:rPr>
      </w:pPr>
      <w:r>
        <w:rPr>
          <w:rFonts w:hint="eastAsia" w:ascii="宋体" w:hAnsi="宋体"/>
          <w:b/>
          <w:sz w:val="21"/>
          <w:szCs w:val="21"/>
        </w:rPr>
        <w:t>29.纪律与保密事项</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29.1评标委员会成员以及与评标工作有关的人员不得泄露评审情况以及评标过程中获悉的国家秘密、商业秘密。</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29.2投标人不得与采购人、采购代理机构、其他投标人恶意串通；不得向采购人、采购代理机构或者评标委员会成员行贿或者提供其他不正当利益；不得提供虚假材料谋取中标；不得以任何方式干扰、影响采购工作。</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29.3</w:t>
      </w:r>
      <w:r>
        <w:rPr>
          <w:rFonts w:ascii="宋体" w:hAnsi="宋体"/>
          <w:sz w:val="21"/>
          <w:szCs w:val="21"/>
        </w:rPr>
        <w:t>有下列情形之一的，属于恶意串通，中标无效，并依照《政府采购法》第七十七条的规定追究法律责任：</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（1）投标人直接或者间接从采购人、采购代理机构获得其他投标人的投标情况，并修改其投标文件的；</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（2）采购人、采购代理机构授意投标人撤换、修改投标文件的；</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（3）投标人之间协商技术方案、合同条款以及报价等投标文件实质性内容的；</w:t>
      </w:r>
    </w:p>
    <w:p>
      <w:pPr>
        <w:pStyle w:val="10"/>
        <w:adjustRightInd w:val="0"/>
        <w:snapToGrid w:val="0"/>
        <w:spacing w:line="360" w:lineRule="auto"/>
        <w:ind w:firstLine="420" w:firstLineChars="200"/>
        <w:rPr>
          <w:rFonts w:ascii="宋体" w:hAnsi="宋体"/>
          <w:spacing w:val="-4"/>
          <w:sz w:val="21"/>
          <w:szCs w:val="21"/>
        </w:rPr>
      </w:pPr>
      <w:r>
        <w:rPr>
          <w:rFonts w:hint="eastAsia" w:ascii="宋体" w:hAnsi="宋体"/>
          <w:sz w:val="21"/>
          <w:szCs w:val="21"/>
        </w:rPr>
        <w:t>（4）</w:t>
      </w:r>
      <w:r>
        <w:rPr>
          <w:rFonts w:hint="eastAsia" w:ascii="宋体" w:hAnsi="宋体"/>
          <w:spacing w:val="-4"/>
          <w:sz w:val="21"/>
          <w:szCs w:val="21"/>
        </w:rPr>
        <w:t>属于同一集团、协会、商会等组织成员的投标人按照该组织要求协同参加政府采购活动的；</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（5）投标人之间事先约定由某一特定投标人中标的；</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（6）投标人之间商定部分投标人放弃提交投标文件或者退出招标或者放弃中标的；</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（7）投标人与采购人、采购代理机构以及评标委员会成员之间、投标人相互之间，为谋求特定投标人中标或者排斥其他投标人的其他串通行为的。</w:t>
      </w:r>
    </w:p>
    <w:p>
      <w:pPr>
        <w:pStyle w:val="10"/>
        <w:adjustRightInd w:val="0"/>
        <w:snapToGrid w:val="0"/>
        <w:spacing w:line="360" w:lineRule="auto"/>
        <w:ind w:firstLine="420" w:firstLineChars="200"/>
        <w:rPr>
          <w:rFonts w:ascii="宋体" w:hAnsi="宋体"/>
          <w:sz w:val="21"/>
          <w:szCs w:val="21"/>
        </w:rPr>
      </w:pPr>
      <w:r>
        <w:rPr>
          <w:rFonts w:ascii="宋体" w:hAnsi="宋体"/>
          <w:sz w:val="21"/>
          <w:szCs w:val="21"/>
        </w:rPr>
        <w:t>（</w:t>
      </w:r>
      <w:r>
        <w:rPr>
          <w:rFonts w:hint="eastAsia" w:ascii="宋体" w:hAnsi="宋体"/>
          <w:sz w:val="21"/>
          <w:szCs w:val="21"/>
        </w:rPr>
        <w:t>8</w:t>
      </w:r>
      <w:r>
        <w:rPr>
          <w:rFonts w:ascii="宋体" w:hAnsi="宋体"/>
          <w:sz w:val="21"/>
          <w:szCs w:val="21"/>
        </w:rPr>
        <w:t>）法律、行政法规或规章规定的其他串通行为。</w:t>
      </w:r>
    </w:p>
    <w:p>
      <w:pPr>
        <w:pStyle w:val="10"/>
        <w:adjustRightInd w:val="0"/>
        <w:snapToGrid w:val="0"/>
        <w:spacing w:line="360" w:lineRule="auto"/>
        <w:rPr>
          <w:rFonts w:ascii="宋体" w:hAnsi="宋体"/>
          <w:b/>
          <w:sz w:val="21"/>
          <w:szCs w:val="21"/>
        </w:rPr>
      </w:pPr>
      <w:bookmarkStart w:id="34" w:name="_Toc420948014"/>
      <w:r>
        <w:rPr>
          <w:rFonts w:hint="eastAsia" w:ascii="宋体" w:hAnsi="宋体"/>
          <w:b/>
          <w:sz w:val="21"/>
          <w:szCs w:val="21"/>
        </w:rPr>
        <w:t>六、中标结果信息公布与授予合同</w:t>
      </w:r>
      <w:bookmarkEnd w:id="34"/>
    </w:p>
    <w:p>
      <w:pPr>
        <w:pStyle w:val="10"/>
        <w:adjustRightInd w:val="0"/>
        <w:snapToGrid w:val="0"/>
        <w:spacing w:line="360" w:lineRule="auto"/>
        <w:rPr>
          <w:rFonts w:ascii="宋体" w:hAnsi="宋体"/>
          <w:b/>
          <w:sz w:val="21"/>
          <w:szCs w:val="21"/>
        </w:rPr>
      </w:pPr>
      <w:r>
        <w:rPr>
          <w:rFonts w:hint="eastAsia" w:ascii="宋体" w:hAnsi="宋体"/>
          <w:b/>
          <w:sz w:val="21"/>
          <w:szCs w:val="21"/>
        </w:rPr>
        <w:t>30.中标信息的公布</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30.1中标人确定后2个工作日内，采购人或者采购代理机构应将中标结果信息在投标须知前附表指定的媒体上（新疆政府采购网www.ccgp-xinjiang.gov.cn）公布。</w:t>
      </w:r>
    </w:p>
    <w:p>
      <w:pPr>
        <w:pStyle w:val="10"/>
        <w:adjustRightInd w:val="0"/>
        <w:snapToGrid w:val="0"/>
        <w:spacing w:line="360" w:lineRule="auto"/>
        <w:rPr>
          <w:rFonts w:ascii="宋体" w:hAnsi="宋体"/>
          <w:b/>
          <w:sz w:val="21"/>
          <w:szCs w:val="21"/>
        </w:rPr>
      </w:pPr>
      <w:r>
        <w:rPr>
          <w:rFonts w:hint="eastAsia" w:ascii="宋体" w:hAnsi="宋体"/>
          <w:b/>
          <w:sz w:val="21"/>
          <w:szCs w:val="21"/>
        </w:rPr>
        <w:t>31.询问及质疑</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31.1投标人对政府采购活动事项有疑问的，可以向采购人或采购代理机构提出询问。采购人或采购代理机构将在三个工作日内作出答复。</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31.2投标人若认为招标文件、招标过程和中标结果使自己的权益受到损害，应当在下列时间内以书面形式向采购人或采购代理机构提出：</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（1）关于采购过程的质疑，应在采购程序环节结束之日起七个工作日内提出。</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（2）关于中标结果的质疑，应在中标结果信息发布后七个工作日内提出。</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31.3 投标人提出质疑的，应提供质疑书原件。采购人或采购代理机构应当向质疑投标人签收回执。</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31.4 质疑书应当包括下列内容：</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（1）质疑投标人的名称、地址及有效联系方式；</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（2）质疑事项；</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（3）事实依据及相关证明材料；</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（4）相关请求及主张。</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31.5 质疑书应当由投标人法定代表人或其授权的代理人签字并加盖投标人单位章，质疑书由授权的代理人签字的应附投标人法定代表人委托授权书。</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31.6 采购人或采购代理机构将在签收回执之日起七个工作日内作出书面答复，并以书面形式通知质疑投标人和其他有关的投标人。</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31.7投标人对采购人或采购代理机构的答复不满意，或采购人或采购代理机构未在规定的期限作出答复的，可在答复期满后十五个工作日内，按政府采购相关法律法规规章的规定及程序，向同级财政部门提出投诉。</w:t>
      </w:r>
    </w:p>
    <w:p>
      <w:pPr>
        <w:pStyle w:val="10"/>
        <w:adjustRightInd w:val="0"/>
        <w:snapToGrid w:val="0"/>
        <w:spacing w:line="360" w:lineRule="auto"/>
        <w:rPr>
          <w:rFonts w:ascii="宋体" w:hAnsi="宋体"/>
          <w:b/>
          <w:sz w:val="21"/>
          <w:szCs w:val="21"/>
        </w:rPr>
      </w:pPr>
      <w:r>
        <w:rPr>
          <w:rFonts w:hint="eastAsia" w:ascii="宋体" w:hAnsi="宋体"/>
          <w:b/>
          <w:sz w:val="21"/>
          <w:szCs w:val="21"/>
        </w:rPr>
        <w:t>32.中标通知</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32.1中标人确定后，采购人或采购代理机构将以书面形式向中标人发出中标通知书。中标通知书对采购人和中标人具有同等法律效力。</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32.2 中标通知书是合同文件的组成部分。</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32.3 中标人在收到采购代理机构的中标通知书后10日内，应按照投标须知前附表的规定，向采购人提交履约保证金。</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32.4 中标人没有按照规定提交履约保证金的，视为放弃中标资格，其投标保证金不予退还。</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32.5</w:t>
      </w:r>
      <w:r>
        <w:rPr>
          <w:rFonts w:hint="eastAsia" w:ascii="宋体" w:hAnsi="宋体"/>
          <w:bCs/>
          <w:sz w:val="21"/>
          <w:szCs w:val="21"/>
        </w:rPr>
        <w:t>如中标人未按照招标文件要求交付使用期的时间内交货，将按照每日缴纳中标金额2%的违约金，从首次付款中扣除。</w:t>
      </w:r>
    </w:p>
    <w:p>
      <w:pPr>
        <w:pStyle w:val="10"/>
        <w:adjustRightInd w:val="0"/>
        <w:snapToGrid w:val="0"/>
        <w:spacing w:line="360" w:lineRule="auto"/>
        <w:rPr>
          <w:rFonts w:ascii="宋体" w:hAnsi="宋体"/>
          <w:b/>
          <w:sz w:val="21"/>
          <w:szCs w:val="21"/>
        </w:rPr>
      </w:pPr>
      <w:r>
        <w:rPr>
          <w:rFonts w:hint="eastAsia" w:ascii="宋体" w:hAnsi="宋体"/>
          <w:b/>
          <w:sz w:val="21"/>
          <w:szCs w:val="21"/>
        </w:rPr>
        <w:t>33.签订合同</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33.1 招标文件、中标人的投标文件及其补充的投标文件等均为签订政府采购合同的依据。</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33.2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33.3 中标人应当按照合同约定履行义务。中标人不得向他人转让中标项目，也不得将中标项目分包后分别向他人转让。</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33.4 中标人有下列情形之一的，责令限期改正，情节严重的，列入不良行为记录名单，在1至3年内禁止参加政府采购活动，并予以通报：</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（一）中标后无正当理由不与采购人签订合同的；</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（二）未按照招标文件确定的事项签订政府采购合同，或者与采购人另行订立背离合同实质性内容的协议的；</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（三）拒绝履行合同义务的；</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（四）违反法律、规章、规范性文件规定的。</w:t>
      </w:r>
    </w:p>
    <w:p>
      <w:pPr>
        <w:pStyle w:val="10"/>
        <w:adjustRightInd w:val="0"/>
        <w:snapToGrid w:val="0"/>
        <w:spacing w:line="360" w:lineRule="auto"/>
        <w:ind w:firstLine="420" w:firstLineChars="200"/>
        <w:rPr>
          <w:rFonts w:ascii="宋体" w:hAnsi="宋体"/>
          <w:sz w:val="21"/>
          <w:szCs w:val="21"/>
        </w:rPr>
      </w:pPr>
      <w:r>
        <w:rPr>
          <w:rFonts w:hint="eastAsia" w:ascii="宋体" w:hAnsi="宋体"/>
          <w:sz w:val="21"/>
          <w:szCs w:val="21"/>
        </w:rPr>
        <w:t>33.5采购人应当自政府采购合同签订之日起2个工作日内，将政府采购合同在省级以上人民政府财政部门指定的媒体上公告，但政府采购合同中涉及国家秘密、商业秘密的内容除外。</w:t>
      </w:r>
    </w:p>
    <w:p>
      <w:pPr>
        <w:pStyle w:val="10"/>
        <w:adjustRightInd w:val="0"/>
        <w:snapToGrid w:val="0"/>
        <w:spacing w:line="360" w:lineRule="auto"/>
        <w:rPr>
          <w:rFonts w:ascii="宋体" w:hAnsi="宋体"/>
          <w:b/>
          <w:sz w:val="21"/>
          <w:szCs w:val="21"/>
        </w:rPr>
      </w:pPr>
      <w:r>
        <w:rPr>
          <w:rFonts w:hint="eastAsia" w:ascii="宋体" w:hAnsi="宋体"/>
          <w:b/>
          <w:sz w:val="21"/>
          <w:szCs w:val="21"/>
        </w:rPr>
        <w:t>34. 政府采购合同履行中数量的变更</w:t>
      </w:r>
    </w:p>
    <w:p>
      <w:pPr>
        <w:pStyle w:val="10"/>
        <w:adjustRightInd w:val="0"/>
        <w:snapToGrid w:val="0"/>
        <w:spacing w:line="360" w:lineRule="auto"/>
        <w:ind w:firstLine="420" w:firstLineChars="200"/>
        <w:jc w:val="center"/>
        <w:rPr>
          <w:rFonts w:ascii="宋体" w:hAnsi="宋体"/>
          <w:b/>
          <w:bCs/>
          <w:sz w:val="32"/>
          <w:szCs w:val="32"/>
        </w:rPr>
      </w:pPr>
      <w:r>
        <w:rPr>
          <w:rFonts w:hint="eastAsia" w:ascii="宋体" w:hAnsi="宋体"/>
          <w:sz w:val="21"/>
          <w:szCs w:val="21"/>
        </w:rPr>
        <w:t>34.1政府采购合同履行中，采购人需追加与合同标的相同的货物服务的，在不改变合同其他条款的前提下，可以与中标人协商签订补充合同，但所有补充合同的采购金额不得超过原合同采购金额的百分之十。</w:t>
      </w:r>
      <w:r>
        <w:rPr>
          <w:rFonts w:ascii="宋体" w:hAnsi="宋体"/>
          <w:szCs w:val="21"/>
        </w:rPr>
        <w:br w:type="page"/>
      </w:r>
      <w:bookmarkStart w:id="35" w:name="_Toc430715133"/>
      <w:bookmarkStart w:id="36" w:name="_Toc474235949"/>
      <w:bookmarkStart w:id="37" w:name="_Toc420948016"/>
      <w:r>
        <w:rPr>
          <w:rFonts w:hint="eastAsia" w:ascii="宋体" w:hAnsi="宋体"/>
          <w:b/>
          <w:bCs/>
          <w:sz w:val="32"/>
          <w:szCs w:val="32"/>
        </w:rPr>
        <w:t>第三章 评标方法及标准</w:t>
      </w:r>
      <w:bookmarkEnd w:id="35"/>
      <w:bookmarkEnd w:id="36"/>
    </w:p>
    <w:p>
      <w:pPr>
        <w:adjustRightInd w:val="0"/>
        <w:snapToGrid w:val="0"/>
        <w:spacing w:before="156" w:beforeLines="50" w:line="360" w:lineRule="auto"/>
        <w:ind w:right="-109" w:rightChars="-52"/>
        <w:rPr>
          <w:rFonts w:ascii="宋体" w:hAnsi="宋体"/>
          <w:b/>
          <w:bCs/>
          <w:szCs w:val="21"/>
        </w:rPr>
      </w:pPr>
      <w:r>
        <w:rPr>
          <w:rFonts w:hint="eastAsia" w:ascii="宋体" w:hAnsi="宋体"/>
          <w:b/>
          <w:bCs/>
          <w:szCs w:val="21"/>
        </w:rPr>
        <w:t>一、资格审核</w:t>
      </w:r>
    </w:p>
    <w:p>
      <w:pPr>
        <w:adjustRightInd w:val="0"/>
        <w:snapToGrid w:val="0"/>
        <w:spacing w:before="156" w:beforeLines="50" w:line="360" w:lineRule="auto"/>
        <w:ind w:right="-109" w:rightChars="-52"/>
        <w:rPr>
          <w:rFonts w:ascii="宋体" w:hAnsi="宋体"/>
          <w:b/>
          <w:bCs/>
          <w:szCs w:val="21"/>
        </w:rPr>
      </w:pPr>
      <w:r>
        <w:rPr>
          <w:rFonts w:hint="eastAsia" w:ascii="宋体" w:hAnsi="宋体"/>
          <w:b/>
          <w:bCs/>
          <w:szCs w:val="21"/>
        </w:rPr>
        <w:t>1.评标前投标文件的初步</w:t>
      </w:r>
      <w:r>
        <w:rPr>
          <w:rFonts w:hint="eastAsia" w:ascii="宋体" w:hAnsi="宋体"/>
          <w:b/>
          <w:szCs w:val="21"/>
        </w:rPr>
        <w:t>审核</w:t>
      </w:r>
    </w:p>
    <w:p>
      <w:pPr>
        <w:adjustRightInd w:val="0"/>
        <w:snapToGrid w:val="0"/>
        <w:spacing w:before="156" w:beforeLines="50" w:line="360" w:lineRule="auto"/>
        <w:ind w:right="-109" w:rightChars="-52" w:firstLine="420" w:firstLineChars="200"/>
        <w:rPr>
          <w:rFonts w:ascii="宋体" w:hAnsi="宋体"/>
          <w:szCs w:val="21"/>
        </w:rPr>
      </w:pPr>
      <w:r>
        <w:rPr>
          <w:rFonts w:hint="eastAsia" w:ascii="宋体" w:hAnsi="宋体"/>
          <w:bCs/>
          <w:szCs w:val="21"/>
        </w:rPr>
        <w:t>1.1初步</w:t>
      </w:r>
      <w:r>
        <w:rPr>
          <w:rFonts w:hint="eastAsia" w:ascii="宋体" w:hAnsi="宋体"/>
          <w:szCs w:val="21"/>
        </w:rPr>
        <w:t>评审为资格性检查和符合性检查。</w:t>
      </w:r>
    </w:p>
    <w:p>
      <w:pPr>
        <w:adjustRightInd w:val="0"/>
        <w:snapToGrid w:val="0"/>
        <w:spacing w:before="156" w:beforeLines="50" w:line="360" w:lineRule="auto"/>
        <w:ind w:right="-109" w:rightChars="-52" w:firstLine="420" w:firstLineChars="200"/>
        <w:rPr>
          <w:rFonts w:ascii="宋体" w:hAnsi="宋体"/>
          <w:szCs w:val="21"/>
        </w:rPr>
      </w:pPr>
      <w:r>
        <w:rPr>
          <w:rFonts w:hint="eastAsia" w:ascii="宋体" w:hAnsi="宋体"/>
          <w:szCs w:val="21"/>
        </w:rPr>
        <w:t>1.1.1 资格性检查。根据法律法规和招标文件的规定，对投标文件中的资格证明、投标保证金等进行审查，以确定投标人是否具备投标资格。</w:t>
      </w:r>
    </w:p>
    <w:p>
      <w:pPr>
        <w:adjustRightInd w:val="0"/>
        <w:snapToGrid w:val="0"/>
        <w:spacing w:before="156" w:beforeLines="50" w:line="360" w:lineRule="auto"/>
        <w:ind w:right="-109" w:rightChars="-52" w:firstLine="420" w:firstLineChars="200"/>
        <w:rPr>
          <w:rFonts w:ascii="宋体" w:hAnsi="宋体"/>
          <w:szCs w:val="21"/>
        </w:rPr>
      </w:pPr>
      <w:r>
        <w:rPr>
          <w:rFonts w:hint="eastAsia" w:ascii="宋体" w:hAnsi="宋体"/>
          <w:szCs w:val="21"/>
        </w:rPr>
        <w:t>1.1.2 符合性检查。依据招标文件的规定，从投标文件的有效性、完整性和对招标文件的响应程度进行审查，以确定是否对招标文件的实质性要求作出响应。采购人决定投标文件的响应性只根据投标文件真实无误的内容，而不依据外部的证据，但投标文件有不真实、不正确的内容时除外。</w:t>
      </w:r>
    </w:p>
    <w:p>
      <w:pPr>
        <w:adjustRightInd w:val="0"/>
        <w:snapToGrid w:val="0"/>
        <w:spacing w:before="156" w:beforeLines="50" w:line="360" w:lineRule="auto"/>
        <w:ind w:right="-109" w:rightChars="-52" w:firstLine="420" w:firstLineChars="200"/>
        <w:rPr>
          <w:rFonts w:ascii="宋体" w:hAnsi="宋体"/>
          <w:szCs w:val="21"/>
        </w:rPr>
      </w:pPr>
      <w:r>
        <w:rPr>
          <w:rFonts w:hint="eastAsia" w:ascii="宋体" w:hAnsi="宋体"/>
          <w:szCs w:val="21"/>
        </w:rPr>
        <w:t>1.1.3投标人不得通过修正或撤销不合要求的偏离从而使其投标成为实质上响应的投标。</w:t>
      </w:r>
    </w:p>
    <w:tbl>
      <w:tblPr>
        <w:tblStyle w:val="19"/>
        <w:tblW w:w="88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7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Align w:val="center"/>
          </w:tcPr>
          <w:p>
            <w:pPr>
              <w:spacing w:line="400" w:lineRule="exact"/>
              <w:jc w:val="center"/>
              <w:rPr>
                <w:rFonts w:ascii="宋体" w:hAnsi="宋体"/>
                <w:b/>
                <w:szCs w:val="21"/>
              </w:rPr>
            </w:pPr>
            <w:r>
              <w:rPr>
                <w:rFonts w:hint="eastAsia" w:ascii="宋体" w:hAnsi="宋体"/>
                <w:b/>
                <w:szCs w:val="21"/>
              </w:rPr>
              <w:t>项目</w:t>
            </w:r>
          </w:p>
        </w:tc>
        <w:tc>
          <w:tcPr>
            <w:tcW w:w="7836" w:type="dxa"/>
            <w:vAlign w:val="center"/>
          </w:tcPr>
          <w:p>
            <w:pPr>
              <w:spacing w:line="400" w:lineRule="exact"/>
              <w:jc w:val="center"/>
              <w:rPr>
                <w:rFonts w:ascii="宋体" w:hAnsi="宋体"/>
                <w:b/>
                <w:szCs w:val="21"/>
              </w:rPr>
            </w:pPr>
            <w:r>
              <w:rPr>
                <w:rFonts w:hint="eastAsia" w:ascii="宋体" w:hAnsi="宋体"/>
                <w:b/>
                <w:szCs w:val="21"/>
              </w:rPr>
              <w:t>审核</w:t>
            </w:r>
            <w:r>
              <w:rPr>
                <w:rFonts w:ascii="宋体" w:hAnsi="宋体"/>
                <w:b/>
                <w:szCs w:val="21"/>
              </w:rPr>
              <w:t>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996" w:type="dxa"/>
            <w:vMerge w:val="restart"/>
            <w:vAlign w:val="center"/>
          </w:tcPr>
          <w:p>
            <w:pPr>
              <w:spacing w:line="400" w:lineRule="exact"/>
              <w:jc w:val="center"/>
              <w:rPr>
                <w:rFonts w:ascii="宋体" w:hAnsi="宋体"/>
                <w:b/>
                <w:szCs w:val="21"/>
              </w:rPr>
            </w:pPr>
            <w:r>
              <w:rPr>
                <w:rFonts w:hint="eastAsia" w:ascii="宋体" w:hAnsi="宋体"/>
                <w:b/>
                <w:szCs w:val="21"/>
              </w:rPr>
              <w:t>资格性检查</w:t>
            </w:r>
          </w:p>
        </w:tc>
        <w:tc>
          <w:tcPr>
            <w:tcW w:w="7836" w:type="dxa"/>
            <w:vAlign w:val="center"/>
          </w:tcPr>
          <w:p>
            <w:pPr>
              <w:spacing w:line="400" w:lineRule="exact"/>
            </w:pPr>
            <w:r>
              <w:rPr>
                <w:rFonts w:hint="eastAsia"/>
              </w:rPr>
              <w:t>1、法人提供法定代表人身份证明，</w:t>
            </w:r>
            <w:r>
              <w:rPr>
                <w:rFonts w:hint="eastAsia"/>
                <w:b/>
                <w:bCs/>
              </w:rPr>
              <w:t>或</w:t>
            </w:r>
            <w:r>
              <w:rPr>
                <w:rFonts w:hint="eastAsia"/>
              </w:rPr>
              <w:t>委托代理人提供授权委托书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996" w:type="dxa"/>
            <w:vMerge w:val="continue"/>
            <w:vAlign w:val="center"/>
          </w:tcPr>
          <w:p>
            <w:pPr>
              <w:spacing w:line="400" w:lineRule="exact"/>
              <w:jc w:val="center"/>
              <w:rPr>
                <w:rFonts w:ascii="宋体" w:hAnsi="宋体"/>
                <w:b/>
                <w:szCs w:val="21"/>
              </w:rPr>
            </w:pPr>
          </w:p>
        </w:tc>
        <w:tc>
          <w:tcPr>
            <w:tcW w:w="7836" w:type="dxa"/>
            <w:vAlign w:val="center"/>
          </w:tcPr>
          <w:p>
            <w:pPr>
              <w:spacing w:line="400" w:lineRule="exact"/>
            </w:pPr>
            <w:r>
              <w:rPr>
                <w:rFonts w:hint="eastAsia" w:ascii="宋体" w:hAnsi="宋体"/>
                <w:szCs w:val="21"/>
              </w:rPr>
              <w:t>2、</w:t>
            </w:r>
            <w:r>
              <w:rPr>
                <w:rFonts w:hint="eastAsia" w:ascii="宋体" w:hAnsi="宋体" w:eastAsia="宋体" w:cs="宋体"/>
                <w:kern w:val="2"/>
                <w:sz w:val="21"/>
                <w:szCs w:val="24"/>
                <w:lang w:val="en-US" w:eastAsia="zh-CN" w:bidi="ar-SA"/>
              </w:rPr>
              <w:t>投标人须具备有效的营业执照</w:t>
            </w:r>
            <w:r>
              <w:rPr>
                <w:rFonts w:hint="eastAsia" w:cs="宋体"/>
                <w:kern w:val="2"/>
                <w:sz w:val="21"/>
                <w:szCs w:val="24"/>
                <w:lang w:val="en-US" w:eastAsia="zh-CN" w:bidi="ar-SA"/>
              </w:rPr>
              <w:t>或企事业单位法人证书</w:t>
            </w:r>
            <w:r>
              <w:rPr>
                <w:rFonts w:hint="eastAsia" w:ascii="宋体" w:hAnsi="宋体" w:eastAsia="宋体" w:cs="宋体"/>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996" w:type="dxa"/>
            <w:vMerge w:val="continue"/>
            <w:vAlign w:val="center"/>
          </w:tcPr>
          <w:p>
            <w:pPr>
              <w:spacing w:line="400" w:lineRule="exact"/>
              <w:jc w:val="center"/>
              <w:rPr>
                <w:rFonts w:ascii="宋体" w:hAnsi="宋体"/>
                <w:b/>
                <w:szCs w:val="21"/>
              </w:rPr>
            </w:pPr>
          </w:p>
        </w:tc>
        <w:tc>
          <w:tcPr>
            <w:tcW w:w="7836" w:type="dxa"/>
            <w:vAlign w:val="center"/>
          </w:tcPr>
          <w:p>
            <w:pPr>
              <w:adjustRightInd w:val="0"/>
              <w:snapToGrid w:val="0"/>
              <w:spacing w:line="400" w:lineRule="exact"/>
              <w:jc w:val="left"/>
              <w:rPr>
                <w:rFonts w:ascii="宋体" w:hAnsi="宋体"/>
                <w:szCs w:val="21"/>
              </w:rPr>
            </w:pPr>
            <w:r>
              <w:rPr>
                <w:rFonts w:hint="eastAsia"/>
              </w:rPr>
              <w:t>3、</w:t>
            </w:r>
            <w:r>
              <w:rPr>
                <w:rFonts w:hint="eastAsia"/>
                <w:lang w:val="zh-CN"/>
              </w:rPr>
              <w:t>投标人须具有工程咨询单位乙级资信证书</w:t>
            </w:r>
            <w:r>
              <w:rPr>
                <w:rFonts w:hint="eastAsia" w:cs="宋体"/>
                <w:sz w:val="24"/>
                <w:lang w:eastAsia="zh-CN"/>
              </w:rPr>
              <w:t>（民航专业）</w:t>
            </w:r>
            <w:r>
              <w:rPr>
                <w:rFonts w:hint="eastAsia"/>
                <w:lang w:val="zh-CN"/>
              </w:rPr>
              <w:t>及以上资格</w:t>
            </w: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996" w:type="dxa"/>
            <w:vMerge w:val="continue"/>
            <w:vAlign w:val="center"/>
          </w:tcPr>
          <w:p>
            <w:pPr>
              <w:adjustRightInd w:val="0"/>
              <w:snapToGrid w:val="0"/>
              <w:spacing w:line="400" w:lineRule="exact"/>
              <w:jc w:val="left"/>
            </w:pPr>
          </w:p>
        </w:tc>
        <w:tc>
          <w:tcPr>
            <w:tcW w:w="7836" w:type="dxa"/>
            <w:vAlign w:val="center"/>
          </w:tcPr>
          <w:p>
            <w:pPr>
              <w:adjustRightInd w:val="0"/>
              <w:snapToGrid w:val="0"/>
              <w:spacing w:line="400" w:lineRule="exact"/>
              <w:jc w:val="left"/>
            </w:pPr>
            <w:r>
              <w:rPr>
                <w:rFonts w:hint="eastAsia"/>
              </w:rPr>
              <w:t>4、</w:t>
            </w:r>
            <w:r>
              <w:rPr>
                <w:rFonts w:hint="eastAsia"/>
                <w:lang w:val="zh-CN"/>
              </w:rPr>
              <w:t>项目负责人须具有高级职称资格</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996" w:type="dxa"/>
            <w:vMerge w:val="continue"/>
            <w:vAlign w:val="center"/>
          </w:tcPr>
          <w:p>
            <w:pPr>
              <w:adjustRightInd w:val="0"/>
              <w:snapToGrid w:val="0"/>
              <w:spacing w:line="400" w:lineRule="exact"/>
              <w:jc w:val="left"/>
            </w:pPr>
          </w:p>
        </w:tc>
        <w:tc>
          <w:tcPr>
            <w:tcW w:w="7836" w:type="dxa"/>
            <w:vAlign w:val="center"/>
          </w:tcPr>
          <w:p>
            <w:pPr>
              <w:adjustRightInd w:val="0"/>
              <w:snapToGrid w:val="0"/>
              <w:spacing w:line="400" w:lineRule="exact"/>
              <w:jc w:val="left"/>
              <w:rPr>
                <w:rFonts w:hint="eastAsia" w:eastAsia="宋体"/>
                <w:lang w:val="en-US" w:eastAsia="zh-CN"/>
              </w:rPr>
            </w:pPr>
            <w:r>
              <w:rPr>
                <w:rFonts w:hint="eastAsia"/>
                <w:lang w:val="en-US" w:eastAsia="zh-CN"/>
              </w:rPr>
              <w:t>5、类似业绩：具有3个以上机场布局规划或机场发展规划类项目（含）。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996" w:type="dxa"/>
            <w:vMerge w:val="continue"/>
            <w:vAlign w:val="center"/>
          </w:tcPr>
          <w:p>
            <w:pPr>
              <w:adjustRightInd w:val="0"/>
              <w:snapToGrid w:val="0"/>
              <w:spacing w:line="400" w:lineRule="exact"/>
              <w:jc w:val="left"/>
            </w:pPr>
          </w:p>
        </w:tc>
        <w:tc>
          <w:tcPr>
            <w:tcW w:w="7836" w:type="dxa"/>
            <w:vAlign w:val="center"/>
          </w:tcPr>
          <w:p>
            <w:pPr>
              <w:adjustRightInd w:val="0"/>
              <w:snapToGrid w:val="0"/>
              <w:spacing w:line="400" w:lineRule="exact"/>
              <w:jc w:val="left"/>
            </w:pPr>
            <w:r>
              <w:rPr>
                <w:rFonts w:hint="eastAsia"/>
              </w:rPr>
              <w:t>6、提供在“信用中国”（www.creditchina.gov.cn）和中国政府采购网（www.ccgp.gov.cn）网站上未被列入失信被执行人、重大税收违法案件当事人名单以及政府采购严重违法失信行为记录名单的网页打印件；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996" w:type="dxa"/>
            <w:vMerge w:val="restart"/>
            <w:vAlign w:val="center"/>
          </w:tcPr>
          <w:p>
            <w:pPr>
              <w:spacing w:line="400" w:lineRule="exact"/>
              <w:jc w:val="center"/>
              <w:rPr>
                <w:rFonts w:ascii="宋体" w:hAnsi="宋体"/>
                <w:szCs w:val="21"/>
              </w:rPr>
            </w:pPr>
            <w:r>
              <w:rPr>
                <w:rFonts w:hint="eastAsia" w:ascii="宋体" w:hAnsi="宋体"/>
                <w:b/>
                <w:szCs w:val="21"/>
              </w:rPr>
              <w:t>符合性检查</w:t>
            </w:r>
          </w:p>
        </w:tc>
        <w:tc>
          <w:tcPr>
            <w:tcW w:w="7836" w:type="dxa"/>
            <w:vAlign w:val="center"/>
          </w:tcPr>
          <w:p>
            <w:pPr>
              <w:spacing w:line="400" w:lineRule="exact"/>
              <w:rPr>
                <w:rFonts w:ascii="宋体" w:hAnsi="宋体"/>
                <w:szCs w:val="21"/>
              </w:rPr>
            </w:pPr>
            <w:r>
              <w:rPr>
                <w:rFonts w:hint="eastAsia" w:ascii="宋体" w:hAnsi="宋体"/>
                <w:szCs w:val="21"/>
              </w:rPr>
              <w:t>1.投标文件按照按招标文件要求上传、解密、签署电子章的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996" w:type="dxa"/>
            <w:vMerge w:val="continue"/>
            <w:vAlign w:val="center"/>
          </w:tcPr>
          <w:p>
            <w:pPr>
              <w:spacing w:line="400" w:lineRule="exact"/>
              <w:jc w:val="center"/>
              <w:rPr>
                <w:rFonts w:ascii="宋体" w:hAnsi="宋体"/>
                <w:szCs w:val="21"/>
              </w:rPr>
            </w:pPr>
          </w:p>
        </w:tc>
        <w:tc>
          <w:tcPr>
            <w:tcW w:w="7836" w:type="dxa"/>
            <w:vAlign w:val="center"/>
          </w:tcPr>
          <w:p>
            <w:pPr>
              <w:spacing w:line="400" w:lineRule="exact"/>
              <w:rPr>
                <w:rFonts w:ascii="宋体" w:hAnsi="宋体"/>
                <w:szCs w:val="21"/>
              </w:rPr>
            </w:pPr>
            <w:r>
              <w:rPr>
                <w:rFonts w:hint="eastAsia" w:ascii="宋体" w:hAnsi="宋体"/>
                <w:szCs w:val="21"/>
                <w:lang w:val="en-US" w:eastAsia="zh-CN"/>
              </w:rPr>
              <w:t>2</w:t>
            </w:r>
            <w:r>
              <w:rPr>
                <w:rFonts w:hint="eastAsia" w:ascii="宋体" w:hAnsi="宋体"/>
                <w:szCs w:val="21"/>
              </w:rPr>
              <w:t>.</w:t>
            </w:r>
            <w:r>
              <w:rPr>
                <w:rFonts w:hint="eastAsia" w:ascii="宋体" w:hAnsi="宋体"/>
                <w:szCs w:val="21"/>
                <w:lang w:eastAsia="zh-CN"/>
              </w:rPr>
              <w:t>服务</w:t>
            </w:r>
            <w:r>
              <w:rPr>
                <w:rFonts w:hint="eastAsia" w:ascii="宋体" w:hAnsi="宋体"/>
                <w:szCs w:val="21"/>
              </w:rPr>
              <w:t>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96" w:type="dxa"/>
            <w:vMerge w:val="continue"/>
            <w:vAlign w:val="center"/>
          </w:tcPr>
          <w:p>
            <w:pPr>
              <w:spacing w:line="400" w:lineRule="exact"/>
              <w:jc w:val="center"/>
              <w:rPr>
                <w:rFonts w:ascii="宋体" w:hAnsi="宋体"/>
                <w:szCs w:val="21"/>
              </w:rPr>
            </w:pPr>
          </w:p>
        </w:tc>
        <w:tc>
          <w:tcPr>
            <w:tcW w:w="7836" w:type="dxa"/>
            <w:vAlign w:val="center"/>
          </w:tcPr>
          <w:p>
            <w:pPr>
              <w:spacing w:line="400" w:lineRule="exact"/>
              <w:rPr>
                <w:rFonts w:ascii="宋体" w:hAnsi="宋体"/>
                <w:szCs w:val="21"/>
              </w:rPr>
            </w:pPr>
            <w:r>
              <w:rPr>
                <w:rFonts w:hint="eastAsia" w:ascii="宋体" w:hAnsi="宋体"/>
                <w:szCs w:val="21"/>
                <w:lang w:val="en-US" w:eastAsia="zh-CN"/>
              </w:rPr>
              <w:t>3</w:t>
            </w:r>
            <w:r>
              <w:rPr>
                <w:rFonts w:hint="eastAsia" w:ascii="宋体" w:hAnsi="宋体"/>
                <w:szCs w:val="21"/>
              </w:rPr>
              <w:t>.报价具有唯一性，报价未超过招标文件中规定的预算价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96" w:type="dxa"/>
            <w:vAlign w:val="center"/>
          </w:tcPr>
          <w:p>
            <w:pPr>
              <w:spacing w:line="400" w:lineRule="exact"/>
              <w:jc w:val="center"/>
              <w:rPr>
                <w:rFonts w:ascii="宋体" w:hAnsi="宋体"/>
                <w:b/>
                <w:szCs w:val="21"/>
              </w:rPr>
            </w:pPr>
            <w:r>
              <w:rPr>
                <w:rFonts w:hint="eastAsia"/>
                <w:b/>
                <w:szCs w:val="21"/>
              </w:rPr>
              <w:t>结论</w:t>
            </w:r>
          </w:p>
        </w:tc>
        <w:tc>
          <w:tcPr>
            <w:tcW w:w="7836" w:type="dxa"/>
            <w:vAlign w:val="center"/>
          </w:tcPr>
          <w:p>
            <w:pPr>
              <w:spacing w:line="400" w:lineRule="exact"/>
              <w:rPr>
                <w:rFonts w:ascii="宋体" w:hAnsi="宋体"/>
                <w:szCs w:val="21"/>
              </w:rPr>
            </w:pPr>
            <w:r>
              <w:rPr>
                <w:rFonts w:hint="eastAsia"/>
                <w:szCs w:val="21"/>
              </w:rPr>
              <w:t>是否通过资格审查，进入下一阶段专家评审。</w:t>
            </w:r>
          </w:p>
        </w:tc>
      </w:tr>
    </w:tbl>
    <w:p>
      <w:pPr>
        <w:tabs>
          <w:tab w:val="left" w:pos="0"/>
        </w:tabs>
        <w:adjustRightInd w:val="0"/>
        <w:snapToGrid w:val="0"/>
        <w:spacing w:line="360" w:lineRule="auto"/>
        <w:ind w:firstLine="422" w:firstLineChars="200"/>
        <w:rPr>
          <w:rFonts w:ascii="宋体" w:hAnsi="宋体"/>
          <w:b/>
          <w:szCs w:val="21"/>
        </w:rPr>
      </w:pPr>
      <w:r>
        <w:rPr>
          <w:rFonts w:hint="eastAsia" w:ascii="宋体" w:hAnsi="宋体"/>
          <w:b/>
          <w:szCs w:val="21"/>
        </w:rPr>
        <w:t>注：表中全部符合，则为有效投标，进入专家评标阶段。</w:t>
      </w:r>
    </w:p>
    <w:p>
      <w:pPr>
        <w:adjustRightInd w:val="0"/>
        <w:snapToGrid w:val="0"/>
        <w:spacing w:before="156" w:beforeLines="50" w:line="360" w:lineRule="auto"/>
        <w:ind w:right="-109" w:rightChars="-52" w:firstLine="420" w:firstLineChars="200"/>
        <w:rPr>
          <w:rFonts w:ascii="宋体" w:hAnsi="宋体"/>
          <w:szCs w:val="21"/>
        </w:rPr>
      </w:pPr>
      <w:r>
        <w:rPr>
          <w:rFonts w:hint="eastAsia" w:ascii="宋体" w:hAnsi="宋体"/>
          <w:szCs w:val="21"/>
        </w:rPr>
        <w:t>1.2 有下列情形之一时，采购人或采购代理机构应予此次招标活动无效，并将理由通知所有投标人：</w:t>
      </w:r>
    </w:p>
    <w:p>
      <w:pPr>
        <w:adjustRightInd w:val="0"/>
        <w:snapToGrid w:val="0"/>
        <w:spacing w:before="156" w:beforeLines="50" w:line="360" w:lineRule="auto"/>
        <w:ind w:right="-109" w:rightChars="-52" w:firstLine="420" w:firstLineChars="200"/>
        <w:rPr>
          <w:rFonts w:ascii="宋体" w:hAnsi="宋体"/>
          <w:szCs w:val="21"/>
        </w:rPr>
      </w:pPr>
      <w:r>
        <w:rPr>
          <w:rFonts w:hint="eastAsia" w:ascii="宋体" w:hAnsi="宋体"/>
          <w:szCs w:val="21"/>
        </w:rPr>
        <w:t>（1）符合专业条件的投标人或者对招标文件作实质性响应的投标人不足三家的；</w:t>
      </w:r>
    </w:p>
    <w:p>
      <w:pPr>
        <w:adjustRightInd w:val="0"/>
        <w:snapToGrid w:val="0"/>
        <w:spacing w:before="156" w:beforeLines="50" w:line="360" w:lineRule="auto"/>
        <w:ind w:right="-109" w:rightChars="-52" w:firstLine="420" w:firstLineChars="200"/>
        <w:rPr>
          <w:rFonts w:ascii="宋体" w:hAnsi="宋体"/>
          <w:szCs w:val="21"/>
        </w:rPr>
      </w:pPr>
      <w:r>
        <w:rPr>
          <w:rFonts w:hint="eastAsia" w:ascii="宋体" w:hAnsi="宋体"/>
          <w:szCs w:val="21"/>
        </w:rPr>
        <w:t>（2）出现影响招标公正的违法、违规行为的；</w:t>
      </w:r>
    </w:p>
    <w:p>
      <w:pPr>
        <w:adjustRightInd w:val="0"/>
        <w:snapToGrid w:val="0"/>
        <w:spacing w:before="156" w:beforeLines="50" w:line="360" w:lineRule="auto"/>
        <w:ind w:right="-109" w:rightChars="-52" w:firstLine="420" w:firstLineChars="200"/>
        <w:rPr>
          <w:rFonts w:ascii="宋体" w:hAnsi="宋体"/>
          <w:szCs w:val="21"/>
        </w:rPr>
      </w:pPr>
      <w:r>
        <w:rPr>
          <w:rFonts w:hint="eastAsia" w:ascii="宋体" w:hAnsi="宋体"/>
          <w:szCs w:val="21"/>
        </w:rPr>
        <w:t>（3）投标人的报价均超过了采购预算；</w:t>
      </w:r>
    </w:p>
    <w:p>
      <w:pPr>
        <w:adjustRightInd w:val="0"/>
        <w:snapToGrid w:val="0"/>
        <w:spacing w:before="156" w:beforeLines="50" w:line="360" w:lineRule="auto"/>
        <w:ind w:right="-109" w:rightChars="-52" w:firstLine="420" w:firstLineChars="200"/>
        <w:rPr>
          <w:rFonts w:ascii="宋体" w:hAnsi="宋体"/>
          <w:szCs w:val="21"/>
        </w:rPr>
      </w:pPr>
      <w:r>
        <w:rPr>
          <w:rFonts w:hint="eastAsia" w:ascii="宋体" w:hAnsi="宋体"/>
          <w:szCs w:val="21"/>
        </w:rPr>
        <w:t>1.3公开招标数额标准以上的采购项目，投标截止后投标人不足3家或者通过资格审查或符合性审查的投标人不足3家的，除采购任务取消情形外，按照以下方式处理：</w:t>
      </w:r>
    </w:p>
    <w:p>
      <w:pPr>
        <w:adjustRightInd w:val="0"/>
        <w:snapToGrid w:val="0"/>
        <w:spacing w:before="156" w:beforeLines="50" w:line="360" w:lineRule="auto"/>
        <w:ind w:right="-109" w:rightChars="-52" w:firstLine="420" w:firstLineChars="200"/>
        <w:rPr>
          <w:rFonts w:ascii="宋体" w:hAnsi="宋体"/>
          <w:szCs w:val="21"/>
        </w:rPr>
      </w:pPr>
      <w:r>
        <w:rPr>
          <w:rFonts w:hint="eastAsia" w:ascii="宋体" w:hAnsi="宋体"/>
          <w:szCs w:val="21"/>
        </w:rPr>
        <w:t>（1）招标文件存在不合理条款或者招标程序不符合规定的，采购人、采购代理机构改正后依法重新招标；</w:t>
      </w:r>
    </w:p>
    <w:p>
      <w:pPr>
        <w:adjustRightInd w:val="0"/>
        <w:snapToGrid w:val="0"/>
        <w:spacing w:before="156" w:beforeLines="50" w:line="360" w:lineRule="auto"/>
        <w:ind w:right="-109" w:rightChars="-52" w:firstLine="420" w:firstLineChars="200"/>
        <w:rPr>
          <w:rFonts w:ascii="宋体" w:hAnsi="宋体"/>
          <w:szCs w:val="21"/>
        </w:rPr>
      </w:pPr>
      <w:r>
        <w:rPr>
          <w:rFonts w:hint="eastAsia" w:ascii="宋体" w:hAnsi="宋体"/>
          <w:szCs w:val="21"/>
        </w:rPr>
        <w:t>（2）招标文件没有不合理条款、招标程序符合规定，需要采用其他采购方式采购的，采购人应当依法报财政部门批准。</w:t>
      </w:r>
    </w:p>
    <w:p>
      <w:pPr>
        <w:adjustRightInd w:val="0"/>
        <w:snapToGrid w:val="0"/>
        <w:spacing w:before="156" w:beforeLines="50" w:line="360" w:lineRule="auto"/>
        <w:ind w:right="-109" w:rightChars="-52" w:firstLine="420" w:firstLineChars="200"/>
        <w:rPr>
          <w:rFonts w:ascii="宋体" w:hAnsi="宋体"/>
          <w:szCs w:val="21"/>
        </w:rPr>
      </w:pPr>
      <w:r>
        <w:rPr>
          <w:rFonts w:hint="eastAsia" w:ascii="宋体" w:hAnsi="宋体"/>
          <w:szCs w:val="21"/>
        </w:rPr>
        <w:t>1.4有下列情形之一的，视为投标人串通投标，其投标无效：</w:t>
      </w:r>
    </w:p>
    <w:p>
      <w:pPr>
        <w:adjustRightInd w:val="0"/>
        <w:snapToGrid w:val="0"/>
        <w:spacing w:before="156" w:beforeLines="50" w:line="360" w:lineRule="auto"/>
        <w:ind w:right="-109" w:rightChars="-52" w:firstLine="420" w:firstLineChars="200"/>
        <w:rPr>
          <w:rFonts w:ascii="宋体" w:hAnsi="宋体"/>
          <w:szCs w:val="21"/>
        </w:rPr>
      </w:pPr>
      <w:r>
        <w:rPr>
          <w:rFonts w:hint="eastAsia" w:ascii="宋体" w:hAnsi="宋体"/>
          <w:szCs w:val="21"/>
        </w:rPr>
        <w:t>（1）不同投标人的投标文件由同一单位或者个人编制；</w:t>
      </w:r>
    </w:p>
    <w:p>
      <w:pPr>
        <w:adjustRightInd w:val="0"/>
        <w:snapToGrid w:val="0"/>
        <w:spacing w:before="156" w:beforeLines="50" w:line="360" w:lineRule="auto"/>
        <w:ind w:right="-109" w:rightChars="-52" w:firstLine="420" w:firstLineChars="200"/>
        <w:rPr>
          <w:rFonts w:ascii="宋体" w:hAnsi="宋体"/>
          <w:szCs w:val="21"/>
        </w:rPr>
      </w:pPr>
      <w:r>
        <w:rPr>
          <w:rFonts w:hint="eastAsia" w:ascii="宋体" w:hAnsi="宋体"/>
          <w:szCs w:val="21"/>
        </w:rPr>
        <w:t>（2）不同投标人委托同一单位或者个人办理投标事宜；</w:t>
      </w:r>
    </w:p>
    <w:p>
      <w:pPr>
        <w:adjustRightInd w:val="0"/>
        <w:snapToGrid w:val="0"/>
        <w:spacing w:before="156" w:beforeLines="50" w:line="360" w:lineRule="auto"/>
        <w:ind w:right="-109" w:rightChars="-52" w:firstLine="420" w:firstLineChars="200"/>
        <w:rPr>
          <w:rFonts w:ascii="宋体" w:hAnsi="宋体"/>
          <w:szCs w:val="21"/>
        </w:rPr>
      </w:pPr>
      <w:r>
        <w:rPr>
          <w:rFonts w:hint="eastAsia" w:ascii="宋体" w:hAnsi="宋体"/>
          <w:szCs w:val="21"/>
        </w:rPr>
        <w:t>（3）不同投标人的投标文件载明的项目管理成员或者联系人员为同一人；</w:t>
      </w:r>
    </w:p>
    <w:p>
      <w:pPr>
        <w:adjustRightInd w:val="0"/>
        <w:snapToGrid w:val="0"/>
        <w:spacing w:before="156" w:beforeLines="50" w:line="360" w:lineRule="auto"/>
        <w:ind w:right="-109" w:rightChars="-52" w:firstLine="420" w:firstLineChars="200"/>
        <w:rPr>
          <w:rFonts w:ascii="宋体" w:hAnsi="宋体"/>
          <w:szCs w:val="21"/>
        </w:rPr>
      </w:pPr>
      <w:r>
        <w:rPr>
          <w:rFonts w:hint="eastAsia" w:ascii="宋体" w:hAnsi="宋体"/>
          <w:szCs w:val="21"/>
        </w:rPr>
        <w:t>（4）不同投标人的投标文件异常一致或者投标报价呈规律性差别；</w:t>
      </w:r>
    </w:p>
    <w:p>
      <w:pPr>
        <w:adjustRightInd w:val="0"/>
        <w:snapToGrid w:val="0"/>
        <w:spacing w:before="156" w:beforeLines="50" w:line="360" w:lineRule="auto"/>
        <w:ind w:right="-109" w:rightChars="-52" w:firstLine="420" w:firstLineChars="200"/>
        <w:rPr>
          <w:rFonts w:ascii="宋体" w:hAnsi="宋体"/>
          <w:szCs w:val="21"/>
        </w:rPr>
      </w:pPr>
      <w:r>
        <w:rPr>
          <w:rFonts w:hint="eastAsia" w:ascii="宋体" w:hAnsi="宋体"/>
          <w:szCs w:val="21"/>
        </w:rPr>
        <w:t>（5）不同投标人的投标文件相互混装；</w:t>
      </w:r>
    </w:p>
    <w:p>
      <w:pPr>
        <w:adjustRightInd w:val="0"/>
        <w:snapToGrid w:val="0"/>
        <w:spacing w:before="156" w:beforeLines="50" w:line="360" w:lineRule="auto"/>
        <w:ind w:right="-109" w:rightChars="-52" w:firstLine="420" w:firstLineChars="200"/>
        <w:rPr>
          <w:rFonts w:ascii="宋体" w:hAnsi="宋体"/>
          <w:szCs w:val="21"/>
        </w:rPr>
      </w:pPr>
      <w:r>
        <w:rPr>
          <w:rFonts w:hint="eastAsia" w:ascii="宋体" w:hAnsi="宋体"/>
          <w:szCs w:val="21"/>
        </w:rPr>
        <w:t>（6）不同投标人的投标保证金从同一单位或者个人的账户转出。</w:t>
      </w:r>
    </w:p>
    <w:p>
      <w:pPr>
        <w:tabs>
          <w:tab w:val="left" w:pos="0"/>
        </w:tabs>
        <w:adjustRightInd w:val="0"/>
        <w:snapToGrid w:val="0"/>
        <w:spacing w:before="156" w:beforeLines="50" w:line="360" w:lineRule="auto"/>
        <w:rPr>
          <w:rFonts w:ascii="宋体" w:hAnsi="宋体"/>
          <w:b/>
          <w:kern w:val="0"/>
          <w:szCs w:val="21"/>
        </w:rPr>
      </w:pPr>
      <w:r>
        <w:rPr>
          <w:rFonts w:hint="eastAsia" w:ascii="宋体" w:hAnsi="宋体"/>
          <w:b/>
          <w:kern w:val="0"/>
          <w:szCs w:val="21"/>
        </w:rPr>
        <w:t>二、评标程序</w:t>
      </w:r>
    </w:p>
    <w:p>
      <w:pPr>
        <w:adjustRightInd w:val="0"/>
        <w:snapToGrid w:val="0"/>
        <w:spacing w:before="156" w:beforeLines="50" w:line="360" w:lineRule="auto"/>
        <w:rPr>
          <w:rFonts w:ascii="宋体" w:hAnsi="宋体"/>
          <w:b/>
          <w:szCs w:val="21"/>
        </w:rPr>
      </w:pPr>
      <w:r>
        <w:rPr>
          <w:rFonts w:hint="eastAsia" w:ascii="宋体" w:hAnsi="宋体"/>
          <w:b/>
          <w:bCs/>
          <w:szCs w:val="21"/>
        </w:rPr>
        <w:t>2、</w:t>
      </w:r>
      <w:r>
        <w:rPr>
          <w:rFonts w:hint="eastAsia" w:ascii="宋体" w:hAnsi="宋体"/>
          <w:b/>
          <w:szCs w:val="21"/>
        </w:rPr>
        <w:t>评标委员会</w:t>
      </w: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2.1评标由依法组成的评标委员会负责。</w:t>
      </w:r>
    </w:p>
    <w:p>
      <w:pPr>
        <w:adjustRightInd w:val="0"/>
        <w:snapToGrid w:val="0"/>
        <w:spacing w:before="156" w:beforeLines="50" w:line="360" w:lineRule="auto"/>
        <w:rPr>
          <w:rFonts w:ascii="宋体" w:hAnsi="宋体"/>
          <w:b/>
          <w:szCs w:val="21"/>
        </w:rPr>
      </w:pPr>
      <w:r>
        <w:rPr>
          <w:rFonts w:hint="eastAsia" w:ascii="宋体" w:hAnsi="宋体"/>
          <w:b/>
          <w:bCs/>
          <w:szCs w:val="21"/>
        </w:rPr>
        <w:t>3.</w:t>
      </w:r>
      <w:r>
        <w:rPr>
          <w:rFonts w:hint="eastAsia" w:ascii="宋体" w:hAnsi="宋体"/>
          <w:b/>
          <w:szCs w:val="21"/>
        </w:rPr>
        <w:t>评标方法</w:t>
      </w:r>
    </w:p>
    <w:p>
      <w:pPr>
        <w:tabs>
          <w:tab w:val="left" w:pos="0"/>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3.1评标方法：综合评分法，即投标文件能够最大限度的满足招标文件规定的各项综合评价标准且经评审得分最高的投标人为中标候选人的评标方法。</w:t>
      </w:r>
    </w:p>
    <w:p>
      <w:pPr>
        <w:tabs>
          <w:tab w:val="left" w:pos="0"/>
        </w:tabs>
        <w:adjustRightInd w:val="0"/>
        <w:snapToGrid w:val="0"/>
        <w:spacing w:before="156" w:beforeLines="50" w:line="360" w:lineRule="auto"/>
        <w:ind w:firstLine="420" w:firstLineChars="200"/>
        <w:rPr>
          <w:rFonts w:ascii="宋体" w:hAnsi="宋体"/>
          <w:b/>
          <w:kern w:val="0"/>
          <w:szCs w:val="21"/>
        </w:rPr>
      </w:pPr>
      <w:r>
        <w:rPr>
          <w:rFonts w:hint="eastAsia" w:ascii="宋体" w:hAnsi="宋体"/>
          <w:bCs/>
          <w:szCs w:val="21"/>
        </w:rPr>
        <w:t>3.2本招标项目</w:t>
      </w:r>
      <w:r>
        <w:rPr>
          <w:rFonts w:hint="eastAsia" w:ascii="宋体" w:hAnsi="宋体"/>
          <w:szCs w:val="21"/>
        </w:rPr>
        <w:t>的评标因素：价格、技术、信誉、业绩、服务、对招标文件的响应程度，以及相应的比重或者权值等，但不包括第二章“投标须知”第3.1</w:t>
      </w:r>
      <w:r>
        <w:rPr>
          <w:rFonts w:hint="eastAsia" w:ascii="宋体" w:hAnsi="宋体" w:cs="宋体"/>
          <w:kern w:val="0"/>
          <w:szCs w:val="21"/>
          <w:lang w:val="zh-CN"/>
        </w:rPr>
        <w:t>款</w:t>
      </w:r>
      <w:r>
        <w:rPr>
          <w:rFonts w:hint="eastAsia" w:ascii="宋体" w:hAnsi="宋体"/>
          <w:szCs w:val="21"/>
        </w:rPr>
        <w:t>规定的投标人资格条件。</w:t>
      </w:r>
    </w:p>
    <w:p>
      <w:pPr>
        <w:adjustRightInd w:val="0"/>
        <w:snapToGrid w:val="0"/>
        <w:spacing w:before="156" w:beforeLines="50" w:line="360" w:lineRule="auto"/>
        <w:ind w:right="-109" w:rightChars="-52"/>
        <w:rPr>
          <w:rFonts w:ascii="宋体" w:hAnsi="宋体"/>
          <w:bCs/>
          <w:szCs w:val="21"/>
        </w:rPr>
      </w:pPr>
      <w:r>
        <w:rPr>
          <w:rFonts w:hint="eastAsia" w:ascii="宋体" w:hAnsi="宋体"/>
          <w:b/>
          <w:bCs/>
          <w:szCs w:val="21"/>
        </w:rPr>
        <w:t>4.澄清有关问题</w:t>
      </w: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4.1 对投标文件中含义不明确、同类问题表述不一致或者有明显文字和计算错误的内容，评标委员会将以书面形式通知投标人作出必要的澄清、说明，但不得超出投标文件的范围或对投标文件做实质性的修改（计算错误修正除外）。评标委员会不接受投标人主动提出的澄清、说明。</w:t>
      </w:r>
    </w:p>
    <w:p>
      <w:pPr>
        <w:tabs>
          <w:tab w:val="left" w:pos="0"/>
        </w:tabs>
        <w:adjustRightInd w:val="0"/>
        <w:snapToGrid w:val="0"/>
        <w:spacing w:line="360" w:lineRule="auto"/>
        <w:ind w:firstLine="420" w:firstLineChars="200"/>
        <w:rPr>
          <w:rFonts w:ascii="宋体" w:hAnsi="宋体"/>
          <w:szCs w:val="21"/>
        </w:rPr>
      </w:pPr>
      <w:r>
        <w:rPr>
          <w:rFonts w:hint="eastAsia" w:ascii="宋体" w:hAnsi="宋体"/>
          <w:szCs w:val="21"/>
        </w:rPr>
        <w:t>4.2投标人不得对下列内容进行澄清或补充：</w:t>
      </w:r>
    </w:p>
    <w:p>
      <w:pPr>
        <w:tabs>
          <w:tab w:val="left" w:pos="0"/>
        </w:tabs>
        <w:adjustRightInd w:val="0"/>
        <w:snapToGrid w:val="0"/>
        <w:spacing w:line="360" w:lineRule="auto"/>
        <w:ind w:firstLine="420" w:firstLineChars="200"/>
        <w:rPr>
          <w:rFonts w:ascii="宋体" w:hAnsi="宋体"/>
          <w:szCs w:val="21"/>
        </w:rPr>
      </w:pPr>
      <w:r>
        <w:rPr>
          <w:rFonts w:hint="eastAsia" w:ascii="宋体" w:hAnsi="宋体"/>
          <w:szCs w:val="21"/>
        </w:rPr>
        <w:t>（1）开标时，未宣读的投标价格、价格折扣等实质性内容。</w:t>
      </w:r>
    </w:p>
    <w:p>
      <w:pPr>
        <w:tabs>
          <w:tab w:val="left" w:pos="0"/>
        </w:tabs>
        <w:adjustRightInd w:val="0"/>
        <w:snapToGrid w:val="0"/>
        <w:spacing w:line="360" w:lineRule="auto"/>
        <w:ind w:firstLine="420" w:firstLineChars="200"/>
        <w:rPr>
          <w:rFonts w:ascii="宋体" w:hAnsi="宋体"/>
          <w:szCs w:val="21"/>
        </w:rPr>
      </w:pPr>
      <w:r>
        <w:rPr>
          <w:rFonts w:hint="eastAsia" w:ascii="宋体" w:hAnsi="宋体"/>
          <w:szCs w:val="21"/>
        </w:rPr>
        <w:t>（2）招标文件规定的实质性要求。</w:t>
      </w:r>
    </w:p>
    <w:p>
      <w:pPr>
        <w:tabs>
          <w:tab w:val="left" w:pos="0"/>
        </w:tabs>
        <w:adjustRightInd w:val="0"/>
        <w:snapToGrid w:val="0"/>
        <w:spacing w:line="360" w:lineRule="auto"/>
        <w:ind w:firstLine="420" w:firstLineChars="200"/>
        <w:rPr>
          <w:rFonts w:ascii="宋体" w:hAnsi="宋体"/>
          <w:szCs w:val="21"/>
        </w:rPr>
      </w:pPr>
      <w:r>
        <w:rPr>
          <w:rFonts w:hint="eastAsia" w:ascii="宋体" w:hAnsi="宋体"/>
          <w:szCs w:val="21"/>
        </w:rPr>
        <w:t>4.3投标文件报价出现前后不一致的，除招标文件另有规定外，按照下列规定修正：</w:t>
      </w:r>
    </w:p>
    <w:p>
      <w:pPr>
        <w:tabs>
          <w:tab w:val="left" w:pos="0"/>
        </w:tabs>
        <w:adjustRightInd w:val="0"/>
        <w:snapToGrid w:val="0"/>
        <w:spacing w:line="360" w:lineRule="auto"/>
        <w:ind w:firstLine="420" w:firstLineChars="200"/>
        <w:rPr>
          <w:rFonts w:ascii="宋体" w:hAnsi="宋体"/>
          <w:szCs w:val="21"/>
        </w:rPr>
      </w:pPr>
      <w:r>
        <w:rPr>
          <w:rFonts w:hint="eastAsia" w:ascii="宋体" w:hAnsi="宋体"/>
          <w:szCs w:val="21"/>
        </w:rPr>
        <w:t>（1）电子交易平台生成的开标记录表内容与投标文件中相应内容不一致的，以电子交易平台生成的开标记录表为准；</w:t>
      </w:r>
    </w:p>
    <w:p>
      <w:pPr>
        <w:tabs>
          <w:tab w:val="left" w:pos="0"/>
        </w:tabs>
        <w:adjustRightInd w:val="0"/>
        <w:snapToGrid w:val="0"/>
        <w:spacing w:line="360" w:lineRule="auto"/>
        <w:ind w:firstLine="420" w:firstLineChars="200"/>
        <w:rPr>
          <w:rFonts w:ascii="宋体" w:hAnsi="宋体"/>
          <w:szCs w:val="21"/>
        </w:rPr>
      </w:pPr>
      <w:r>
        <w:rPr>
          <w:rFonts w:hint="eastAsia" w:ascii="宋体" w:hAnsi="宋体"/>
          <w:szCs w:val="21"/>
        </w:rPr>
        <w:t>（2）大写金额和小写金额不一致的，以大写金额为准；</w:t>
      </w:r>
    </w:p>
    <w:p>
      <w:pPr>
        <w:tabs>
          <w:tab w:val="left" w:pos="0"/>
        </w:tabs>
        <w:adjustRightInd w:val="0"/>
        <w:snapToGrid w:val="0"/>
        <w:spacing w:line="360" w:lineRule="auto"/>
        <w:ind w:firstLine="420" w:firstLineChars="200"/>
        <w:rPr>
          <w:rFonts w:ascii="宋体" w:hAnsi="宋体"/>
          <w:szCs w:val="21"/>
        </w:rPr>
      </w:pPr>
      <w:r>
        <w:rPr>
          <w:rFonts w:hint="eastAsia" w:ascii="宋体" w:hAnsi="宋体"/>
          <w:szCs w:val="21"/>
        </w:rPr>
        <w:t>（3）单价金额小数点或者百分比有明显错位的，以电子交易平台生成的开标记录表总价为准，并修改单价；</w:t>
      </w:r>
    </w:p>
    <w:p>
      <w:pPr>
        <w:tabs>
          <w:tab w:val="left" w:pos="0"/>
        </w:tabs>
        <w:adjustRightInd w:val="0"/>
        <w:snapToGrid w:val="0"/>
        <w:spacing w:line="360" w:lineRule="auto"/>
        <w:ind w:firstLine="420" w:firstLineChars="200"/>
        <w:rPr>
          <w:rFonts w:ascii="宋体" w:hAnsi="宋体"/>
          <w:szCs w:val="21"/>
        </w:rPr>
      </w:pPr>
      <w:r>
        <w:rPr>
          <w:rFonts w:hint="eastAsia" w:ascii="宋体" w:hAnsi="宋体"/>
          <w:szCs w:val="21"/>
        </w:rPr>
        <w:t>（5）总价金额与按单价汇总金额不一致的，以单价金额计算结果为准。</w:t>
      </w:r>
    </w:p>
    <w:p>
      <w:pPr>
        <w:tabs>
          <w:tab w:val="left" w:pos="0"/>
        </w:tabs>
        <w:adjustRightInd w:val="0"/>
        <w:snapToGrid w:val="0"/>
        <w:spacing w:line="360" w:lineRule="auto"/>
        <w:ind w:firstLine="420" w:firstLineChars="200"/>
        <w:rPr>
          <w:rFonts w:ascii="宋体" w:hAnsi="宋体"/>
          <w:szCs w:val="21"/>
        </w:rPr>
      </w:pPr>
      <w:r>
        <w:rPr>
          <w:rFonts w:hint="eastAsia" w:ascii="宋体" w:hAnsi="宋体"/>
          <w:szCs w:val="21"/>
        </w:rPr>
        <w:t>同时出现两种以上不一致的，按照前款规定的顺序修正。评标委员会应当通过电子交易平台要求投标人对修正后的报价予以确认并对投标人产生约束力。投标人不接受修正或在规定的时间内不予确认的，其投标无效。</w:t>
      </w:r>
    </w:p>
    <w:p>
      <w:pPr>
        <w:tabs>
          <w:tab w:val="left" w:pos="0"/>
        </w:tabs>
        <w:adjustRightInd w:val="0"/>
        <w:snapToGrid w:val="0"/>
        <w:spacing w:line="360" w:lineRule="auto"/>
        <w:ind w:firstLine="420" w:firstLineChars="200"/>
        <w:rPr>
          <w:rFonts w:ascii="宋体" w:hAnsi="宋体"/>
          <w:szCs w:val="21"/>
        </w:rPr>
      </w:pPr>
      <w:r>
        <w:rPr>
          <w:rFonts w:hint="eastAsia" w:ascii="宋体" w:hAnsi="宋体"/>
          <w:szCs w:val="21"/>
        </w:rPr>
        <w:t>对不同文字文本投标文件的解释发生异议的，以中文文本为准。若投标人拒绝接受上述修正，在评标时将其视为无效投标。</w:t>
      </w:r>
    </w:p>
    <w:p>
      <w:pPr>
        <w:tabs>
          <w:tab w:val="left" w:pos="0"/>
        </w:tabs>
        <w:adjustRightInd w:val="0"/>
        <w:snapToGrid w:val="0"/>
        <w:spacing w:line="360" w:lineRule="auto"/>
        <w:ind w:firstLine="420" w:firstLineChars="200"/>
        <w:rPr>
          <w:rFonts w:ascii="宋体" w:hAnsi="宋体"/>
          <w:szCs w:val="21"/>
        </w:rPr>
      </w:pPr>
      <w:r>
        <w:rPr>
          <w:rFonts w:hint="eastAsia" w:ascii="宋体" w:hAnsi="宋体"/>
          <w:szCs w:val="21"/>
        </w:rPr>
        <w:t>4.4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tabs>
          <w:tab w:val="left" w:pos="0"/>
        </w:tabs>
        <w:adjustRightInd w:val="0"/>
        <w:snapToGrid w:val="0"/>
        <w:spacing w:line="360" w:lineRule="auto"/>
        <w:ind w:firstLine="420" w:firstLineChars="200"/>
        <w:rPr>
          <w:rFonts w:ascii="宋体" w:hAnsi="宋体"/>
          <w:szCs w:val="21"/>
        </w:rPr>
      </w:pPr>
      <w:r>
        <w:rPr>
          <w:rFonts w:hint="eastAsia" w:ascii="宋体" w:hAnsi="宋体"/>
          <w:szCs w:val="21"/>
        </w:rPr>
        <w:t>4.5评标委员会成员对需要共同认定的事项存在争议的，应当按照少数服从多数的原则作出结论。持不同意见的评标委员会成员应当在评标报告上签署不同意见及理由，否则视为同意评标报告。</w:t>
      </w:r>
    </w:p>
    <w:p>
      <w:pPr>
        <w:tabs>
          <w:tab w:val="left" w:pos="0"/>
        </w:tabs>
        <w:adjustRightInd w:val="0"/>
        <w:snapToGrid w:val="0"/>
        <w:spacing w:line="360" w:lineRule="auto"/>
        <w:ind w:firstLine="420" w:firstLineChars="200"/>
        <w:rPr>
          <w:rFonts w:ascii="宋体" w:hAnsi="宋体"/>
          <w:szCs w:val="21"/>
        </w:rPr>
      </w:pPr>
      <w:r>
        <w:rPr>
          <w:rFonts w:hint="eastAsia" w:ascii="宋体" w:hAnsi="宋体"/>
          <w:szCs w:val="21"/>
        </w:rPr>
        <w:t>4.6 投标人的澄清、说明或者补正应该采用书面形式，并加盖公章，或者由法定代表人或其授权的代理人签字。投标人的澄清、说明或者补正不得超出投标文件的范围或者改变投标文件的实质性内容。</w:t>
      </w:r>
    </w:p>
    <w:p>
      <w:pPr>
        <w:tabs>
          <w:tab w:val="left" w:pos="0"/>
        </w:tabs>
        <w:adjustRightInd w:val="0"/>
        <w:snapToGrid w:val="0"/>
        <w:spacing w:line="360" w:lineRule="auto"/>
        <w:ind w:firstLine="420" w:firstLineChars="200"/>
        <w:rPr>
          <w:rFonts w:ascii="宋体" w:hAnsi="宋体"/>
          <w:szCs w:val="21"/>
        </w:rPr>
      </w:pPr>
      <w:r>
        <w:rPr>
          <w:rFonts w:hint="eastAsia" w:ascii="宋体" w:hAnsi="宋体"/>
          <w:szCs w:val="21"/>
        </w:rPr>
        <w:t>4.7 有效的书面澄清材料，是投标文件的补充材料，成为投标文件的组成部分。</w:t>
      </w:r>
    </w:p>
    <w:p>
      <w:pPr>
        <w:tabs>
          <w:tab w:val="left" w:pos="0"/>
        </w:tabs>
        <w:adjustRightInd w:val="0"/>
        <w:snapToGrid w:val="0"/>
        <w:spacing w:before="156" w:beforeLines="50"/>
        <w:rPr>
          <w:rFonts w:ascii="宋体" w:hAnsi="宋体"/>
          <w:b/>
          <w:bCs/>
          <w:szCs w:val="21"/>
        </w:rPr>
      </w:pPr>
      <w:r>
        <w:rPr>
          <w:rFonts w:hint="eastAsia" w:ascii="宋体" w:hAnsi="宋体"/>
          <w:b/>
          <w:bCs/>
          <w:szCs w:val="21"/>
        </w:rPr>
        <w:t>5.投标文件的详细</w:t>
      </w:r>
      <w:r>
        <w:rPr>
          <w:rFonts w:hint="eastAsia" w:ascii="宋体" w:hAnsi="宋体"/>
          <w:b/>
          <w:szCs w:val="21"/>
        </w:rPr>
        <w:t>评审</w:t>
      </w:r>
    </w:p>
    <w:p>
      <w:pPr>
        <w:tabs>
          <w:tab w:val="left" w:pos="0"/>
        </w:tabs>
        <w:adjustRightInd w:val="0"/>
        <w:snapToGrid w:val="0"/>
        <w:spacing w:before="156" w:beforeLines="50"/>
        <w:ind w:firstLine="420" w:firstLineChars="200"/>
        <w:rPr>
          <w:rFonts w:ascii="宋体" w:hAnsi="宋体"/>
          <w:bCs/>
          <w:szCs w:val="21"/>
        </w:rPr>
      </w:pPr>
      <w:r>
        <w:rPr>
          <w:rFonts w:hint="eastAsia" w:ascii="宋体" w:hAnsi="宋体"/>
          <w:bCs/>
          <w:szCs w:val="21"/>
        </w:rPr>
        <w:t>5.1评标委员会应按照招标文件中规定的评标方法、</w:t>
      </w:r>
      <w:r>
        <w:rPr>
          <w:rFonts w:hint="eastAsia" w:ascii="宋体" w:hAnsi="宋体"/>
          <w:szCs w:val="21"/>
        </w:rPr>
        <w:t>标准和评标因素，</w:t>
      </w:r>
      <w:r>
        <w:rPr>
          <w:rFonts w:hint="eastAsia" w:ascii="宋体" w:hAnsi="宋体"/>
          <w:bCs/>
          <w:szCs w:val="21"/>
        </w:rPr>
        <w:t>对</w:t>
      </w:r>
      <w:r>
        <w:rPr>
          <w:rFonts w:hint="eastAsia" w:ascii="宋体" w:hAnsi="宋体"/>
          <w:szCs w:val="21"/>
        </w:rPr>
        <w:t>资格性检查</w:t>
      </w:r>
      <w:r>
        <w:rPr>
          <w:rFonts w:hint="eastAsia" w:ascii="宋体" w:hAnsi="宋体"/>
          <w:bCs/>
          <w:szCs w:val="21"/>
        </w:rPr>
        <w:t>合格的投标文件进行详细评审。</w:t>
      </w:r>
    </w:p>
    <w:p>
      <w:pPr>
        <w:widowControl/>
        <w:adjustRightInd w:val="0"/>
        <w:snapToGrid w:val="0"/>
        <w:spacing w:before="156" w:beforeLines="50"/>
        <w:ind w:firstLine="420" w:firstLineChars="200"/>
        <w:jc w:val="left"/>
        <w:rPr>
          <w:rFonts w:ascii="宋体" w:hAnsi="宋体"/>
          <w:szCs w:val="21"/>
        </w:rPr>
      </w:pPr>
      <w:r>
        <w:rPr>
          <w:rFonts w:hint="eastAsia" w:ascii="宋体" w:hAnsi="宋体" w:cs="宋体"/>
          <w:kern w:val="0"/>
          <w:szCs w:val="21"/>
        </w:rPr>
        <w:t>5.2</w:t>
      </w:r>
      <w:r>
        <w:rPr>
          <w:rFonts w:hint="eastAsia" w:ascii="宋体" w:hAnsi="宋体"/>
          <w:szCs w:val="21"/>
        </w:rPr>
        <w:t>评标时，评标委员会各成员应当</w:t>
      </w:r>
      <w:r>
        <w:rPr>
          <w:rFonts w:hint="eastAsia" w:ascii="宋体" w:hAnsi="宋体"/>
          <w:b/>
          <w:szCs w:val="21"/>
        </w:rPr>
        <w:t>独立</w:t>
      </w:r>
      <w:r>
        <w:rPr>
          <w:rFonts w:hint="eastAsia" w:ascii="宋体" w:hAnsi="宋体"/>
          <w:szCs w:val="21"/>
        </w:rPr>
        <w:t>对每个投标人的</w:t>
      </w:r>
      <w:r>
        <w:rPr>
          <w:rFonts w:hint="eastAsia" w:ascii="宋体" w:hAnsi="宋体"/>
          <w:bCs/>
          <w:szCs w:val="21"/>
        </w:rPr>
        <w:t>投标文件</w:t>
      </w:r>
      <w:r>
        <w:rPr>
          <w:rFonts w:hint="eastAsia" w:ascii="宋体" w:hAnsi="宋体"/>
          <w:szCs w:val="21"/>
        </w:rPr>
        <w:t>进行评价、评分，然后汇总每个投标人每项评分因素的得分。</w:t>
      </w:r>
    </w:p>
    <w:p>
      <w:pPr>
        <w:ind w:firstLine="420" w:firstLineChars="200"/>
        <w:rPr>
          <w:rFonts w:ascii="宋体" w:hAnsi="宋体"/>
          <w:b/>
          <w:szCs w:val="21"/>
        </w:rPr>
      </w:pPr>
      <w:r>
        <w:rPr>
          <w:rFonts w:hint="eastAsia" w:ascii="宋体" w:hAnsi="宋体"/>
          <w:szCs w:val="21"/>
        </w:rPr>
        <w:t>5.3、</w:t>
      </w:r>
      <w:r>
        <w:rPr>
          <w:rFonts w:hint="eastAsia" w:ascii="宋体" w:hAnsi="宋体"/>
          <w:b/>
          <w:szCs w:val="21"/>
        </w:rPr>
        <w:t>评分标准：</w:t>
      </w:r>
      <w:bookmarkEnd w:id="37"/>
    </w:p>
    <w:p>
      <w:pPr>
        <w:pStyle w:val="9"/>
        <w:ind w:left="0"/>
        <w:rPr>
          <w:rFonts w:hint="eastAsia" w:ascii="黑体" w:hAnsi="黑体" w:eastAsia="黑体" w:cs="黑体"/>
          <w:i w:val="0"/>
          <w:iCs w:val="0"/>
          <w:sz w:val="28"/>
          <w:szCs w:val="28"/>
          <w:highlight w:val="yellow"/>
        </w:rPr>
      </w:pPr>
      <w:bookmarkStart w:id="38" w:name="_Toc474235950"/>
      <w:bookmarkStart w:id="39" w:name="_Toc420948020"/>
      <w:r>
        <w:rPr>
          <w:rFonts w:hint="eastAsia" w:ascii="黑体" w:hAnsi="黑体" w:eastAsia="黑体" w:cs="黑体"/>
          <w:i w:val="0"/>
          <w:iCs w:val="0"/>
          <w:sz w:val="28"/>
          <w:szCs w:val="28"/>
          <w:highlight w:val="yellow"/>
        </w:rPr>
        <w:t>注：为方便电子评审，目录需关联至指定信息处，否则视同为未提供。</w:t>
      </w:r>
    </w:p>
    <w:tbl>
      <w:tblPr>
        <w:tblStyle w:val="19"/>
        <w:tblpPr w:leftFromText="180" w:rightFromText="180" w:vertAnchor="text" w:horzAnchor="page" w:tblpX="1640" w:tblpY="249"/>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5219"/>
        <w:gridCol w:w="995"/>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trPr>
        <w:tc>
          <w:tcPr>
            <w:tcW w:w="1666" w:type="dxa"/>
            <w:vAlign w:val="center"/>
          </w:tcPr>
          <w:p>
            <w:pPr>
              <w:pStyle w:val="10"/>
              <w:snapToGrid w:val="0"/>
              <w:spacing w:line="240" w:lineRule="exact"/>
              <w:jc w:val="center"/>
              <w:rPr>
                <w:rFonts w:ascii="宋体" w:hAnsi="宋体" w:cs="Courier New"/>
                <w:b/>
                <w:sz w:val="21"/>
                <w:szCs w:val="21"/>
              </w:rPr>
            </w:pPr>
            <w:r>
              <w:rPr>
                <w:rFonts w:hint="eastAsia" w:ascii="宋体" w:hAnsi="宋体" w:cs="Courier New"/>
                <w:b/>
                <w:sz w:val="21"/>
                <w:szCs w:val="21"/>
              </w:rPr>
              <w:t>项目</w:t>
            </w:r>
          </w:p>
        </w:tc>
        <w:tc>
          <w:tcPr>
            <w:tcW w:w="5219" w:type="dxa"/>
            <w:vAlign w:val="center"/>
          </w:tcPr>
          <w:p>
            <w:pPr>
              <w:pStyle w:val="10"/>
              <w:snapToGrid w:val="0"/>
              <w:spacing w:line="240" w:lineRule="exact"/>
              <w:jc w:val="center"/>
              <w:rPr>
                <w:rFonts w:ascii="宋体" w:hAnsi="宋体" w:cs="Courier New"/>
                <w:b/>
                <w:sz w:val="21"/>
                <w:szCs w:val="21"/>
              </w:rPr>
            </w:pPr>
            <w:r>
              <w:rPr>
                <w:rFonts w:hint="eastAsia" w:ascii="宋体" w:hAnsi="宋体" w:cs="Courier New"/>
                <w:b/>
                <w:sz w:val="21"/>
                <w:szCs w:val="21"/>
              </w:rPr>
              <w:t>评审内容</w:t>
            </w:r>
          </w:p>
        </w:tc>
        <w:tc>
          <w:tcPr>
            <w:tcW w:w="995" w:type="dxa"/>
            <w:vAlign w:val="center"/>
          </w:tcPr>
          <w:p>
            <w:pPr>
              <w:pStyle w:val="10"/>
              <w:snapToGrid w:val="0"/>
              <w:spacing w:line="240" w:lineRule="exact"/>
              <w:jc w:val="center"/>
              <w:rPr>
                <w:rFonts w:ascii="宋体" w:hAnsi="宋体" w:cs="Courier New"/>
                <w:b/>
                <w:sz w:val="21"/>
                <w:szCs w:val="21"/>
              </w:rPr>
            </w:pPr>
            <w:r>
              <w:rPr>
                <w:rFonts w:hint="eastAsia" w:ascii="宋体" w:hAnsi="宋体" w:cs="Courier New"/>
                <w:b/>
                <w:sz w:val="21"/>
                <w:szCs w:val="21"/>
              </w:rPr>
              <w:t>分值</w:t>
            </w:r>
          </w:p>
        </w:tc>
        <w:tc>
          <w:tcPr>
            <w:tcW w:w="987" w:type="dxa"/>
            <w:vAlign w:val="center"/>
          </w:tcPr>
          <w:p>
            <w:pPr>
              <w:pStyle w:val="10"/>
              <w:snapToGrid w:val="0"/>
              <w:spacing w:line="240" w:lineRule="exact"/>
              <w:jc w:val="center"/>
              <w:rPr>
                <w:rFonts w:ascii="宋体" w:hAnsi="宋体" w:cs="Courier New"/>
                <w:b/>
                <w:sz w:val="21"/>
                <w:szCs w:val="21"/>
              </w:rPr>
            </w:pPr>
            <w:r>
              <w:rPr>
                <w:rFonts w:hint="eastAsia" w:ascii="宋体" w:hAnsi="宋体" w:cs="Courier New"/>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867" w:type="dxa"/>
            <w:gridSpan w:val="4"/>
            <w:vAlign w:val="center"/>
          </w:tcPr>
          <w:p>
            <w:pPr>
              <w:pStyle w:val="10"/>
              <w:snapToGrid w:val="0"/>
              <w:spacing w:line="240" w:lineRule="exact"/>
              <w:rPr>
                <w:rFonts w:ascii="宋体" w:hAnsi="宋体" w:cs="Courier New"/>
                <w:b/>
                <w:sz w:val="21"/>
                <w:szCs w:val="21"/>
              </w:rPr>
            </w:pPr>
            <w:r>
              <w:rPr>
                <w:rFonts w:hint="eastAsia" w:ascii="宋体" w:hAnsi="宋体" w:cs="Courier New"/>
                <w:b/>
                <w:sz w:val="21"/>
                <w:szCs w:val="21"/>
              </w:rPr>
              <w:t>A：投标价格评分</w:t>
            </w:r>
            <w:r>
              <w:rPr>
                <w:rFonts w:ascii="宋体" w:hAnsi="宋体" w:cs="Courier New"/>
                <w:b/>
                <w:sz w:val="21"/>
                <w:szCs w:val="21"/>
              </w:rPr>
              <w:t>30</w:t>
            </w:r>
            <w:r>
              <w:rPr>
                <w:rFonts w:hint="eastAsia" w:ascii="宋体" w:hAnsi="宋体" w:cs="Courier New"/>
                <w:b/>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666" w:type="dxa"/>
            <w:vAlign w:val="center"/>
          </w:tcPr>
          <w:p>
            <w:pPr>
              <w:pStyle w:val="10"/>
              <w:snapToGrid w:val="0"/>
              <w:spacing w:line="240" w:lineRule="exact"/>
              <w:jc w:val="center"/>
              <w:rPr>
                <w:rFonts w:ascii="宋体" w:hAnsi="宋体" w:cs="Courier New"/>
                <w:sz w:val="21"/>
                <w:szCs w:val="21"/>
              </w:rPr>
            </w:pPr>
            <w:r>
              <w:rPr>
                <w:rFonts w:hint="eastAsia" w:ascii="宋体" w:hAnsi="宋体" w:cs="Courier New"/>
                <w:sz w:val="21"/>
                <w:szCs w:val="21"/>
              </w:rPr>
              <w:t>价格</w:t>
            </w:r>
          </w:p>
        </w:tc>
        <w:tc>
          <w:tcPr>
            <w:tcW w:w="5219" w:type="dxa"/>
            <w:vAlign w:val="center"/>
          </w:tcPr>
          <w:p>
            <w:pPr>
              <w:pStyle w:val="10"/>
              <w:snapToGrid w:val="0"/>
              <w:spacing w:line="240" w:lineRule="exact"/>
              <w:rPr>
                <w:rFonts w:ascii="宋体" w:hAnsi="宋体" w:cs="Courier New"/>
                <w:sz w:val="21"/>
                <w:szCs w:val="21"/>
              </w:rPr>
            </w:pPr>
            <w:r>
              <w:rPr>
                <w:rFonts w:hint="eastAsia" w:ascii="宋体" w:hAnsi="宋体" w:cs="Courier New"/>
                <w:b/>
                <w:sz w:val="21"/>
                <w:szCs w:val="21"/>
              </w:rPr>
              <w:t>投标报价得分=(评标基准价/投标报价)×</w:t>
            </w:r>
            <w:r>
              <w:rPr>
                <w:rFonts w:ascii="宋体" w:hAnsi="宋体" w:cs="Courier New"/>
                <w:b/>
                <w:sz w:val="21"/>
                <w:szCs w:val="21"/>
              </w:rPr>
              <w:t>30</w:t>
            </w:r>
            <w:r>
              <w:rPr>
                <w:rFonts w:hint="eastAsia" w:ascii="宋体" w:hAnsi="宋体" w:cs="Courier New"/>
                <w:b/>
                <w:sz w:val="21"/>
                <w:szCs w:val="21"/>
              </w:rPr>
              <w:t>%×100</w:t>
            </w:r>
          </w:p>
          <w:p>
            <w:pPr>
              <w:pStyle w:val="10"/>
              <w:snapToGrid w:val="0"/>
              <w:spacing w:line="240" w:lineRule="exact"/>
              <w:rPr>
                <w:rFonts w:ascii="宋体" w:hAnsi="宋体" w:cs="Courier New"/>
                <w:sz w:val="21"/>
                <w:szCs w:val="21"/>
              </w:rPr>
            </w:pPr>
            <w:r>
              <w:rPr>
                <w:rFonts w:hint="eastAsia" w:ascii="宋体" w:hAnsi="宋体" w:cs="Courier New"/>
                <w:sz w:val="21"/>
                <w:szCs w:val="21"/>
              </w:rPr>
              <w:t>备注：</w:t>
            </w:r>
          </w:p>
          <w:p>
            <w:pPr>
              <w:pStyle w:val="10"/>
              <w:snapToGrid w:val="0"/>
              <w:spacing w:line="240" w:lineRule="exact"/>
              <w:rPr>
                <w:rFonts w:ascii="宋体" w:hAnsi="宋体" w:cs="Courier New"/>
                <w:kern w:val="0"/>
                <w:sz w:val="21"/>
                <w:szCs w:val="21"/>
              </w:rPr>
            </w:pPr>
            <w:r>
              <w:rPr>
                <w:rFonts w:hint="eastAsia" w:ascii="宋体" w:hAnsi="宋体" w:cs="Courier New"/>
                <w:kern w:val="0"/>
                <w:sz w:val="21"/>
                <w:szCs w:val="21"/>
              </w:rPr>
              <w:t>1.投标价格评分采用低价优先法计算；</w:t>
            </w:r>
          </w:p>
          <w:p>
            <w:pPr>
              <w:pStyle w:val="10"/>
              <w:snapToGrid w:val="0"/>
              <w:spacing w:line="240" w:lineRule="exact"/>
              <w:rPr>
                <w:rFonts w:ascii="宋体" w:hAnsi="宋体" w:cs="Courier New"/>
                <w:b/>
                <w:sz w:val="21"/>
                <w:szCs w:val="21"/>
              </w:rPr>
            </w:pPr>
            <w:r>
              <w:rPr>
                <w:rFonts w:hint="eastAsia" w:ascii="宋体" w:hAnsi="宋体" w:cs="Courier New"/>
                <w:kern w:val="0"/>
                <w:sz w:val="21"/>
                <w:szCs w:val="21"/>
              </w:rPr>
              <w:t>2.评标基准价：满足招标文件要求有效最低报价为评标基准价；</w:t>
            </w:r>
          </w:p>
        </w:tc>
        <w:tc>
          <w:tcPr>
            <w:tcW w:w="995" w:type="dxa"/>
            <w:vAlign w:val="center"/>
          </w:tcPr>
          <w:p>
            <w:pPr>
              <w:pStyle w:val="10"/>
              <w:snapToGrid w:val="0"/>
              <w:spacing w:line="240" w:lineRule="exact"/>
              <w:jc w:val="center"/>
              <w:rPr>
                <w:rFonts w:ascii="宋体" w:hAnsi="宋体" w:cs="Courier New"/>
                <w:sz w:val="21"/>
                <w:szCs w:val="21"/>
              </w:rPr>
            </w:pPr>
            <w:r>
              <w:rPr>
                <w:rFonts w:ascii="宋体" w:hAnsi="宋体" w:cs="Courier New"/>
                <w:sz w:val="21"/>
                <w:szCs w:val="21"/>
              </w:rPr>
              <w:t>3</w:t>
            </w:r>
            <w:r>
              <w:rPr>
                <w:rFonts w:hint="eastAsia" w:ascii="宋体" w:hAnsi="宋体" w:cs="Courier New"/>
                <w:sz w:val="21"/>
                <w:szCs w:val="21"/>
              </w:rPr>
              <w:t>0分</w:t>
            </w:r>
          </w:p>
        </w:tc>
        <w:tc>
          <w:tcPr>
            <w:tcW w:w="987" w:type="dxa"/>
            <w:vAlign w:val="center"/>
          </w:tcPr>
          <w:p>
            <w:pPr>
              <w:pStyle w:val="10"/>
              <w:snapToGrid w:val="0"/>
              <w:spacing w:line="240" w:lineRule="exact"/>
              <w:jc w:val="center"/>
              <w:rPr>
                <w:rFonts w:ascii="宋体" w:hAnsi="宋体" w:cs="Courier New"/>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867" w:type="dxa"/>
            <w:gridSpan w:val="4"/>
            <w:vAlign w:val="center"/>
          </w:tcPr>
          <w:p>
            <w:pPr>
              <w:pStyle w:val="10"/>
              <w:snapToGrid w:val="0"/>
              <w:spacing w:line="240" w:lineRule="exact"/>
              <w:rPr>
                <w:rFonts w:ascii="宋体" w:hAnsi="宋体" w:cs="Courier New"/>
                <w:b/>
                <w:sz w:val="21"/>
                <w:szCs w:val="21"/>
              </w:rPr>
            </w:pPr>
            <w:r>
              <w:rPr>
                <w:rFonts w:hint="eastAsia" w:ascii="宋体" w:hAnsi="宋体" w:cs="Courier New"/>
                <w:b/>
                <w:sz w:val="21"/>
                <w:szCs w:val="21"/>
              </w:rPr>
              <w:t>B：技术部分评分（</w:t>
            </w:r>
            <w:r>
              <w:rPr>
                <w:rFonts w:hint="eastAsia" w:ascii="宋体" w:hAnsi="宋体" w:cs="Courier New"/>
                <w:b/>
                <w:sz w:val="21"/>
                <w:szCs w:val="21"/>
                <w:lang w:val="en-US" w:eastAsia="zh-CN"/>
              </w:rPr>
              <w:t>55</w:t>
            </w:r>
            <w:r>
              <w:rPr>
                <w:rFonts w:hint="eastAsia" w:ascii="宋体" w:hAnsi="宋体" w:cs="Courier New"/>
                <w:b/>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666" w:type="dxa"/>
            <w:vAlign w:val="center"/>
          </w:tcPr>
          <w:p>
            <w:pPr>
              <w:spacing w:line="240" w:lineRule="auto"/>
              <w:jc w:val="center"/>
              <w:rPr>
                <w:rFonts w:hint="eastAsia" w:ascii="Times New Roman" w:hAnsi="Times New Roman" w:eastAsia="宋体" w:cs="Times New Roman"/>
                <w:i w:val="0"/>
                <w:iCs w:val="0"/>
                <w:kern w:val="2"/>
                <w:sz w:val="21"/>
                <w:szCs w:val="24"/>
                <w:lang w:val="en-US" w:eastAsia="zh-CN" w:bidi="ar-SA"/>
              </w:rPr>
            </w:pPr>
            <w:r>
              <w:rPr>
                <w:rFonts w:hint="eastAsia" w:ascii="Times New Roman" w:hAnsi="Times New Roman" w:eastAsia="宋体" w:cs="Times New Roman"/>
                <w:i w:val="0"/>
                <w:iCs w:val="0"/>
                <w:kern w:val="2"/>
                <w:sz w:val="21"/>
                <w:szCs w:val="24"/>
                <w:lang w:val="en-US" w:eastAsia="zh-CN" w:bidi="ar-SA"/>
              </w:rPr>
              <w:t>对项目的了解程度（10分）</w:t>
            </w:r>
          </w:p>
        </w:tc>
        <w:tc>
          <w:tcPr>
            <w:tcW w:w="5219" w:type="dxa"/>
            <w:vAlign w:val="center"/>
          </w:tcPr>
          <w:p>
            <w:pPr>
              <w:spacing w:line="240" w:lineRule="auto"/>
              <w:jc w:val="both"/>
              <w:rPr>
                <w:rFonts w:hint="eastAsia" w:ascii="Times New Roman" w:hAnsi="Times New Roman" w:eastAsia="宋体" w:cs="Times New Roman"/>
                <w:i w:val="0"/>
                <w:iCs w:val="0"/>
                <w:kern w:val="2"/>
                <w:sz w:val="21"/>
                <w:szCs w:val="24"/>
                <w:lang w:val="en-US" w:eastAsia="zh-CN" w:bidi="ar-SA"/>
              </w:rPr>
            </w:pPr>
            <w:r>
              <w:rPr>
                <w:rFonts w:hint="eastAsia" w:ascii="Times New Roman" w:hAnsi="Times New Roman" w:eastAsia="宋体" w:cs="Times New Roman"/>
                <w:i w:val="0"/>
                <w:iCs w:val="0"/>
                <w:kern w:val="2"/>
                <w:sz w:val="21"/>
                <w:szCs w:val="24"/>
                <w:lang w:val="en-US" w:eastAsia="zh-CN" w:bidi="ar-SA"/>
              </w:rPr>
              <w:t>根据投标人对本项目所在地区及本项目的了解及理解程度进行综合打分。</w:t>
            </w:r>
          </w:p>
          <w:p>
            <w:pPr>
              <w:spacing w:line="240" w:lineRule="auto"/>
              <w:jc w:val="both"/>
              <w:rPr>
                <w:rFonts w:hint="eastAsia" w:ascii="Times New Roman" w:hAnsi="Times New Roman" w:eastAsia="宋体" w:cs="Times New Roman"/>
                <w:i w:val="0"/>
                <w:iCs w:val="0"/>
                <w:kern w:val="2"/>
                <w:sz w:val="21"/>
                <w:szCs w:val="24"/>
                <w:lang w:val="en-US" w:eastAsia="zh-CN" w:bidi="ar-SA"/>
              </w:rPr>
            </w:pPr>
            <w:r>
              <w:rPr>
                <w:rFonts w:hint="eastAsia" w:ascii="Times New Roman" w:hAnsi="Times New Roman" w:eastAsia="宋体" w:cs="Times New Roman"/>
                <w:i w:val="0"/>
                <w:iCs w:val="0"/>
                <w:kern w:val="2"/>
                <w:sz w:val="21"/>
                <w:szCs w:val="24"/>
                <w:lang w:val="en-US" w:eastAsia="zh-CN" w:bidi="ar-SA"/>
              </w:rPr>
              <w:t>优8-10分，良6-8（含）分，一般4-6（含）分。</w:t>
            </w:r>
          </w:p>
        </w:tc>
        <w:tc>
          <w:tcPr>
            <w:tcW w:w="995" w:type="dxa"/>
            <w:vAlign w:val="center"/>
          </w:tcPr>
          <w:p>
            <w:pPr>
              <w:pStyle w:val="10"/>
              <w:snapToGrid w:val="0"/>
              <w:spacing w:line="240" w:lineRule="exact"/>
              <w:jc w:val="center"/>
              <w:rPr>
                <w:rFonts w:ascii="宋体" w:hAnsi="宋体" w:cs="宋体"/>
                <w:sz w:val="21"/>
                <w:szCs w:val="21"/>
              </w:rPr>
            </w:pPr>
            <w:r>
              <w:rPr>
                <w:rFonts w:hint="eastAsia" w:ascii="宋体" w:hAnsi="宋体" w:cs="宋体"/>
                <w:bCs/>
                <w:sz w:val="21"/>
                <w:szCs w:val="21"/>
              </w:rPr>
              <w:t>0-</w:t>
            </w:r>
            <w:r>
              <w:rPr>
                <w:rFonts w:hint="eastAsia" w:ascii="宋体" w:hAnsi="宋体" w:cs="宋体"/>
                <w:bCs/>
                <w:sz w:val="21"/>
                <w:szCs w:val="21"/>
                <w:lang w:val="en-US" w:eastAsia="zh-CN"/>
              </w:rPr>
              <w:t>10</w:t>
            </w:r>
            <w:r>
              <w:rPr>
                <w:rFonts w:hint="eastAsia" w:ascii="宋体" w:hAnsi="宋体" w:cs="宋体"/>
                <w:bCs/>
                <w:sz w:val="21"/>
                <w:szCs w:val="21"/>
              </w:rPr>
              <w:t>分</w:t>
            </w:r>
          </w:p>
        </w:tc>
        <w:tc>
          <w:tcPr>
            <w:tcW w:w="987" w:type="dxa"/>
            <w:vAlign w:val="center"/>
          </w:tcPr>
          <w:p>
            <w:pPr>
              <w:spacing w:line="240" w:lineRule="exact"/>
              <w:jc w:val="center"/>
              <w:rPr>
                <w:rFonts w:ascii="宋体" w:hAnsi="宋体" w:cs="宋体"/>
                <w:bCs/>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666" w:type="dxa"/>
            <w:vAlign w:val="center"/>
          </w:tcPr>
          <w:p>
            <w:pPr>
              <w:spacing w:line="240" w:lineRule="auto"/>
              <w:jc w:val="center"/>
              <w:rPr>
                <w:rFonts w:hint="eastAsia" w:ascii="Times New Roman" w:hAnsi="Times New Roman" w:eastAsia="宋体" w:cs="Times New Roman"/>
                <w:i w:val="0"/>
                <w:iCs w:val="0"/>
                <w:kern w:val="2"/>
                <w:sz w:val="21"/>
                <w:szCs w:val="24"/>
                <w:lang w:val="en-US" w:eastAsia="zh-CN" w:bidi="ar-SA"/>
              </w:rPr>
            </w:pPr>
            <w:r>
              <w:rPr>
                <w:rFonts w:hint="eastAsia" w:ascii="Times New Roman" w:hAnsi="Times New Roman" w:eastAsia="宋体" w:cs="Times New Roman"/>
                <w:i w:val="0"/>
                <w:iCs w:val="0"/>
                <w:kern w:val="2"/>
                <w:sz w:val="21"/>
                <w:szCs w:val="24"/>
                <w:lang w:val="en-US" w:eastAsia="zh-CN" w:bidi="ar-SA"/>
              </w:rPr>
              <w:t>规划研究编制方案重难点及解决措施（15分）</w:t>
            </w:r>
          </w:p>
        </w:tc>
        <w:tc>
          <w:tcPr>
            <w:tcW w:w="5219" w:type="dxa"/>
            <w:vAlign w:val="center"/>
          </w:tcPr>
          <w:p>
            <w:pPr>
              <w:spacing w:line="240" w:lineRule="auto"/>
              <w:jc w:val="both"/>
              <w:rPr>
                <w:rFonts w:hint="eastAsia" w:ascii="Times New Roman" w:hAnsi="Times New Roman" w:eastAsia="宋体" w:cs="Times New Roman"/>
                <w:i w:val="0"/>
                <w:iCs w:val="0"/>
                <w:kern w:val="2"/>
                <w:sz w:val="21"/>
                <w:szCs w:val="24"/>
                <w:lang w:val="en-US" w:eastAsia="zh-CN" w:bidi="ar-SA"/>
              </w:rPr>
            </w:pPr>
            <w:r>
              <w:rPr>
                <w:rFonts w:hint="eastAsia" w:ascii="Times New Roman" w:hAnsi="Times New Roman" w:eastAsia="宋体" w:cs="Times New Roman"/>
                <w:i w:val="0"/>
                <w:iCs w:val="0"/>
                <w:kern w:val="2"/>
                <w:sz w:val="21"/>
                <w:szCs w:val="24"/>
                <w:lang w:val="en-US" w:eastAsia="zh-CN" w:bidi="ar-SA"/>
              </w:rPr>
              <w:t>由评委专家根据投标人的研究编制方案的研究内容、研究重点及解决方案等情况进行综合打分。</w:t>
            </w:r>
          </w:p>
          <w:p>
            <w:pPr>
              <w:spacing w:line="240" w:lineRule="auto"/>
              <w:jc w:val="both"/>
              <w:rPr>
                <w:rFonts w:hint="eastAsia" w:ascii="Times New Roman" w:hAnsi="Times New Roman" w:eastAsia="宋体" w:cs="Times New Roman"/>
                <w:i w:val="0"/>
                <w:iCs w:val="0"/>
                <w:kern w:val="2"/>
                <w:sz w:val="21"/>
                <w:szCs w:val="24"/>
                <w:lang w:val="zh-CN" w:eastAsia="zh-CN" w:bidi="ar-SA"/>
              </w:rPr>
            </w:pPr>
            <w:r>
              <w:rPr>
                <w:rFonts w:hint="eastAsia" w:ascii="Times New Roman" w:hAnsi="Times New Roman" w:eastAsia="宋体" w:cs="Times New Roman"/>
                <w:i w:val="0"/>
                <w:iCs w:val="0"/>
                <w:kern w:val="2"/>
                <w:sz w:val="21"/>
                <w:szCs w:val="24"/>
                <w:lang w:val="en-US" w:eastAsia="zh-CN" w:bidi="ar-SA"/>
              </w:rPr>
              <w:t>优11-15分，良7-11（含）分，一般3-7（含）分。</w:t>
            </w:r>
          </w:p>
        </w:tc>
        <w:tc>
          <w:tcPr>
            <w:tcW w:w="995" w:type="dxa"/>
            <w:vAlign w:val="center"/>
          </w:tcPr>
          <w:p>
            <w:pPr>
              <w:pStyle w:val="10"/>
              <w:snapToGrid w:val="0"/>
              <w:spacing w:line="280" w:lineRule="exact"/>
              <w:jc w:val="center"/>
              <w:rPr>
                <w:rFonts w:ascii="宋体" w:hAnsi="宋体" w:cs="宋体"/>
                <w:bCs/>
                <w:sz w:val="21"/>
                <w:szCs w:val="21"/>
                <w:lang w:val="zh-CN"/>
              </w:rPr>
            </w:pPr>
            <w:r>
              <w:rPr>
                <w:rFonts w:hint="eastAsia" w:ascii="宋体" w:hAnsi="宋体" w:cs="宋体"/>
                <w:bCs/>
                <w:sz w:val="21"/>
                <w:szCs w:val="21"/>
              </w:rPr>
              <w:t>0-</w:t>
            </w:r>
            <w:r>
              <w:rPr>
                <w:rFonts w:hint="eastAsia" w:ascii="宋体" w:hAnsi="宋体" w:cs="宋体"/>
                <w:bCs/>
                <w:sz w:val="21"/>
                <w:szCs w:val="21"/>
                <w:lang w:val="en-US" w:eastAsia="zh-CN"/>
              </w:rPr>
              <w:t>15</w:t>
            </w:r>
            <w:r>
              <w:rPr>
                <w:rFonts w:hint="eastAsia" w:ascii="宋体" w:hAnsi="宋体" w:cs="宋体"/>
                <w:bCs/>
                <w:sz w:val="21"/>
                <w:szCs w:val="21"/>
                <w:lang w:val="zh-CN"/>
              </w:rPr>
              <w:t>分</w:t>
            </w:r>
          </w:p>
        </w:tc>
        <w:tc>
          <w:tcPr>
            <w:tcW w:w="987" w:type="dxa"/>
            <w:vAlign w:val="center"/>
          </w:tcPr>
          <w:p>
            <w:pPr>
              <w:spacing w:line="240" w:lineRule="exact"/>
              <w:jc w:val="center"/>
              <w:rPr>
                <w:rFonts w:ascii="宋体" w:hAnsi="宋体" w:cs="宋体"/>
                <w:bCs/>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666" w:type="dxa"/>
            <w:vAlign w:val="center"/>
          </w:tcPr>
          <w:p>
            <w:pPr>
              <w:spacing w:line="240" w:lineRule="auto"/>
              <w:jc w:val="center"/>
              <w:rPr>
                <w:rFonts w:hint="eastAsia" w:ascii="宋体" w:hAnsi="宋体" w:cs="宋体"/>
                <w:bCs/>
                <w:szCs w:val="21"/>
              </w:rPr>
            </w:pPr>
            <w:r>
              <w:rPr>
                <w:rFonts w:hint="eastAsia" w:ascii="宋体" w:hAnsi="宋体"/>
                <w:kern w:val="0"/>
                <w:szCs w:val="21"/>
              </w:rPr>
              <w:t>规划研究编制方案（15分）</w:t>
            </w:r>
          </w:p>
        </w:tc>
        <w:tc>
          <w:tcPr>
            <w:tcW w:w="5219" w:type="dxa"/>
            <w:vAlign w:val="center"/>
          </w:tcPr>
          <w:p>
            <w:pPr>
              <w:spacing w:line="240" w:lineRule="auto"/>
              <w:jc w:val="both"/>
              <w:rPr>
                <w:rFonts w:ascii="宋体" w:hAnsi="宋体"/>
                <w:kern w:val="0"/>
                <w:szCs w:val="21"/>
              </w:rPr>
            </w:pPr>
            <w:r>
              <w:rPr>
                <w:rFonts w:hint="eastAsia" w:ascii="宋体" w:hAnsi="宋体"/>
                <w:kern w:val="0"/>
                <w:szCs w:val="21"/>
              </w:rPr>
              <w:t>由评委专家根据投标人的研究编制方案的进度安排及控制措施、与招标人及其它相关方的配合等情况</w:t>
            </w:r>
            <w:r>
              <w:rPr>
                <w:rFonts w:hint="eastAsia" w:ascii="Arial" w:hAnsi="Arial" w:cs="Arial"/>
                <w:szCs w:val="21"/>
              </w:rPr>
              <w:t>进行综合</w:t>
            </w:r>
            <w:r>
              <w:rPr>
                <w:rFonts w:hint="eastAsia" w:ascii="宋体" w:hAnsi="宋体"/>
                <w:kern w:val="0"/>
                <w:szCs w:val="21"/>
              </w:rPr>
              <w:t>打分。</w:t>
            </w:r>
          </w:p>
          <w:p>
            <w:pPr>
              <w:spacing w:line="240" w:lineRule="auto"/>
              <w:jc w:val="both"/>
              <w:rPr>
                <w:rFonts w:hint="default" w:ascii="宋体" w:hAnsi="宋体" w:cs="宋体"/>
                <w:bCs/>
                <w:szCs w:val="21"/>
                <w:lang w:val="en-US"/>
              </w:rPr>
            </w:pPr>
            <w:r>
              <w:rPr>
                <w:rFonts w:hint="eastAsia" w:ascii="宋体" w:hAnsi="宋体"/>
                <w:szCs w:val="21"/>
              </w:rPr>
              <w:t>优11-15分，良7-11（含）分，一般3-7（含）分。</w:t>
            </w:r>
          </w:p>
        </w:tc>
        <w:tc>
          <w:tcPr>
            <w:tcW w:w="995" w:type="dxa"/>
            <w:vAlign w:val="center"/>
          </w:tcPr>
          <w:p>
            <w:pPr>
              <w:pStyle w:val="14"/>
              <w:snapToGrid w:val="0"/>
              <w:spacing w:line="240" w:lineRule="exact"/>
              <w:jc w:val="center"/>
              <w:rPr>
                <w:rFonts w:hint="eastAsia" w:ascii="宋体" w:hAnsi="宋体" w:cs="宋体"/>
                <w:bCs/>
                <w:caps/>
                <w:sz w:val="21"/>
                <w:szCs w:val="21"/>
              </w:rPr>
            </w:pPr>
            <w:r>
              <w:rPr>
                <w:rFonts w:hint="eastAsia" w:ascii="宋体" w:hAnsi="宋体" w:cs="宋体"/>
                <w:b w:val="0"/>
                <w:color w:val="auto"/>
                <w:sz w:val="21"/>
                <w:szCs w:val="21"/>
              </w:rPr>
              <w:t>0-</w:t>
            </w:r>
            <w:r>
              <w:rPr>
                <w:rFonts w:hint="eastAsia" w:ascii="宋体" w:hAnsi="宋体" w:cs="宋体"/>
                <w:b w:val="0"/>
                <w:color w:val="auto"/>
                <w:sz w:val="21"/>
                <w:szCs w:val="21"/>
                <w:lang w:val="en-US" w:eastAsia="zh-CN"/>
              </w:rPr>
              <w:t>15</w:t>
            </w:r>
            <w:r>
              <w:rPr>
                <w:rFonts w:hint="eastAsia" w:ascii="宋体" w:hAnsi="宋体" w:cs="宋体"/>
                <w:b w:val="0"/>
                <w:color w:val="auto"/>
                <w:sz w:val="21"/>
                <w:szCs w:val="21"/>
              </w:rPr>
              <w:t>分</w:t>
            </w:r>
          </w:p>
        </w:tc>
        <w:tc>
          <w:tcPr>
            <w:tcW w:w="98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666" w:type="dxa"/>
            <w:vAlign w:val="center"/>
          </w:tcPr>
          <w:p>
            <w:pPr>
              <w:spacing w:line="240" w:lineRule="auto"/>
              <w:jc w:val="center"/>
              <w:rPr>
                <w:rFonts w:ascii="宋体" w:hAnsi="宋体"/>
                <w:b/>
                <w:szCs w:val="21"/>
              </w:rPr>
            </w:pPr>
            <w:r>
              <w:rPr>
                <w:rFonts w:hint="eastAsia" w:ascii="宋体" w:hAnsi="宋体"/>
                <w:kern w:val="0"/>
                <w:szCs w:val="21"/>
              </w:rPr>
              <w:t>后续支持及服务方案（10分）</w:t>
            </w:r>
          </w:p>
        </w:tc>
        <w:tc>
          <w:tcPr>
            <w:tcW w:w="5219" w:type="dxa"/>
            <w:vAlign w:val="center"/>
          </w:tcPr>
          <w:p>
            <w:pPr>
              <w:spacing w:line="240" w:lineRule="auto"/>
              <w:jc w:val="both"/>
              <w:rPr>
                <w:rFonts w:ascii="宋体" w:hAnsi="宋体"/>
                <w:kern w:val="0"/>
                <w:szCs w:val="21"/>
              </w:rPr>
            </w:pPr>
            <w:r>
              <w:rPr>
                <w:rFonts w:hint="eastAsia" w:ascii="宋体" w:hAnsi="宋体"/>
                <w:kern w:val="0"/>
                <w:szCs w:val="21"/>
              </w:rPr>
              <w:t>由评委专家根据投标人承诺的后续支持及服务情况打分。</w:t>
            </w:r>
          </w:p>
          <w:p>
            <w:pPr>
              <w:spacing w:line="240" w:lineRule="auto"/>
              <w:jc w:val="both"/>
            </w:pPr>
            <w:r>
              <w:rPr>
                <w:rFonts w:hint="eastAsia" w:ascii="宋体" w:hAnsi="宋体"/>
                <w:szCs w:val="21"/>
              </w:rPr>
              <w:t>优8-10分，良6-8（含）分，一般4-6（含）分。</w:t>
            </w:r>
          </w:p>
        </w:tc>
        <w:tc>
          <w:tcPr>
            <w:tcW w:w="995" w:type="dxa"/>
            <w:vAlign w:val="center"/>
          </w:tcPr>
          <w:p>
            <w:pPr>
              <w:pStyle w:val="10"/>
              <w:snapToGrid w:val="0"/>
              <w:spacing w:line="240" w:lineRule="exact"/>
              <w:jc w:val="center"/>
            </w:pPr>
            <w:r>
              <w:rPr>
                <w:rFonts w:hint="eastAsia" w:ascii="宋体" w:hAnsi="宋体" w:cs="宋体"/>
                <w:bCs/>
                <w:caps/>
                <w:sz w:val="21"/>
                <w:szCs w:val="21"/>
              </w:rPr>
              <w:t>0-</w:t>
            </w:r>
            <w:r>
              <w:rPr>
                <w:rFonts w:hint="eastAsia" w:ascii="宋体" w:hAnsi="宋体" w:cs="宋体"/>
                <w:bCs/>
                <w:caps/>
                <w:sz w:val="21"/>
                <w:szCs w:val="21"/>
                <w:lang w:val="en-US" w:eastAsia="zh-CN"/>
              </w:rPr>
              <w:t>10</w:t>
            </w:r>
            <w:r>
              <w:rPr>
                <w:rFonts w:hint="eastAsia" w:ascii="宋体" w:hAnsi="宋体" w:cs="宋体"/>
                <w:bCs/>
                <w:caps/>
                <w:sz w:val="21"/>
                <w:szCs w:val="21"/>
              </w:rPr>
              <w:t>分</w:t>
            </w:r>
          </w:p>
        </w:tc>
        <w:tc>
          <w:tcPr>
            <w:tcW w:w="98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867" w:type="dxa"/>
            <w:gridSpan w:val="4"/>
            <w:vAlign w:val="center"/>
          </w:tcPr>
          <w:p>
            <w:pPr>
              <w:pStyle w:val="10"/>
              <w:snapToGrid w:val="0"/>
              <w:spacing w:line="240" w:lineRule="exact"/>
              <w:jc w:val="left"/>
              <w:rPr>
                <w:rFonts w:ascii="宋体" w:hAnsi="宋体"/>
                <w:b/>
                <w:color w:val="auto"/>
                <w:szCs w:val="21"/>
              </w:rPr>
            </w:pPr>
            <w:r>
              <w:rPr>
                <w:rFonts w:hint="eastAsia" w:ascii="宋体" w:hAnsi="宋体" w:cs="Courier New"/>
                <w:b/>
                <w:bCs/>
                <w:color w:val="auto"/>
                <w:sz w:val="21"/>
                <w:szCs w:val="21"/>
              </w:rPr>
              <w:t>C:商务部分评分（1</w:t>
            </w:r>
            <w:r>
              <w:rPr>
                <w:rFonts w:hint="eastAsia" w:ascii="宋体" w:hAnsi="宋体" w:cs="Courier New"/>
                <w:b/>
                <w:bCs/>
                <w:color w:val="auto"/>
                <w:sz w:val="21"/>
                <w:szCs w:val="21"/>
                <w:lang w:val="en-US" w:eastAsia="zh-CN"/>
              </w:rPr>
              <w:t>5</w:t>
            </w:r>
            <w:r>
              <w:rPr>
                <w:rFonts w:hint="eastAsia" w:ascii="宋体" w:hAnsi="宋体" w:cs="Courier New"/>
                <w:b/>
                <w:bCs/>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666" w:type="dxa"/>
            <w:vAlign w:val="center"/>
          </w:tcPr>
          <w:p>
            <w:pPr>
              <w:spacing w:line="240" w:lineRule="exact"/>
              <w:jc w:val="center"/>
              <w:rPr>
                <w:rFonts w:ascii="宋体" w:hAnsi="宋体" w:cs="宋体"/>
                <w:bCs/>
                <w:szCs w:val="21"/>
              </w:rPr>
            </w:pPr>
            <w:r>
              <w:rPr>
                <w:rFonts w:hint="eastAsia" w:ascii="宋体" w:hAnsi="宋体"/>
                <w:kern w:val="0"/>
                <w:szCs w:val="21"/>
              </w:rPr>
              <w:t>企业类似业绩</w:t>
            </w:r>
            <w:r>
              <w:rPr>
                <w:rFonts w:hint="eastAsia" w:ascii="宋体" w:hAnsi="宋体" w:cs="宋体"/>
                <w:bCs/>
                <w:szCs w:val="21"/>
                <w:lang w:val="en-US" w:eastAsia="zh-CN"/>
              </w:rPr>
              <w:t>10</w:t>
            </w:r>
            <w:r>
              <w:rPr>
                <w:rFonts w:hint="eastAsia" w:ascii="宋体" w:hAnsi="宋体" w:cs="宋体"/>
                <w:bCs/>
                <w:szCs w:val="21"/>
              </w:rPr>
              <w:t>分</w:t>
            </w:r>
          </w:p>
        </w:tc>
        <w:tc>
          <w:tcPr>
            <w:tcW w:w="5219" w:type="dxa"/>
            <w:vAlign w:val="center"/>
          </w:tcPr>
          <w:p>
            <w:pPr>
              <w:spacing w:line="240" w:lineRule="exact"/>
              <w:jc w:val="both"/>
              <w:rPr>
                <w:rFonts w:ascii="宋体" w:hAnsi="宋体" w:cs="宋体"/>
                <w:bCs/>
                <w:color w:val="auto"/>
                <w:szCs w:val="21"/>
                <w:lang w:val="zh-CN"/>
              </w:rPr>
            </w:pPr>
            <w:r>
              <w:rPr>
                <w:rFonts w:hint="eastAsia" w:ascii="宋体" w:hAnsi="宋体"/>
                <w:kern w:val="0"/>
                <w:szCs w:val="21"/>
              </w:rPr>
              <w:t>2015年1月1日以来，除资格要求外，</w:t>
            </w:r>
            <w:r>
              <w:rPr>
                <w:rFonts w:hint="eastAsia" w:ascii="宋体" w:hAnsi="宋体" w:cs="宋体"/>
                <w:lang w:bidi="he-IL"/>
              </w:rPr>
              <w:t>具有机场规划及相关业绩</w:t>
            </w:r>
            <w:r>
              <w:rPr>
                <w:rFonts w:hint="eastAsia" w:ascii="宋体" w:hAnsi="宋体"/>
                <w:kern w:val="0"/>
                <w:szCs w:val="21"/>
              </w:rPr>
              <w:t>，一个</w:t>
            </w:r>
            <w:r>
              <w:rPr>
                <w:rFonts w:hint="eastAsia" w:ascii="宋体" w:hAnsi="宋体"/>
                <w:kern w:val="0"/>
                <w:szCs w:val="21"/>
                <w:highlight w:val="none"/>
              </w:rPr>
              <w:t>得</w:t>
            </w:r>
            <w:r>
              <w:rPr>
                <w:rFonts w:ascii="宋体" w:hAnsi="宋体"/>
                <w:kern w:val="0"/>
                <w:szCs w:val="21"/>
                <w:highlight w:val="none"/>
              </w:rPr>
              <w:t>2</w:t>
            </w:r>
            <w:r>
              <w:rPr>
                <w:rFonts w:hint="eastAsia" w:ascii="宋体" w:hAnsi="宋体"/>
                <w:kern w:val="0"/>
                <w:szCs w:val="21"/>
                <w:highlight w:val="none"/>
              </w:rPr>
              <w:t>分，</w:t>
            </w:r>
            <w:r>
              <w:rPr>
                <w:rFonts w:hint="eastAsia" w:ascii="宋体" w:hAnsi="宋体"/>
                <w:kern w:val="0"/>
                <w:szCs w:val="21"/>
              </w:rPr>
              <w:t>满分10分。</w:t>
            </w:r>
            <w:r>
              <w:rPr>
                <w:rFonts w:hint="eastAsia" w:ascii="宋体" w:hAnsi="宋体"/>
                <w:b/>
                <w:kern w:val="0"/>
                <w:szCs w:val="21"/>
              </w:rPr>
              <w:t>（投标时须将类似项目的业绩合同扫描上传至电子投标文件中。</w:t>
            </w:r>
            <w:r>
              <w:rPr>
                <w:rFonts w:ascii="宋体" w:hAnsi="宋体"/>
                <w:b/>
                <w:kern w:val="0"/>
                <w:szCs w:val="21"/>
              </w:rPr>
              <w:t>）</w:t>
            </w:r>
          </w:p>
        </w:tc>
        <w:tc>
          <w:tcPr>
            <w:tcW w:w="995" w:type="dxa"/>
            <w:vAlign w:val="center"/>
          </w:tcPr>
          <w:p>
            <w:pPr>
              <w:pStyle w:val="10"/>
              <w:snapToGrid w:val="0"/>
              <w:spacing w:line="240" w:lineRule="exact"/>
              <w:jc w:val="center"/>
              <w:rPr>
                <w:rFonts w:ascii="宋体" w:hAnsi="宋体" w:cs="宋体"/>
                <w:bCs/>
                <w:caps/>
                <w:sz w:val="21"/>
                <w:szCs w:val="21"/>
              </w:rPr>
            </w:pPr>
            <w:r>
              <w:rPr>
                <w:rFonts w:hint="eastAsia" w:ascii="宋体" w:hAnsi="宋体" w:cs="宋体"/>
                <w:bCs/>
                <w:caps/>
                <w:sz w:val="21"/>
                <w:szCs w:val="21"/>
              </w:rPr>
              <w:t>0-</w:t>
            </w:r>
            <w:r>
              <w:rPr>
                <w:rFonts w:hint="eastAsia" w:ascii="宋体" w:hAnsi="宋体" w:cs="宋体"/>
                <w:bCs/>
                <w:caps/>
                <w:sz w:val="21"/>
                <w:szCs w:val="21"/>
                <w:lang w:val="en-US" w:eastAsia="zh-CN"/>
              </w:rPr>
              <w:t>10</w:t>
            </w:r>
            <w:r>
              <w:rPr>
                <w:rFonts w:hint="eastAsia" w:ascii="宋体" w:hAnsi="宋体" w:cs="宋体"/>
                <w:bCs/>
                <w:caps/>
                <w:sz w:val="21"/>
                <w:szCs w:val="21"/>
              </w:rPr>
              <w:t>分</w:t>
            </w:r>
          </w:p>
        </w:tc>
        <w:tc>
          <w:tcPr>
            <w:tcW w:w="987" w:type="dxa"/>
            <w:vAlign w:val="center"/>
          </w:tcPr>
          <w:p>
            <w:pPr>
              <w:pStyle w:val="10"/>
              <w:snapToGrid w:val="0"/>
              <w:spacing w:line="240" w:lineRule="exact"/>
              <w:jc w:val="center"/>
              <w:rPr>
                <w:rFonts w:ascii="宋体" w:hAnsi="宋体" w:cs="宋体"/>
                <w:bCs/>
                <w:cap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666" w:type="dxa"/>
            <w:vAlign w:val="center"/>
          </w:tcPr>
          <w:p>
            <w:pPr>
              <w:widowControl/>
              <w:adjustRightInd w:val="0"/>
              <w:snapToGrid w:val="0"/>
              <w:spacing w:after="200" w:line="340" w:lineRule="exact"/>
              <w:ind w:firstLine="28"/>
              <w:jc w:val="center"/>
              <w:rPr>
                <w:rFonts w:ascii="宋体" w:hAnsi="宋体"/>
                <w:kern w:val="0"/>
                <w:szCs w:val="21"/>
              </w:rPr>
            </w:pPr>
          </w:p>
          <w:p>
            <w:pPr>
              <w:widowControl/>
              <w:adjustRightInd w:val="0"/>
              <w:snapToGrid w:val="0"/>
              <w:spacing w:after="200" w:line="340" w:lineRule="exact"/>
              <w:ind w:firstLine="28" w:firstLineChars="0"/>
              <w:jc w:val="center"/>
              <w:rPr>
                <w:rFonts w:ascii="宋体" w:hAnsi="宋体"/>
                <w:b/>
                <w:szCs w:val="21"/>
              </w:rPr>
            </w:pPr>
            <w:r>
              <w:rPr>
                <w:rFonts w:hint="eastAsia" w:ascii="宋体" w:hAnsi="宋体"/>
                <w:kern w:val="0"/>
                <w:szCs w:val="21"/>
              </w:rPr>
              <w:t>项目负责人业绩（10分）</w:t>
            </w:r>
          </w:p>
        </w:tc>
        <w:tc>
          <w:tcPr>
            <w:tcW w:w="5219" w:type="dxa"/>
            <w:vAlign w:val="center"/>
          </w:tcPr>
          <w:p>
            <w:pPr>
              <w:spacing w:line="500" w:lineRule="exact"/>
              <w:jc w:val="both"/>
              <w:rPr>
                <w:rFonts w:hint="eastAsia" w:eastAsia="宋体"/>
                <w:lang w:eastAsia="zh-CN"/>
              </w:rPr>
            </w:pPr>
            <w:r>
              <w:rPr>
                <w:rFonts w:hint="eastAsia" w:ascii="宋体" w:hAnsi="宋体"/>
                <w:kern w:val="0"/>
                <w:szCs w:val="21"/>
              </w:rPr>
              <w:t>项目负责人具有主持</w:t>
            </w:r>
            <w:r>
              <w:rPr>
                <w:rFonts w:ascii="宋体" w:hAnsi="宋体"/>
                <w:kern w:val="0"/>
                <w:szCs w:val="21"/>
              </w:rPr>
              <w:t>机场规划</w:t>
            </w:r>
            <w:r>
              <w:rPr>
                <w:rFonts w:hint="eastAsia" w:ascii="宋体" w:hAnsi="宋体"/>
                <w:kern w:val="0"/>
                <w:szCs w:val="21"/>
              </w:rPr>
              <w:t>或民航宏观发展研究</w:t>
            </w:r>
            <w:r>
              <w:rPr>
                <w:rFonts w:ascii="宋体" w:hAnsi="宋体"/>
                <w:kern w:val="0"/>
                <w:szCs w:val="21"/>
              </w:rPr>
              <w:t>的业绩</w:t>
            </w:r>
            <w:r>
              <w:rPr>
                <w:rFonts w:hint="eastAsia" w:ascii="宋体" w:hAnsi="宋体"/>
                <w:kern w:val="0"/>
                <w:szCs w:val="21"/>
              </w:rPr>
              <w:t>，每个得</w:t>
            </w:r>
            <w:r>
              <w:rPr>
                <w:rFonts w:ascii="宋体" w:hAnsi="宋体"/>
                <w:kern w:val="0"/>
                <w:szCs w:val="21"/>
                <w:highlight w:val="none"/>
              </w:rPr>
              <w:t>2</w:t>
            </w:r>
            <w:r>
              <w:rPr>
                <w:rFonts w:hint="eastAsia" w:ascii="宋体" w:hAnsi="宋体"/>
                <w:kern w:val="0"/>
                <w:szCs w:val="21"/>
                <w:highlight w:val="none"/>
              </w:rPr>
              <w:t>分</w:t>
            </w:r>
            <w:r>
              <w:rPr>
                <w:rFonts w:hint="eastAsia" w:ascii="宋体" w:hAnsi="宋体"/>
                <w:kern w:val="0"/>
                <w:szCs w:val="21"/>
                <w:highlight w:val="none"/>
                <w:lang w:eastAsia="zh-CN"/>
              </w:rPr>
              <w:t>，</w:t>
            </w:r>
            <w:r>
              <w:rPr>
                <w:rFonts w:hint="eastAsia" w:ascii="宋体" w:hAnsi="宋体"/>
                <w:kern w:val="0"/>
                <w:szCs w:val="21"/>
              </w:rPr>
              <w:t>满分10分。</w:t>
            </w:r>
            <w:r>
              <w:rPr>
                <w:rFonts w:hint="eastAsia" w:ascii="宋体" w:hAnsi="宋体"/>
                <w:b/>
                <w:kern w:val="0"/>
                <w:szCs w:val="21"/>
              </w:rPr>
              <w:t>（投标时须将证</w:t>
            </w:r>
            <w:r>
              <w:rPr>
                <w:rFonts w:hint="eastAsia" w:ascii="宋体" w:hAnsi="宋体"/>
                <w:b/>
                <w:kern w:val="0"/>
                <w:szCs w:val="21"/>
                <w:lang w:eastAsia="zh-CN"/>
              </w:rPr>
              <w:t>书</w:t>
            </w:r>
            <w:r>
              <w:rPr>
                <w:rFonts w:hint="eastAsia" w:ascii="宋体" w:hAnsi="宋体"/>
                <w:b/>
                <w:kern w:val="0"/>
                <w:szCs w:val="21"/>
              </w:rPr>
              <w:t>、业绩合同、扫描上传至电子投标文件中</w:t>
            </w:r>
            <w:r>
              <w:rPr>
                <w:rFonts w:hint="eastAsia" w:ascii="宋体" w:hAnsi="宋体"/>
                <w:b/>
                <w:kern w:val="0"/>
                <w:szCs w:val="21"/>
                <w:lang w:eastAsia="zh-CN"/>
              </w:rPr>
              <w:t>。）</w:t>
            </w:r>
          </w:p>
        </w:tc>
        <w:tc>
          <w:tcPr>
            <w:tcW w:w="995" w:type="dxa"/>
            <w:vAlign w:val="center"/>
          </w:tcPr>
          <w:p>
            <w:pPr>
              <w:pStyle w:val="10"/>
              <w:snapToGrid w:val="0"/>
              <w:spacing w:line="240" w:lineRule="exact"/>
              <w:jc w:val="center"/>
            </w:pPr>
            <w:r>
              <w:rPr>
                <w:rFonts w:hint="eastAsia" w:ascii="宋体" w:hAnsi="宋体"/>
                <w:bCs/>
                <w:sz w:val="21"/>
                <w:szCs w:val="21"/>
              </w:rPr>
              <w:t>0-</w:t>
            </w:r>
            <w:r>
              <w:rPr>
                <w:rFonts w:hint="eastAsia" w:ascii="宋体" w:hAnsi="宋体"/>
                <w:bCs/>
                <w:sz w:val="21"/>
                <w:szCs w:val="21"/>
                <w:lang w:val="en-US" w:eastAsia="zh-CN"/>
              </w:rPr>
              <w:t>10</w:t>
            </w:r>
            <w:r>
              <w:rPr>
                <w:rFonts w:hint="eastAsia" w:ascii="宋体" w:hAnsi="宋体"/>
                <w:bCs/>
                <w:sz w:val="21"/>
                <w:szCs w:val="21"/>
              </w:rPr>
              <w:t>分</w:t>
            </w:r>
          </w:p>
        </w:tc>
        <w:tc>
          <w:tcPr>
            <w:tcW w:w="987" w:type="dxa"/>
            <w:vAlign w:val="center"/>
          </w:tcPr>
          <w:p>
            <w:pPr>
              <w:pStyle w:val="10"/>
              <w:snapToGrid w:val="0"/>
              <w:spacing w:line="240" w:lineRule="exact"/>
              <w:jc w:val="center"/>
              <w:rPr>
                <w:rFonts w:ascii="宋体" w:hAnsi="宋体"/>
                <w:bCs/>
                <w:sz w:val="21"/>
                <w:szCs w:val="21"/>
              </w:rPr>
            </w:pPr>
          </w:p>
        </w:tc>
      </w:tr>
    </w:tbl>
    <w:p>
      <w:pPr>
        <w:pStyle w:val="9"/>
        <w:ind w:left="0"/>
      </w:pPr>
    </w:p>
    <w:p>
      <w:pPr>
        <w:tabs>
          <w:tab w:val="left" w:pos="0"/>
        </w:tabs>
        <w:adjustRightInd w:val="0"/>
        <w:snapToGrid w:val="0"/>
        <w:spacing w:before="156" w:beforeLines="50"/>
        <w:rPr>
          <w:color w:val="000000" w:themeColor="text1"/>
          <w14:textFill>
            <w14:solidFill>
              <w14:schemeClr w14:val="tx1"/>
            </w14:solidFill>
          </w14:textFill>
        </w:rPr>
      </w:pPr>
      <w:r>
        <w:rPr>
          <w:rFonts w:hint="eastAsia" w:ascii="宋体" w:hAnsi="宋体"/>
          <w:b/>
          <w:szCs w:val="21"/>
        </w:rPr>
        <w:t>具体评分细则如下：</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5.4</w:t>
      </w:r>
      <w:r>
        <w:rPr>
          <w:rFonts w:hint="eastAsia" w:ascii="宋体" w:hAnsi="宋体" w:cs="宋体"/>
          <w:color w:val="000000" w:themeColor="text1"/>
          <w:szCs w:val="21"/>
          <w14:textFill>
            <w14:solidFill>
              <w14:schemeClr w14:val="tx1"/>
            </w14:solidFill>
          </w14:textFill>
        </w:rPr>
        <w:t>评标结果汇总完成后，除下列情形外，任何人不得修改评标结果：</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（一）分值汇总计算错误的；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（二）分项评分超出评分标准范围的；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（三）评标委员会成员对客观评审因素评分不一致的；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（四）经评标委员会认定评分畸高、畸低的。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投标人对本条第一款情形提出质疑的，采购人或者采购代理机构可以组织原评标委员会进行重新评审，重新评审改变评标结果的，应当书面报告本级财政部门。</w:t>
      </w:r>
    </w:p>
    <w:p>
      <w:pPr>
        <w:tabs>
          <w:tab w:val="left" w:pos="0"/>
        </w:tabs>
        <w:adjustRightInd w:val="0"/>
        <w:snapToGrid w:val="0"/>
        <w:spacing w:before="156" w:beforeLines="50"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6.推荐中标候选人名单</w:t>
      </w:r>
    </w:p>
    <w:p>
      <w:pPr>
        <w:pStyle w:val="10"/>
        <w:snapToGrid w:val="0"/>
        <w:spacing w:line="360" w:lineRule="exact"/>
        <w:ind w:firstLine="420" w:firstLineChars="200"/>
        <w:rPr>
          <w:rFonts w:ascii="宋体" w:hAnsi="宋体"/>
          <w:color w:val="000000" w:themeColor="text1"/>
          <w:sz w:val="21"/>
          <w:szCs w:val="21"/>
          <w14:textFill>
            <w14:solidFill>
              <w14:schemeClr w14:val="tx1"/>
            </w14:solidFill>
          </w14:textFill>
        </w:rPr>
        <w:sectPr>
          <w:pgSz w:w="11906" w:h="16838"/>
          <w:pgMar w:top="1474" w:right="1531" w:bottom="1474" w:left="1531" w:header="851" w:footer="992" w:gutter="0"/>
          <w:cols w:space="720" w:num="1"/>
          <w:docGrid w:type="lines" w:linePitch="312" w:charSpace="0"/>
        </w:sectPr>
      </w:pPr>
      <w:r>
        <w:rPr>
          <w:rFonts w:hint="eastAsia" w:ascii="宋体" w:hAnsi="宋体"/>
          <w:color w:val="000000" w:themeColor="text1"/>
          <w:sz w:val="21"/>
          <w:szCs w:val="21"/>
          <w14:textFill>
            <w14:solidFill>
              <w14:schemeClr w14:val="tx1"/>
            </w14:solidFill>
          </w14:textFill>
        </w:rPr>
        <w:t>6.1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exact"/>
        <w:jc w:val="center"/>
        <w:outlineLvl w:val="0"/>
        <w:rPr>
          <w:rFonts w:ascii="宋体" w:hAnsi="宋体"/>
          <w:b/>
          <w:bCs/>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第四章  政府采购合同格式</w:t>
      </w:r>
      <w:bookmarkEnd w:id="38"/>
      <w:r>
        <w:rPr>
          <w:rFonts w:hint="eastAsia" w:ascii="宋体" w:hAnsi="宋体"/>
          <w:b/>
          <w:color w:val="000000" w:themeColor="text1"/>
          <w:sz w:val="32"/>
          <w:szCs w:val="32"/>
          <w14:textFill>
            <w14:solidFill>
              <w14:schemeClr w14:val="tx1"/>
            </w14:solidFill>
          </w14:textFill>
        </w:rPr>
        <w:t>、验收书</w:t>
      </w:r>
    </w:p>
    <w:p>
      <w:pPr>
        <w:pStyle w:val="27"/>
        <w:ind w:firstLine="0"/>
        <w:jc w:val="center"/>
        <w:rPr>
          <w:rFonts w:hAnsi="宋体" w:eastAsia="宋体" w:cs="宋体"/>
          <w:b/>
          <w:color w:val="000000" w:themeColor="text1"/>
          <w:szCs w:val="24"/>
          <w14:textFill>
            <w14:solidFill>
              <w14:schemeClr w14:val="tx1"/>
            </w14:solidFill>
          </w14:textFill>
        </w:rPr>
      </w:pPr>
    </w:p>
    <w:p>
      <w:pPr>
        <w:pStyle w:val="27"/>
        <w:ind w:firstLine="0"/>
        <w:jc w:val="center"/>
        <w:rPr>
          <w:rFonts w:hAnsi="宋体" w:eastAsia="宋体" w:cs="宋体"/>
          <w:b/>
          <w:color w:val="000000" w:themeColor="text1"/>
          <w:szCs w:val="24"/>
          <w14:textFill>
            <w14:solidFill>
              <w14:schemeClr w14:val="tx1"/>
            </w14:solidFill>
          </w14:textFill>
        </w:rPr>
      </w:pPr>
      <w:r>
        <w:rPr>
          <w:rFonts w:hint="eastAsia" w:hAnsi="宋体" w:eastAsia="宋体" w:cs="宋体"/>
          <w:b/>
          <w:color w:val="000000" w:themeColor="text1"/>
          <w:szCs w:val="24"/>
          <w14:textFill>
            <w14:solidFill>
              <w14:schemeClr w14:val="tx1"/>
            </w14:solidFill>
          </w14:textFill>
        </w:rPr>
        <w:t>第一部分 合同书</w:t>
      </w:r>
    </w:p>
    <w:p>
      <w:pPr>
        <w:pStyle w:val="27"/>
        <w:ind w:firstLine="0"/>
        <w:rPr>
          <w:rFonts w:hAnsi="宋体"/>
          <w:color w:val="000000" w:themeColor="text1"/>
          <w:szCs w:val="24"/>
          <w14:textFill>
            <w14:solidFill>
              <w14:schemeClr w14:val="tx1"/>
            </w14:solidFill>
          </w14:textFill>
        </w:rPr>
      </w:pPr>
    </w:p>
    <w:p>
      <w:pPr>
        <w:pStyle w:val="27"/>
        <w:ind w:firstLine="0"/>
        <w:rPr>
          <w:rFonts w:hAnsi="宋体"/>
          <w:color w:val="000000" w:themeColor="text1"/>
          <w:szCs w:val="24"/>
          <w14:textFill>
            <w14:solidFill>
              <w14:schemeClr w14:val="tx1"/>
            </w14:solidFill>
          </w14:textFill>
        </w:rPr>
      </w:pP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ascii="宋体" w:hAnsi="宋体"/>
          <w:color w:val="000000" w:themeColor="text1"/>
          <w:sz w:val="24"/>
          <w:u w:val="single"/>
          <w14:textFill>
            <w14:solidFill>
              <w14:schemeClr w14:val="tx1"/>
            </w14:solidFill>
          </w14:textFill>
        </w:rPr>
        <w:t xml:space="preserve">                                   </w:t>
      </w:r>
    </w:p>
    <w:p>
      <w:pPr>
        <w:pStyle w:val="28"/>
        <w:spacing w:before="120" w:line="22" w:lineRule="atLeast"/>
        <w:rPr>
          <w:rFonts w:ascii="宋体" w:hAnsi="宋体" w:eastAsia="宋体"/>
          <w:color w:val="000000" w:themeColor="text1"/>
          <w:szCs w:val="24"/>
          <w14:textFill>
            <w14:solidFill>
              <w14:schemeClr w14:val="tx1"/>
            </w14:solidFill>
          </w14:textFill>
        </w:rPr>
      </w:pPr>
    </w:p>
    <w:p>
      <w:pPr>
        <w:pStyle w:val="28"/>
        <w:spacing w:before="120" w:line="22" w:lineRule="atLeast"/>
        <w:rPr>
          <w:rFonts w:ascii="宋体" w:hAnsi="宋体" w:eastAsia="宋体"/>
          <w:color w:val="000000" w:themeColor="text1"/>
          <w:szCs w:val="24"/>
          <w14:textFill>
            <w14:solidFill>
              <w14:schemeClr w14:val="tx1"/>
            </w14:solidFill>
          </w14:textFill>
        </w:rPr>
      </w:pPr>
    </w:p>
    <w:p>
      <w:pPr>
        <w:rPr>
          <w:rFonts w:ascii="宋体" w:hAnsi="宋体"/>
          <w:color w:val="000000" w:themeColor="text1"/>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签订地：</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签订日期：</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autoSpaceDE w:val="0"/>
        <w:autoSpaceDN w:val="0"/>
        <w:adjustRightInd w:val="0"/>
        <w:spacing w:line="600" w:lineRule="exact"/>
        <w:ind w:firstLine="640"/>
        <w:jc w:val="center"/>
        <w:rPr>
          <w:rFonts w:ascii="宋体" w:hAnsi="宋体"/>
          <w:color w:val="000000" w:themeColor="text1"/>
          <w:sz w:val="24"/>
          <w14:textFill>
            <w14:solidFill>
              <w14:schemeClr w14:val="tx1"/>
            </w14:solidFill>
          </w14:textFill>
        </w:rPr>
      </w:pPr>
    </w:p>
    <w:p>
      <w:pPr>
        <w:pStyle w:val="2"/>
        <w:rPr>
          <w:rFonts w:ascii="宋体" w:hAnsi="宋体"/>
          <w:color w:val="000000" w:themeColor="text1"/>
          <w:sz w:val="24"/>
          <w14:textFill>
            <w14:solidFill>
              <w14:schemeClr w14:val="tx1"/>
            </w14:solidFill>
          </w14:textFill>
        </w:rPr>
      </w:pPr>
    </w:p>
    <w:p>
      <w:pPr>
        <w:pStyle w:val="2"/>
        <w:rPr>
          <w:rFonts w:ascii="宋体" w:hAnsi="宋体"/>
          <w:color w:val="000000" w:themeColor="text1"/>
          <w:sz w:val="24"/>
          <w14:textFill>
            <w14:solidFill>
              <w14:schemeClr w14:val="tx1"/>
            </w14:solidFill>
          </w14:textFill>
        </w:rPr>
      </w:pPr>
    </w:p>
    <w:p>
      <w:pPr>
        <w:pStyle w:val="2"/>
        <w:jc w:val="center"/>
        <w:rPr>
          <w:rFonts w:hint="eastAsia" w:ascii="宋体" w:hAnsi="宋体" w:eastAsia="宋体"/>
          <w:b/>
          <w:bCs/>
          <w:color w:val="000000" w:themeColor="text1"/>
          <w:sz w:val="24"/>
          <w:lang w:eastAsia="zh-CN"/>
          <w14:textFill>
            <w14:solidFill>
              <w14:schemeClr w14:val="tx1"/>
            </w14:solidFill>
          </w14:textFill>
        </w:rPr>
        <w:sectPr>
          <w:headerReference r:id="rId10" w:type="first"/>
          <w:footerReference r:id="rId13" w:type="first"/>
          <w:headerReference r:id="rId8" w:type="default"/>
          <w:footerReference r:id="rId11" w:type="default"/>
          <w:headerReference r:id="rId9" w:type="even"/>
          <w:footerReference r:id="rId12" w:type="even"/>
          <w:pgSz w:w="11907" w:h="16840"/>
          <w:pgMar w:top="1474" w:right="1814" w:bottom="1474" w:left="1814" w:header="851" w:footer="851" w:gutter="0"/>
          <w:cols w:space="720" w:num="1"/>
          <w:docGrid w:linePitch="462" w:charSpace="0"/>
        </w:sectPr>
      </w:pPr>
      <w:r>
        <w:rPr>
          <w:rFonts w:hint="eastAsia" w:ascii="宋体" w:hAnsi="宋体"/>
          <w:b/>
          <w:bCs/>
          <w:color w:val="000000" w:themeColor="text1"/>
          <w:sz w:val="24"/>
          <w:lang w:eastAsia="zh-CN"/>
          <w14:textFill>
            <w14:solidFill>
              <w14:schemeClr w14:val="tx1"/>
            </w14:solidFill>
          </w14:textFill>
        </w:rPr>
        <w:t>（仅供参考）</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年</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月</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以</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（政府采购方式）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（同前页项目名称）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项目进行了采购。经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（相关评定主体名称）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评定，</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hint="eastAsia" w:ascii="宋体" w:hAnsi="宋体"/>
          <w:color w:val="000000" w:themeColor="text1"/>
          <w:szCs w:val="21"/>
          <w14:textFill>
            <w14:solidFill>
              <w14:schemeClr w14:val="tx1"/>
            </w14:solidFill>
          </w14:textFill>
        </w:rPr>
        <w:t>为该项目成交供应商。现于成交通知书发出之日起三十日内，按照采购文件确定的事项签订本合同。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根据《中华人民共和国合同法》、《中华人民共和国政府采购法》等相关法律法规之规定，按照平等、自愿、公平和诚实信用的原则，经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以下简称：甲方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和</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以下简称：乙方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协商一致，约定以下合同</w:t>
      </w:r>
      <w:r>
        <w:rPr>
          <w:rFonts w:hint="eastAsia" w:ascii="宋体" w:hAnsi="宋体"/>
          <w:color w:val="000000" w:themeColor="text1"/>
          <w:szCs w:val="21"/>
          <w14:textFill>
            <w14:solidFill>
              <w14:schemeClr w14:val="tx1"/>
            </w14:solidFill>
          </w14:textFill>
        </w:rPr>
        <w:t>条款，以兹共同遵守、全面履行。</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0" w:name="_Toc3029"/>
      <w:bookmarkStart w:id="41" w:name="_Toc2232"/>
      <w:bookmarkStart w:id="42" w:name="_Toc24059"/>
      <w:r>
        <w:rPr>
          <w:rFonts w:ascii="宋体" w:hAnsi="宋体"/>
          <w:b/>
          <w:color w:val="000000" w:themeColor="text1"/>
          <w:szCs w:val="21"/>
          <w14:textFill>
            <w14:solidFill>
              <w14:schemeClr w14:val="tx1"/>
            </w14:solidFill>
          </w14:textFill>
        </w:rPr>
        <w:t xml:space="preserve">1.1 </w:t>
      </w:r>
      <w:r>
        <w:rPr>
          <w:rFonts w:hint="eastAsia" w:ascii="宋体" w:hAnsi="宋体"/>
          <w:b/>
          <w:color w:val="000000" w:themeColor="text1"/>
          <w:szCs w:val="21"/>
          <w14:textFill>
            <w14:solidFill>
              <w14:schemeClr w14:val="tx1"/>
            </w14:solidFill>
          </w14:textFill>
        </w:rPr>
        <w:t>合同组成部分</w:t>
      </w:r>
      <w:bookmarkEnd w:id="40"/>
      <w:bookmarkEnd w:id="41"/>
      <w:bookmarkEnd w:id="42"/>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1.1.1 </w:t>
      </w:r>
      <w:r>
        <w:rPr>
          <w:rFonts w:hint="eastAsia" w:ascii="宋体" w:hAnsi="宋体"/>
          <w:color w:val="000000" w:themeColor="text1"/>
          <w:szCs w:val="21"/>
          <w14:textFill>
            <w14:solidFill>
              <w14:schemeClr w14:val="tx1"/>
            </w14:solidFill>
          </w14:textFill>
        </w:rPr>
        <w:t>本合同及其补充合同、变更协议；</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1.1.2 </w:t>
      </w:r>
      <w:r>
        <w:rPr>
          <w:rFonts w:hint="eastAsia" w:ascii="宋体" w:hAnsi="宋体"/>
          <w:color w:val="000000" w:themeColor="text1"/>
          <w:szCs w:val="21"/>
          <w14:textFill>
            <w14:solidFill>
              <w14:schemeClr w14:val="tx1"/>
            </w14:solidFill>
          </w14:textFill>
        </w:rPr>
        <w:t>成交通知书；</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1.1.3 </w:t>
      </w:r>
      <w:r>
        <w:rPr>
          <w:rFonts w:hint="eastAsia" w:ascii="宋体" w:hAnsi="宋体"/>
          <w:color w:val="000000" w:themeColor="text1"/>
          <w:szCs w:val="21"/>
          <w14:textFill>
            <w14:solidFill>
              <w14:schemeClr w14:val="tx1"/>
            </w14:solidFill>
          </w14:textFill>
        </w:rPr>
        <w:t>响应文件（含澄清或者说明文件）；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1.1.4 </w:t>
      </w:r>
      <w:r>
        <w:rPr>
          <w:rFonts w:hint="eastAsia" w:ascii="宋体" w:hAnsi="宋体"/>
          <w:color w:val="000000" w:themeColor="text1"/>
          <w:szCs w:val="21"/>
          <w14:textFill>
            <w14:solidFill>
              <w14:schemeClr w14:val="tx1"/>
            </w14:solidFill>
          </w14:textFill>
        </w:rPr>
        <w:t>采购文件（含澄清或者修改文件）；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1.1.5 </w:t>
      </w:r>
      <w:r>
        <w:rPr>
          <w:rFonts w:hint="eastAsia" w:ascii="宋体" w:hAnsi="宋体"/>
          <w:color w:val="000000" w:themeColor="text1"/>
          <w:szCs w:val="21"/>
          <w14:textFill>
            <w14:solidFill>
              <w14:schemeClr w14:val="tx1"/>
            </w14:solidFill>
          </w14:textFill>
        </w:rPr>
        <w:t>其他相关采购文件。</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3" w:name="_Toc21295"/>
      <w:bookmarkStart w:id="44" w:name="_Toc27126"/>
      <w:bookmarkStart w:id="45" w:name="_Toc24300"/>
      <w:r>
        <w:rPr>
          <w:rFonts w:ascii="宋体" w:hAnsi="宋体"/>
          <w:b/>
          <w:color w:val="000000" w:themeColor="text1"/>
          <w:szCs w:val="21"/>
          <w14:textFill>
            <w14:solidFill>
              <w14:schemeClr w14:val="tx1"/>
            </w14:solidFill>
          </w14:textFill>
        </w:rPr>
        <w:t xml:space="preserve">1.2 </w:t>
      </w:r>
      <w:r>
        <w:rPr>
          <w:rFonts w:hint="eastAsia" w:ascii="宋体" w:hAnsi="宋体"/>
          <w:b/>
          <w:color w:val="000000" w:themeColor="text1"/>
          <w:szCs w:val="21"/>
          <w14:textFill>
            <w14:solidFill>
              <w14:schemeClr w14:val="tx1"/>
            </w14:solidFill>
          </w14:textFill>
        </w:rPr>
        <w:t>货物</w:t>
      </w:r>
      <w:bookmarkEnd w:id="43"/>
      <w:bookmarkEnd w:id="44"/>
      <w:bookmarkEnd w:id="45"/>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1.2.1 </w:t>
      </w:r>
      <w:r>
        <w:rPr>
          <w:rFonts w:hint="eastAsia" w:ascii="宋体" w:hAnsi="宋体"/>
          <w:color w:val="000000" w:themeColor="text1"/>
          <w:szCs w:val="21"/>
          <w14:textFill>
            <w14:solidFill>
              <w14:schemeClr w14:val="tx1"/>
            </w14:solidFill>
          </w14:textFill>
        </w:rPr>
        <w:t>货物名称：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1.2.2 </w:t>
      </w:r>
      <w:r>
        <w:rPr>
          <w:rFonts w:hint="eastAsia" w:ascii="宋体" w:hAnsi="宋体"/>
          <w:color w:val="000000" w:themeColor="text1"/>
          <w:szCs w:val="21"/>
          <w14:textFill>
            <w14:solidFill>
              <w14:schemeClr w14:val="tx1"/>
            </w14:solidFill>
          </w14:textFill>
        </w:rPr>
        <w:t>货物数量：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1.2.3 </w:t>
      </w:r>
      <w:r>
        <w:rPr>
          <w:rFonts w:hint="eastAsia" w:ascii="宋体" w:hAnsi="宋体"/>
          <w:color w:val="000000" w:themeColor="text1"/>
          <w:szCs w:val="21"/>
          <w14:textFill>
            <w14:solidFill>
              <w14:schemeClr w14:val="tx1"/>
            </w14:solidFill>
          </w14:textFill>
        </w:rPr>
        <w:t>货物质量：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6" w:name="_Toc23292"/>
      <w:bookmarkStart w:id="47" w:name="_Toc21551"/>
      <w:bookmarkStart w:id="48" w:name="_Toc21631"/>
      <w:r>
        <w:rPr>
          <w:rFonts w:ascii="宋体" w:hAnsi="宋体"/>
          <w:b/>
          <w:color w:val="000000" w:themeColor="text1"/>
          <w:szCs w:val="21"/>
          <w14:textFill>
            <w14:solidFill>
              <w14:schemeClr w14:val="tx1"/>
            </w14:solidFill>
          </w14:textFill>
        </w:rPr>
        <w:t xml:space="preserve">1.3 </w:t>
      </w:r>
      <w:r>
        <w:rPr>
          <w:rFonts w:hint="eastAsia" w:ascii="宋体" w:hAnsi="宋体"/>
          <w:b/>
          <w:color w:val="000000" w:themeColor="text1"/>
          <w:szCs w:val="21"/>
          <w14:textFill>
            <w14:solidFill>
              <w14:schemeClr w14:val="tx1"/>
            </w14:solidFill>
          </w14:textFill>
        </w:rPr>
        <w:t>价款</w:t>
      </w:r>
      <w:bookmarkEnd w:id="46"/>
      <w:bookmarkEnd w:id="47"/>
      <w:bookmarkEnd w:id="48"/>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本合同总价为：￥</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元（大写：</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元人民币）。</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分项价格：</w:t>
      </w:r>
    </w:p>
    <w:tbl>
      <w:tblPr>
        <w:tblStyle w:val="19"/>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vAlign w:val="center"/>
          </w:tcPr>
          <w:p>
            <w:pPr>
              <w:pStyle w:val="29"/>
              <w:spacing w:line="560" w:lineRule="exact"/>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序号</w:t>
            </w:r>
          </w:p>
        </w:tc>
        <w:tc>
          <w:tcPr>
            <w:tcW w:w="3402" w:type="dxa"/>
            <w:vAlign w:val="center"/>
          </w:tcPr>
          <w:p>
            <w:pPr>
              <w:pStyle w:val="29"/>
              <w:spacing w:line="560" w:lineRule="exact"/>
              <w:ind w:firstLine="200"/>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分项名称</w:t>
            </w:r>
          </w:p>
        </w:tc>
        <w:tc>
          <w:tcPr>
            <w:tcW w:w="2552" w:type="dxa"/>
            <w:vAlign w:val="center"/>
          </w:tcPr>
          <w:p>
            <w:pPr>
              <w:pStyle w:val="29"/>
              <w:spacing w:line="560" w:lineRule="exact"/>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vAlign w:val="center"/>
          </w:tcPr>
          <w:p>
            <w:pPr>
              <w:pStyle w:val="29"/>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3402" w:type="dxa"/>
            <w:vAlign w:val="center"/>
          </w:tcPr>
          <w:p>
            <w:pPr>
              <w:pStyle w:val="29"/>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2552" w:type="dxa"/>
            <w:vAlign w:val="center"/>
          </w:tcPr>
          <w:p>
            <w:pPr>
              <w:pStyle w:val="29"/>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vAlign w:val="center"/>
          </w:tcPr>
          <w:p>
            <w:pPr>
              <w:pStyle w:val="29"/>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3402" w:type="dxa"/>
            <w:vAlign w:val="center"/>
          </w:tcPr>
          <w:p>
            <w:pPr>
              <w:pStyle w:val="29"/>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2552" w:type="dxa"/>
            <w:vAlign w:val="center"/>
          </w:tcPr>
          <w:p>
            <w:pPr>
              <w:pStyle w:val="29"/>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r>
    </w:tbl>
    <w:p>
      <w:pPr>
        <w:pStyle w:val="29"/>
        <w:spacing w:line="560" w:lineRule="exact"/>
        <w:ind w:firstLine="200"/>
        <w:jc w:val="center"/>
        <w:rPr>
          <w:rFonts w:hAnsi="宋体"/>
          <w:color w:val="000000" w:themeColor="text1"/>
          <w:kern w:val="2"/>
          <w:sz w:val="21"/>
          <w:szCs w:val="21"/>
          <w14:textFill>
            <w14:solidFill>
              <w14:schemeClr w14:val="tx1"/>
            </w14:solidFill>
          </w14:textFill>
        </w:rPr>
        <w:sectPr>
          <w:headerReference r:id="rId15" w:type="first"/>
          <w:footerReference r:id="rId17" w:type="first"/>
          <w:headerReference r:id="rId14" w:type="default"/>
          <w:footerReference r:id="rId16" w:type="default"/>
          <w:pgSz w:w="11906" w:h="16838"/>
          <w:pgMar w:top="1134" w:right="1134" w:bottom="1134" w:left="1418" w:header="851" w:footer="992" w:gutter="0"/>
          <w:cols w:space="720" w:num="1"/>
          <w:titlePg/>
          <w:docGrid w:type="lines" w:linePitch="333" w:charSpace="0"/>
        </w:sectPr>
      </w:pPr>
    </w:p>
    <w:tbl>
      <w:tblPr>
        <w:tblStyle w:val="19"/>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总价</w:t>
            </w:r>
          </w:p>
        </w:tc>
        <w:tc>
          <w:tcPr>
            <w:tcW w:w="2552" w:type="dxa"/>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r>
    </w:tbl>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9" w:name="_Toc22618"/>
      <w:bookmarkStart w:id="50" w:name="_Toc10340"/>
      <w:bookmarkStart w:id="51" w:name="_Toc1814"/>
      <w:r>
        <w:rPr>
          <w:rFonts w:ascii="宋体" w:hAnsi="宋体"/>
          <w:b/>
          <w:color w:val="000000" w:themeColor="text1"/>
          <w:szCs w:val="21"/>
          <w14:textFill>
            <w14:solidFill>
              <w14:schemeClr w14:val="tx1"/>
            </w14:solidFill>
          </w14:textFill>
        </w:rPr>
        <w:t xml:space="preserve">1.4 </w:t>
      </w:r>
      <w:r>
        <w:rPr>
          <w:rFonts w:hint="eastAsia" w:ascii="宋体" w:hAnsi="宋体"/>
          <w:b/>
          <w:color w:val="000000" w:themeColor="text1"/>
          <w:szCs w:val="21"/>
          <w14:textFill>
            <w14:solidFill>
              <w14:schemeClr w14:val="tx1"/>
            </w14:solidFill>
          </w14:textFill>
        </w:rPr>
        <w:t>付款方式和发票开具方式</w:t>
      </w:r>
      <w:bookmarkEnd w:id="49"/>
      <w:bookmarkEnd w:id="50"/>
      <w:bookmarkEnd w:id="51"/>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1.4.1 </w:t>
      </w:r>
      <w:r>
        <w:rPr>
          <w:rFonts w:hint="eastAsia" w:ascii="宋体" w:hAnsi="宋体"/>
          <w:color w:val="000000" w:themeColor="text1"/>
          <w:szCs w:val="21"/>
          <w14:textFill>
            <w14:solidFill>
              <w14:schemeClr w14:val="tx1"/>
            </w14:solidFill>
          </w14:textFill>
        </w:rPr>
        <w:t>付款方式：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1.4.2 </w:t>
      </w:r>
      <w:r>
        <w:rPr>
          <w:rFonts w:hint="eastAsia" w:ascii="宋体" w:hAnsi="宋体"/>
          <w:color w:val="000000" w:themeColor="text1"/>
          <w:szCs w:val="21"/>
          <w14:textFill>
            <w14:solidFill>
              <w14:schemeClr w14:val="tx1"/>
            </w14:solidFill>
          </w14:textFill>
        </w:rPr>
        <w:t>发票开具方式：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2" w:name="_Toc32071"/>
      <w:bookmarkStart w:id="53" w:name="_Toc2846"/>
      <w:bookmarkStart w:id="54" w:name="_Toc19304"/>
      <w:r>
        <w:rPr>
          <w:rFonts w:ascii="宋体" w:hAnsi="宋体"/>
          <w:b/>
          <w:color w:val="000000" w:themeColor="text1"/>
          <w:szCs w:val="21"/>
          <w14:textFill>
            <w14:solidFill>
              <w14:schemeClr w14:val="tx1"/>
            </w14:solidFill>
          </w14:textFill>
        </w:rPr>
        <w:t xml:space="preserve">1.5 </w:t>
      </w:r>
      <w:r>
        <w:rPr>
          <w:rFonts w:hint="eastAsia" w:ascii="宋体" w:hAnsi="宋体"/>
          <w:b/>
          <w:color w:val="000000" w:themeColor="text1"/>
          <w:szCs w:val="21"/>
          <w14:textFill>
            <w14:solidFill>
              <w14:schemeClr w14:val="tx1"/>
            </w14:solidFill>
          </w14:textFill>
        </w:rPr>
        <w:t>货物交付期限、地点和方式</w:t>
      </w:r>
      <w:bookmarkEnd w:id="52"/>
      <w:bookmarkEnd w:id="53"/>
      <w:bookmarkEnd w:id="54"/>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1.5.1 </w:t>
      </w:r>
      <w:r>
        <w:rPr>
          <w:rFonts w:hint="eastAsia" w:ascii="宋体" w:hAnsi="宋体"/>
          <w:color w:val="000000" w:themeColor="text1"/>
          <w:szCs w:val="21"/>
          <w14:textFill>
            <w14:solidFill>
              <w14:schemeClr w14:val="tx1"/>
            </w14:solidFill>
          </w14:textFill>
        </w:rPr>
        <w:t>交付期限：</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1.5.2 </w:t>
      </w:r>
      <w:r>
        <w:rPr>
          <w:rFonts w:hint="eastAsia" w:ascii="宋体" w:hAnsi="宋体"/>
          <w:color w:val="000000" w:themeColor="text1"/>
          <w:szCs w:val="21"/>
          <w14:textFill>
            <w14:solidFill>
              <w14:schemeClr w14:val="tx1"/>
            </w14:solidFill>
          </w14:textFill>
        </w:rPr>
        <w:t>交付地点：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1.5.3 </w:t>
      </w:r>
      <w:r>
        <w:rPr>
          <w:rFonts w:hint="eastAsia" w:ascii="宋体" w:hAnsi="宋体"/>
          <w:color w:val="000000" w:themeColor="text1"/>
          <w:szCs w:val="21"/>
          <w14:textFill>
            <w14:solidFill>
              <w14:schemeClr w14:val="tx1"/>
            </w14:solidFill>
          </w14:textFill>
        </w:rPr>
        <w:t>交付方式：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5" w:name="_Toc21423"/>
      <w:bookmarkStart w:id="56" w:name="_Toc27250"/>
      <w:bookmarkStart w:id="57" w:name="_Toc19554"/>
      <w:r>
        <w:rPr>
          <w:rFonts w:ascii="宋体" w:hAnsi="宋体"/>
          <w:b/>
          <w:color w:val="000000" w:themeColor="text1"/>
          <w:szCs w:val="21"/>
          <w14:textFill>
            <w14:solidFill>
              <w14:schemeClr w14:val="tx1"/>
            </w14:solidFill>
          </w14:textFill>
        </w:rPr>
        <w:t xml:space="preserve">1.6 </w:t>
      </w:r>
      <w:r>
        <w:rPr>
          <w:rFonts w:hint="eastAsia" w:ascii="宋体" w:hAnsi="宋体"/>
          <w:b/>
          <w:color w:val="000000" w:themeColor="text1"/>
          <w:szCs w:val="21"/>
          <w14:textFill>
            <w14:solidFill>
              <w14:schemeClr w14:val="tx1"/>
            </w14:solidFill>
          </w14:textFill>
        </w:rPr>
        <w:t>违约责任</w:t>
      </w:r>
      <w:bookmarkEnd w:id="55"/>
      <w:bookmarkEnd w:id="56"/>
      <w:bookmarkEnd w:id="57"/>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1.6.1 </w:t>
      </w:r>
      <w:r>
        <w:rPr>
          <w:rFonts w:hint="eastAsia" w:ascii="宋体" w:hAnsi="宋体"/>
          <w:color w:val="000000" w:themeColor="text1"/>
          <w:szCs w:val="21"/>
          <w14:textFill>
            <w14:solidFill>
              <w14:schemeClr w14:val="tx1"/>
            </w14:solidFill>
          </w14:textFill>
        </w:rPr>
        <w:t>除不可抗力外，如果乙方没有按照本合同约定的期限、地点和方式交付货物，那么甲方可要求乙方支付违约金，违约金按每迟延交付货物一日的应交付而未交付货物价格的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；迟延交付货物的违约金计算数额达到前述最高限额之日起，甲方有权在要求乙方支付违约金的同时，书面通知乙方解除本合同；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1.6.2 </w:t>
      </w:r>
      <w:r>
        <w:rPr>
          <w:rFonts w:hint="eastAsia" w:ascii="宋体" w:hAnsi="宋体"/>
          <w:color w:val="000000" w:themeColor="text1"/>
          <w:szCs w:val="21"/>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1.6.3 </w:t>
      </w:r>
      <w:r>
        <w:rPr>
          <w:rFonts w:hint="eastAsia" w:ascii="宋体" w:hAnsi="宋体"/>
          <w:color w:val="000000" w:themeColor="text1"/>
          <w:szCs w:val="21"/>
          <w14:textFill>
            <w14:solidFill>
              <w14:schemeClr w14:val="tx1"/>
            </w14:solidFill>
          </w14:textFill>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1.6.4 </w:t>
      </w:r>
      <w:r>
        <w:rPr>
          <w:rFonts w:hint="eastAsia" w:ascii="宋体" w:hAnsi="宋体"/>
          <w:color w:val="000000" w:themeColor="text1"/>
          <w:szCs w:val="21"/>
          <w14:textFill>
            <w14:solidFill>
              <w14:schemeClr w14:val="tx1"/>
            </w14:solidFill>
          </w14:textFill>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1.6.5 </w:t>
      </w:r>
      <w:r>
        <w:rPr>
          <w:rFonts w:hint="eastAsia" w:ascii="宋体" w:hAnsi="宋体"/>
          <w:color w:val="000000" w:themeColor="text1"/>
          <w:szCs w:val="21"/>
          <w14:textFill>
            <w14:solidFill>
              <w14:schemeClr w14:val="tx1"/>
            </w14:solidFill>
          </w14:textFill>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1.6.6 </w:t>
      </w:r>
      <w:r>
        <w:rPr>
          <w:rFonts w:hint="eastAsia" w:ascii="宋体" w:hAnsi="宋体"/>
          <w:color w:val="000000" w:themeColor="text1"/>
          <w:szCs w:val="21"/>
          <w14:textFill>
            <w14:solidFill>
              <w14:schemeClr w14:val="tx1"/>
            </w14:solidFill>
          </w14:textFill>
        </w:rPr>
        <w:t>如果出现政府采购监督管理部门在处理投诉事项期间，书面通知甲方暂停采购活动的情形，或者询问或质疑事项可能影响成交结果的，导致甲方中止履行合同的情形，均不视为甲方违约。</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8" w:name="_Toc16021"/>
      <w:bookmarkStart w:id="59" w:name="_Toc28375"/>
      <w:bookmarkStart w:id="60" w:name="_Toc15583"/>
      <w:r>
        <w:rPr>
          <w:rFonts w:ascii="宋体" w:hAnsi="宋体"/>
          <w:b/>
          <w:color w:val="000000" w:themeColor="text1"/>
          <w:szCs w:val="21"/>
          <w14:textFill>
            <w14:solidFill>
              <w14:schemeClr w14:val="tx1"/>
            </w14:solidFill>
          </w14:textFill>
        </w:rPr>
        <w:t xml:space="preserve">1.7 </w:t>
      </w:r>
      <w:r>
        <w:rPr>
          <w:rFonts w:hint="eastAsia" w:ascii="宋体" w:hAnsi="宋体"/>
          <w:b/>
          <w:color w:val="000000" w:themeColor="text1"/>
          <w:szCs w:val="21"/>
          <w14:textFill>
            <w14:solidFill>
              <w14:schemeClr w14:val="tx1"/>
            </w14:solidFill>
          </w14:textFill>
        </w:rPr>
        <w:t>合同争议的解决</w:t>
      </w:r>
      <w:bookmarkEnd w:id="58"/>
      <w:bookmarkEnd w:id="59"/>
      <w:bookmarkEnd w:id="60"/>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本合同履行过程中发生的任何争议，双方当事人均可通过和解或者调解解决；不愿和解、调解或者和解、调解不成的，可以选择下列第</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2</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种方式解决：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1.7.1 </w:t>
      </w:r>
      <w:r>
        <w:rPr>
          <w:rFonts w:hint="eastAsia" w:ascii="宋体" w:hAnsi="宋体"/>
          <w:color w:val="000000" w:themeColor="text1"/>
          <w:szCs w:val="21"/>
          <w14:textFill>
            <w14:solidFill>
              <w14:schemeClr w14:val="tx1"/>
            </w14:solidFill>
          </w14:textFill>
        </w:rPr>
        <w:t>将争议提交</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仲裁委员会依申请仲裁时其现行有效的仲裁规则裁决；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1.7.2 </w:t>
      </w:r>
      <w:r>
        <w:rPr>
          <w:rFonts w:hint="eastAsia" w:ascii="宋体" w:hAnsi="宋体"/>
          <w:color w:val="000000" w:themeColor="text1"/>
          <w:szCs w:val="21"/>
          <w14:textFill>
            <w14:solidFill>
              <w14:schemeClr w14:val="tx1"/>
            </w14:solidFill>
          </w14:textFill>
        </w:rPr>
        <w:t>向</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合同履行地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人民法院起诉。</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61" w:name="_Toc7245"/>
      <w:bookmarkStart w:id="62" w:name="_Toc11173"/>
      <w:bookmarkStart w:id="63" w:name="_Toc15322"/>
      <w:r>
        <w:rPr>
          <w:rFonts w:ascii="宋体" w:hAnsi="宋体"/>
          <w:b/>
          <w:color w:val="000000" w:themeColor="text1"/>
          <w:szCs w:val="21"/>
          <w14:textFill>
            <w14:solidFill>
              <w14:schemeClr w14:val="tx1"/>
            </w14:solidFill>
          </w14:textFill>
        </w:rPr>
        <w:t xml:space="preserve">1.8 </w:t>
      </w:r>
      <w:r>
        <w:rPr>
          <w:rFonts w:hint="eastAsia" w:ascii="宋体" w:hAnsi="宋体"/>
          <w:b/>
          <w:color w:val="000000" w:themeColor="text1"/>
          <w:szCs w:val="21"/>
          <w14:textFill>
            <w14:solidFill>
              <w14:schemeClr w14:val="tx1"/>
            </w14:solidFill>
          </w14:textFill>
        </w:rPr>
        <w:t>合同生效</w:t>
      </w:r>
      <w:bookmarkEnd w:id="61"/>
      <w:bookmarkEnd w:id="62"/>
      <w:bookmarkEnd w:id="63"/>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本合同自双方当事人盖章或者签字时生效。</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b/>
          <w:color w:val="000000" w:themeColor="text1"/>
          <w:szCs w:val="21"/>
          <w:lang w:val="zh-CN"/>
          <w14:textFill>
            <w14:solidFill>
              <w14:schemeClr w14:val="tx1"/>
            </w14:solidFill>
          </w14:textFill>
        </w:rPr>
        <w:t>甲方</w:t>
      </w:r>
      <w:r>
        <w:rPr>
          <w:rFonts w:hint="eastAsia" w:ascii="宋体" w:hAnsi="宋体"/>
          <w:color w:val="000000" w:themeColor="text1"/>
          <w:szCs w:val="21"/>
          <w:lang w:val="zh-CN"/>
          <w14:textFill>
            <w14:solidFill>
              <w14:schemeClr w14:val="tx1"/>
            </w14:solidFill>
          </w14:textFill>
        </w:rPr>
        <w:t>：</w:t>
      </w:r>
      <w:r>
        <w:rPr>
          <w:rFonts w:ascii="宋体" w:hAnsi="宋体"/>
          <w:color w:val="000000" w:themeColor="text1"/>
          <w:szCs w:val="21"/>
          <w:lang w:val="zh-CN"/>
          <w14:textFill>
            <w14:solidFill>
              <w14:schemeClr w14:val="tx1"/>
            </w14:solidFill>
          </w14:textFill>
        </w:rPr>
        <w:t xml:space="preserve">                             </w:t>
      </w:r>
      <w:r>
        <w:rPr>
          <w:rFonts w:ascii="宋体" w:hAnsi="宋体"/>
          <w:b/>
          <w:color w:val="000000" w:themeColor="text1"/>
          <w:szCs w:val="21"/>
          <w:lang w:val="zh-CN"/>
          <w14:textFill>
            <w14:solidFill>
              <w14:schemeClr w14:val="tx1"/>
            </w14:solidFill>
          </w14:textFill>
        </w:rPr>
        <w:t xml:space="preserve">      </w:t>
      </w:r>
      <w:r>
        <w:rPr>
          <w:rFonts w:hint="eastAsia" w:ascii="宋体" w:hAnsi="宋体"/>
          <w:b/>
          <w:color w:val="000000" w:themeColor="text1"/>
          <w:szCs w:val="21"/>
          <w:lang w:val="zh-CN"/>
          <w14:textFill>
            <w14:solidFill>
              <w14:schemeClr w14:val="tx1"/>
            </w14:solidFill>
          </w14:textFill>
        </w:rPr>
        <w:t>乙方</w:t>
      </w:r>
      <w:r>
        <w:rPr>
          <w:rFonts w:hint="eastAsia"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统一社会信用代码：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统一社会信用代码或身份证号码：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住所：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住所：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法定代表人或</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法定代表人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授权代表（签字）：</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或授权代表（签字）</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联系人：</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联系人：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约定送达地址：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约定送达地址：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邮政编码：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邮政编码：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电子邮箱：</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电子邮箱：</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开户账号：</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开户账号：</w:t>
      </w:r>
    </w:p>
    <w:p>
      <w:pPr>
        <w:widowControl/>
        <w:spacing w:line="560" w:lineRule="exact"/>
        <w:jc w:val="left"/>
        <w:rPr>
          <w:rFonts w:ascii="宋体" w:hAnsi="宋体"/>
          <w:b/>
          <w:color w:val="000000" w:themeColor="text1"/>
          <w14:textFill>
            <w14:solidFill>
              <w14:schemeClr w14:val="tx1"/>
            </w14:solidFill>
          </w14:textFill>
        </w:rPr>
      </w:pPr>
      <w:bookmarkStart w:id="64" w:name="_Toc331685783"/>
    </w:p>
    <w:p>
      <w:pPr>
        <w:widowControl/>
        <w:spacing w:line="560" w:lineRule="exact"/>
        <w:jc w:val="left"/>
        <w:rPr>
          <w:rFonts w:ascii="宋体" w:hAnsi="宋体"/>
          <w:b/>
          <w:color w:val="000000" w:themeColor="text1"/>
          <w14:textFill>
            <w14:solidFill>
              <w14:schemeClr w14:val="tx1"/>
            </w14:solidFill>
          </w14:textFill>
        </w:rPr>
      </w:pPr>
    </w:p>
    <w:p>
      <w:pPr>
        <w:widowControl/>
        <w:spacing w:line="560" w:lineRule="exact"/>
        <w:jc w:val="left"/>
        <w:rPr>
          <w:rFonts w:ascii="宋体" w:hAnsi="宋体"/>
          <w:b/>
          <w:color w:val="000000" w:themeColor="text1"/>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pStyle w:val="27"/>
        <w:spacing w:line="560" w:lineRule="exact"/>
        <w:ind w:firstLine="200"/>
        <w:jc w:val="center"/>
        <w:rPr>
          <w:rFonts w:hAnsi="宋体" w:eastAsia="宋体" w:cs="宋体"/>
          <w:b/>
          <w:color w:val="000000" w:themeColor="text1"/>
          <w:szCs w:val="24"/>
          <w14:textFill>
            <w14:solidFill>
              <w14:schemeClr w14:val="tx1"/>
            </w14:solidFill>
          </w14:textFill>
        </w:rPr>
      </w:pPr>
      <w:r>
        <w:rPr>
          <w:rFonts w:hint="eastAsia" w:hAnsi="宋体"/>
          <w:b/>
          <w:color w:val="000000" w:themeColor="text1"/>
          <w:szCs w:val="24"/>
          <w14:textFill>
            <w14:solidFill>
              <w14:schemeClr w14:val="tx1"/>
            </w14:solidFill>
          </w14:textFill>
        </w:rPr>
        <w:br w:type="page"/>
      </w:r>
      <w:r>
        <w:rPr>
          <w:rFonts w:hint="eastAsia" w:hAnsi="宋体" w:eastAsia="宋体" w:cs="宋体"/>
          <w:b/>
          <w:color w:val="000000" w:themeColor="text1"/>
          <w:szCs w:val="24"/>
          <w14:textFill>
            <w14:solidFill>
              <w14:schemeClr w14:val="tx1"/>
            </w14:solidFill>
          </w14:textFill>
        </w:rPr>
        <w:t>第二部分 合同一般条款</w:t>
      </w:r>
      <w:bookmarkEnd w:id="64"/>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65" w:name="_Ref467379205"/>
      <w:bookmarkStart w:id="66" w:name="_Toc279701240"/>
      <w:bookmarkStart w:id="67" w:name="_Ref467378463"/>
      <w:bookmarkStart w:id="68" w:name="_Toc487900349"/>
      <w:bookmarkStart w:id="69" w:name="_Ref467379214"/>
      <w:bookmarkStart w:id="70" w:name="_Toc259093669"/>
      <w:bookmarkStart w:id="71" w:name="_Ref467378499"/>
      <w:bookmarkStart w:id="72" w:name="_Ref467379101"/>
      <w:bookmarkStart w:id="73" w:name="_Ref467379195"/>
      <w:bookmarkStart w:id="74" w:name="_Ref467379109"/>
      <w:bookmarkStart w:id="75" w:name="_Ref467379225"/>
      <w:bookmarkStart w:id="76" w:name="_Ref467379094"/>
      <w:bookmarkStart w:id="77" w:name="_Toc19614"/>
      <w:bookmarkStart w:id="78" w:name="_Toc28763"/>
      <w:bookmarkStart w:id="79" w:name="_Ref467378404"/>
      <w:bookmarkStart w:id="80" w:name="_Toc16917"/>
      <w:r>
        <w:rPr>
          <w:rFonts w:ascii="宋体" w:hAnsi="宋体"/>
          <w:b/>
          <w:color w:val="000000" w:themeColor="text1"/>
          <w:szCs w:val="21"/>
          <w14:textFill>
            <w14:solidFill>
              <w14:schemeClr w14:val="tx1"/>
            </w14:solidFill>
          </w14:textFill>
        </w:rPr>
        <w:t xml:space="preserve">2.1 </w:t>
      </w:r>
      <w:r>
        <w:rPr>
          <w:rFonts w:hint="eastAsia" w:ascii="宋体" w:hAnsi="宋体"/>
          <w:b/>
          <w:color w:val="000000" w:themeColor="text1"/>
          <w:szCs w:val="21"/>
          <w14:textFill>
            <w14:solidFill>
              <w14:schemeClr w14:val="tx1"/>
            </w14:solidFill>
          </w14:textFill>
        </w:rPr>
        <w:t>定义</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本合同中的下列词语应按以下内容进行解释：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 </w:t>
      </w:r>
      <w:r>
        <w:rPr>
          <w:rFonts w:hint="eastAsia" w:ascii="宋体" w:hAnsi="宋体"/>
          <w:color w:val="000000" w:themeColor="text1"/>
          <w:szCs w:val="21"/>
          <w14:textFill>
            <w14:solidFill>
              <w14:schemeClr w14:val="tx1"/>
            </w14:solidFill>
          </w14:textFill>
        </w:rPr>
        <w:t>“合同”系指采购人和成交供应商签订的载明双方当事人所达成的协议，并包括所有的附件、附录和构成合同的其他文件。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2.1.2 </w:t>
      </w:r>
      <w:r>
        <w:rPr>
          <w:rFonts w:hint="eastAsia" w:ascii="宋体" w:hAnsi="宋体"/>
          <w:color w:val="000000" w:themeColor="text1"/>
          <w:szCs w:val="21"/>
          <w14:textFill>
            <w14:solidFill>
              <w14:schemeClr w14:val="tx1"/>
            </w14:solidFill>
          </w14:textFill>
        </w:rPr>
        <w:t>“合同价”系指根据合同约定，成交供应商在完全履行合同义务后，采购人应支付给成交供应商的价格。</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 </w:t>
      </w:r>
      <w:r>
        <w:rPr>
          <w:rFonts w:hint="eastAsia" w:ascii="宋体" w:hAnsi="宋体"/>
          <w:color w:val="000000" w:themeColor="text1"/>
          <w:szCs w:val="21"/>
          <w14:textFill>
            <w14:solidFill>
              <w14:schemeClr w14:val="tx1"/>
            </w14:solidFill>
          </w14:textFill>
        </w:rPr>
        <w:t>“货物”系指成交供应商根据合同约定应向采购人交付的一切各种形态和种类的物品，包括原材料、燃料、设备、机械、仪表、备件、计算机软件、产品等，并包括工具、手册等其他相关资料。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ascii="宋体" w:hAnsi="宋体"/>
          <w:color w:val="000000" w:themeColor="text1"/>
          <w:szCs w:val="21"/>
          <w14:textFill>
            <w14:solidFill>
              <w14:schemeClr w14:val="tx1"/>
            </w14:solidFill>
          </w14:textFill>
        </w:rPr>
      </w:pPr>
      <w:bookmarkStart w:id="81" w:name="_Ref467378840"/>
      <w:r>
        <w:rPr>
          <w:rFonts w:ascii="宋体" w:hAnsi="宋体"/>
          <w:color w:val="000000" w:themeColor="text1"/>
          <w:szCs w:val="21"/>
          <w14:textFill>
            <w14:solidFill>
              <w14:schemeClr w14:val="tx1"/>
            </w14:solidFill>
          </w14:textFill>
        </w:rPr>
        <w:t xml:space="preserve">2.1.4 </w:t>
      </w:r>
      <w:r>
        <w:rPr>
          <w:rFonts w:hint="eastAsia" w:ascii="宋体" w:hAnsi="宋体"/>
          <w:color w:val="000000" w:themeColor="text1"/>
          <w:szCs w:val="21"/>
          <w14:textFill>
            <w14:solidFill>
              <w14:schemeClr w14:val="tx1"/>
            </w14:solidFill>
          </w14:textFill>
        </w:rPr>
        <w:t>“甲方”系指与成交供应商签署合同的采购人</w:t>
      </w:r>
      <w:bookmarkEnd w:id="81"/>
      <w:r>
        <w:rPr>
          <w:rFonts w:hint="eastAsia" w:ascii="宋体" w:hAnsi="宋体"/>
          <w:color w:val="000000" w:themeColor="text1"/>
          <w:szCs w:val="21"/>
          <w14:textFill>
            <w14:solidFill>
              <w14:schemeClr w14:val="tx1"/>
            </w14:solidFill>
          </w14:textFill>
        </w:rPr>
        <w:t>；采购人委托采购代理机构代表其与乙方签订合同的，采购人的授权委托书作为合同附件。</w:t>
      </w:r>
    </w:p>
    <w:p>
      <w:pPr>
        <w:spacing w:line="560" w:lineRule="exact"/>
        <w:ind w:firstLine="420" w:firstLineChars="200"/>
        <w:rPr>
          <w:rFonts w:ascii="宋体" w:hAnsi="宋体"/>
          <w:color w:val="000000" w:themeColor="text1"/>
          <w:szCs w:val="21"/>
          <w14:textFill>
            <w14:solidFill>
              <w14:schemeClr w14:val="tx1"/>
            </w14:solidFill>
          </w14:textFill>
        </w:rPr>
      </w:pPr>
      <w:bookmarkStart w:id="82" w:name="_Ref467379400"/>
      <w:r>
        <w:rPr>
          <w:rFonts w:ascii="宋体" w:hAnsi="宋体"/>
          <w:color w:val="000000" w:themeColor="text1"/>
          <w:szCs w:val="21"/>
          <w14:textFill>
            <w14:solidFill>
              <w14:schemeClr w14:val="tx1"/>
            </w14:solidFill>
          </w14:textFill>
        </w:rPr>
        <w:t xml:space="preserve">2.1.5 </w:t>
      </w:r>
      <w:r>
        <w:rPr>
          <w:rFonts w:hint="eastAsia" w:ascii="宋体" w:hAnsi="宋体"/>
          <w:color w:val="000000" w:themeColor="text1"/>
          <w:szCs w:val="21"/>
          <w14:textFill>
            <w14:solidFill>
              <w14:schemeClr w14:val="tx1"/>
            </w14:solidFill>
          </w14:textFill>
        </w:rPr>
        <w:t>“乙方”系指根据合同约定交付货物的成交供应商</w:t>
      </w:r>
      <w:bookmarkEnd w:id="82"/>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20" w:firstLineChars="200"/>
        <w:rPr>
          <w:rFonts w:ascii="宋体" w:hAnsi="宋体"/>
          <w:color w:val="000000" w:themeColor="text1"/>
          <w:szCs w:val="21"/>
          <w14:textFill>
            <w14:solidFill>
              <w14:schemeClr w14:val="tx1"/>
            </w14:solidFill>
          </w14:textFill>
        </w:rPr>
      </w:pPr>
      <w:bookmarkStart w:id="83" w:name="_Ref467379436"/>
      <w:r>
        <w:rPr>
          <w:rFonts w:ascii="宋体" w:hAnsi="宋体"/>
          <w:color w:val="000000" w:themeColor="text1"/>
          <w:szCs w:val="21"/>
          <w14:textFill>
            <w14:solidFill>
              <w14:schemeClr w14:val="tx1"/>
            </w14:solidFill>
          </w14:textFill>
        </w:rPr>
        <w:t xml:space="preserve">2.1.6 </w:t>
      </w:r>
      <w:r>
        <w:rPr>
          <w:rFonts w:hint="eastAsia" w:ascii="宋体" w:hAnsi="宋体"/>
          <w:color w:val="000000" w:themeColor="text1"/>
          <w:szCs w:val="21"/>
          <w14:textFill>
            <w14:solidFill>
              <w14:schemeClr w14:val="tx1"/>
            </w14:solidFill>
          </w14:textFill>
        </w:rPr>
        <w:t>“现场”系指合同约定货物将要运至或者安装的地点。</w:t>
      </w:r>
      <w:bookmarkEnd w:id="83"/>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84" w:name="_Toc279701241"/>
      <w:bookmarkStart w:id="85" w:name="_Toc32504"/>
      <w:bookmarkStart w:id="86" w:name="_Toc487900350"/>
      <w:bookmarkStart w:id="87" w:name="_Toc27635"/>
      <w:bookmarkStart w:id="88" w:name="_Toc259093670"/>
      <w:bookmarkStart w:id="89" w:name="_Toc13336"/>
      <w:r>
        <w:rPr>
          <w:rFonts w:ascii="宋体" w:hAnsi="宋体"/>
          <w:b/>
          <w:color w:val="000000" w:themeColor="text1"/>
          <w:szCs w:val="21"/>
          <w14:textFill>
            <w14:solidFill>
              <w14:schemeClr w14:val="tx1"/>
            </w14:solidFill>
          </w14:textFill>
        </w:rPr>
        <w:t xml:space="preserve">2.2 </w:t>
      </w:r>
      <w:r>
        <w:rPr>
          <w:rFonts w:hint="eastAsia" w:ascii="宋体" w:hAnsi="宋体"/>
          <w:b/>
          <w:color w:val="000000" w:themeColor="text1"/>
          <w:szCs w:val="21"/>
          <w14:textFill>
            <w14:solidFill>
              <w14:schemeClr w14:val="tx1"/>
            </w14:solidFill>
          </w14:textFill>
        </w:rPr>
        <w:t>技术规范</w:t>
      </w:r>
      <w:bookmarkEnd w:id="84"/>
      <w:bookmarkEnd w:id="85"/>
      <w:bookmarkEnd w:id="86"/>
      <w:bookmarkEnd w:id="87"/>
      <w:bookmarkEnd w:id="88"/>
      <w:bookmarkEnd w:id="89"/>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货物所应遵守的技术规范应与采购文件规定的技术规范和技术规范附件</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如果有的话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及其技术规范偏差表</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如果被甲方接受的话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相一致；如果采购文件中没有技术规范的相应说明，那么应以国家有关部门最新颁布的相应标准和规范为准。</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90" w:name="_Toc27853"/>
      <w:bookmarkStart w:id="91" w:name="_Toc279701242"/>
      <w:bookmarkStart w:id="92" w:name="_Toc31634"/>
      <w:bookmarkStart w:id="93" w:name="_Toc487900351"/>
      <w:bookmarkStart w:id="94" w:name="_Toc9829"/>
      <w:bookmarkStart w:id="95" w:name="_Toc259093671"/>
      <w:r>
        <w:rPr>
          <w:rFonts w:ascii="宋体" w:hAnsi="宋体"/>
          <w:b/>
          <w:color w:val="000000" w:themeColor="text1"/>
          <w:szCs w:val="21"/>
          <w14:textFill>
            <w14:solidFill>
              <w14:schemeClr w14:val="tx1"/>
            </w14:solidFill>
          </w14:textFill>
        </w:rPr>
        <w:t xml:space="preserve">2.3 </w:t>
      </w:r>
      <w:r>
        <w:rPr>
          <w:rFonts w:hint="eastAsia" w:ascii="宋体" w:hAnsi="宋体"/>
          <w:b/>
          <w:color w:val="000000" w:themeColor="text1"/>
          <w:szCs w:val="21"/>
          <w14:textFill>
            <w14:solidFill>
              <w14:schemeClr w14:val="tx1"/>
            </w14:solidFill>
          </w14:textFill>
        </w:rPr>
        <w:t>知识产权</w:t>
      </w:r>
      <w:bookmarkEnd w:id="90"/>
      <w:bookmarkEnd w:id="91"/>
      <w:bookmarkEnd w:id="92"/>
      <w:bookmarkEnd w:id="93"/>
      <w:bookmarkEnd w:id="94"/>
      <w:bookmarkEnd w:id="95"/>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2.3.1 </w:t>
      </w:r>
      <w:r>
        <w:rPr>
          <w:rFonts w:hint="eastAsia" w:ascii="宋体" w:hAnsi="宋体"/>
          <w:color w:val="000000" w:themeColor="text1"/>
          <w:szCs w:val="21"/>
          <w14:textFill>
            <w14:solidFill>
              <w14:schemeClr w14:val="tx1"/>
            </w14:solidFill>
          </w14:textFill>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2.3.2</w:t>
      </w:r>
      <w:r>
        <w:rPr>
          <w:rFonts w:hint="eastAsia" w:ascii="宋体" w:hAnsi="宋体"/>
          <w:color w:val="000000" w:themeColor="text1"/>
          <w:szCs w:val="21"/>
          <w14:textFill>
            <w14:solidFill>
              <w14:schemeClr w14:val="tx1"/>
            </w14:solidFill>
          </w14:textFill>
        </w:rPr>
        <w:t>具有知识产权的计算机软件等货物的知识产权归属，详见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96" w:name="_Toc29149"/>
      <w:bookmarkStart w:id="97" w:name="_Toc11932"/>
      <w:bookmarkStart w:id="98" w:name="_Toc4194"/>
      <w:r>
        <w:rPr>
          <w:rFonts w:ascii="宋体" w:hAnsi="宋体"/>
          <w:b/>
          <w:color w:val="000000" w:themeColor="text1"/>
          <w:szCs w:val="21"/>
          <w14:textFill>
            <w14:solidFill>
              <w14:schemeClr w14:val="tx1"/>
            </w14:solidFill>
          </w14:textFill>
        </w:rPr>
        <w:t xml:space="preserve">2.4 </w:t>
      </w:r>
      <w:r>
        <w:rPr>
          <w:rFonts w:hint="eastAsia" w:ascii="宋体" w:hAnsi="宋体"/>
          <w:b/>
          <w:color w:val="000000" w:themeColor="text1"/>
          <w:szCs w:val="21"/>
          <w14:textFill>
            <w14:solidFill>
              <w14:schemeClr w14:val="tx1"/>
            </w14:solidFill>
          </w14:textFill>
        </w:rPr>
        <w:t>包装和装运</w:t>
      </w:r>
      <w:bookmarkEnd w:id="96"/>
      <w:bookmarkEnd w:id="97"/>
      <w:bookmarkEnd w:id="98"/>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2.4.1</w:t>
      </w:r>
      <w:r>
        <w:rPr>
          <w:rFonts w:hint="eastAsia" w:ascii="宋体" w:hAnsi="宋体"/>
          <w:color w:val="000000" w:themeColor="text1"/>
          <w:szCs w:val="21"/>
          <w14:textFill>
            <w14:solidFill>
              <w14:schemeClr w14:val="tx1"/>
            </w14:solidFill>
          </w14:textFill>
        </w:rPr>
        <w:t>除</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另有约定外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乙方交付的全部货物</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2.4.2 </w:t>
      </w:r>
      <w:r>
        <w:rPr>
          <w:rFonts w:hint="eastAsia" w:ascii="宋体" w:hAnsi="宋体"/>
          <w:color w:val="000000" w:themeColor="text1"/>
          <w:szCs w:val="21"/>
          <w14:textFill>
            <w14:solidFill>
              <w14:schemeClr w14:val="tx1"/>
            </w14:solidFill>
          </w14:textFill>
        </w:rPr>
        <w:t>装运货物的要求和通知，详见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99" w:name="_Ref467378541"/>
      <w:bookmarkStart w:id="100" w:name="_Toc279701245"/>
      <w:bookmarkStart w:id="101" w:name="_Toc487900354"/>
      <w:bookmarkStart w:id="102" w:name="_Ref467379536"/>
      <w:bookmarkStart w:id="103" w:name="_Ref467378591"/>
      <w:bookmarkStart w:id="104" w:name="_Ref467379542"/>
      <w:bookmarkStart w:id="105" w:name="_Toc259093674"/>
      <w:bookmarkStart w:id="106" w:name="_Ref467379527"/>
      <w:bookmarkStart w:id="107" w:name="_Toc26182"/>
      <w:bookmarkStart w:id="108" w:name="_Toc19074"/>
      <w:bookmarkStart w:id="109" w:name="_Toc30272"/>
      <w:r>
        <w:rPr>
          <w:rFonts w:ascii="宋体" w:hAnsi="宋体"/>
          <w:b/>
          <w:color w:val="000000" w:themeColor="text1"/>
          <w:szCs w:val="21"/>
          <w14:textFill>
            <w14:solidFill>
              <w14:schemeClr w14:val="tx1"/>
            </w14:solidFill>
          </w14:textFill>
        </w:rPr>
        <w:t>2.</w:t>
      </w:r>
      <w:bookmarkEnd w:id="99"/>
      <w:bookmarkEnd w:id="100"/>
      <w:bookmarkEnd w:id="101"/>
      <w:bookmarkEnd w:id="102"/>
      <w:bookmarkEnd w:id="103"/>
      <w:bookmarkEnd w:id="104"/>
      <w:bookmarkEnd w:id="105"/>
      <w:bookmarkEnd w:id="106"/>
      <w:r>
        <w:rPr>
          <w:rFonts w:ascii="宋体" w:hAnsi="宋体"/>
          <w:b/>
          <w:color w:val="000000" w:themeColor="text1"/>
          <w:szCs w:val="21"/>
          <w14:textFill>
            <w14:solidFill>
              <w14:schemeClr w14:val="tx1"/>
            </w14:solidFill>
          </w14:textFill>
        </w:rPr>
        <w:t xml:space="preserve">5 </w:t>
      </w:r>
      <w:r>
        <w:rPr>
          <w:rFonts w:hint="eastAsia" w:ascii="宋体" w:hAnsi="宋体"/>
          <w:b/>
          <w:color w:val="000000" w:themeColor="text1"/>
          <w:szCs w:val="21"/>
          <w14:textFill>
            <w14:solidFill>
              <w14:schemeClr w14:val="tx1"/>
            </w14:solidFill>
          </w14:textFill>
        </w:rPr>
        <w:t>履约检查和问题反馈</w:t>
      </w:r>
      <w:bookmarkEnd w:id="107"/>
      <w:bookmarkEnd w:id="108"/>
      <w:bookmarkEnd w:id="109"/>
    </w:p>
    <w:p>
      <w:pPr>
        <w:spacing w:line="560" w:lineRule="exact"/>
        <w:ind w:firstLine="420" w:firstLineChars="200"/>
        <w:rPr>
          <w:rFonts w:ascii="宋体" w:hAnsi="宋体"/>
          <w:color w:val="000000" w:themeColor="text1"/>
          <w:szCs w:val="21"/>
          <w14:textFill>
            <w14:solidFill>
              <w14:schemeClr w14:val="tx1"/>
            </w14:solidFill>
          </w14:textFill>
        </w:rPr>
      </w:pPr>
      <w:bookmarkStart w:id="110" w:name="_Ref467379657"/>
      <w:r>
        <w:rPr>
          <w:rFonts w:ascii="宋体" w:hAnsi="宋体"/>
          <w:color w:val="000000" w:themeColor="text1"/>
          <w:szCs w:val="21"/>
          <w14:textFill>
            <w14:solidFill>
              <w14:schemeClr w14:val="tx1"/>
            </w14:solidFill>
          </w14:textFill>
        </w:rPr>
        <w:t>2.5.1</w:t>
      </w:r>
      <w:bookmarkEnd w:id="110"/>
      <w:bookmarkStart w:id="111" w:name="_Toc186431854"/>
      <w:bookmarkStart w:id="112" w:name="_Toc259093676"/>
      <w:bookmarkStart w:id="113" w:name="_Ref467379793"/>
      <w:bookmarkStart w:id="114" w:name="_Toc279701247"/>
      <w:bookmarkStart w:id="115" w:name="_Ref467379807"/>
      <w:bookmarkStart w:id="116" w:name="_Toc487900357"/>
      <w:r>
        <w:rPr>
          <w:rFonts w:hint="eastAsia" w:ascii="宋体" w:hAnsi="宋体"/>
          <w:color w:val="000000" w:themeColor="text1"/>
          <w:szCs w:val="21"/>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2.5.2 </w:t>
      </w:r>
      <w:r>
        <w:rPr>
          <w:rFonts w:hint="eastAsia" w:ascii="宋体" w:hAnsi="宋体"/>
          <w:color w:val="000000" w:themeColor="text1"/>
          <w:szCs w:val="21"/>
          <w14:textFill>
            <w14:solidFill>
              <w14:schemeClr w14:val="tx1"/>
            </w14:solidFill>
          </w14:textFill>
        </w:rPr>
        <w:t>合同履行期间，甲方有权将履行过程中出现的问题反馈给乙方，双方当事人应以书面形式约定需要完善和改进的内容</w:t>
      </w:r>
      <w:bookmarkEnd w:id="111"/>
      <w:bookmarkStart w:id="117" w:name="_Toc186431855"/>
      <w:r>
        <w:rPr>
          <w:rFonts w:hint="eastAsia" w:ascii="宋体" w:hAnsi="宋体"/>
          <w:color w:val="000000" w:themeColor="text1"/>
          <w:szCs w:val="21"/>
          <w14:textFill>
            <w14:solidFill>
              <w14:schemeClr w14:val="tx1"/>
            </w14:solidFill>
          </w14:textFill>
        </w:rPr>
        <w:t>。</w:t>
      </w:r>
      <w:bookmarkEnd w:id="117"/>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8" w:name="_Toc19219"/>
      <w:bookmarkStart w:id="119" w:name="_Toc28451"/>
      <w:bookmarkStart w:id="120" w:name="_Toc7836"/>
      <w:r>
        <w:rPr>
          <w:rFonts w:ascii="宋体" w:hAnsi="宋体"/>
          <w:b/>
          <w:color w:val="000000" w:themeColor="text1"/>
          <w:szCs w:val="21"/>
          <w14:textFill>
            <w14:solidFill>
              <w14:schemeClr w14:val="tx1"/>
            </w14:solidFill>
          </w14:textFill>
        </w:rPr>
        <w:t xml:space="preserve">2.6 </w:t>
      </w:r>
      <w:r>
        <w:rPr>
          <w:rFonts w:hint="eastAsia" w:ascii="宋体" w:hAnsi="宋体"/>
          <w:b/>
          <w:color w:val="000000" w:themeColor="text1"/>
          <w:szCs w:val="21"/>
          <w14:textFill>
            <w14:solidFill>
              <w14:schemeClr w14:val="tx1"/>
            </w14:solidFill>
          </w14:textFill>
        </w:rPr>
        <w:t>结算方式和付款条件</w:t>
      </w:r>
      <w:bookmarkEnd w:id="112"/>
      <w:bookmarkEnd w:id="113"/>
      <w:bookmarkEnd w:id="114"/>
      <w:bookmarkEnd w:id="115"/>
      <w:bookmarkEnd w:id="116"/>
      <w:bookmarkEnd w:id="118"/>
      <w:bookmarkEnd w:id="119"/>
      <w:bookmarkEnd w:id="120"/>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1" w:name="_Toc487900358"/>
      <w:bookmarkStart w:id="122" w:name="_Toc259093677"/>
      <w:bookmarkStart w:id="123" w:name="_Toc279701248"/>
      <w:bookmarkStart w:id="124" w:name="_Ref467379923"/>
      <w:bookmarkStart w:id="125" w:name="_Ref467379863"/>
      <w:bookmarkStart w:id="126" w:name="_Ref467379852"/>
      <w:bookmarkStart w:id="127" w:name="_Toc774"/>
      <w:bookmarkStart w:id="128" w:name="_Toc16110"/>
      <w:bookmarkStart w:id="129" w:name="_Toc3225"/>
      <w:r>
        <w:rPr>
          <w:rFonts w:ascii="宋体" w:hAnsi="宋体"/>
          <w:b/>
          <w:color w:val="000000" w:themeColor="text1"/>
          <w:szCs w:val="21"/>
          <w14:textFill>
            <w14:solidFill>
              <w14:schemeClr w14:val="tx1"/>
            </w14:solidFill>
          </w14:textFill>
        </w:rPr>
        <w:t xml:space="preserve">2.7 </w:t>
      </w:r>
      <w:r>
        <w:rPr>
          <w:rFonts w:hint="eastAsia" w:ascii="宋体" w:hAnsi="宋体"/>
          <w:b/>
          <w:color w:val="000000" w:themeColor="text1"/>
          <w:szCs w:val="21"/>
          <w14:textFill>
            <w14:solidFill>
              <w14:schemeClr w14:val="tx1"/>
            </w14:solidFill>
          </w14:textFill>
        </w:rPr>
        <w:t>技术资料</w:t>
      </w:r>
      <w:bookmarkEnd w:id="121"/>
      <w:bookmarkEnd w:id="122"/>
      <w:bookmarkEnd w:id="123"/>
      <w:bookmarkEnd w:id="124"/>
      <w:bookmarkEnd w:id="125"/>
      <w:bookmarkEnd w:id="126"/>
      <w:r>
        <w:rPr>
          <w:rFonts w:hint="eastAsia" w:ascii="宋体" w:hAnsi="宋体"/>
          <w:b/>
          <w:color w:val="000000" w:themeColor="text1"/>
          <w:szCs w:val="21"/>
          <w14:textFill>
            <w14:solidFill>
              <w14:schemeClr w14:val="tx1"/>
            </w14:solidFill>
          </w14:textFill>
        </w:rPr>
        <w:t>和保密义务</w:t>
      </w:r>
      <w:bookmarkEnd w:id="127"/>
      <w:bookmarkEnd w:id="128"/>
      <w:bookmarkEnd w:id="129"/>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2.7.1 </w:t>
      </w:r>
      <w:r>
        <w:rPr>
          <w:rFonts w:hint="eastAsia" w:ascii="宋体" w:hAnsi="宋体"/>
          <w:color w:val="000000" w:themeColor="text1"/>
          <w:szCs w:val="21"/>
          <w14:textFill>
            <w14:solidFill>
              <w14:schemeClr w14:val="tx1"/>
            </w14:solidFill>
          </w14:textFill>
        </w:rPr>
        <w:t>乙方有权依据合同约定和项目需要，向甲方了解有关情况，调阅有关资料等，甲方应予积极配合；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2.7.2 </w:t>
      </w:r>
      <w:r>
        <w:rPr>
          <w:rFonts w:hint="eastAsia" w:ascii="宋体" w:hAnsi="宋体"/>
          <w:color w:val="000000" w:themeColor="text1"/>
          <w:szCs w:val="21"/>
          <w14:textFill>
            <w14:solidFill>
              <w14:schemeClr w14:val="tx1"/>
            </w14:solidFill>
          </w14:textFill>
        </w:rPr>
        <w:t>乙方有义务妥善保管和保护由甲方提供的前款信息和资料等；</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2.7.3 </w:t>
      </w:r>
      <w:r>
        <w:rPr>
          <w:rFonts w:hint="eastAsia" w:ascii="宋体" w:hAnsi="宋体"/>
          <w:color w:val="000000" w:themeColor="text1"/>
          <w:szCs w:val="21"/>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0" w:name="_Toc7860"/>
      <w:r>
        <w:rPr>
          <w:rFonts w:ascii="宋体" w:hAnsi="宋体"/>
          <w:b/>
          <w:color w:val="000000" w:themeColor="text1"/>
          <w:szCs w:val="21"/>
          <w14:textFill>
            <w14:solidFill>
              <w14:schemeClr w14:val="tx1"/>
            </w14:solidFill>
          </w14:textFill>
        </w:rPr>
        <w:t xml:space="preserve">2.8 </w:t>
      </w:r>
      <w:r>
        <w:rPr>
          <w:rFonts w:hint="eastAsia" w:ascii="宋体" w:hAnsi="宋体"/>
          <w:b/>
          <w:color w:val="000000" w:themeColor="text1"/>
          <w:szCs w:val="21"/>
          <w14:textFill>
            <w14:solidFill>
              <w14:schemeClr w14:val="tx1"/>
            </w14:solidFill>
          </w14:textFill>
        </w:rPr>
        <w:t>质量保证</w:t>
      </w:r>
      <w:bookmarkEnd w:id="130"/>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2.8.1 </w:t>
      </w:r>
      <w:r>
        <w:rPr>
          <w:rFonts w:hint="eastAsia" w:ascii="宋体" w:hAnsi="宋体"/>
          <w:color w:val="000000" w:themeColor="text1"/>
          <w:szCs w:val="21"/>
          <w14:textFill>
            <w14:solidFill>
              <w14:schemeClr w14:val="tx1"/>
            </w14:solidFill>
          </w14:textFill>
        </w:rPr>
        <w:t>乙方应建立和完善履行合同的内部质量保证体系，并提供相关内部规章制度给甲方，以便甲方进行监督检查；</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2.8.2 </w:t>
      </w:r>
      <w:r>
        <w:rPr>
          <w:rFonts w:hint="eastAsia" w:ascii="宋体" w:hAnsi="宋体"/>
          <w:color w:val="000000" w:themeColor="text1"/>
          <w:szCs w:val="21"/>
          <w14:textFill>
            <w14:solidFill>
              <w14:schemeClr w14:val="tx1"/>
            </w14:solidFill>
          </w14:textFill>
        </w:rPr>
        <w:t>乙方应保证履行合同的人员数量和素质、软件和硬件设备的配置、场地、环境和设施等满足全面履行合同的要求，并应接受甲方的监督检查。</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1" w:name="_Toc17244"/>
      <w:bookmarkStart w:id="132" w:name="_Toc487900362"/>
      <w:bookmarkStart w:id="133" w:name="_Toc279701252"/>
      <w:bookmarkStart w:id="134" w:name="_Toc259093681"/>
      <w:r>
        <w:rPr>
          <w:rFonts w:ascii="宋体" w:hAnsi="宋体"/>
          <w:b/>
          <w:color w:val="000000" w:themeColor="text1"/>
          <w:szCs w:val="21"/>
          <w14:textFill>
            <w14:solidFill>
              <w14:schemeClr w14:val="tx1"/>
            </w14:solidFill>
          </w14:textFill>
        </w:rPr>
        <w:t xml:space="preserve">2.9 </w:t>
      </w:r>
      <w:r>
        <w:rPr>
          <w:rFonts w:hint="eastAsia" w:ascii="宋体" w:hAnsi="宋体"/>
          <w:b/>
          <w:color w:val="000000" w:themeColor="text1"/>
          <w:szCs w:val="21"/>
          <w14:textFill>
            <w14:solidFill>
              <w14:schemeClr w14:val="tx1"/>
            </w14:solidFill>
          </w14:textFill>
        </w:rPr>
        <w:t>货物的风险负担</w:t>
      </w:r>
      <w:bookmarkEnd w:id="131"/>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货物或者在途货物或者交付给第一承运人后的货物毁损、灭失的风险负担详见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5" w:name="_Toc14055"/>
      <w:r>
        <w:rPr>
          <w:rFonts w:ascii="宋体" w:hAnsi="宋体"/>
          <w:b/>
          <w:color w:val="000000" w:themeColor="text1"/>
          <w:szCs w:val="21"/>
          <w14:textFill>
            <w14:solidFill>
              <w14:schemeClr w14:val="tx1"/>
            </w14:solidFill>
          </w14:textFill>
        </w:rPr>
        <w:t xml:space="preserve">2.10 </w:t>
      </w:r>
      <w:r>
        <w:rPr>
          <w:rFonts w:hint="eastAsia" w:ascii="宋体" w:hAnsi="宋体"/>
          <w:b/>
          <w:color w:val="000000" w:themeColor="text1"/>
          <w:szCs w:val="21"/>
          <w14:textFill>
            <w14:solidFill>
              <w14:schemeClr w14:val="tx1"/>
            </w14:solidFill>
          </w14:textFill>
        </w:rPr>
        <w:t>延迟交货</w:t>
      </w:r>
      <w:bookmarkEnd w:id="132"/>
      <w:bookmarkEnd w:id="133"/>
      <w:bookmarkEnd w:id="134"/>
      <w:bookmarkEnd w:id="135"/>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6" w:name="_Toc7502"/>
      <w:bookmarkStart w:id="137" w:name="_Toc279701254"/>
      <w:bookmarkStart w:id="138" w:name="_Toc487900364"/>
      <w:bookmarkStart w:id="139" w:name="_Toc259093683"/>
      <w:bookmarkStart w:id="140" w:name="_Ref467378121"/>
      <w:r>
        <w:rPr>
          <w:rFonts w:ascii="宋体" w:hAnsi="宋体"/>
          <w:b/>
          <w:color w:val="000000" w:themeColor="text1"/>
          <w:szCs w:val="21"/>
          <w14:textFill>
            <w14:solidFill>
              <w14:schemeClr w14:val="tx1"/>
            </w14:solidFill>
          </w14:textFill>
        </w:rPr>
        <w:t xml:space="preserve">2.11 </w:t>
      </w:r>
      <w:r>
        <w:rPr>
          <w:rFonts w:hint="eastAsia" w:ascii="宋体" w:hAnsi="宋体"/>
          <w:b/>
          <w:color w:val="000000" w:themeColor="text1"/>
          <w:szCs w:val="21"/>
          <w14:textFill>
            <w14:solidFill>
              <w14:schemeClr w14:val="tx1"/>
            </w14:solidFill>
          </w14:textFill>
        </w:rPr>
        <w:t>合同变更</w:t>
      </w:r>
      <w:bookmarkEnd w:id="136"/>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2.11.1</w:t>
      </w:r>
      <w:r>
        <w:rPr>
          <w:rFonts w:hint="eastAsia" w:ascii="宋体" w:hAnsi="宋体"/>
          <w:color w:val="000000" w:themeColor="text1"/>
          <w:szCs w:val="21"/>
          <w14:textFill>
            <w14:solidFill>
              <w14:schemeClr w14:val="tx1"/>
            </w14:solidFill>
          </w14:textFill>
        </w:rPr>
        <w:t>双方当事人协商一致，可以签订书面补充合同的形式变更合同，但不得违背采购文件确定的事项，且如果系追加与合同标的相同的货物的，那么所有补充合同的采购金额不得超过原合同价的</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2.11.2 </w:t>
      </w:r>
      <w:r>
        <w:rPr>
          <w:rFonts w:hint="eastAsia" w:ascii="宋体" w:hAnsi="宋体"/>
          <w:color w:val="000000" w:themeColor="text1"/>
          <w:szCs w:val="21"/>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bookmarkStart w:id="141" w:name="_Toc279701259"/>
      <w:bookmarkStart w:id="142" w:name="_Toc259093688"/>
      <w:bookmarkStart w:id="143" w:name="_Toc487900369"/>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4" w:name="_Toc15237"/>
      <w:bookmarkStart w:id="145" w:name="_Toc22955"/>
      <w:bookmarkStart w:id="146" w:name="_Toc10366"/>
      <w:r>
        <w:rPr>
          <w:rFonts w:ascii="宋体" w:hAnsi="宋体"/>
          <w:b/>
          <w:color w:val="000000" w:themeColor="text1"/>
          <w:szCs w:val="21"/>
          <w14:textFill>
            <w14:solidFill>
              <w14:schemeClr w14:val="tx1"/>
            </w14:solidFill>
          </w14:textFill>
        </w:rPr>
        <w:t xml:space="preserve">2.12 </w:t>
      </w:r>
      <w:r>
        <w:rPr>
          <w:rFonts w:hint="eastAsia" w:ascii="宋体" w:hAnsi="宋体"/>
          <w:b/>
          <w:color w:val="000000" w:themeColor="text1"/>
          <w:szCs w:val="21"/>
          <w14:textFill>
            <w14:solidFill>
              <w14:schemeClr w14:val="tx1"/>
            </w14:solidFill>
          </w14:textFill>
        </w:rPr>
        <w:t>合同转让</w:t>
      </w:r>
      <w:bookmarkEnd w:id="141"/>
      <w:bookmarkEnd w:id="142"/>
      <w:bookmarkEnd w:id="143"/>
      <w:r>
        <w:rPr>
          <w:rFonts w:hint="eastAsia" w:ascii="宋体" w:hAnsi="宋体"/>
          <w:b/>
          <w:color w:val="000000" w:themeColor="text1"/>
          <w:szCs w:val="21"/>
          <w14:textFill>
            <w14:solidFill>
              <w14:schemeClr w14:val="tx1"/>
            </w14:solidFill>
          </w14:textFill>
        </w:rPr>
        <w:t>和分包</w:t>
      </w:r>
      <w:bookmarkEnd w:id="144"/>
      <w:bookmarkEnd w:id="145"/>
      <w:bookmarkEnd w:id="146"/>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7" w:name="_Toc14066"/>
      <w:bookmarkStart w:id="148" w:name="_Toc13566"/>
      <w:bookmarkStart w:id="149" w:name="_Toc16508"/>
      <w:r>
        <w:rPr>
          <w:rFonts w:ascii="宋体" w:hAnsi="宋体"/>
          <w:b/>
          <w:color w:val="000000" w:themeColor="text1"/>
          <w:szCs w:val="21"/>
          <w14:textFill>
            <w14:solidFill>
              <w14:schemeClr w14:val="tx1"/>
            </w14:solidFill>
          </w14:textFill>
        </w:rPr>
        <w:t xml:space="preserve">2.13 </w:t>
      </w:r>
      <w:r>
        <w:rPr>
          <w:rFonts w:hint="eastAsia" w:ascii="宋体" w:hAnsi="宋体"/>
          <w:b/>
          <w:color w:val="000000" w:themeColor="text1"/>
          <w:szCs w:val="21"/>
          <w14:textFill>
            <w14:solidFill>
              <w14:schemeClr w14:val="tx1"/>
            </w14:solidFill>
          </w14:textFill>
        </w:rPr>
        <w:t>不可抗力</w:t>
      </w:r>
      <w:bookmarkEnd w:id="147"/>
      <w:bookmarkEnd w:id="148"/>
      <w:bookmarkEnd w:id="149"/>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2.13.1</w:t>
      </w:r>
      <w:r>
        <w:rPr>
          <w:rFonts w:hint="eastAsia" w:ascii="宋体" w:hAnsi="宋体"/>
          <w:color w:val="000000" w:themeColor="text1"/>
          <w:szCs w:val="21"/>
          <w14:textFill>
            <w14:solidFill>
              <w14:schemeClr w14:val="tx1"/>
            </w14:solidFill>
          </w14:textFill>
        </w:rPr>
        <w:t>如果任何一方遭遇法律规定的不可抗力，致使合同履行受阻时，履行合同的期限应予延长，延长的期限应相当于不可抗力所影响的时间；</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2.13.2 </w:t>
      </w:r>
      <w:r>
        <w:rPr>
          <w:rFonts w:hint="eastAsia" w:ascii="宋体" w:hAnsi="宋体"/>
          <w:color w:val="000000" w:themeColor="text1"/>
          <w:szCs w:val="21"/>
          <w14:textFill>
            <w14:solidFill>
              <w14:schemeClr w14:val="tx1"/>
            </w14:solidFill>
          </w14:textFill>
        </w:rPr>
        <w:t>因不可抗力致使不能实现合同目的的，当事人可以解除合同；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2.13.3 </w:t>
      </w:r>
      <w:r>
        <w:rPr>
          <w:rFonts w:hint="eastAsia" w:ascii="宋体" w:hAnsi="宋体"/>
          <w:color w:val="000000" w:themeColor="text1"/>
          <w:szCs w:val="21"/>
          <w14:textFill>
            <w14:solidFill>
              <w14:schemeClr w14:val="tx1"/>
            </w14:solidFill>
          </w14:textFill>
        </w:rPr>
        <w:t>因不可抗力致使合同有变更必要的，双方当事人应在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约定时间内以书面形式变更合同；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2.13.4</w:t>
      </w:r>
      <w:r>
        <w:rPr>
          <w:rFonts w:hint="eastAsia" w:ascii="宋体" w:hAnsi="宋体"/>
          <w:color w:val="000000" w:themeColor="text1"/>
          <w:szCs w:val="21"/>
          <w14:textFill>
            <w14:solidFill>
              <w14:schemeClr w14:val="tx1"/>
            </w14:solidFill>
          </w14:textFill>
        </w:rPr>
        <w:t>受不可抗力影响的一方在不可抗力发生后，应在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约定时间内以书面形式通知对方当事人，并在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约定时间内，将有关部门出具的证明文件送达对方当事人。</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0" w:name="_Toc259093684"/>
      <w:bookmarkStart w:id="151" w:name="_Toc279701255"/>
      <w:bookmarkStart w:id="152" w:name="_Toc487900365"/>
      <w:bookmarkStart w:id="153" w:name="_Toc30676"/>
      <w:bookmarkStart w:id="154" w:name="_Toc689"/>
      <w:bookmarkStart w:id="155" w:name="_Toc6969"/>
      <w:r>
        <w:rPr>
          <w:rFonts w:ascii="宋体" w:hAnsi="宋体"/>
          <w:b/>
          <w:color w:val="000000" w:themeColor="text1"/>
          <w:szCs w:val="21"/>
          <w14:textFill>
            <w14:solidFill>
              <w14:schemeClr w14:val="tx1"/>
            </w14:solidFill>
          </w14:textFill>
        </w:rPr>
        <w:t xml:space="preserve">2.14 </w:t>
      </w:r>
      <w:r>
        <w:rPr>
          <w:rFonts w:hint="eastAsia" w:ascii="宋体" w:hAnsi="宋体"/>
          <w:b/>
          <w:color w:val="000000" w:themeColor="text1"/>
          <w:szCs w:val="21"/>
          <w14:textFill>
            <w14:solidFill>
              <w14:schemeClr w14:val="tx1"/>
            </w14:solidFill>
          </w14:textFill>
        </w:rPr>
        <w:t>税费</w:t>
      </w:r>
      <w:bookmarkEnd w:id="150"/>
      <w:bookmarkEnd w:id="151"/>
      <w:bookmarkEnd w:id="152"/>
      <w:bookmarkEnd w:id="153"/>
      <w:bookmarkEnd w:id="154"/>
      <w:bookmarkEnd w:id="155"/>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与合同有关的一切税费，均按照中华人民共和国法律的相关规定。</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6" w:name="_Toc487900368"/>
      <w:bookmarkStart w:id="157" w:name="_Toc16959"/>
      <w:bookmarkStart w:id="158" w:name="_Toc8298"/>
      <w:bookmarkStart w:id="159" w:name="_Toc259093687"/>
      <w:bookmarkStart w:id="160" w:name="_Toc7102"/>
      <w:bookmarkStart w:id="161" w:name="_Toc279701258"/>
      <w:r>
        <w:rPr>
          <w:rFonts w:ascii="宋体" w:hAnsi="宋体"/>
          <w:b/>
          <w:color w:val="000000" w:themeColor="text1"/>
          <w:szCs w:val="21"/>
          <w14:textFill>
            <w14:solidFill>
              <w14:schemeClr w14:val="tx1"/>
            </w14:solidFill>
          </w14:textFill>
        </w:rPr>
        <w:t xml:space="preserve">2.15 </w:t>
      </w:r>
      <w:r>
        <w:rPr>
          <w:rFonts w:hint="eastAsia" w:ascii="宋体" w:hAnsi="宋体"/>
          <w:b/>
          <w:color w:val="000000" w:themeColor="text1"/>
          <w:szCs w:val="21"/>
          <w14:textFill>
            <w14:solidFill>
              <w14:schemeClr w14:val="tx1"/>
            </w14:solidFill>
          </w14:textFill>
        </w:rPr>
        <w:t>乙方破产</w:t>
      </w:r>
      <w:bookmarkEnd w:id="156"/>
      <w:bookmarkEnd w:id="157"/>
      <w:bookmarkEnd w:id="158"/>
      <w:bookmarkEnd w:id="159"/>
      <w:bookmarkEnd w:id="160"/>
      <w:bookmarkEnd w:id="16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62" w:name="_Toc29333"/>
      <w:bookmarkStart w:id="163" w:name="_Toc6134"/>
      <w:bookmarkStart w:id="164" w:name="_Toc15387"/>
      <w:r>
        <w:rPr>
          <w:rFonts w:ascii="宋体" w:hAnsi="宋体"/>
          <w:b/>
          <w:color w:val="000000" w:themeColor="text1"/>
          <w:szCs w:val="21"/>
          <w14:textFill>
            <w14:solidFill>
              <w14:schemeClr w14:val="tx1"/>
            </w14:solidFill>
          </w14:textFill>
        </w:rPr>
        <w:t xml:space="preserve">2.16 </w:t>
      </w:r>
      <w:r>
        <w:rPr>
          <w:rFonts w:hint="eastAsia" w:ascii="宋体" w:hAnsi="宋体"/>
          <w:b/>
          <w:color w:val="000000" w:themeColor="text1"/>
          <w:szCs w:val="21"/>
          <w14:textFill>
            <w14:solidFill>
              <w14:schemeClr w14:val="tx1"/>
            </w14:solidFill>
          </w14:textFill>
        </w:rPr>
        <w:t>合同中止、终止</w:t>
      </w:r>
      <w:bookmarkEnd w:id="162"/>
      <w:bookmarkEnd w:id="163"/>
      <w:bookmarkEnd w:id="164"/>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2.16.1 </w:t>
      </w:r>
      <w:r>
        <w:rPr>
          <w:rFonts w:hint="eastAsia" w:ascii="宋体" w:hAnsi="宋体"/>
          <w:color w:val="000000" w:themeColor="text1"/>
          <w:szCs w:val="21"/>
          <w14:textFill>
            <w14:solidFill>
              <w14:schemeClr w14:val="tx1"/>
            </w14:solidFill>
          </w14:textFill>
        </w:rPr>
        <w:t>双方当事人不得擅自中止或者终止合同；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2.16.2</w:t>
      </w:r>
      <w:r>
        <w:rPr>
          <w:rFonts w:hint="eastAsia" w:ascii="宋体" w:hAnsi="宋体"/>
          <w:color w:val="000000" w:themeColor="text1"/>
          <w:szCs w:val="21"/>
          <w14:textFill>
            <w14:solidFill>
              <w14:schemeClr w14:val="tx1"/>
            </w14:solidFill>
          </w14:textFill>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65" w:name="_Toc1125"/>
      <w:bookmarkStart w:id="166" w:name="_Toc14563"/>
      <w:bookmarkStart w:id="167" w:name="_Toc6596"/>
      <w:r>
        <w:rPr>
          <w:rFonts w:ascii="宋体" w:hAnsi="宋体"/>
          <w:b/>
          <w:color w:val="000000" w:themeColor="text1"/>
          <w:szCs w:val="21"/>
          <w14:textFill>
            <w14:solidFill>
              <w14:schemeClr w14:val="tx1"/>
            </w14:solidFill>
          </w14:textFill>
        </w:rPr>
        <w:t xml:space="preserve">2.17 </w:t>
      </w:r>
      <w:r>
        <w:rPr>
          <w:rFonts w:hint="eastAsia" w:ascii="宋体" w:hAnsi="宋体"/>
          <w:b/>
          <w:color w:val="000000" w:themeColor="text1"/>
          <w:szCs w:val="21"/>
          <w14:textFill>
            <w14:solidFill>
              <w14:schemeClr w14:val="tx1"/>
            </w14:solidFill>
          </w14:textFill>
        </w:rPr>
        <w:t>检验和验收</w:t>
      </w:r>
      <w:bookmarkEnd w:id="165"/>
      <w:bookmarkEnd w:id="166"/>
      <w:bookmarkEnd w:id="167"/>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2.17.1</w:t>
      </w:r>
      <w:r>
        <w:rPr>
          <w:rFonts w:hint="eastAsia" w:ascii="宋体" w:hAnsi="宋体"/>
          <w:color w:val="000000" w:themeColor="text1"/>
          <w:szCs w:val="21"/>
          <w14:textFill>
            <w14:solidFill>
              <w14:schemeClr w14:val="tx1"/>
            </w14:solidFill>
          </w14:textFill>
        </w:rPr>
        <w:t>货物交付前，乙方应对货物的质量、数量等方面进行详细、全面的检验，并向甲方出具证明货物符合合同约定的文件；货物交付时，乙方在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2.17.2</w:t>
      </w:r>
      <w:r>
        <w:rPr>
          <w:rFonts w:hint="eastAsia" w:ascii="宋体" w:hAnsi="宋体"/>
          <w:color w:val="000000" w:themeColor="text1"/>
          <w:szCs w:val="21"/>
          <w14:textFill>
            <w14:solidFill>
              <w14:schemeClr w14:val="tx1"/>
            </w14:solidFill>
          </w14:textFill>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2.17.3 </w:t>
      </w:r>
      <w:r>
        <w:rPr>
          <w:rFonts w:hint="eastAsia" w:ascii="宋体" w:hAnsi="宋体"/>
          <w:color w:val="000000" w:themeColor="text1"/>
          <w:szCs w:val="21"/>
          <w14:textFill>
            <w14:solidFill>
              <w14:schemeClr w14:val="tx1"/>
            </w14:solidFill>
          </w14:textFill>
        </w:rPr>
        <w:t>检验和验收标准、程序等具体内容以及前述验收书的效力详见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i/>
          <w:color w:val="000000" w:themeColor="text1"/>
          <w:szCs w:val="21"/>
          <w14:textFill>
            <w14:solidFill>
              <w14:schemeClr w14:val="tx1"/>
            </w14:solidFill>
          </w14:textFill>
        </w:rPr>
        <w:t>。</w:t>
      </w:r>
      <w:bookmarkEnd w:id="137"/>
      <w:bookmarkEnd w:id="138"/>
      <w:bookmarkEnd w:id="139"/>
      <w:bookmarkEnd w:id="140"/>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68" w:name="_Toc487900371"/>
      <w:bookmarkStart w:id="169" w:name="_Toc279701261"/>
      <w:bookmarkStart w:id="170" w:name="_Toc259093690"/>
      <w:bookmarkStart w:id="171" w:name="_Toc19604"/>
      <w:bookmarkStart w:id="172" w:name="_Toc11284"/>
      <w:bookmarkStart w:id="173" w:name="_Toc25182"/>
      <w:r>
        <w:rPr>
          <w:rFonts w:ascii="宋体" w:hAnsi="宋体"/>
          <w:b/>
          <w:color w:val="000000" w:themeColor="text1"/>
          <w:szCs w:val="21"/>
          <w14:textFill>
            <w14:solidFill>
              <w14:schemeClr w14:val="tx1"/>
            </w14:solidFill>
          </w14:textFill>
        </w:rPr>
        <w:t xml:space="preserve">2.18 </w:t>
      </w:r>
      <w:r>
        <w:rPr>
          <w:rFonts w:hint="eastAsia" w:ascii="宋体" w:hAnsi="宋体"/>
          <w:b/>
          <w:color w:val="000000" w:themeColor="text1"/>
          <w:szCs w:val="21"/>
          <w14:textFill>
            <w14:solidFill>
              <w14:schemeClr w14:val="tx1"/>
            </w14:solidFill>
          </w14:textFill>
        </w:rPr>
        <w:t>通知</w:t>
      </w:r>
      <w:bookmarkEnd w:id="168"/>
      <w:bookmarkEnd w:id="169"/>
      <w:bookmarkEnd w:id="170"/>
      <w:r>
        <w:rPr>
          <w:rFonts w:hint="eastAsia" w:ascii="宋体" w:hAnsi="宋体"/>
          <w:b/>
          <w:color w:val="000000" w:themeColor="text1"/>
          <w:szCs w:val="21"/>
          <w14:textFill>
            <w14:solidFill>
              <w14:schemeClr w14:val="tx1"/>
            </w14:solidFill>
          </w14:textFill>
        </w:rPr>
        <w:t>和送达</w:t>
      </w:r>
      <w:bookmarkEnd w:id="171"/>
      <w:bookmarkEnd w:id="172"/>
      <w:bookmarkEnd w:id="173"/>
    </w:p>
    <w:p>
      <w:pPr>
        <w:spacing w:line="560" w:lineRule="exact"/>
        <w:ind w:firstLine="420" w:firstLineChars="200"/>
        <w:rPr>
          <w:rFonts w:ascii="宋体" w:hAnsi="宋体"/>
          <w:color w:val="000000" w:themeColor="text1"/>
          <w:szCs w:val="21"/>
          <w14:textFill>
            <w14:solidFill>
              <w14:schemeClr w14:val="tx1"/>
            </w14:solidFill>
          </w14:textFill>
        </w:rPr>
      </w:pPr>
      <w:bookmarkStart w:id="174" w:name="_Toc3135"/>
      <w:bookmarkStart w:id="175" w:name="_Toc6698"/>
      <w:bookmarkStart w:id="176" w:name="_Toc487900372"/>
      <w:bookmarkStart w:id="177" w:name="_Toc279701262"/>
      <w:bookmarkStart w:id="178" w:name="_Toc259093691"/>
      <w:r>
        <w:rPr>
          <w:rFonts w:ascii="宋体" w:hAnsi="宋体"/>
          <w:color w:val="000000" w:themeColor="text1"/>
          <w:szCs w:val="21"/>
          <w14:textFill>
            <w14:solidFill>
              <w14:schemeClr w14:val="tx1"/>
            </w14:solidFill>
          </w14:textFill>
        </w:rPr>
        <w:t xml:space="preserve">2.18.1 </w:t>
      </w:r>
      <w:r>
        <w:rPr>
          <w:rFonts w:hint="eastAsia" w:ascii="宋体" w:hAnsi="宋体"/>
          <w:color w:val="000000" w:themeColor="text1"/>
          <w:szCs w:val="21"/>
          <w14:textFill>
            <w14:solidFill>
              <w14:schemeClr w14:val="tx1"/>
            </w14:solidFill>
          </w14:textFill>
        </w:rPr>
        <w:t>任何一方因履行合同而以合同第一部分尾部所列明的</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个工作日内书面通知对方当事人，在对方当事人收到有关变更通知之前，变更前的约定送达方式或者地址仍视为有效。</w:t>
      </w:r>
      <w:bookmarkEnd w:id="174"/>
      <w:bookmarkEnd w:id="175"/>
    </w:p>
    <w:p>
      <w:pPr>
        <w:spacing w:line="560" w:lineRule="exact"/>
        <w:ind w:firstLine="420" w:firstLineChars="200"/>
        <w:rPr>
          <w:rFonts w:ascii="宋体" w:hAnsi="宋体"/>
          <w:color w:val="000000" w:themeColor="text1"/>
          <w:szCs w:val="21"/>
          <w14:textFill>
            <w14:solidFill>
              <w14:schemeClr w14:val="tx1"/>
            </w14:solidFill>
          </w14:textFill>
        </w:rPr>
      </w:pPr>
      <w:bookmarkStart w:id="179" w:name="_Toc23128"/>
      <w:bookmarkStart w:id="180" w:name="_Toc23294"/>
      <w:r>
        <w:rPr>
          <w:rFonts w:ascii="宋体" w:hAnsi="宋体"/>
          <w:color w:val="000000" w:themeColor="text1"/>
          <w:szCs w:val="21"/>
          <w14:textFill>
            <w14:solidFill>
              <w14:schemeClr w14:val="tx1"/>
            </w14:solidFill>
          </w14:textFill>
        </w:rPr>
        <w:t>2.18.2</w:t>
      </w:r>
      <w:r>
        <w:rPr>
          <w:rFonts w:hint="eastAsia" w:ascii="宋体" w:hAnsi="宋体"/>
          <w:color w:val="000000" w:themeColor="text1"/>
          <w:szCs w:val="21"/>
          <w14:textFill>
            <w14:solidFill>
              <w14:schemeClr w14:val="tx1"/>
            </w14:solidFill>
          </w14:textFill>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179"/>
      <w:bookmarkEnd w:id="180"/>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81" w:name="_Toc4355"/>
      <w:bookmarkStart w:id="182" w:name="_Toc30599"/>
      <w:bookmarkStart w:id="183" w:name="_Toc18540"/>
      <w:r>
        <w:rPr>
          <w:rFonts w:ascii="宋体" w:hAnsi="宋体"/>
          <w:b/>
          <w:color w:val="000000" w:themeColor="text1"/>
          <w:szCs w:val="21"/>
          <w14:textFill>
            <w14:solidFill>
              <w14:schemeClr w14:val="tx1"/>
            </w14:solidFill>
          </w14:textFill>
        </w:rPr>
        <w:t xml:space="preserve">2.19 </w:t>
      </w:r>
      <w:r>
        <w:rPr>
          <w:rFonts w:hint="eastAsia" w:ascii="宋体" w:hAnsi="宋体"/>
          <w:b/>
          <w:color w:val="000000" w:themeColor="text1"/>
          <w:szCs w:val="21"/>
          <w14:textFill>
            <w14:solidFill>
              <w14:schemeClr w14:val="tx1"/>
            </w14:solidFill>
          </w14:textFill>
        </w:rPr>
        <w:t>计量单位</w:t>
      </w:r>
      <w:bookmarkEnd w:id="176"/>
      <w:bookmarkEnd w:id="177"/>
      <w:bookmarkEnd w:id="178"/>
      <w:bookmarkEnd w:id="181"/>
      <w:bookmarkEnd w:id="182"/>
      <w:bookmarkEnd w:id="18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除技术规范中另有规定外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合同的计量单位均使用国家法定计量单位。</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84" w:name="_Toc279701263"/>
      <w:bookmarkStart w:id="185" w:name="_Toc487900373"/>
      <w:bookmarkStart w:id="186" w:name="_Toc12773"/>
      <w:bookmarkStart w:id="187" w:name="_Toc259093692"/>
      <w:bookmarkStart w:id="188" w:name="_Toc10330"/>
      <w:bookmarkStart w:id="189" w:name="_Toc18567"/>
      <w:r>
        <w:rPr>
          <w:rFonts w:ascii="宋体" w:hAnsi="宋体"/>
          <w:b/>
          <w:color w:val="000000" w:themeColor="text1"/>
          <w:szCs w:val="21"/>
          <w14:textFill>
            <w14:solidFill>
              <w14:schemeClr w14:val="tx1"/>
            </w14:solidFill>
          </w14:textFill>
        </w:rPr>
        <w:t xml:space="preserve">2.20 </w:t>
      </w:r>
      <w:r>
        <w:rPr>
          <w:rFonts w:hint="eastAsia" w:ascii="宋体" w:hAnsi="宋体"/>
          <w:b/>
          <w:color w:val="000000" w:themeColor="text1"/>
          <w:szCs w:val="21"/>
          <w14:textFill>
            <w14:solidFill>
              <w14:schemeClr w14:val="tx1"/>
            </w14:solidFill>
          </w14:textFill>
        </w:rPr>
        <w:t>合同使用的文字和适用的法律</w:t>
      </w:r>
      <w:bookmarkEnd w:id="184"/>
      <w:bookmarkEnd w:id="185"/>
      <w:bookmarkEnd w:id="186"/>
      <w:bookmarkEnd w:id="187"/>
      <w:bookmarkEnd w:id="188"/>
      <w:bookmarkEnd w:id="189"/>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2.20.1 </w:t>
      </w:r>
      <w:r>
        <w:rPr>
          <w:rFonts w:hint="eastAsia" w:ascii="宋体" w:hAnsi="宋体"/>
          <w:color w:val="000000" w:themeColor="text1"/>
          <w:szCs w:val="21"/>
          <w14:textFill>
            <w14:solidFill>
              <w14:schemeClr w14:val="tx1"/>
            </w14:solidFill>
          </w14:textFill>
        </w:rPr>
        <w:t>合同使用汉语书就、变更和解释；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2.20.2 </w:t>
      </w:r>
      <w:r>
        <w:rPr>
          <w:rFonts w:hint="eastAsia" w:ascii="宋体" w:hAnsi="宋体"/>
          <w:color w:val="000000" w:themeColor="text1"/>
          <w:szCs w:val="21"/>
          <w14:textFill>
            <w14:solidFill>
              <w14:schemeClr w14:val="tx1"/>
            </w14:solidFill>
          </w14:textFill>
        </w:rPr>
        <w:t>合同适用中华人民共和国法律。</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90" w:name="_Toc279701264"/>
      <w:bookmarkStart w:id="191" w:name="_Toc259093693"/>
      <w:bookmarkStart w:id="192" w:name="_Toc12004"/>
      <w:bookmarkStart w:id="193" w:name="_Toc3148"/>
      <w:bookmarkStart w:id="194" w:name="_Toc16673"/>
      <w:bookmarkStart w:id="195" w:name="_Toc487900374"/>
      <w:r>
        <w:rPr>
          <w:rFonts w:ascii="宋体" w:hAnsi="宋体"/>
          <w:b/>
          <w:color w:val="000000" w:themeColor="text1"/>
          <w:szCs w:val="21"/>
          <w14:textFill>
            <w14:solidFill>
              <w14:schemeClr w14:val="tx1"/>
            </w14:solidFill>
          </w14:textFill>
        </w:rPr>
        <w:t xml:space="preserve">2.21 </w:t>
      </w:r>
      <w:r>
        <w:rPr>
          <w:rFonts w:hint="eastAsia" w:ascii="宋体" w:hAnsi="宋体"/>
          <w:b/>
          <w:color w:val="000000" w:themeColor="text1"/>
          <w:szCs w:val="21"/>
          <w14:textFill>
            <w14:solidFill>
              <w14:schemeClr w14:val="tx1"/>
            </w14:solidFill>
          </w14:textFill>
        </w:rPr>
        <w:t>履约保证金</w:t>
      </w:r>
      <w:bookmarkEnd w:id="190"/>
      <w:bookmarkEnd w:id="191"/>
      <w:bookmarkEnd w:id="192"/>
      <w:bookmarkEnd w:id="193"/>
      <w:bookmarkEnd w:id="194"/>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2.21.1 </w:t>
      </w:r>
      <w:r>
        <w:rPr>
          <w:rFonts w:hint="eastAsia" w:ascii="宋体" w:hAnsi="宋体"/>
          <w:color w:val="000000" w:themeColor="text1"/>
          <w:szCs w:val="21"/>
          <w14:textFill>
            <w14:solidFill>
              <w14:schemeClr w14:val="tx1"/>
            </w14:solidFill>
          </w14:textFill>
        </w:rPr>
        <w:t>采购文件要求乙方提交履约保证金的，乙方应按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约定的方式，以支票、汇票、本票或者金融机构、担保机构出具的保函等非现金形式，提交不超过合同价</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的履约保证金；</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2.21.2  </w:t>
      </w:r>
      <w:r>
        <w:rPr>
          <w:rFonts w:hint="eastAsia" w:ascii="宋体" w:hAnsi="宋体"/>
          <w:color w:val="000000" w:themeColor="text1"/>
          <w:szCs w:val="21"/>
          <w14:textFill>
            <w14:solidFill>
              <w14:schemeClr w14:val="tx1"/>
            </w14:solidFill>
          </w14:textFill>
        </w:rPr>
        <w:t>履约保证金在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约定期间内或者货物质量保证期内不予退还或者应完全有效，前述约定期间届满或者货物质量保证期届满之日起</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个工作日内，甲方应将履约保证金退还乙方；</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2.21.3 </w:t>
      </w:r>
      <w:r>
        <w:rPr>
          <w:rFonts w:hint="eastAsia" w:ascii="宋体" w:hAnsi="宋体"/>
          <w:color w:val="000000" w:themeColor="text1"/>
          <w:szCs w:val="21"/>
          <w14:textFill>
            <w14:solidFill>
              <w14:schemeClr w14:val="tx1"/>
            </w14:solidFill>
          </w14:textFill>
        </w:rPr>
        <w:t>如果乙方不履行合同，履约保证金不予退还；如果乙方未能按合同约定全面履行义务，那么甲方有权从履约保证金中取得补偿或赔偿，同时不影响甲方要求乙方承担合同约定的超过履约保证金的违约责任的权利。</w:t>
      </w:r>
      <w:bookmarkEnd w:id="195"/>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96" w:name="_Toc6885"/>
      <w:bookmarkStart w:id="197" w:name="_Toc14001"/>
      <w:bookmarkStart w:id="198" w:name="_Toc19890"/>
      <w:r>
        <w:rPr>
          <w:rFonts w:ascii="宋体" w:hAnsi="宋体"/>
          <w:b/>
          <w:color w:val="000000" w:themeColor="text1"/>
          <w:szCs w:val="21"/>
          <w14:textFill>
            <w14:solidFill>
              <w14:schemeClr w14:val="tx1"/>
            </w14:solidFill>
          </w14:textFill>
        </w:rPr>
        <w:t xml:space="preserve">2.22 </w:t>
      </w:r>
      <w:r>
        <w:rPr>
          <w:rFonts w:hint="eastAsia" w:ascii="宋体" w:hAnsi="宋体"/>
          <w:b/>
          <w:color w:val="000000" w:themeColor="text1"/>
          <w:szCs w:val="21"/>
          <w14:textFill>
            <w14:solidFill>
              <w14:schemeClr w14:val="tx1"/>
            </w14:solidFill>
          </w14:textFill>
        </w:rPr>
        <w:t>合同份数</w:t>
      </w:r>
      <w:bookmarkEnd w:id="196"/>
      <w:bookmarkEnd w:id="197"/>
      <w:bookmarkEnd w:id="198"/>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合同份数按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规定，每份均具有同等法律效力。</w:t>
      </w:r>
    </w:p>
    <w:p>
      <w:pPr>
        <w:spacing w:line="560" w:lineRule="exact"/>
        <w:ind w:firstLine="413" w:firstLineChars="196"/>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2.23 本合同未尽事宜，见政府采购合同专用条款。</w:t>
      </w:r>
    </w:p>
    <w:p>
      <w:pPr>
        <w:rPr>
          <w:rFonts w:ascii="宋体" w:hAnsi="宋体"/>
          <w:b/>
          <w:color w:val="000000" w:themeColor="text1"/>
          <w:sz w:val="28"/>
          <w:szCs w:val="28"/>
          <w14:textFill>
            <w14:solidFill>
              <w14:schemeClr w14:val="tx1"/>
            </w14:solidFill>
          </w14:textFill>
        </w:rPr>
      </w:pPr>
      <w:bookmarkStart w:id="199" w:name="_Toc474235953"/>
      <w:r>
        <w:rPr>
          <w:rFonts w:hint="eastAsia" w:ascii="宋体" w:hAnsi="宋体"/>
          <w:b/>
          <w:color w:val="000000" w:themeColor="text1"/>
          <w:sz w:val="28"/>
          <w:szCs w:val="28"/>
          <w14:textFill>
            <w14:solidFill>
              <w14:schemeClr w14:val="tx1"/>
            </w14:solidFill>
          </w14:textFill>
        </w:rPr>
        <w:br w:type="page"/>
      </w:r>
    </w:p>
    <w:p>
      <w:pPr>
        <w:pStyle w:val="7"/>
        <w:snapToGrid w:val="0"/>
        <w:rPr>
          <w:rFonts w:ascii="宋体" w:hAnsi="宋体"/>
          <w:b/>
          <w:b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三、政府采购合同专用条款</w:t>
      </w:r>
      <w:bookmarkEnd w:id="199"/>
    </w:p>
    <w:p>
      <w:pPr>
        <w:pStyle w:val="7"/>
        <w:snapToGrid w:val="0"/>
        <w:ind w:left="105" w:leftChars="50"/>
        <w:rPr>
          <w:rFonts w:ascii="宋体" w:hAnsi="宋体"/>
          <w:b/>
          <w:bCs/>
          <w:color w:val="000000" w:themeColor="text1"/>
          <w:sz w:val="28"/>
          <w:szCs w:val="28"/>
          <w14:textFill>
            <w14:solidFill>
              <w14:schemeClr w14:val="tx1"/>
            </w14:solidFill>
          </w14:textFill>
        </w:rPr>
      </w:pPr>
    </w:p>
    <w:p>
      <w:pPr>
        <w:pStyle w:val="7"/>
        <w:snapToGrid w:val="0"/>
        <w:ind w:left="105" w:leftChars="50"/>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政府采购合同专用条款</w:t>
      </w:r>
    </w:p>
    <w:tbl>
      <w:tblPr>
        <w:tblStyle w:val="19"/>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2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008" w:type="dxa"/>
            <w:vAlign w:val="center"/>
          </w:tcPr>
          <w:p>
            <w:pPr>
              <w:pStyle w:val="7"/>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520" w:type="dxa"/>
            <w:vAlign w:val="center"/>
          </w:tcPr>
          <w:p>
            <w:pPr>
              <w:pStyle w:val="7"/>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条款名称</w:t>
            </w:r>
          </w:p>
        </w:tc>
        <w:tc>
          <w:tcPr>
            <w:tcW w:w="5220" w:type="dxa"/>
            <w:vAlign w:val="center"/>
          </w:tcPr>
          <w:p>
            <w:pPr>
              <w:tabs>
                <w:tab w:val="left" w:pos="2466"/>
                <w:tab w:val="left" w:pos="5464"/>
              </w:tabs>
              <w:adjustRightInd w:val="0"/>
              <w:snapToGrid w:val="0"/>
              <w:spacing w:line="400" w:lineRule="exact"/>
              <w:ind w:left="108"/>
              <w:jc w:val="center"/>
              <w:rPr>
                <w:rFonts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vAlign w:val="center"/>
          </w:tcPr>
          <w:p>
            <w:pPr>
              <w:pStyle w:val="7"/>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520" w:type="dxa"/>
            <w:vAlign w:val="center"/>
          </w:tcPr>
          <w:p>
            <w:pPr>
              <w:pStyle w:val="7"/>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项目现场</w:t>
            </w:r>
          </w:p>
        </w:tc>
        <w:tc>
          <w:tcPr>
            <w:tcW w:w="5220" w:type="dxa"/>
            <w:vAlign w:val="center"/>
          </w:tcPr>
          <w:p>
            <w:pPr>
              <w:pStyle w:val="7"/>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vAlign w:val="center"/>
          </w:tcPr>
          <w:p>
            <w:pPr>
              <w:pStyle w:val="7"/>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520" w:type="dxa"/>
            <w:vAlign w:val="center"/>
          </w:tcPr>
          <w:p>
            <w:pPr>
              <w:pStyle w:val="7"/>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履行合同的时间</w:t>
            </w:r>
          </w:p>
        </w:tc>
        <w:tc>
          <w:tcPr>
            <w:tcW w:w="5220" w:type="dxa"/>
            <w:vAlign w:val="center"/>
          </w:tcPr>
          <w:p>
            <w:pPr>
              <w:pStyle w:val="7"/>
              <w:snapToGri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双方协商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vAlign w:val="center"/>
          </w:tcPr>
          <w:p>
            <w:pPr>
              <w:pStyle w:val="7"/>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520" w:type="dxa"/>
            <w:vAlign w:val="center"/>
          </w:tcPr>
          <w:p>
            <w:pPr>
              <w:pStyle w:val="7"/>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签订合同日期</w:t>
            </w:r>
          </w:p>
        </w:tc>
        <w:tc>
          <w:tcPr>
            <w:tcW w:w="5220" w:type="dxa"/>
            <w:vAlign w:val="center"/>
          </w:tcPr>
          <w:p>
            <w:pPr>
              <w:autoSpaceDE w:val="0"/>
              <w:autoSpaceDN w:val="0"/>
              <w:spacing w:line="440" w:lineRule="exact"/>
              <w:textAlignment w:val="bottom"/>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自签订合同之日起且资料收集齐全后30个工作日内。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vAlign w:val="center"/>
          </w:tcPr>
          <w:p>
            <w:pPr>
              <w:pStyle w:val="7"/>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520" w:type="dxa"/>
            <w:vAlign w:val="center"/>
          </w:tcPr>
          <w:p>
            <w:pPr>
              <w:pStyle w:val="7"/>
              <w:snapToGrid w:val="0"/>
              <w:spacing w:line="38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响应时间</w:t>
            </w:r>
          </w:p>
        </w:tc>
        <w:tc>
          <w:tcPr>
            <w:tcW w:w="5220" w:type="dxa"/>
            <w:vAlign w:val="center"/>
          </w:tcPr>
          <w:p>
            <w:pPr>
              <w:pStyle w:val="7"/>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接服务咨询后2小时响应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exact"/>
        </w:trPr>
        <w:tc>
          <w:tcPr>
            <w:tcW w:w="1008" w:type="dxa"/>
            <w:vAlign w:val="center"/>
          </w:tcPr>
          <w:p>
            <w:pPr>
              <w:pStyle w:val="7"/>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520" w:type="dxa"/>
            <w:vAlign w:val="center"/>
          </w:tcPr>
          <w:p>
            <w:pPr>
              <w:pStyle w:val="7"/>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合同价款支付方式和条件</w:t>
            </w:r>
          </w:p>
        </w:tc>
        <w:tc>
          <w:tcPr>
            <w:tcW w:w="5220" w:type="dxa"/>
            <w:vAlign w:val="center"/>
          </w:tcPr>
          <w:p>
            <w:pPr>
              <w:pStyle w:val="7"/>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按合同约定</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1008" w:type="dxa"/>
            <w:vAlign w:val="center"/>
          </w:tcPr>
          <w:p>
            <w:pPr>
              <w:pStyle w:val="7"/>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520" w:type="dxa"/>
            <w:vAlign w:val="center"/>
          </w:tcPr>
          <w:p>
            <w:pPr>
              <w:pStyle w:val="7"/>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伴随服务</w:t>
            </w:r>
          </w:p>
        </w:tc>
        <w:tc>
          <w:tcPr>
            <w:tcW w:w="5220" w:type="dxa"/>
            <w:vAlign w:val="center"/>
          </w:tcPr>
          <w:p>
            <w:pPr>
              <w:pStyle w:val="7"/>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按通用条款执行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vAlign w:val="center"/>
          </w:tcPr>
          <w:p>
            <w:pPr>
              <w:pStyle w:val="7"/>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520" w:type="dxa"/>
            <w:vAlign w:val="center"/>
          </w:tcPr>
          <w:p>
            <w:pPr>
              <w:pStyle w:val="7"/>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解决争议的方式</w:t>
            </w:r>
          </w:p>
        </w:tc>
        <w:tc>
          <w:tcPr>
            <w:tcW w:w="5220" w:type="dxa"/>
            <w:vAlign w:val="center"/>
          </w:tcPr>
          <w:p>
            <w:pPr>
              <w:pStyle w:val="7"/>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向甲方所在地人民法院提起诉讼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vAlign w:val="center"/>
          </w:tcPr>
          <w:p>
            <w:pPr>
              <w:pStyle w:val="7"/>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2520" w:type="dxa"/>
            <w:vAlign w:val="center"/>
          </w:tcPr>
          <w:p>
            <w:pPr>
              <w:pStyle w:val="7"/>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合同未尽事项</w:t>
            </w:r>
          </w:p>
        </w:tc>
        <w:tc>
          <w:tcPr>
            <w:tcW w:w="5220" w:type="dxa"/>
            <w:vAlign w:val="center"/>
          </w:tcPr>
          <w:p>
            <w:pPr>
              <w:pStyle w:val="7"/>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双方协商</w:t>
            </w:r>
          </w:p>
        </w:tc>
      </w:tr>
    </w:tbl>
    <w:p>
      <w:pPr>
        <w:pStyle w:val="7"/>
        <w:snapToGrid w:val="0"/>
        <w:ind w:left="105" w:leftChars="50"/>
        <w:jc w:val="center"/>
        <w:rPr>
          <w:rFonts w:ascii="宋体" w:hAnsi="宋体"/>
          <w:b/>
          <w:bCs/>
          <w:color w:val="000000" w:themeColor="text1"/>
          <w:sz w:val="24"/>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ab/>
      </w:r>
    </w:p>
    <w:p>
      <w:pPr>
        <w:spacing w:line="360" w:lineRule="exact"/>
        <w:jc w:val="center"/>
        <w:rPr>
          <w:rFonts w:ascii="宋体" w:hAnsi="宋体"/>
          <w:b/>
          <w:color w:val="000000" w:themeColor="text1"/>
          <w:szCs w:val="21"/>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p>
    <w:bookmarkEnd w:id="39"/>
    <w:p>
      <w:pPr>
        <w:spacing w:after="156" w:line="560" w:lineRule="exact"/>
        <w:ind w:firstLine="480"/>
        <w:rPr>
          <w:color w:val="000000" w:themeColor="text1"/>
          <w14:textFill>
            <w14:solidFill>
              <w14:schemeClr w14:val="tx1"/>
            </w14:solidFill>
          </w14:textFill>
        </w:rPr>
      </w:pPr>
    </w:p>
    <w:p>
      <w:pPr>
        <w:pStyle w:val="4"/>
        <w:spacing w:line="240" w:lineRule="atLeast"/>
        <w:ind w:left="1080" w:leftChars="257" w:hanging="540"/>
        <w:rPr>
          <w:rFonts w:ascii="仿宋_GB2312" w:hAnsi="宋体" w:eastAsia="仿宋_GB2312"/>
          <w:color w:val="000000" w:themeColor="text1"/>
          <w14:textFill>
            <w14:solidFill>
              <w14:schemeClr w14:val="tx1"/>
            </w14:solidFill>
          </w14:textFill>
        </w:rPr>
      </w:pPr>
    </w:p>
    <w:p>
      <w:pPr>
        <w:rPr>
          <w:color w:val="000000" w:themeColor="text1"/>
          <w14:textFill>
            <w14:solidFill>
              <w14:schemeClr w14:val="tx1"/>
            </w14:solidFill>
          </w14:textFill>
        </w:rPr>
      </w:pPr>
    </w:p>
    <w:p>
      <w:pPr>
        <w:pStyle w:val="7"/>
        <w:snapToGrid w:val="0"/>
        <w:jc w:val="left"/>
        <w:rPr>
          <w:rFonts w:ascii="宋体" w:hAnsi="宋体"/>
          <w:b/>
          <w:color w:val="000000" w:themeColor="text1"/>
          <w:sz w:val="28"/>
          <w:szCs w:val="28"/>
          <w14:textFill>
            <w14:solidFill>
              <w14:schemeClr w14:val="tx1"/>
            </w14:solidFill>
          </w14:textFill>
        </w:rPr>
      </w:pPr>
      <w:bookmarkStart w:id="200" w:name="_Toc420948021"/>
      <w:bookmarkStart w:id="201" w:name="_Toc474235954"/>
      <w:r>
        <w:rPr>
          <w:rFonts w:hint="eastAsia"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四、验收书</w:t>
      </w:r>
    </w:p>
    <w:bookmarkEnd w:id="200"/>
    <w:bookmarkEnd w:id="201"/>
    <w:p>
      <w:pPr>
        <w:jc w:val="center"/>
        <w:outlineLvl w:val="0"/>
        <w:rPr>
          <w:rFonts w:hint="eastAsia" w:ascii="宋体" w:hAnsi="宋体"/>
          <w:b/>
          <w:color w:val="000000" w:themeColor="text1"/>
          <w:sz w:val="32"/>
          <w:szCs w:val="32"/>
          <w14:textFill>
            <w14:solidFill>
              <w14:schemeClr w14:val="tx1"/>
            </w14:solidFill>
          </w14:textFill>
        </w:rPr>
      </w:pPr>
      <w:bookmarkStart w:id="202" w:name="_Toc474235955"/>
    </w:p>
    <w:p>
      <w:pPr>
        <w:jc w:val="center"/>
        <w:outlineLvl w:val="0"/>
        <w:rPr>
          <w:rFonts w:hint="eastAsia" w:ascii="宋体" w:hAnsi="宋体"/>
          <w:b/>
          <w:color w:val="000000" w:themeColor="text1"/>
          <w:sz w:val="32"/>
          <w:szCs w:val="32"/>
          <w14:textFill>
            <w14:solidFill>
              <w14:schemeClr w14:val="tx1"/>
            </w14:solidFill>
          </w14:textFill>
        </w:rPr>
      </w:pPr>
    </w:p>
    <w:p>
      <w:pPr>
        <w:jc w:val="center"/>
        <w:outlineLvl w:val="0"/>
        <w:rPr>
          <w:rFonts w:hint="eastAsia" w:ascii="宋体" w:hAnsi="宋体"/>
          <w:b/>
          <w:color w:val="000000" w:themeColor="text1"/>
          <w:sz w:val="32"/>
          <w:szCs w:val="32"/>
          <w14:textFill>
            <w14:solidFill>
              <w14:schemeClr w14:val="tx1"/>
            </w14:solidFill>
          </w14:textFill>
        </w:rPr>
      </w:pPr>
    </w:p>
    <w:p>
      <w:pPr>
        <w:jc w:val="center"/>
        <w:outlineLvl w:val="0"/>
        <w:rPr>
          <w:rFonts w:hint="eastAsia" w:ascii="宋体" w:hAnsi="宋体"/>
          <w:b/>
          <w:color w:val="000000" w:themeColor="text1"/>
          <w:sz w:val="32"/>
          <w:szCs w:val="32"/>
          <w14:textFill>
            <w14:solidFill>
              <w14:schemeClr w14:val="tx1"/>
            </w14:solidFill>
          </w14:textFill>
        </w:rPr>
      </w:pPr>
    </w:p>
    <w:p>
      <w:pPr>
        <w:jc w:val="center"/>
        <w:outlineLvl w:val="0"/>
        <w:rPr>
          <w:rFonts w:hint="eastAsia" w:ascii="宋体" w:hAnsi="宋体"/>
          <w:b/>
          <w:color w:val="000000" w:themeColor="text1"/>
          <w:sz w:val="32"/>
          <w:szCs w:val="32"/>
          <w14:textFill>
            <w14:solidFill>
              <w14:schemeClr w14:val="tx1"/>
            </w14:solidFill>
          </w14:textFill>
        </w:rPr>
      </w:pPr>
    </w:p>
    <w:p>
      <w:pPr>
        <w:jc w:val="center"/>
        <w:outlineLvl w:val="0"/>
        <w:rPr>
          <w:rFonts w:hint="eastAsia" w:ascii="宋体" w:hAnsi="宋体"/>
          <w:b/>
          <w:color w:val="000000" w:themeColor="text1"/>
          <w:sz w:val="32"/>
          <w:szCs w:val="32"/>
          <w14:textFill>
            <w14:solidFill>
              <w14:schemeClr w14:val="tx1"/>
            </w14:solidFill>
          </w14:textFill>
        </w:rPr>
      </w:pPr>
    </w:p>
    <w:p>
      <w:pPr>
        <w:jc w:val="center"/>
        <w:outlineLvl w:val="0"/>
        <w:rPr>
          <w:rFonts w:hint="eastAsia" w:ascii="宋体" w:hAnsi="宋体"/>
          <w:b/>
          <w:color w:val="000000" w:themeColor="text1"/>
          <w:sz w:val="32"/>
          <w:szCs w:val="32"/>
          <w14:textFill>
            <w14:solidFill>
              <w14:schemeClr w14:val="tx1"/>
            </w14:solidFill>
          </w14:textFill>
        </w:rPr>
      </w:pPr>
    </w:p>
    <w:p>
      <w:pPr>
        <w:jc w:val="center"/>
        <w:outlineLvl w:val="0"/>
        <w:rPr>
          <w:rFonts w:hint="eastAsia" w:ascii="宋体" w:hAnsi="宋体"/>
          <w:b/>
          <w:color w:val="000000" w:themeColor="text1"/>
          <w:sz w:val="32"/>
          <w:szCs w:val="32"/>
          <w14:textFill>
            <w14:solidFill>
              <w14:schemeClr w14:val="tx1"/>
            </w14:solidFill>
          </w14:textFill>
        </w:rPr>
      </w:pPr>
    </w:p>
    <w:p>
      <w:pPr>
        <w:jc w:val="center"/>
        <w:outlineLvl w:val="0"/>
        <w:rPr>
          <w:rFonts w:hint="eastAsia" w:ascii="宋体" w:hAnsi="宋体"/>
          <w:b/>
          <w:color w:val="000000" w:themeColor="text1"/>
          <w:sz w:val="32"/>
          <w:szCs w:val="32"/>
          <w14:textFill>
            <w14:solidFill>
              <w14:schemeClr w14:val="tx1"/>
            </w14:solidFill>
          </w14:textFill>
        </w:rPr>
      </w:pPr>
    </w:p>
    <w:p>
      <w:pPr>
        <w:jc w:val="center"/>
        <w:outlineLvl w:val="0"/>
        <w:rPr>
          <w:rFonts w:hint="eastAsia" w:ascii="宋体" w:hAnsi="宋体"/>
          <w:b/>
          <w:color w:val="000000" w:themeColor="text1"/>
          <w:sz w:val="32"/>
          <w:szCs w:val="32"/>
          <w14:textFill>
            <w14:solidFill>
              <w14:schemeClr w14:val="tx1"/>
            </w14:solidFill>
          </w14:textFill>
        </w:rPr>
      </w:pPr>
    </w:p>
    <w:p>
      <w:pPr>
        <w:jc w:val="center"/>
        <w:outlineLvl w:val="0"/>
        <w:rPr>
          <w:rFonts w:hint="eastAsia" w:ascii="宋体" w:hAnsi="宋体"/>
          <w:b/>
          <w:color w:val="000000" w:themeColor="text1"/>
          <w:sz w:val="32"/>
          <w:szCs w:val="32"/>
          <w14:textFill>
            <w14:solidFill>
              <w14:schemeClr w14:val="tx1"/>
            </w14:solidFill>
          </w14:textFill>
        </w:rPr>
      </w:pPr>
    </w:p>
    <w:p>
      <w:pPr>
        <w:jc w:val="center"/>
        <w:outlineLvl w:val="0"/>
        <w:rPr>
          <w:rFonts w:hint="eastAsia" w:ascii="宋体" w:hAnsi="宋体"/>
          <w:b/>
          <w:color w:val="000000" w:themeColor="text1"/>
          <w:sz w:val="32"/>
          <w:szCs w:val="32"/>
          <w14:textFill>
            <w14:solidFill>
              <w14:schemeClr w14:val="tx1"/>
            </w14:solidFill>
          </w14:textFill>
        </w:rPr>
      </w:pPr>
    </w:p>
    <w:p>
      <w:pPr>
        <w:jc w:val="center"/>
        <w:outlineLvl w:val="0"/>
        <w:rPr>
          <w:rFonts w:hint="eastAsia" w:ascii="宋体" w:hAnsi="宋体"/>
          <w:b/>
          <w:color w:val="000000" w:themeColor="text1"/>
          <w:sz w:val="32"/>
          <w:szCs w:val="32"/>
          <w14:textFill>
            <w14:solidFill>
              <w14:schemeClr w14:val="tx1"/>
            </w14:solidFill>
          </w14:textFill>
        </w:rPr>
      </w:pPr>
    </w:p>
    <w:p>
      <w:pPr>
        <w:jc w:val="center"/>
        <w:outlineLvl w:val="0"/>
        <w:rPr>
          <w:rFonts w:hint="eastAsia" w:ascii="宋体" w:hAnsi="宋体"/>
          <w:b/>
          <w:color w:val="000000" w:themeColor="text1"/>
          <w:sz w:val="32"/>
          <w:szCs w:val="32"/>
          <w14:textFill>
            <w14:solidFill>
              <w14:schemeClr w14:val="tx1"/>
            </w14:solidFill>
          </w14:textFill>
        </w:rPr>
      </w:pPr>
    </w:p>
    <w:p>
      <w:pPr>
        <w:jc w:val="center"/>
        <w:outlineLvl w:val="0"/>
        <w:rPr>
          <w:rFonts w:hint="eastAsia" w:ascii="宋体" w:hAnsi="宋体"/>
          <w:b/>
          <w:color w:val="000000" w:themeColor="text1"/>
          <w:sz w:val="32"/>
          <w:szCs w:val="32"/>
          <w14:textFill>
            <w14:solidFill>
              <w14:schemeClr w14:val="tx1"/>
            </w14:solidFill>
          </w14:textFill>
        </w:rPr>
      </w:pPr>
    </w:p>
    <w:p>
      <w:pPr>
        <w:jc w:val="center"/>
        <w:outlineLvl w:val="0"/>
        <w:rPr>
          <w:rFonts w:hint="eastAsia" w:ascii="宋体" w:hAnsi="宋体"/>
          <w:b/>
          <w:color w:val="000000" w:themeColor="text1"/>
          <w:sz w:val="32"/>
          <w:szCs w:val="32"/>
          <w14:textFill>
            <w14:solidFill>
              <w14:schemeClr w14:val="tx1"/>
            </w14:solidFill>
          </w14:textFill>
        </w:rPr>
      </w:pPr>
    </w:p>
    <w:p>
      <w:pPr>
        <w:jc w:val="center"/>
        <w:outlineLvl w:val="0"/>
        <w:rPr>
          <w:rFonts w:hint="eastAsia" w:ascii="宋体" w:hAnsi="宋体"/>
          <w:b/>
          <w:color w:val="000000" w:themeColor="text1"/>
          <w:sz w:val="32"/>
          <w:szCs w:val="32"/>
          <w14:textFill>
            <w14:solidFill>
              <w14:schemeClr w14:val="tx1"/>
            </w14:solidFill>
          </w14:textFill>
        </w:rPr>
      </w:pPr>
    </w:p>
    <w:p>
      <w:pPr>
        <w:jc w:val="center"/>
        <w:outlineLvl w:val="0"/>
        <w:rPr>
          <w:rFonts w:hint="eastAsia" w:ascii="宋体" w:hAnsi="宋体"/>
          <w:b/>
          <w:color w:val="000000" w:themeColor="text1"/>
          <w:sz w:val="32"/>
          <w:szCs w:val="32"/>
          <w14:textFill>
            <w14:solidFill>
              <w14:schemeClr w14:val="tx1"/>
            </w14:solidFill>
          </w14:textFill>
        </w:rPr>
      </w:pPr>
    </w:p>
    <w:p>
      <w:pPr>
        <w:jc w:val="center"/>
        <w:outlineLvl w:val="0"/>
        <w:rPr>
          <w:rFonts w:hint="eastAsia" w:ascii="宋体" w:hAnsi="宋体"/>
          <w:b/>
          <w:color w:val="000000" w:themeColor="text1"/>
          <w:sz w:val="32"/>
          <w:szCs w:val="32"/>
          <w14:textFill>
            <w14:solidFill>
              <w14:schemeClr w14:val="tx1"/>
            </w14:solidFill>
          </w14:textFill>
        </w:rPr>
      </w:pPr>
    </w:p>
    <w:p>
      <w:pPr>
        <w:jc w:val="center"/>
        <w:outlineLvl w:val="0"/>
        <w:rPr>
          <w:rFonts w:hint="eastAsia" w:ascii="宋体" w:hAnsi="宋体"/>
          <w:b/>
          <w:color w:val="000000" w:themeColor="text1"/>
          <w:sz w:val="32"/>
          <w:szCs w:val="32"/>
          <w14:textFill>
            <w14:solidFill>
              <w14:schemeClr w14:val="tx1"/>
            </w14:solidFill>
          </w14:textFill>
        </w:rPr>
      </w:pPr>
    </w:p>
    <w:p>
      <w:pPr>
        <w:jc w:val="center"/>
        <w:outlineLvl w:val="0"/>
        <w:rPr>
          <w:rFonts w:hint="eastAsia" w:ascii="宋体" w:hAnsi="宋体"/>
          <w:b/>
          <w:color w:val="000000" w:themeColor="text1"/>
          <w:sz w:val="32"/>
          <w:szCs w:val="32"/>
          <w14:textFill>
            <w14:solidFill>
              <w14:schemeClr w14:val="tx1"/>
            </w14:solidFill>
          </w14:textFill>
        </w:rPr>
      </w:pPr>
    </w:p>
    <w:p>
      <w:pPr>
        <w:jc w:val="center"/>
        <w:outlineLvl w:val="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第五章 采购需求</w:t>
      </w:r>
    </w:p>
    <w:p>
      <w:pPr>
        <w:spacing w:line="360" w:lineRule="auto"/>
        <w:rPr>
          <w:rFonts w:hint="eastAsia" w:ascii="宋体" w:hAnsi="宋体"/>
          <w:b/>
          <w:color w:val="auto"/>
        </w:rPr>
      </w:pPr>
      <w:r>
        <w:rPr>
          <w:rFonts w:hint="eastAsia" w:ascii="宋体" w:hAnsi="宋体"/>
          <w:b/>
          <w:color w:val="auto"/>
        </w:rPr>
        <w:t>1.项目需求</w:t>
      </w:r>
    </w:p>
    <w:p>
      <w:pPr>
        <w:pStyle w:val="2"/>
        <w:rPr>
          <w:rFonts w:hint="eastAsia"/>
          <w:lang w:eastAsia="zh-CN"/>
        </w:rPr>
      </w:pPr>
      <w:r>
        <w:rPr>
          <w:rFonts w:hint="eastAsia"/>
          <w:lang w:eastAsia="zh-CN"/>
        </w:rPr>
        <w:t>采购内容：</w:t>
      </w:r>
      <w:r>
        <w:rPr>
          <w:rFonts w:hint="eastAsia"/>
        </w:rPr>
        <w:t>根据：1.《中华人民共和国民用航空法》、2.国务院《民用机场管理条例》、3.民航局、发改委《全国民用运输机场布局规划》、4.交通部《民用机场建设管理规定》、5.建设部、发改委《民用机场工程项目建设标准》、6.交通部《中国综合交通发展“十四五”规划》、7.民航局《中国民用航空发展“十四五”规划》、8.民航局《民用运输机场建设“十四五”规划》、9.民航局《民用运输机场选址规范》、10.民航局《民用航空支线机场建设标准》、11.民航局《民用机场飞行区技术标准》、12.新疆自治区人民政府《关于进一步推进霍尔果斯高质量发展的指导意见》、13.伊犁州发改委《伊犁哈萨克自治州直国民经济和社会发展第十四个五年规划纲要》、14.霍尔果斯市人民政府《霍尔果斯市国民经济和社会发展第十四个五年规划和二〇三五年远景目标纲要》等规范要求，编制完成伊犁州民用运输机场布局规划研究方案</w:t>
      </w:r>
      <w:r>
        <w:rPr>
          <w:rFonts w:hint="eastAsia"/>
          <w:lang w:eastAsia="zh-CN"/>
        </w:rPr>
        <w:t>。</w:t>
      </w:r>
    </w:p>
    <w:p>
      <w:pPr>
        <w:pStyle w:val="2"/>
        <w:rPr>
          <w:rFonts w:hint="eastAsia"/>
          <w:lang w:eastAsia="zh-CN"/>
        </w:rPr>
      </w:pPr>
      <w:r>
        <w:rPr>
          <w:rFonts w:hint="eastAsia"/>
          <w:lang w:eastAsia="zh-CN"/>
        </w:rPr>
        <w:t>服务期限：自签订合同之日起且资料收集齐全后30个工作日内</w:t>
      </w:r>
    </w:p>
    <w:p>
      <w:pPr>
        <w:overflowPunct w:val="0"/>
        <w:spacing w:line="360" w:lineRule="auto"/>
        <w:jc w:val="lef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bookmarkEnd w:id="202"/>
    </w:p>
    <w:p>
      <w:pPr>
        <w:adjustRightInd w:val="0"/>
        <w:snapToGrid w:val="0"/>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电子版投标文件编制顺序</w:t>
      </w:r>
    </w:p>
    <w:p>
      <w:pPr>
        <w:autoSpaceDE w:val="0"/>
        <w:autoSpaceDN w:val="0"/>
        <w:adjustRightInd w:val="0"/>
        <w:spacing w:line="480" w:lineRule="auto"/>
        <w:ind w:firstLine="480"/>
        <w:rPr>
          <w:rFonts w:hint="eastAsia" w:ascii="宋体" w:hAnsi="宋体" w:eastAsia="宋体" w:cs="宋体"/>
          <w:sz w:val="24"/>
          <w:szCs w:val="24"/>
          <w:lang w:val="zh-CN"/>
        </w:rPr>
      </w:pPr>
      <w:bookmarkStart w:id="203" w:name="_Toc466288481"/>
      <w:bookmarkStart w:id="204" w:name="_Toc474235956"/>
      <w:r>
        <w:rPr>
          <w:rFonts w:hint="eastAsia" w:ascii="宋体" w:hAnsi="宋体" w:eastAsia="宋体" w:cs="宋体"/>
          <w:sz w:val="24"/>
          <w:szCs w:val="24"/>
          <w:lang w:val="zh-CN"/>
        </w:rPr>
        <w:t>1、商务部分：</w:t>
      </w:r>
    </w:p>
    <w:p>
      <w:pPr>
        <w:autoSpaceDE w:val="0"/>
        <w:autoSpaceDN w:val="0"/>
        <w:adjustRightInd w:val="0"/>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（1）投标回函</w:t>
      </w:r>
    </w:p>
    <w:p>
      <w:pPr>
        <w:autoSpaceDE w:val="0"/>
        <w:autoSpaceDN w:val="0"/>
        <w:adjustRightInd w:val="0"/>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（2）开标一览表</w:t>
      </w:r>
    </w:p>
    <w:p>
      <w:pPr>
        <w:autoSpaceDE w:val="0"/>
        <w:autoSpaceDN w:val="0"/>
        <w:adjustRightIn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（3）法定代表人授权书</w:t>
      </w:r>
    </w:p>
    <w:p>
      <w:pPr>
        <w:autoSpaceDE w:val="0"/>
        <w:autoSpaceDN w:val="0"/>
        <w:adjustRightIn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（4）投标供应商资格证明文件（营业执照、资质证书等）</w:t>
      </w: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（5）项目负责人相关证件</w:t>
      </w:r>
    </w:p>
    <w:p>
      <w:pPr>
        <w:pStyle w:val="2"/>
        <w:spacing w:line="360" w:lineRule="auto"/>
        <w:rPr>
          <w:rFonts w:hint="eastAsia" w:ascii="宋体" w:hAnsi="宋体"/>
          <w:color w:val="333333"/>
          <w:kern w:val="0"/>
          <w:sz w:val="24"/>
          <w:szCs w:val="24"/>
          <w:highlight w:val="none"/>
        </w:rPr>
      </w:pPr>
      <w:r>
        <w:rPr>
          <w:rFonts w:hint="eastAsia" w:ascii="宋体" w:hAnsi="宋体" w:eastAsia="宋体" w:cs="宋体"/>
          <w:sz w:val="24"/>
          <w:szCs w:val="24"/>
          <w:lang w:val="en-US" w:eastAsia="zh-CN"/>
        </w:rPr>
        <w:t>（6）企业</w:t>
      </w:r>
      <w:r>
        <w:rPr>
          <w:rFonts w:hint="eastAsia" w:ascii="宋体" w:hAnsi="宋体"/>
          <w:color w:val="333333"/>
          <w:kern w:val="0"/>
          <w:sz w:val="24"/>
          <w:szCs w:val="24"/>
          <w:highlight w:val="none"/>
        </w:rPr>
        <w:t>类似项目业绩</w:t>
      </w:r>
    </w:p>
    <w:p>
      <w:pPr>
        <w:pStyle w:val="2"/>
        <w:spacing w:line="360" w:lineRule="auto"/>
        <w:rPr>
          <w:rFonts w:hint="eastAsia" w:ascii="宋体" w:hAnsi="宋体" w:eastAsia="宋体"/>
          <w:color w:val="333333"/>
          <w:kern w:val="0"/>
          <w:sz w:val="24"/>
          <w:szCs w:val="24"/>
          <w:highlight w:val="none"/>
          <w:lang w:val="en-US" w:eastAsia="zh-CN"/>
        </w:rPr>
      </w:pPr>
      <w:r>
        <w:rPr>
          <w:rFonts w:hint="eastAsia" w:ascii="宋体" w:hAnsi="宋体"/>
          <w:color w:val="333333"/>
          <w:kern w:val="0"/>
          <w:sz w:val="24"/>
          <w:szCs w:val="24"/>
          <w:highlight w:val="none"/>
          <w:lang w:eastAsia="zh-CN"/>
        </w:rPr>
        <w:t>（</w:t>
      </w:r>
      <w:r>
        <w:rPr>
          <w:rFonts w:hint="eastAsia" w:ascii="宋体" w:hAnsi="宋体"/>
          <w:color w:val="333333"/>
          <w:kern w:val="0"/>
          <w:sz w:val="24"/>
          <w:szCs w:val="24"/>
          <w:highlight w:val="none"/>
          <w:lang w:val="en-US" w:eastAsia="zh-CN"/>
        </w:rPr>
        <w:t>7</w:t>
      </w:r>
      <w:r>
        <w:rPr>
          <w:rFonts w:hint="eastAsia" w:ascii="宋体" w:hAnsi="宋体"/>
          <w:color w:val="333333"/>
          <w:kern w:val="0"/>
          <w:sz w:val="24"/>
          <w:szCs w:val="24"/>
          <w:highlight w:val="none"/>
          <w:lang w:eastAsia="zh-CN"/>
        </w:rPr>
        <w:t>）项目负责人类似业绩</w:t>
      </w:r>
    </w:p>
    <w:p>
      <w:pPr>
        <w:autoSpaceDE w:val="0"/>
        <w:autoSpaceDN w:val="0"/>
        <w:adjustRightInd w:val="0"/>
        <w:spacing w:line="480" w:lineRule="auto"/>
        <w:ind w:firstLine="480"/>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技术部分：</w:t>
      </w:r>
    </w:p>
    <w:p>
      <w:pPr>
        <w:numPr>
          <w:ilvl w:val="0"/>
          <w:numId w:val="0"/>
        </w:numPr>
        <w:bidi w:val="0"/>
        <w:spacing w:line="480" w:lineRule="auto"/>
        <w:ind w:left="210" w:leftChars="0"/>
        <w:rPr>
          <w:rFonts w:hint="default"/>
          <w:sz w:val="24"/>
          <w:szCs w:val="24"/>
          <w:lang w:val="en-US"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）对项目的了解程度</w:t>
      </w:r>
    </w:p>
    <w:p>
      <w:pPr>
        <w:numPr>
          <w:ilvl w:val="0"/>
          <w:numId w:val="0"/>
        </w:numPr>
        <w:bidi w:val="0"/>
        <w:spacing w:line="480" w:lineRule="auto"/>
        <w:ind w:left="210" w:leftChars="0"/>
        <w:rPr>
          <w:rFonts w:hint="default"/>
          <w:sz w:val="24"/>
          <w:szCs w:val="24"/>
          <w:lang w:val="en-US"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规划研究编制方案重难点及解决措施</w:t>
      </w:r>
    </w:p>
    <w:p>
      <w:pPr>
        <w:numPr>
          <w:ilvl w:val="0"/>
          <w:numId w:val="0"/>
        </w:numPr>
        <w:bidi w:val="0"/>
        <w:spacing w:line="480" w:lineRule="auto"/>
        <w:ind w:left="210" w:leftChars="0"/>
        <w:rPr>
          <w:rFonts w:hint="default"/>
          <w:sz w:val="24"/>
          <w:szCs w:val="24"/>
          <w:lang w:val="en-US" w:eastAsia="zh-CN"/>
        </w:rPr>
      </w:pPr>
      <w:r>
        <w:rPr>
          <w:rFonts w:hint="eastAsia"/>
          <w:sz w:val="24"/>
          <w:szCs w:val="24"/>
          <w:lang w:val="en-US" w:eastAsia="zh-CN"/>
        </w:rPr>
        <w:t>（3）规划研究编制方案</w:t>
      </w:r>
    </w:p>
    <w:p>
      <w:pPr>
        <w:numPr>
          <w:ilvl w:val="0"/>
          <w:numId w:val="0"/>
        </w:numPr>
        <w:bidi w:val="0"/>
        <w:spacing w:line="480" w:lineRule="auto"/>
        <w:ind w:left="210" w:leftChars="0"/>
        <w:rPr>
          <w:rFonts w:hint="eastAsia"/>
          <w:sz w:val="24"/>
          <w:szCs w:val="24"/>
          <w:lang w:val="en-US"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后续支持及服务方案</w:t>
      </w:r>
    </w:p>
    <w:p>
      <w:pPr>
        <w:autoSpaceDE w:val="0"/>
        <w:autoSpaceDN w:val="0"/>
        <w:adjustRightInd w:val="0"/>
        <w:spacing w:line="480" w:lineRule="auto"/>
        <w:ind w:firstLine="480"/>
        <w:rPr>
          <w:rFonts w:hint="eastAsia" w:ascii="宋体" w:hAnsi="宋体" w:eastAsia="宋体" w:cs="宋体"/>
          <w:sz w:val="24"/>
          <w:szCs w:val="24"/>
        </w:rPr>
      </w:pPr>
    </w:p>
    <w:p>
      <w:pPr>
        <w:rPr>
          <w:rFonts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p>
    <w:p>
      <w:pPr>
        <w:adjustRightInd w:val="0"/>
        <w:snapToGrid w:val="0"/>
        <w:spacing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同类项目业</w:t>
      </w:r>
      <w:r>
        <w:rPr>
          <w:rFonts w:hint="eastAsia" w:ascii="宋体" w:hAnsi="宋体" w:cs="宋体"/>
          <w:color w:val="000000" w:themeColor="text1"/>
          <w:sz w:val="28"/>
          <w:szCs w:val="28"/>
          <w14:textFill>
            <w14:solidFill>
              <w14:schemeClr w14:val="tx1"/>
            </w14:solidFill>
          </w14:textFill>
        </w:rPr>
        <w:t>绩表</w:t>
      </w:r>
    </w:p>
    <w:p>
      <w:pPr>
        <w:tabs>
          <w:tab w:val="left" w:pos="3600"/>
        </w:tabs>
        <w:adjustRightInd w:val="0"/>
        <w:snapToGrid w:val="0"/>
        <w:jc w:val="center"/>
        <w:rPr>
          <w:rFonts w:ascii="宋体" w:hAnsi="宋体" w:cs="宋体"/>
          <w:b/>
          <w:bCs/>
          <w:color w:val="000000" w:themeColor="text1"/>
          <w:spacing w:val="6"/>
          <w:kern w:val="0"/>
          <w:szCs w:val="21"/>
          <w14:textFill>
            <w14:solidFill>
              <w14:schemeClr w14:val="tx1"/>
            </w14:solidFill>
          </w14:textFill>
        </w:rPr>
      </w:pPr>
    </w:p>
    <w:p>
      <w:pPr>
        <w:tabs>
          <w:tab w:val="left" w:pos="5580"/>
        </w:tabs>
        <w:spacing w:before="12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同类项目</w:t>
      </w:r>
      <w:r>
        <w:rPr>
          <w:rFonts w:hint="eastAsia" w:ascii="宋体" w:hAnsi="宋体" w:cs="宋体"/>
          <w:color w:val="000000" w:themeColor="text1"/>
          <w:szCs w:val="21"/>
          <w14:textFill>
            <w14:solidFill>
              <w14:schemeClr w14:val="tx1"/>
            </w14:solidFill>
          </w14:textFill>
        </w:rPr>
        <w:t>业绩统计(201</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年1月1日至今）：</w:t>
      </w:r>
    </w:p>
    <w:tbl>
      <w:tblPr>
        <w:tblStyle w:val="19"/>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106"/>
        <w:gridCol w:w="1841"/>
        <w:gridCol w:w="1528"/>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4" w:type="dxa"/>
            <w:vAlign w:val="center"/>
          </w:tcPr>
          <w:p>
            <w:pPr>
              <w:pStyle w:val="3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地　　区</w:t>
            </w:r>
          </w:p>
        </w:tc>
        <w:tc>
          <w:tcPr>
            <w:tcW w:w="2106" w:type="dxa"/>
            <w:vAlign w:val="center"/>
          </w:tcPr>
          <w:p>
            <w:pPr>
              <w:pStyle w:val="30"/>
              <w:spacing w:line="320" w:lineRule="exact"/>
              <w:ind w:right="-107" w:rightChars="-51"/>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项目名称</w:t>
            </w:r>
          </w:p>
        </w:tc>
        <w:tc>
          <w:tcPr>
            <w:tcW w:w="1841" w:type="dxa"/>
            <w:vAlign w:val="center"/>
          </w:tcPr>
          <w:p>
            <w:pPr>
              <w:pStyle w:val="3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中标日期或</w:t>
            </w:r>
          </w:p>
          <w:p>
            <w:pPr>
              <w:pStyle w:val="3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合同签订日期</w:t>
            </w:r>
          </w:p>
        </w:tc>
        <w:tc>
          <w:tcPr>
            <w:tcW w:w="1528" w:type="dxa"/>
            <w:vAlign w:val="center"/>
          </w:tcPr>
          <w:p>
            <w:pPr>
              <w:pStyle w:val="3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中标金额</w:t>
            </w:r>
          </w:p>
        </w:tc>
        <w:tc>
          <w:tcPr>
            <w:tcW w:w="1628" w:type="dxa"/>
            <w:vAlign w:val="center"/>
          </w:tcPr>
          <w:p>
            <w:pPr>
              <w:pStyle w:val="3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pPr>
              <w:spacing w:line="320" w:lineRule="exact"/>
              <w:rPr>
                <w:rFonts w:ascii="宋体" w:hAnsi="宋体" w:cs="宋体"/>
                <w:color w:val="000000" w:themeColor="text1"/>
                <w:szCs w:val="21"/>
                <w14:textFill>
                  <w14:solidFill>
                    <w14:schemeClr w14:val="tx1"/>
                  </w14:solidFill>
                </w14:textFill>
              </w:rPr>
            </w:pP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pPr>
              <w:spacing w:line="320" w:lineRule="exact"/>
              <w:rPr>
                <w:rFonts w:ascii="宋体" w:hAnsi="宋体" w:cs="宋体"/>
                <w:color w:val="000000" w:themeColor="text1"/>
                <w:szCs w:val="21"/>
                <w14:textFill>
                  <w14:solidFill>
                    <w14:schemeClr w14:val="tx1"/>
                  </w14:solidFill>
                </w14:textFill>
              </w:rPr>
            </w:pP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pPr>
              <w:spacing w:line="320" w:lineRule="exact"/>
              <w:rPr>
                <w:rFonts w:ascii="宋体" w:hAnsi="宋体" w:cs="宋体"/>
                <w:color w:val="000000" w:themeColor="text1"/>
                <w:szCs w:val="21"/>
                <w14:textFill>
                  <w14:solidFill>
                    <w14:schemeClr w14:val="tx1"/>
                  </w14:solidFill>
                </w14:textFill>
              </w:rPr>
            </w:pP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pPr>
              <w:spacing w:line="320" w:lineRule="exact"/>
              <w:rPr>
                <w:rFonts w:ascii="宋体" w:hAnsi="宋体" w:cs="宋体"/>
                <w:color w:val="000000" w:themeColor="text1"/>
                <w:szCs w:val="21"/>
                <w14:textFill>
                  <w14:solidFill>
                    <w14:schemeClr w14:val="tx1"/>
                  </w14:solidFill>
                </w14:textFill>
              </w:rPr>
            </w:pP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pPr>
              <w:spacing w:line="320" w:lineRule="exact"/>
              <w:rPr>
                <w:rFonts w:ascii="宋体" w:hAnsi="宋体" w:cs="宋体"/>
                <w:color w:val="000000" w:themeColor="text1"/>
                <w:szCs w:val="21"/>
                <w14:textFill>
                  <w14:solidFill>
                    <w14:schemeClr w14:val="tx1"/>
                  </w14:solidFill>
                </w14:textFill>
              </w:rPr>
            </w:pP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pPr>
              <w:spacing w:line="320" w:lineRule="exact"/>
              <w:rPr>
                <w:rFonts w:ascii="宋体" w:hAnsi="宋体" w:cs="宋体"/>
                <w:color w:val="000000" w:themeColor="text1"/>
                <w:szCs w:val="21"/>
                <w14:textFill>
                  <w14:solidFill>
                    <w14:schemeClr w14:val="tx1"/>
                  </w14:solidFill>
                </w14:textFill>
              </w:rPr>
            </w:pP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pPr>
              <w:spacing w:line="320" w:lineRule="exact"/>
              <w:rPr>
                <w:rFonts w:ascii="宋体" w:hAnsi="宋体" w:cs="宋体"/>
                <w:color w:val="000000" w:themeColor="text1"/>
                <w:szCs w:val="21"/>
                <w14:textFill>
                  <w14:solidFill>
                    <w14:schemeClr w14:val="tx1"/>
                  </w14:solidFill>
                </w14:textFill>
              </w:rPr>
            </w:pP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pPr>
              <w:spacing w:line="320" w:lineRule="exact"/>
              <w:rPr>
                <w:rFonts w:ascii="宋体" w:hAnsi="宋体" w:cs="宋体"/>
                <w:color w:val="000000" w:themeColor="text1"/>
                <w:szCs w:val="21"/>
                <w14:textFill>
                  <w14:solidFill>
                    <w14:schemeClr w14:val="tx1"/>
                  </w14:solidFill>
                </w14:textFill>
              </w:rPr>
            </w:pP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tcPr>
          <w:p>
            <w:pPr>
              <w:spacing w:line="320" w:lineRule="exact"/>
              <w:rPr>
                <w:rFonts w:ascii="宋体" w:hAnsi="宋体" w:cs="宋体"/>
                <w:color w:val="000000" w:themeColor="text1"/>
                <w:szCs w:val="21"/>
                <w14:textFill>
                  <w14:solidFill>
                    <w14:schemeClr w14:val="tx1"/>
                  </w14:solidFill>
                </w14:textFill>
              </w:rPr>
            </w:pPr>
          </w:p>
        </w:tc>
        <w:tc>
          <w:tcPr>
            <w:tcW w:w="1841" w:type="dxa"/>
          </w:tcPr>
          <w:p>
            <w:pPr>
              <w:spacing w:line="320" w:lineRule="exact"/>
              <w:rPr>
                <w:rFonts w:ascii="宋体" w:hAnsi="宋体" w:cs="宋体"/>
                <w:color w:val="000000" w:themeColor="text1"/>
                <w:szCs w:val="21"/>
                <w14:textFill>
                  <w14:solidFill>
                    <w14:schemeClr w14:val="tx1"/>
                  </w14:solidFill>
                </w14:textFill>
              </w:rPr>
            </w:pPr>
          </w:p>
        </w:tc>
        <w:tc>
          <w:tcPr>
            <w:tcW w:w="1528" w:type="dxa"/>
          </w:tcPr>
          <w:p>
            <w:pPr>
              <w:spacing w:line="320" w:lineRule="exact"/>
              <w:rPr>
                <w:rFonts w:ascii="宋体" w:hAnsi="宋体" w:cs="宋体"/>
                <w:color w:val="000000" w:themeColor="text1"/>
                <w:szCs w:val="21"/>
                <w14:textFill>
                  <w14:solidFill>
                    <w14:schemeClr w14:val="tx1"/>
                  </w14:solidFill>
                </w14:textFill>
              </w:rPr>
            </w:pPr>
          </w:p>
        </w:tc>
        <w:tc>
          <w:tcPr>
            <w:tcW w:w="1628" w:type="dxa"/>
          </w:tcPr>
          <w:p>
            <w:pPr>
              <w:spacing w:line="320" w:lineRule="exact"/>
              <w:rPr>
                <w:rFonts w:ascii="宋体" w:hAnsi="宋体" w:cs="宋体"/>
                <w:color w:val="000000" w:themeColor="text1"/>
                <w:szCs w:val="21"/>
                <w14:textFill>
                  <w14:solidFill>
                    <w14:schemeClr w14:val="tx1"/>
                  </w14:solidFill>
                </w14:textFill>
              </w:rPr>
            </w:pPr>
          </w:p>
        </w:tc>
      </w:tr>
    </w:tbl>
    <w:p>
      <w:pPr>
        <w:tabs>
          <w:tab w:val="left" w:pos="5580"/>
        </w:tabs>
        <w:spacing w:before="120" w:line="360" w:lineRule="auto"/>
        <w:ind w:firstLine="210" w:firstLineChars="100"/>
        <w:rPr>
          <w:rFonts w:ascii="宋体" w:hAnsi="宋体" w:cs="宋体"/>
          <w:b/>
          <w:bCs/>
          <w:color w:val="000000" w:themeColor="text1"/>
          <w:sz w:val="24"/>
          <w:highlight w:val="yellow"/>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注：1、此表可向下延伸，</w:t>
      </w:r>
      <w:r>
        <w:rPr>
          <w:rFonts w:hint="eastAsia" w:ascii="宋体" w:hAnsi="宋体" w:cs="宋体"/>
          <w:b/>
          <w:bCs/>
          <w:color w:val="000000" w:themeColor="text1"/>
          <w:sz w:val="24"/>
          <w:highlight w:val="yellow"/>
          <w:u w:val="single"/>
          <w14:textFill>
            <w14:solidFill>
              <w14:schemeClr w14:val="tx1"/>
            </w14:solidFill>
          </w14:textFill>
        </w:rPr>
        <w:t>后附中标通知书或合同扫描件作为业绩评审资料，提供资料中须包含中标金额及日期。</w:t>
      </w:r>
    </w:p>
    <w:p>
      <w:pPr>
        <w:pStyle w:val="9"/>
        <w:tabs>
          <w:tab w:val="left" w:pos="1470"/>
          <w:tab w:val="right" w:leader="dot" w:pos="8296"/>
        </w:tabs>
        <w:spacing w:line="360" w:lineRule="auto"/>
        <w:ind w:left="0" w:firstLine="630" w:firstLineChars="300"/>
        <w:rPr>
          <w:rFonts w:ascii="宋体" w:hAnsi="宋体" w:cs="宋体"/>
          <w:i w:val="0"/>
          <w:iCs w:val="0"/>
          <w:color w:val="000000" w:themeColor="text1"/>
          <w:sz w:val="21"/>
          <w:szCs w:val="21"/>
          <w:highlight w:val="yellow"/>
          <w14:textFill>
            <w14:solidFill>
              <w14:schemeClr w14:val="tx1"/>
            </w14:solidFill>
          </w14:textFill>
        </w:rPr>
      </w:pPr>
      <w:r>
        <w:rPr>
          <w:rFonts w:hint="eastAsia" w:ascii="宋体" w:hAnsi="宋体" w:cs="宋体"/>
          <w:i w:val="0"/>
          <w:iCs w:val="0"/>
          <w:color w:val="000000" w:themeColor="text1"/>
          <w:sz w:val="21"/>
          <w:szCs w:val="21"/>
          <w:highlight w:val="yellow"/>
          <w14:textFill>
            <w14:solidFill>
              <w14:schemeClr w14:val="tx1"/>
            </w14:solidFill>
          </w14:textFill>
        </w:rPr>
        <w:t>2、表格内需提供同类项目业绩，并后附资料。请勿提供其他无关项目业绩影响评分，否则视同为投标文件编制不清晰，做相应扣分处理。</w:t>
      </w:r>
    </w:p>
    <w:p>
      <w:pPr>
        <w:tabs>
          <w:tab w:val="left" w:pos="5580"/>
        </w:tabs>
        <w:spacing w:before="120"/>
        <w:ind w:firstLine="454"/>
        <w:rPr>
          <w:rFonts w:ascii="宋体" w:hAnsi="宋体" w:cs="宋体"/>
          <w:color w:val="000000" w:themeColor="text1"/>
          <w:szCs w:val="21"/>
          <w14:textFill>
            <w14:solidFill>
              <w14:schemeClr w14:val="tx1"/>
            </w14:solidFill>
          </w14:textFill>
        </w:rPr>
      </w:pPr>
    </w:p>
    <w:p>
      <w:pPr>
        <w:tabs>
          <w:tab w:val="left" w:pos="5580"/>
        </w:tabs>
        <w:spacing w:before="120"/>
        <w:ind w:firstLine="45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兹证明上述声明是真实、正确的，我们同意遵照贵方要求出示有关证明文件。</w:t>
      </w:r>
    </w:p>
    <w:p>
      <w:pPr>
        <w:tabs>
          <w:tab w:val="left" w:pos="5580"/>
        </w:tabs>
        <w:spacing w:before="120"/>
        <w:rPr>
          <w:rFonts w:ascii="宋体" w:hAnsi="宋体" w:cs="宋体"/>
          <w:color w:val="000000" w:themeColor="text1"/>
          <w:szCs w:val="21"/>
          <w14:textFill>
            <w14:solidFill>
              <w14:schemeClr w14:val="tx1"/>
            </w14:solidFill>
          </w14:textFill>
        </w:rPr>
      </w:pP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日期：__________________________________________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投标单位授权代表(签字)：________________________________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投标单位授权代表的职务：________________________________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电话号：________________________________________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传真号：________________________________________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签章：__________________________________________</w:t>
      </w:r>
    </w:p>
    <w:p>
      <w:pPr>
        <w:adjustRightInd w:val="0"/>
        <w:snapToGrid w:val="0"/>
        <w:rPr>
          <w:rFonts w:ascii="宋体" w:hAnsi="宋体"/>
          <w:bCs/>
          <w:color w:val="000000" w:themeColor="text1"/>
          <w:sz w:val="28"/>
          <w:szCs w:val="28"/>
          <w14:textFill>
            <w14:solidFill>
              <w14:schemeClr w14:val="tx1"/>
            </w14:solidFill>
          </w14:textFill>
        </w:rPr>
      </w:pPr>
      <w:r>
        <w:rPr>
          <w:rFonts w:hint="eastAsia" w:ascii="宋体" w:hAnsi="宋体"/>
          <w:color w:val="000000" w:themeColor="text1"/>
          <w14:textFill>
            <w14:solidFill>
              <w14:schemeClr w14:val="tx1"/>
            </w14:solidFill>
          </w14:textFill>
        </w:rPr>
        <w:br w:type="page"/>
      </w:r>
    </w:p>
    <w:p>
      <w:pPr>
        <w:adjustRightInd w:val="0"/>
        <w:snapToGrid w:val="0"/>
        <w:ind w:left="-88" w:leftChars="-42" w:firstLine="280" w:firstLineChars="100"/>
        <w:jc w:val="cente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拟投入本项目的服务人员一览表</w:t>
      </w:r>
    </w:p>
    <w:p>
      <w:pPr>
        <w:spacing w:line="420" w:lineRule="exact"/>
        <w:jc w:val="center"/>
        <w:rPr>
          <w:rFonts w:ascii="宋体" w:hAnsi="宋体"/>
          <w:b/>
          <w:color w:val="000000" w:themeColor="text1"/>
          <w:szCs w:val="21"/>
          <w14:textFill>
            <w14:solidFill>
              <w14:schemeClr w14:val="tx1"/>
            </w14:solidFill>
          </w14:textFill>
        </w:rPr>
      </w:pPr>
    </w:p>
    <w:tbl>
      <w:tblPr>
        <w:tblStyle w:val="19"/>
        <w:tblW w:w="8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vAlign w:val="center"/>
          </w:tcPr>
          <w:p>
            <w:pPr>
              <w:ind w:firstLine="1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职责分工</w:t>
            </w:r>
          </w:p>
        </w:tc>
        <w:tc>
          <w:tcPr>
            <w:tcW w:w="1183"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945"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年龄</w:t>
            </w:r>
          </w:p>
        </w:tc>
        <w:tc>
          <w:tcPr>
            <w:tcW w:w="113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w:t>
            </w:r>
          </w:p>
        </w:tc>
        <w:tc>
          <w:tcPr>
            <w:tcW w:w="1359"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在本项目中担任的岗位</w:t>
            </w:r>
          </w:p>
        </w:tc>
        <w:tc>
          <w:tcPr>
            <w:tcW w:w="1470" w:type="dxa"/>
            <w:vAlign w:val="center"/>
          </w:tcPr>
          <w:p>
            <w:pPr>
              <w:ind w:firstLine="1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从事类似工作年限</w:t>
            </w:r>
          </w:p>
        </w:tc>
        <w:tc>
          <w:tcPr>
            <w:tcW w:w="1142" w:type="dxa"/>
            <w:vAlign w:val="center"/>
          </w:tcPr>
          <w:p>
            <w:pPr>
              <w:ind w:firstLine="1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项目负责人</w:t>
            </w:r>
          </w:p>
        </w:tc>
        <w:tc>
          <w:tcPr>
            <w:tcW w:w="1183" w:type="dxa"/>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pStyle w:val="31"/>
              <w:keepNext w:val="0"/>
              <w:adjustRightInd/>
              <w:spacing w:before="0" w:after="0" w:line="240" w:lineRule="auto"/>
              <w:textAlignment w:val="auto"/>
              <w:rPr>
                <w:rFonts w:ascii="宋体" w:hAnsi="宋体"/>
                <w:snapToGrid/>
                <w:color w:val="000000" w:themeColor="text1"/>
                <w:spacing w:val="0"/>
                <w:kern w:val="2"/>
                <w:szCs w:val="24"/>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ind w:firstLine="12"/>
              <w:jc w:val="center"/>
              <w:rPr>
                <w:rFonts w:ascii="宋体" w:hAnsi="宋体"/>
                <w:color w:val="000000" w:themeColor="text1"/>
                <w14:textFill>
                  <w14:solidFill>
                    <w14:schemeClr w14:val="tx1"/>
                  </w14:solidFill>
                </w14:textFill>
              </w:rPr>
            </w:pPr>
          </w:p>
        </w:tc>
        <w:tc>
          <w:tcPr>
            <w:tcW w:w="1142" w:type="dxa"/>
            <w:vAlign w:val="center"/>
          </w:tcPr>
          <w:p>
            <w:pPr>
              <w:ind w:firstLine="12"/>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其人员</w:t>
            </w:r>
          </w:p>
        </w:tc>
        <w:tc>
          <w:tcPr>
            <w:tcW w:w="1183" w:type="dxa"/>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jc w:val="center"/>
              <w:rPr>
                <w:rFonts w:ascii="宋体" w:hAnsi="宋体"/>
                <w:color w:val="000000" w:themeColor="text1"/>
                <w14:textFill>
                  <w14:solidFill>
                    <w14:schemeClr w14:val="tx1"/>
                  </w14:solidFill>
                </w14:textFill>
              </w:rPr>
            </w:pPr>
          </w:p>
        </w:tc>
        <w:tc>
          <w:tcPr>
            <w:tcW w:w="1183" w:type="dxa"/>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83" w:type="dxa"/>
            <w:tcBorders>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512" w:type="dxa"/>
            <w:gridSpan w:val="7"/>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设备名称</w:t>
            </w:r>
          </w:p>
        </w:tc>
        <w:tc>
          <w:tcPr>
            <w:tcW w:w="113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规格型号</w:t>
            </w:r>
          </w:p>
        </w:tc>
        <w:tc>
          <w:tcPr>
            <w:tcW w:w="1359"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w:t>
            </w:r>
          </w:p>
        </w:tc>
        <w:tc>
          <w:tcPr>
            <w:tcW w:w="1470"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w:t>
            </w:r>
          </w:p>
        </w:tc>
        <w:tc>
          <w:tcPr>
            <w:tcW w:w="1142"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bl>
    <w:p>
      <w:pPr>
        <w:spacing w:line="400" w:lineRule="exact"/>
        <w:rPr>
          <w:rFonts w:ascii="宋体" w:hAnsi="宋体"/>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pStyle w:val="11"/>
        <w:adjustRightInd w:val="0"/>
        <w:snapToGrid w:val="0"/>
        <w:spacing w:line="360" w:lineRule="auto"/>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投标人名称：</w:t>
      </w:r>
      <w:r>
        <w:rPr>
          <w:rFonts w:hint="eastAsia" w:ascii="宋体" w:hAnsi="宋体"/>
          <w:color w:val="000000" w:themeColor="text1"/>
          <w:sz w:val="21"/>
          <w:szCs w:val="21"/>
          <w:u w:val="single"/>
          <w14:textFill>
            <w14:solidFill>
              <w14:schemeClr w14:val="tx1"/>
            </w14:solidFill>
          </w14:textFill>
        </w:rPr>
        <w:t xml:space="preserve">                   </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法定代表人或其委托代理人(签字)：</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日          期：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年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月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日</w:t>
      </w:r>
    </w:p>
    <w:p>
      <w:pPr>
        <w:topLinePunct/>
        <w:spacing w:line="440" w:lineRule="exact"/>
        <w:rPr>
          <w:rFonts w:ascii="宋体" w:hAnsi="宋体"/>
          <w:b/>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br w:type="page"/>
      </w:r>
    </w:p>
    <w:bookmarkEnd w:id="203"/>
    <w:bookmarkEnd w:id="204"/>
    <w:p>
      <w:pPr>
        <w:pStyle w:val="2"/>
      </w:pPr>
    </w:p>
    <w:p>
      <w:pPr>
        <w:autoSpaceDE w:val="0"/>
        <w:autoSpaceDN w:val="0"/>
        <w:adjustRightInd w:val="0"/>
        <w:spacing w:line="400" w:lineRule="exact"/>
        <w:jc w:val="center"/>
        <w:outlineLvl w:val="0"/>
        <w:rPr>
          <w:rFonts w:hint="eastAsia" w:ascii="宋体" w:hAnsi="宋体" w:eastAsia="宋体" w:cs="宋体"/>
          <w:b/>
          <w:bCs/>
          <w:sz w:val="24"/>
          <w:szCs w:val="24"/>
        </w:rPr>
      </w:pPr>
      <w:r>
        <w:rPr>
          <w:rFonts w:hint="eastAsia" w:ascii="宋体" w:hAnsi="宋体" w:eastAsia="宋体" w:cs="宋体"/>
          <w:b/>
          <w:bCs/>
          <w:sz w:val="24"/>
          <w:szCs w:val="24"/>
          <w:lang w:val="zh-CN"/>
        </w:rPr>
        <w:t>参与</w:t>
      </w:r>
      <w:r>
        <w:rPr>
          <w:rFonts w:hint="eastAsia" w:ascii="宋体" w:hAnsi="宋体" w:eastAsia="宋体" w:cs="宋体"/>
          <w:b/>
          <w:bCs/>
          <w:sz w:val="24"/>
          <w:szCs w:val="24"/>
        </w:rPr>
        <w:t>供应商承诺书</w:t>
      </w:r>
    </w:p>
    <w:p>
      <w:pPr>
        <w:autoSpaceDE w:val="0"/>
        <w:autoSpaceDN w:val="0"/>
        <w:adjustRightInd w:val="0"/>
        <w:spacing w:line="400" w:lineRule="exact"/>
        <w:jc w:val="center"/>
        <w:rPr>
          <w:rFonts w:hint="eastAsia" w:ascii="宋体" w:hAnsi="宋体" w:eastAsia="宋体" w:cs="宋体"/>
          <w:b/>
          <w:bCs/>
          <w:sz w:val="24"/>
          <w:szCs w:val="24"/>
        </w:rPr>
      </w:pPr>
    </w:p>
    <w:p>
      <w:pPr>
        <w:spacing w:line="420" w:lineRule="exact"/>
        <w:rPr>
          <w:rFonts w:hint="eastAsia" w:ascii="宋体" w:hAnsi="宋体" w:eastAsia="宋体" w:cs="宋体"/>
          <w:sz w:val="24"/>
          <w:szCs w:val="24"/>
        </w:rPr>
      </w:pPr>
      <w:r>
        <w:rPr>
          <w:rFonts w:hint="eastAsia" w:ascii="宋体" w:hAnsi="宋体" w:eastAsia="宋体" w:cs="宋体"/>
          <w:sz w:val="24"/>
          <w:szCs w:val="24"/>
        </w:rPr>
        <w:t xml:space="preserve">    为了规</w:t>
      </w:r>
      <w:r>
        <w:rPr>
          <w:rFonts w:hint="eastAsia" w:ascii="宋体" w:hAnsi="宋体" w:eastAsia="宋体" w:cs="宋体"/>
          <w:sz w:val="24"/>
          <w:szCs w:val="24"/>
          <w:u w:val="none"/>
        </w:rPr>
        <w:t>范</w:t>
      </w:r>
      <w:r>
        <w:rPr>
          <w:rFonts w:hint="eastAsia" w:ascii="宋体" w:hAnsi="宋体" w:eastAsia="宋体" w:cs="宋体"/>
          <w:w w:val="105"/>
          <w:sz w:val="24"/>
          <w:szCs w:val="24"/>
          <w:u w:val="single"/>
          <w:lang w:eastAsia="zh-CN"/>
        </w:rPr>
        <w:t>伊犁州民用运输机场布局规划研究方案编制服务</w:t>
      </w:r>
      <w:r>
        <w:rPr>
          <w:rFonts w:hint="eastAsia" w:ascii="宋体" w:hAnsi="宋体" w:eastAsia="宋体" w:cs="宋体"/>
          <w:sz w:val="24"/>
          <w:szCs w:val="24"/>
        </w:rPr>
        <w:t>的招标活动，营造公开透明、公平竞争、公正和诚实信用的招标环境 。</w:t>
      </w:r>
    </w:p>
    <w:p>
      <w:pPr>
        <w:spacing w:line="42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公司作为</w:t>
      </w:r>
      <w:r>
        <w:rPr>
          <w:rFonts w:hint="eastAsia" w:ascii="宋体" w:hAnsi="宋体" w:eastAsia="宋体" w:cs="宋体"/>
          <w:w w:val="105"/>
          <w:sz w:val="24"/>
          <w:szCs w:val="24"/>
          <w:lang w:eastAsia="zh-CN"/>
        </w:rPr>
        <w:t>伊犁州民用运输机场布局规划研究方案编制服务</w:t>
      </w:r>
      <w:r>
        <w:rPr>
          <w:rFonts w:hint="eastAsia" w:ascii="宋体" w:hAnsi="宋体" w:eastAsia="宋体" w:cs="宋体"/>
          <w:sz w:val="24"/>
          <w:szCs w:val="24"/>
        </w:rPr>
        <w:t>的参与供应商，现作如下承诺：</w:t>
      </w:r>
    </w:p>
    <w:p>
      <w:pPr>
        <w:spacing w:line="420" w:lineRule="exact"/>
        <w:rPr>
          <w:rFonts w:hint="eastAsia" w:ascii="宋体" w:hAnsi="宋体" w:eastAsia="宋体" w:cs="宋体"/>
          <w:sz w:val="24"/>
          <w:szCs w:val="24"/>
        </w:rPr>
      </w:pPr>
      <w:r>
        <w:rPr>
          <w:rFonts w:hint="eastAsia" w:ascii="宋体" w:hAnsi="宋体" w:eastAsia="宋体" w:cs="宋体"/>
          <w:sz w:val="24"/>
          <w:szCs w:val="24"/>
        </w:rPr>
        <w:t xml:space="preserve">     1、我公司保证严格遵守《政府采购法》、《政府采购法实施条例》和《招投标法》、《招投标法实施条例》等法律法规有关规定；</w:t>
      </w:r>
    </w:p>
    <w:p>
      <w:pPr>
        <w:spacing w:line="420" w:lineRule="exact"/>
        <w:rPr>
          <w:rFonts w:hint="eastAsia" w:ascii="宋体" w:hAnsi="宋体" w:eastAsia="宋体" w:cs="宋体"/>
          <w:sz w:val="24"/>
          <w:szCs w:val="24"/>
        </w:rPr>
      </w:pPr>
      <w:r>
        <w:rPr>
          <w:rFonts w:hint="eastAsia" w:ascii="宋体" w:hAnsi="宋体" w:eastAsia="宋体" w:cs="宋体"/>
          <w:sz w:val="24"/>
          <w:szCs w:val="24"/>
        </w:rPr>
        <w:t xml:space="preserve">     2、我公司保证所提供的一切材料都是真实、有效、合法的；</w:t>
      </w:r>
    </w:p>
    <w:p>
      <w:pPr>
        <w:spacing w:line="420" w:lineRule="exact"/>
        <w:rPr>
          <w:rFonts w:hint="eastAsia" w:ascii="宋体" w:hAnsi="宋体" w:eastAsia="宋体" w:cs="宋体"/>
          <w:sz w:val="24"/>
          <w:szCs w:val="24"/>
        </w:rPr>
      </w:pPr>
      <w:r>
        <w:rPr>
          <w:rFonts w:hint="eastAsia" w:ascii="宋体" w:hAnsi="宋体" w:eastAsia="宋体" w:cs="宋体"/>
          <w:sz w:val="24"/>
          <w:szCs w:val="24"/>
        </w:rPr>
        <w:t xml:space="preserve">     3、我公司保证不与其他供应商串标、陪标、围标，不损害招标人或其他供应商的合法权益；     </w:t>
      </w:r>
    </w:p>
    <w:p>
      <w:pPr>
        <w:spacing w:line="420" w:lineRule="exact"/>
        <w:rPr>
          <w:rFonts w:hint="eastAsia" w:ascii="宋体" w:hAnsi="宋体" w:eastAsia="宋体" w:cs="宋体"/>
          <w:sz w:val="24"/>
          <w:szCs w:val="24"/>
        </w:rPr>
      </w:pPr>
      <w:r>
        <w:rPr>
          <w:rFonts w:hint="eastAsia" w:ascii="宋体" w:hAnsi="宋体" w:eastAsia="宋体" w:cs="宋体"/>
          <w:sz w:val="24"/>
          <w:szCs w:val="24"/>
        </w:rPr>
        <w:t xml:space="preserve">     4、我公司保证不弄虚作假，骗取中标;</w:t>
      </w:r>
    </w:p>
    <w:p>
      <w:pPr>
        <w:spacing w:line="420" w:lineRule="exact"/>
        <w:rPr>
          <w:rFonts w:hint="eastAsia" w:ascii="宋体" w:hAnsi="宋体" w:eastAsia="宋体" w:cs="宋体"/>
          <w:sz w:val="24"/>
          <w:szCs w:val="24"/>
        </w:rPr>
      </w:pPr>
      <w:r>
        <w:rPr>
          <w:rFonts w:hint="eastAsia" w:ascii="宋体" w:hAnsi="宋体" w:eastAsia="宋体" w:cs="宋体"/>
          <w:sz w:val="24"/>
          <w:szCs w:val="24"/>
        </w:rPr>
        <w:t xml:space="preserve">     5、我公司保证不与招标人串通，损害国家利益、社会公共利益或者他人的合法权益； </w:t>
      </w:r>
    </w:p>
    <w:p>
      <w:pPr>
        <w:spacing w:line="420" w:lineRule="exact"/>
        <w:rPr>
          <w:rFonts w:hint="eastAsia" w:ascii="宋体" w:hAnsi="宋体" w:eastAsia="宋体" w:cs="宋体"/>
          <w:sz w:val="24"/>
          <w:szCs w:val="24"/>
        </w:rPr>
      </w:pPr>
      <w:r>
        <w:rPr>
          <w:rFonts w:hint="eastAsia" w:ascii="宋体" w:hAnsi="宋体" w:eastAsia="宋体" w:cs="宋体"/>
          <w:sz w:val="24"/>
          <w:szCs w:val="24"/>
        </w:rPr>
        <w:t xml:space="preserve">     6、我公司保证不向招标人、评标委员会（谈判小组）成员、监督人员和招标代理机构工作人员行贿；</w:t>
      </w:r>
    </w:p>
    <w:p>
      <w:pPr>
        <w:spacing w:line="420" w:lineRule="exact"/>
        <w:rPr>
          <w:rFonts w:hint="eastAsia" w:ascii="宋体" w:hAnsi="宋体" w:eastAsia="宋体" w:cs="宋体"/>
          <w:sz w:val="24"/>
          <w:szCs w:val="24"/>
        </w:rPr>
      </w:pPr>
      <w:r>
        <w:rPr>
          <w:rFonts w:hint="eastAsia" w:ascii="宋体" w:hAnsi="宋体" w:eastAsia="宋体" w:cs="宋体"/>
          <w:sz w:val="24"/>
          <w:szCs w:val="24"/>
        </w:rPr>
        <w:t xml:space="preserve">     7、我公司投标文件保证不存在低于成本的恶意报价行为,也不存在恶意提高报价行为；</w:t>
      </w:r>
    </w:p>
    <w:p>
      <w:pPr>
        <w:spacing w:line="420" w:lineRule="exact"/>
        <w:rPr>
          <w:rFonts w:hint="eastAsia" w:ascii="宋体" w:hAnsi="宋体" w:eastAsia="宋体" w:cs="宋体"/>
          <w:sz w:val="24"/>
          <w:szCs w:val="24"/>
        </w:rPr>
      </w:pPr>
      <w:r>
        <w:rPr>
          <w:rFonts w:hint="eastAsia" w:ascii="宋体" w:hAnsi="宋体" w:eastAsia="宋体" w:cs="宋体"/>
          <w:sz w:val="24"/>
          <w:szCs w:val="24"/>
        </w:rPr>
        <w:t xml:space="preserve">     8、我公司保证不扰乱</w:t>
      </w:r>
      <w:r>
        <w:rPr>
          <w:rFonts w:hint="eastAsia" w:ascii="宋体" w:hAnsi="宋体" w:eastAsia="宋体" w:cs="宋体"/>
          <w:w w:val="105"/>
          <w:sz w:val="24"/>
          <w:szCs w:val="24"/>
          <w:u w:val="single"/>
          <w:lang w:eastAsia="zh-CN"/>
        </w:rPr>
        <w:t>伊犁州民用运输机场布局规划研究方案编制服务</w:t>
      </w:r>
      <w:r>
        <w:rPr>
          <w:rFonts w:hint="eastAsia" w:ascii="宋体" w:hAnsi="宋体" w:eastAsia="宋体" w:cs="宋体"/>
          <w:sz w:val="24"/>
          <w:szCs w:val="24"/>
        </w:rPr>
        <w:t>招标投标活动正常秩序；</w:t>
      </w:r>
    </w:p>
    <w:p>
      <w:pPr>
        <w:spacing w:line="420" w:lineRule="exact"/>
        <w:rPr>
          <w:rFonts w:hint="eastAsia" w:ascii="宋体" w:hAnsi="宋体" w:eastAsia="宋体" w:cs="宋体"/>
          <w:sz w:val="24"/>
          <w:szCs w:val="24"/>
        </w:rPr>
      </w:pPr>
      <w:r>
        <w:rPr>
          <w:rFonts w:hint="eastAsia" w:ascii="宋体" w:hAnsi="宋体" w:eastAsia="宋体" w:cs="宋体"/>
          <w:sz w:val="24"/>
          <w:szCs w:val="24"/>
        </w:rPr>
        <w:t xml:space="preserve">     9、我公司保证不进行缺乏事实根据或者法律依据的投诉；</w:t>
      </w:r>
    </w:p>
    <w:p>
      <w:pPr>
        <w:spacing w:line="420" w:lineRule="exact"/>
        <w:rPr>
          <w:rFonts w:hint="eastAsia" w:ascii="宋体" w:hAnsi="宋体" w:eastAsia="宋体" w:cs="宋体"/>
          <w:sz w:val="24"/>
          <w:szCs w:val="24"/>
        </w:rPr>
      </w:pPr>
      <w:r>
        <w:rPr>
          <w:rFonts w:hint="eastAsia" w:ascii="宋体" w:hAnsi="宋体" w:eastAsia="宋体" w:cs="宋体"/>
          <w:sz w:val="24"/>
          <w:szCs w:val="24"/>
        </w:rPr>
        <w:t xml:space="preserve">     如出现上述行为，造成任何法律和经济责任，完全由我方负责，并自愿接受有关部门的相关处罚。给招标人造成损失的，依法承担赔偿责任；构成犯罪的，依法承担刑事责任。</w:t>
      </w:r>
    </w:p>
    <w:p>
      <w:pPr>
        <w:spacing w:line="420" w:lineRule="exact"/>
        <w:rPr>
          <w:rFonts w:hint="eastAsia" w:ascii="宋体" w:hAnsi="宋体" w:eastAsia="宋体" w:cs="宋体"/>
          <w:sz w:val="24"/>
          <w:szCs w:val="24"/>
        </w:rPr>
      </w:pPr>
      <w:r>
        <w:rPr>
          <w:rFonts w:hint="eastAsia" w:ascii="宋体" w:hAnsi="宋体" w:eastAsia="宋体" w:cs="宋体"/>
          <w:sz w:val="24"/>
          <w:szCs w:val="24"/>
        </w:rPr>
        <w:t>供应商名称（盖章）：</w:t>
      </w:r>
    </w:p>
    <w:p>
      <w:pPr>
        <w:spacing w:line="420" w:lineRule="exact"/>
        <w:rPr>
          <w:rFonts w:hint="eastAsia" w:ascii="宋体" w:hAnsi="宋体" w:eastAsia="宋体" w:cs="宋体"/>
          <w:sz w:val="24"/>
          <w:szCs w:val="24"/>
        </w:rPr>
      </w:pPr>
    </w:p>
    <w:p>
      <w:pPr>
        <w:spacing w:line="420" w:lineRule="exact"/>
        <w:rPr>
          <w:rFonts w:hint="eastAsia" w:ascii="宋体" w:hAnsi="宋体" w:eastAsia="宋体" w:cs="宋体"/>
          <w:sz w:val="24"/>
          <w:szCs w:val="24"/>
        </w:rPr>
      </w:pPr>
      <w:r>
        <w:rPr>
          <w:rFonts w:hint="eastAsia" w:ascii="宋体" w:hAnsi="宋体" w:eastAsia="宋体" w:cs="宋体"/>
          <w:sz w:val="24"/>
          <w:szCs w:val="24"/>
        </w:rPr>
        <w:t>法定代表人或授权委托人（签字或盖章）：</w:t>
      </w:r>
    </w:p>
    <w:p>
      <w:pPr>
        <w:tabs>
          <w:tab w:val="left" w:pos="8842"/>
        </w:tabs>
        <w:spacing w:line="42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p>
    <w:p>
      <w:pPr>
        <w:spacing w:line="420" w:lineRule="exact"/>
        <w:rPr>
          <w:rFonts w:hint="eastAsia" w:ascii="宋体" w:hAnsi="宋体" w:eastAsia="宋体" w:cs="宋体"/>
          <w:sz w:val="24"/>
          <w:szCs w:val="24"/>
        </w:rPr>
      </w:pPr>
      <w:r>
        <w:rPr>
          <w:rFonts w:hint="eastAsia" w:ascii="宋体" w:hAnsi="宋体" w:eastAsia="宋体" w:cs="宋体"/>
          <w:sz w:val="24"/>
          <w:szCs w:val="24"/>
        </w:rPr>
        <w:t>法定代表人或授权委托人身份证号码：</w:t>
      </w:r>
    </w:p>
    <w:p>
      <w:pPr>
        <w:spacing w:line="420" w:lineRule="exact"/>
        <w:rPr>
          <w:rFonts w:hint="eastAsia" w:ascii="宋体" w:hAnsi="宋体" w:eastAsia="宋体" w:cs="宋体"/>
          <w:b/>
          <w:bCs/>
          <w:sz w:val="24"/>
          <w:szCs w:val="24"/>
          <w:lang w:val="zh-CN"/>
        </w:rPr>
      </w:pPr>
      <w:r>
        <w:rPr>
          <w:rFonts w:hint="eastAsia" w:ascii="宋体" w:hAnsi="宋体" w:eastAsia="宋体" w:cs="宋体"/>
          <w:sz w:val="24"/>
          <w:szCs w:val="24"/>
        </w:rPr>
        <w:t xml:space="preserve">                                     承诺日期：     年  月  日</w:t>
      </w:r>
    </w:p>
    <w:p>
      <w:pPr>
        <w:spacing w:line="500" w:lineRule="exact"/>
        <w:jc w:val="center"/>
        <w:rPr>
          <w:rFonts w:hint="eastAsia" w:ascii="宋体" w:hAnsi="宋体" w:eastAsia="宋体" w:cs="宋体"/>
          <w:b/>
          <w:bCs/>
          <w:sz w:val="24"/>
          <w:szCs w:val="24"/>
          <w:lang w:val="zh-CN"/>
        </w:rPr>
      </w:pPr>
      <w:bookmarkStart w:id="205" w:name="_Toc16370_WPSOffice_Level1"/>
      <w:bookmarkStart w:id="206" w:name="_Toc23660_WPSOffice_Level1"/>
      <w:bookmarkStart w:id="207" w:name="_Toc14929_WPSOffice_Level1"/>
    </w:p>
    <w:p>
      <w:pPr>
        <w:spacing w:line="500" w:lineRule="exact"/>
        <w:jc w:val="center"/>
        <w:rPr>
          <w:rFonts w:hint="eastAsia" w:ascii="宋体" w:hAnsi="宋体" w:eastAsia="宋体" w:cs="宋体"/>
          <w:b/>
          <w:bCs/>
          <w:sz w:val="24"/>
          <w:szCs w:val="24"/>
          <w:lang w:val="zh-CN"/>
        </w:rPr>
      </w:pPr>
    </w:p>
    <w:p>
      <w:pPr>
        <w:spacing w:line="500" w:lineRule="exact"/>
        <w:jc w:val="center"/>
        <w:outlineLvl w:val="0"/>
        <w:rPr>
          <w:rFonts w:hint="eastAsia" w:ascii="宋体" w:hAnsi="宋体" w:eastAsia="宋体" w:cs="宋体"/>
          <w:b/>
          <w:bCs/>
          <w:color w:val="000000"/>
          <w:sz w:val="24"/>
          <w:szCs w:val="24"/>
        </w:rPr>
      </w:pPr>
      <w:bookmarkStart w:id="208" w:name="_Toc5572"/>
      <w:r>
        <w:rPr>
          <w:rFonts w:hint="eastAsia" w:ascii="宋体" w:hAnsi="宋体" w:eastAsia="宋体" w:cs="宋体"/>
          <w:b/>
          <w:bCs/>
          <w:color w:val="000000"/>
          <w:sz w:val="24"/>
          <w:szCs w:val="24"/>
          <w:lang w:val="zh-CN"/>
        </w:rPr>
        <w:t>法定代表人授权书（格式）</w:t>
      </w:r>
      <w:bookmarkEnd w:id="205"/>
      <w:bookmarkEnd w:id="206"/>
      <w:bookmarkEnd w:id="207"/>
      <w:bookmarkEnd w:id="208"/>
    </w:p>
    <w:p>
      <w:pPr>
        <w:spacing w:line="500" w:lineRule="exact"/>
        <w:ind w:firstLine="1200" w:firstLineChars="500"/>
        <w:rPr>
          <w:rFonts w:hint="eastAsia" w:ascii="宋体" w:hAnsi="宋体" w:eastAsia="宋体" w:cs="宋体"/>
          <w:color w:val="000000"/>
          <w:sz w:val="24"/>
          <w:szCs w:val="24"/>
          <w:lang w:val="zh-CN"/>
        </w:rPr>
      </w:pP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（供应商名称）</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（法人代表姓名、职务）授权</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（被授权人的姓名、职务）为我方就</w:t>
      </w:r>
      <w:r>
        <w:rPr>
          <w:rFonts w:hint="eastAsia" w:ascii="宋体" w:hAnsi="宋体" w:eastAsia="宋体" w:cs="宋体"/>
          <w:w w:val="105"/>
          <w:sz w:val="24"/>
          <w:szCs w:val="24"/>
          <w:u w:val="single"/>
          <w:lang w:eastAsia="zh-CN"/>
        </w:rPr>
        <w:t>伊犁州民用运输机场布局规划研究方案编制服务</w:t>
      </w:r>
      <w:r>
        <w:rPr>
          <w:rFonts w:hint="eastAsia" w:ascii="宋体" w:hAnsi="宋体" w:eastAsia="宋体" w:cs="宋体"/>
          <w:color w:val="000000"/>
          <w:sz w:val="24"/>
          <w:szCs w:val="24"/>
          <w:lang w:val="zh-CN"/>
        </w:rPr>
        <w:t>公开招标的合法代理人，以本公司名义全权处理一切与该项目招标有关的事务。</w:t>
      </w:r>
    </w:p>
    <w:p>
      <w:pPr>
        <w:spacing w:line="500" w:lineRule="exact"/>
        <w:ind w:firstLine="646"/>
        <w:rPr>
          <w:rFonts w:hint="eastAsia" w:ascii="宋体" w:hAnsi="宋体" w:eastAsia="宋体" w:cs="宋体"/>
          <w:color w:val="000000"/>
          <w:sz w:val="24"/>
          <w:szCs w:val="24"/>
        </w:rPr>
      </w:pPr>
    </w:p>
    <w:p>
      <w:pPr>
        <w:spacing w:line="500" w:lineRule="exact"/>
        <w:ind w:firstLine="645"/>
        <w:rPr>
          <w:rFonts w:hint="eastAsia" w:ascii="宋体" w:hAnsi="宋体" w:eastAsia="宋体" w:cs="宋体"/>
          <w:color w:val="000000"/>
          <w:sz w:val="24"/>
          <w:szCs w:val="24"/>
        </w:rPr>
      </w:pPr>
      <w:r>
        <w:rPr>
          <w:rFonts w:hint="eastAsia" w:ascii="宋体" w:hAnsi="宋体" w:eastAsia="宋体" w:cs="宋体"/>
          <w:color w:val="000000"/>
          <w:sz w:val="24"/>
          <w:szCs w:val="24"/>
          <w:lang w:val="zh-CN"/>
        </w:rPr>
        <w:t>本授权书于</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年</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月</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日签字生效，特此声明。</w:t>
      </w:r>
    </w:p>
    <w:p>
      <w:pPr>
        <w:spacing w:line="500" w:lineRule="exact"/>
        <w:ind w:firstLine="645"/>
        <w:rPr>
          <w:rFonts w:hint="eastAsia" w:ascii="宋体" w:hAnsi="宋体" w:eastAsia="宋体" w:cs="宋体"/>
          <w:color w:val="000000"/>
          <w:sz w:val="24"/>
          <w:szCs w:val="24"/>
        </w:rPr>
      </w:pPr>
    </w:p>
    <w:p>
      <w:pPr>
        <w:spacing w:line="500" w:lineRule="exact"/>
        <w:rPr>
          <w:rFonts w:hint="eastAsia" w:ascii="宋体" w:hAnsi="宋体" w:eastAsia="宋体" w:cs="宋体"/>
          <w:color w:val="000000"/>
          <w:sz w:val="24"/>
          <w:szCs w:val="24"/>
          <w:u w:val="single"/>
          <w:lang w:val="zh-CN"/>
        </w:rPr>
      </w:pPr>
      <w:r>
        <w:rPr>
          <w:rFonts w:hint="eastAsia" w:ascii="宋体" w:hAnsi="宋体" w:eastAsia="宋体" w:cs="宋体"/>
          <w:color w:val="000000"/>
          <w:sz w:val="24"/>
          <w:szCs w:val="24"/>
          <w:lang w:val="zh-CN"/>
        </w:rPr>
        <w:t>法人代表签字盖章</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 xml:space="preserve">                        </w:t>
      </w:r>
    </w:p>
    <w:p>
      <w:pPr>
        <w:spacing w:line="500" w:lineRule="exact"/>
        <w:rPr>
          <w:rFonts w:hint="eastAsia" w:ascii="宋体" w:hAnsi="宋体" w:eastAsia="宋体" w:cs="宋体"/>
          <w:color w:val="000000"/>
          <w:sz w:val="24"/>
          <w:szCs w:val="24"/>
          <w:u w:val="single"/>
          <w:lang w:val="zh-CN"/>
        </w:rPr>
      </w:pPr>
      <w:r>
        <w:rPr>
          <w:rFonts w:hint="eastAsia" w:ascii="宋体" w:hAnsi="宋体" w:eastAsia="宋体" w:cs="宋体"/>
          <w:color w:val="000000"/>
          <w:sz w:val="24"/>
          <w:szCs w:val="24"/>
          <w:lang w:val="zh-CN"/>
        </w:rPr>
        <w:t xml:space="preserve">        职    务</w:t>
      </w:r>
      <w:r>
        <w:rPr>
          <w:rFonts w:hint="eastAsia" w:ascii="宋体" w:hAnsi="宋体" w:eastAsia="宋体" w:cs="宋体"/>
          <w:color w:val="000000"/>
          <w:sz w:val="24"/>
          <w:szCs w:val="24"/>
          <w:u w:val="single"/>
          <w:lang w:val="zh-CN"/>
        </w:rPr>
        <w:t xml:space="preserve">：                        </w:t>
      </w:r>
    </w:p>
    <w:p>
      <w:pPr>
        <w:spacing w:line="500" w:lineRule="exact"/>
        <w:rPr>
          <w:rFonts w:hint="eastAsia" w:ascii="宋体" w:hAnsi="宋体" w:eastAsia="宋体" w:cs="宋体"/>
          <w:color w:val="000000"/>
          <w:sz w:val="24"/>
          <w:szCs w:val="24"/>
          <w:u w:val="single"/>
          <w:lang w:val="zh-CN"/>
        </w:rPr>
      </w:pPr>
      <w:r>
        <w:rPr>
          <w:rFonts w:hint="eastAsia" w:ascii="宋体" w:hAnsi="宋体" w:eastAsia="宋体" w:cs="宋体"/>
          <w:color w:val="000000"/>
          <w:sz w:val="24"/>
          <w:szCs w:val="24"/>
          <w:lang w:val="zh-CN"/>
        </w:rPr>
        <w:t xml:space="preserve">        单位名称</w:t>
      </w:r>
      <w:r>
        <w:rPr>
          <w:rFonts w:hint="eastAsia" w:ascii="宋体" w:hAnsi="宋体" w:eastAsia="宋体" w:cs="宋体"/>
          <w:color w:val="000000"/>
          <w:sz w:val="24"/>
          <w:szCs w:val="24"/>
          <w:u w:val="single"/>
          <w:lang w:val="zh-CN"/>
        </w:rPr>
        <w:t xml:space="preserve">：                        </w:t>
      </w:r>
    </w:p>
    <w:p>
      <w:pPr>
        <w:spacing w:line="500" w:lineRule="exact"/>
        <w:rPr>
          <w:rFonts w:hint="eastAsia" w:ascii="宋体" w:hAnsi="宋体" w:eastAsia="宋体" w:cs="宋体"/>
          <w:color w:val="000000"/>
          <w:sz w:val="24"/>
          <w:szCs w:val="24"/>
          <w:u w:val="single"/>
          <w:lang w:val="zh-CN"/>
        </w:rPr>
      </w:pPr>
    </w:p>
    <w:p>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zh-CN"/>
        </w:rPr>
        <w:t>代理人（被授权人）签字盖章</w:t>
      </w:r>
      <w:r>
        <w:rPr>
          <w:rFonts w:hint="eastAsia" w:ascii="宋体" w:hAnsi="宋体" w:eastAsia="宋体" w:cs="宋体"/>
          <w:color w:val="000000"/>
          <w:sz w:val="24"/>
          <w:szCs w:val="24"/>
          <w:u w:val="single"/>
          <w:lang w:val="zh-CN"/>
        </w:rPr>
        <w:t xml:space="preserve">：              </w:t>
      </w:r>
    </w:p>
    <w:p>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zh-CN"/>
        </w:rPr>
        <w:t xml:space="preserve">        职    务：</w:t>
      </w:r>
      <w:r>
        <w:rPr>
          <w:rFonts w:hint="eastAsia" w:ascii="宋体" w:hAnsi="宋体" w:eastAsia="宋体" w:cs="宋体"/>
          <w:color w:val="000000"/>
          <w:sz w:val="24"/>
          <w:szCs w:val="24"/>
          <w:u w:val="single"/>
          <w:lang w:val="zh-CN"/>
        </w:rPr>
        <w:t xml:space="preserve">                        </w:t>
      </w:r>
    </w:p>
    <w:p>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zh-CN"/>
        </w:rPr>
        <w:t xml:space="preserve">        单位名称：</w:t>
      </w:r>
      <w:r>
        <w:rPr>
          <w:rFonts w:hint="eastAsia" w:ascii="宋体" w:hAnsi="宋体" w:eastAsia="宋体" w:cs="宋体"/>
          <w:color w:val="000000"/>
          <w:sz w:val="24"/>
          <w:szCs w:val="24"/>
          <w:u w:val="single"/>
          <w:lang w:val="zh-CN"/>
        </w:rPr>
        <w:t xml:space="preserve">                       </w:t>
      </w:r>
    </w:p>
    <w:p>
      <w:pPr>
        <w:rPr>
          <w:rFonts w:hint="eastAsia" w:ascii="宋体" w:hAnsi="宋体" w:eastAsia="宋体" w:cs="宋体"/>
          <w:b/>
          <w:sz w:val="24"/>
          <w:szCs w:val="24"/>
        </w:rPr>
      </w:pPr>
    </w:p>
    <w:tbl>
      <w:tblPr>
        <w:tblStyle w:val="19"/>
        <w:tblW w:w="0" w:type="auto"/>
        <w:tblInd w:w="27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935" w:type="dxa"/>
            <w:noWrap w:val="0"/>
            <w:vAlign w:val="top"/>
          </w:tcPr>
          <w:p>
            <w:pPr>
              <w:rPr>
                <w:rFonts w:hint="eastAsia" w:ascii="宋体" w:hAnsi="宋体" w:eastAsia="宋体" w:cs="宋体"/>
                <w:b/>
                <w:sz w:val="24"/>
                <w:szCs w:val="24"/>
              </w:rPr>
            </w:pPr>
          </w:p>
          <w:p>
            <w:pPr>
              <w:rPr>
                <w:rFonts w:hint="eastAsia" w:ascii="宋体" w:hAnsi="宋体" w:eastAsia="宋体" w:cs="宋体"/>
                <w:b/>
                <w:sz w:val="24"/>
                <w:szCs w:val="24"/>
              </w:rPr>
            </w:pPr>
          </w:p>
          <w:p>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被授权人</w:t>
            </w:r>
          </w:p>
          <w:p>
            <w:pPr>
              <w:jc w:val="center"/>
              <w:rPr>
                <w:rFonts w:hint="eastAsia" w:ascii="宋体" w:hAnsi="宋体" w:eastAsia="宋体" w:cs="宋体"/>
                <w:bCs/>
                <w:sz w:val="24"/>
                <w:szCs w:val="24"/>
              </w:rPr>
            </w:pPr>
            <w:r>
              <w:rPr>
                <w:rFonts w:hint="eastAsia" w:ascii="宋体" w:hAnsi="宋体" w:eastAsia="宋体" w:cs="宋体"/>
                <w:bCs/>
                <w:color w:val="000000"/>
                <w:sz w:val="24"/>
                <w:szCs w:val="24"/>
              </w:rPr>
              <w:t>居民身份证复印件</w:t>
            </w:r>
          </w:p>
          <w:p>
            <w:pPr>
              <w:spacing w:line="500" w:lineRule="exact"/>
              <w:rPr>
                <w:rFonts w:hint="eastAsia" w:ascii="宋体" w:hAnsi="宋体" w:eastAsia="宋体" w:cs="宋体"/>
                <w:color w:val="000000"/>
                <w:sz w:val="24"/>
                <w:szCs w:val="24"/>
                <w:lang w:val="zh-CN"/>
              </w:rPr>
            </w:pPr>
          </w:p>
          <w:p>
            <w:pPr>
              <w:spacing w:line="500" w:lineRule="exact"/>
              <w:rPr>
                <w:rFonts w:hint="eastAsia" w:ascii="宋体" w:hAnsi="宋体" w:eastAsia="宋体" w:cs="宋体"/>
                <w:color w:val="000000"/>
                <w:sz w:val="24"/>
                <w:szCs w:val="24"/>
                <w:lang w:val="zh-CN"/>
              </w:rPr>
            </w:pPr>
          </w:p>
          <w:p>
            <w:pPr>
              <w:spacing w:line="500" w:lineRule="exact"/>
              <w:rPr>
                <w:rFonts w:hint="eastAsia" w:ascii="宋体" w:hAnsi="宋体" w:eastAsia="宋体" w:cs="宋体"/>
                <w:b/>
                <w:sz w:val="24"/>
                <w:szCs w:val="24"/>
              </w:rPr>
            </w:pPr>
          </w:p>
        </w:tc>
      </w:tr>
    </w:tbl>
    <w:p>
      <w:pPr>
        <w:spacing w:line="500" w:lineRule="exact"/>
        <w:ind w:right="600" w:firstLine="1920" w:firstLineChars="800"/>
        <w:rPr>
          <w:rFonts w:hint="eastAsia" w:ascii="宋体" w:hAnsi="宋体" w:eastAsia="宋体" w:cs="宋体"/>
          <w:color w:val="000000"/>
          <w:sz w:val="24"/>
          <w:szCs w:val="24"/>
          <w:lang w:val="zh-CN"/>
        </w:rPr>
      </w:pPr>
    </w:p>
    <w:p>
      <w:pPr>
        <w:spacing w:line="500" w:lineRule="exact"/>
        <w:ind w:right="600" w:firstLine="1920" w:firstLineChars="800"/>
        <w:rPr>
          <w:rFonts w:hint="eastAsia" w:ascii="宋体" w:hAnsi="宋体" w:eastAsia="宋体" w:cs="宋体"/>
          <w:color w:val="000000"/>
          <w:sz w:val="24"/>
          <w:szCs w:val="24"/>
          <w:lang w:val="zh-CN"/>
        </w:rPr>
      </w:pPr>
    </w:p>
    <w:p>
      <w:pPr>
        <w:spacing w:line="500" w:lineRule="exact"/>
        <w:ind w:right="600" w:firstLine="1920" w:firstLineChars="800"/>
        <w:rPr>
          <w:rFonts w:hint="eastAsia" w:ascii="宋体" w:hAnsi="宋体" w:eastAsia="宋体" w:cs="宋体"/>
          <w:color w:val="000000"/>
          <w:sz w:val="24"/>
          <w:szCs w:val="24"/>
        </w:rPr>
      </w:pPr>
      <w:r>
        <w:rPr>
          <w:rFonts w:hint="eastAsia" w:ascii="宋体" w:hAnsi="宋体" w:eastAsia="宋体" w:cs="宋体"/>
          <w:color w:val="000000"/>
          <w:sz w:val="24"/>
          <w:szCs w:val="24"/>
          <w:lang w:val="zh-CN"/>
        </w:rPr>
        <w:t>供应商名称（公章）：</w:t>
      </w:r>
      <w:r>
        <w:rPr>
          <w:rFonts w:hint="eastAsia" w:ascii="宋体" w:hAnsi="宋体" w:eastAsia="宋体" w:cs="宋体"/>
          <w:color w:val="000000"/>
          <w:sz w:val="24"/>
          <w:szCs w:val="24"/>
          <w:u w:val="single"/>
          <w:lang w:val="zh-CN"/>
        </w:rPr>
        <w:t xml:space="preserve">              </w:t>
      </w:r>
    </w:p>
    <w:p>
      <w:pPr>
        <w:spacing w:line="500" w:lineRule="exact"/>
        <w:jc w:val="right"/>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zh-CN"/>
        </w:rPr>
        <w:t xml:space="preserve">                      日     期：</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年</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月</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日</w:t>
      </w:r>
    </w:p>
    <w:p>
      <w:pPr>
        <w:pStyle w:val="2"/>
      </w:pPr>
    </w:p>
    <w:p>
      <w:pPr>
        <w:pStyle w:val="2"/>
      </w:pPr>
    </w:p>
    <w:p>
      <w:pPr>
        <w:pStyle w:val="2"/>
      </w:pPr>
    </w:p>
    <w:p>
      <w:pPr>
        <w:pStyle w:val="2"/>
        <w:jc w:val="center"/>
        <w:rPr>
          <w:rFonts w:hint="eastAsia" w:eastAsia="宋体"/>
          <w:b/>
          <w:bCs/>
          <w:sz w:val="32"/>
          <w:szCs w:val="40"/>
          <w:lang w:eastAsia="zh-CN"/>
        </w:rPr>
      </w:pPr>
      <w:r>
        <w:rPr>
          <w:rFonts w:hint="eastAsia"/>
          <w:b/>
          <w:bCs/>
          <w:sz w:val="32"/>
          <w:szCs w:val="40"/>
          <w:lang w:eastAsia="zh-CN"/>
        </w:rPr>
        <w:t>其他格式自行拟定</w:t>
      </w:r>
    </w:p>
    <w:sectPr>
      <w:headerReference r:id="rId18" w:type="default"/>
      <w:footerReference r:id="rId1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ejaVu Sans">
    <w:altName w:val="Traditional Arabic"/>
    <w:panose1 w:val="02020603050405020304"/>
    <w:charset w:val="00"/>
    <w:family w:val="roman"/>
    <w:pitch w:val="default"/>
    <w:sig w:usb0="00000000" w:usb1="00000000" w:usb2="00000008" w:usb3="00000000" w:csb0="000001FF" w:csb1="00000000"/>
  </w:font>
  <w:font w:name="Traditional Arabic">
    <w:panose1 w:val="02020603050405020304"/>
    <w:charset w:val="00"/>
    <w:family w:val="auto"/>
    <w:pitch w:val="default"/>
    <w:sig w:usb0="00006003" w:usb1="80000000" w:usb2="00000008" w:usb3="00000000" w:csb0="00000041" w:csb1="20080000"/>
  </w:font>
  <w:font w:name="方正黑体_GBK">
    <w:altName w:val="微软雅黑"/>
    <w:panose1 w:val="02000000000000000000"/>
    <w:charset w:val="00"/>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thinThickSmallGap" w:color="auto" w:sz="24" w:space="1"/>
      </w:pBdr>
      <w:rPr>
        <w:rFonts w:hint="eastAsia"/>
        <w:sz w:val="20"/>
      </w:rPr>
    </w:pPr>
    <w:r>
      <w:rPr>
        <w:rFonts w:hint="eastAsia"/>
        <w:sz w:val="20"/>
      </w:rPr>
      <w:t xml:space="preserve">  </w:t>
    </w:r>
  </w:p>
  <w:p>
    <w:pPr>
      <w:pStyle w:val="12"/>
      <w:pBdr>
        <w:top w:val="thinThickSmallGap" w:color="auto" w:sz="24" w:space="1"/>
      </w:pBdr>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180" w:hanging="180" w:hangingChars="100"/>
      <w:jc w:val="center"/>
      <w:rPr>
        <w:rFonts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ind w:left="180" w:hanging="180" w:hangingChars="100"/>
                            <w:jc w:val="center"/>
                          </w:pPr>
                          <w:r>
                            <w:rPr>
                              <w:rFonts w:eastAsia="楷体_GB2312"/>
                            </w:rPr>
                            <w:tab/>
                          </w:r>
                          <w:r>
                            <w:rPr>
                              <w:rFonts w:eastAsia="楷体_GB2312"/>
                            </w:rPr>
                            <w:t xml:space="preserve">- </w:t>
                          </w:r>
                          <w:r>
                            <w:rPr>
                              <w:rFonts w:eastAsia="楷体_GB2312"/>
                            </w:rPr>
                            <w:fldChar w:fldCharType="begin"/>
                          </w:r>
                          <w:r>
                            <w:rPr>
                              <w:rFonts w:eastAsia="楷体_GB2312"/>
                            </w:rPr>
                            <w:instrText xml:space="preserve"> PAGE </w:instrText>
                          </w:r>
                          <w:r>
                            <w:rPr>
                              <w:rFonts w:eastAsia="楷体_GB2312"/>
                            </w:rPr>
                            <w:fldChar w:fldCharType="separate"/>
                          </w:r>
                          <w:r>
                            <w:rPr>
                              <w:rFonts w:eastAsia="楷体_GB2312"/>
                            </w:rPr>
                            <w:t>26</w:t>
                          </w:r>
                          <w:r>
                            <w:rPr>
                              <w:rFonts w:eastAsia="楷体_GB2312"/>
                            </w:rPr>
                            <w:fldChar w:fldCharType="end"/>
                          </w:r>
                          <w:r>
                            <w:rPr>
                              <w:rFonts w:eastAsia="楷体_GB2312"/>
                            </w:rPr>
                            <w:t xml:space="preserve"> -</w:t>
                          </w:r>
                        </w:p>
                      </w:txbxContent>
                    </wps:txbx>
                    <wps:bodyPr wrap="none" lIns="0" tIns="0" rIns="0" bIns="0">
                      <a:spAutoFit/>
                    </wps:bodyPr>
                  </wps:wsp>
                </a:graphicData>
              </a:graphic>
            </wp:anchor>
          </w:drawing>
        </mc:Choice>
        <mc:Fallback>
          <w:pict>
            <v:shape id="文本框 51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N1QEa/NAQAAmgMAAA4AAAAAAAAAAQAgAAAAIgEAAGRy&#10;cy9lMm9Eb2MueG1sUEsFBgAAAAAGAAYAWQEAAGEFAAAAAA==&#10;">
              <v:fill on="f" focussize="0,0"/>
              <v:stroke on="f" weight="1.25pt"/>
              <v:imagedata o:title=""/>
              <o:lock v:ext="edit" aspectratio="f"/>
              <v:textbox inset="0mm,0mm,0mm,0mm" style="mso-fit-shape-to-text:t;">
                <w:txbxContent>
                  <w:p>
                    <w:pPr>
                      <w:pStyle w:val="12"/>
                      <w:ind w:left="180" w:hanging="180" w:hangingChars="100"/>
                      <w:jc w:val="center"/>
                    </w:pPr>
                    <w:r>
                      <w:rPr>
                        <w:rFonts w:eastAsia="楷体_GB2312"/>
                      </w:rPr>
                      <w:tab/>
                    </w:r>
                    <w:r>
                      <w:rPr>
                        <w:rFonts w:eastAsia="楷体_GB2312"/>
                      </w:rPr>
                      <w:t xml:space="preserve">- </w:t>
                    </w:r>
                    <w:r>
                      <w:rPr>
                        <w:rFonts w:eastAsia="楷体_GB2312"/>
                      </w:rPr>
                      <w:fldChar w:fldCharType="begin"/>
                    </w:r>
                    <w:r>
                      <w:rPr>
                        <w:rFonts w:eastAsia="楷体_GB2312"/>
                      </w:rPr>
                      <w:instrText xml:space="preserve"> PAGE </w:instrText>
                    </w:r>
                    <w:r>
                      <w:rPr>
                        <w:rFonts w:eastAsia="楷体_GB2312"/>
                      </w:rPr>
                      <w:fldChar w:fldCharType="separate"/>
                    </w:r>
                    <w:r>
                      <w:rPr>
                        <w:rFonts w:eastAsia="楷体_GB2312"/>
                      </w:rPr>
                      <w:t>26</w:t>
                    </w:r>
                    <w:r>
                      <w:rPr>
                        <w:rFonts w:eastAsia="楷体_GB2312"/>
                      </w:rPr>
                      <w:fldChar w:fldCharType="end"/>
                    </w:r>
                    <w:r>
                      <w:rPr>
                        <w:rFonts w:eastAsia="楷体_GB2312"/>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570" cy="2787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15570" cy="278765"/>
                      </a:xfrm>
                      <a:prstGeom prst="rect">
                        <a:avLst/>
                      </a:prstGeom>
                      <a:noFill/>
                      <a:ln>
                        <a:noFill/>
                      </a:ln>
                    </wps:spPr>
                    <wps:txbx>
                      <w:txbxContent>
                        <w:p>
                          <w:pPr>
                            <w:pStyle w:val="12"/>
                            <w:jc w:val="center"/>
                          </w:pPr>
                          <w:r>
                            <w:fldChar w:fldCharType="begin"/>
                          </w:r>
                          <w:r>
                            <w:instrText xml:space="preserve">PAGE   \* MERGEFORMAT</w:instrText>
                          </w:r>
                          <w:r>
                            <w:fldChar w:fldCharType="separate"/>
                          </w:r>
                          <w:r>
                            <w:rPr>
                              <w:lang w:val="zh-CN"/>
                            </w:rPr>
                            <w:t>27</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21.95pt;width:9.1pt;mso-position-horizontal:center;mso-position-horizontal-relative:margin;mso-wrap-style:none;z-index:251660288;mso-width-relative:page;mso-height-relative:page;" filled="f" stroked="f" coordsize="21600,21600" o:gfxdata="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qWAzfRAAAAAwEAAA8AAAAAAAAAAQAgAAAAIgAAAGRycy9kb3du&#10;cmV2LnhtbFBLAQIUABQAAAAIAIdO4kAEgAvezQEAAJcDAAAOAAAAAAAAAAEAIAAAACABAABkcnMv&#10;ZTJvRG9jLnhtbFBLBQYAAAAABgAGAFkBAABfBQAAAAA=&#10;">
              <v:fill on="f" focussize="0,0"/>
              <v:stroke on="f"/>
              <v:imagedata o:title=""/>
              <o:lock v:ext="edit" aspectratio="f"/>
              <v:textbox inset="0mm,0mm,0mm,0mm" style="mso-fit-shape-to-text:t;">
                <w:txbxContent>
                  <w:p>
                    <w:pPr>
                      <w:pStyle w:val="12"/>
                      <w:jc w:val="center"/>
                    </w:pPr>
                    <w:r>
                      <w:fldChar w:fldCharType="begin"/>
                    </w:r>
                    <w:r>
                      <w:instrText xml:space="preserve">PAGE   \* MERGEFORMAT</w:instrText>
                    </w:r>
                    <w:r>
                      <w:fldChar w:fldCharType="separate"/>
                    </w:r>
                    <w:r>
                      <w:rPr>
                        <w:lang w:val="zh-CN"/>
                      </w:rPr>
                      <w:t>27</w:t>
                    </w:r>
                    <w:r>
                      <w:fldChar w:fldCharType="end"/>
                    </w:r>
                  </w:p>
                </w:txbxContent>
              </v:textbox>
            </v:shape>
          </w:pict>
        </mc:Fallback>
      </mc:AlternateContent>
    </w:r>
  </w:p>
  <w:p>
    <w:pPr>
      <w:pStyle w:val="1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99"/>
        <w:tab w:val="clear" w:pos="4153"/>
        <w:tab w:val="clear" w:pos="8306"/>
      </w:tabs>
      <w:ind w:right="360"/>
      <w:rPr>
        <w:rFonts w:ascii="仿宋_GB2312" w:eastAsia="仿宋_GB2312"/>
        <w:b/>
        <w:i/>
      </w:rPr>
    </w:pPr>
    <w:r>
      <w:rPr>
        <w:rFonts w:ascii="仿宋_GB2312" w:eastAsia="仿宋_GB2312"/>
        <w:b/>
        <w:i/>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right="-6"/>
      <w:jc w:val="center"/>
      <w:rPr>
        <w:rFonts w:ascii="仿宋_GB2312" w:eastAsia="仿宋_GB2312"/>
        <w:b/>
        <w:i/>
      </w:rPr>
    </w:pPr>
    <w:r>
      <w:rPr>
        <w:rFonts w:hint="eastAsia" w:ascii="仿宋_GB2312" w:eastAsia="仿宋_GB2312"/>
        <w:b/>
        <w:i/>
      </w:rPr>
      <w:t>28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99"/>
        <w:tab w:val="clear" w:pos="4153"/>
        <w:tab w:val="clear" w:pos="8306"/>
      </w:tabs>
      <w:ind w:right="360"/>
      <w:rPr>
        <w:rFonts w:ascii="仿宋_GB2312" w:eastAsia="仿宋_GB2312"/>
        <w:b/>
        <w:i/>
      </w:rPr>
    </w:pPr>
    <w:r>
      <w:rPr>
        <w:rFonts w:ascii="仿宋_GB2312" w:eastAsia="仿宋_GB2312"/>
        <w:b/>
        <w:i/>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thinThickSmallGap" w:color="auto" w:sz="24" w:space="1"/>
      </w:pBdr>
      <w:jc w:val="left"/>
      <w:rPr>
        <w:rFonts w:hint="eastAsia" w:eastAsia="宋体"/>
        <w:i w:val="0"/>
        <w:iCs w:val="0"/>
        <w:sz w:val="13"/>
        <w:szCs w:val="13"/>
        <w:u w:val="none"/>
        <w:lang w:eastAsia="zh-CN"/>
      </w:rPr>
    </w:pPr>
    <w:r>
      <w:rPr>
        <w:rFonts w:hint="eastAsia" w:ascii="宋体" w:hAnsi="宋体" w:eastAsia="宋体" w:cs="宋体"/>
        <w:i w:val="0"/>
        <w:iCs w:val="0"/>
        <w:caps w:val="0"/>
        <w:color w:val="333333"/>
        <w:spacing w:val="0"/>
        <w:sz w:val="24"/>
        <w:szCs w:val="24"/>
        <w:u w:val="none"/>
        <w:shd w:val="clear" w:color="auto" w:fill="FFFFFF"/>
        <w:lang w:eastAsia="zh-CN"/>
      </w:rPr>
      <w:t>伊犁州民用运输机场布局规划研究方案编制服务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right="-82" w:rightChars="-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仿宋_GB2312" w:eastAsia="仿宋_GB2312"/>
        <w:b/>
        <w:i/>
        <w:sz w:val="21"/>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FCFD4"/>
    <w:multiLevelType w:val="singleLevel"/>
    <w:tmpl w:val="BDBFCFD4"/>
    <w:lvl w:ilvl="0" w:tentative="0">
      <w:start w:val="1"/>
      <w:numFmt w:val="decimal"/>
      <w:suff w:val="nothing"/>
      <w:lvlText w:val="（%1）"/>
      <w:lvlJc w:val="left"/>
      <w:pPr>
        <w:ind w:left="210" w:firstLine="0"/>
      </w:pPr>
    </w:lvl>
  </w:abstractNum>
  <w:abstractNum w:abstractNumId="1">
    <w:nsid w:val="FDA70BD5"/>
    <w:multiLevelType w:val="singleLevel"/>
    <w:tmpl w:val="FDA70BD5"/>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7B34F9"/>
    <w:rsid w:val="079E786F"/>
    <w:rsid w:val="0F3F23BC"/>
    <w:rsid w:val="179A0FB1"/>
    <w:rsid w:val="251B66B4"/>
    <w:rsid w:val="2825527F"/>
    <w:rsid w:val="287B588B"/>
    <w:rsid w:val="2E5D68C5"/>
    <w:rsid w:val="32431105"/>
    <w:rsid w:val="3A435408"/>
    <w:rsid w:val="3DE9671B"/>
    <w:rsid w:val="4104778B"/>
    <w:rsid w:val="4C6F63DF"/>
    <w:rsid w:val="539E20ED"/>
    <w:rsid w:val="54793A14"/>
    <w:rsid w:val="55A91082"/>
    <w:rsid w:val="572D36D9"/>
    <w:rsid w:val="58A739A3"/>
    <w:rsid w:val="5BD55522"/>
    <w:rsid w:val="63147411"/>
    <w:rsid w:val="6CFA1A14"/>
    <w:rsid w:val="7DD601DE"/>
    <w:rsid w:val="7FFE5D76"/>
    <w:rsid w:val="A1C78836"/>
    <w:rsid w:val="EEF2C02F"/>
    <w:rsid w:val="FBFE243E"/>
    <w:rsid w:val="FD7B3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Calibri" w:hAnsi="Calibri"/>
      <w:b/>
      <w:bCs/>
      <w:sz w:val="24"/>
      <w:szCs w:val="20"/>
    </w:rPr>
  </w:style>
  <w:style w:type="paragraph" w:styleId="4">
    <w:name w:val="heading 2"/>
    <w:basedOn w:val="1"/>
    <w:next w:val="1"/>
    <w:unhideWhenUsed/>
    <w:qFormat/>
    <w:uiPriority w:val="0"/>
    <w:pPr>
      <w:keepNext/>
      <w:keepLines/>
      <w:spacing w:line="360" w:lineRule="auto"/>
      <w:outlineLvl w:val="1"/>
    </w:pPr>
    <w:rPr>
      <w:rFonts w:ascii="Arial" w:hAnsi="Arial"/>
      <w:b/>
      <w:bCs/>
      <w:sz w:val="24"/>
      <w:szCs w:val="32"/>
    </w:rPr>
  </w:style>
  <w:style w:type="paragraph" w:styleId="5">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DejaVu Sans" w:hAnsi="DejaVu Sans" w:eastAsia="方正黑体_GBK"/>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4正文"/>
    <w:basedOn w:val="1"/>
    <w:qFormat/>
    <w:uiPriority w:val="0"/>
    <w:pPr>
      <w:snapToGrid/>
      <w:spacing w:line="360" w:lineRule="auto"/>
      <w:ind w:firstLine="200" w:firstLineChars="200"/>
    </w:pPr>
    <w:rPr>
      <w:rFonts w:ascii="Times New Roman" w:hAnsi="Times New Roman"/>
    </w:rPr>
  </w:style>
  <w:style w:type="paragraph" w:styleId="7">
    <w:name w:val="Body Text"/>
    <w:basedOn w:val="1"/>
    <w:next w:val="8"/>
    <w:qFormat/>
    <w:uiPriority w:val="0"/>
    <w:pPr>
      <w:spacing w:after="120"/>
    </w:pPr>
  </w:style>
  <w:style w:type="paragraph" w:styleId="8">
    <w:name w:val="Body Text Indent"/>
    <w:basedOn w:val="1"/>
    <w:qFormat/>
    <w:uiPriority w:val="0"/>
    <w:pPr>
      <w:spacing w:after="120"/>
      <w:ind w:left="420" w:leftChars="200"/>
    </w:pPr>
    <w:rPr>
      <w:rFonts w:ascii="Calibri" w:hAnsi="Calibri"/>
    </w:rPr>
  </w:style>
  <w:style w:type="paragraph" w:styleId="9">
    <w:name w:val="toc 3"/>
    <w:basedOn w:val="1"/>
    <w:next w:val="1"/>
    <w:qFormat/>
    <w:uiPriority w:val="0"/>
    <w:pPr>
      <w:ind w:left="420"/>
      <w:jc w:val="left"/>
    </w:pPr>
    <w:rPr>
      <w:i/>
      <w:iCs/>
      <w:sz w:val="20"/>
      <w:szCs w:val="20"/>
    </w:rPr>
  </w:style>
  <w:style w:type="paragraph" w:styleId="10">
    <w:name w:val="Plain Text"/>
    <w:basedOn w:val="1"/>
    <w:qFormat/>
    <w:uiPriority w:val="0"/>
    <w:rPr>
      <w:rFonts w:ascii="Calibri" w:hAnsi="Calibri"/>
      <w:sz w:val="24"/>
      <w:szCs w:val="20"/>
    </w:rPr>
  </w:style>
  <w:style w:type="paragraph" w:styleId="11">
    <w:name w:val="Date"/>
    <w:basedOn w:val="1"/>
    <w:next w:val="1"/>
    <w:qFormat/>
    <w:uiPriority w:val="0"/>
    <w:rPr>
      <w:sz w:val="24"/>
      <w:szCs w:val="20"/>
    </w:rPr>
  </w:style>
  <w:style w:type="paragraph" w:styleId="12">
    <w:name w:val="footer"/>
    <w:basedOn w:val="1"/>
    <w:qFormat/>
    <w:uiPriority w:val="0"/>
    <w:pPr>
      <w:tabs>
        <w:tab w:val="center" w:pos="4153"/>
        <w:tab w:val="right" w:pos="8306"/>
      </w:tabs>
      <w:snapToGrid w:val="0"/>
      <w:jc w:val="left"/>
    </w:pPr>
    <w:rPr>
      <w:rFonts w:ascii="Calibri" w:hAnsi="Calibri"/>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toc 1"/>
    <w:basedOn w:val="1"/>
    <w:next w:val="1"/>
    <w:qFormat/>
    <w:uiPriority w:val="0"/>
    <w:pPr>
      <w:spacing w:before="120" w:after="120"/>
      <w:jc w:val="left"/>
    </w:pPr>
    <w:rPr>
      <w:b/>
      <w:bCs/>
      <w:caps/>
      <w:sz w:val="20"/>
      <w:szCs w:val="20"/>
    </w:rPr>
  </w:style>
  <w:style w:type="paragraph" w:styleId="15">
    <w:name w:val="toc 2"/>
    <w:basedOn w:val="1"/>
    <w:next w:val="1"/>
    <w:qFormat/>
    <w:uiPriority w:val="0"/>
    <w:pPr>
      <w:ind w:left="210"/>
      <w:jc w:val="left"/>
    </w:pPr>
    <w:rPr>
      <w:smallCaps/>
      <w:sz w:val="20"/>
      <w:szCs w:val="20"/>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w:basedOn w:val="7"/>
    <w:next w:val="1"/>
    <w:qFormat/>
    <w:uiPriority w:val="0"/>
    <w:pPr>
      <w:ind w:firstLine="420" w:firstLineChars="100"/>
    </w:pPr>
    <w:rPr>
      <w:szCs w:val="20"/>
    </w:rPr>
  </w:style>
  <w:style w:type="paragraph" w:styleId="18">
    <w:name w:val="Body Text First Indent 2"/>
    <w:basedOn w:val="8"/>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rFonts w:ascii="Times New Roman" w:hAnsi="Times New Roman" w:eastAsia="宋体" w:cs="Times New Roman"/>
      <w:b/>
      <w:bCs/>
    </w:rPr>
  </w:style>
  <w:style w:type="character" w:styleId="23">
    <w:name w:val="page number"/>
    <w:basedOn w:val="21"/>
    <w:qFormat/>
    <w:uiPriority w:val="0"/>
  </w:style>
  <w:style w:type="character" w:styleId="24">
    <w:name w:val="Hyperlink"/>
    <w:qFormat/>
    <w:uiPriority w:val="0"/>
    <w:rPr>
      <w:rFonts w:ascii="Times New Roman" w:hAnsi="Times New Roman" w:eastAsia="宋体" w:cs="Times New Roman"/>
      <w:color w:val="136EC2"/>
      <w:u w:val="single"/>
    </w:rPr>
  </w:style>
  <w:style w:type="paragraph" w:customStyle="1" w:styleId="25">
    <w:name w:val="标题4"/>
    <w:basedOn w:val="6"/>
    <w:next w:val="6"/>
    <w:qFormat/>
    <w:uiPriority w:val="0"/>
  </w:style>
  <w:style w:type="paragraph" w:customStyle="1" w:styleId="26">
    <w:name w:val="p0"/>
    <w:basedOn w:val="1"/>
    <w:qFormat/>
    <w:uiPriority w:val="0"/>
    <w:pPr>
      <w:widowControl/>
    </w:pPr>
    <w:rPr>
      <w:rFonts w:ascii="Calibri" w:hAnsi="Calibri"/>
      <w:kern w:val="0"/>
      <w:szCs w:val="21"/>
    </w:rPr>
  </w:style>
  <w:style w:type="paragraph" w:customStyle="1" w:styleId="27">
    <w:name w:val="正文缩进1"/>
    <w:basedOn w:val="1"/>
    <w:qFormat/>
    <w:uiPriority w:val="0"/>
    <w:pPr>
      <w:autoSpaceDE w:val="0"/>
      <w:autoSpaceDN w:val="0"/>
      <w:adjustRightInd w:val="0"/>
      <w:ind w:firstLine="420"/>
      <w:jc w:val="left"/>
    </w:pPr>
    <w:rPr>
      <w:rFonts w:ascii="宋体" w:hAnsi="Calibri" w:eastAsia="微软雅黑"/>
      <w:kern w:val="0"/>
      <w:sz w:val="24"/>
      <w:szCs w:val="20"/>
    </w:rPr>
  </w:style>
  <w:style w:type="paragraph" w:customStyle="1" w:styleId="28">
    <w:name w:val="索引 11"/>
    <w:basedOn w:val="1"/>
    <w:next w:val="1"/>
    <w:qFormat/>
    <w:uiPriority w:val="0"/>
    <w:pPr>
      <w:spacing w:line="360" w:lineRule="auto"/>
    </w:pPr>
    <w:rPr>
      <w:rFonts w:ascii="仿宋_GB2312" w:eastAsia="仿宋_GB2312"/>
      <w:sz w:val="24"/>
      <w:szCs w:val="20"/>
    </w:rPr>
  </w:style>
  <w:style w:type="paragraph" w:customStyle="1" w:styleId="29">
    <w:name w:val="纯文本1"/>
    <w:basedOn w:val="1"/>
    <w:qFormat/>
    <w:uiPriority w:val="0"/>
    <w:rPr>
      <w:rFonts w:ascii="宋体" w:hAnsi="Courier New" w:eastAsia="微软雅黑"/>
      <w:kern w:val="0"/>
      <w:sz w:val="20"/>
      <w:szCs w:val="20"/>
    </w:rPr>
  </w:style>
  <w:style w:type="paragraph" w:customStyle="1" w:styleId="3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2">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styleId="3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20998</Words>
  <Characters>22753</Characters>
  <Lines>0</Lines>
  <Paragraphs>0</Paragraphs>
  <TotalTime>14</TotalTime>
  <ScaleCrop>false</ScaleCrop>
  <LinksUpToDate>false</LinksUpToDate>
  <CharactersWithSpaces>24715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2021-08-17T21:51:00Z</dcterms:created>
  <dc:creator>yuruiyi</dc:creator>
  <cp:lastModifiedBy>- 意中  人  </cp:lastModifiedBy>
  <cp:lastPrinted>2021-08-18T04:39:00Z</cp:lastPrinted>
  <dcterms:modified xsi:type="dcterms:W3CDTF">2021-09-16T08:35:23Z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B6C18E32CD3744D99C5696BBE4014E5E</vt:lpwstr>
  </property>
</Properties>
</file>