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Times New Roman" w:hAnsi="Times New Roman" w:eastAsia="仿宋"/>
          <w:b/>
          <w:sz w:val="52"/>
        </w:rPr>
      </w:pPr>
    </w:p>
    <w:p>
      <w:pPr>
        <w:tabs>
          <w:tab w:val="left" w:pos="1134"/>
          <w:tab w:val="left" w:pos="5160"/>
        </w:tabs>
        <w:spacing w:line="360" w:lineRule="auto"/>
        <w:jc w:val="center"/>
        <w:rPr>
          <w:rFonts w:hint="eastAsia" w:ascii="仿宋" w:hAnsi="仿宋" w:eastAsia="仿宋" w:cs="仿宋"/>
          <w:b/>
          <w:bCs/>
          <w:color w:val="000000"/>
          <w:sz w:val="56"/>
          <w:szCs w:val="56"/>
          <w:lang w:eastAsia="zh-CN"/>
        </w:rPr>
      </w:pPr>
      <w:bookmarkStart w:id="154" w:name="_GoBack"/>
      <w:r>
        <w:rPr>
          <w:rFonts w:hint="eastAsia" w:ascii="仿宋" w:hAnsi="仿宋" w:eastAsia="仿宋" w:cs="仿宋"/>
          <w:b/>
          <w:bCs/>
          <w:color w:val="000000"/>
          <w:sz w:val="56"/>
          <w:szCs w:val="56"/>
          <w:lang w:eastAsia="zh-CN"/>
        </w:rPr>
        <w:t>新疆医科大学第一附属医院根管显微镜设备采购项目</w:t>
      </w:r>
    </w:p>
    <w:bookmarkEnd w:id="154"/>
    <w:p>
      <w:pPr>
        <w:pStyle w:val="16"/>
        <w:jc w:val="center"/>
        <w:rPr>
          <w:rFonts w:ascii="Times New Roman" w:hAnsi="Times New Roman" w:eastAsia="仿宋"/>
          <w:b/>
          <w:sz w:val="52"/>
        </w:rPr>
      </w:pPr>
    </w:p>
    <w:p>
      <w:pPr>
        <w:pStyle w:val="16"/>
        <w:jc w:val="center"/>
        <w:rPr>
          <w:rFonts w:ascii="Times New Roman" w:hAnsi="Times New Roman" w:eastAsia="仿宋"/>
          <w:b/>
          <w:sz w:val="84"/>
        </w:rPr>
      </w:pPr>
      <w:r>
        <w:rPr>
          <w:rFonts w:ascii="Times New Roman" w:hAnsi="Times New Roman" w:eastAsia="仿宋"/>
          <w:b/>
          <w:sz w:val="84"/>
        </w:rPr>
        <w:t>谈  判  文  件</w:t>
      </w:r>
    </w:p>
    <w:p>
      <w:pPr>
        <w:pStyle w:val="16"/>
        <w:jc w:val="center"/>
        <w:rPr>
          <w:rFonts w:ascii="Times New Roman" w:hAnsi="Times New Roman" w:eastAsia="仿宋"/>
          <w:b/>
          <w:sz w:val="52"/>
        </w:rPr>
      </w:pPr>
    </w:p>
    <w:tbl>
      <w:tblPr>
        <w:tblStyle w:val="31"/>
        <w:tblW w:w="7479" w:type="dxa"/>
        <w:jc w:val="center"/>
        <w:tblLayout w:type="fixed"/>
        <w:tblCellMar>
          <w:top w:w="0" w:type="dxa"/>
          <w:left w:w="108" w:type="dxa"/>
          <w:bottom w:w="0" w:type="dxa"/>
          <w:right w:w="108" w:type="dxa"/>
        </w:tblCellMar>
      </w:tblPr>
      <w:tblGrid>
        <w:gridCol w:w="2335"/>
        <w:gridCol w:w="5144"/>
      </w:tblGrid>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项目编号：</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lang w:eastAsia="zh-CN"/>
              </w:rPr>
              <w:t>2023-XBZC-01095</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新疆医科大学第一附属医院</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采购人电话：</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0991-436</w:t>
            </w:r>
            <w:r>
              <w:rPr>
                <w:rFonts w:ascii="仿宋" w:hAnsi="仿宋" w:eastAsia="仿宋" w:cs="仿宋"/>
                <w:bCs/>
                <w:color w:val="000000"/>
                <w:sz w:val="28"/>
                <w:szCs w:val="28"/>
              </w:rPr>
              <w:t>2391</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采购人地址：</w:t>
            </w:r>
          </w:p>
        </w:tc>
        <w:tc>
          <w:tcPr>
            <w:tcW w:w="5144" w:type="dxa"/>
            <w:vAlign w:val="center"/>
          </w:tcPr>
          <w:p>
            <w:pPr>
              <w:tabs>
                <w:tab w:val="left" w:pos="2943"/>
              </w:tabs>
              <w:adjustRightInd w:val="0"/>
              <w:snapToGrid w:val="0"/>
              <w:spacing w:line="3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乌鲁木齐市新医路393号</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代理机构（盖章）：</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新疆西北招标有限公司</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代理机构联系人：</w:t>
            </w:r>
          </w:p>
        </w:tc>
        <w:tc>
          <w:tcPr>
            <w:tcW w:w="5144" w:type="dxa"/>
            <w:vAlign w:val="center"/>
          </w:tcPr>
          <w:p>
            <w:pPr>
              <w:tabs>
                <w:tab w:val="left" w:pos="2431"/>
                <w:tab w:val="left" w:pos="2943"/>
              </w:tabs>
              <w:adjustRightInd w:val="0"/>
              <w:snapToGrid w:val="0"/>
              <w:spacing w:line="360" w:lineRule="exact"/>
              <w:jc w:val="left"/>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刘俊凯 郝鹏亮</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代理机构电话：</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0991-5823555</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代理机构地址：</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乌鲁木齐市伊宁路318号江西大厦9楼</w:t>
            </w:r>
          </w:p>
        </w:tc>
      </w:tr>
    </w:tbl>
    <w:p>
      <w:pPr>
        <w:pStyle w:val="16"/>
        <w:rPr>
          <w:rFonts w:ascii="Times New Roman" w:hAnsi="Times New Roman" w:eastAsia="仿宋"/>
          <w:b/>
          <w:sz w:val="36"/>
        </w:rPr>
      </w:pPr>
    </w:p>
    <w:p>
      <w:pPr>
        <w:pStyle w:val="16"/>
        <w:rPr>
          <w:rFonts w:ascii="Times New Roman" w:hAnsi="Times New Roman" w:eastAsia="仿宋"/>
          <w:b/>
        </w:rPr>
      </w:pPr>
    </w:p>
    <w:p>
      <w:pPr>
        <w:pStyle w:val="16"/>
        <w:rPr>
          <w:rFonts w:ascii="Times New Roman" w:hAnsi="Times New Roman" w:eastAsia="仿宋"/>
          <w:b/>
        </w:rPr>
      </w:pPr>
    </w:p>
    <w:p>
      <w:pPr>
        <w:jc w:val="center"/>
        <w:rPr>
          <w:rFonts w:eastAsia="仿宋"/>
          <w:b/>
        </w:rPr>
      </w:pPr>
    </w:p>
    <w:p>
      <w:pPr>
        <w:jc w:val="center"/>
        <w:rPr>
          <w:rFonts w:eastAsia="仿宋"/>
          <w:b/>
        </w:rPr>
      </w:pPr>
    </w:p>
    <w:p>
      <w:pPr>
        <w:jc w:val="center"/>
        <w:rPr>
          <w:rFonts w:eastAsia="仿宋"/>
          <w:b/>
        </w:rPr>
      </w:pPr>
      <w:r>
        <w:rPr>
          <w:rFonts w:hint="eastAsia" w:ascii="仿宋" w:hAnsi="仿宋" w:eastAsia="仿宋" w:cs="仿宋"/>
          <w:bCs/>
          <w:color w:val="000000"/>
          <w:sz w:val="28"/>
          <w:szCs w:val="28"/>
        </w:rPr>
        <w:t>二〇二</w:t>
      </w:r>
      <w:r>
        <w:rPr>
          <w:rFonts w:hint="eastAsia" w:ascii="仿宋" w:hAnsi="仿宋" w:eastAsia="仿宋" w:cs="仿宋"/>
          <w:bCs/>
          <w:color w:val="000000"/>
          <w:sz w:val="28"/>
          <w:szCs w:val="28"/>
          <w:lang w:val="en-US" w:eastAsia="zh-CN"/>
        </w:rPr>
        <w:t>三</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lang w:val="en-US" w:eastAsia="zh-CN"/>
        </w:rPr>
        <w:t>四</w:t>
      </w:r>
      <w:r>
        <w:rPr>
          <w:rFonts w:hint="eastAsia" w:ascii="仿宋" w:hAnsi="仿宋" w:eastAsia="仿宋" w:cs="仿宋"/>
          <w:bCs/>
          <w:color w:val="000000"/>
          <w:sz w:val="28"/>
          <w:szCs w:val="28"/>
        </w:rPr>
        <w:t>月</w:t>
      </w:r>
    </w:p>
    <w:p>
      <w:pPr>
        <w:jc w:val="center"/>
        <w:rPr>
          <w:rFonts w:eastAsia="仿宋"/>
          <w:b/>
        </w:rPr>
      </w:pPr>
      <w:r>
        <w:rPr>
          <w:rFonts w:eastAsia="仿宋"/>
          <w:b/>
        </w:rPr>
        <w:br w:type="page"/>
      </w:r>
    </w:p>
    <w:p>
      <w:pPr>
        <w:jc w:val="center"/>
        <w:rPr>
          <w:rFonts w:eastAsia="仿宋"/>
          <w:sz w:val="28"/>
        </w:rPr>
      </w:pPr>
      <w:r>
        <w:rPr>
          <w:rFonts w:eastAsia="仿宋"/>
          <w:sz w:val="28"/>
        </w:rPr>
        <w:t>目         录</w:t>
      </w:r>
    </w:p>
    <w:p>
      <w:pPr>
        <w:pStyle w:val="22"/>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TOC \o "1-3" \h \z \u </w:instrText>
      </w:r>
      <w:r>
        <w:rPr>
          <w:rFonts w:eastAsia="仿宋"/>
          <w:szCs w:val="21"/>
        </w:rPr>
        <w:fldChar w:fldCharType="separate"/>
      </w:r>
      <w:r>
        <w:rPr>
          <w:rFonts w:eastAsia="仿宋"/>
          <w:szCs w:val="21"/>
        </w:rPr>
        <w:fldChar w:fldCharType="begin"/>
      </w:r>
      <w:r>
        <w:rPr>
          <w:rFonts w:eastAsia="仿宋"/>
          <w:szCs w:val="21"/>
        </w:rPr>
        <w:instrText xml:space="preserve"> HYPERLINK \l _Toc22797 </w:instrText>
      </w:r>
      <w:r>
        <w:rPr>
          <w:rFonts w:eastAsia="仿宋"/>
          <w:szCs w:val="21"/>
        </w:rPr>
        <w:fldChar w:fldCharType="separate"/>
      </w:r>
      <w:r>
        <w:rPr>
          <w:rFonts w:eastAsia="仿宋"/>
          <w:szCs w:val="32"/>
        </w:rPr>
        <w:t>第一部分  谈判邀请</w:t>
      </w:r>
      <w:r>
        <w:tab/>
      </w:r>
      <w:r>
        <w:fldChar w:fldCharType="begin"/>
      </w:r>
      <w:r>
        <w:instrText xml:space="preserve"> PAGEREF _Toc22797 </w:instrText>
      </w:r>
      <w:r>
        <w:fldChar w:fldCharType="separate"/>
      </w:r>
      <w:r>
        <w:t>1</w:t>
      </w:r>
      <w:r>
        <w:fldChar w:fldCharType="end"/>
      </w:r>
      <w:r>
        <w:rPr>
          <w:rFonts w:eastAsia="仿宋"/>
          <w:szCs w:val="21"/>
        </w:rPr>
        <w:fldChar w:fldCharType="end"/>
      </w:r>
    </w:p>
    <w:p>
      <w:pPr>
        <w:pStyle w:val="22"/>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_Toc13320 </w:instrText>
      </w:r>
      <w:r>
        <w:rPr>
          <w:rFonts w:eastAsia="仿宋"/>
          <w:szCs w:val="21"/>
        </w:rPr>
        <w:fldChar w:fldCharType="separate"/>
      </w:r>
      <w:r>
        <w:rPr>
          <w:rFonts w:eastAsia="仿宋"/>
          <w:szCs w:val="32"/>
        </w:rPr>
        <w:t>第二部分  供应商须知</w:t>
      </w:r>
      <w:r>
        <w:tab/>
      </w:r>
      <w:r>
        <w:fldChar w:fldCharType="begin"/>
      </w:r>
      <w:r>
        <w:instrText xml:space="preserve"> PAGEREF _Toc13320 </w:instrText>
      </w:r>
      <w:r>
        <w:fldChar w:fldCharType="separate"/>
      </w:r>
      <w:r>
        <w:t>4</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_Toc12626 </w:instrText>
      </w:r>
      <w:r>
        <w:rPr>
          <w:rFonts w:eastAsia="仿宋"/>
          <w:szCs w:val="21"/>
        </w:rPr>
        <w:fldChar w:fldCharType="separate"/>
      </w:r>
      <w:r>
        <w:rPr>
          <w:rFonts w:eastAsia="仿宋"/>
          <w:szCs w:val="28"/>
        </w:rPr>
        <w:t>供应商须知附表</w:t>
      </w:r>
      <w:r>
        <w:tab/>
      </w:r>
      <w:r>
        <w:fldChar w:fldCharType="begin"/>
      </w:r>
      <w:r>
        <w:instrText xml:space="preserve"> PAGEREF _Toc12626 </w:instrText>
      </w:r>
      <w:r>
        <w:fldChar w:fldCharType="separate"/>
      </w:r>
      <w:r>
        <w:t>6</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_Toc2352 </w:instrText>
      </w:r>
      <w:r>
        <w:rPr>
          <w:rFonts w:eastAsia="仿宋"/>
          <w:szCs w:val="21"/>
        </w:rPr>
        <w:fldChar w:fldCharType="separate"/>
      </w:r>
      <w:r>
        <w:rPr>
          <w:rFonts w:eastAsia="仿宋"/>
          <w:szCs w:val="28"/>
        </w:rPr>
        <w:t>A  说　明</w:t>
      </w:r>
      <w:r>
        <w:tab/>
      </w:r>
      <w:r>
        <w:fldChar w:fldCharType="begin"/>
      </w:r>
      <w:r>
        <w:instrText xml:space="preserve"> PAGEREF _Toc2352 </w:instrText>
      </w:r>
      <w:r>
        <w:fldChar w:fldCharType="separate"/>
      </w:r>
      <w:r>
        <w:t>8</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_Toc25360 </w:instrText>
      </w:r>
      <w:r>
        <w:rPr>
          <w:rFonts w:eastAsia="仿宋"/>
          <w:szCs w:val="21"/>
        </w:rPr>
        <w:fldChar w:fldCharType="separate"/>
      </w:r>
      <w:r>
        <w:rPr>
          <w:rFonts w:eastAsia="仿宋"/>
          <w:szCs w:val="28"/>
        </w:rPr>
        <w:t>B  谈判文件</w:t>
      </w:r>
      <w:r>
        <w:tab/>
      </w:r>
      <w:r>
        <w:fldChar w:fldCharType="begin"/>
      </w:r>
      <w:r>
        <w:instrText xml:space="preserve"> PAGEREF _Toc25360 </w:instrText>
      </w:r>
      <w:r>
        <w:fldChar w:fldCharType="separate"/>
      </w:r>
      <w:r>
        <w:t>9</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_Toc32496 </w:instrText>
      </w:r>
      <w:r>
        <w:rPr>
          <w:rFonts w:eastAsia="仿宋"/>
          <w:szCs w:val="21"/>
        </w:rPr>
        <w:fldChar w:fldCharType="separate"/>
      </w:r>
      <w:r>
        <w:rPr>
          <w:rFonts w:eastAsia="仿宋"/>
          <w:szCs w:val="28"/>
        </w:rPr>
        <w:t>C  谈判响应文件的编写</w:t>
      </w:r>
      <w:r>
        <w:tab/>
      </w:r>
      <w:r>
        <w:fldChar w:fldCharType="begin"/>
      </w:r>
      <w:r>
        <w:instrText xml:space="preserve"> PAGEREF _Toc32496 </w:instrText>
      </w:r>
      <w:r>
        <w:fldChar w:fldCharType="separate"/>
      </w:r>
      <w:r>
        <w:t>9</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_Toc1281 </w:instrText>
      </w:r>
      <w:r>
        <w:rPr>
          <w:rFonts w:eastAsia="仿宋"/>
          <w:szCs w:val="21"/>
        </w:rPr>
        <w:fldChar w:fldCharType="separate"/>
      </w:r>
      <w:r>
        <w:rPr>
          <w:rFonts w:eastAsia="仿宋"/>
          <w:szCs w:val="28"/>
        </w:rPr>
        <w:t>D  谈判响应文件的递交</w:t>
      </w:r>
      <w:r>
        <w:tab/>
      </w:r>
      <w:r>
        <w:fldChar w:fldCharType="begin"/>
      </w:r>
      <w:r>
        <w:instrText xml:space="preserve"> PAGEREF _Toc1281 </w:instrText>
      </w:r>
      <w:r>
        <w:fldChar w:fldCharType="separate"/>
      </w:r>
      <w:r>
        <w:t>12</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_Toc9006 </w:instrText>
      </w:r>
      <w:r>
        <w:rPr>
          <w:rFonts w:eastAsia="仿宋"/>
          <w:szCs w:val="21"/>
        </w:rPr>
        <w:fldChar w:fldCharType="separate"/>
      </w:r>
      <w:r>
        <w:rPr>
          <w:rFonts w:eastAsia="仿宋"/>
          <w:szCs w:val="28"/>
        </w:rPr>
        <w:t>E  谈判程序</w:t>
      </w:r>
      <w:r>
        <w:tab/>
      </w:r>
      <w:r>
        <w:fldChar w:fldCharType="begin"/>
      </w:r>
      <w:r>
        <w:instrText xml:space="preserve"> PAGEREF _Toc9006 </w:instrText>
      </w:r>
      <w:r>
        <w:fldChar w:fldCharType="separate"/>
      </w:r>
      <w:r>
        <w:t>13</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_Toc16188 </w:instrText>
      </w:r>
      <w:r>
        <w:rPr>
          <w:rFonts w:eastAsia="仿宋"/>
          <w:szCs w:val="21"/>
        </w:rPr>
        <w:fldChar w:fldCharType="separate"/>
      </w:r>
      <w:r>
        <w:rPr>
          <w:rFonts w:eastAsia="仿宋"/>
          <w:szCs w:val="28"/>
        </w:rPr>
        <w:t>F  授予合同</w:t>
      </w:r>
      <w:r>
        <w:tab/>
      </w:r>
      <w:r>
        <w:fldChar w:fldCharType="begin"/>
      </w:r>
      <w:r>
        <w:instrText xml:space="preserve"> PAGEREF _Toc16188 </w:instrText>
      </w:r>
      <w:r>
        <w:fldChar w:fldCharType="separate"/>
      </w:r>
      <w:r>
        <w:t>17</w:t>
      </w:r>
      <w:r>
        <w:fldChar w:fldCharType="end"/>
      </w:r>
      <w:r>
        <w:rPr>
          <w:rFonts w:eastAsia="仿宋"/>
          <w:szCs w:val="21"/>
        </w:rPr>
        <w:fldChar w:fldCharType="end"/>
      </w:r>
    </w:p>
    <w:p>
      <w:pPr>
        <w:pStyle w:val="24"/>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_Toc12355 </w:instrText>
      </w:r>
      <w:r>
        <w:rPr>
          <w:rFonts w:eastAsia="仿宋"/>
          <w:szCs w:val="21"/>
        </w:rPr>
        <w:fldChar w:fldCharType="separate"/>
      </w:r>
      <w:r>
        <w:rPr>
          <w:rFonts w:eastAsia="仿宋"/>
          <w:szCs w:val="28"/>
        </w:rPr>
        <w:t>G  谈判失败条件</w:t>
      </w:r>
      <w:r>
        <w:tab/>
      </w:r>
      <w:r>
        <w:fldChar w:fldCharType="begin"/>
      </w:r>
      <w:r>
        <w:instrText xml:space="preserve"> PAGEREF _Toc12355 </w:instrText>
      </w:r>
      <w:r>
        <w:fldChar w:fldCharType="separate"/>
      </w:r>
      <w:r>
        <w:t>18</w:t>
      </w:r>
      <w:r>
        <w:fldChar w:fldCharType="end"/>
      </w:r>
      <w:r>
        <w:rPr>
          <w:rFonts w:eastAsia="仿宋"/>
          <w:szCs w:val="21"/>
        </w:rPr>
        <w:fldChar w:fldCharType="end"/>
      </w:r>
    </w:p>
    <w:p>
      <w:pPr>
        <w:pStyle w:val="22"/>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_Toc21199 </w:instrText>
      </w:r>
      <w:r>
        <w:rPr>
          <w:rFonts w:eastAsia="仿宋"/>
          <w:szCs w:val="21"/>
        </w:rPr>
        <w:fldChar w:fldCharType="separate"/>
      </w:r>
      <w:r>
        <w:rPr>
          <w:rFonts w:eastAsia="仿宋"/>
          <w:szCs w:val="32"/>
        </w:rPr>
        <w:t>第三部分  货物需求</w:t>
      </w:r>
      <w:r>
        <w:tab/>
      </w:r>
      <w:r>
        <w:fldChar w:fldCharType="begin"/>
      </w:r>
      <w:r>
        <w:instrText xml:space="preserve"> PAGEREF _Toc21199 </w:instrText>
      </w:r>
      <w:r>
        <w:fldChar w:fldCharType="separate"/>
      </w:r>
      <w:r>
        <w:t>20</w:t>
      </w:r>
      <w:r>
        <w:fldChar w:fldCharType="end"/>
      </w:r>
      <w:r>
        <w:rPr>
          <w:rFonts w:eastAsia="仿宋"/>
          <w:szCs w:val="21"/>
        </w:rPr>
        <w:fldChar w:fldCharType="end"/>
      </w:r>
    </w:p>
    <w:p>
      <w:pPr>
        <w:pStyle w:val="22"/>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_Toc31413 </w:instrText>
      </w:r>
      <w:r>
        <w:rPr>
          <w:rFonts w:eastAsia="仿宋"/>
          <w:szCs w:val="21"/>
        </w:rPr>
        <w:fldChar w:fldCharType="separate"/>
      </w:r>
      <w:r>
        <w:rPr>
          <w:rFonts w:hint="eastAsia" w:ascii="仿宋" w:hAnsi="仿宋" w:eastAsia="仿宋" w:cs="仿宋"/>
          <w:bCs/>
          <w:szCs w:val="32"/>
        </w:rPr>
        <w:t>第四部分  合同主要条款</w:t>
      </w:r>
      <w:r>
        <w:tab/>
      </w:r>
      <w:r>
        <w:fldChar w:fldCharType="begin"/>
      </w:r>
      <w:r>
        <w:instrText xml:space="preserve"> PAGEREF _Toc31413 </w:instrText>
      </w:r>
      <w:r>
        <w:fldChar w:fldCharType="separate"/>
      </w:r>
      <w:r>
        <w:t>21</w:t>
      </w:r>
      <w:r>
        <w:fldChar w:fldCharType="end"/>
      </w:r>
      <w:r>
        <w:rPr>
          <w:rFonts w:eastAsia="仿宋"/>
          <w:szCs w:val="21"/>
        </w:rPr>
        <w:fldChar w:fldCharType="end"/>
      </w:r>
    </w:p>
    <w:p>
      <w:pPr>
        <w:pStyle w:val="22"/>
        <w:keepNext w:val="0"/>
        <w:keepLines w:val="0"/>
        <w:pageBreakBefore w:val="0"/>
        <w:widowControl w:val="0"/>
        <w:tabs>
          <w:tab w:val="right" w:leader="dot" w:pos="9741"/>
        </w:tabs>
        <w:kinsoku/>
        <w:wordWrap/>
        <w:overflowPunct/>
        <w:topLinePunct w:val="0"/>
        <w:autoSpaceDE/>
        <w:autoSpaceDN/>
        <w:bidi w:val="0"/>
        <w:adjustRightInd/>
        <w:snapToGrid/>
        <w:spacing w:line="480" w:lineRule="auto"/>
        <w:textAlignment w:val="auto"/>
      </w:pPr>
      <w:r>
        <w:rPr>
          <w:rFonts w:eastAsia="仿宋"/>
          <w:szCs w:val="21"/>
        </w:rPr>
        <w:fldChar w:fldCharType="begin"/>
      </w:r>
      <w:r>
        <w:rPr>
          <w:rFonts w:eastAsia="仿宋"/>
          <w:szCs w:val="21"/>
        </w:rPr>
        <w:instrText xml:space="preserve"> HYPERLINK \l _Toc17168 </w:instrText>
      </w:r>
      <w:r>
        <w:rPr>
          <w:rFonts w:eastAsia="仿宋"/>
          <w:szCs w:val="21"/>
        </w:rPr>
        <w:fldChar w:fldCharType="separate"/>
      </w:r>
      <w:r>
        <w:rPr>
          <w:rFonts w:eastAsia="仿宋"/>
          <w:szCs w:val="32"/>
        </w:rPr>
        <w:t>第</w:t>
      </w:r>
      <w:r>
        <w:rPr>
          <w:rFonts w:hint="eastAsia" w:eastAsia="仿宋"/>
          <w:szCs w:val="32"/>
        </w:rPr>
        <w:t>五</w:t>
      </w:r>
      <w:r>
        <w:rPr>
          <w:rFonts w:eastAsia="仿宋"/>
          <w:szCs w:val="32"/>
        </w:rPr>
        <w:t>部分　范本格式</w:t>
      </w:r>
      <w:r>
        <w:tab/>
      </w:r>
      <w:r>
        <w:fldChar w:fldCharType="begin"/>
      </w:r>
      <w:r>
        <w:instrText xml:space="preserve"> PAGEREF _Toc17168 </w:instrText>
      </w:r>
      <w:r>
        <w:fldChar w:fldCharType="separate"/>
      </w:r>
      <w:r>
        <w:t>31</w:t>
      </w:r>
      <w:r>
        <w:fldChar w:fldCharType="end"/>
      </w:r>
      <w:r>
        <w:rPr>
          <w:rFonts w:eastAsia="仿宋"/>
          <w:szCs w:val="21"/>
        </w:rPr>
        <w:fldChar w:fldCharType="end"/>
      </w:r>
    </w:p>
    <w:p>
      <w:pPr>
        <w:tabs>
          <w:tab w:val="left" w:pos="360"/>
        </w:tabs>
        <w:spacing w:line="160" w:lineRule="atLeast"/>
        <w:rPr>
          <w:rFonts w:eastAsia="仿宋"/>
          <w:szCs w:val="21"/>
        </w:rPr>
      </w:pPr>
      <w:r>
        <w:rPr>
          <w:rFonts w:eastAsia="仿宋"/>
          <w:szCs w:val="21"/>
        </w:rPr>
        <w:fldChar w:fldCharType="end"/>
      </w:r>
    </w:p>
    <w:p>
      <w:pPr>
        <w:tabs>
          <w:tab w:val="left" w:pos="360"/>
        </w:tabs>
        <w:spacing w:line="160" w:lineRule="atLeast"/>
        <w:jc w:val="center"/>
        <w:rPr>
          <w:rFonts w:eastAsia="仿宋"/>
          <w:sz w:val="32"/>
          <w:szCs w:val="32"/>
        </w:rPr>
        <w:sectPr>
          <w:headerReference r:id="rId4" w:type="first"/>
          <w:headerReference r:id="rId3" w:type="default"/>
          <w:footerReference r:id="rId5" w:type="default"/>
          <w:footerReference r:id="rId6" w:type="even"/>
          <w:pgSz w:w="11907" w:h="16840"/>
          <w:pgMar w:top="1134" w:right="1083" w:bottom="1134" w:left="1083" w:header="850" w:footer="680" w:gutter="0"/>
          <w:pgNumType w:start="1"/>
          <w:cols w:space="720" w:num="1"/>
          <w:titlePg/>
          <w:docGrid w:type="lines" w:linePitch="409" w:charSpace="0"/>
        </w:sectPr>
      </w:pPr>
    </w:p>
    <w:p>
      <w:pPr>
        <w:pStyle w:val="3"/>
        <w:numPr>
          <w:ilvl w:val="0"/>
          <w:numId w:val="0"/>
        </w:numPr>
        <w:spacing w:line="160" w:lineRule="atLeast"/>
        <w:rPr>
          <w:rFonts w:ascii="Times New Roman" w:hAnsi="Times New Roman" w:eastAsia="仿宋"/>
        </w:rPr>
      </w:pPr>
      <w:bookmarkStart w:id="0" w:name="_Toc22797"/>
      <w:r>
        <w:rPr>
          <w:rFonts w:ascii="Times New Roman" w:hAnsi="Times New Roman" w:eastAsia="仿宋"/>
        </w:rPr>
        <w:t>第一部分  谈判邀请</w:t>
      </w:r>
      <w:bookmarkEnd w:id="0"/>
    </w:p>
    <w:p>
      <w:pPr>
        <w:tabs>
          <w:tab w:val="left" w:pos="0"/>
          <w:tab w:val="left" w:pos="3165"/>
          <w:tab w:val="center" w:pos="4153"/>
        </w:tabs>
        <w:autoSpaceDE w:val="0"/>
        <w:autoSpaceDN w:val="0"/>
        <w:adjustRightInd w:val="0"/>
        <w:jc w:val="center"/>
        <w:rPr>
          <w:rFonts w:hint="eastAsia" w:eastAsia="仿宋"/>
          <w:sz w:val="28"/>
          <w:szCs w:val="28"/>
          <w:lang w:val="en-US" w:eastAsia="zh-CN"/>
        </w:rPr>
      </w:pPr>
      <w:bookmarkStart w:id="1" w:name="_Toc28359001"/>
      <w:bookmarkStart w:id="2" w:name="_Toc35393789"/>
      <w:r>
        <w:rPr>
          <w:rFonts w:hint="eastAsia" w:eastAsia="仿宋"/>
          <w:sz w:val="28"/>
          <w:szCs w:val="28"/>
          <w:lang w:eastAsia="zh-CN"/>
        </w:rPr>
        <w:t>新疆医科大学第一附属医院根管显微镜设备采购项目</w:t>
      </w:r>
      <w:r>
        <w:rPr>
          <w:rFonts w:hint="eastAsia" w:eastAsia="仿宋"/>
          <w:sz w:val="28"/>
          <w:szCs w:val="28"/>
          <w:lang w:val="en-US" w:eastAsia="zh-CN"/>
        </w:rPr>
        <w:t xml:space="preserve">      </w:t>
      </w:r>
    </w:p>
    <w:p>
      <w:pPr>
        <w:tabs>
          <w:tab w:val="left" w:pos="0"/>
          <w:tab w:val="left" w:pos="3165"/>
          <w:tab w:val="center" w:pos="4153"/>
        </w:tabs>
        <w:autoSpaceDE w:val="0"/>
        <w:autoSpaceDN w:val="0"/>
        <w:adjustRightInd w:val="0"/>
        <w:jc w:val="center"/>
        <w:rPr>
          <w:rFonts w:eastAsia="仿宋"/>
          <w:sz w:val="28"/>
          <w:szCs w:val="28"/>
        </w:rPr>
      </w:pPr>
      <w:r>
        <w:rPr>
          <w:rFonts w:eastAsia="仿宋"/>
          <w:sz w:val="28"/>
          <w:szCs w:val="28"/>
        </w:rPr>
        <w:t>竞争性谈判公告</w:t>
      </w:r>
      <w:bookmarkEnd w:id="1"/>
      <w:bookmarkEnd w:id="2"/>
    </w:p>
    <w:p>
      <w:pPr>
        <w:pBdr>
          <w:top w:val="single" w:color="auto" w:sz="4" w:space="1"/>
          <w:left w:val="single" w:color="auto" w:sz="4" w:space="4"/>
          <w:bottom w:val="single" w:color="auto" w:sz="4" w:space="1"/>
          <w:right w:val="single" w:color="auto" w:sz="4" w:space="4"/>
        </w:pBdr>
        <w:ind w:firstLine="480" w:firstLineChars="200"/>
        <w:rPr>
          <w:rFonts w:eastAsia="仿宋"/>
          <w:sz w:val="24"/>
          <w:szCs w:val="24"/>
        </w:rPr>
      </w:pPr>
      <w:r>
        <w:rPr>
          <w:rFonts w:eastAsia="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eastAsia="仿宋"/>
          <w:sz w:val="24"/>
          <w:szCs w:val="24"/>
        </w:rPr>
      </w:pPr>
      <w:r>
        <w:rPr>
          <w:rFonts w:hint="eastAsia" w:eastAsia="仿宋"/>
          <w:sz w:val="24"/>
          <w:szCs w:val="24"/>
          <w:u w:val="single"/>
          <w:lang w:eastAsia="zh-CN"/>
        </w:rPr>
        <w:t>新疆医科大学第一附属医院根管显微镜设备采购项目</w:t>
      </w:r>
      <w:r>
        <w:rPr>
          <w:rFonts w:eastAsia="仿宋"/>
          <w:sz w:val="24"/>
          <w:szCs w:val="24"/>
        </w:rPr>
        <w:t>招标项目的潜在</w:t>
      </w:r>
      <w:r>
        <w:rPr>
          <w:rFonts w:hint="eastAsia" w:eastAsia="仿宋"/>
          <w:sz w:val="24"/>
          <w:szCs w:val="24"/>
        </w:rPr>
        <w:t>供应商</w:t>
      </w:r>
      <w:r>
        <w:rPr>
          <w:rFonts w:eastAsia="仿宋"/>
          <w:sz w:val="24"/>
          <w:szCs w:val="24"/>
        </w:rPr>
        <w:t>应在</w:t>
      </w:r>
      <w:r>
        <w:rPr>
          <w:rFonts w:hint="default" w:ascii="Times New Roman" w:hAnsi="Times New Roman" w:eastAsia="仿宋" w:cs="Times New Roman"/>
          <w:bCs/>
          <w:color w:val="auto"/>
          <w:sz w:val="24"/>
          <w:szCs w:val="24"/>
          <w:u w:val="single"/>
        </w:rPr>
        <w:t>（新疆政府采购云平台https://www.zcygov.cn/</w:t>
      </w:r>
      <w:r>
        <w:rPr>
          <w:rFonts w:hint="default" w:ascii="Times New Roman" w:hAnsi="Times New Roman" w:eastAsia="仿宋" w:cs="Times New Roman"/>
          <w:bCs/>
          <w:color w:val="auto"/>
          <w:sz w:val="24"/>
          <w:szCs w:val="24"/>
        </w:rPr>
        <w:t>获取招标文件</w:t>
      </w:r>
      <w:r>
        <w:rPr>
          <w:rFonts w:eastAsia="仿宋"/>
          <w:sz w:val="24"/>
          <w:szCs w:val="24"/>
        </w:rPr>
        <w:t>，并</w:t>
      </w:r>
      <w:r>
        <w:rPr>
          <w:rFonts w:eastAsia="仿宋"/>
          <w:sz w:val="24"/>
          <w:szCs w:val="24"/>
          <w:highlight w:val="none"/>
        </w:rPr>
        <w:t>于</w:t>
      </w:r>
      <w:r>
        <w:rPr>
          <w:rFonts w:hint="eastAsia" w:eastAsia="仿宋"/>
          <w:sz w:val="24"/>
          <w:szCs w:val="24"/>
          <w:highlight w:val="none"/>
          <w:u w:val="single"/>
          <w:lang w:eastAsia="zh-CN"/>
        </w:rPr>
        <w:t>202</w:t>
      </w:r>
      <w:r>
        <w:rPr>
          <w:rFonts w:hint="eastAsia" w:eastAsia="仿宋"/>
          <w:sz w:val="24"/>
          <w:szCs w:val="24"/>
          <w:highlight w:val="none"/>
          <w:u w:val="single"/>
          <w:lang w:val="en-US" w:eastAsia="zh-CN"/>
        </w:rPr>
        <w:t>3</w:t>
      </w:r>
      <w:r>
        <w:rPr>
          <w:rFonts w:hint="eastAsia" w:eastAsia="仿宋"/>
          <w:sz w:val="24"/>
          <w:szCs w:val="24"/>
          <w:highlight w:val="none"/>
          <w:u w:val="single"/>
          <w:lang w:eastAsia="zh-CN"/>
        </w:rPr>
        <w:t>年</w:t>
      </w:r>
      <w:r>
        <w:rPr>
          <w:rFonts w:hint="eastAsia" w:eastAsia="仿宋"/>
          <w:sz w:val="24"/>
          <w:szCs w:val="24"/>
          <w:highlight w:val="none"/>
          <w:u w:val="single"/>
          <w:lang w:val="en-US" w:eastAsia="zh-CN"/>
        </w:rPr>
        <w:t>06</w:t>
      </w:r>
      <w:r>
        <w:rPr>
          <w:rFonts w:hint="eastAsia" w:eastAsia="仿宋"/>
          <w:sz w:val="24"/>
          <w:szCs w:val="24"/>
          <w:highlight w:val="none"/>
          <w:u w:val="single"/>
          <w:lang w:eastAsia="zh-CN"/>
        </w:rPr>
        <w:t>月</w:t>
      </w:r>
      <w:r>
        <w:rPr>
          <w:rFonts w:hint="eastAsia" w:eastAsia="仿宋"/>
          <w:sz w:val="24"/>
          <w:szCs w:val="24"/>
          <w:highlight w:val="none"/>
          <w:u w:val="single"/>
          <w:lang w:val="en-US" w:eastAsia="zh-CN"/>
        </w:rPr>
        <w:t>20</w:t>
      </w:r>
      <w:r>
        <w:rPr>
          <w:rFonts w:hint="eastAsia" w:eastAsia="仿宋"/>
          <w:sz w:val="24"/>
          <w:szCs w:val="24"/>
          <w:highlight w:val="none"/>
          <w:u w:val="single"/>
          <w:lang w:eastAsia="zh-CN"/>
        </w:rPr>
        <w:t>日</w:t>
      </w:r>
      <w:r>
        <w:rPr>
          <w:rFonts w:hint="eastAsia" w:eastAsia="仿宋"/>
          <w:bCs/>
          <w:sz w:val="24"/>
          <w:szCs w:val="24"/>
          <w:highlight w:val="none"/>
          <w:u w:val="single"/>
          <w:lang w:val="en-US" w:eastAsia="zh-CN"/>
        </w:rPr>
        <w:t>10</w:t>
      </w:r>
      <w:r>
        <w:rPr>
          <w:rFonts w:eastAsia="仿宋"/>
          <w:bCs/>
          <w:sz w:val="24"/>
          <w:szCs w:val="24"/>
          <w:highlight w:val="none"/>
          <w:u w:val="single"/>
        </w:rPr>
        <w:t>点</w:t>
      </w:r>
      <w:r>
        <w:rPr>
          <w:rFonts w:hint="eastAsia" w:eastAsia="仿宋"/>
          <w:bCs/>
          <w:sz w:val="24"/>
          <w:szCs w:val="24"/>
          <w:highlight w:val="none"/>
          <w:u w:val="single"/>
          <w:lang w:val="en-US" w:eastAsia="zh-CN"/>
        </w:rPr>
        <w:t>30</w:t>
      </w:r>
      <w:r>
        <w:rPr>
          <w:rFonts w:eastAsia="仿宋"/>
          <w:bCs/>
          <w:sz w:val="24"/>
          <w:szCs w:val="24"/>
          <w:highlight w:val="none"/>
          <w:u w:val="single"/>
        </w:rPr>
        <w:t>分（</w:t>
      </w:r>
      <w:r>
        <w:rPr>
          <w:rFonts w:eastAsia="仿宋"/>
          <w:bCs/>
          <w:sz w:val="24"/>
          <w:szCs w:val="24"/>
          <w:highlight w:val="none"/>
        </w:rPr>
        <w:t>北京时间）前递交投标文件</w:t>
      </w:r>
      <w:r>
        <w:rPr>
          <w:rFonts w:eastAsia="仿宋"/>
          <w:sz w:val="24"/>
          <w:szCs w:val="24"/>
          <w:highlight w:val="none"/>
        </w:rPr>
        <w:t>。</w:t>
      </w:r>
    </w:p>
    <w:p>
      <w:pPr>
        <w:keepNext/>
        <w:keepLines/>
        <w:rPr>
          <w:rFonts w:eastAsia="仿宋"/>
          <w:sz w:val="24"/>
          <w:szCs w:val="24"/>
        </w:rPr>
      </w:pPr>
      <w:bookmarkStart w:id="3" w:name="_Toc28359002"/>
      <w:bookmarkStart w:id="4" w:name="_Toc28359079"/>
      <w:bookmarkStart w:id="5" w:name="_Toc35393790"/>
      <w:bookmarkStart w:id="6" w:name="_Toc35393621"/>
      <w:bookmarkStart w:id="7" w:name="_Hlk24379207"/>
      <w:r>
        <w:rPr>
          <w:rFonts w:eastAsia="仿宋"/>
          <w:sz w:val="24"/>
          <w:szCs w:val="24"/>
        </w:rPr>
        <w:t>一、项目基本情况</w:t>
      </w:r>
      <w:bookmarkEnd w:id="3"/>
      <w:bookmarkEnd w:id="4"/>
      <w:bookmarkEnd w:id="5"/>
      <w:bookmarkEnd w:id="6"/>
    </w:p>
    <w:p>
      <w:pPr>
        <w:ind w:firstLine="420" w:firstLineChars="175"/>
        <w:rPr>
          <w:rFonts w:hint="eastAsia" w:eastAsia="仿宋"/>
          <w:sz w:val="24"/>
          <w:szCs w:val="24"/>
          <w:lang w:eastAsia="zh-CN"/>
        </w:rPr>
      </w:pPr>
      <w:r>
        <w:rPr>
          <w:rFonts w:eastAsia="仿宋"/>
          <w:sz w:val="24"/>
          <w:szCs w:val="24"/>
        </w:rPr>
        <w:t>项目编号：</w:t>
      </w:r>
      <w:r>
        <w:rPr>
          <w:rFonts w:hint="eastAsia" w:eastAsia="仿宋"/>
          <w:sz w:val="24"/>
          <w:szCs w:val="24"/>
          <w:lang w:eastAsia="zh-CN"/>
        </w:rPr>
        <w:t>2023-XBZC-01095</w:t>
      </w:r>
    </w:p>
    <w:p>
      <w:pPr>
        <w:ind w:firstLine="420" w:firstLineChars="175"/>
        <w:rPr>
          <w:rFonts w:hint="eastAsia" w:eastAsia="仿宋"/>
          <w:sz w:val="24"/>
          <w:szCs w:val="24"/>
          <w:lang w:eastAsia="zh-CN"/>
        </w:rPr>
      </w:pPr>
      <w:r>
        <w:rPr>
          <w:rFonts w:eastAsia="仿宋"/>
          <w:sz w:val="24"/>
          <w:szCs w:val="24"/>
        </w:rPr>
        <w:t>项目名称：</w:t>
      </w:r>
      <w:bookmarkEnd w:id="7"/>
      <w:r>
        <w:rPr>
          <w:rFonts w:hint="eastAsia" w:eastAsia="仿宋"/>
          <w:sz w:val="24"/>
          <w:szCs w:val="24"/>
          <w:lang w:eastAsia="zh-CN"/>
        </w:rPr>
        <w:t>新疆医科大学第一附属医院根管显微镜设备采购项目</w:t>
      </w:r>
    </w:p>
    <w:p>
      <w:pPr>
        <w:ind w:firstLine="420" w:firstLineChars="175"/>
        <w:rPr>
          <w:rFonts w:hint="default" w:ascii="Times New Roman" w:hAnsi="Times New Roman" w:eastAsia="仿宋" w:cs="Times New Roman"/>
          <w:b w:val="0"/>
          <w:bCs/>
          <w:color w:val="auto"/>
          <w:sz w:val="24"/>
          <w:szCs w:val="24"/>
          <w:highlight w:val="none"/>
          <w:lang w:val="en-US" w:eastAsia="zh-CN"/>
        </w:rPr>
      </w:pPr>
      <w:r>
        <w:rPr>
          <w:rFonts w:eastAsia="仿宋"/>
          <w:sz w:val="24"/>
          <w:szCs w:val="24"/>
        </w:rPr>
        <w:t>采购需求：</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 xml:space="preserve">标项名称：根管显微镜 </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预算金额（元）：</w:t>
      </w:r>
      <w:r>
        <w:rPr>
          <w:rFonts w:hint="eastAsia" w:ascii="Times New Roman" w:hAnsi="Times New Roman" w:eastAsia="仿宋" w:cs="Times New Roman"/>
          <w:b w:val="0"/>
          <w:bCs/>
          <w:color w:val="auto"/>
          <w:sz w:val="24"/>
          <w:szCs w:val="24"/>
          <w:highlight w:val="none"/>
          <w:lang w:val="en-US" w:eastAsia="zh-CN"/>
        </w:rPr>
        <w:t>800000.00</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eastAsia" w:ascii="Times New Roman" w:hAnsi="Times New Roman" w:eastAsia="仿宋" w:cs="Times New Roman"/>
          <w:b w:val="0"/>
          <w:bCs/>
          <w:color w:val="auto"/>
          <w:sz w:val="24"/>
          <w:szCs w:val="24"/>
          <w:highlight w:val="none"/>
          <w:lang w:val="en-US" w:eastAsia="zh-CN"/>
        </w:rPr>
        <w:t>最高限价（元）：800000.00</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数量：</w:t>
      </w:r>
      <w:r>
        <w:rPr>
          <w:rFonts w:hint="eastAsia" w:eastAsia="仿宋" w:cs="Times New Roman"/>
          <w:b w:val="0"/>
          <w:bCs/>
          <w:color w:val="auto"/>
          <w:sz w:val="24"/>
          <w:szCs w:val="24"/>
          <w:highlight w:val="none"/>
          <w:lang w:val="en-US" w:eastAsia="zh-CN"/>
        </w:rPr>
        <w:t>2</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单位：</w:t>
      </w:r>
      <w:r>
        <w:rPr>
          <w:rFonts w:hint="eastAsia" w:eastAsia="仿宋" w:cs="Times New Roman"/>
          <w:b w:val="0"/>
          <w:bCs/>
          <w:color w:val="auto"/>
          <w:sz w:val="24"/>
          <w:szCs w:val="24"/>
          <w:highlight w:val="none"/>
          <w:lang w:val="en-US" w:eastAsia="zh-CN"/>
        </w:rPr>
        <w:t>台</w:t>
      </w:r>
    </w:p>
    <w:p>
      <w:pPr>
        <w:pageBreakBefore w:val="0"/>
        <w:kinsoku/>
        <w:wordWrap/>
        <w:overflowPunct/>
        <w:topLinePunct w:val="0"/>
        <w:bidi w:val="0"/>
        <w:spacing w:line="240" w:lineRule="auto"/>
        <w:ind w:left="0" w:leftChars="0" w:firstLine="420" w:firstLineChars="175"/>
        <w:outlineLvl w:val="9"/>
        <w:rPr>
          <w:rFonts w:hint="default" w:ascii="Times New Roman" w:hAnsi="Times New Roman" w:eastAsia="仿宋" w:cs="Times New Roman"/>
          <w:b w:val="0"/>
          <w:bCs/>
          <w:i w:val="0"/>
          <w:caps w:val="0"/>
          <w:color w:val="auto"/>
          <w:spacing w:val="0"/>
          <w:sz w:val="24"/>
          <w:szCs w:val="24"/>
        </w:rPr>
      </w:pPr>
      <w:r>
        <w:rPr>
          <w:rFonts w:hint="default" w:ascii="Times New Roman" w:hAnsi="Times New Roman" w:eastAsia="仿宋" w:cs="Times New Roman"/>
          <w:b w:val="0"/>
          <w:bCs/>
          <w:i w:val="0"/>
          <w:caps w:val="0"/>
          <w:color w:val="auto"/>
          <w:spacing w:val="0"/>
          <w:sz w:val="24"/>
          <w:szCs w:val="24"/>
        </w:rPr>
        <w:t>简要规格描述或项目基本概况介绍、用途：</w:t>
      </w:r>
      <w:r>
        <w:rPr>
          <w:rFonts w:hint="default" w:ascii="Times New Roman" w:hAnsi="Times New Roman" w:eastAsia="仿宋" w:cs="Times New Roman"/>
          <w:b w:val="0"/>
          <w:bCs/>
          <w:color w:val="auto"/>
          <w:sz w:val="24"/>
          <w:szCs w:val="24"/>
          <w:highlight w:val="none"/>
          <w:lang w:val="en-US" w:eastAsia="zh-CN"/>
        </w:rPr>
        <w:t>显微镜采用进口光学玻璃，全金属变角双目镜筒，全金属变角双目镜筒，电动连续变倍系统等，</w:t>
      </w:r>
      <w:r>
        <w:rPr>
          <w:rFonts w:hint="default" w:ascii="Times New Roman" w:hAnsi="Times New Roman" w:eastAsia="仿宋" w:cs="Times New Roman"/>
          <w:b w:val="0"/>
          <w:bCs/>
          <w:i w:val="0"/>
          <w:caps w:val="0"/>
          <w:color w:val="auto"/>
          <w:spacing w:val="0"/>
          <w:sz w:val="24"/>
          <w:szCs w:val="24"/>
          <w:lang w:val="en-US" w:eastAsia="zh-CN"/>
        </w:rPr>
        <w:t>详见招标文件</w:t>
      </w:r>
    </w:p>
    <w:p>
      <w:pPr>
        <w:pStyle w:val="2"/>
        <w:ind w:left="0" w:leftChars="0" w:firstLine="48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备注</w:t>
      </w:r>
      <w:r>
        <w:rPr>
          <w:rFonts w:hint="eastAsia" w:eastAsia="仿宋" w:cs="Times New Roman"/>
          <w:b w:val="0"/>
          <w:bCs/>
          <w:color w:val="auto"/>
          <w:sz w:val="24"/>
          <w:szCs w:val="24"/>
          <w:highlight w:val="none"/>
          <w:lang w:val="en-US" w:eastAsia="zh-CN"/>
        </w:rPr>
        <w:t>：</w:t>
      </w:r>
      <w:r>
        <w:rPr>
          <w:rFonts w:hint="default" w:ascii="Times New Roman" w:hAnsi="Times New Roman" w:eastAsia="仿宋" w:cs="Times New Roman"/>
          <w:b w:val="0"/>
          <w:bCs/>
          <w:color w:val="auto"/>
          <w:sz w:val="24"/>
          <w:szCs w:val="24"/>
          <w:highlight w:val="none"/>
          <w:lang w:val="en-US" w:eastAsia="zh-CN"/>
        </w:rPr>
        <w:t>最高限价</w:t>
      </w:r>
      <w:r>
        <w:rPr>
          <w:rFonts w:hint="eastAsia" w:eastAsia="仿宋" w:cs="Times New Roman"/>
          <w:b w:val="0"/>
          <w:bCs/>
          <w:color w:val="auto"/>
          <w:sz w:val="24"/>
          <w:szCs w:val="24"/>
          <w:highlight w:val="none"/>
          <w:lang w:val="en-US" w:eastAsia="zh-CN"/>
        </w:rPr>
        <w:t>单价</w:t>
      </w:r>
      <w:r>
        <w:rPr>
          <w:rFonts w:hint="default" w:ascii="Times New Roman" w:hAnsi="Times New Roman" w:eastAsia="仿宋" w:cs="Times New Roman"/>
          <w:b w:val="0"/>
          <w:bCs/>
          <w:color w:val="auto"/>
          <w:sz w:val="24"/>
          <w:szCs w:val="24"/>
          <w:highlight w:val="none"/>
          <w:lang w:val="en-US" w:eastAsia="zh-CN"/>
        </w:rPr>
        <w:t>（元）：</w:t>
      </w:r>
      <w:r>
        <w:rPr>
          <w:rFonts w:hint="eastAsia" w:eastAsia="仿宋" w:cs="Times New Roman"/>
          <w:b w:val="0"/>
          <w:bCs/>
          <w:color w:val="auto"/>
          <w:sz w:val="24"/>
          <w:szCs w:val="24"/>
          <w:highlight w:val="none"/>
          <w:lang w:val="en-US" w:eastAsia="zh-CN"/>
        </w:rPr>
        <w:t>400000.00/台</w:t>
      </w:r>
    </w:p>
    <w:p>
      <w:pPr>
        <w:pStyle w:val="2"/>
        <w:ind w:left="0" w:leftChars="0" w:firstLine="480" w:firstLineChars="200"/>
        <w:rPr>
          <w:rFonts w:hint="eastAsia"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合同履约期限</w:t>
      </w:r>
      <w:r>
        <w:rPr>
          <w:rFonts w:hint="eastAsia" w:eastAsia="仿宋" w:cs="Times New Roman"/>
          <w:b w:val="0"/>
          <w:bCs/>
          <w:color w:val="auto"/>
          <w:sz w:val="24"/>
          <w:szCs w:val="24"/>
          <w:highlight w:val="none"/>
          <w:lang w:val="en-US" w:eastAsia="zh-CN"/>
        </w:rPr>
        <w:t>：</w:t>
      </w:r>
      <w:r>
        <w:rPr>
          <w:rFonts w:hint="eastAsia" w:ascii="Times New Roman" w:hAnsi="Times New Roman" w:eastAsia="仿宋" w:cs="Times New Roman"/>
          <w:b w:val="0"/>
          <w:bCs/>
          <w:color w:val="auto"/>
          <w:sz w:val="24"/>
          <w:szCs w:val="24"/>
          <w:highlight w:val="none"/>
          <w:lang w:val="en-US" w:eastAsia="zh-CN"/>
        </w:rPr>
        <w:t>详见招标文件</w:t>
      </w:r>
    </w:p>
    <w:p>
      <w:pPr>
        <w:pStyle w:val="2"/>
        <w:ind w:left="0" w:leftChars="0" w:firstLine="48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本项目（</w:t>
      </w:r>
      <w:r>
        <w:rPr>
          <w:rFonts w:hint="eastAsia" w:ascii="Times New Roman" w:hAnsi="Times New Roman" w:eastAsia="仿宋" w:cs="Times New Roman"/>
          <w:b w:val="0"/>
          <w:bCs/>
          <w:color w:val="auto"/>
          <w:sz w:val="24"/>
          <w:szCs w:val="24"/>
          <w:highlight w:val="none"/>
          <w:lang w:val="en-US" w:eastAsia="zh-CN"/>
        </w:rPr>
        <w:t>否）接受联合体投标。</w:t>
      </w:r>
    </w:p>
    <w:p>
      <w:pPr>
        <w:pageBreakBefore w:val="0"/>
        <w:kinsoku/>
        <w:wordWrap/>
        <w:overflowPunct/>
        <w:topLinePunct w:val="0"/>
        <w:bidi w:val="0"/>
        <w:spacing w:line="240" w:lineRule="auto"/>
        <w:outlineLvl w:val="9"/>
        <w:rPr>
          <w:rFonts w:hint="default" w:ascii="Times New Roman" w:hAnsi="Times New Roman" w:eastAsia="仿宋" w:cs="Times New Roman"/>
          <w:b w:val="0"/>
          <w:bCs/>
          <w:color w:val="auto"/>
          <w:sz w:val="24"/>
          <w:szCs w:val="24"/>
          <w:highlight w:val="none"/>
        </w:rPr>
      </w:pPr>
      <w:bookmarkStart w:id="8" w:name="_Toc28359080"/>
      <w:bookmarkStart w:id="9" w:name="_Toc28359003"/>
      <w:bookmarkStart w:id="10" w:name="_Toc35393622"/>
      <w:bookmarkStart w:id="11" w:name="_Toc35393791"/>
      <w:r>
        <w:rPr>
          <w:rFonts w:hint="default" w:ascii="Times New Roman" w:hAnsi="Times New Roman" w:eastAsia="仿宋" w:cs="Times New Roman"/>
          <w:b w:val="0"/>
          <w:bCs/>
          <w:color w:val="auto"/>
          <w:sz w:val="24"/>
          <w:szCs w:val="24"/>
          <w:highlight w:val="none"/>
        </w:rPr>
        <w:t>二、申请人的资格要求：</w:t>
      </w:r>
      <w:bookmarkEnd w:id="8"/>
      <w:bookmarkEnd w:id="9"/>
      <w:bookmarkEnd w:id="10"/>
      <w:bookmarkEnd w:id="11"/>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rPr>
        <w:t>1.满足《中华人民共和国政府采购法》第二十二条规定</w:t>
      </w:r>
      <w:r>
        <w:rPr>
          <w:rFonts w:hint="default" w:ascii="Times New Roman" w:hAnsi="Times New Roman" w:eastAsia="仿宋" w:cs="Times New Roman"/>
          <w:b w:val="0"/>
          <w:bCs/>
          <w:color w:val="auto"/>
          <w:sz w:val="24"/>
          <w:szCs w:val="24"/>
          <w:highlight w:val="none"/>
          <w:lang w:eastAsia="zh-CN"/>
        </w:rPr>
        <w:t>：</w:t>
      </w:r>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rPr>
      </w:pPr>
      <w:bookmarkStart w:id="12" w:name="_Toc28359004"/>
      <w:bookmarkStart w:id="13" w:name="_Toc28359081"/>
      <w:r>
        <w:rPr>
          <w:rFonts w:hint="default" w:ascii="Times New Roman" w:hAnsi="Times New Roman" w:eastAsia="仿宋" w:cs="Times New Roman"/>
          <w:b w:val="0"/>
          <w:bCs/>
          <w:color w:val="auto"/>
          <w:sz w:val="24"/>
          <w:szCs w:val="24"/>
          <w:highlight w:val="none"/>
        </w:rPr>
        <w:t>2.落实政府采购政策需满足的资格要求：本项目为专门面向中小企业（含中型、小型、微型企业）采购项目，根据《政府采购促进中小企业发展管理办法》（财库[2020]46号）的规定，不再执行价格评审优惠的扶持政策。</w:t>
      </w:r>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3.本项目的特定资格要求：</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1）提供有效的《营业执照》或公证书；</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2）近一年财务审计报告或银行提供的资信证明（新公司从成立之日起算）；</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3）具有履行合同所必需的设备和专业技术能力；</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4）近一年任意月纳税证明（新公司从成立之日起算），近一年任意月具有人员明细的社保证明（新公司从成立之日起算）；</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5）参加政府采购活动前三年内，在经营活动中没有重大违法记录；</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6）</w:t>
      </w:r>
      <w:r>
        <w:rPr>
          <w:rFonts w:hint="eastAsia" w:eastAsia="仿宋" w:cs="Times New Roman"/>
          <w:b w:val="0"/>
          <w:bCs/>
          <w:color w:val="auto"/>
          <w:sz w:val="24"/>
          <w:szCs w:val="24"/>
          <w:highlight w:val="none"/>
          <w:lang w:val="en-US" w:eastAsia="zh-CN"/>
        </w:rPr>
        <w:tab/>
      </w:r>
      <w:r>
        <w:rPr>
          <w:rFonts w:hint="default" w:ascii="Times New Roman" w:hAnsi="Times New Roman" w:eastAsia="仿宋" w:cs="Times New Roman"/>
          <w:b w:val="0"/>
          <w:bCs/>
          <w:color w:val="auto"/>
          <w:sz w:val="24"/>
          <w:szCs w:val="24"/>
          <w:highlight w:val="none"/>
          <w:lang w:val="en-US" w:eastAsia="zh-CN"/>
        </w:rPr>
        <w:t>7）法定代表人参加投标的，应提供法定代表人居民身份证；法定代表人授权人参加投标的，应提供法定代表人授权书及被授权人居民身份证；</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8）未被列入“信用中国”网站中的“失信被执行名单”、“重大税收违法案件当事人名单”其中之一，未被列入“中国政府采购网”中的“政府采购严重违法失信行为记录名单”；</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9)单位负责人为同一人或者存在直接控股、管理关系的不同投标人，不得参加同一合同项下的政府采购活动。</w:t>
      </w:r>
    </w:p>
    <w:p>
      <w:pPr>
        <w:pStyle w:val="9"/>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lang w:val="en-US" w:eastAsia="zh-CN"/>
        </w:rPr>
        <w:t>10）本项目不允许联合体投标。</w:t>
      </w:r>
    </w:p>
    <w:bookmarkEnd w:id="12"/>
    <w:bookmarkEnd w:id="13"/>
    <w:p>
      <w:pPr>
        <w:ind w:left="239" w:leftChars="114" w:firstLine="376" w:firstLineChars="157"/>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三、时间：</w:t>
      </w:r>
      <w:r>
        <w:rPr>
          <w:rFonts w:hint="eastAsia" w:ascii="Times New Roman" w:hAnsi="Times New Roman" w:eastAsia="仿宋" w:cs="Times New Roman"/>
          <w:bCs/>
          <w:color w:val="auto"/>
          <w:sz w:val="24"/>
          <w:szCs w:val="24"/>
          <w:u w:val="single"/>
          <w:lang w:eastAsia="zh-CN"/>
        </w:rPr>
        <w:t>2023年</w:t>
      </w:r>
      <w:r>
        <w:rPr>
          <w:rFonts w:hint="eastAsia" w:eastAsia="仿宋" w:cs="Times New Roman"/>
          <w:bCs/>
          <w:color w:val="auto"/>
          <w:sz w:val="24"/>
          <w:szCs w:val="24"/>
          <w:u w:val="single"/>
          <w:lang w:val="en-US" w:eastAsia="zh-CN"/>
        </w:rPr>
        <w:t>6</w:t>
      </w:r>
      <w:r>
        <w:rPr>
          <w:rFonts w:hint="eastAsia" w:ascii="Times New Roman" w:hAnsi="Times New Roman" w:eastAsia="仿宋" w:cs="Times New Roman"/>
          <w:bCs/>
          <w:color w:val="auto"/>
          <w:sz w:val="24"/>
          <w:szCs w:val="24"/>
          <w:u w:val="single"/>
          <w:lang w:eastAsia="zh-CN"/>
        </w:rPr>
        <w:t>月</w:t>
      </w:r>
      <w:r>
        <w:rPr>
          <w:rFonts w:hint="eastAsia" w:eastAsia="仿宋" w:cs="Times New Roman"/>
          <w:bCs/>
          <w:color w:val="auto"/>
          <w:sz w:val="24"/>
          <w:szCs w:val="24"/>
          <w:u w:val="single"/>
          <w:lang w:val="en-US" w:eastAsia="zh-CN"/>
        </w:rPr>
        <w:t>14</w:t>
      </w:r>
      <w:r>
        <w:rPr>
          <w:rFonts w:hint="eastAsia" w:ascii="Times New Roman" w:hAnsi="Times New Roman" w:eastAsia="仿宋" w:cs="Times New Roman"/>
          <w:bCs/>
          <w:color w:val="auto"/>
          <w:sz w:val="24"/>
          <w:szCs w:val="24"/>
          <w:u w:val="single"/>
          <w:lang w:eastAsia="zh-CN"/>
        </w:rPr>
        <w:t>日</w:t>
      </w:r>
      <w:r>
        <w:rPr>
          <w:rFonts w:hint="default" w:ascii="Times New Roman" w:hAnsi="Times New Roman" w:eastAsia="仿宋" w:cs="Times New Roman"/>
          <w:bCs/>
          <w:color w:val="auto"/>
          <w:sz w:val="24"/>
          <w:szCs w:val="24"/>
        </w:rPr>
        <w:t>至</w:t>
      </w:r>
      <w:r>
        <w:rPr>
          <w:rFonts w:hint="default" w:ascii="Times New Roman" w:hAnsi="Times New Roman" w:eastAsia="仿宋" w:cs="Times New Roman"/>
          <w:bCs/>
          <w:color w:val="auto"/>
          <w:sz w:val="24"/>
          <w:szCs w:val="24"/>
          <w:u w:val="single"/>
        </w:rPr>
        <w:t>202</w:t>
      </w:r>
      <w:r>
        <w:rPr>
          <w:rFonts w:hint="eastAsia" w:ascii="Times New Roman" w:hAnsi="Times New Roman" w:eastAsia="仿宋" w:cs="Times New Roman"/>
          <w:bCs/>
          <w:color w:val="auto"/>
          <w:sz w:val="24"/>
          <w:szCs w:val="24"/>
          <w:u w:val="single"/>
          <w:lang w:val="en-US" w:eastAsia="zh-CN"/>
        </w:rPr>
        <w:t>3</w:t>
      </w:r>
      <w:r>
        <w:rPr>
          <w:rFonts w:hint="default" w:ascii="Times New Roman" w:hAnsi="Times New Roman" w:eastAsia="仿宋" w:cs="Times New Roman"/>
          <w:bCs/>
          <w:color w:val="auto"/>
          <w:sz w:val="24"/>
          <w:szCs w:val="24"/>
          <w:u w:val="single"/>
        </w:rPr>
        <w:t>年</w:t>
      </w:r>
      <w:r>
        <w:rPr>
          <w:rFonts w:hint="eastAsia" w:eastAsia="仿宋" w:cs="Times New Roman"/>
          <w:bCs/>
          <w:color w:val="auto"/>
          <w:sz w:val="24"/>
          <w:szCs w:val="24"/>
          <w:u w:val="single"/>
          <w:lang w:val="en-US" w:eastAsia="zh-CN"/>
        </w:rPr>
        <w:t>6</w:t>
      </w:r>
      <w:r>
        <w:rPr>
          <w:rFonts w:hint="default" w:ascii="Times New Roman" w:hAnsi="Times New Roman" w:eastAsia="仿宋" w:cs="Times New Roman"/>
          <w:bCs/>
          <w:color w:val="auto"/>
          <w:sz w:val="24"/>
          <w:szCs w:val="24"/>
          <w:u w:val="single"/>
        </w:rPr>
        <w:t>月</w:t>
      </w:r>
      <w:r>
        <w:rPr>
          <w:rFonts w:hint="eastAsia" w:eastAsia="仿宋" w:cs="Times New Roman"/>
          <w:bCs/>
          <w:color w:val="auto"/>
          <w:sz w:val="24"/>
          <w:szCs w:val="24"/>
          <w:u w:val="single"/>
          <w:lang w:val="en-US" w:eastAsia="zh-CN"/>
        </w:rPr>
        <w:t>19</w:t>
      </w:r>
      <w:r>
        <w:rPr>
          <w:rFonts w:hint="default" w:ascii="Times New Roman" w:hAnsi="Times New Roman" w:eastAsia="仿宋" w:cs="Times New Roman"/>
          <w:bCs/>
          <w:color w:val="auto"/>
          <w:sz w:val="24"/>
          <w:szCs w:val="24"/>
          <w:u w:val="single"/>
        </w:rPr>
        <w:t>日</w:t>
      </w:r>
      <w:r>
        <w:rPr>
          <w:rFonts w:hint="default" w:ascii="Times New Roman" w:hAnsi="Times New Roman" w:eastAsia="仿宋" w:cs="Times New Roman"/>
          <w:bCs/>
          <w:color w:val="auto"/>
          <w:sz w:val="24"/>
          <w:szCs w:val="24"/>
        </w:rPr>
        <w:t>，每天上午</w:t>
      </w:r>
      <w:r>
        <w:rPr>
          <w:rFonts w:hint="eastAsia" w:ascii="Times New Roman" w:hAnsi="Times New Roman" w:eastAsia="仿宋" w:cs="Times New Roman"/>
          <w:bCs/>
          <w:color w:val="auto"/>
          <w:sz w:val="24"/>
          <w:szCs w:val="24"/>
          <w:u w:val="single"/>
          <w:lang w:val="en-US" w:eastAsia="zh-CN"/>
        </w:rPr>
        <w:t>10</w:t>
      </w:r>
      <w:r>
        <w:rPr>
          <w:rFonts w:hint="default" w:ascii="Times New Roman" w:hAnsi="Times New Roman" w:eastAsia="仿宋" w:cs="Times New Roman"/>
          <w:bCs/>
          <w:color w:val="auto"/>
          <w:sz w:val="24"/>
          <w:szCs w:val="24"/>
          <w:u w:val="single"/>
        </w:rPr>
        <w:t>:</w:t>
      </w:r>
      <w:r>
        <w:rPr>
          <w:rFonts w:hint="eastAsia" w:ascii="Times New Roman" w:hAnsi="Times New Roman" w:eastAsia="仿宋" w:cs="Times New Roman"/>
          <w:bCs/>
          <w:color w:val="auto"/>
          <w:sz w:val="24"/>
          <w:szCs w:val="24"/>
          <w:u w:val="single"/>
          <w:lang w:val="en-US" w:eastAsia="zh-CN"/>
        </w:rPr>
        <w:t>00</w:t>
      </w:r>
      <w:r>
        <w:rPr>
          <w:rFonts w:hint="default" w:ascii="Times New Roman" w:hAnsi="Times New Roman" w:eastAsia="仿宋" w:cs="Times New Roman"/>
          <w:bCs/>
          <w:color w:val="auto"/>
          <w:sz w:val="24"/>
          <w:szCs w:val="24"/>
        </w:rPr>
        <w:t>至</w:t>
      </w:r>
      <w:r>
        <w:rPr>
          <w:rFonts w:hint="eastAsia" w:ascii="Times New Roman" w:hAnsi="Times New Roman" w:eastAsia="仿宋" w:cs="Times New Roman"/>
          <w:bCs/>
          <w:color w:val="auto"/>
          <w:sz w:val="24"/>
          <w:szCs w:val="24"/>
          <w:u w:val="single"/>
          <w:lang w:val="en-US" w:eastAsia="zh-CN"/>
        </w:rPr>
        <w:t>13</w:t>
      </w:r>
      <w:r>
        <w:rPr>
          <w:rFonts w:hint="default" w:ascii="Times New Roman" w:hAnsi="Times New Roman" w:eastAsia="仿宋" w:cs="Times New Roman"/>
          <w:bCs/>
          <w:color w:val="auto"/>
          <w:sz w:val="24"/>
          <w:szCs w:val="24"/>
          <w:u w:val="single"/>
        </w:rPr>
        <w:t>:</w:t>
      </w:r>
      <w:r>
        <w:rPr>
          <w:rFonts w:hint="eastAsia" w:ascii="Times New Roman" w:hAnsi="Times New Roman" w:eastAsia="仿宋" w:cs="Times New Roman"/>
          <w:bCs/>
          <w:color w:val="auto"/>
          <w:sz w:val="24"/>
          <w:szCs w:val="24"/>
          <w:u w:val="single"/>
          <w:lang w:val="en-US" w:eastAsia="zh-CN"/>
        </w:rPr>
        <w:t>30</w:t>
      </w:r>
      <w:r>
        <w:rPr>
          <w:rFonts w:hint="default" w:ascii="Times New Roman" w:hAnsi="Times New Roman" w:eastAsia="仿宋" w:cs="Times New Roman"/>
          <w:bCs/>
          <w:color w:val="auto"/>
          <w:sz w:val="24"/>
          <w:szCs w:val="24"/>
        </w:rPr>
        <w:t>，下午</w:t>
      </w:r>
      <w:r>
        <w:rPr>
          <w:rFonts w:hint="eastAsia" w:ascii="Times New Roman" w:hAnsi="Times New Roman" w:eastAsia="仿宋" w:cs="Times New Roman"/>
          <w:bCs/>
          <w:color w:val="auto"/>
          <w:sz w:val="24"/>
          <w:szCs w:val="24"/>
          <w:u w:val="single"/>
          <w:lang w:val="en-US" w:eastAsia="zh-CN"/>
        </w:rPr>
        <w:t>15</w:t>
      </w:r>
      <w:r>
        <w:rPr>
          <w:rFonts w:hint="default" w:ascii="Times New Roman" w:hAnsi="Times New Roman" w:eastAsia="仿宋" w:cs="Times New Roman"/>
          <w:bCs/>
          <w:color w:val="auto"/>
          <w:sz w:val="24"/>
          <w:szCs w:val="24"/>
          <w:u w:val="single"/>
        </w:rPr>
        <w:t>:</w:t>
      </w:r>
      <w:r>
        <w:rPr>
          <w:rFonts w:hint="eastAsia" w:ascii="Times New Roman" w:hAnsi="Times New Roman" w:eastAsia="仿宋" w:cs="Times New Roman"/>
          <w:bCs/>
          <w:color w:val="auto"/>
          <w:sz w:val="24"/>
          <w:szCs w:val="24"/>
          <w:u w:val="single"/>
          <w:lang w:val="en-US" w:eastAsia="zh-CN"/>
        </w:rPr>
        <w:t>30</w:t>
      </w:r>
      <w:r>
        <w:rPr>
          <w:rFonts w:hint="default" w:ascii="Times New Roman" w:hAnsi="Times New Roman" w:eastAsia="仿宋" w:cs="Times New Roman"/>
          <w:bCs/>
          <w:color w:val="auto"/>
          <w:sz w:val="24"/>
          <w:szCs w:val="24"/>
        </w:rPr>
        <w:t>至</w:t>
      </w:r>
      <w:r>
        <w:rPr>
          <w:rFonts w:hint="eastAsia" w:ascii="Times New Roman" w:hAnsi="Times New Roman" w:eastAsia="仿宋" w:cs="Times New Roman"/>
          <w:bCs/>
          <w:color w:val="auto"/>
          <w:sz w:val="24"/>
          <w:szCs w:val="24"/>
          <w:u w:val="single"/>
          <w:lang w:val="en-US" w:eastAsia="zh-CN"/>
        </w:rPr>
        <w:t>18</w:t>
      </w:r>
      <w:r>
        <w:rPr>
          <w:rFonts w:hint="default" w:ascii="Times New Roman" w:hAnsi="Times New Roman" w:eastAsia="仿宋" w:cs="Times New Roman"/>
          <w:bCs/>
          <w:color w:val="auto"/>
          <w:sz w:val="24"/>
          <w:szCs w:val="24"/>
          <w:u w:val="single"/>
        </w:rPr>
        <w:t>:</w:t>
      </w:r>
      <w:r>
        <w:rPr>
          <w:rFonts w:hint="eastAsia" w:ascii="Times New Roman" w:hAnsi="Times New Roman" w:eastAsia="仿宋" w:cs="Times New Roman"/>
          <w:bCs/>
          <w:color w:val="auto"/>
          <w:sz w:val="24"/>
          <w:szCs w:val="24"/>
          <w:u w:val="single"/>
          <w:lang w:val="en-US" w:eastAsia="zh-CN"/>
        </w:rPr>
        <w:t>30</w:t>
      </w:r>
      <w:r>
        <w:rPr>
          <w:rFonts w:hint="default" w:ascii="Times New Roman" w:hAnsi="Times New Roman" w:eastAsia="仿宋" w:cs="Times New Roman"/>
          <w:bCs/>
          <w:color w:val="auto"/>
          <w:sz w:val="24"/>
          <w:szCs w:val="24"/>
        </w:rPr>
        <w:t>（北京时间，法定节假日除外）</w:t>
      </w:r>
    </w:p>
    <w:p>
      <w:pPr>
        <w:pageBreakBefore w:val="0"/>
        <w:kinsoku/>
        <w:wordWrap/>
        <w:overflowPunct/>
        <w:topLinePunct w:val="0"/>
        <w:bidi w:val="0"/>
        <w:spacing w:line="240" w:lineRule="auto"/>
        <w:ind w:firstLine="54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lang w:eastAsia="zh-CN"/>
        </w:rPr>
        <w:t>地点：新疆政府采购云平台https://www.zcygov.cn/</w:t>
      </w:r>
    </w:p>
    <w:p>
      <w:pPr>
        <w:pageBreakBefore w:val="0"/>
        <w:kinsoku/>
        <w:wordWrap/>
        <w:overflowPunct/>
        <w:topLinePunct w:val="0"/>
        <w:bidi w:val="0"/>
        <w:spacing w:line="240" w:lineRule="auto"/>
        <w:ind w:firstLine="54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lang w:eastAsia="zh-CN"/>
        </w:rPr>
        <w:t>方式：供应商登录新疆政府采购云平台https://www.zcygov.cn/在线申请获取采购文件（进入“项目采购”应用，在获取采购文件菜单中选择项目，申请获取采购文件）。</w:t>
      </w:r>
    </w:p>
    <w:p>
      <w:pPr>
        <w:pageBreakBefore w:val="0"/>
        <w:kinsoku/>
        <w:wordWrap/>
        <w:overflowPunct/>
        <w:topLinePunct w:val="0"/>
        <w:bidi w:val="0"/>
        <w:spacing w:line="240" w:lineRule="auto"/>
        <w:ind w:firstLine="540"/>
        <w:outlineLvl w:val="9"/>
        <w:rPr>
          <w:rFonts w:hint="eastAsia" w:ascii="仿宋" w:hAnsi="仿宋" w:eastAsia="仿宋" w:cs="仿宋"/>
          <w:bCs/>
          <w:sz w:val="24"/>
          <w:szCs w:val="24"/>
        </w:rPr>
      </w:pPr>
      <w:r>
        <w:rPr>
          <w:rFonts w:hint="default" w:ascii="Times New Roman" w:hAnsi="Times New Roman" w:eastAsia="仿宋" w:cs="Times New Roman"/>
          <w:b w:val="0"/>
          <w:bCs/>
          <w:color w:val="auto"/>
          <w:sz w:val="24"/>
          <w:szCs w:val="24"/>
          <w:highlight w:val="none"/>
        </w:rPr>
        <w:t>售价（元）：</w:t>
      </w:r>
      <w:r>
        <w:rPr>
          <w:rFonts w:hint="eastAsia" w:ascii="Times New Roman" w:hAnsi="Times New Roman" w:eastAsia="仿宋" w:cs="Times New Roman"/>
          <w:b w:val="0"/>
          <w:bCs/>
          <w:color w:val="auto"/>
          <w:sz w:val="24"/>
          <w:szCs w:val="24"/>
          <w:highlight w:val="none"/>
          <w:lang w:val="en-US" w:eastAsia="zh-CN"/>
        </w:rPr>
        <w:t>0</w:t>
      </w:r>
      <w:r>
        <w:rPr>
          <w:rFonts w:hint="default" w:ascii="Times New Roman" w:hAnsi="Times New Roman" w:eastAsia="仿宋" w:cs="Times New Roman"/>
          <w:b w:val="0"/>
          <w:bCs/>
          <w:color w:val="auto"/>
          <w:sz w:val="24"/>
          <w:szCs w:val="24"/>
          <w:highlight w:val="none"/>
        </w:rPr>
        <w:t>.00</w:t>
      </w:r>
    </w:p>
    <w:p>
      <w:pPr>
        <w:keepNext/>
        <w:keepLines/>
        <w:rPr>
          <w:rFonts w:hint="eastAsia" w:ascii="仿宋" w:hAnsi="仿宋" w:eastAsia="仿宋" w:cs="仿宋"/>
          <w:bCs/>
          <w:sz w:val="24"/>
          <w:szCs w:val="24"/>
        </w:rPr>
      </w:pPr>
      <w:bookmarkStart w:id="14" w:name="_Toc28359005"/>
      <w:bookmarkStart w:id="15" w:name="_Toc28359082"/>
      <w:bookmarkStart w:id="16" w:name="_Toc35393793"/>
      <w:bookmarkStart w:id="17" w:name="_Toc35393624"/>
      <w:r>
        <w:rPr>
          <w:rFonts w:hint="eastAsia" w:ascii="仿宋" w:hAnsi="仿宋" w:eastAsia="仿宋" w:cs="仿宋"/>
          <w:bCs/>
          <w:sz w:val="24"/>
          <w:szCs w:val="24"/>
        </w:rPr>
        <w:t>四、提交投标文件</w:t>
      </w:r>
      <w:bookmarkEnd w:id="14"/>
      <w:bookmarkEnd w:id="15"/>
      <w:r>
        <w:rPr>
          <w:rFonts w:hint="eastAsia" w:ascii="仿宋" w:hAnsi="仿宋" w:eastAsia="仿宋" w:cs="仿宋"/>
          <w:bCs/>
          <w:sz w:val="24"/>
          <w:szCs w:val="24"/>
        </w:rPr>
        <w:t>截止时间、开标时间和地点</w:t>
      </w:r>
      <w:bookmarkEnd w:id="16"/>
      <w:bookmarkEnd w:id="17"/>
    </w:p>
    <w:p>
      <w:pPr>
        <w:pStyle w:val="27"/>
        <w:keepNext w:val="0"/>
        <w:keepLines w:val="0"/>
        <w:pageBreakBefore w:val="0"/>
        <w:widowControl/>
        <w:suppressLineNumbers w:val="0"/>
        <w:kinsoku/>
        <w:wordWrap/>
        <w:overflowPunct/>
        <w:topLinePunct w:val="0"/>
        <w:bidi w:val="0"/>
        <w:spacing w:before="75" w:beforeAutospacing="0" w:after="75" w:afterAutospacing="0"/>
        <w:ind w:left="0" w:right="0" w:firstLine="0"/>
        <w:outlineLvl w:val="9"/>
        <w:rPr>
          <w:rFonts w:hint="default" w:ascii="Times New Roman" w:hAnsi="Times New Roman" w:eastAsia="仿宋" w:cs="Times New Roman"/>
          <w:b w:val="0"/>
          <w:bCs/>
          <w:color w:val="auto"/>
          <w:kern w:val="2"/>
          <w:sz w:val="24"/>
          <w:szCs w:val="24"/>
          <w:highlight w:val="none"/>
          <w:lang w:val="en-US" w:eastAsia="zh-CN" w:bidi="ar-SA"/>
        </w:rPr>
      </w:pPr>
      <w:bookmarkStart w:id="18" w:name="_Toc28359084"/>
      <w:bookmarkStart w:id="19" w:name="_Toc28359007"/>
      <w:bookmarkStart w:id="20" w:name="_Toc35393625"/>
      <w:bookmarkStart w:id="21" w:name="_Toc35393794"/>
      <w:r>
        <w:rPr>
          <w:rFonts w:hint="default" w:ascii="Times New Roman" w:hAnsi="Times New Roman" w:eastAsia="仿宋" w:cs="Times New Roman"/>
          <w:b w:val="0"/>
          <w:bCs/>
          <w:color w:val="auto"/>
          <w:kern w:val="2"/>
          <w:sz w:val="24"/>
          <w:szCs w:val="24"/>
          <w:highlight w:val="none"/>
          <w:lang w:val="en-US" w:eastAsia="zh-CN" w:bidi="ar-SA"/>
        </w:rPr>
        <w:t xml:space="preserve">    截止时间：</w:t>
      </w:r>
      <w:r>
        <w:rPr>
          <w:rFonts w:hint="eastAsia" w:ascii="Times New Roman" w:hAnsi="Times New Roman" w:eastAsia="仿宋" w:cs="Times New Roman"/>
          <w:b w:val="0"/>
          <w:bCs/>
          <w:color w:val="auto"/>
          <w:kern w:val="2"/>
          <w:sz w:val="24"/>
          <w:szCs w:val="24"/>
          <w:highlight w:val="none"/>
          <w:lang w:val="en-US" w:eastAsia="zh-CN" w:bidi="ar-SA"/>
        </w:rPr>
        <w:t>2023年6月20日10点30分</w:t>
      </w:r>
      <w:r>
        <w:rPr>
          <w:rFonts w:hint="default" w:ascii="Times New Roman" w:hAnsi="Times New Roman" w:eastAsia="仿宋" w:cs="Times New Roman"/>
          <w:b w:val="0"/>
          <w:bCs/>
          <w:color w:val="auto"/>
          <w:kern w:val="2"/>
          <w:sz w:val="24"/>
          <w:szCs w:val="24"/>
          <w:highlight w:val="none"/>
          <w:lang w:val="en-US" w:eastAsia="zh-CN" w:bidi="ar-SA"/>
        </w:rPr>
        <w:t>（北京时间）</w:t>
      </w:r>
    </w:p>
    <w:p>
      <w:pPr>
        <w:keepNext/>
        <w:keepLines/>
        <w:ind w:firstLine="480"/>
        <w:rPr>
          <w:rFonts w:hint="eastAsia"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 w:val="0"/>
          <w:bCs/>
          <w:color w:val="auto"/>
          <w:kern w:val="2"/>
          <w:sz w:val="24"/>
          <w:szCs w:val="24"/>
          <w:highlight w:val="none"/>
          <w:lang w:val="en-US" w:eastAsia="zh-CN" w:bidi="ar-SA"/>
        </w:rPr>
        <w:t>地点：</w:t>
      </w:r>
      <w:r>
        <w:rPr>
          <w:rFonts w:hint="eastAsia" w:ascii="Times New Roman" w:hAnsi="Times New Roman" w:eastAsia="仿宋" w:cs="Times New Roman"/>
          <w:b w:val="0"/>
          <w:bCs/>
          <w:color w:val="auto"/>
          <w:kern w:val="2"/>
          <w:sz w:val="24"/>
          <w:szCs w:val="24"/>
          <w:highlight w:val="none"/>
          <w:lang w:val="en-US" w:eastAsia="zh-CN" w:bidi="ar-SA"/>
        </w:rPr>
        <w:t>政采云系统不见面开标（https://www.zcygov.cn/）网上开标</w:t>
      </w:r>
    </w:p>
    <w:p>
      <w:pPr>
        <w:keepNext/>
        <w:keepLines/>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五、公告期限</w:t>
      </w:r>
      <w:bookmarkEnd w:id="18"/>
      <w:bookmarkEnd w:id="19"/>
      <w:bookmarkEnd w:id="20"/>
      <w:bookmarkEnd w:id="21"/>
    </w:p>
    <w:p>
      <w:pPr>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自本公告发布之日起5个工作日。</w:t>
      </w:r>
    </w:p>
    <w:p>
      <w:pPr>
        <w:keepNext/>
        <w:keepLines/>
        <w:rPr>
          <w:rFonts w:hint="default" w:ascii="Times New Roman" w:hAnsi="Times New Roman" w:eastAsia="仿宋" w:cs="Times New Roman"/>
          <w:bCs/>
          <w:color w:val="auto"/>
          <w:sz w:val="24"/>
          <w:szCs w:val="24"/>
        </w:rPr>
      </w:pPr>
      <w:bookmarkStart w:id="22" w:name="_Toc35393795"/>
      <w:bookmarkStart w:id="23" w:name="_Toc35393626"/>
      <w:r>
        <w:rPr>
          <w:rFonts w:hint="default" w:ascii="Times New Roman" w:hAnsi="Times New Roman" w:eastAsia="仿宋" w:cs="Times New Roman"/>
          <w:bCs/>
          <w:color w:val="auto"/>
          <w:sz w:val="24"/>
          <w:szCs w:val="24"/>
        </w:rPr>
        <w:t>六、其他补充事宜</w:t>
      </w:r>
      <w:bookmarkEnd w:id="22"/>
      <w:bookmarkEnd w:id="23"/>
    </w:p>
    <w:p>
      <w:pPr>
        <w:rPr>
          <w:rFonts w:hint="eastAsia" w:ascii="Times New Roman" w:hAnsi="Times New Roman" w:eastAsia="仿宋" w:cs="Times New Roman"/>
          <w:bCs/>
          <w:color w:val="auto"/>
          <w:sz w:val="24"/>
          <w:lang w:val="en-US" w:eastAsia="zh-CN"/>
        </w:rPr>
      </w:pPr>
      <w:bookmarkStart w:id="24" w:name="_Toc35393627"/>
      <w:bookmarkStart w:id="25" w:name="_Toc35393796"/>
      <w:bookmarkStart w:id="26" w:name="_Toc28359008"/>
      <w:bookmarkStart w:id="27" w:name="_Toc28359085"/>
      <w:r>
        <w:rPr>
          <w:rFonts w:hint="eastAsia" w:ascii="Times New Roman" w:hAnsi="Times New Roman" w:eastAsia="仿宋" w:cs="Times New Roman"/>
          <w:bCs/>
          <w:color w:val="auto"/>
          <w:sz w:val="24"/>
          <w:lang w:val="en-US" w:eastAsia="zh-CN"/>
        </w:rPr>
        <w:t>无</w:t>
      </w:r>
    </w:p>
    <w:p>
      <w:pP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七、对本次招标提出询问，请按以下方式联系。</w:t>
      </w:r>
      <w:bookmarkEnd w:id="24"/>
      <w:bookmarkEnd w:id="25"/>
      <w:bookmarkEnd w:id="26"/>
      <w:bookmarkEnd w:id="27"/>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1.采购人信息</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名 称：新疆医科大学第一附属医院</w:t>
      </w:r>
    </w:p>
    <w:p>
      <w:pPr>
        <w:pStyle w:val="9"/>
        <w:ind w:firstLine="480"/>
        <w:rPr>
          <w:rFonts w:hint="eastAsia"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地 址：</w:t>
      </w:r>
      <w:r>
        <w:rPr>
          <w:rFonts w:hint="eastAsia" w:ascii="Times New Roman" w:hAnsi="Times New Roman" w:eastAsia="仿宋" w:cs="Times New Roman"/>
          <w:bCs/>
          <w:color w:val="auto"/>
          <w:sz w:val="24"/>
          <w:lang w:eastAsia="zh-CN"/>
        </w:rPr>
        <w:t>乌鲁木齐市鲤鱼山南路137号</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联系方式：0991-4362391</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2.采购代理机构信息</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名 称：新疆西北招标有限公司</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地 址：乌鲁木齐市沙依巴克区伊宁路江西大厦九楼</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联系方式：0991-5823555</w:t>
      </w:r>
    </w:p>
    <w:p>
      <w:pPr>
        <w:pStyle w:val="9"/>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3.项目联系方式</w:t>
      </w:r>
    </w:p>
    <w:p>
      <w:pPr>
        <w:pStyle w:val="9"/>
        <w:ind w:firstLine="480"/>
        <w:rPr>
          <w:rFonts w:hint="eastAsia"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项目联系人：</w:t>
      </w:r>
      <w:r>
        <w:rPr>
          <w:rFonts w:hint="eastAsia" w:ascii="Times New Roman" w:hAnsi="Times New Roman" w:eastAsia="仿宋" w:cs="Times New Roman"/>
          <w:bCs/>
          <w:color w:val="auto"/>
          <w:sz w:val="24"/>
          <w:lang w:eastAsia="zh-CN"/>
        </w:rPr>
        <w:t>刘俊凯</w:t>
      </w:r>
      <w:r>
        <w:rPr>
          <w:rFonts w:hint="default" w:ascii="Times New Roman" w:hAnsi="Times New Roman" w:eastAsia="仿宋" w:cs="Times New Roman"/>
          <w:bCs/>
          <w:color w:val="auto"/>
          <w:sz w:val="24"/>
        </w:rPr>
        <w:t>、</w:t>
      </w:r>
      <w:r>
        <w:rPr>
          <w:rFonts w:hint="eastAsia" w:ascii="Times New Roman" w:hAnsi="Times New Roman" w:eastAsia="仿宋" w:cs="Times New Roman"/>
          <w:bCs/>
          <w:color w:val="auto"/>
          <w:sz w:val="24"/>
          <w:lang w:eastAsia="zh-CN"/>
        </w:rPr>
        <w:t>郝鹏亮</w:t>
      </w:r>
    </w:p>
    <w:p>
      <w:pPr>
        <w:rPr>
          <w:rFonts w:hint="default" w:ascii="Times New Roman" w:hAnsi="Times New Roman" w:eastAsia="仿宋" w:cs="Times New Roman"/>
        </w:rPr>
      </w:pPr>
      <w:r>
        <w:rPr>
          <w:rFonts w:hint="default" w:ascii="Times New Roman" w:hAnsi="Times New Roman" w:eastAsia="仿宋" w:cs="Times New Roman"/>
          <w:bCs/>
          <w:color w:val="auto"/>
          <w:sz w:val="24"/>
        </w:rPr>
        <w:t>电 话：0991-5823555</w:t>
      </w:r>
    </w:p>
    <w:p>
      <w:pPr>
        <w:keepNext w:val="0"/>
        <w:keepLines w:val="0"/>
        <w:pageBreakBefore w:val="0"/>
        <w:widowControl w:val="0"/>
        <w:tabs>
          <w:tab w:val="left" w:pos="360"/>
        </w:tabs>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 w:cs="Times New Roman"/>
          <w:b w:val="0"/>
          <w:bCs/>
          <w:color w:val="auto"/>
          <w:sz w:val="32"/>
          <w:szCs w:val="32"/>
          <w:highlight w:val="none"/>
        </w:rPr>
        <w:sectPr>
          <w:footerReference r:id="rId7" w:type="default"/>
          <w:pgSz w:w="11905" w:h="16838"/>
          <w:pgMar w:top="720" w:right="1417" w:bottom="720" w:left="1417" w:header="283" w:footer="850" w:gutter="0"/>
          <w:pgNumType w:fmt="decimal"/>
          <w:cols w:space="720" w:num="1"/>
          <w:rtlGutter w:val="0"/>
          <w:docGrid w:type="lines" w:linePitch="416" w:charSpace="0"/>
        </w:sectPr>
      </w:pPr>
    </w:p>
    <w:p>
      <w:pPr>
        <w:pStyle w:val="3"/>
        <w:numPr>
          <w:ilvl w:val="0"/>
          <w:numId w:val="0"/>
        </w:numPr>
        <w:spacing w:line="160" w:lineRule="atLeast"/>
        <w:rPr>
          <w:rFonts w:ascii="Times New Roman" w:hAnsi="Times New Roman" w:eastAsia="仿宋"/>
        </w:rPr>
      </w:pPr>
      <w:bookmarkStart w:id="28" w:name="_Toc13320"/>
      <w:r>
        <w:rPr>
          <w:rFonts w:ascii="Times New Roman" w:hAnsi="Times New Roman" w:eastAsia="仿宋"/>
        </w:rPr>
        <w:t>第二部分  供应商须知</w:t>
      </w:r>
      <w:bookmarkEnd w:id="28"/>
    </w:p>
    <w:p>
      <w:pPr>
        <w:spacing w:after="100" w:afterAutospacing="1"/>
        <w:rPr>
          <w:rFonts w:eastAsia="仿宋"/>
          <w:sz w:val="24"/>
          <w:u w:val="single"/>
        </w:rPr>
      </w:pPr>
      <w:r>
        <w:rPr>
          <w:rFonts w:eastAsia="仿宋"/>
          <w:sz w:val="24"/>
          <w:u w:val="single"/>
        </w:rPr>
        <w:t>目    录</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说明</w:t>
      </w:r>
    </w:p>
    <w:p>
      <w:pPr>
        <w:pStyle w:val="16"/>
        <w:rPr>
          <w:rFonts w:ascii="Times New Roman" w:hAnsi="Times New Roman" w:eastAsia="仿宋"/>
          <w:sz w:val="24"/>
          <w:szCs w:val="24"/>
        </w:rPr>
      </w:pPr>
      <w:r>
        <w:rPr>
          <w:rFonts w:ascii="Times New Roman" w:hAnsi="Times New Roman" w:eastAsia="仿宋"/>
          <w:sz w:val="24"/>
          <w:szCs w:val="24"/>
        </w:rPr>
        <w:t>1.适用范围</w:t>
      </w:r>
    </w:p>
    <w:p>
      <w:pPr>
        <w:pStyle w:val="16"/>
        <w:rPr>
          <w:rFonts w:ascii="Times New Roman" w:hAnsi="Times New Roman" w:eastAsia="仿宋"/>
          <w:sz w:val="24"/>
          <w:szCs w:val="24"/>
        </w:rPr>
      </w:pPr>
      <w:r>
        <w:rPr>
          <w:rFonts w:ascii="Times New Roman" w:hAnsi="Times New Roman" w:eastAsia="仿宋"/>
          <w:sz w:val="24"/>
          <w:szCs w:val="24"/>
        </w:rPr>
        <w:t>2.定义</w:t>
      </w:r>
    </w:p>
    <w:p>
      <w:pPr>
        <w:pStyle w:val="16"/>
        <w:rPr>
          <w:rFonts w:ascii="Times New Roman" w:hAnsi="Times New Roman" w:eastAsia="仿宋"/>
          <w:sz w:val="24"/>
          <w:szCs w:val="24"/>
        </w:rPr>
      </w:pPr>
      <w:r>
        <w:rPr>
          <w:rFonts w:ascii="Times New Roman" w:hAnsi="Times New Roman" w:eastAsia="仿宋"/>
          <w:sz w:val="24"/>
          <w:szCs w:val="24"/>
        </w:rPr>
        <w:t>3.合格的供应商</w:t>
      </w:r>
    </w:p>
    <w:p>
      <w:pPr>
        <w:pStyle w:val="16"/>
        <w:rPr>
          <w:rFonts w:ascii="Times New Roman" w:hAnsi="Times New Roman" w:eastAsia="仿宋"/>
          <w:sz w:val="24"/>
          <w:szCs w:val="24"/>
        </w:rPr>
      </w:pPr>
      <w:r>
        <w:rPr>
          <w:rFonts w:ascii="Times New Roman" w:hAnsi="Times New Roman" w:eastAsia="仿宋"/>
          <w:sz w:val="24"/>
          <w:szCs w:val="24"/>
        </w:rPr>
        <w:t>4.供应商资格</w:t>
      </w:r>
    </w:p>
    <w:p>
      <w:pPr>
        <w:pStyle w:val="16"/>
        <w:rPr>
          <w:rFonts w:ascii="Times New Roman" w:hAnsi="Times New Roman" w:eastAsia="仿宋"/>
          <w:sz w:val="24"/>
          <w:szCs w:val="24"/>
        </w:rPr>
      </w:pPr>
      <w:r>
        <w:rPr>
          <w:rFonts w:ascii="Times New Roman" w:hAnsi="Times New Roman" w:eastAsia="仿宋"/>
          <w:sz w:val="24"/>
          <w:szCs w:val="24"/>
        </w:rPr>
        <w:t>5.谈判响应费用</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谈判文件</w:t>
      </w:r>
    </w:p>
    <w:p>
      <w:pPr>
        <w:pStyle w:val="16"/>
        <w:rPr>
          <w:rFonts w:ascii="Times New Roman" w:hAnsi="Times New Roman" w:eastAsia="仿宋"/>
          <w:sz w:val="24"/>
          <w:szCs w:val="24"/>
        </w:rPr>
      </w:pPr>
      <w:r>
        <w:rPr>
          <w:rFonts w:ascii="Times New Roman" w:hAnsi="Times New Roman" w:eastAsia="仿宋"/>
          <w:sz w:val="24"/>
          <w:szCs w:val="24"/>
        </w:rPr>
        <w:t>6.谈判文件构成</w:t>
      </w:r>
    </w:p>
    <w:p>
      <w:pPr>
        <w:pStyle w:val="16"/>
        <w:rPr>
          <w:rFonts w:ascii="Times New Roman" w:hAnsi="Times New Roman" w:eastAsia="仿宋"/>
          <w:sz w:val="24"/>
          <w:szCs w:val="24"/>
        </w:rPr>
      </w:pPr>
      <w:r>
        <w:rPr>
          <w:rFonts w:ascii="Times New Roman" w:hAnsi="Times New Roman" w:eastAsia="仿宋"/>
          <w:sz w:val="24"/>
          <w:szCs w:val="24"/>
        </w:rPr>
        <w:t>7.谈判文件澄清</w:t>
      </w:r>
    </w:p>
    <w:p>
      <w:pPr>
        <w:pStyle w:val="16"/>
        <w:rPr>
          <w:rFonts w:ascii="Times New Roman" w:hAnsi="Times New Roman" w:eastAsia="仿宋"/>
          <w:sz w:val="24"/>
          <w:szCs w:val="24"/>
        </w:rPr>
      </w:pPr>
      <w:r>
        <w:rPr>
          <w:rFonts w:ascii="Times New Roman" w:hAnsi="Times New Roman" w:eastAsia="仿宋"/>
          <w:sz w:val="24"/>
          <w:szCs w:val="24"/>
        </w:rPr>
        <w:t>8.谈判文件的修改</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谈判响应文件的编写</w:t>
      </w:r>
    </w:p>
    <w:p>
      <w:pPr>
        <w:pStyle w:val="16"/>
        <w:rPr>
          <w:rFonts w:ascii="Times New Roman" w:hAnsi="Times New Roman" w:eastAsia="仿宋"/>
          <w:sz w:val="24"/>
          <w:szCs w:val="24"/>
        </w:rPr>
      </w:pPr>
      <w:r>
        <w:rPr>
          <w:rFonts w:ascii="Times New Roman" w:hAnsi="Times New Roman" w:eastAsia="仿宋"/>
          <w:sz w:val="24"/>
          <w:szCs w:val="24"/>
        </w:rPr>
        <w:t>9.要求</w:t>
      </w:r>
    </w:p>
    <w:p>
      <w:pPr>
        <w:pStyle w:val="16"/>
        <w:rPr>
          <w:rFonts w:ascii="Times New Roman" w:hAnsi="Times New Roman" w:eastAsia="仿宋"/>
          <w:sz w:val="24"/>
          <w:szCs w:val="24"/>
        </w:rPr>
      </w:pPr>
      <w:r>
        <w:rPr>
          <w:rFonts w:ascii="Times New Roman" w:hAnsi="Times New Roman" w:eastAsia="仿宋"/>
          <w:sz w:val="24"/>
          <w:szCs w:val="24"/>
        </w:rPr>
        <w:t>10.谈判响应语言</w:t>
      </w:r>
    </w:p>
    <w:p>
      <w:pPr>
        <w:pStyle w:val="16"/>
        <w:rPr>
          <w:rFonts w:ascii="Times New Roman" w:hAnsi="Times New Roman" w:eastAsia="仿宋"/>
          <w:sz w:val="24"/>
          <w:szCs w:val="24"/>
        </w:rPr>
      </w:pPr>
      <w:r>
        <w:rPr>
          <w:rFonts w:ascii="Times New Roman" w:hAnsi="Times New Roman" w:eastAsia="仿宋"/>
          <w:sz w:val="24"/>
          <w:szCs w:val="24"/>
        </w:rPr>
        <w:t>11.谈判响应文件的构成</w:t>
      </w:r>
    </w:p>
    <w:p>
      <w:pPr>
        <w:pStyle w:val="16"/>
        <w:rPr>
          <w:rFonts w:ascii="Times New Roman" w:hAnsi="Times New Roman" w:eastAsia="仿宋"/>
          <w:sz w:val="24"/>
          <w:szCs w:val="24"/>
        </w:rPr>
      </w:pPr>
      <w:r>
        <w:rPr>
          <w:rFonts w:ascii="Times New Roman" w:hAnsi="Times New Roman" w:eastAsia="仿宋"/>
          <w:sz w:val="24"/>
          <w:szCs w:val="24"/>
        </w:rPr>
        <w:t>12.谈判响应文件格式</w:t>
      </w:r>
    </w:p>
    <w:p>
      <w:pPr>
        <w:pStyle w:val="16"/>
        <w:rPr>
          <w:rFonts w:ascii="Times New Roman" w:hAnsi="Times New Roman" w:eastAsia="仿宋"/>
          <w:sz w:val="24"/>
          <w:szCs w:val="24"/>
        </w:rPr>
      </w:pPr>
      <w:r>
        <w:rPr>
          <w:rFonts w:ascii="Times New Roman" w:hAnsi="Times New Roman" w:eastAsia="仿宋"/>
          <w:sz w:val="24"/>
          <w:szCs w:val="24"/>
        </w:rPr>
        <w:t>13.谈判响应报价</w:t>
      </w:r>
    </w:p>
    <w:p>
      <w:pPr>
        <w:pStyle w:val="16"/>
        <w:rPr>
          <w:rFonts w:ascii="Times New Roman" w:hAnsi="Times New Roman" w:eastAsia="仿宋"/>
          <w:sz w:val="24"/>
          <w:szCs w:val="24"/>
        </w:rPr>
      </w:pPr>
      <w:r>
        <w:rPr>
          <w:rFonts w:ascii="Times New Roman" w:hAnsi="Times New Roman" w:eastAsia="仿宋"/>
          <w:sz w:val="24"/>
          <w:szCs w:val="24"/>
        </w:rPr>
        <w:t>14.报价货币</w:t>
      </w:r>
    </w:p>
    <w:p>
      <w:pPr>
        <w:pStyle w:val="16"/>
        <w:rPr>
          <w:rFonts w:ascii="Times New Roman" w:hAnsi="Times New Roman" w:eastAsia="仿宋"/>
          <w:sz w:val="24"/>
          <w:szCs w:val="24"/>
        </w:rPr>
      </w:pPr>
      <w:r>
        <w:rPr>
          <w:rFonts w:ascii="Times New Roman" w:hAnsi="Times New Roman" w:eastAsia="仿宋"/>
          <w:sz w:val="24"/>
          <w:szCs w:val="24"/>
        </w:rPr>
        <w:t>15.供应商资格的证明文件</w:t>
      </w:r>
    </w:p>
    <w:p>
      <w:pPr>
        <w:pStyle w:val="16"/>
        <w:rPr>
          <w:rFonts w:ascii="Times New Roman" w:hAnsi="Times New Roman" w:eastAsia="仿宋"/>
          <w:sz w:val="24"/>
          <w:szCs w:val="24"/>
        </w:rPr>
      </w:pPr>
      <w:r>
        <w:rPr>
          <w:rFonts w:ascii="Times New Roman" w:hAnsi="Times New Roman" w:eastAsia="仿宋"/>
          <w:sz w:val="24"/>
          <w:szCs w:val="24"/>
        </w:rPr>
        <w:t>16.谈判响应货物符合谈判文件规定的技术响应文件</w:t>
      </w:r>
    </w:p>
    <w:p>
      <w:pPr>
        <w:pStyle w:val="16"/>
        <w:rPr>
          <w:rFonts w:ascii="Times New Roman" w:hAnsi="Times New Roman" w:eastAsia="仿宋"/>
          <w:sz w:val="24"/>
          <w:szCs w:val="24"/>
        </w:rPr>
      </w:pPr>
      <w:r>
        <w:rPr>
          <w:rFonts w:ascii="Times New Roman" w:hAnsi="Times New Roman" w:eastAsia="仿宋"/>
          <w:sz w:val="24"/>
          <w:szCs w:val="24"/>
        </w:rPr>
        <w:t>17.谈判响应有效期</w:t>
      </w:r>
    </w:p>
    <w:p>
      <w:pPr>
        <w:pStyle w:val="16"/>
        <w:rPr>
          <w:rFonts w:ascii="Times New Roman" w:hAnsi="Times New Roman" w:eastAsia="仿宋"/>
          <w:sz w:val="24"/>
          <w:szCs w:val="24"/>
        </w:rPr>
      </w:pPr>
      <w:r>
        <w:rPr>
          <w:rFonts w:ascii="Times New Roman" w:hAnsi="Times New Roman" w:eastAsia="仿宋"/>
          <w:sz w:val="24"/>
          <w:szCs w:val="24"/>
        </w:rPr>
        <w:t>18.谈判响应文件的书写要求</w:t>
      </w:r>
    </w:p>
    <w:p>
      <w:pPr>
        <w:pStyle w:val="16"/>
        <w:rPr>
          <w:rFonts w:ascii="Times New Roman" w:hAnsi="Times New Roman" w:eastAsia="仿宋"/>
          <w:sz w:val="24"/>
          <w:szCs w:val="24"/>
        </w:rPr>
      </w:pPr>
      <w:r>
        <w:rPr>
          <w:rFonts w:ascii="Times New Roman" w:hAnsi="Times New Roman" w:eastAsia="仿宋"/>
          <w:sz w:val="24"/>
          <w:szCs w:val="24"/>
        </w:rPr>
        <w:t>19.谈判响应保证金</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谈判响应文件的递交</w:t>
      </w:r>
    </w:p>
    <w:p>
      <w:pPr>
        <w:pStyle w:val="16"/>
        <w:rPr>
          <w:rFonts w:ascii="Times New Roman" w:hAnsi="Times New Roman" w:eastAsia="仿宋"/>
          <w:sz w:val="24"/>
          <w:szCs w:val="24"/>
        </w:rPr>
      </w:pPr>
      <w:r>
        <w:rPr>
          <w:rFonts w:ascii="Times New Roman" w:hAnsi="Times New Roman" w:eastAsia="仿宋"/>
          <w:sz w:val="24"/>
          <w:szCs w:val="24"/>
        </w:rPr>
        <w:t>20.谈判响应文件的密封与标记</w:t>
      </w:r>
    </w:p>
    <w:p>
      <w:pPr>
        <w:pStyle w:val="16"/>
        <w:rPr>
          <w:rFonts w:ascii="Times New Roman" w:hAnsi="Times New Roman" w:eastAsia="仿宋"/>
          <w:sz w:val="24"/>
          <w:szCs w:val="24"/>
        </w:rPr>
      </w:pPr>
      <w:r>
        <w:rPr>
          <w:rFonts w:ascii="Times New Roman" w:hAnsi="Times New Roman" w:eastAsia="仿宋"/>
          <w:sz w:val="24"/>
          <w:szCs w:val="24"/>
        </w:rPr>
        <w:t>21.谈判响应文件递交截止时间</w:t>
      </w:r>
    </w:p>
    <w:p>
      <w:pPr>
        <w:pStyle w:val="16"/>
        <w:rPr>
          <w:rFonts w:ascii="Times New Roman" w:hAnsi="Times New Roman" w:eastAsia="仿宋"/>
          <w:sz w:val="24"/>
          <w:szCs w:val="24"/>
        </w:rPr>
      </w:pPr>
      <w:r>
        <w:rPr>
          <w:rFonts w:ascii="Times New Roman" w:hAnsi="Times New Roman" w:eastAsia="仿宋"/>
          <w:sz w:val="24"/>
          <w:szCs w:val="24"/>
        </w:rPr>
        <w:t>22.谈判响应文件的修改和撤销</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谈判程序</w:t>
      </w:r>
    </w:p>
    <w:p>
      <w:pPr>
        <w:pStyle w:val="16"/>
        <w:rPr>
          <w:rFonts w:ascii="Times New Roman" w:hAnsi="Times New Roman" w:eastAsia="仿宋"/>
          <w:sz w:val="24"/>
          <w:szCs w:val="24"/>
        </w:rPr>
      </w:pPr>
      <w:r>
        <w:rPr>
          <w:rFonts w:ascii="Times New Roman" w:hAnsi="Times New Roman" w:eastAsia="仿宋"/>
          <w:sz w:val="24"/>
          <w:szCs w:val="24"/>
        </w:rPr>
        <w:t>21.谈判开始</w:t>
      </w:r>
    </w:p>
    <w:p>
      <w:pPr>
        <w:pStyle w:val="16"/>
        <w:rPr>
          <w:rFonts w:ascii="Times New Roman" w:hAnsi="Times New Roman" w:eastAsia="仿宋"/>
          <w:sz w:val="24"/>
          <w:szCs w:val="24"/>
        </w:rPr>
      </w:pPr>
      <w:r>
        <w:rPr>
          <w:rFonts w:ascii="Times New Roman" w:hAnsi="Times New Roman" w:eastAsia="仿宋"/>
          <w:sz w:val="24"/>
          <w:szCs w:val="24"/>
        </w:rPr>
        <w:t>22.谈判过程</w:t>
      </w:r>
    </w:p>
    <w:p>
      <w:pPr>
        <w:pStyle w:val="16"/>
        <w:rPr>
          <w:rFonts w:ascii="Times New Roman" w:hAnsi="Times New Roman" w:eastAsia="仿宋"/>
          <w:sz w:val="24"/>
          <w:szCs w:val="24"/>
        </w:rPr>
      </w:pPr>
      <w:r>
        <w:rPr>
          <w:rFonts w:ascii="Times New Roman" w:hAnsi="Times New Roman" w:eastAsia="仿宋"/>
          <w:sz w:val="24"/>
          <w:szCs w:val="24"/>
        </w:rPr>
        <w:t>23.谈判响应文件的澄清</w:t>
      </w:r>
    </w:p>
    <w:p>
      <w:pPr>
        <w:pStyle w:val="16"/>
        <w:rPr>
          <w:rFonts w:ascii="Times New Roman" w:hAnsi="Times New Roman" w:eastAsia="仿宋"/>
          <w:sz w:val="24"/>
          <w:szCs w:val="24"/>
        </w:rPr>
      </w:pPr>
      <w:r>
        <w:rPr>
          <w:rFonts w:ascii="Times New Roman" w:hAnsi="Times New Roman" w:eastAsia="仿宋"/>
          <w:sz w:val="24"/>
          <w:szCs w:val="24"/>
        </w:rPr>
        <w:t>24.对谈判响应文件的评审</w:t>
      </w:r>
    </w:p>
    <w:p>
      <w:pPr>
        <w:pStyle w:val="16"/>
        <w:rPr>
          <w:rFonts w:ascii="Times New Roman" w:hAnsi="Times New Roman" w:eastAsia="仿宋"/>
          <w:sz w:val="24"/>
          <w:szCs w:val="24"/>
        </w:rPr>
      </w:pPr>
      <w:r>
        <w:rPr>
          <w:rFonts w:ascii="Times New Roman" w:hAnsi="Times New Roman" w:eastAsia="仿宋"/>
          <w:sz w:val="24"/>
          <w:szCs w:val="24"/>
        </w:rPr>
        <w:t>25.谈判过程的保密性</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授予合同</w:t>
      </w:r>
    </w:p>
    <w:p>
      <w:pPr>
        <w:pStyle w:val="16"/>
        <w:rPr>
          <w:rFonts w:ascii="Times New Roman" w:hAnsi="Times New Roman" w:eastAsia="仿宋"/>
          <w:sz w:val="24"/>
          <w:szCs w:val="24"/>
        </w:rPr>
      </w:pPr>
      <w:r>
        <w:rPr>
          <w:rFonts w:ascii="Times New Roman" w:hAnsi="Times New Roman" w:eastAsia="仿宋"/>
          <w:sz w:val="24"/>
          <w:szCs w:val="24"/>
        </w:rPr>
        <w:t>26.合同授予标准</w:t>
      </w:r>
    </w:p>
    <w:p>
      <w:pPr>
        <w:pStyle w:val="16"/>
        <w:rPr>
          <w:rFonts w:ascii="Times New Roman" w:hAnsi="Times New Roman" w:eastAsia="仿宋"/>
          <w:sz w:val="24"/>
          <w:szCs w:val="24"/>
        </w:rPr>
      </w:pPr>
      <w:r>
        <w:rPr>
          <w:rFonts w:ascii="Times New Roman" w:hAnsi="Times New Roman" w:eastAsia="仿宋"/>
          <w:sz w:val="24"/>
          <w:szCs w:val="24"/>
        </w:rPr>
        <w:t>27.接受和拒绝任何或所有谈判响应的权力</w:t>
      </w:r>
    </w:p>
    <w:p>
      <w:pPr>
        <w:pStyle w:val="16"/>
        <w:rPr>
          <w:rFonts w:ascii="Times New Roman" w:hAnsi="Times New Roman" w:eastAsia="仿宋"/>
          <w:sz w:val="24"/>
          <w:szCs w:val="24"/>
        </w:rPr>
      </w:pPr>
      <w:r>
        <w:rPr>
          <w:rFonts w:ascii="Times New Roman" w:hAnsi="Times New Roman" w:eastAsia="仿宋"/>
          <w:sz w:val="24"/>
          <w:szCs w:val="24"/>
        </w:rPr>
        <w:t>28.成交通知书</w:t>
      </w:r>
    </w:p>
    <w:p>
      <w:pPr>
        <w:pStyle w:val="16"/>
        <w:rPr>
          <w:rFonts w:ascii="Times New Roman" w:hAnsi="Times New Roman" w:eastAsia="仿宋"/>
          <w:sz w:val="24"/>
          <w:szCs w:val="24"/>
        </w:rPr>
      </w:pPr>
      <w:r>
        <w:rPr>
          <w:rFonts w:ascii="Times New Roman" w:hAnsi="Times New Roman" w:eastAsia="仿宋"/>
          <w:sz w:val="24"/>
          <w:szCs w:val="24"/>
        </w:rPr>
        <w:t>29.签订合同</w:t>
      </w:r>
    </w:p>
    <w:p>
      <w:pPr>
        <w:pStyle w:val="16"/>
        <w:rPr>
          <w:rFonts w:ascii="Times New Roman" w:hAnsi="Times New Roman" w:eastAsia="仿宋"/>
          <w:sz w:val="24"/>
          <w:szCs w:val="24"/>
        </w:rPr>
      </w:pPr>
      <w:r>
        <w:rPr>
          <w:rFonts w:ascii="Times New Roman" w:hAnsi="Times New Roman" w:eastAsia="仿宋"/>
          <w:sz w:val="24"/>
          <w:szCs w:val="24"/>
        </w:rPr>
        <w:t>30.采购代理服务费</w:t>
      </w:r>
    </w:p>
    <w:p>
      <w:pPr>
        <w:pStyle w:val="5"/>
        <w:spacing w:before="0" w:after="100" w:afterAutospacing="1" w:line="240" w:lineRule="auto"/>
        <w:jc w:val="center"/>
        <w:rPr>
          <w:rFonts w:ascii="Times New Roman" w:hAnsi="Times New Roman" w:eastAsia="仿宋"/>
          <w:sz w:val="28"/>
          <w:szCs w:val="28"/>
        </w:rPr>
      </w:pPr>
      <w:r>
        <w:rPr>
          <w:rFonts w:ascii="Times New Roman" w:hAnsi="Times New Roman" w:eastAsia="仿宋"/>
          <w:sz w:val="28"/>
          <w:szCs w:val="28"/>
        </w:rPr>
        <w:br w:type="page"/>
      </w:r>
      <w:bookmarkStart w:id="29" w:name="_Toc12626"/>
      <w:r>
        <w:rPr>
          <w:rFonts w:ascii="Times New Roman" w:hAnsi="Times New Roman" w:eastAsia="仿宋"/>
          <w:sz w:val="28"/>
          <w:szCs w:val="28"/>
        </w:rPr>
        <w:t>供应商须知附表</w:t>
      </w:r>
      <w:bookmarkEnd w:id="29"/>
    </w:p>
    <w:tbl>
      <w:tblPr>
        <w:tblStyle w:val="31"/>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9" w:type="dxa"/>
            <w:vAlign w:val="center"/>
          </w:tcPr>
          <w:p>
            <w:pPr>
              <w:jc w:val="center"/>
              <w:rPr>
                <w:rFonts w:eastAsia="仿宋"/>
                <w:sz w:val="24"/>
                <w:szCs w:val="24"/>
              </w:rPr>
            </w:pPr>
            <w:r>
              <w:rPr>
                <w:rFonts w:eastAsia="仿宋"/>
                <w:sz w:val="24"/>
                <w:szCs w:val="24"/>
              </w:rPr>
              <w:t>序号</w:t>
            </w:r>
          </w:p>
        </w:tc>
        <w:tc>
          <w:tcPr>
            <w:tcW w:w="9200" w:type="dxa"/>
            <w:vAlign w:val="center"/>
          </w:tcPr>
          <w:p>
            <w:pPr>
              <w:jc w:val="center"/>
              <w:rPr>
                <w:rFonts w:eastAsia="仿宋"/>
                <w:sz w:val="24"/>
                <w:szCs w:val="24"/>
              </w:rPr>
            </w:pPr>
            <w:r>
              <w:rPr>
                <w:rFonts w:eastAsia="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9" w:type="dxa"/>
            <w:gridSpan w:val="2"/>
            <w:vAlign w:val="center"/>
          </w:tcPr>
          <w:p>
            <w:pPr>
              <w:jc w:val="center"/>
              <w:rPr>
                <w:rFonts w:eastAsia="仿宋"/>
                <w:b/>
                <w:sz w:val="24"/>
                <w:szCs w:val="24"/>
              </w:rPr>
            </w:pPr>
            <w:r>
              <w:rPr>
                <w:rFonts w:eastAsia="仿宋"/>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eastAsia="仿宋"/>
                <w:sz w:val="24"/>
                <w:szCs w:val="24"/>
              </w:rPr>
              <w:t>1</w:t>
            </w:r>
          </w:p>
        </w:tc>
        <w:tc>
          <w:tcPr>
            <w:tcW w:w="9200" w:type="dxa"/>
            <w:vAlign w:val="center"/>
          </w:tcPr>
          <w:p>
            <w:pPr>
              <w:rPr>
                <w:rFonts w:hint="eastAsia" w:eastAsia="仿宋"/>
                <w:sz w:val="24"/>
                <w:szCs w:val="24"/>
                <w:lang w:eastAsia="zh-CN"/>
              </w:rPr>
            </w:pPr>
            <w:r>
              <w:rPr>
                <w:rFonts w:hint="eastAsia" w:eastAsia="仿宋"/>
                <w:sz w:val="24"/>
                <w:szCs w:val="24"/>
              </w:rPr>
              <w:t>项目名称：</w:t>
            </w:r>
            <w:r>
              <w:rPr>
                <w:rFonts w:hint="eastAsia" w:eastAsia="仿宋"/>
                <w:sz w:val="24"/>
                <w:szCs w:val="24"/>
                <w:lang w:eastAsia="zh-CN"/>
              </w:rPr>
              <w:t>新疆医科大学第一附属医院根管显微镜设备采购项目</w:t>
            </w:r>
          </w:p>
          <w:p>
            <w:pPr>
              <w:rPr>
                <w:rFonts w:hint="eastAsia" w:eastAsia="仿宋"/>
                <w:sz w:val="24"/>
                <w:szCs w:val="24"/>
                <w:lang w:eastAsia="zh-CN"/>
              </w:rPr>
            </w:pPr>
            <w:r>
              <w:rPr>
                <w:rFonts w:eastAsia="仿宋"/>
                <w:sz w:val="24"/>
                <w:szCs w:val="24"/>
              </w:rPr>
              <w:t>项目编号：</w:t>
            </w:r>
            <w:r>
              <w:rPr>
                <w:rFonts w:hint="eastAsia" w:eastAsia="仿宋"/>
                <w:sz w:val="24"/>
                <w:szCs w:val="24"/>
                <w:lang w:eastAsia="zh-CN"/>
              </w:rPr>
              <w:t>2023-XBZC-01095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eastAsia="仿宋"/>
                <w:sz w:val="24"/>
                <w:szCs w:val="24"/>
              </w:rPr>
              <w:t>2</w:t>
            </w:r>
          </w:p>
        </w:tc>
        <w:tc>
          <w:tcPr>
            <w:tcW w:w="9200" w:type="dxa"/>
            <w:vAlign w:val="center"/>
          </w:tcPr>
          <w:p>
            <w:pPr>
              <w:rPr>
                <w:rFonts w:eastAsia="仿宋"/>
                <w:sz w:val="24"/>
                <w:szCs w:val="24"/>
              </w:rPr>
            </w:pPr>
            <w:r>
              <w:rPr>
                <w:rFonts w:eastAsia="仿宋"/>
                <w:sz w:val="24"/>
                <w:szCs w:val="24"/>
              </w:rPr>
              <w:t>项目委托方：</w:t>
            </w:r>
            <w:r>
              <w:rPr>
                <w:rFonts w:hint="eastAsia" w:eastAsia="仿宋"/>
                <w:sz w:val="24"/>
                <w:szCs w:val="24"/>
              </w:rPr>
              <w:t>新疆医科大学第一附属医院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eastAsia="仿宋"/>
                <w:sz w:val="24"/>
                <w:szCs w:val="24"/>
              </w:rPr>
              <w:t>3</w:t>
            </w:r>
          </w:p>
        </w:tc>
        <w:tc>
          <w:tcPr>
            <w:tcW w:w="9200" w:type="dxa"/>
            <w:vAlign w:val="center"/>
          </w:tcPr>
          <w:p>
            <w:pPr>
              <w:rPr>
                <w:rFonts w:eastAsia="仿宋"/>
                <w:b/>
                <w:spacing w:val="8"/>
                <w:sz w:val="24"/>
                <w:szCs w:val="24"/>
              </w:rPr>
            </w:pPr>
            <w:r>
              <w:rPr>
                <w:rFonts w:eastAsia="仿宋"/>
                <w:spacing w:val="8"/>
                <w:sz w:val="24"/>
                <w:szCs w:val="24"/>
              </w:rPr>
              <w:t>采购代理机构名称：新疆西北招标有限公司</w:t>
            </w:r>
          </w:p>
          <w:p>
            <w:pPr>
              <w:rPr>
                <w:rFonts w:eastAsia="仿宋"/>
                <w:spacing w:val="8"/>
                <w:sz w:val="24"/>
                <w:szCs w:val="24"/>
              </w:rPr>
            </w:pPr>
            <w:r>
              <w:rPr>
                <w:rFonts w:eastAsia="仿宋"/>
                <w:spacing w:val="8"/>
                <w:sz w:val="24"/>
                <w:szCs w:val="24"/>
              </w:rPr>
              <w:t>单位地址：乌鲁木齐市沙依巴克区伊宁路江西大厦九楼</w:t>
            </w:r>
          </w:p>
          <w:p>
            <w:pPr>
              <w:rPr>
                <w:rFonts w:eastAsia="仿宋"/>
                <w:spacing w:val="8"/>
                <w:sz w:val="24"/>
                <w:szCs w:val="24"/>
              </w:rPr>
            </w:pPr>
            <w:r>
              <w:rPr>
                <w:rFonts w:eastAsia="仿宋"/>
                <w:spacing w:val="8"/>
                <w:sz w:val="24"/>
                <w:szCs w:val="24"/>
              </w:rPr>
              <w:t>邮编：830000</w:t>
            </w:r>
          </w:p>
          <w:p>
            <w:pPr>
              <w:rPr>
                <w:rFonts w:eastAsia="仿宋"/>
                <w:spacing w:val="8"/>
                <w:sz w:val="24"/>
                <w:szCs w:val="24"/>
              </w:rPr>
            </w:pPr>
            <w:r>
              <w:rPr>
                <w:rFonts w:eastAsia="仿宋"/>
                <w:spacing w:val="8"/>
                <w:sz w:val="24"/>
                <w:szCs w:val="24"/>
              </w:rPr>
              <w:t>电话：0991-5823555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eastAsia="仿宋"/>
                <w:sz w:val="24"/>
                <w:szCs w:val="24"/>
              </w:rPr>
              <w:t>4</w:t>
            </w:r>
          </w:p>
        </w:tc>
        <w:tc>
          <w:tcPr>
            <w:tcW w:w="9200" w:type="dxa"/>
            <w:vAlign w:val="center"/>
          </w:tcPr>
          <w:p>
            <w:pPr>
              <w:rPr>
                <w:rFonts w:hint="default" w:ascii="Times New Roman" w:hAnsi="Times New Roman" w:eastAsia="仿宋" w:cs="Times New Roman"/>
                <w:bCs/>
                <w:color w:val="auto"/>
                <w:sz w:val="24"/>
                <w:szCs w:val="24"/>
              </w:rPr>
            </w:pPr>
            <w:r>
              <w:rPr>
                <w:rFonts w:eastAsia="仿宋"/>
                <w:sz w:val="24"/>
                <w:szCs w:val="24"/>
              </w:rPr>
              <w:t>谈判响应保证金：</w:t>
            </w:r>
            <w:r>
              <w:rPr>
                <w:rFonts w:hint="eastAsia" w:ascii="Times New Roman" w:hAnsi="Times New Roman" w:eastAsia="仿宋" w:cs="Times New Roman"/>
                <w:bCs/>
                <w:color w:val="auto"/>
                <w:sz w:val="24"/>
                <w:szCs w:val="24"/>
                <w:lang w:val="en-US" w:eastAsia="zh-CN"/>
              </w:rPr>
              <w:t>预算金额</w:t>
            </w:r>
            <w:r>
              <w:rPr>
                <w:rFonts w:hint="default" w:ascii="Times New Roman" w:hAnsi="Times New Roman" w:eastAsia="仿宋" w:cs="Times New Roman"/>
                <w:bCs/>
                <w:color w:val="auto"/>
                <w:sz w:val="24"/>
                <w:szCs w:val="24"/>
              </w:rPr>
              <w:t>1%（按标项缴纳）</w:t>
            </w:r>
          </w:p>
          <w:p>
            <w:pP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投标保证金形式：电汇，从投标人基本账户转入新疆西北招标有限公司账上。</w:t>
            </w:r>
          </w:p>
          <w:p>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帐户名称：</w:t>
            </w:r>
            <w:r>
              <w:rPr>
                <w:rFonts w:hint="default" w:ascii="Times New Roman" w:hAnsi="Times New Roman" w:eastAsia="仿宋" w:cs="Times New Roman"/>
                <w:bCs/>
                <w:color w:val="auto"/>
                <w:sz w:val="24"/>
                <w:u w:val="single"/>
              </w:rPr>
              <w:t>新疆西北招标有限公司</w:t>
            </w:r>
          </w:p>
          <w:p>
            <w:pPr>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帐号：</w:t>
            </w:r>
            <w:r>
              <w:rPr>
                <w:rFonts w:hint="default" w:ascii="Times New Roman" w:hAnsi="Times New Roman" w:eastAsia="仿宋" w:cs="Times New Roman"/>
                <w:bCs/>
                <w:color w:val="auto"/>
                <w:sz w:val="24"/>
                <w:u w:val="single"/>
              </w:rPr>
              <w:t>107638779707</w:t>
            </w:r>
          </w:p>
          <w:p>
            <w:pPr>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开户银行：</w:t>
            </w:r>
            <w:r>
              <w:rPr>
                <w:rFonts w:hint="default" w:ascii="Times New Roman" w:hAnsi="Times New Roman" w:eastAsia="仿宋" w:cs="Times New Roman"/>
                <w:bCs/>
                <w:color w:val="auto"/>
                <w:sz w:val="24"/>
                <w:u w:val="single"/>
              </w:rPr>
              <w:t>中国银行乌鲁木齐市奇台路支行</w:t>
            </w:r>
          </w:p>
          <w:p>
            <w:pPr>
              <w:wordWrap w:val="0"/>
              <w:jc w:val="lef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投标保证金有效期应当与投标有效期一致。</w:t>
            </w:r>
          </w:p>
          <w:p>
            <w:pPr>
              <w:pStyle w:val="130"/>
              <w:spacing w:line="360" w:lineRule="auto"/>
              <w:jc w:val="left"/>
              <w:rPr>
                <w:rFonts w:hint="eastAsia" w:ascii="Times New Roman" w:hAnsi="Times New Roman" w:eastAsia="仿宋" w:cs="Times New Roman"/>
                <w:bCs/>
                <w:color w:val="auto"/>
                <w:kern w:val="2"/>
                <w:sz w:val="24"/>
                <w:szCs w:val="24"/>
                <w:lang w:val="en-US" w:eastAsia="zh-CN" w:bidi="ar-SA"/>
              </w:rPr>
            </w:pPr>
            <w:r>
              <w:rPr>
                <w:rFonts w:hint="default" w:ascii="Times New Roman" w:hAnsi="Times New Roman" w:eastAsia="仿宋" w:cs="Times New Roman"/>
                <w:bCs/>
                <w:color w:val="auto"/>
                <w:kern w:val="2"/>
                <w:sz w:val="24"/>
                <w:szCs w:val="24"/>
                <w:lang w:val="en-US" w:eastAsia="zh-CN" w:bidi="ar-SA"/>
              </w:rPr>
              <w:t>并将汇款证明发送至邮箱：</w:t>
            </w:r>
            <w:r>
              <w:rPr>
                <w:rFonts w:hint="eastAsia" w:ascii="Times New Roman" w:hAnsi="Times New Roman" w:eastAsia="仿宋" w:cs="Times New Roman"/>
                <w:bCs/>
                <w:color w:val="auto"/>
                <w:kern w:val="2"/>
                <w:sz w:val="24"/>
                <w:szCs w:val="24"/>
                <w:lang w:val="en-US" w:eastAsia="zh-CN" w:bidi="ar-SA"/>
              </w:rPr>
              <w:t>384313781</w:t>
            </w:r>
            <w:r>
              <w:rPr>
                <w:rFonts w:hint="default" w:ascii="Times New Roman" w:hAnsi="Times New Roman" w:eastAsia="仿宋" w:cs="Times New Roman"/>
                <w:bCs/>
                <w:color w:val="auto"/>
                <w:kern w:val="2"/>
                <w:sz w:val="24"/>
                <w:szCs w:val="24"/>
                <w:lang w:val="en-US" w:eastAsia="zh-CN" w:bidi="ar-SA"/>
              </w:rPr>
              <w:t>@qq.com</w:t>
            </w:r>
            <w:r>
              <w:rPr>
                <w:rFonts w:hint="eastAsia" w:ascii="Times New Roman" w:hAnsi="Times New Roman" w:eastAsia="仿宋" w:cs="Times New Roman"/>
                <w:bCs/>
                <w:color w:val="auto"/>
                <w:kern w:val="2"/>
                <w:sz w:val="24"/>
                <w:szCs w:val="24"/>
                <w:lang w:val="en-US" w:eastAsia="zh-CN" w:bidi="ar-SA"/>
              </w:rPr>
              <w:t xml:space="preserve">                                   备注：投标人必须在首次响应文件递交截止时间前完成保证金缴纳工作。协商保证金的提交以新疆西北招标有限公司保证金账户到账时间为准，投标人需自行评估因异地、跨行、公休日等因素造成的投标保证金到账延迟风险，并承担相应责任。</w:t>
            </w:r>
          </w:p>
          <w:p>
            <w:pPr>
              <w:pStyle w:val="20"/>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Times New Roman" w:hAnsi="Times New Roman" w:eastAsia="仿宋" w:cs="Times New Roman"/>
                <w:bCs/>
                <w:color w:val="auto"/>
                <w:kern w:val="2"/>
                <w:sz w:val="24"/>
                <w:szCs w:val="24"/>
                <w:lang w:val="en-US" w:eastAsia="zh-CN" w:bidi="ar-SA"/>
              </w:rPr>
            </w:pPr>
            <w:r>
              <w:rPr>
                <w:rFonts w:hint="eastAsia" w:ascii="Times New Roman" w:hAnsi="Times New Roman" w:eastAsia="仿宋" w:cs="Times New Roman"/>
                <w:bCs/>
                <w:color w:val="auto"/>
                <w:kern w:val="2"/>
                <w:sz w:val="24"/>
                <w:szCs w:val="24"/>
                <w:lang w:val="en-US" w:eastAsia="zh-CN" w:bidi="ar-SA"/>
              </w:rPr>
              <w:t>以电汇或银行转账形式缴纳保证金的供应商注意事项：</w:t>
            </w:r>
          </w:p>
          <w:p>
            <w:pPr>
              <w:rPr>
                <w:rFonts w:eastAsia="仿宋"/>
              </w:rPr>
            </w:pPr>
            <w:r>
              <w:rPr>
                <w:rFonts w:hint="eastAsia" w:ascii="Times New Roman" w:hAnsi="Times New Roman" w:eastAsia="仿宋" w:cs="Times New Roman"/>
                <w:bCs/>
                <w:color w:val="auto"/>
                <w:kern w:val="2"/>
                <w:sz w:val="24"/>
                <w:szCs w:val="24"/>
                <w:lang w:val="en-US" w:eastAsia="zh-CN" w:bidi="ar-SA"/>
              </w:rPr>
              <w:t>在汇款附言（或银行摘要）中，标明项目编号、包号（如分包）。每个项目须按照分包分别提交投标保证金，如：“2023-XBZC-xxxxx第几包”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eastAsia="仿宋"/>
                <w:sz w:val="24"/>
                <w:szCs w:val="24"/>
              </w:rPr>
              <w:t>5</w:t>
            </w:r>
          </w:p>
        </w:tc>
        <w:tc>
          <w:tcPr>
            <w:tcW w:w="9200" w:type="dxa"/>
            <w:vAlign w:val="center"/>
          </w:tcPr>
          <w:p>
            <w:pPr>
              <w:rPr>
                <w:rFonts w:eastAsia="仿宋"/>
                <w:sz w:val="24"/>
                <w:szCs w:val="24"/>
              </w:rPr>
            </w:pPr>
            <w:r>
              <w:rPr>
                <w:rFonts w:eastAsia="仿宋"/>
                <w:sz w:val="24"/>
                <w:szCs w:val="24"/>
              </w:rPr>
              <w:t>谈判响应语言：中文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6</w:t>
            </w:r>
          </w:p>
        </w:tc>
        <w:tc>
          <w:tcPr>
            <w:tcW w:w="9200" w:type="dxa"/>
            <w:vAlign w:val="center"/>
          </w:tcPr>
          <w:p>
            <w:pPr>
              <w:rPr>
                <w:rFonts w:eastAsia="仿宋"/>
                <w:sz w:val="24"/>
                <w:szCs w:val="24"/>
              </w:rPr>
            </w:pPr>
            <w:r>
              <w:rPr>
                <w:rFonts w:hint="default" w:ascii="Times New Roman" w:hAnsi="Times New Roman" w:eastAsia="仿宋" w:cs="Times New Roman"/>
                <w:bCs/>
                <w:color w:val="auto"/>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7</w:t>
            </w:r>
          </w:p>
        </w:tc>
        <w:tc>
          <w:tcPr>
            <w:tcW w:w="9200" w:type="dxa"/>
            <w:vAlign w:val="center"/>
          </w:tcPr>
          <w:p>
            <w:pPr>
              <w:rPr>
                <w:rFonts w:eastAsia="仿宋"/>
                <w:sz w:val="24"/>
                <w:szCs w:val="24"/>
              </w:rPr>
            </w:pPr>
            <w:r>
              <w:rPr>
                <w:rFonts w:hint="default" w:ascii="Times New Roman" w:hAnsi="Times New Roman" w:eastAsia="仿宋" w:cs="Times New Roman"/>
                <w:bCs/>
                <w:color w:val="auto"/>
                <w:sz w:val="24"/>
                <w:szCs w:val="24"/>
              </w:rPr>
              <w:t>质保：整机质保≥3年</w:t>
            </w:r>
            <w:r>
              <w:rPr>
                <w:rFonts w:hint="default" w:ascii="Times New Roman" w:hAnsi="Times New Roman" w:eastAsia="仿宋" w:cs="Times New Roman"/>
                <w:bCs/>
                <w:color w:val="auto"/>
                <w:sz w:val="24"/>
                <w:szCs w:val="24"/>
                <w:lang w:eastAsia="zh-CN"/>
              </w:rPr>
              <w:t>（</w:t>
            </w:r>
            <w:r>
              <w:rPr>
                <w:rFonts w:hint="default" w:ascii="Times New Roman" w:hAnsi="Times New Roman" w:eastAsia="仿宋" w:cs="Times New Roman"/>
                <w:bCs/>
                <w:color w:val="auto"/>
                <w:sz w:val="24"/>
                <w:szCs w:val="24"/>
                <w:lang w:val="en-US" w:eastAsia="zh-CN"/>
              </w:rPr>
              <w:t>包含所有零配件</w:t>
            </w:r>
            <w:r>
              <w:rPr>
                <w:rFonts w:hint="default" w:ascii="Times New Roman" w:hAnsi="Times New Roman" w:eastAsia="仿宋" w:cs="Times New Roman"/>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8</w:t>
            </w:r>
          </w:p>
        </w:tc>
        <w:tc>
          <w:tcPr>
            <w:tcW w:w="9200" w:type="dxa"/>
            <w:vAlign w:val="center"/>
          </w:tcPr>
          <w:p>
            <w:pPr>
              <w:rPr>
                <w:rFonts w:eastAsia="仿宋"/>
                <w:sz w:val="24"/>
                <w:szCs w:val="24"/>
              </w:rPr>
            </w:pPr>
            <w:r>
              <w:rPr>
                <w:rFonts w:hint="default" w:ascii="Times New Roman" w:hAnsi="Times New Roman" w:eastAsia="仿宋" w:cs="Times New Roman"/>
                <w:bCs/>
                <w:color w:val="auto"/>
                <w:sz w:val="24"/>
                <w:szCs w:val="24"/>
              </w:rPr>
              <w:t>交货期：</w:t>
            </w:r>
            <w:r>
              <w:rPr>
                <w:rFonts w:hint="eastAsia" w:ascii="Times New Roman" w:hAnsi="Times New Roman" w:eastAsia="仿宋" w:cs="Times New Roman"/>
                <w:bCs/>
                <w:color w:val="auto"/>
                <w:sz w:val="24"/>
                <w:szCs w:val="24"/>
                <w:lang w:val="en-US" w:eastAsia="zh-CN"/>
              </w:rPr>
              <w:t>国产设备30个日历日内，进口设备</w:t>
            </w: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9</w:t>
            </w:r>
          </w:p>
        </w:tc>
        <w:tc>
          <w:tcPr>
            <w:tcW w:w="9200" w:type="dxa"/>
            <w:vAlign w:val="center"/>
          </w:tcPr>
          <w:p>
            <w:pP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付款方式：货物抵达交货地点安装、调试完毕且经甲方验收合格支付合同总金额的90%。</w:t>
            </w:r>
          </w:p>
          <w:p>
            <w:pPr>
              <w:rPr>
                <w:rFonts w:eastAsia="仿宋"/>
                <w:sz w:val="24"/>
                <w:szCs w:val="24"/>
              </w:rPr>
            </w:pPr>
            <w:r>
              <w:rPr>
                <w:rFonts w:hint="default" w:ascii="Times New Roman" w:hAnsi="Times New Roman" w:eastAsia="仿宋" w:cs="Times New Roman"/>
                <w:bCs/>
                <w:color w:val="auto"/>
                <w:sz w:val="24"/>
                <w:szCs w:val="24"/>
              </w:rPr>
              <w:t>留10%作为质保金，待质保期满后，经甲方再次验收，若无质量问题无息支付。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9" w:type="dxa"/>
            <w:gridSpan w:val="2"/>
            <w:vAlign w:val="center"/>
          </w:tcPr>
          <w:p>
            <w:pPr>
              <w:jc w:val="center"/>
              <w:rPr>
                <w:rFonts w:eastAsia="仿宋"/>
                <w:b/>
                <w:sz w:val="24"/>
                <w:szCs w:val="24"/>
              </w:rPr>
            </w:pPr>
            <w:r>
              <w:rPr>
                <w:rFonts w:eastAsia="仿宋"/>
                <w:b/>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hint="default" w:eastAsia="仿宋"/>
                <w:spacing w:val="8"/>
                <w:sz w:val="24"/>
                <w:szCs w:val="24"/>
                <w:lang w:val="en-US" w:eastAsia="zh-CN"/>
              </w:rPr>
            </w:pPr>
            <w:r>
              <w:rPr>
                <w:rFonts w:hint="eastAsia" w:eastAsia="仿宋"/>
                <w:spacing w:val="8"/>
                <w:sz w:val="24"/>
                <w:szCs w:val="24"/>
                <w:lang w:val="en-US" w:eastAsia="zh-CN"/>
              </w:rPr>
              <w:t>10</w:t>
            </w:r>
          </w:p>
        </w:tc>
        <w:tc>
          <w:tcPr>
            <w:tcW w:w="9200" w:type="dxa"/>
            <w:vAlign w:val="center"/>
          </w:tcPr>
          <w:p>
            <w:pPr>
              <w:tabs>
                <w:tab w:val="left" w:pos="252"/>
                <w:tab w:val="left" w:pos="671"/>
              </w:tabs>
              <w:rPr>
                <w:rFonts w:hint="default" w:ascii="Times New Roman" w:hAnsi="Times New Roman" w:eastAsia="仿宋" w:cs="Times New Roman"/>
                <w:b/>
                <w:bCs w:val="0"/>
                <w:color w:val="auto"/>
                <w:spacing w:val="8"/>
                <w:sz w:val="24"/>
                <w:szCs w:val="24"/>
                <w:highlight w:val="none"/>
              </w:rPr>
            </w:pPr>
            <w:r>
              <w:rPr>
                <w:rFonts w:hint="default" w:ascii="Times New Roman" w:hAnsi="Times New Roman" w:eastAsia="仿宋" w:cs="Times New Roman"/>
                <w:b/>
                <w:bCs w:val="0"/>
                <w:color w:val="auto"/>
                <w:spacing w:val="8"/>
                <w:sz w:val="24"/>
                <w:szCs w:val="24"/>
                <w:highlight w:val="none"/>
              </w:rPr>
              <w:t>投标商资格标准：</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1）满足《中华人民共和国政府采购法》第二十二条规定：</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①具有独立承担民事责任的能力；</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②近一年财务审计报告或银行提供的资信证明（新公司从成立之日起算）；</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③具有履行合同所必需的设备和专业技术能力；</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④近一年任意月纳税证明（新公司从成立之日起算），近一年任意月具有人员明细的社保证明（新公司从成立之日起算）；</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⑤参加政府采购活动前三年内，在经营活动中没有重大违法记录；；</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⑥法律、行政法规规定的其他条件；</w:t>
            </w:r>
          </w:p>
          <w:p>
            <w:pPr>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val="en-US" w:eastAsia="zh-CN"/>
              </w:rPr>
              <w:t>2）投标人应出具有效的《营业执照》或公证书；</w:t>
            </w:r>
          </w:p>
          <w:p>
            <w:pPr>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val="en-US" w:eastAsia="zh-CN"/>
              </w:rPr>
              <w:t>3）</w:t>
            </w:r>
            <w:r>
              <w:rPr>
                <w:rFonts w:hint="eastAsia" w:eastAsia="仿宋" w:cs="Times New Roman"/>
                <w:b/>
                <w:bCs w:val="0"/>
                <w:color w:val="auto"/>
                <w:sz w:val="24"/>
                <w:szCs w:val="24"/>
                <w:highlight w:val="none"/>
                <w:lang w:val="en-US"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default" w:ascii="Times New Roman" w:hAnsi="Times New Roman" w:eastAsia="仿宋" w:cs="Times New Roman"/>
                <w:b/>
                <w:bCs w:val="0"/>
                <w:color w:val="auto"/>
                <w:sz w:val="24"/>
                <w:szCs w:val="24"/>
                <w:highlight w:val="none"/>
                <w:lang w:val="en-US" w:eastAsia="zh-CN"/>
              </w:rPr>
              <w:t xml:space="preserve">； </w:t>
            </w:r>
          </w:p>
          <w:p>
            <w:pPr>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val="en-US" w:eastAsia="zh-CN"/>
              </w:rPr>
              <w:t>4）被授权人参与开标的，携带法人/单位负责人授权书原件及身份证复印件、被授权人身份证明材料及身份证原件；由法人/单位负责人参加开标的，携带本人身份证复印件及原件；</w:t>
            </w:r>
          </w:p>
          <w:p>
            <w:pPr>
              <w:pStyle w:val="9"/>
              <w:pageBreakBefore w:val="0"/>
              <w:kinsoku/>
              <w:wordWrap/>
              <w:overflowPunct/>
              <w:topLinePunct w:val="0"/>
              <w:bidi w:val="0"/>
              <w:ind w:left="0" w:leftChars="0" w:firstLine="0" w:firstLineChars="0"/>
              <w:outlineLvl w:val="9"/>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5）未被列入“信用中国”网站中的“失信被执行名单”、“</w:t>
            </w:r>
            <w:r>
              <w:rPr>
                <w:rFonts w:hint="eastAsia" w:eastAsia="仿宋" w:cs="Times New Roman"/>
                <w:b/>
                <w:bCs w:val="0"/>
                <w:color w:val="auto"/>
                <w:sz w:val="24"/>
                <w:szCs w:val="24"/>
                <w:highlight w:val="none"/>
                <w:lang w:val="en-US" w:eastAsia="zh-CN"/>
              </w:rPr>
              <w:t>税收违法黑名单</w:t>
            </w:r>
            <w:r>
              <w:rPr>
                <w:rFonts w:hint="default" w:ascii="Times New Roman" w:hAnsi="Times New Roman" w:eastAsia="仿宋" w:cs="Times New Roman"/>
                <w:b/>
                <w:bCs w:val="0"/>
                <w:color w:val="auto"/>
                <w:sz w:val="24"/>
                <w:szCs w:val="24"/>
                <w:highlight w:val="none"/>
                <w:lang w:val="en-US" w:eastAsia="zh-CN"/>
              </w:rPr>
              <w:t>”其中之一，未被列入“中国政府采购网”中的“政府采购严重违法失信行为记录名单”，否则将被拒绝参与本次政府采购活动；；</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6单位负责人为同一人或者存在直接控股、管理关系的不同投标人，不得参加同一合同项下的政府采购活动。</w:t>
            </w:r>
          </w:p>
          <w:p>
            <w:pPr>
              <w:rPr>
                <w:rFonts w:hint="default" w:ascii="Times New Roman" w:hAnsi="Times New Roman" w:eastAsia="仿宋" w:cs="Times New Roman"/>
                <w:b/>
                <w:bCs w:val="0"/>
                <w:color w:val="auto"/>
                <w:kern w:val="2"/>
                <w:sz w:val="24"/>
                <w:szCs w:val="24"/>
                <w:highlight w:val="none"/>
                <w:lang w:val="en-US" w:eastAsia="zh-CN" w:bidi="ar-SA"/>
              </w:rPr>
            </w:pPr>
            <w:r>
              <w:rPr>
                <w:rFonts w:hint="eastAsia" w:eastAsia="仿宋" w:cs="Times New Roman"/>
                <w:b/>
                <w:bCs w:val="0"/>
                <w:color w:val="auto"/>
                <w:sz w:val="24"/>
                <w:szCs w:val="24"/>
                <w:highlight w:val="none"/>
                <w:lang w:val="en-US" w:eastAsia="zh-CN"/>
              </w:rPr>
              <w:t>7</w:t>
            </w:r>
            <w:r>
              <w:rPr>
                <w:rFonts w:hint="default" w:ascii="Times New Roman" w:hAnsi="Times New Roman" w:eastAsia="仿宋" w:cs="Times New Roman"/>
                <w:b/>
                <w:bCs w:val="0"/>
                <w:color w:val="auto"/>
                <w:sz w:val="24"/>
                <w:szCs w:val="24"/>
                <w:highlight w:val="none"/>
                <w:lang w:val="en-US" w:eastAsia="zh-CN"/>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11</w:t>
            </w:r>
          </w:p>
        </w:tc>
        <w:tc>
          <w:tcPr>
            <w:tcW w:w="9200" w:type="dxa"/>
            <w:vAlign w:val="center"/>
          </w:tcPr>
          <w:p>
            <w:pPr>
              <w:rPr>
                <w:rFonts w:eastAsia="仿宋"/>
                <w:b/>
                <w:bCs/>
                <w:color w:val="FF0000"/>
                <w:sz w:val="24"/>
                <w:szCs w:val="24"/>
              </w:rPr>
            </w:pPr>
            <w:r>
              <w:rPr>
                <w:rFonts w:eastAsia="仿宋"/>
                <w:b/>
                <w:bCs/>
                <w:sz w:val="24"/>
                <w:szCs w:val="24"/>
              </w:rPr>
              <w:t>谈判响应保证金金额：</w:t>
            </w:r>
            <w:r>
              <w:rPr>
                <w:rFonts w:hint="eastAsia" w:eastAsia="仿宋"/>
                <w:b/>
                <w:bCs/>
                <w:sz w:val="24"/>
                <w:szCs w:val="24"/>
                <w:lang w:val="en-US" w:eastAsia="zh-CN"/>
              </w:rPr>
              <w:t>预算金额*1%</w:t>
            </w:r>
            <w:r>
              <w:rPr>
                <w:rFonts w:hint="eastAsia" w:eastAsia="仿宋"/>
                <w:b/>
                <w:bCs/>
                <w:sz w:val="24"/>
                <w:szCs w:val="24"/>
              </w:rPr>
              <w:t>元</w:t>
            </w:r>
          </w:p>
          <w:p>
            <w:pPr>
              <w:rPr>
                <w:rFonts w:eastAsia="仿宋"/>
                <w:b/>
                <w:bCs/>
                <w:sz w:val="24"/>
                <w:szCs w:val="24"/>
              </w:rPr>
            </w:pPr>
            <w:r>
              <w:rPr>
                <w:rFonts w:eastAsia="仿宋"/>
                <w:b/>
                <w:bCs/>
                <w:sz w:val="24"/>
                <w:szCs w:val="24"/>
              </w:rPr>
              <w:t>谈判响应保证金形式：电汇等（由供应商基本账户汇出，开标前一日须到账）</w:t>
            </w:r>
          </w:p>
          <w:p>
            <w:pPr>
              <w:rPr>
                <w:rFonts w:eastAsia="仿宋"/>
                <w:b/>
                <w:bCs/>
                <w:sz w:val="24"/>
                <w:szCs w:val="24"/>
              </w:rPr>
            </w:pPr>
            <w:r>
              <w:rPr>
                <w:rFonts w:eastAsia="仿宋"/>
                <w:b/>
                <w:bCs/>
                <w:sz w:val="24"/>
                <w:szCs w:val="24"/>
              </w:rPr>
              <w:t>保证金有效期应当与谈判有效期一致。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12</w:t>
            </w:r>
          </w:p>
        </w:tc>
        <w:tc>
          <w:tcPr>
            <w:tcW w:w="9200" w:type="dxa"/>
            <w:vAlign w:val="center"/>
          </w:tcPr>
          <w:p>
            <w:pPr>
              <w:rPr>
                <w:rFonts w:eastAsia="仿宋"/>
                <w:b/>
                <w:bCs/>
                <w:sz w:val="24"/>
                <w:szCs w:val="24"/>
              </w:rPr>
            </w:pPr>
            <w:r>
              <w:rPr>
                <w:rFonts w:eastAsia="仿宋"/>
                <w:b/>
                <w:bCs/>
                <w:sz w:val="24"/>
                <w:szCs w:val="24"/>
              </w:rPr>
              <w:t>谈判响应有效期：90天（如不满足将导致废标）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13</w:t>
            </w:r>
          </w:p>
        </w:tc>
        <w:tc>
          <w:tcPr>
            <w:tcW w:w="9200" w:type="dxa"/>
            <w:vAlign w:val="center"/>
          </w:tcPr>
          <w:p>
            <w:pPr>
              <w:rPr>
                <w:rFonts w:hint="eastAsia" w:eastAsia="仿宋"/>
                <w:b/>
                <w:bCs/>
                <w:sz w:val="24"/>
                <w:szCs w:val="24"/>
                <w:lang w:val="en-US" w:eastAsia="zh-CN"/>
              </w:rPr>
            </w:pPr>
            <w:r>
              <w:rPr>
                <w:rFonts w:hint="eastAsia" w:eastAsia="仿宋"/>
                <w:b/>
                <w:bCs/>
                <w:sz w:val="24"/>
                <w:szCs w:val="24"/>
                <w:lang w:val="en-US" w:eastAsia="zh-CN"/>
              </w:rPr>
              <w:t>投标文件：</w:t>
            </w:r>
          </w:p>
          <w:p>
            <w:pPr>
              <w:rPr>
                <w:rFonts w:eastAsia="仿宋"/>
                <w:b/>
                <w:bCs/>
                <w:sz w:val="24"/>
                <w:szCs w:val="24"/>
              </w:rPr>
            </w:pPr>
            <w:r>
              <w:rPr>
                <w:rFonts w:hint="default" w:eastAsia="仿宋"/>
                <w:b/>
                <w:bCs/>
                <w:sz w:val="24"/>
                <w:szCs w:val="24"/>
                <w:lang w:eastAsia="zh-CN"/>
              </w:rPr>
              <w:t>1、加密的电子</w:t>
            </w:r>
            <w:r>
              <w:rPr>
                <w:rFonts w:hint="eastAsia" w:eastAsia="仿宋"/>
                <w:b/>
                <w:bCs/>
                <w:sz w:val="24"/>
                <w:szCs w:val="24"/>
                <w:lang w:val="en-US" w:eastAsia="zh-CN"/>
              </w:rPr>
              <w:t>投标</w:t>
            </w:r>
            <w:r>
              <w:rPr>
                <w:rFonts w:hint="default" w:eastAsia="仿宋"/>
                <w:b/>
                <w:bCs/>
                <w:sz w:val="24"/>
                <w:szCs w:val="24"/>
                <w:lang w:eastAsia="zh-CN"/>
              </w:rPr>
              <w:t>文件在</w:t>
            </w:r>
            <w:r>
              <w:rPr>
                <w:rFonts w:hint="eastAsia" w:eastAsia="仿宋"/>
                <w:b/>
                <w:bCs/>
                <w:sz w:val="24"/>
                <w:szCs w:val="24"/>
                <w:lang w:val="en-US" w:eastAsia="zh-CN"/>
              </w:rPr>
              <w:t>投标截止</w:t>
            </w:r>
            <w:r>
              <w:rPr>
                <w:rFonts w:hint="default" w:eastAsia="仿宋"/>
                <w:b/>
                <w:bCs/>
                <w:sz w:val="24"/>
                <w:szCs w:val="24"/>
                <w:lang w:eastAsia="zh-CN"/>
              </w:rPr>
              <w:t>时间前通过CA在政采云平台上传，加密的电子</w:t>
            </w:r>
            <w:r>
              <w:rPr>
                <w:rFonts w:hint="eastAsia" w:eastAsia="仿宋"/>
                <w:b/>
                <w:bCs/>
                <w:sz w:val="24"/>
                <w:szCs w:val="24"/>
                <w:lang w:val="en-US" w:eastAsia="zh-CN"/>
              </w:rPr>
              <w:t>投标</w:t>
            </w:r>
            <w:r>
              <w:rPr>
                <w:rFonts w:hint="default" w:eastAsia="仿宋"/>
                <w:b/>
                <w:bCs/>
                <w:sz w:val="24"/>
                <w:szCs w:val="24"/>
                <w:lang w:eastAsia="zh-CN"/>
              </w:rPr>
              <w:t>文件为使用政采云电子投标客户端制作生成的加密版响应文件。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14</w:t>
            </w:r>
          </w:p>
        </w:tc>
        <w:tc>
          <w:tcPr>
            <w:tcW w:w="9200" w:type="dxa"/>
            <w:vAlign w:val="center"/>
          </w:tcPr>
          <w:p>
            <w:pPr>
              <w:rPr>
                <w:rFonts w:eastAsia="仿宋"/>
                <w:b/>
                <w:bCs/>
                <w:sz w:val="24"/>
                <w:szCs w:val="24"/>
              </w:rPr>
            </w:pPr>
            <w:r>
              <w:rPr>
                <w:rFonts w:eastAsia="仿宋"/>
                <w:b/>
                <w:bCs/>
                <w:sz w:val="24"/>
                <w:szCs w:val="24"/>
              </w:rPr>
              <w:t>（不接受任何超预算报价）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15</w:t>
            </w:r>
          </w:p>
        </w:tc>
        <w:tc>
          <w:tcPr>
            <w:tcW w:w="9200" w:type="dxa"/>
            <w:vAlign w:val="center"/>
          </w:tcPr>
          <w:p>
            <w:pPr>
              <w:rPr>
                <w:rFonts w:hint="eastAsia" w:eastAsia="仿宋"/>
                <w:b/>
                <w:bCs/>
                <w:sz w:val="24"/>
                <w:szCs w:val="24"/>
                <w:lang w:val="en-US" w:eastAsia="zh-CN"/>
              </w:rPr>
            </w:pPr>
            <w:r>
              <w:rPr>
                <w:rFonts w:hint="eastAsia" w:eastAsia="仿宋"/>
                <w:b/>
                <w:bCs/>
                <w:sz w:val="24"/>
                <w:szCs w:val="24"/>
                <w:lang w:val="en-US" w:eastAsia="zh-CN"/>
              </w:rPr>
              <w:t>□采用见面开标：</w:t>
            </w:r>
          </w:p>
          <w:p>
            <w:pPr>
              <w:rPr>
                <w:rFonts w:hint="eastAsia" w:eastAsia="仿宋"/>
                <w:b/>
                <w:bCs/>
                <w:sz w:val="24"/>
                <w:szCs w:val="24"/>
                <w:lang w:val="en-US" w:eastAsia="zh-CN"/>
              </w:rPr>
            </w:pPr>
            <w:r>
              <w:rPr>
                <w:rFonts w:hint="eastAsia" w:eastAsia="仿宋"/>
                <w:b/>
                <w:bCs/>
                <w:sz w:val="24"/>
                <w:szCs w:val="24"/>
                <w:lang w:val="en-US" w:eastAsia="zh-CN"/>
              </w:rPr>
              <w:t>开标时间：同投标截止时间</w:t>
            </w:r>
          </w:p>
          <w:p>
            <w:pPr>
              <w:rPr>
                <w:rFonts w:hint="eastAsia" w:eastAsia="仿宋"/>
                <w:b/>
                <w:bCs/>
                <w:sz w:val="24"/>
                <w:szCs w:val="24"/>
                <w:lang w:val="en-US" w:eastAsia="zh-CN"/>
              </w:rPr>
            </w:pPr>
            <w:r>
              <w:rPr>
                <w:rFonts w:hint="eastAsia" w:eastAsia="仿宋"/>
                <w:b/>
                <w:bCs/>
                <w:sz w:val="24"/>
                <w:szCs w:val="24"/>
                <w:lang w:val="en-US" w:eastAsia="zh-CN"/>
              </w:rPr>
              <w:t>开标地点：</w:t>
            </w:r>
            <w:bookmarkStart w:id="30" w:name="EB34014fc957d649bb8986b84244ff4257"/>
            <w:bookmarkEnd w:id="30"/>
            <w:r>
              <w:rPr>
                <w:rFonts w:hint="eastAsia" w:eastAsia="仿宋"/>
                <w:b/>
                <w:bCs/>
                <w:sz w:val="24"/>
                <w:szCs w:val="24"/>
                <w:lang w:val="en-US" w:eastAsia="zh-CN"/>
              </w:rPr>
              <w:t xml:space="preserve">                                    </w:t>
            </w:r>
          </w:p>
          <w:p>
            <w:pPr>
              <w:rPr>
                <w:rFonts w:hint="eastAsia" w:eastAsia="仿宋"/>
                <w:b/>
                <w:bCs/>
                <w:sz w:val="24"/>
                <w:szCs w:val="24"/>
                <w:lang w:val="en-US" w:eastAsia="zh-CN"/>
              </w:rPr>
            </w:pPr>
            <w:r>
              <w:rPr>
                <w:rFonts w:hint="eastAsia" w:eastAsia="仿宋"/>
                <w:b/>
                <w:bCs/>
                <w:sz w:val="24"/>
                <w:szCs w:val="24"/>
                <w:lang w:val="en-US" w:eastAsia="zh-CN"/>
              </w:rPr>
              <w:t>☑采用不见面开标：</w:t>
            </w:r>
          </w:p>
          <w:p>
            <w:pPr>
              <w:rPr>
                <w:rFonts w:hint="eastAsia" w:eastAsia="仿宋"/>
                <w:b/>
                <w:bCs/>
                <w:sz w:val="24"/>
                <w:szCs w:val="24"/>
                <w:lang w:val="en-US" w:eastAsia="zh-CN"/>
              </w:rPr>
            </w:pPr>
            <w:r>
              <w:rPr>
                <w:rFonts w:hint="eastAsia" w:eastAsia="仿宋"/>
                <w:b/>
                <w:bCs/>
                <w:sz w:val="24"/>
                <w:szCs w:val="24"/>
                <w:lang w:val="en-US" w:eastAsia="zh-CN"/>
              </w:rPr>
              <w:t>开标时间：详见本招标文件“第一部分招标公告”</w:t>
            </w:r>
          </w:p>
          <w:p>
            <w:pPr>
              <w:rPr>
                <w:rFonts w:hint="eastAsia" w:eastAsia="仿宋"/>
                <w:b/>
                <w:bCs/>
                <w:sz w:val="24"/>
                <w:szCs w:val="24"/>
                <w:lang w:val="en-US" w:eastAsia="zh-CN"/>
              </w:rPr>
            </w:pPr>
            <w:r>
              <w:rPr>
                <w:rFonts w:hint="eastAsia" w:eastAsia="仿宋"/>
                <w:b/>
                <w:bCs/>
                <w:sz w:val="24"/>
                <w:szCs w:val="24"/>
                <w:lang w:val="en-US" w:eastAsia="zh-CN"/>
              </w:rPr>
              <w:t>开标地点：详见本招标文件“第一部分招标公告”</w:t>
            </w:r>
          </w:p>
          <w:p>
            <w:pPr>
              <w:rPr>
                <w:rFonts w:hint="eastAsia" w:eastAsia="仿宋"/>
                <w:b/>
                <w:bCs/>
                <w:sz w:val="24"/>
                <w:szCs w:val="24"/>
                <w:lang w:val="en-US" w:eastAsia="zh-CN"/>
              </w:rPr>
            </w:pPr>
            <w:r>
              <w:rPr>
                <w:rFonts w:hint="eastAsia" w:eastAsia="仿宋"/>
                <w:b/>
                <w:bCs/>
                <w:sz w:val="24"/>
                <w:szCs w:val="24"/>
                <w:lang w:val="en-US" w:eastAsia="zh-CN"/>
              </w:rPr>
              <w:t xml:space="preserve">不见面开标默认解密时长：   30分钟    </w:t>
            </w:r>
          </w:p>
          <w:p>
            <w:pPr>
              <w:rPr>
                <w:rFonts w:hint="eastAsia" w:eastAsia="仿宋"/>
                <w:b/>
                <w:bCs/>
                <w:sz w:val="24"/>
                <w:szCs w:val="24"/>
                <w:lang w:val="en-US" w:eastAsia="zh-CN"/>
              </w:rPr>
            </w:pPr>
            <w:r>
              <w:rPr>
                <w:rFonts w:hint="eastAsia" w:eastAsia="仿宋"/>
                <w:b/>
                <w:bCs/>
                <w:sz w:val="24"/>
                <w:szCs w:val="24"/>
                <w:lang w:val="en-US" w:eastAsia="zh-CN"/>
              </w:rPr>
              <w:t>关于能否延长解密时间的约定：否</w:t>
            </w:r>
          </w:p>
          <w:p>
            <w:pPr>
              <w:rPr>
                <w:rFonts w:hint="eastAsia" w:eastAsia="仿宋"/>
                <w:b/>
                <w:bCs/>
                <w:sz w:val="24"/>
                <w:szCs w:val="24"/>
              </w:rPr>
            </w:pPr>
            <w:r>
              <w:rPr>
                <w:rFonts w:hint="eastAsia" w:eastAsia="仿宋"/>
                <w:b/>
                <w:bCs/>
                <w:sz w:val="24"/>
                <w:szCs w:val="24"/>
                <w:lang w:val="en-US" w:eastAsia="zh-CN"/>
              </w:rPr>
              <w:t>注：若投标人开标时不能正常解密，可将备份电子投标文件发送致招标代理机构工作人处，由工作人员进行异常处理。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16</w:t>
            </w:r>
          </w:p>
        </w:tc>
        <w:tc>
          <w:tcPr>
            <w:tcW w:w="9200" w:type="dxa"/>
            <w:vAlign w:val="center"/>
          </w:tcPr>
          <w:p>
            <w:pPr>
              <w:rPr>
                <w:rFonts w:eastAsia="仿宋"/>
                <w:b/>
                <w:bCs/>
                <w:sz w:val="24"/>
                <w:szCs w:val="24"/>
              </w:rPr>
            </w:pPr>
            <w:r>
              <w:rPr>
                <w:rFonts w:eastAsia="仿宋"/>
                <w:b/>
                <w:bCs/>
                <w:sz w:val="24"/>
                <w:szCs w:val="24"/>
              </w:rPr>
              <w:t>谈判开始时间：</w:t>
            </w:r>
            <w:r>
              <w:rPr>
                <w:rFonts w:hint="eastAsia" w:eastAsia="仿宋"/>
                <w:b/>
                <w:bCs/>
                <w:sz w:val="24"/>
                <w:szCs w:val="24"/>
                <w:lang w:eastAsia="zh-CN"/>
              </w:rPr>
              <w:t>2023年</w:t>
            </w:r>
            <w:r>
              <w:rPr>
                <w:rFonts w:hint="eastAsia" w:eastAsia="仿宋"/>
                <w:b/>
                <w:bCs/>
                <w:sz w:val="24"/>
                <w:szCs w:val="24"/>
                <w:lang w:val="en-US" w:eastAsia="zh-CN"/>
              </w:rPr>
              <w:t>6</w:t>
            </w:r>
            <w:r>
              <w:rPr>
                <w:rFonts w:hint="eastAsia" w:eastAsia="仿宋"/>
                <w:b/>
                <w:bCs/>
                <w:sz w:val="24"/>
                <w:szCs w:val="24"/>
                <w:lang w:eastAsia="zh-CN"/>
              </w:rPr>
              <w:t>月</w:t>
            </w:r>
            <w:r>
              <w:rPr>
                <w:rFonts w:hint="eastAsia" w:eastAsia="仿宋"/>
                <w:b/>
                <w:bCs/>
                <w:sz w:val="24"/>
                <w:szCs w:val="24"/>
                <w:lang w:val="en-US" w:eastAsia="zh-CN"/>
              </w:rPr>
              <w:t>20</w:t>
            </w:r>
            <w:r>
              <w:rPr>
                <w:rFonts w:hint="eastAsia" w:eastAsia="仿宋"/>
                <w:b/>
                <w:bCs/>
                <w:sz w:val="24"/>
                <w:szCs w:val="24"/>
                <w:lang w:eastAsia="zh-CN"/>
              </w:rPr>
              <w:t>日</w:t>
            </w:r>
            <w:r>
              <w:rPr>
                <w:rFonts w:hint="eastAsia" w:eastAsia="仿宋"/>
                <w:b/>
                <w:bCs/>
                <w:sz w:val="24"/>
                <w:szCs w:val="24"/>
                <w:lang w:val="en-US" w:eastAsia="zh-CN"/>
              </w:rPr>
              <w:t>10</w:t>
            </w:r>
            <w:r>
              <w:rPr>
                <w:rFonts w:hint="eastAsia" w:eastAsia="仿宋"/>
                <w:b/>
                <w:bCs/>
                <w:sz w:val="24"/>
                <w:szCs w:val="24"/>
                <w:lang w:eastAsia="zh-CN"/>
              </w:rPr>
              <w:t>点</w:t>
            </w:r>
            <w:r>
              <w:rPr>
                <w:rFonts w:hint="eastAsia" w:eastAsia="仿宋"/>
                <w:b/>
                <w:bCs/>
                <w:sz w:val="24"/>
                <w:szCs w:val="24"/>
                <w:lang w:val="en-US" w:eastAsia="zh-CN"/>
              </w:rPr>
              <w:t>30</w:t>
            </w:r>
            <w:r>
              <w:rPr>
                <w:rFonts w:hint="eastAsia" w:eastAsia="仿宋"/>
                <w:b/>
                <w:bCs/>
                <w:sz w:val="24"/>
                <w:szCs w:val="24"/>
                <w:lang w:eastAsia="zh-CN"/>
              </w:rPr>
              <w:t>分</w:t>
            </w:r>
            <w:r>
              <w:rPr>
                <w:rFonts w:eastAsia="仿宋"/>
                <w:b/>
                <w:bCs/>
                <w:sz w:val="24"/>
                <w:szCs w:val="24"/>
              </w:rPr>
              <w:t>（北京时间）</w:t>
            </w:r>
          </w:p>
          <w:p>
            <w:pPr>
              <w:rPr>
                <w:rFonts w:eastAsia="仿宋"/>
                <w:b/>
                <w:bCs/>
                <w:sz w:val="24"/>
                <w:szCs w:val="24"/>
              </w:rPr>
            </w:pPr>
            <w:r>
              <w:rPr>
                <w:rFonts w:eastAsia="仿宋"/>
                <w:b/>
                <w:bCs/>
                <w:sz w:val="24"/>
                <w:szCs w:val="24"/>
              </w:rPr>
              <w:t>谈判地点：</w:t>
            </w:r>
            <w:r>
              <w:rPr>
                <w:rFonts w:hint="eastAsia" w:eastAsia="仿宋"/>
                <w:b/>
                <w:bCs/>
                <w:sz w:val="24"/>
                <w:szCs w:val="24"/>
                <w:lang w:val="en-US" w:eastAsia="zh-CN"/>
              </w:rPr>
              <w:t>政采云系统不见面开（https://www.zcygov.cn/）网上开标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jc w:val="center"/>
              <w:rPr>
                <w:rFonts w:hint="default" w:eastAsia="仿宋"/>
                <w:sz w:val="24"/>
                <w:szCs w:val="24"/>
                <w:lang w:val="en-US" w:eastAsia="zh-CN"/>
              </w:rPr>
            </w:pPr>
            <w:r>
              <w:rPr>
                <w:rFonts w:hint="eastAsia" w:eastAsia="仿宋"/>
                <w:sz w:val="24"/>
                <w:szCs w:val="24"/>
                <w:lang w:val="en-US" w:eastAsia="zh-CN"/>
              </w:rPr>
              <w:t>17</w:t>
            </w:r>
          </w:p>
        </w:tc>
        <w:tc>
          <w:tcPr>
            <w:tcW w:w="9200" w:type="dxa"/>
            <w:vAlign w:val="center"/>
          </w:tcPr>
          <w:p>
            <w:pPr>
              <w:rPr>
                <w:rFonts w:hint="eastAsia" w:eastAsia="仿宋"/>
                <w:b/>
                <w:bCs/>
                <w:sz w:val="24"/>
                <w:szCs w:val="24"/>
              </w:rPr>
            </w:pPr>
            <w:r>
              <w:rPr>
                <w:rFonts w:hint="eastAsia" w:eastAsia="仿宋"/>
                <w:b/>
                <w:bCs/>
                <w:sz w:val="24"/>
                <w:szCs w:val="24"/>
              </w:rPr>
              <w:t>低于成本价不正当竞争预防措施（实质性要求）：</w:t>
            </w:r>
          </w:p>
          <w:p>
            <w:pPr>
              <w:rPr>
                <w:rFonts w:hint="eastAsia" w:eastAsia="仿宋"/>
                <w:b/>
                <w:bCs/>
                <w:sz w:val="24"/>
                <w:szCs w:val="24"/>
              </w:rPr>
            </w:pPr>
            <w:r>
              <w:rPr>
                <w:rFonts w:hint="eastAsia" w:eastAsia="仿宋"/>
                <w:b/>
                <w:bCs/>
                <w:sz w:val="24"/>
                <w:szCs w:val="24"/>
              </w:rPr>
              <w:t>1. 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p>
          <w:p>
            <w:pPr>
              <w:rPr>
                <w:rFonts w:hint="eastAsia" w:eastAsia="仿宋"/>
                <w:b/>
                <w:bCs/>
                <w:sz w:val="24"/>
                <w:szCs w:val="24"/>
              </w:rPr>
            </w:pPr>
            <w:r>
              <w:rPr>
                <w:rFonts w:hint="eastAsia" w:eastAsia="仿宋"/>
                <w:b/>
                <w:bCs/>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rPr>
                <w:rFonts w:hint="eastAsia" w:eastAsia="仿宋"/>
                <w:b/>
                <w:bCs/>
                <w:sz w:val="24"/>
                <w:szCs w:val="24"/>
              </w:rPr>
            </w:pPr>
            <w:r>
              <w:rPr>
                <w:rFonts w:hint="eastAsia" w:eastAsia="仿宋"/>
                <w:b/>
                <w:bCs/>
                <w:sz w:val="24"/>
                <w:szCs w:val="24"/>
              </w:rPr>
              <w:t>2. 供应商书面说明应当签字确认或者加盖公章，否则无效。书面说明的签字确认，由其法定代表人/主要负责人/本人或者其授权代表签字确认。</w:t>
            </w:r>
          </w:p>
          <w:p>
            <w:pPr>
              <w:rPr>
                <w:rFonts w:eastAsia="仿宋"/>
                <w:b/>
                <w:bCs/>
                <w:sz w:val="24"/>
                <w:szCs w:val="24"/>
              </w:rPr>
            </w:pPr>
            <w:r>
              <w:rPr>
                <w:rFonts w:hint="eastAsia" w:eastAsia="仿宋"/>
                <w:b/>
                <w:bCs/>
                <w:sz w:val="24"/>
                <w:szCs w:val="24"/>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9" w:type="dxa"/>
            <w:gridSpan w:val="2"/>
            <w:vAlign w:val="center"/>
          </w:tcPr>
          <w:p>
            <w:pPr>
              <w:jc w:val="center"/>
              <w:rPr>
                <w:rFonts w:eastAsia="仿宋"/>
                <w:sz w:val="24"/>
                <w:szCs w:val="24"/>
              </w:rPr>
            </w:pPr>
            <w:r>
              <w:rPr>
                <w:rFonts w:eastAsia="仿宋"/>
                <w:sz w:val="24"/>
                <w:szCs w:val="24"/>
              </w:rPr>
              <w:t>授　予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69" w:type="dxa"/>
            <w:gridSpan w:val="2"/>
            <w:vAlign w:val="center"/>
          </w:tcPr>
          <w:p>
            <w:pPr>
              <w:rPr>
                <w:rFonts w:hint="default" w:eastAsia="仿宋"/>
                <w:sz w:val="24"/>
                <w:szCs w:val="24"/>
                <w:lang w:val="en-US" w:eastAsia="zh-CN"/>
              </w:rPr>
            </w:pPr>
            <w:r>
              <w:rPr>
                <w:rFonts w:eastAsia="仿宋"/>
                <w:sz w:val="24"/>
                <w:szCs w:val="24"/>
              </w:rPr>
              <w:t>适用于本供应商须知的额外增加的变动：成交商须向新疆西北招标有限公司支付招标代理服务）</w:t>
            </w:r>
            <w:r>
              <w:rPr>
                <w:rFonts w:hint="eastAsia" w:eastAsia="仿宋"/>
                <w:sz w:val="24"/>
                <w:szCs w:val="24"/>
              </w:rPr>
              <w:t>，按发改价格[2011]534号及计价格[2002]1980号文件计算的招标代理服务收费标准下浮40%计取</w:t>
            </w:r>
            <w:r>
              <w:rPr>
                <w:rFonts w:eastAsia="仿宋"/>
                <w:sz w:val="24"/>
                <w:szCs w:val="24"/>
              </w:rPr>
              <w:t>。</w:t>
            </w:r>
          </w:p>
        </w:tc>
      </w:tr>
    </w:tbl>
    <w:p>
      <w:pPr>
        <w:rPr>
          <w:rFonts w:eastAsia="仿宋"/>
          <w:b/>
          <w:bCs/>
          <w:sz w:val="24"/>
          <w:szCs w:val="24"/>
        </w:rPr>
      </w:pPr>
      <w:r>
        <w:rPr>
          <w:rFonts w:eastAsia="仿宋"/>
          <w:sz w:val="24"/>
          <w:szCs w:val="24"/>
        </w:rPr>
        <w:t>备注：黑体部分为实质性响应内容，如不符合，将视为谈判响应无效。</w:t>
      </w:r>
    </w:p>
    <w:p>
      <w:pPr>
        <w:pStyle w:val="5"/>
        <w:spacing w:before="100" w:beforeAutospacing="1" w:after="100" w:afterAutospacing="1" w:line="240" w:lineRule="auto"/>
        <w:jc w:val="center"/>
        <w:rPr>
          <w:rFonts w:ascii="Times New Roman" w:hAnsi="Times New Roman" w:eastAsia="仿宋"/>
          <w:sz w:val="28"/>
          <w:szCs w:val="28"/>
        </w:rPr>
      </w:pPr>
      <w:r>
        <w:rPr>
          <w:rFonts w:ascii="Times New Roman" w:hAnsi="Times New Roman" w:eastAsia="仿宋"/>
          <w:b w:val="0"/>
          <w:sz w:val="24"/>
          <w:szCs w:val="24"/>
        </w:rPr>
        <w:br w:type="page"/>
      </w:r>
      <w:bookmarkStart w:id="31" w:name="_Toc2352"/>
      <w:bookmarkStart w:id="32" w:name="_Toc16188"/>
      <w:r>
        <w:rPr>
          <w:rFonts w:ascii="Times New Roman" w:hAnsi="Times New Roman" w:eastAsia="仿宋"/>
          <w:sz w:val="28"/>
          <w:szCs w:val="28"/>
        </w:rPr>
        <w:t>A  说　明</w:t>
      </w:r>
      <w:bookmarkEnd w:id="31"/>
    </w:p>
    <w:p>
      <w:pPr>
        <w:rPr>
          <w:rFonts w:eastAsia="仿宋"/>
          <w:sz w:val="24"/>
        </w:rPr>
      </w:pPr>
      <w:r>
        <w:rPr>
          <w:rFonts w:eastAsia="仿宋"/>
          <w:sz w:val="24"/>
        </w:rPr>
        <w:t>1. 适用范围</w:t>
      </w:r>
    </w:p>
    <w:p>
      <w:pPr>
        <w:numPr>
          <w:ilvl w:val="1"/>
          <w:numId w:val="3"/>
        </w:numPr>
        <w:rPr>
          <w:rFonts w:eastAsia="仿宋"/>
          <w:sz w:val="24"/>
        </w:rPr>
      </w:pPr>
      <w:r>
        <w:rPr>
          <w:rFonts w:eastAsia="仿宋"/>
          <w:sz w:val="24"/>
        </w:rPr>
        <w:t xml:space="preserve"> 本谈判文件仅适用于本次谈判邀请中所叙述项目的货物及服务采购。</w:t>
      </w:r>
    </w:p>
    <w:p>
      <w:pPr>
        <w:rPr>
          <w:rFonts w:eastAsia="仿宋"/>
          <w:sz w:val="24"/>
        </w:rPr>
      </w:pPr>
      <w:r>
        <w:rPr>
          <w:rFonts w:eastAsia="仿宋"/>
          <w:sz w:val="24"/>
        </w:rPr>
        <w:t>2．定义</w:t>
      </w:r>
    </w:p>
    <w:p>
      <w:pPr>
        <w:rPr>
          <w:rFonts w:eastAsia="仿宋"/>
          <w:sz w:val="24"/>
        </w:rPr>
      </w:pPr>
      <w:r>
        <w:rPr>
          <w:rFonts w:eastAsia="仿宋"/>
          <w:sz w:val="24"/>
        </w:rPr>
        <w:t>2.1 “采购代理机构”系指新疆西北招标有限公司；</w:t>
      </w:r>
    </w:p>
    <w:p>
      <w:pPr>
        <w:rPr>
          <w:rFonts w:eastAsia="仿宋"/>
          <w:sz w:val="24"/>
        </w:rPr>
      </w:pPr>
      <w:r>
        <w:rPr>
          <w:rFonts w:eastAsia="仿宋"/>
          <w:sz w:val="24"/>
        </w:rPr>
        <w:t>2.2 “委托方”系指</w:t>
      </w:r>
      <w:r>
        <w:rPr>
          <w:rFonts w:hint="eastAsia" w:eastAsia="仿宋"/>
          <w:sz w:val="24"/>
        </w:rPr>
        <w:t>新疆医科大学第一附属医院</w:t>
      </w:r>
      <w:r>
        <w:rPr>
          <w:rFonts w:eastAsia="仿宋"/>
          <w:sz w:val="24"/>
        </w:rPr>
        <w:t>；</w:t>
      </w:r>
    </w:p>
    <w:p>
      <w:pPr>
        <w:rPr>
          <w:rFonts w:eastAsia="仿宋"/>
          <w:sz w:val="24"/>
        </w:rPr>
      </w:pPr>
      <w:r>
        <w:rPr>
          <w:rFonts w:eastAsia="仿宋"/>
          <w:sz w:val="24"/>
        </w:rPr>
        <w:t>2.3 “供应商”系指向采购代理机构提交谈判响应文件的制造商或代理商；</w:t>
      </w:r>
    </w:p>
    <w:p>
      <w:pPr>
        <w:rPr>
          <w:rFonts w:eastAsia="仿宋"/>
          <w:sz w:val="24"/>
        </w:rPr>
      </w:pPr>
      <w:r>
        <w:rPr>
          <w:rFonts w:eastAsia="仿宋"/>
          <w:sz w:val="24"/>
        </w:rPr>
        <w:t>2.4 “成交通知书”系指在本次项目中将被授予合同的供应商。</w:t>
      </w:r>
    </w:p>
    <w:p>
      <w:pPr>
        <w:rPr>
          <w:rFonts w:eastAsia="仿宋"/>
          <w:sz w:val="24"/>
        </w:rPr>
      </w:pPr>
      <w:r>
        <w:rPr>
          <w:rFonts w:eastAsia="仿宋"/>
          <w:sz w:val="24"/>
        </w:rPr>
        <w:t>3．合格的供应商</w:t>
      </w:r>
    </w:p>
    <w:p>
      <w:pPr>
        <w:ind w:left="480" w:hanging="480" w:hangingChars="200"/>
        <w:rPr>
          <w:rFonts w:eastAsia="仿宋"/>
          <w:sz w:val="24"/>
        </w:rPr>
      </w:pPr>
      <w:r>
        <w:rPr>
          <w:rFonts w:eastAsia="仿宋"/>
          <w:sz w:val="24"/>
        </w:rPr>
        <w:t>3.1 有能力提供谈判文件所要求的服务的、资格审查合格的制造商或代理商为合格的供应商；</w:t>
      </w:r>
    </w:p>
    <w:p>
      <w:pPr>
        <w:rPr>
          <w:rFonts w:eastAsia="仿宋"/>
          <w:sz w:val="24"/>
        </w:rPr>
      </w:pPr>
      <w:r>
        <w:rPr>
          <w:rFonts w:eastAsia="仿宋"/>
          <w:sz w:val="24"/>
        </w:rPr>
        <w:t>3.2 供应商必须遵守有关的国内法律和规章条例。</w:t>
      </w:r>
    </w:p>
    <w:p>
      <w:pPr>
        <w:rPr>
          <w:rFonts w:eastAsia="仿宋"/>
          <w:sz w:val="24"/>
          <w:szCs w:val="22"/>
        </w:rPr>
      </w:pPr>
      <w:r>
        <w:rPr>
          <w:rFonts w:eastAsia="仿宋"/>
          <w:sz w:val="24"/>
          <w:szCs w:val="22"/>
        </w:rPr>
        <w:t>4．投标商资格(废标因素)</w:t>
      </w:r>
    </w:p>
    <w:p>
      <w:pPr>
        <w:rPr>
          <w:rFonts w:hint="eastAsia" w:eastAsia="仿宋"/>
          <w:sz w:val="24"/>
          <w:szCs w:val="22"/>
        </w:rPr>
      </w:pPr>
      <w:r>
        <w:rPr>
          <w:rFonts w:hint="eastAsia" w:eastAsia="仿宋"/>
          <w:sz w:val="24"/>
          <w:szCs w:val="22"/>
        </w:rPr>
        <w:t>1）满足《中华人民共和国政府采购法》第二十二条规定：</w:t>
      </w:r>
    </w:p>
    <w:p>
      <w:pPr>
        <w:rPr>
          <w:rFonts w:hint="eastAsia" w:eastAsia="仿宋"/>
          <w:sz w:val="24"/>
          <w:szCs w:val="22"/>
        </w:rPr>
      </w:pPr>
      <w:r>
        <w:rPr>
          <w:rFonts w:hint="eastAsia" w:eastAsia="仿宋"/>
          <w:sz w:val="24"/>
          <w:szCs w:val="22"/>
        </w:rPr>
        <w:t>①具有独立承担民事责任的能力；</w:t>
      </w:r>
    </w:p>
    <w:p>
      <w:pPr>
        <w:rPr>
          <w:rFonts w:hint="eastAsia" w:eastAsia="仿宋"/>
          <w:sz w:val="24"/>
          <w:szCs w:val="22"/>
        </w:rPr>
      </w:pPr>
      <w:r>
        <w:rPr>
          <w:rFonts w:hint="eastAsia" w:eastAsia="仿宋"/>
          <w:sz w:val="24"/>
          <w:szCs w:val="22"/>
        </w:rPr>
        <w:t>②近一年财务审计报告或银行提供的资信证明（新公司从成立之日起算）；</w:t>
      </w:r>
    </w:p>
    <w:p>
      <w:pPr>
        <w:rPr>
          <w:rFonts w:hint="eastAsia" w:eastAsia="仿宋"/>
          <w:sz w:val="24"/>
          <w:szCs w:val="22"/>
        </w:rPr>
      </w:pPr>
      <w:r>
        <w:rPr>
          <w:rFonts w:hint="eastAsia" w:eastAsia="仿宋"/>
          <w:sz w:val="24"/>
          <w:szCs w:val="22"/>
        </w:rPr>
        <w:t>③具有履行合同所必需的设备和专业技术能力；</w:t>
      </w:r>
    </w:p>
    <w:p>
      <w:pPr>
        <w:rPr>
          <w:rFonts w:hint="eastAsia" w:eastAsia="仿宋"/>
          <w:sz w:val="24"/>
          <w:szCs w:val="22"/>
        </w:rPr>
      </w:pPr>
      <w:r>
        <w:rPr>
          <w:rFonts w:hint="eastAsia" w:eastAsia="仿宋"/>
          <w:sz w:val="24"/>
          <w:szCs w:val="22"/>
        </w:rPr>
        <w:t>④近一年任意月纳税证明（新公司从成立之日起算），近一年任意月具有人员明细的社保证明（新公司从成立之日起算）；</w:t>
      </w:r>
    </w:p>
    <w:p>
      <w:pPr>
        <w:rPr>
          <w:rFonts w:hint="eastAsia" w:eastAsia="仿宋"/>
          <w:sz w:val="24"/>
          <w:szCs w:val="22"/>
        </w:rPr>
      </w:pPr>
      <w:r>
        <w:rPr>
          <w:rFonts w:hint="eastAsia" w:eastAsia="仿宋"/>
          <w:sz w:val="24"/>
          <w:szCs w:val="22"/>
        </w:rPr>
        <w:t>⑤参加政府采购活动前三年内，在经营活动中没有重大违法记录；；</w:t>
      </w:r>
    </w:p>
    <w:p>
      <w:pPr>
        <w:rPr>
          <w:rFonts w:hint="eastAsia" w:eastAsia="仿宋"/>
          <w:sz w:val="24"/>
          <w:szCs w:val="22"/>
        </w:rPr>
      </w:pPr>
      <w:r>
        <w:rPr>
          <w:rFonts w:hint="eastAsia" w:eastAsia="仿宋"/>
          <w:sz w:val="24"/>
          <w:szCs w:val="22"/>
        </w:rPr>
        <w:t>⑥法律、行政法规规定的其他条件；</w:t>
      </w:r>
    </w:p>
    <w:p>
      <w:pPr>
        <w:rPr>
          <w:rFonts w:hint="eastAsia" w:eastAsia="仿宋"/>
          <w:sz w:val="24"/>
          <w:szCs w:val="22"/>
        </w:rPr>
      </w:pPr>
      <w:r>
        <w:rPr>
          <w:rFonts w:hint="eastAsia" w:eastAsia="仿宋"/>
          <w:sz w:val="24"/>
          <w:szCs w:val="22"/>
        </w:rPr>
        <w:t>2）投标人应出具有效的《营业执照》或公证书；</w:t>
      </w:r>
    </w:p>
    <w:p>
      <w:pPr>
        <w:rPr>
          <w:rFonts w:hint="eastAsia" w:eastAsia="仿宋"/>
          <w:sz w:val="24"/>
          <w:szCs w:val="22"/>
        </w:rPr>
      </w:pPr>
      <w:r>
        <w:rPr>
          <w:rFonts w:hint="eastAsia" w:eastAsia="仿宋"/>
          <w:sz w:val="24"/>
          <w:szCs w:val="22"/>
        </w:rPr>
        <w:t>3）</w:t>
      </w:r>
      <w:r>
        <w:rPr>
          <w:rFonts w:hint="eastAsia" w:eastAsia="仿宋"/>
          <w:sz w:val="24"/>
          <w:szCs w:val="22"/>
          <w:lang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eastAsia" w:eastAsia="仿宋"/>
          <w:sz w:val="24"/>
          <w:szCs w:val="22"/>
        </w:rPr>
        <w:t xml:space="preserve">； </w:t>
      </w:r>
    </w:p>
    <w:p>
      <w:pPr>
        <w:rPr>
          <w:rFonts w:hint="eastAsia" w:eastAsia="仿宋"/>
          <w:sz w:val="24"/>
          <w:szCs w:val="22"/>
        </w:rPr>
      </w:pPr>
      <w:r>
        <w:rPr>
          <w:rFonts w:hint="eastAsia" w:eastAsia="仿宋"/>
          <w:sz w:val="24"/>
          <w:szCs w:val="22"/>
        </w:rPr>
        <w:t>4）法定代表人参加投标的，应提供法定代表人居民身份证；法定代表人授权人参加投标的，应提供法定代表人授权书及被授权人居民身份证；</w:t>
      </w:r>
    </w:p>
    <w:p>
      <w:pPr>
        <w:rPr>
          <w:rFonts w:hint="eastAsia" w:eastAsia="仿宋"/>
          <w:sz w:val="24"/>
          <w:szCs w:val="22"/>
        </w:rPr>
      </w:pPr>
      <w:r>
        <w:rPr>
          <w:rFonts w:hint="eastAsia" w:eastAsia="仿宋"/>
          <w:sz w:val="24"/>
          <w:szCs w:val="22"/>
        </w:rPr>
        <w:t>5）未被列入“信用中国”网站中的“失信被执行名单”、“企业经营异常名录”、“</w:t>
      </w:r>
      <w:r>
        <w:rPr>
          <w:rFonts w:hint="eastAsia" w:eastAsia="仿宋"/>
          <w:sz w:val="24"/>
          <w:szCs w:val="22"/>
          <w:lang w:eastAsia="zh-CN"/>
        </w:rPr>
        <w:t>税收违法黑名单</w:t>
      </w:r>
      <w:r>
        <w:rPr>
          <w:rFonts w:hint="eastAsia" w:eastAsia="仿宋"/>
          <w:sz w:val="24"/>
          <w:szCs w:val="22"/>
        </w:rPr>
        <w:t>”其中之一，未被列入“中国政府采购网”中的“政府采购严重违法失信行为记录名单”，否则将被拒绝参与本次政府采购活动；；</w:t>
      </w:r>
    </w:p>
    <w:p>
      <w:pPr>
        <w:rPr>
          <w:rFonts w:hint="eastAsia" w:eastAsia="仿宋"/>
          <w:sz w:val="24"/>
          <w:szCs w:val="22"/>
        </w:rPr>
      </w:pPr>
      <w:r>
        <w:rPr>
          <w:rFonts w:hint="eastAsia" w:eastAsia="仿宋"/>
          <w:sz w:val="24"/>
          <w:szCs w:val="22"/>
        </w:rPr>
        <w:t>6)单位负责人为同一人或者存在直接控股、管理关系的不同投标人，不得参加同一合同项下的政府采购活动。</w:t>
      </w:r>
    </w:p>
    <w:p>
      <w:pPr>
        <w:rPr>
          <w:rFonts w:eastAsia="仿宋"/>
          <w:sz w:val="24"/>
          <w:szCs w:val="22"/>
        </w:rPr>
      </w:pPr>
      <w:r>
        <w:rPr>
          <w:rFonts w:hint="eastAsia" w:eastAsia="仿宋"/>
          <w:sz w:val="24"/>
          <w:szCs w:val="22"/>
        </w:rPr>
        <w:t>7）本项目不允许联合体投标。</w:t>
      </w:r>
    </w:p>
    <w:p>
      <w:pPr>
        <w:rPr>
          <w:rFonts w:eastAsia="仿宋"/>
          <w:sz w:val="24"/>
          <w:szCs w:val="22"/>
        </w:rPr>
      </w:pPr>
      <w:r>
        <w:rPr>
          <w:rFonts w:eastAsia="仿宋"/>
          <w:sz w:val="24"/>
          <w:szCs w:val="22"/>
        </w:rPr>
        <w:t>5．投标费用</w:t>
      </w:r>
    </w:p>
    <w:p>
      <w:pPr>
        <w:rPr>
          <w:rFonts w:eastAsia="仿宋"/>
          <w:sz w:val="24"/>
          <w:szCs w:val="22"/>
        </w:rPr>
      </w:pPr>
      <w:r>
        <w:rPr>
          <w:rFonts w:eastAsia="仿宋"/>
          <w:sz w:val="24"/>
          <w:szCs w:val="22"/>
        </w:rPr>
        <w:t>5.1 无论投标过程中的作法和结果如何，投标商将自行承担所有与参加投标有关的全部费用。</w:t>
      </w:r>
    </w:p>
    <w:p>
      <w:pPr>
        <w:pStyle w:val="5"/>
        <w:spacing w:before="100" w:beforeAutospacing="1" w:after="100" w:afterAutospacing="1" w:line="240" w:lineRule="auto"/>
        <w:jc w:val="center"/>
        <w:rPr>
          <w:rFonts w:ascii="Times New Roman" w:hAnsi="Times New Roman" w:eastAsia="仿宋"/>
          <w:sz w:val="28"/>
          <w:szCs w:val="28"/>
        </w:rPr>
      </w:pPr>
      <w:bookmarkStart w:id="33" w:name="_Toc25360"/>
      <w:r>
        <w:rPr>
          <w:rFonts w:ascii="Times New Roman" w:hAnsi="Times New Roman" w:eastAsia="仿宋"/>
          <w:sz w:val="28"/>
          <w:szCs w:val="28"/>
        </w:rPr>
        <w:t>B  谈判文件</w:t>
      </w:r>
      <w:bookmarkEnd w:id="33"/>
    </w:p>
    <w:p>
      <w:pPr>
        <w:rPr>
          <w:rFonts w:eastAsia="仿宋"/>
          <w:sz w:val="24"/>
        </w:rPr>
      </w:pPr>
      <w:r>
        <w:rPr>
          <w:rFonts w:eastAsia="仿宋"/>
          <w:sz w:val="24"/>
        </w:rPr>
        <w:t>6．谈判文件构成</w:t>
      </w:r>
    </w:p>
    <w:p>
      <w:pPr>
        <w:rPr>
          <w:rFonts w:eastAsia="仿宋"/>
          <w:sz w:val="24"/>
        </w:rPr>
      </w:pPr>
      <w:r>
        <w:rPr>
          <w:rFonts w:eastAsia="仿宋"/>
          <w:sz w:val="24"/>
        </w:rPr>
        <w:t>6.1谈判文件包括：</w:t>
      </w:r>
    </w:p>
    <w:p>
      <w:pPr>
        <w:ind w:left="360" w:hanging="360" w:hangingChars="150"/>
        <w:rPr>
          <w:rFonts w:eastAsia="仿宋"/>
          <w:sz w:val="24"/>
        </w:rPr>
      </w:pPr>
      <w:r>
        <w:rPr>
          <w:rFonts w:eastAsia="仿宋"/>
          <w:sz w:val="24"/>
        </w:rPr>
        <w:t>⑴谈判邀请；</w:t>
      </w:r>
    </w:p>
    <w:p>
      <w:pPr>
        <w:ind w:left="360" w:hanging="360" w:hangingChars="150"/>
        <w:rPr>
          <w:rFonts w:eastAsia="仿宋"/>
          <w:sz w:val="24"/>
        </w:rPr>
      </w:pPr>
      <w:r>
        <w:rPr>
          <w:rFonts w:eastAsia="仿宋"/>
          <w:sz w:val="24"/>
        </w:rPr>
        <w:t>⑵供应商须知；</w:t>
      </w:r>
    </w:p>
    <w:p>
      <w:pPr>
        <w:ind w:left="360" w:hanging="360" w:hangingChars="150"/>
        <w:rPr>
          <w:rFonts w:eastAsia="仿宋"/>
          <w:sz w:val="24"/>
        </w:rPr>
      </w:pPr>
      <w:r>
        <w:rPr>
          <w:rFonts w:eastAsia="仿宋"/>
          <w:sz w:val="24"/>
        </w:rPr>
        <w:t>⑶货物需求一览表；</w:t>
      </w:r>
    </w:p>
    <w:p>
      <w:pPr>
        <w:ind w:left="360" w:hanging="360" w:hangingChars="150"/>
        <w:rPr>
          <w:rFonts w:eastAsia="仿宋"/>
          <w:sz w:val="24"/>
        </w:rPr>
      </w:pPr>
      <w:r>
        <w:rPr>
          <w:rFonts w:eastAsia="仿宋"/>
          <w:sz w:val="24"/>
        </w:rPr>
        <w:t>⑷合同条款；</w:t>
      </w:r>
    </w:p>
    <w:p>
      <w:pPr>
        <w:ind w:left="360" w:hanging="360" w:hangingChars="150"/>
        <w:rPr>
          <w:rFonts w:eastAsia="仿宋"/>
          <w:sz w:val="24"/>
        </w:rPr>
      </w:pPr>
      <w:r>
        <w:rPr>
          <w:rFonts w:eastAsia="仿宋"/>
          <w:sz w:val="24"/>
        </w:rPr>
        <w:t>⑸范本格式。</w:t>
      </w:r>
    </w:p>
    <w:p>
      <w:pPr>
        <w:rPr>
          <w:rFonts w:eastAsia="仿宋"/>
          <w:sz w:val="24"/>
        </w:rPr>
      </w:pPr>
      <w:r>
        <w:rPr>
          <w:rFonts w:eastAsia="仿宋"/>
          <w:sz w:val="24"/>
        </w:rPr>
        <w:t>6.2 谈判文件以中文编写。</w:t>
      </w:r>
    </w:p>
    <w:p>
      <w:pPr>
        <w:ind w:left="360" w:hanging="360" w:hangingChars="150"/>
        <w:rPr>
          <w:rFonts w:eastAsia="仿宋"/>
          <w:sz w:val="24"/>
        </w:rPr>
      </w:pPr>
      <w:r>
        <w:rPr>
          <w:rFonts w:eastAsia="仿宋"/>
          <w:sz w:val="24"/>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rPr>
          <w:rFonts w:eastAsia="仿宋"/>
          <w:sz w:val="24"/>
        </w:rPr>
      </w:pPr>
      <w:r>
        <w:rPr>
          <w:rFonts w:eastAsia="仿宋"/>
          <w:sz w:val="24"/>
        </w:rPr>
        <w:t>7．谈判文件澄清</w:t>
      </w:r>
    </w:p>
    <w:p>
      <w:pPr>
        <w:spacing w:line="400" w:lineRule="atLeast"/>
        <w:ind w:left="480" w:hanging="480"/>
        <w:rPr>
          <w:rFonts w:eastAsia="仿宋"/>
          <w:sz w:val="24"/>
        </w:rPr>
      </w:pPr>
      <w:r>
        <w:rPr>
          <w:rFonts w:eastAsia="仿宋"/>
          <w:sz w:val="24"/>
        </w:rPr>
        <w:t>7.1供应商在收到谈判文件后，若有疑问需要澄清的，应于收到谈判文件日起至谈判响应文件递交截止时间3个工作日以前以书面形式向招标代理机构提出，招标代理机构将以书面形式予以解答，并及时送至所有供应商；</w:t>
      </w:r>
    </w:p>
    <w:p>
      <w:pPr>
        <w:ind w:left="480" w:hanging="480"/>
        <w:rPr>
          <w:rFonts w:eastAsia="仿宋"/>
          <w:sz w:val="24"/>
        </w:rPr>
      </w:pPr>
      <w:r>
        <w:rPr>
          <w:rFonts w:eastAsia="仿宋"/>
          <w:sz w:val="24"/>
        </w:rPr>
        <w:t>7.2供应商对谈判文件有质疑，须在谈判响应文件递交截止时间3个工作日以前，以书面形式向采购代理机构提出质疑；采购代理机构在收到书面质疑后尽快做出答复，并以书面形式通知质疑供应商。</w:t>
      </w:r>
    </w:p>
    <w:p>
      <w:pPr>
        <w:rPr>
          <w:rFonts w:eastAsia="仿宋"/>
          <w:sz w:val="24"/>
        </w:rPr>
      </w:pPr>
      <w:r>
        <w:rPr>
          <w:rFonts w:eastAsia="仿宋"/>
          <w:sz w:val="24"/>
        </w:rPr>
        <w:t>8.  谈判文件的修改</w:t>
      </w:r>
    </w:p>
    <w:p>
      <w:pPr>
        <w:ind w:left="480" w:hanging="480"/>
        <w:rPr>
          <w:rFonts w:eastAsia="仿宋"/>
          <w:sz w:val="24"/>
        </w:rPr>
      </w:pPr>
      <w:r>
        <w:rPr>
          <w:rFonts w:eastAsia="仿宋"/>
          <w:sz w:val="24"/>
        </w:rPr>
        <w:t>8.1 对谈判文件进行必要的修改，采购代理机构将在谈判响应文件递交截止时间3个工作日前以书面形式通知所有购买谈判文件的供应商。该修改的内容为谈判文件的组成部分；</w:t>
      </w:r>
    </w:p>
    <w:p>
      <w:pPr>
        <w:spacing w:line="400" w:lineRule="atLeast"/>
        <w:rPr>
          <w:rFonts w:eastAsia="仿宋"/>
          <w:sz w:val="24"/>
        </w:rPr>
      </w:pPr>
      <w:r>
        <w:rPr>
          <w:rFonts w:eastAsia="仿宋"/>
          <w:sz w:val="24"/>
        </w:rPr>
        <w:t>8.2 供应商在规定的时间内未对谈判文件提出澄清要求的，采购代理机构将视其为同意。</w:t>
      </w:r>
    </w:p>
    <w:p>
      <w:pPr>
        <w:ind w:left="480" w:hanging="480"/>
        <w:rPr>
          <w:rFonts w:eastAsia="仿宋"/>
          <w:sz w:val="24"/>
        </w:rPr>
      </w:pPr>
      <w:r>
        <w:rPr>
          <w:rFonts w:eastAsia="仿宋"/>
          <w:sz w:val="24"/>
        </w:rPr>
        <w:t>8.3在递交谈判响应文件截止时间前，采购代理机构可视具体情况延长谈判响应文件递交截止时间，并将变更时间书面通知所有购买谈判文件的供应商。</w:t>
      </w:r>
    </w:p>
    <w:p>
      <w:pPr>
        <w:ind w:left="480" w:hanging="480"/>
        <w:rPr>
          <w:rFonts w:eastAsia="仿宋"/>
          <w:sz w:val="24"/>
        </w:rPr>
      </w:pPr>
    </w:p>
    <w:p>
      <w:pPr>
        <w:pStyle w:val="5"/>
        <w:spacing w:before="100" w:beforeAutospacing="1" w:after="100" w:afterAutospacing="1" w:line="240" w:lineRule="auto"/>
        <w:jc w:val="center"/>
        <w:rPr>
          <w:rFonts w:ascii="Times New Roman" w:hAnsi="Times New Roman" w:eastAsia="仿宋"/>
          <w:sz w:val="28"/>
          <w:szCs w:val="28"/>
        </w:rPr>
      </w:pPr>
      <w:bookmarkStart w:id="34" w:name="_Toc32496"/>
      <w:r>
        <w:rPr>
          <w:rFonts w:ascii="Times New Roman" w:hAnsi="Times New Roman" w:eastAsia="仿宋"/>
          <w:sz w:val="28"/>
          <w:szCs w:val="28"/>
        </w:rPr>
        <w:t>C  谈判响应文件的编写</w:t>
      </w:r>
      <w:bookmarkEnd w:id="34"/>
    </w:p>
    <w:p>
      <w:pPr>
        <w:rPr>
          <w:rFonts w:eastAsia="仿宋"/>
          <w:sz w:val="24"/>
        </w:rPr>
      </w:pPr>
      <w:r>
        <w:rPr>
          <w:rFonts w:eastAsia="仿宋"/>
          <w:sz w:val="24"/>
        </w:rPr>
        <w:t>9．要求</w:t>
      </w:r>
    </w:p>
    <w:p>
      <w:pPr>
        <w:ind w:left="360" w:hanging="360" w:hangingChars="150"/>
        <w:rPr>
          <w:rFonts w:eastAsia="仿宋"/>
          <w:sz w:val="24"/>
        </w:rPr>
      </w:pPr>
      <w:r>
        <w:rPr>
          <w:rFonts w:eastAsia="仿宋"/>
          <w:sz w:val="24"/>
        </w:rPr>
        <w:t>9.1 供应商应仔细阅读谈判文件的所有内容，按谈判文件的要求提供谈判响应文件，并保证所提供的全部资料的真实性，以使其谈判响应对谈判文件作出实质性响应，否则，其谈判响应可能被拒绝。</w:t>
      </w:r>
    </w:p>
    <w:p>
      <w:pPr>
        <w:rPr>
          <w:rFonts w:eastAsia="仿宋"/>
          <w:sz w:val="24"/>
        </w:rPr>
      </w:pPr>
      <w:r>
        <w:rPr>
          <w:rFonts w:eastAsia="仿宋"/>
          <w:sz w:val="24"/>
        </w:rPr>
        <w:t>10．谈判响应语言</w:t>
      </w:r>
    </w:p>
    <w:p>
      <w:pPr>
        <w:ind w:left="600" w:hanging="600" w:hangingChars="250"/>
        <w:rPr>
          <w:rFonts w:eastAsia="仿宋"/>
          <w:sz w:val="24"/>
        </w:rPr>
      </w:pPr>
      <w:r>
        <w:rPr>
          <w:rFonts w:eastAsia="仿宋"/>
          <w:sz w:val="24"/>
        </w:rPr>
        <w:t>10.1谈判响应文件及供应商与采购代理机构就谈判响应交换的文件和来往信件，应以中文书写。</w:t>
      </w:r>
    </w:p>
    <w:p>
      <w:pPr>
        <w:rPr>
          <w:rFonts w:eastAsia="仿宋"/>
          <w:sz w:val="24"/>
        </w:rPr>
      </w:pPr>
      <w:r>
        <w:rPr>
          <w:rFonts w:eastAsia="仿宋"/>
          <w:sz w:val="24"/>
        </w:rPr>
        <w:t>11．谈判响应文件的构成</w:t>
      </w:r>
    </w:p>
    <w:p>
      <w:pPr>
        <w:rPr>
          <w:rFonts w:eastAsia="仿宋"/>
          <w:sz w:val="24"/>
        </w:rPr>
      </w:pPr>
      <w:r>
        <w:rPr>
          <w:rFonts w:eastAsia="仿宋"/>
          <w:sz w:val="24"/>
        </w:rPr>
        <w:t xml:space="preserve">11.1 </w:t>
      </w:r>
      <w:r>
        <w:rPr>
          <w:rFonts w:eastAsia="仿宋"/>
          <w:b/>
          <w:bCs/>
          <w:sz w:val="24"/>
        </w:rPr>
        <w:t>谈判响应文件由经济文件、商务文件、技术文件组成（格式见第五部分范本格式）</w:t>
      </w:r>
      <w:r>
        <w:rPr>
          <w:rFonts w:eastAsia="仿宋"/>
          <w:sz w:val="24"/>
        </w:rPr>
        <w:t>。</w:t>
      </w:r>
    </w:p>
    <w:p>
      <w:pPr>
        <w:ind w:left="630" w:leftChars="300"/>
        <w:rPr>
          <w:rFonts w:eastAsia="仿宋"/>
          <w:b/>
          <w:bCs/>
          <w:sz w:val="24"/>
        </w:rPr>
      </w:pPr>
      <w:r>
        <w:rPr>
          <w:rFonts w:eastAsia="仿宋"/>
          <w:b/>
          <w:bCs/>
          <w:sz w:val="24"/>
        </w:rPr>
        <w:t>第一节、经济文件</w:t>
      </w:r>
    </w:p>
    <w:p>
      <w:pPr>
        <w:ind w:left="630" w:leftChars="300"/>
        <w:rPr>
          <w:rFonts w:eastAsia="仿宋"/>
          <w:b/>
          <w:bCs/>
          <w:sz w:val="24"/>
        </w:rPr>
      </w:pPr>
      <w:r>
        <w:rPr>
          <w:rFonts w:eastAsia="仿宋"/>
          <w:b/>
          <w:bCs/>
          <w:sz w:val="24"/>
        </w:rPr>
        <w:t>第二节、商务文件</w:t>
      </w:r>
    </w:p>
    <w:p>
      <w:pPr>
        <w:ind w:left="630" w:leftChars="300"/>
        <w:rPr>
          <w:rFonts w:eastAsia="仿宋"/>
          <w:b/>
          <w:bCs/>
          <w:sz w:val="24"/>
        </w:rPr>
      </w:pPr>
      <w:r>
        <w:rPr>
          <w:rFonts w:eastAsia="仿宋"/>
          <w:b/>
          <w:bCs/>
          <w:sz w:val="24"/>
        </w:rPr>
        <w:t>第三节、技术文件</w:t>
      </w:r>
    </w:p>
    <w:p>
      <w:pPr>
        <w:rPr>
          <w:rFonts w:eastAsia="仿宋"/>
          <w:sz w:val="24"/>
        </w:rPr>
      </w:pPr>
      <w:r>
        <w:rPr>
          <w:rFonts w:eastAsia="仿宋"/>
          <w:sz w:val="24"/>
        </w:rPr>
        <w:t xml:space="preserve">11.2 </w:t>
      </w:r>
      <w:r>
        <w:rPr>
          <w:rFonts w:eastAsia="仿宋"/>
          <w:b/>
          <w:bCs/>
          <w:sz w:val="24"/>
        </w:rPr>
        <w:t>唱标信封单独编制、单独分装。</w:t>
      </w:r>
    </w:p>
    <w:p>
      <w:pPr>
        <w:rPr>
          <w:rFonts w:eastAsia="仿宋"/>
          <w:sz w:val="24"/>
        </w:rPr>
      </w:pPr>
      <w:r>
        <w:rPr>
          <w:rFonts w:eastAsia="仿宋"/>
          <w:sz w:val="24"/>
        </w:rPr>
        <w:t xml:space="preserve">11.3 </w:t>
      </w:r>
      <w:r>
        <w:rPr>
          <w:rFonts w:eastAsia="仿宋"/>
          <w:b/>
          <w:bCs/>
          <w:sz w:val="24"/>
        </w:rPr>
        <w:t>供应商</w:t>
      </w:r>
      <w:r>
        <w:rPr>
          <w:rFonts w:hint="eastAsia" w:eastAsia="仿宋"/>
          <w:b/>
          <w:bCs/>
          <w:sz w:val="24"/>
        </w:rPr>
        <w:t>电子投标文件的编</w:t>
      </w:r>
      <w:r>
        <w:rPr>
          <w:rFonts w:eastAsia="仿宋"/>
          <w:b/>
          <w:bCs/>
          <w:sz w:val="24"/>
        </w:rPr>
        <w:t>必须包括但不限于上述内容</w:t>
      </w:r>
      <w:r>
        <w:rPr>
          <w:rFonts w:eastAsia="仿宋"/>
          <w:sz w:val="24"/>
        </w:rPr>
        <w:t>。</w:t>
      </w:r>
    </w:p>
    <w:p>
      <w:pPr>
        <w:rPr>
          <w:rFonts w:eastAsia="仿宋"/>
          <w:sz w:val="24"/>
        </w:rPr>
      </w:pPr>
      <w:r>
        <w:rPr>
          <w:rFonts w:eastAsia="仿宋"/>
          <w:sz w:val="24"/>
        </w:rPr>
        <w:t>11.4 供应商应将谈判响</w:t>
      </w:r>
      <w:r>
        <w:rPr>
          <w:rFonts w:hint="eastAsia" w:eastAsia="仿宋"/>
          <w:sz w:val="24"/>
          <w:lang w:val="en-US" w:eastAsia="zh-CN"/>
        </w:rPr>
        <w:t>以</w:t>
      </w:r>
      <w:r>
        <w:rPr>
          <w:rFonts w:hint="eastAsia" w:ascii="仿宋" w:hAnsi="仿宋" w:eastAsia="仿宋" w:cs="仿宋"/>
          <w:sz w:val="24"/>
          <w:highlight w:val="none"/>
        </w:rPr>
        <w:t>电子投标文件使用</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rPr>
        <w:t>平台提供的投标文件制作工具以及招标文件要求进行制作编制。投标文件制作时，不同内容按标签提示制作导入，按照招标文件中明确的投标文件目录和格式进行编制，保证目录清晰、内容完整</w:t>
      </w:r>
      <w:r>
        <w:rPr>
          <w:rFonts w:eastAsia="仿宋"/>
          <w:sz w:val="24"/>
        </w:rPr>
        <w:t>。</w:t>
      </w:r>
    </w:p>
    <w:p>
      <w:pPr>
        <w:pStyle w:val="2"/>
        <w:ind w:left="0" w:leftChars="0" w:firstLine="0" w:firstLineChars="0"/>
        <w:rPr>
          <w:rFonts w:hint="eastAsia" w:ascii="仿宋" w:hAnsi="仿宋" w:eastAsia="仿宋" w:cs="仿宋"/>
          <w:sz w:val="24"/>
          <w:highlight w:val="none"/>
        </w:rPr>
      </w:pPr>
      <w:r>
        <w:rPr>
          <w:rFonts w:hint="eastAsia" w:eastAsia="仿宋"/>
          <w:lang w:val="en-US" w:eastAsia="zh-CN"/>
        </w:rPr>
        <w:t xml:space="preserve">11.5 </w:t>
      </w:r>
      <w:r>
        <w:rPr>
          <w:rFonts w:hint="eastAsia" w:ascii="仿宋" w:hAnsi="仿宋" w:eastAsia="仿宋" w:cs="仿宋"/>
          <w:sz w:val="24"/>
          <w:highlight w:val="none"/>
        </w:rPr>
        <w:t>电子投标文件须使用投标人公章的电子签章以及法定代表人的电子签章。若无电子签章，则视为无效投标。</w:t>
      </w:r>
    </w:p>
    <w:p>
      <w:pPr>
        <w:rPr>
          <w:rFonts w:hint="default" w:eastAsia="仿宋"/>
          <w:lang w:val="en-US" w:eastAsia="zh-CN"/>
        </w:rPr>
      </w:pPr>
      <w:r>
        <w:rPr>
          <w:rFonts w:hint="eastAsia" w:ascii="仿宋" w:hAnsi="仿宋" w:eastAsia="仿宋" w:cs="仿宋"/>
          <w:sz w:val="24"/>
          <w:highlight w:val="none"/>
          <w:lang w:val="en-US" w:eastAsia="zh-CN"/>
        </w:rPr>
        <w:t xml:space="preserve">11.6 </w:t>
      </w:r>
      <w:r>
        <w:rPr>
          <w:rFonts w:hint="eastAsia" w:ascii="仿宋" w:hAnsi="仿宋" w:eastAsia="仿宋" w:cs="仿宋"/>
          <w:sz w:val="24"/>
          <w:highlight w:val="none"/>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rPr>
          <w:rFonts w:eastAsia="仿宋"/>
          <w:sz w:val="24"/>
        </w:rPr>
      </w:pPr>
      <w:r>
        <w:rPr>
          <w:rFonts w:eastAsia="仿宋"/>
          <w:sz w:val="24"/>
        </w:rPr>
        <w:t>12．谈判响应文件格式</w:t>
      </w:r>
    </w:p>
    <w:p>
      <w:pPr>
        <w:ind w:left="600" w:hanging="600" w:hangingChars="250"/>
        <w:rPr>
          <w:rFonts w:eastAsia="仿宋"/>
          <w:sz w:val="24"/>
        </w:rPr>
      </w:pPr>
      <w:r>
        <w:rPr>
          <w:rFonts w:eastAsia="仿宋"/>
          <w:sz w:val="24"/>
        </w:rPr>
        <w:t>12.1 供应商应按谈判文件的范本格式中提供的谈判响应文件格式填写。</w:t>
      </w:r>
    </w:p>
    <w:p>
      <w:pPr>
        <w:rPr>
          <w:rFonts w:eastAsia="仿宋"/>
          <w:sz w:val="24"/>
        </w:rPr>
      </w:pPr>
      <w:r>
        <w:rPr>
          <w:rFonts w:eastAsia="仿宋"/>
          <w:sz w:val="24"/>
        </w:rPr>
        <w:t>13．谈判响应报价：</w:t>
      </w:r>
    </w:p>
    <w:p>
      <w:pPr>
        <w:ind w:left="600" w:hanging="600" w:hangingChars="250"/>
        <w:rPr>
          <w:rFonts w:eastAsia="仿宋"/>
          <w:sz w:val="24"/>
        </w:rPr>
      </w:pPr>
      <w:r>
        <w:rPr>
          <w:rFonts w:eastAsia="仿宋"/>
          <w:sz w:val="24"/>
        </w:rPr>
        <w:t>13.1 供应商应在谈判响应报价表上标明单价和总价。</w:t>
      </w:r>
    </w:p>
    <w:p>
      <w:pPr>
        <w:ind w:left="600" w:hanging="600" w:hangingChars="250"/>
        <w:rPr>
          <w:rFonts w:eastAsia="仿宋"/>
          <w:sz w:val="24"/>
        </w:rPr>
      </w:pPr>
      <w:r>
        <w:rPr>
          <w:rFonts w:eastAsia="仿宋"/>
          <w:sz w:val="24"/>
        </w:rPr>
        <w:t>13.2供应商应在谈判响应报价表中只能有一个报价，不接受有选择的报价。投标文件的大写金额和小写金额不一致的，以大写金额为准；总价金额与按单价汇总金额不一致的，以单价金额计算结果为准；单价金额小数点有明显错位的，应以总价为准，并修改单价。</w:t>
      </w:r>
    </w:p>
    <w:p>
      <w:pPr>
        <w:rPr>
          <w:rFonts w:eastAsia="仿宋"/>
          <w:sz w:val="24"/>
        </w:rPr>
      </w:pPr>
      <w:r>
        <w:rPr>
          <w:rFonts w:eastAsia="仿宋"/>
          <w:sz w:val="24"/>
        </w:rPr>
        <w:t>14．报价货币</w:t>
      </w:r>
    </w:p>
    <w:p>
      <w:pPr>
        <w:tabs>
          <w:tab w:val="left" w:pos="720"/>
          <w:tab w:val="left" w:pos="3460"/>
        </w:tabs>
        <w:spacing w:line="360" w:lineRule="auto"/>
        <w:ind w:left="600" w:hanging="600" w:hangingChars="250"/>
        <w:rPr>
          <w:rFonts w:eastAsia="仿宋"/>
          <w:sz w:val="24"/>
        </w:rPr>
      </w:pPr>
      <w:r>
        <w:rPr>
          <w:rFonts w:eastAsia="仿宋"/>
          <w:sz w:val="24"/>
        </w:rPr>
        <w:t>14.1 人民币报价，以其它货币标价的投标将予以拒绝。</w:t>
      </w:r>
    </w:p>
    <w:p>
      <w:pPr>
        <w:rPr>
          <w:rFonts w:eastAsia="仿宋"/>
          <w:b/>
          <w:bCs/>
          <w:sz w:val="24"/>
        </w:rPr>
      </w:pPr>
      <w:r>
        <w:rPr>
          <w:rFonts w:eastAsia="仿宋"/>
          <w:b/>
          <w:bCs/>
          <w:sz w:val="24"/>
        </w:rPr>
        <w:t>15．投标商的证明文件：</w:t>
      </w:r>
    </w:p>
    <w:p>
      <w:pPr>
        <w:rPr>
          <w:rFonts w:eastAsia="仿宋"/>
          <w:b/>
          <w:bCs/>
          <w:sz w:val="24"/>
        </w:rPr>
      </w:pPr>
      <w:r>
        <w:rPr>
          <w:rFonts w:eastAsia="仿宋"/>
          <w:b/>
          <w:bCs/>
          <w:sz w:val="24"/>
        </w:rPr>
        <w:t>投标商必须提交证明其有资格进行投标和有能力履行合同的文件（范本格式），作为投标文件的一部分。（如不满足以下条款将导致废标）</w:t>
      </w:r>
    </w:p>
    <w:p>
      <w:pPr>
        <w:rPr>
          <w:rFonts w:hint="eastAsia" w:eastAsia="仿宋"/>
          <w:b/>
          <w:bCs/>
          <w:sz w:val="24"/>
        </w:rPr>
      </w:pPr>
      <w:r>
        <w:rPr>
          <w:rFonts w:hint="eastAsia" w:eastAsia="仿宋"/>
          <w:b/>
          <w:bCs/>
          <w:sz w:val="24"/>
        </w:rPr>
        <w:t>1）满足《中华人民共和国政府采购法》第二十二条规定：</w:t>
      </w:r>
    </w:p>
    <w:p>
      <w:pPr>
        <w:rPr>
          <w:rFonts w:hint="eastAsia" w:eastAsia="仿宋"/>
          <w:b/>
          <w:bCs/>
          <w:sz w:val="24"/>
        </w:rPr>
      </w:pPr>
      <w:r>
        <w:rPr>
          <w:rFonts w:hint="eastAsia" w:eastAsia="仿宋"/>
          <w:b/>
          <w:bCs/>
          <w:sz w:val="24"/>
        </w:rPr>
        <w:t>①具有独立承担民事责任的能力；</w:t>
      </w:r>
    </w:p>
    <w:p>
      <w:pPr>
        <w:rPr>
          <w:rFonts w:hint="eastAsia" w:eastAsia="仿宋"/>
          <w:b/>
          <w:bCs/>
          <w:sz w:val="24"/>
        </w:rPr>
      </w:pPr>
      <w:r>
        <w:rPr>
          <w:rFonts w:hint="eastAsia" w:eastAsia="仿宋"/>
          <w:b/>
          <w:bCs/>
          <w:sz w:val="24"/>
        </w:rPr>
        <w:t>②近一年财务审计报告或银行提供的资信证明（新公司从成立之日起算）；</w:t>
      </w:r>
    </w:p>
    <w:p>
      <w:pPr>
        <w:rPr>
          <w:rFonts w:hint="eastAsia" w:eastAsia="仿宋"/>
          <w:b/>
          <w:bCs/>
          <w:sz w:val="24"/>
        </w:rPr>
      </w:pPr>
      <w:r>
        <w:rPr>
          <w:rFonts w:hint="eastAsia" w:eastAsia="仿宋"/>
          <w:b/>
          <w:bCs/>
          <w:sz w:val="24"/>
        </w:rPr>
        <w:t>③具有履行合同所必需的设备和专业技术能力；</w:t>
      </w:r>
    </w:p>
    <w:p>
      <w:pPr>
        <w:rPr>
          <w:rFonts w:hint="eastAsia" w:eastAsia="仿宋"/>
          <w:b/>
          <w:bCs/>
          <w:sz w:val="24"/>
        </w:rPr>
      </w:pPr>
      <w:r>
        <w:rPr>
          <w:rFonts w:hint="eastAsia" w:eastAsia="仿宋"/>
          <w:b/>
          <w:bCs/>
          <w:sz w:val="24"/>
        </w:rPr>
        <w:t>④近一年任意月纳税证明（新公司从成立之日起算），近一年任意月具有人员明细的社保证明（新公司从成立之日起算）；</w:t>
      </w:r>
    </w:p>
    <w:p>
      <w:pPr>
        <w:rPr>
          <w:rFonts w:hint="eastAsia" w:eastAsia="仿宋"/>
          <w:b/>
          <w:bCs/>
          <w:sz w:val="24"/>
        </w:rPr>
      </w:pPr>
      <w:r>
        <w:rPr>
          <w:rFonts w:hint="eastAsia" w:eastAsia="仿宋"/>
          <w:b/>
          <w:bCs/>
          <w:sz w:val="24"/>
        </w:rPr>
        <w:t>⑤参加政府采购活动前三年内，在经营活动中没有重大违法记录；；</w:t>
      </w:r>
    </w:p>
    <w:p>
      <w:pPr>
        <w:rPr>
          <w:rFonts w:hint="eastAsia" w:eastAsia="仿宋"/>
          <w:b/>
          <w:bCs/>
          <w:sz w:val="24"/>
        </w:rPr>
      </w:pPr>
      <w:r>
        <w:rPr>
          <w:rFonts w:hint="eastAsia" w:eastAsia="仿宋"/>
          <w:b/>
          <w:bCs/>
          <w:sz w:val="24"/>
        </w:rPr>
        <w:t>⑥法律、行政法规规定的其他条件；</w:t>
      </w:r>
    </w:p>
    <w:p>
      <w:pPr>
        <w:rPr>
          <w:rFonts w:hint="eastAsia" w:eastAsia="仿宋"/>
          <w:b/>
          <w:bCs/>
          <w:sz w:val="24"/>
        </w:rPr>
      </w:pPr>
      <w:r>
        <w:rPr>
          <w:rFonts w:hint="eastAsia" w:eastAsia="仿宋"/>
          <w:b/>
          <w:bCs/>
          <w:sz w:val="24"/>
        </w:rPr>
        <w:t>2）投标人应出具有效的《营业执照》或公证书；</w:t>
      </w:r>
    </w:p>
    <w:p>
      <w:pPr>
        <w:rPr>
          <w:rFonts w:hint="eastAsia" w:eastAsia="仿宋"/>
          <w:b/>
          <w:bCs/>
          <w:sz w:val="24"/>
        </w:rPr>
      </w:pPr>
      <w:r>
        <w:rPr>
          <w:rFonts w:hint="eastAsia" w:eastAsia="仿宋"/>
          <w:b/>
          <w:bCs/>
          <w:sz w:val="24"/>
        </w:rPr>
        <w:t>3）</w:t>
      </w:r>
      <w:r>
        <w:rPr>
          <w:rFonts w:hint="eastAsia" w:eastAsia="仿宋"/>
          <w:b/>
          <w:bCs/>
          <w:sz w:val="24"/>
          <w:lang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eastAsia" w:eastAsia="仿宋"/>
          <w:b/>
          <w:bCs/>
          <w:sz w:val="24"/>
        </w:rPr>
        <w:t xml:space="preserve">； </w:t>
      </w:r>
    </w:p>
    <w:p>
      <w:pPr>
        <w:rPr>
          <w:rFonts w:hint="eastAsia" w:eastAsia="仿宋"/>
          <w:b/>
          <w:bCs/>
          <w:sz w:val="24"/>
        </w:rPr>
      </w:pPr>
      <w:r>
        <w:rPr>
          <w:rFonts w:hint="eastAsia" w:eastAsia="仿宋"/>
          <w:b/>
          <w:bCs/>
          <w:sz w:val="24"/>
        </w:rPr>
        <w:t>4）被授权人参与开标的，携带法人/单位负责人授权书原件及身份证复印件、被授权人身份证明材料及身份证原件；由法人/单位负责人参加开标的，携带本人身份证复印件及原件；</w:t>
      </w:r>
    </w:p>
    <w:p>
      <w:pPr>
        <w:rPr>
          <w:rFonts w:hint="eastAsia" w:eastAsia="仿宋"/>
          <w:b/>
          <w:bCs/>
          <w:sz w:val="24"/>
        </w:rPr>
      </w:pPr>
      <w:r>
        <w:rPr>
          <w:rFonts w:hint="eastAsia" w:eastAsia="仿宋"/>
          <w:b/>
          <w:bCs/>
          <w:sz w:val="24"/>
        </w:rPr>
        <w:t>5）未被列入“信用中国”网站中的“失信被执行名单”、“税收违法黑名单”其中之一，未被列入“中国政府采购网”中的“政府采购严重违法失信行为记录名单”，否则将被拒绝参与本次政府采购活动；；</w:t>
      </w:r>
    </w:p>
    <w:p>
      <w:pPr>
        <w:rPr>
          <w:rFonts w:hint="eastAsia" w:eastAsia="仿宋"/>
          <w:b/>
          <w:bCs/>
          <w:sz w:val="24"/>
        </w:rPr>
      </w:pPr>
      <w:r>
        <w:rPr>
          <w:rFonts w:hint="eastAsia" w:eastAsia="仿宋"/>
          <w:b/>
          <w:bCs/>
          <w:sz w:val="24"/>
        </w:rPr>
        <w:t>6)单位负责人为同一人或者存在直接控股、管理关系的不同投标人，不得参加同一合同项下的政府采购活动。</w:t>
      </w:r>
    </w:p>
    <w:p>
      <w:pPr>
        <w:rPr>
          <w:rFonts w:hint="eastAsia" w:eastAsia="仿宋"/>
          <w:b/>
          <w:bCs/>
          <w:sz w:val="24"/>
        </w:rPr>
      </w:pPr>
      <w:r>
        <w:rPr>
          <w:rFonts w:hint="eastAsia" w:eastAsia="仿宋"/>
          <w:b/>
          <w:bCs/>
          <w:sz w:val="24"/>
        </w:rPr>
        <w:t>7）本项目不允许联合体投标。</w:t>
      </w:r>
    </w:p>
    <w:p>
      <w:pPr>
        <w:rPr>
          <w:rFonts w:eastAsia="仿宋"/>
          <w:b/>
          <w:bCs/>
          <w:sz w:val="24"/>
        </w:rPr>
      </w:pPr>
      <w:r>
        <w:rPr>
          <w:rFonts w:eastAsia="仿宋"/>
          <w:b/>
          <w:bCs/>
          <w:sz w:val="24"/>
        </w:rPr>
        <w:t>注①投标文件中，所有投标商签字、法人代表签字、法人代表授权人签字和其它签字处须同时加盖有关有法律效力的印章方为有效；</w:t>
      </w:r>
    </w:p>
    <w:p>
      <w:pPr>
        <w:rPr>
          <w:rFonts w:eastAsia="仿宋"/>
          <w:b/>
          <w:bCs/>
          <w:sz w:val="24"/>
        </w:rPr>
      </w:pPr>
      <w:r>
        <w:rPr>
          <w:rFonts w:eastAsia="仿宋"/>
          <w:b/>
          <w:bCs/>
          <w:sz w:val="24"/>
        </w:rPr>
        <w:t>②所有资格证明文件必须满足招标文件要求，否则将导致废标。</w:t>
      </w:r>
    </w:p>
    <w:p>
      <w:pPr>
        <w:rPr>
          <w:rFonts w:eastAsia="仿宋"/>
          <w:b/>
          <w:bCs/>
          <w:sz w:val="24"/>
        </w:rPr>
      </w:pPr>
      <w:r>
        <w:rPr>
          <w:rFonts w:eastAsia="仿宋"/>
          <w:b/>
          <w:bCs/>
          <w:sz w:val="24"/>
        </w:rPr>
        <w:t>16.谈判响应货物符合谈判文件规定的技术响应文件</w:t>
      </w:r>
    </w:p>
    <w:p>
      <w:pPr>
        <w:ind w:left="602" w:hanging="602" w:hangingChars="250"/>
        <w:rPr>
          <w:rFonts w:eastAsia="仿宋"/>
          <w:b/>
          <w:bCs/>
          <w:sz w:val="24"/>
        </w:rPr>
      </w:pPr>
      <w:r>
        <w:rPr>
          <w:rFonts w:eastAsia="仿宋"/>
          <w:b/>
          <w:bCs/>
          <w:sz w:val="24"/>
        </w:rPr>
        <w:t>16.1供应商须提交证明拟供货物和服务符合谈判文件规定的技术响应文件，作为谈判响应文件的一部分。</w:t>
      </w:r>
    </w:p>
    <w:p>
      <w:pPr>
        <w:rPr>
          <w:rFonts w:eastAsia="仿宋"/>
          <w:b/>
          <w:bCs/>
          <w:sz w:val="24"/>
        </w:rPr>
      </w:pPr>
      <w:r>
        <w:rPr>
          <w:rFonts w:eastAsia="仿宋"/>
          <w:b/>
          <w:bCs/>
          <w:sz w:val="24"/>
        </w:rPr>
        <w:t>16.2上述文件可以是文字资料、图纸和数据，并提供：</w:t>
      </w:r>
    </w:p>
    <w:p>
      <w:pPr>
        <w:ind w:firstLine="480"/>
        <w:rPr>
          <w:rFonts w:eastAsia="仿宋"/>
          <w:b/>
          <w:bCs/>
          <w:sz w:val="24"/>
        </w:rPr>
      </w:pPr>
      <w:r>
        <w:rPr>
          <w:rFonts w:eastAsia="仿宋"/>
          <w:b/>
          <w:bCs/>
          <w:sz w:val="24"/>
        </w:rPr>
        <w:t>（1）货物主要技术及性能特点的详细描述；</w:t>
      </w:r>
    </w:p>
    <w:p>
      <w:pPr>
        <w:ind w:firstLine="480"/>
        <w:rPr>
          <w:rFonts w:eastAsia="仿宋"/>
          <w:b/>
          <w:bCs/>
          <w:sz w:val="24"/>
        </w:rPr>
      </w:pPr>
      <w:r>
        <w:rPr>
          <w:rFonts w:eastAsia="仿宋"/>
          <w:b/>
          <w:bCs/>
          <w:sz w:val="24"/>
        </w:rPr>
        <w:t>（2）货物的详细资料；</w:t>
      </w:r>
    </w:p>
    <w:p>
      <w:pPr>
        <w:ind w:left="1081" w:leftChars="228" w:hanging="602" w:hangingChars="250"/>
        <w:rPr>
          <w:rFonts w:eastAsia="仿宋"/>
          <w:b/>
          <w:bCs/>
          <w:sz w:val="24"/>
        </w:rPr>
      </w:pPr>
      <w:r>
        <w:rPr>
          <w:rFonts w:eastAsia="仿宋"/>
          <w:b/>
          <w:bCs/>
          <w:sz w:val="24"/>
        </w:rPr>
        <w:t>（3）一份在技术规格中规定的保证货物正常和连续运转期间所需要的所有备件和专业工具的详细清单包括价格及供货来源信息；</w:t>
      </w:r>
    </w:p>
    <w:p>
      <w:pPr>
        <w:ind w:firstLine="480"/>
        <w:rPr>
          <w:rFonts w:eastAsia="仿宋"/>
          <w:b/>
          <w:bCs/>
          <w:sz w:val="24"/>
        </w:rPr>
      </w:pPr>
      <w:r>
        <w:rPr>
          <w:rFonts w:eastAsia="仿宋"/>
          <w:b/>
          <w:bCs/>
          <w:sz w:val="24"/>
        </w:rPr>
        <w:t>没有按要求提供资料或提供资料不完全，将是对本次谈判采购没有作出实质性响应，其风险由供应商自行承担。</w:t>
      </w:r>
    </w:p>
    <w:p>
      <w:pPr>
        <w:rPr>
          <w:rFonts w:eastAsia="仿宋"/>
          <w:sz w:val="24"/>
        </w:rPr>
      </w:pPr>
      <w:r>
        <w:rPr>
          <w:rFonts w:eastAsia="仿宋"/>
          <w:sz w:val="24"/>
        </w:rPr>
        <w:t>17．谈判响应的有效期</w:t>
      </w:r>
    </w:p>
    <w:p>
      <w:pPr>
        <w:rPr>
          <w:rFonts w:eastAsia="仿宋"/>
          <w:sz w:val="24"/>
        </w:rPr>
      </w:pPr>
      <w:r>
        <w:rPr>
          <w:rFonts w:eastAsia="仿宋"/>
          <w:sz w:val="24"/>
        </w:rPr>
        <w:t>17.1 谈判响应文件从开标之日起，谈判响应有效期为90天。（如不满足将导致废标）</w:t>
      </w:r>
    </w:p>
    <w:p>
      <w:pPr>
        <w:rPr>
          <w:rFonts w:eastAsia="仿宋"/>
          <w:sz w:val="24"/>
        </w:rPr>
      </w:pPr>
      <w:r>
        <w:rPr>
          <w:rFonts w:eastAsia="仿宋"/>
          <w:sz w:val="24"/>
        </w:rPr>
        <w:t>17.2 在特殊情况下，采购代理机构可与供应商商量延长谈判响应文件的有效期。</w:t>
      </w:r>
    </w:p>
    <w:p>
      <w:pPr>
        <w:rPr>
          <w:rFonts w:eastAsia="仿宋"/>
          <w:sz w:val="24"/>
        </w:rPr>
      </w:pPr>
      <w:r>
        <w:rPr>
          <w:rFonts w:eastAsia="仿宋"/>
          <w:sz w:val="24"/>
        </w:rPr>
        <w:t>18．谈判响应文件的书写要求。</w:t>
      </w:r>
    </w:p>
    <w:p>
      <w:pPr>
        <w:rPr>
          <w:rFonts w:eastAsia="仿宋"/>
          <w:sz w:val="24"/>
        </w:rPr>
      </w:pPr>
      <w:r>
        <w:rPr>
          <w:rFonts w:eastAsia="仿宋"/>
          <w:sz w:val="24"/>
        </w:rPr>
        <w:t>18.1 谈判响应文件须打印。</w:t>
      </w:r>
    </w:p>
    <w:p>
      <w:pPr>
        <w:rPr>
          <w:rFonts w:eastAsia="仿宋"/>
          <w:sz w:val="24"/>
        </w:rPr>
      </w:pPr>
      <w:r>
        <w:rPr>
          <w:rFonts w:eastAsia="仿宋"/>
          <w:sz w:val="24"/>
        </w:rPr>
        <w:t>18.2 谈判响应文件应清楚工整，修改处应由供应商法定代表人或授权人签章。</w:t>
      </w:r>
    </w:p>
    <w:p>
      <w:pPr>
        <w:ind w:left="600" w:hanging="600" w:hangingChars="250"/>
        <w:rPr>
          <w:rFonts w:eastAsia="仿宋"/>
          <w:sz w:val="24"/>
        </w:rPr>
      </w:pPr>
      <w:r>
        <w:rPr>
          <w:rFonts w:eastAsia="仿宋"/>
          <w:sz w:val="24"/>
        </w:rPr>
        <w:t>18.3谈判响应文件应由法人代表或法人授权代表在凡规定签章处逐一签署及加盖单位的公章。</w:t>
      </w:r>
    </w:p>
    <w:p>
      <w:pPr>
        <w:rPr>
          <w:rFonts w:eastAsia="仿宋"/>
          <w:sz w:val="24"/>
        </w:rPr>
      </w:pPr>
      <w:r>
        <w:rPr>
          <w:rFonts w:eastAsia="仿宋"/>
          <w:sz w:val="24"/>
        </w:rPr>
        <w:t>18.4电报、电话、传真形式的谈判响应概不接受。</w:t>
      </w:r>
    </w:p>
    <w:p>
      <w:pPr>
        <w:rPr>
          <w:rFonts w:eastAsia="仿宋"/>
          <w:sz w:val="24"/>
        </w:rPr>
      </w:pPr>
      <w:r>
        <w:rPr>
          <w:rFonts w:eastAsia="仿宋"/>
          <w:sz w:val="24"/>
        </w:rPr>
        <w:t>18.5谈判响应文件的份数：</w:t>
      </w:r>
      <w:r>
        <w:rPr>
          <w:rFonts w:eastAsia="仿宋"/>
          <w:sz w:val="24"/>
          <w:szCs w:val="24"/>
        </w:rPr>
        <w:t>谈判响应文件：正本壹套、</w:t>
      </w:r>
    </w:p>
    <w:p>
      <w:pPr>
        <w:rPr>
          <w:rFonts w:eastAsia="仿宋"/>
          <w:sz w:val="24"/>
        </w:rPr>
      </w:pPr>
      <w:r>
        <w:rPr>
          <w:rFonts w:eastAsia="仿宋"/>
          <w:sz w:val="24"/>
        </w:rPr>
        <w:t>19．谈判响应保证金</w:t>
      </w:r>
    </w:p>
    <w:p>
      <w:pPr>
        <w:ind w:left="600" w:hanging="600" w:hangingChars="250"/>
        <w:rPr>
          <w:rFonts w:eastAsia="仿宋"/>
          <w:sz w:val="24"/>
        </w:rPr>
      </w:pPr>
      <w:r>
        <w:rPr>
          <w:rFonts w:eastAsia="仿宋"/>
          <w:sz w:val="24"/>
        </w:rPr>
        <w:t>19.1供应商按</w:t>
      </w:r>
      <w:r>
        <w:rPr>
          <w:rFonts w:hint="eastAsia" w:eastAsia="仿宋"/>
          <w:sz w:val="24"/>
          <w:lang w:val="en-US" w:eastAsia="zh-CN"/>
        </w:rPr>
        <w:t>须知前附表要求</w:t>
      </w:r>
      <w:r>
        <w:rPr>
          <w:rFonts w:eastAsia="仿宋"/>
          <w:sz w:val="24"/>
        </w:rPr>
        <w:t>，于谈判响应文件递交截止时间前向采购代理机构交纳谈判响应保证金。</w:t>
      </w:r>
    </w:p>
    <w:p>
      <w:pPr>
        <w:ind w:left="600" w:hanging="600" w:hangingChars="250"/>
        <w:rPr>
          <w:rFonts w:eastAsia="仿宋"/>
          <w:sz w:val="24"/>
        </w:rPr>
      </w:pPr>
      <w:r>
        <w:rPr>
          <w:rFonts w:eastAsia="仿宋"/>
          <w:sz w:val="24"/>
        </w:rPr>
        <w:t>19.2 本次谈判采购接受以电汇等形式作为谈判响应保证金的支付形式，由供应商基本账户汇出，其有效期应超过谈判响应有效期一致。谈判开始前，谈判响应保证金必须到账。</w:t>
      </w:r>
    </w:p>
    <w:p>
      <w:pPr>
        <w:ind w:left="600" w:hanging="600" w:hangingChars="250"/>
        <w:rPr>
          <w:rFonts w:eastAsia="仿宋"/>
          <w:sz w:val="24"/>
        </w:rPr>
      </w:pPr>
      <w:r>
        <w:rPr>
          <w:rFonts w:eastAsia="仿宋"/>
          <w:sz w:val="24"/>
        </w:rPr>
        <w:t>19.3在成交通知书发出后5个工作日内退还未成交供应商的投标保证金。在采购合同签订后5个工作日内退还成交供应商的投标保证金。</w:t>
      </w:r>
    </w:p>
    <w:p>
      <w:pPr>
        <w:rPr>
          <w:rFonts w:eastAsia="仿宋"/>
          <w:sz w:val="24"/>
        </w:rPr>
      </w:pPr>
      <w:r>
        <w:rPr>
          <w:rFonts w:eastAsia="仿宋"/>
          <w:sz w:val="24"/>
        </w:rPr>
        <w:t>19.4未按规定提交谈判响应保证金的谈判响应，将被视为谈判响应无效。</w:t>
      </w:r>
    </w:p>
    <w:p>
      <w:pPr>
        <w:pStyle w:val="16"/>
        <w:rPr>
          <w:rFonts w:ascii="Times New Roman" w:hAnsi="Times New Roman" w:eastAsia="仿宋"/>
          <w:sz w:val="24"/>
        </w:rPr>
      </w:pPr>
      <w:r>
        <w:rPr>
          <w:rFonts w:ascii="Times New Roman" w:hAnsi="Times New Roman" w:eastAsia="仿宋"/>
          <w:sz w:val="24"/>
        </w:rPr>
        <w:t>19.5下列任何情况发生时，谈判响应保证金将被没收：</w:t>
      </w:r>
    </w:p>
    <w:p>
      <w:pPr>
        <w:pStyle w:val="16"/>
        <w:ind w:firstLine="480"/>
        <w:rPr>
          <w:rFonts w:ascii="Times New Roman" w:hAnsi="Times New Roman" w:eastAsia="仿宋"/>
          <w:sz w:val="24"/>
        </w:rPr>
      </w:pPr>
      <w:r>
        <w:rPr>
          <w:rFonts w:ascii="Times New Roman" w:hAnsi="Times New Roman" w:eastAsia="仿宋"/>
          <w:sz w:val="24"/>
        </w:rPr>
        <w:t>19.5.1供应商在谈判文件规定的谈判响应有效期内撤回其谈判响应；或</w:t>
      </w:r>
    </w:p>
    <w:p>
      <w:pPr>
        <w:pStyle w:val="16"/>
        <w:ind w:firstLine="480"/>
        <w:rPr>
          <w:rFonts w:ascii="Times New Roman" w:hAnsi="Times New Roman" w:eastAsia="仿宋"/>
          <w:sz w:val="24"/>
        </w:rPr>
      </w:pPr>
      <w:r>
        <w:rPr>
          <w:rFonts w:ascii="Times New Roman" w:hAnsi="Times New Roman" w:eastAsia="仿宋"/>
          <w:sz w:val="24"/>
        </w:rPr>
        <w:t>19.5.2成交通知书在规定期限内未能：</w:t>
      </w:r>
    </w:p>
    <w:p>
      <w:pPr>
        <w:pStyle w:val="16"/>
        <w:ind w:firstLine="480"/>
        <w:rPr>
          <w:rFonts w:ascii="Times New Roman" w:hAnsi="Times New Roman" w:eastAsia="仿宋"/>
          <w:sz w:val="24"/>
        </w:rPr>
      </w:pPr>
      <w:r>
        <w:rPr>
          <w:rFonts w:ascii="Times New Roman" w:hAnsi="Times New Roman" w:eastAsia="仿宋"/>
          <w:sz w:val="24"/>
        </w:rPr>
        <w:t>19.5.2.1按本须知第</w:t>
      </w:r>
      <w:r>
        <w:rPr>
          <w:rFonts w:hint="eastAsia" w:ascii="Times New Roman" w:hAnsi="Times New Roman" w:eastAsia="仿宋"/>
          <w:sz w:val="24"/>
          <w:lang w:val="en-US" w:eastAsia="zh-CN"/>
        </w:rPr>
        <w:t>31</w:t>
      </w:r>
      <w:r>
        <w:rPr>
          <w:rFonts w:ascii="Times New Roman" w:hAnsi="Times New Roman" w:eastAsia="仿宋"/>
          <w:sz w:val="24"/>
        </w:rPr>
        <w:t xml:space="preserve">条规定签订合同； </w:t>
      </w:r>
    </w:p>
    <w:p>
      <w:pPr>
        <w:pStyle w:val="16"/>
        <w:ind w:firstLine="480"/>
        <w:rPr>
          <w:rFonts w:ascii="Times New Roman" w:hAnsi="Times New Roman" w:eastAsia="仿宋"/>
          <w:sz w:val="24"/>
        </w:rPr>
      </w:pPr>
      <w:r>
        <w:rPr>
          <w:rFonts w:ascii="Times New Roman" w:hAnsi="Times New Roman" w:eastAsia="仿宋"/>
          <w:sz w:val="24"/>
        </w:rPr>
        <w:t>19.5.2.2按须知第32条向买方提交履约保证金；</w:t>
      </w:r>
    </w:p>
    <w:p>
      <w:pPr>
        <w:pStyle w:val="16"/>
        <w:ind w:firstLine="480"/>
        <w:rPr>
          <w:rFonts w:ascii="Times New Roman" w:hAnsi="Times New Roman" w:eastAsia="仿宋"/>
          <w:sz w:val="24"/>
        </w:rPr>
      </w:pPr>
      <w:r>
        <w:rPr>
          <w:rFonts w:ascii="Times New Roman" w:hAnsi="Times New Roman" w:eastAsia="仿宋"/>
          <w:sz w:val="24"/>
        </w:rPr>
        <w:t>19.5.2.3按本须知第33条规定向采购代理机构交纳采购代理服务费。</w:t>
      </w:r>
    </w:p>
    <w:p>
      <w:pPr>
        <w:pStyle w:val="5"/>
        <w:spacing w:before="100" w:beforeAutospacing="1" w:after="100" w:afterAutospacing="1" w:line="240" w:lineRule="auto"/>
        <w:jc w:val="center"/>
        <w:rPr>
          <w:rFonts w:ascii="Times New Roman" w:hAnsi="Times New Roman" w:eastAsia="仿宋"/>
          <w:sz w:val="28"/>
          <w:szCs w:val="28"/>
        </w:rPr>
      </w:pPr>
      <w:bookmarkStart w:id="35" w:name="_Toc1281"/>
      <w:r>
        <w:rPr>
          <w:rFonts w:ascii="Times New Roman" w:hAnsi="Times New Roman" w:eastAsia="仿宋"/>
          <w:sz w:val="28"/>
          <w:szCs w:val="28"/>
        </w:rPr>
        <w:t>D  谈判响应文件的递交</w:t>
      </w:r>
      <w:bookmarkEnd w:id="35"/>
    </w:p>
    <w:p>
      <w:pPr>
        <w:rPr>
          <w:rFonts w:eastAsia="仿宋"/>
          <w:sz w:val="24"/>
        </w:rPr>
      </w:pPr>
      <w:r>
        <w:rPr>
          <w:rFonts w:eastAsia="仿宋"/>
          <w:sz w:val="24"/>
        </w:rPr>
        <w:t>20. 谈判响应文件的密封与标记</w:t>
      </w:r>
    </w:p>
    <w:p>
      <w:pPr>
        <w:spacing w:line="400" w:lineRule="atLeast"/>
        <w:rPr>
          <w:rFonts w:hint="default" w:ascii="Times New Roman" w:hAnsi="Times New Roman" w:eastAsia="仿宋" w:cs="Times New Roman"/>
          <w:bCs/>
          <w:color w:val="auto"/>
          <w:sz w:val="24"/>
          <w:highlight w:val="none"/>
        </w:rPr>
      </w:pPr>
      <w:r>
        <w:rPr>
          <w:rFonts w:eastAsia="仿宋"/>
          <w:sz w:val="24"/>
        </w:rPr>
        <w:t xml:space="preserve">20.1 </w:t>
      </w:r>
      <w:r>
        <w:rPr>
          <w:rFonts w:hint="default" w:ascii="Times New Roman" w:hAnsi="Times New Roman" w:eastAsia="仿宋" w:cs="Times New Roman"/>
          <w:bCs/>
          <w:color w:val="auto"/>
          <w:sz w:val="24"/>
          <w:highlight w:val="none"/>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400" w:lineRule="atLeast"/>
        <w:rPr>
          <w:rFonts w:hint="default" w:ascii="Times New Roman" w:hAnsi="Times New Roman" w:eastAsia="仿宋" w:cs="Times New Roman"/>
          <w:bCs/>
          <w:color w:val="auto"/>
          <w:sz w:val="24"/>
          <w:highlight w:val="none"/>
        </w:rPr>
      </w:pPr>
      <w:r>
        <w:rPr>
          <w:rFonts w:hint="eastAsia" w:ascii="Times New Roman" w:hAnsi="Times New Roman" w:eastAsia="仿宋" w:cs="Times New Roman"/>
          <w:bCs/>
          <w:color w:val="auto"/>
          <w:sz w:val="24"/>
          <w:highlight w:val="none"/>
          <w:lang w:val="en-US" w:eastAsia="zh-CN"/>
        </w:rPr>
        <w:t xml:space="preserve">20.2 </w:t>
      </w:r>
      <w:r>
        <w:rPr>
          <w:rFonts w:hint="default" w:ascii="Times New Roman" w:hAnsi="Times New Roman" w:eastAsia="仿宋" w:cs="Times New Roman"/>
          <w:bCs/>
          <w:color w:val="auto"/>
          <w:sz w:val="24"/>
          <w:highlight w:val="none"/>
        </w:rPr>
        <w:t>投标截止时间以</w:t>
      </w:r>
      <w:r>
        <w:rPr>
          <w:rFonts w:hint="default" w:ascii="Times New Roman" w:hAnsi="Times New Roman" w:eastAsia="仿宋" w:cs="Times New Roman"/>
          <w:bCs/>
          <w:color w:val="auto"/>
          <w:sz w:val="24"/>
          <w:highlight w:val="none"/>
          <w:lang w:val="en-US" w:eastAsia="zh-CN"/>
        </w:rPr>
        <w:t>政采云平台</w:t>
      </w:r>
      <w:r>
        <w:rPr>
          <w:rFonts w:hint="default" w:ascii="Times New Roman" w:hAnsi="Times New Roman" w:eastAsia="仿宋" w:cs="Times New Roman"/>
          <w:bCs/>
          <w:color w:val="auto"/>
          <w:sz w:val="24"/>
          <w:highlight w:val="none"/>
        </w:rPr>
        <w:t>显示的时间为准，逾期系统将自动关闭，未完成上传的投标文件视为逾期送达，将被拒绝。</w:t>
      </w:r>
    </w:p>
    <w:p>
      <w:pPr>
        <w:numPr>
          <w:ilvl w:val="0"/>
          <w:numId w:val="0"/>
        </w:numPr>
        <w:tabs>
          <w:tab w:val="left" w:pos="1080"/>
        </w:tabs>
        <w:spacing w:line="400" w:lineRule="atLeast"/>
        <w:rPr>
          <w:rFonts w:hint="default" w:ascii="Times New Roman" w:hAnsi="Times New Roman" w:eastAsia="仿宋" w:cs="Times New Roman"/>
          <w:bCs/>
          <w:color w:val="auto"/>
          <w:sz w:val="24"/>
          <w:highlight w:val="none"/>
        </w:rPr>
      </w:pPr>
      <w:r>
        <w:rPr>
          <w:rFonts w:hint="eastAsia" w:ascii="Times New Roman" w:hAnsi="Times New Roman" w:eastAsia="仿宋" w:cs="Times New Roman"/>
          <w:bCs/>
          <w:color w:val="auto"/>
          <w:sz w:val="24"/>
          <w:highlight w:val="none"/>
          <w:lang w:val="en-US" w:eastAsia="zh-CN"/>
        </w:rPr>
        <w:t xml:space="preserve">20.3 </w:t>
      </w:r>
      <w:r>
        <w:rPr>
          <w:rFonts w:hint="default" w:ascii="Times New Roman" w:hAnsi="Times New Roman" w:eastAsia="仿宋" w:cs="Times New Roman"/>
          <w:bCs/>
          <w:color w:val="auto"/>
          <w:sz w:val="24"/>
          <w:highlight w:val="none"/>
        </w:rPr>
        <w:t>本项目采用不见面开标，</w:t>
      </w:r>
      <w:r>
        <w:rPr>
          <w:rFonts w:hint="eastAsia" w:ascii="Times New Roman" w:hAnsi="Times New Roman" w:eastAsia="仿宋" w:cs="Times New Roman"/>
          <w:bCs/>
          <w:color w:val="auto"/>
          <w:sz w:val="24"/>
          <w:highlight w:val="none"/>
          <w:lang w:val="en-US" w:eastAsia="zh-CN"/>
        </w:rPr>
        <w:t>中标公示后中</w:t>
      </w:r>
      <w:r>
        <w:rPr>
          <w:rFonts w:hint="default" w:ascii="Times New Roman" w:hAnsi="Times New Roman" w:eastAsia="仿宋" w:cs="Times New Roman"/>
          <w:bCs/>
          <w:color w:val="auto"/>
          <w:sz w:val="24"/>
          <w:highlight w:val="none"/>
        </w:rPr>
        <w:t>标人须将纸质</w:t>
      </w:r>
      <w:r>
        <w:rPr>
          <w:rFonts w:hint="default" w:ascii="Times New Roman" w:hAnsi="Times New Roman" w:eastAsia="仿宋" w:cs="Times New Roman"/>
          <w:bCs/>
          <w:color w:val="auto"/>
          <w:sz w:val="24"/>
          <w:highlight w:val="none"/>
          <w:lang w:val="en-US" w:eastAsia="zh-CN"/>
        </w:rPr>
        <w:t>投标</w:t>
      </w:r>
      <w:r>
        <w:rPr>
          <w:rFonts w:hint="default" w:ascii="Times New Roman" w:hAnsi="Times New Roman" w:eastAsia="仿宋" w:cs="Times New Roman"/>
          <w:bCs/>
          <w:color w:val="auto"/>
          <w:sz w:val="24"/>
          <w:highlight w:val="none"/>
        </w:rPr>
        <w:t>文件</w:t>
      </w:r>
      <w:r>
        <w:rPr>
          <w:rFonts w:hint="eastAsia" w:eastAsia="仿宋" w:cs="Times New Roman"/>
          <w:bCs/>
          <w:color w:val="auto"/>
          <w:sz w:val="24"/>
          <w:highlight w:val="none"/>
          <w:lang w:val="en-US" w:eastAsia="zh-CN"/>
        </w:rPr>
        <w:t>4</w:t>
      </w:r>
      <w:r>
        <w:rPr>
          <w:rFonts w:hint="default" w:ascii="Times New Roman" w:hAnsi="Times New Roman" w:eastAsia="仿宋" w:cs="Times New Roman"/>
          <w:bCs/>
          <w:color w:val="auto"/>
          <w:sz w:val="24"/>
          <w:highlight w:val="none"/>
        </w:rPr>
        <w:t>份（正本一份</w:t>
      </w:r>
      <w:r>
        <w:rPr>
          <w:rFonts w:hint="eastAsia" w:eastAsia="仿宋" w:cs="Times New Roman"/>
          <w:bCs/>
          <w:color w:val="auto"/>
          <w:sz w:val="24"/>
          <w:highlight w:val="none"/>
          <w:lang w:eastAsia="zh-CN"/>
        </w:rPr>
        <w:t>、</w:t>
      </w:r>
      <w:r>
        <w:rPr>
          <w:rFonts w:hint="eastAsia" w:eastAsia="仿宋" w:cs="Times New Roman"/>
          <w:bCs/>
          <w:color w:val="auto"/>
          <w:sz w:val="24"/>
          <w:highlight w:val="none"/>
          <w:lang w:val="en-US" w:eastAsia="zh-CN"/>
        </w:rPr>
        <w:t>副本3份</w:t>
      </w:r>
      <w:r>
        <w:rPr>
          <w:rFonts w:hint="default" w:ascii="Times New Roman" w:hAnsi="Times New Roman" w:eastAsia="仿宋" w:cs="Times New Roman"/>
          <w:bCs/>
          <w:color w:val="auto"/>
          <w:sz w:val="24"/>
          <w:highlight w:val="none"/>
        </w:rPr>
        <w:t>）、格式为PDF的电子</w:t>
      </w:r>
      <w:r>
        <w:rPr>
          <w:rFonts w:hint="default" w:ascii="Times New Roman" w:hAnsi="Times New Roman" w:eastAsia="仿宋" w:cs="Times New Roman"/>
          <w:bCs/>
          <w:color w:val="auto"/>
          <w:sz w:val="24"/>
          <w:highlight w:val="none"/>
          <w:lang w:val="en-US" w:eastAsia="zh-CN"/>
        </w:rPr>
        <w:t>投标</w:t>
      </w:r>
      <w:r>
        <w:rPr>
          <w:rFonts w:hint="default" w:ascii="Times New Roman" w:hAnsi="Times New Roman" w:eastAsia="仿宋" w:cs="Times New Roman"/>
          <w:bCs/>
          <w:color w:val="auto"/>
          <w:sz w:val="24"/>
          <w:highlight w:val="none"/>
        </w:rPr>
        <w:t>文件一份（U盘存储）送至或邮寄至采购代理机构处。</w:t>
      </w:r>
    </w:p>
    <w:p>
      <w:pPr>
        <w:rPr>
          <w:rFonts w:eastAsia="仿宋"/>
          <w:sz w:val="24"/>
        </w:rPr>
      </w:pPr>
      <w:r>
        <w:rPr>
          <w:rFonts w:eastAsia="仿宋"/>
          <w:sz w:val="24"/>
        </w:rPr>
        <w:t>21. 谈判响应文件递交截止时间</w:t>
      </w:r>
    </w:p>
    <w:p>
      <w:pPr>
        <w:rPr>
          <w:rFonts w:eastAsia="仿宋"/>
          <w:sz w:val="24"/>
          <w:szCs w:val="24"/>
        </w:rPr>
      </w:pPr>
      <w:r>
        <w:rPr>
          <w:rFonts w:eastAsia="仿宋"/>
          <w:sz w:val="24"/>
        </w:rPr>
        <w:t>21.1 谈判响应文件的递交不得迟于：</w:t>
      </w:r>
      <w:r>
        <w:rPr>
          <w:rFonts w:hint="eastAsia" w:ascii="Times New Roman" w:hAnsi="Times New Roman" w:eastAsia="仿宋" w:cs="Times New Roman"/>
          <w:b w:val="0"/>
          <w:bCs/>
          <w:color w:val="auto"/>
          <w:kern w:val="2"/>
          <w:sz w:val="24"/>
          <w:szCs w:val="24"/>
          <w:highlight w:val="none"/>
          <w:lang w:val="en-US" w:eastAsia="zh-CN" w:bidi="ar-SA"/>
        </w:rPr>
        <w:t>2023年5月</w:t>
      </w:r>
      <w:r>
        <w:rPr>
          <w:rFonts w:hint="eastAsia" w:eastAsia="仿宋" w:cs="Times New Roman"/>
          <w:b w:val="0"/>
          <w:bCs/>
          <w:color w:val="auto"/>
          <w:kern w:val="2"/>
          <w:sz w:val="24"/>
          <w:szCs w:val="24"/>
          <w:highlight w:val="none"/>
          <w:lang w:val="en-US" w:eastAsia="zh-CN" w:bidi="ar-SA"/>
        </w:rPr>
        <w:t>6</w:t>
      </w:r>
      <w:r>
        <w:rPr>
          <w:rFonts w:hint="eastAsia" w:ascii="Times New Roman" w:hAnsi="Times New Roman" w:eastAsia="仿宋" w:cs="Times New Roman"/>
          <w:b w:val="0"/>
          <w:bCs/>
          <w:color w:val="auto"/>
          <w:kern w:val="2"/>
          <w:sz w:val="24"/>
          <w:szCs w:val="24"/>
          <w:highlight w:val="none"/>
          <w:lang w:val="en-US" w:eastAsia="zh-CN" w:bidi="ar-SA"/>
        </w:rPr>
        <w:t>日10点30分</w:t>
      </w:r>
      <w:r>
        <w:rPr>
          <w:rFonts w:eastAsia="仿宋"/>
          <w:sz w:val="24"/>
          <w:szCs w:val="24"/>
          <w:highlight w:val="none"/>
        </w:rPr>
        <w:t>（北京时间）</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投标截止时间以</w:t>
      </w:r>
      <w:r>
        <w:rPr>
          <w:rFonts w:hint="default" w:ascii="Times New Roman" w:hAnsi="Times New Roman" w:eastAsia="仿宋" w:cs="Times New Roman"/>
          <w:bCs/>
          <w:color w:val="auto"/>
          <w:sz w:val="24"/>
          <w:highlight w:val="none"/>
          <w:lang w:val="en-US" w:eastAsia="zh-CN"/>
        </w:rPr>
        <w:t>政采云平台</w:t>
      </w:r>
      <w:r>
        <w:rPr>
          <w:rFonts w:hint="default" w:ascii="Times New Roman" w:hAnsi="Times New Roman" w:eastAsia="仿宋" w:cs="Times New Roman"/>
          <w:bCs/>
          <w:color w:val="auto"/>
          <w:sz w:val="24"/>
          <w:highlight w:val="none"/>
        </w:rPr>
        <w:t>显示的时间为准，逾期系统将自动关闭，未完成上传的投标文件视为逾期送达，将被拒绝</w:t>
      </w:r>
    </w:p>
    <w:p>
      <w:pPr>
        <w:ind w:left="600" w:hanging="600" w:hangingChars="250"/>
        <w:rPr>
          <w:rFonts w:eastAsia="仿宋"/>
          <w:sz w:val="24"/>
        </w:rPr>
      </w:pPr>
      <w:r>
        <w:rPr>
          <w:rFonts w:eastAsia="仿宋"/>
          <w:sz w:val="24"/>
        </w:rPr>
        <w:t>21.2 所有谈判响应文件不论派人送交还是通过邮寄递交，都必须按采购代理机构在谈判邀请中规定的谈判响应文件递交截止时间之前送到谈判文件规定的地点。</w:t>
      </w:r>
    </w:p>
    <w:p>
      <w:pPr>
        <w:ind w:left="600" w:hanging="600" w:hangingChars="250"/>
        <w:rPr>
          <w:rFonts w:eastAsia="仿宋"/>
          <w:sz w:val="24"/>
        </w:rPr>
      </w:pPr>
      <w:r>
        <w:rPr>
          <w:rFonts w:eastAsia="仿宋"/>
          <w:sz w:val="24"/>
        </w:rPr>
        <w:t>21.3 出现第8.</w:t>
      </w:r>
      <w:r>
        <w:rPr>
          <w:rFonts w:hint="eastAsia" w:eastAsia="仿宋"/>
          <w:sz w:val="24"/>
          <w:lang w:val="en-US" w:eastAsia="zh-CN"/>
        </w:rPr>
        <w:t>3</w:t>
      </w:r>
      <w:r>
        <w:rPr>
          <w:rFonts w:eastAsia="仿宋"/>
          <w:sz w:val="24"/>
        </w:rPr>
        <w:t>款因谈判文件的修改推迟谈判响应文件递交截止时间时，则按采购代理机构修改通知规定的时间递交。</w:t>
      </w:r>
    </w:p>
    <w:p>
      <w:pPr>
        <w:rPr>
          <w:rFonts w:eastAsia="仿宋"/>
          <w:sz w:val="24"/>
        </w:rPr>
      </w:pPr>
      <w:r>
        <w:rPr>
          <w:rFonts w:eastAsia="仿宋"/>
          <w:sz w:val="24"/>
        </w:rPr>
        <w:t>22．谈判响应文件的修改和撤销</w:t>
      </w:r>
    </w:p>
    <w:p>
      <w:pPr>
        <w:ind w:left="600" w:hanging="600" w:hangingChars="250"/>
        <w:rPr>
          <w:rFonts w:eastAsia="仿宋"/>
          <w:sz w:val="24"/>
        </w:rPr>
      </w:pPr>
      <w:r>
        <w:rPr>
          <w:rFonts w:eastAsia="仿宋"/>
          <w:sz w:val="24"/>
        </w:rPr>
        <w:t>22.1 供应商在提交谈判响应文件后可对其谈判响应文件进行修改或撤销，但采购代理机构须在谈判响应文件递交截止时间之前收到该修改或撤销的书面通知，该通知须有经正式授权的法人或法人授权人代表签字。</w:t>
      </w:r>
    </w:p>
    <w:p>
      <w:pPr>
        <w:rPr>
          <w:rFonts w:eastAsia="仿宋"/>
          <w:sz w:val="24"/>
        </w:rPr>
      </w:pPr>
      <w:r>
        <w:rPr>
          <w:rFonts w:eastAsia="仿宋"/>
          <w:sz w:val="24"/>
        </w:rPr>
        <w:t>22.2 谈判响应文件递交截止时间以后不得修改谈判响应文件。</w:t>
      </w:r>
    </w:p>
    <w:p>
      <w:pPr>
        <w:ind w:left="600" w:hanging="600" w:hangingChars="250"/>
        <w:rPr>
          <w:rFonts w:eastAsia="仿宋"/>
          <w:sz w:val="24"/>
        </w:rPr>
      </w:pPr>
      <w:r>
        <w:rPr>
          <w:rFonts w:eastAsia="仿宋"/>
          <w:sz w:val="24"/>
        </w:rPr>
        <w:t>22.3 供应商不得在谈判开始时间起至谈判响应有效期期满前撤销谈判响应文件。否则采购代理机构将没收其谈判响应保证金。</w:t>
      </w:r>
    </w:p>
    <w:p>
      <w:pPr>
        <w:pStyle w:val="5"/>
        <w:spacing w:before="100" w:beforeAutospacing="1" w:after="100" w:afterAutospacing="1" w:line="240" w:lineRule="auto"/>
        <w:jc w:val="center"/>
        <w:rPr>
          <w:rFonts w:ascii="Times New Roman" w:hAnsi="Times New Roman" w:eastAsia="仿宋"/>
          <w:sz w:val="28"/>
          <w:szCs w:val="28"/>
        </w:rPr>
      </w:pPr>
      <w:bookmarkStart w:id="36" w:name="_Toc9006"/>
      <w:r>
        <w:rPr>
          <w:rFonts w:ascii="Times New Roman" w:hAnsi="Times New Roman" w:eastAsia="仿宋"/>
          <w:sz w:val="28"/>
          <w:szCs w:val="28"/>
        </w:rPr>
        <w:t>E  谈判程序</w:t>
      </w:r>
      <w:bookmarkEnd w:id="36"/>
    </w:p>
    <w:p>
      <w:pPr>
        <w:spacing w:line="400" w:lineRule="atLeast"/>
        <w:rPr>
          <w:rFonts w:hint="eastAsia" w:eastAsia="仿宋"/>
          <w:sz w:val="24"/>
        </w:rPr>
      </w:pPr>
      <w:r>
        <w:rPr>
          <w:rFonts w:eastAsia="仿宋"/>
          <w:sz w:val="24"/>
        </w:rPr>
        <w:t>23．谈判</w:t>
      </w:r>
    </w:p>
    <w:p>
      <w:pPr>
        <w:spacing w:line="400" w:lineRule="atLeast"/>
        <w:rPr>
          <w:rFonts w:hint="eastAsia" w:eastAsia="仿宋"/>
          <w:sz w:val="24"/>
        </w:rPr>
      </w:pPr>
      <w:r>
        <w:rPr>
          <w:rFonts w:hint="eastAsia" w:eastAsia="仿宋"/>
          <w:sz w:val="24"/>
        </w:rPr>
        <w:t>23.1谈判时间和地点</w:t>
      </w:r>
    </w:p>
    <w:p>
      <w:pPr>
        <w:spacing w:line="400" w:lineRule="atLeast"/>
        <w:rPr>
          <w:rFonts w:hint="eastAsia" w:eastAsia="仿宋"/>
          <w:sz w:val="24"/>
        </w:rPr>
      </w:pPr>
      <w:r>
        <w:rPr>
          <w:rFonts w:hint="eastAsia" w:eastAsia="仿宋"/>
          <w:sz w:val="24"/>
        </w:rPr>
        <w:t>招标人在供应商须知前附表规定的地点谈判，并邀请所有供应商的法定代表人（单位负责人）或其委托代理人准时参加。</w:t>
      </w:r>
    </w:p>
    <w:p>
      <w:pPr>
        <w:spacing w:line="400" w:lineRule="atLeast"/>
        <w:rPr>
          <w:rFonts w:hint="eastAsia" w:eastAsia="仿宋"/>
          <w:sz w:val="24"/>
        </w:rPr>
      </w:pPr>
      <w:r>
        <w:rPr>
          <w:rFonts w:hint="eastAsia" w:eastAsia="仿宋"/>
          <w:sz w:val="24"/>
        </w:rPr>
        <w:t>23.2谈判程序</w:t>
      </w:r>
    </w:p>
    <w:p>
      <w:pPr>
        <w:spacing w:line="400" w:lineRule="atLeast"/>
        <w:rPr>
          <w:rFonts w:hint="eastAsia" w:eastAsia="仿宋"/>
          <w:sz w:val="24"/>
        </w:rPr>
      </w:pPr>
      <w:r>
        <w:rPr>
          <w:rFonts w:hint="eastAsia" w:eastAsia="仿宋"/>
          <w:sz w:val="24"/>
        </w:rPr>
        <w:t>主持人按下列程序进行开标：</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（1）宣布开标纪律；</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（2）公布在投标截止时间前递交投标文件的投标人名称；</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（3）宣布开标人、唱标人、记录人、监标人等有关人员姓名；</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（4）采购代理机构将通过网上开标系统公布投标人名称、投标价格，以及采购代理机构认为合适的其它详细内容。</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rPr>
        <w:t>）开标结束。</w:t>
      </w:r>
    </w:p>
    <w:p>
      <w:pPr>
        <w:spacing w:line="400" w:lineRule="atLeast"/>
        <w:rPr>
          <w:rFonts w:hint="eastAsia" w:ascii="仿宋" w:hAnsi="仿宋" w:eastAsia="仿宋" w:cs="仿宋"/>
          <w:sz w:val="24"/>
        </w:rPr>
      </w:pPr>
      <w:r>
        <w:rPr>
          <w:rFonts w:hint="eastAsia" w:ascii="仿宋" w:hAnsi="仿宋" w:eastAsia="仿宋" w:cs="仿宋"/>
          <w:b/>
          <w:bCs/>
          <w:sz w:val="24"/>
        </w:rPr>
        <w:t>开标后，有关行政监督部门的工作人员将对供应商进行资格审查，供应商须单独提供以下证件原件，</w:t>
      </w:r>
      <w:r>
        <w:rPr>
          <w:rFonts w:hint="eastAsia" w:ascii="仿宋" w:hAnsi="仿宋" w:eastAsia="仿宋" w:cs="仿宋"/>
          <w:b/>
          <w:bCs/>
          <w:sz w:val="24"/>
          <w:u w:val="single"/>
        </w:rPr>
        <w:t>如缺项将导致废标</w:t>
      </w:r>
      <w:r>
        <w:rPr>
          <w:rFonts w:hint="eastAsia" w:ascii="仿宋" w:hAnsi="仿宋" w:eastAsia="仿宋" w:cs="仿宋"/>
          <w:b/>
          <w:bCs/>
          <w:sz w:val="24"/>
        </w:rPr>
        <w:t>。</w:t>
      </w:r>
    </w:p>
    <w:p>
      <w:pPr>
        <w:spacing w:line="400" w:lineRule="atLeast"/>
        <w:rPr>
          <w:rFonts w:hint="eastAsia" w:ascii="仿宋" w:hAnsi="仿宋" w:eastAsia="仿宋" w:cs="仿宋"/>
          <w:b/>
          <w:sz w:val="24"/>
        </w:rPr>
      </w:pPr>
      <w:r>
        <w:rPr>
          <w:rFonts w:hint="eastAsia" w:ascii="仿宋" w:hAnsi="仿宋" w:eastAsia="仿宋" w:cs="仿宋"/>
          <w:b/>
          <w:sz w:val="24"/>
        </w:rPr>
        <w:t>资格审查含：</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1）</w:t>
      </w:r>
      <w:r>
        <w:rPr>
          <w:rFonts w:hint="default" w:ascii="Times New Roman" w:hAnsi="Times New Roman" w:eastAsia="仿宋" w:cs="Times New Roman"/>
          <w:bCs/>
          <w:color w:val="auto"/>
          <w:sz w:val="24"/>
          <w:szCs w:val="22"/>
          <w:highlight w:val="none"/>
        </w:rPr>
        <w:t>法定代表人授权委托书</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2）投标人应出具有效的《营业执照》或公证书；</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3）</w:t>
      </w:r>
      <w:r>
        <w:rPr>
          <w:rFonts w:hint="eastAsia" w:ascii="仿宋" w:hAnsi="仿宋" w:eastAsia="仿宋" w:cs="仿宋"/>
          <w:sz w:val="24"/>
          <w:szCs w:val="22"/>
          <w:lang w:eastAsia="zh-CN"/>
        </w:rPr>
        <w:t>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eastAsia" w:ascii="仿宋" w:hAnsi="仿宋" w:eastAsia="仿宋" w:cs="仿宋"/>
          <w:sz w:val="24"/>
          <w:szCs w:val="22"/>
        </w:rPr>
        <w:t>；</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4）报名截止日“信用中国”网站中“失信被执行名单”、“税收违法黑名单”的查询截图（需加盖公章）；</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5）报名截止日“中国政府采购网”中“政府采购严重违法失信行为记录名单”的查询截图（需加盖公章）；</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6）近一年财务审计报告或银行提供的资信证明（新公司从成立之日起算）；</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7）具有履行合同所必需的设备和专业技术能力，提供说明承诺书；</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8）近一年任意月纳税证明（新公司从成立之日起算），近一年任意月具有人员明细的社保证明（新公司从成立之日起算）；</w:t>
      </w:r>
    </w:p>
    <w:p>
      <w:pPr>
        <w:spacing w:line="400" w:lineRule="atLeast"/>
        <w:ind w:left="538" w:leftChars="256"/>
        <w:rPr>
          <w:rFonts w:hint="eastAsia" w:ascii="仿宋" w:hAnsi="仿宋" w:eastAsia="仿宋" w:cs="仿宋"/>
          <w:sz w:val="24"/>
          <w:szCs w:val="22"/>
        </w:rPr>
      </w:pPr>
      <w:r>
        <w:rPr>
          <w:rFonts w:hint="eastAsia" w:ascii="仿宋" w:hAnsi="仿宋" w:eastAsia="仿宋" w:cs="仿宋"/>
          <w:sz w:val="24"/>
          <w:szCs w:val="22"/>
        </w:rPr>
        <w:t>9）参加政府采购活动前三年内，在经营活动中没有重大违法记录，提供说明承诺书。</w:t>
      </w:r>
    </w:p>
    <w:p>
      <w:pPr>
        <w:spacing w:line="400" w:lineRule="atLeast"/>
        <w:ind w:left="538" w:leftChars="256"/>
        <w:rPr>
          <w:rFonts w:hint="eastAsia"/>
        </w:rPr>
      </w:pPr>
      <w:r>
        <w:rPr>
          <w:rFonts w:hint="eastAsia" w:ascii="仿宋" w:hAnsi="仿宋" w:eastAsia="仿宋" w:cs="仿宋"/>
          <w:sz w:val="24"/>
          <w:szCs w:val="22"/>
          <w:lang w:val="en-US" w:eastAsia="zh-CN"/>
        </w:rPr>
        <w:t>10</w:t>
      </w:r>
      <w:r>
        <w:rPr>
          <w:rFonts w:hint="eastAsia" w:ascii="仿宋" w:hAnsi="仿宋" w:eastAsia="仿宋" w:cs="仿宋"/>
          <w:sz w:val="24"/>
          <w:szCs w:val="22"/>
        </w:rPr>
        <w:t>）</w:t>
      </w:r>
      <w:r>
        <w:rPr>
          <w:rFonts w:hint="eastAsia" w:ascii="Times New Roman" w:hAnsi="Times New Roman" w:eastAsia="仿宋" w:cs="Times New Roman"/>
          <w:b w:val="0"/>
          <w:bCs/>
          <w:color w:val="auto"/>
          <w:kern w:val="0"/>
          <w:sz w:val="24"/>
          <w:highlight w:val="none"/>
          <w:lang w:val="en-US" w:eastAsia="zh-CN"/>
        </w:rPr>
        <w:t>中小微企业声明函（生产厂家）</w:t>
      </w:r>
    </w:p>
    <w:p>
      <w:pPr>
        <w:spacing w:line="400" w:lineRule="atLeast"/>
        <w:ind w:left="538" w:leftChars="256"/>
        <w:rPr>
          <w:rFonts w:hint="eastAsia"/>
        </w:rPr>
      </w:pPr>
      <w:r>
        <w:rPr>
          <w:rFonts w:hint="eastAsia" w:ascii="仿宋" w:hAnsi="仿宋" w:eastAsia="仿宋" w:cs="仿宋"/>
          <w:sz w:val="24"/>
          <w:szCs w:val="22"/>
          <w:lang w:val="en-US" w:eastAsia="zh-CN"/>
        </w:rPr>
        <w:t>11</w:t>
      </w:r>
      <w:r>
        <w:rPr>
          <w:rFonts w:hint="eastAsia" w:ascii="仿宋" w:hAnsi="仿宋" w:eastAsia="仿宋" w:cs="仿宋"/>
          <w:sz w:val="24"/>
          <w:szCs w:val="22"/>
        </w:rPr>
        <w:t>）</w:t>
      </w:r>
      <w:r>
        <w:rPr>
          <w:rFonts w:hint="eastAsia" w:ascii="仿宋" w:hAnsi="仿宋" w:eastAsia="仿宋" w:cs="仿宋"/>
          <w:sz w:val="24"/>
          <w:szCs w:val="22"/>
          <w:lang w:val="en-US" w:eastAsia="zh-CN"/>
        </w:rPr>
        <w:t>保证金汇款凭证</w:t>
      </w:r>
      <w:r>
        <w:rPr>
          <w:rFonts w:hint="eastAsia" w:ascii="仿宋" w:hAnsi="仿宋" w:eastAsia="仿宋" w:cs="仿宋"/>
          <w:sz w:val="24"/>
          <w:szCs w:val="22"/>
        </w:rPr>
        <w:t>。</w:t>
      </w:r>
    </w:p>
    <w:p>
      <w:pPr>
        <w:pStyle w:val="2"/>
        <w:rPr>
          <w:rFonts w:hint="eastAsia"/>
        </w:rPr>
      </w:pPr>
    </w:p>
    <w:p>
      <w:pPr>
        <w:spacing w:line="400" w:lineRule="atLeast"/>
        <w:rPr>
          <w:rFonts w:hint="eastAsia" w:eastAsia="仿宋"/>
          <w:sz w:val="24"/>
        </w:rPr>
      </w:pPr>
      <w:r>
        <w:rPr>
          <w:rFonts w:hint="eastAsia" w:eastAsia="仿宋"/>
          <w:sz w:val="24"/>
        </w:rPr>
        <w:t>23.3开标异议</w:t>
      </w:r>
    </w:p>
    <w:p>
      <w:pPr>
        <w:spacing w:line="400" w:lineRule="atLeast"/>
        <w:rPr>
          <w:rFonts w:eastAsia="仿宋"/>
          <w:sz w:val="24"/>
        </w:rPr>
      </w:pPr>
      <w:r>
        <w:rPr>
          <w:rFonts w:hint="eastAsia" w:eastAsia="仿宋"/>
          <w:sz w:val="24"/>
        </w:rPr>
        <w:t>供应商对开标有异议的，应当在开标现场提出，招标人当场作出答复，并制作记录。</w:t>
      </w:r>
    </w:p>
    <w:p>
      <w:pPr>
        <w:spacing w:line="400" w:lineRule="atLeast"/>
        <w:ind w:left="600" w:hanging="600" w:hangingChars="250"/>
        <w:rPr>
          <w:rFonts w:eastAsia="仿宋"/>
          <w:sz w:val="24"/>
        </w:rPr>
      </w:pPr>
      <w:r>
        <w:rPr>
          <w:rFonts w:eastAsia="仿宋"/>
          <w:sz w:val="24"/>
        </w:rPr>
        <w:t>23.</w:t>
      </w:r>
      <w:r>
        <w:rPr>
          <w:rFonts w:hint="eastAsia" w:eastAsia="仿宋"/>
          <w:sz w:val="24"/>
        </w:rPr>
        <w:t>4</w:t>
      </w:r>
      <w:r>
        <w:rPr>
          <w:rFonts w:eastAsia="仿宋"/>
          <w:sz w:val="24"/>
        </w:rPr>
        <w:t>本次谈判按谈判文件中谈判邀请规定的时间地点进行谈判，将邀请供应商的法定代表人或其授权委托人准时参加谈判会。</w:t>
      </w:r>
    </w:p>
    <w:p>
      <w:pPr>
        <w:spacing w:line="400" w:lineRule="atLeast"/>
        <w:ind w:left="600" w:hanging="600" w:hangingChars="250"/>
        <w:rPr>
          <w:rFonts w:eastAsia="仿宋"/>
          <w:sz w:val="24"/>
        </w:rPr>
      </w:pPr>
      <w:r>
        <w:rPr>
          <w:rFonts w:eastAsia="仿宋"/>
          <w:sz w:val="24"/>
        </w:rPr>
        <w:t>23.</w:t>
      </w:r>
      <w:r>
        <w:rPr>
          <w:rFonts w:hint="eastAsia" w:eastAsia="仿宋"/>
          <w:sz w:val="24"/>
          <w:lang w:val="en-US" w:eastAsia="zh-CN"/>
        </w:rPr>
        <w:t>5</w:t>
      </w:r>
      <w:r>
        <w:rPr>
          <w:rFonts w:eastAsia="仿宋"/>
          <w:sz w:val="24"/>
        </w:rPr>
        <w:t xml:space="preserve"> </w:t>
      </w:r>
      <w:r>
        <w:rPr>
          <w:rFonts w:eastAsia="仿宋"/>
          <w:sz w:val="24"/>
          <w:szCs w:val="24"/>
        </w:rPr>
        <w:t>宣布谈判响应文件开启顺序</w:t>
      </w:r>
      <w:r>
        <w:rPr>
          <w:rFonts w:eastAsia="仿宋"/>
          <w:sz w:val="30"/>
          <w:szCs w:val="30"/>
        </w:rPr>
        <w:t>。</w:t>
      </w:r>
    </w:p>
    <w:p>
      <w:pPr>
        <w:spacing w:line="400" w:lineRule="atLeast"/>
        <w:rPr>
          <w:rFonts w:eastAsia="仿宋"/>
          <w:sz w:val="24"/>
        </w:rPr>
      </w:pPr>
      <w:r>
        <w:rPr>
          <w:rFonts w:eastAsia="仿宋"/>
          <w:sz w:val="24"/>
        </w:rPr>
        <w:t>23.</w:t>
      </w:r>
      <w:r>
        <w:rPr>
          <w:rFonts w:hint="eastAsia" w:eastAsia="仿宋"/>
          <w:sz w:val="24"/>
          <w:lang w:val="en-US" w:eastAsia="zh-CN"/>
        </w:rPr>
        <w:t>6</w:t>
      </w:r>
      <w:r>
        <w:rPr>
          <w:rFonts w:eastAsia="仿宋"/>
          <w:sz w:val="24"/>
        </w:rPr>
        <w:t xml:space="preserve"> 谈判原则、开标一览表唱标内容在谈判会议上宣布。</w:t>
      </w:r>
    </w:p>
    <w:p>
      <w:pPr>
        <w:spacing w:line="400" w:lineRule="atLeast"/>
        <w:rPr>
          <w:rFonts w:eastAsia="仿宋"/>
          <w:sz w:val="24"/>
        </w:rPr>
      </w:pPr>
      <w:r>
        <w:rPr>
          <w:rFonts w:eastAsia="仿宋"/>
          <w:sz w:val="24"/>
        </w:rPr>
        <w:t>23.</w:t>
      </w:r>
      <w:r>
        <w:rPr>
          <w:rFonts w:hint="eastAsia" w:eastAsia="仿宋"/>
          <w:sz w:val="24"/>
          <w:lang w:val="en-US" w:eastAsia="zh-CN"/>
        </w:rPr>
        <w:t>7</w:t>
      </w:r>
      <w:r>
        <w:rPr>
          <w:rFonts w:eastAsia="仿宋"/>
          <w:sz w:val="24"/>
        </w:rPr>
        <w:t xml:space="preserve"> 对采购方的纪律要求</w:t>
      </w:r>
    </w:p>
    <w:p>
      <w:pPr>
        <w:spacing w:line="400" w:lineRule="atLeast"/>
        <w:ind w:left="720" w:hanging="720" w:hangingChars="300"/>
        <w:rPr>
          <w:rFonts w:eastAsia="仿宋"/>
          <w:sz w:val="24"/>
        </w:rPr>
      </w:pPr>
      <w:r>
        <w:rPr>
          <w:rFonts w:eastAsia="仿宋"/>
          <w:sz w:val="24"/>
        </w:rPr>
        <w:t xml:space="preserve">      采购方不得泄露谈判活动中应当保密的情况和资料，不得与供应商串通损害国家利益、社会公共利益或者他人合法权益。</w:t>
      </w:r>
    </w:p>
    <w:p>
      <w:pPr>
        <w:spacing w:line="400" w:lineRule="atLeast"/>
        <w:rPr>
          <w:rFonts w:eastAsia="仿宋"/>
          <w:sz w:val="24"/>
        </w:rPr>
      </w:pPr>
      <w:r>
        <w:rPr>
          <w:rFonts w:eastAsia="仿宋"/>
          <w:sz w:val="24"/>
        </w:rPr>
        <w:t>23.</w:t>
      </w:r>
      <w:r>
        <w:rPr>
          <w:rFonts w:hint="eastAsia" w:eastAsia="仿宋"/>
          <w:sz w:val="24"/>
          <w:lang w:val="en-US" w:eastAsia="zh-CN"/>
        </w:rPr>
        <w:t>8</w:t>
      </w:r>
      <w:r>
        <w:rPr>
          <w:rFonts w:eastAsia="仿宋"/>
          <w:sz w:val="24"/>
        </w:rPr>
        <w:t xml:space="preserve"> 对供应商的纪律要求</w:t>
      </w:r>
    </w:p>
    <w:p>
      <w:pPr>
        <w:spacing w:line="400" w:lineRule="atLeast"/>
        <w:ind w:left="598" w:leftChars="285"/>
        <w:rPr>
          <w:rFonts w:eastAsia="仿宋"/>
          <w:sz w:val="24"/>
        </w:rPr>
      </w:pPr>
      <w:r>
        <w:rPr>
          <w:rFonts w:eastAsia="仿宋"/>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ind w:left="600" w:hanging="600" w:hangingChars="250"/>
        <w:rPr>
          <w:rFonts w:eastAsia="仿宋"/>
          <w:sz w:val="24"/>
        </w:rPr>
      </w:pPr>
      <w:r>
        <w:rPr>
          <w:rFonts w:eastAsia="仿宋"/>
          <w:sz w:val="24"/>
        </w:rPr>
        <w:t>23.</w:t>
      </w:r>
      <w:r>
        <w:rPr>
          <w:rFonts w:hint="eastAsia" w:eastAsia="仿宋"/>
          <w:sz w:val="24"/>
          <w:lang w:val="en-US" w:eastAsia="zh-CN"/>
        </w:rPr>
        <w:t>9</w:t>
      </w:r>
      <w:r>
        <w:rPr>
          <w:rFonts w:eastAsia="仿宋"/>
          <w:sz w:val="24"/>
        </w:rPr>
        <w:t>对与谈判活动有关的工作人员的纪律要求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对谈判小组成员要求谈判纪律</w:t>
      </w:r>
    </w:p>
    <w:p>
      <w:pPr>
        <w:spacing w:line="400" w:lineRule="atLeast"/>
        <w:ind w:left="720" w:hanging="720" w:hangingChars="300"/>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.1谈判小组应当依照有关法律法规的规定，按照谈判文件确定的谈判标准和办法客观、公正的对谈判响应文件提出评审意见。谈判文件没有规定的谈判标准和方法不得作为谈判依据。</w:t>
      </w:r>
    </w:p>
    <w:p>
      <w:pPr>
        <w:spacing w:line="400" w:lineRule="atLeast"/>
        <w:ind w:left="720" w:hanging="720" w:hangingChars="300"/>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.2谈判小组成员不得私下接触供应商，不得收受供应商给予的财务或者其他好处，不得向采购方征询确定成交意向。</w:t>
      </w:r>
    </w:p>
    <w:p>
      <w:pPr>
        <w:spacing w:line="400" w:lineRule="atLeast"/>
        <w:rPr>
          <w:rFonts w:eastAsia="仿宋"/>
          <w:sz w:val="24"/>
          <w:szCs w:val="22"/>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.3</w:t>
      </w:r>
      <w:r>
        <w:rPr>
          <w:rFonts w:eastAsia="仿宋"/>
          <w:sz w:val="24"/>
          <w:szCs w:val="22"/>
        </w:rPr>
        <w:t>不得接受任何单位或个人明示或暗示提出的倾向或排斥特定供应商的要求。</w:t>
      </w:r>
    </w:p>
    <w:p>
      <w:pPr>
        <w:spacing w:line="400" w:lineRule="atLeast"/>
        <w:rPr>
          <w:rFonts w:eastAsia="仿宋"/>
          <w:sz w:val="24"/>
          <w:szCs w:val="22"/>
        </w:rPr>
      </w:pPr>
      <w:r>
        <w:rPr>
          <w:rFonts w:eastAsia="仿宋"/>
          <w:sz w:val="24"/>
          <w:szCs w:val="22"/>
        </w:rPr>
        <w:t>23.</w:t>
      </w:r>
      <w:r>
        <w:rPr>
          <w:rFonts w:hint="eastAsia" w:eastAsia="仿宋"/>
          <w:sz w:val="24"/>
          <w:szCs w:val="22"/>
        </w:rPr>
        <w:t>1</w:t>
      </w:r>
      <w:r>
        <w:rPr>
          <w:rFonts w:hint="eastAsia" w:eastAsia="仿宋"/>
          <w:sz w:val="24"/>
          <w:szCs w:val="22"/>
          <w:lang w:val="en-US" w:eastAsia="zh-CN"/>
        </w:rPr>
        <w:t>0</w:t>
      </w:r>
      <w:r>
        <w:rPr>
          <w:rFonts w:eastAsia="仿宋"/>
          <w:sz w:val="24"/>
          <w:szCs w:val="22"/>
        </w:rPr>
        <w:t>.4不得有其他不客观，不公正履行职务的行为。</w:t>
      </w:r>
    </w:p>
    <w:p>
      <w:pPr>
        <w:spacing w:line="400" w:lineRule="atLeast"/>
        <w:rPr>
          <w:rFonts w:hint="eastAsia" w:eastAsia="仿宋"/>
          <w:sz w:val="24"/>
          <w:szCs w:val="22"/>
        </w:rPr>
      </w:pPr>
      <w:r>
        <w:rPr>
          <w:rFonts w:hint="eastAsia" w:eastAsia="仿宋"/>
          <w:sz w:val="24"/>
          <w:szCs w:val="22"/>
        </w:rPr>
        <w:t>23.1</w:t>
      </w:r>
      <w:r>
        <w:rPr>
          <w:rFonts w:hint="eastAsia" w:eastAsia="仿宋"/>
          <w:sz w:val="24"/>
          <w:szCs w:val="22"/>
          <w:lang w:val="en-US" w:eastAsia="zh-CN"/>
        </w:rPr>
        <w:t>0</w:t>
      </w:r>
      <w:r>
        <w:rPr>
          <w:rFonts w:hint="eastAsia" w:eastAsia="仿宋"/>
          <w:sz w:val="24"/>
          <w:szCs w:val="22"/>
        </w:rPr>
        <w:t>.5对供应商的纪律要求</w:t>
      </w:r>
    </w:p>
    <w:p>
      <w:pPr>
        <w:spacing w:line="400" w:lineRule="atLeast"/>
        <w:rPr>
          <w:rFonts w:hint="eastAsia" w:eastAsia="仿宋"/>
          <w:sz w:val="24"/>
          <w:szCs w:val="22"/>
        </w:rPr>
      </w:pPr>
      <w:r>
        <w:rPr>
          <w:rFonts w:hint="eastAsia" w:eastAsia="仿宋"/>
          <w:sz w:val="24"/>
          <w:szCs w:val="22"/>
        </w:rPr>
        <w:t>供应商不得互相串通投标或者与招标人串通投标，不得向招标人或者评标委员会成员行贿谋取中标，不得以他人名义投标或者以其他方式弄虚作假骗取中标；供应商不得以任何方式干扰、影响评标工作。</w:t>
      </w:r>
    </w:p>
    <w:p>
      <w:pPr>
        <w:spacing w:line="400" w:lineRule="atLeast"/>
        <w:rPr>
          <w:rFonts w:hint="eastAsia" w:eastAsia="仿宋"/>
          <w:b/>
          <w:bCs/>
          <w:sz w:val="24"/>
          <w:szCs w:val="22"/>
        </w:rPr>
      </w:pPr>
      <w:r>
        <w:rPr>
          <w:rFonts w:hint="eastAsia" w:eastAsia="仿宋"/>
          <w:b/>
          <w:bCs/>
          <w:sz w:val="24"/>
          <w:szCs w:val="22"/>
        </w:rPr>
        <w:t>在评标过程中，评标委员会发现有下列情形之一的，作无效文件处理，其投标无效：</w:t>
      </w:r>
    </w:p>
    <w:p>
      <w:pPr>
        <w:spacing w:line="400" w:lineRule="atLeast"/>
        <w:rPr>
          <w:rFonts w:hint="eastAsia" w:eastAsia="仿宋"/>
          <w:sz w:val="24"/>
          <w:szCs w:val="22"/>
        </w:rPr>
      </w:pPr>
      <w:r>
        <w:rPr>
          <w:rFonts w:hint="eastAsia" w:eastAsia="仿宋"/>
          <w:sz w:val="24"/>
          <w:szCs w:val="22"/>
        </w:rPr>
        <w:t>（1）属于同一集团、协会、商会等组织成员的供应商按照该组织要求协同投标；</w:t>
      </w:r>
    </w:p>
    <w:p>
      <w:pPr>
        <w:spacing w:line="400" w:lineRule="atLeast"/>
        <w:rPr>
          <w:rFonts w:hint="eastAsia" w:eastAsia="仿宋"/>
          <w:sz w:val="24"/>
          <w:szCs w:val="22"/>
        </w:rPr>
      </w:pPr>
      <w:r>
        <w:rPr>
          <w:rFonts w:hint="eastAsia" w:eastAsia="仿宋"/>
          <w:sz w:val="24"/>
          <w:szCs w:val="22"/>
        </w:rPr>
        <w:t>（2）不同供应商的投标文件由同一单位或者个人编制；</w:t>
      </w:r>
    </w:p>
    <w:p>
      <w:pPr>
        <w:spacing w:line="400" w:lineRule="atLeast"/>
        <w:rPr>
          <w:rFonts w:hint="eastAsia" w:eastAsia="仿宋"/>
          <w:sz w:val="24"/>
          <w:szCs w:val="22"/>
        </w:rPr>
      </w:pPr>
      <w:r>
        <w:rPr>
          <w:rFonts w:hint="eastAsia" w:eastAsia="仿宋"/>
          <w:sz w:val="24"/>
          <w:szCs w:val="22"/>
        </w:rPr>
        <w:t>（3）不同供应商委托同一单位或者个人办理投标事宜；</w:t>
      </w:r>
    </w:p>
    <w:p>
      <w:pPr>
        <w:spacing w:line="400" w:lineRule="atLeast"/>
        <w:rPr>
          <w:rFonts w:hint="eastAsia" w:eastAsia="仿宋"/>
          <w:sz w:val="24"/>
          <w:szCs w:val="22"/>
        </w:rPr>
      </w:pPr>
      <w:r>
        <w:rPr>
          <w:rFonts w:hint="eastAsia" w:eastAsia="仿宋"/>
          <w:sz w:val="24"/>
          <w:szCs w:val="22"/>
        </w:rPr>
        <w:t>（4）不同供应商的投标文件载明的项目管理成员或者联系人员为同一人；</w:t>
      </w:r>
    </w:p>
    <w:p>
      <w:pPr>
        <w:spacing w:line="400" w:lineRule="atLeast"/>
        <w:rPr>
          <w:rFonts w:hint="eastAsia" w:eastAsia="仿宋"/>
          <w:sz w:val="24"/>
          <w:szCs w:val="22"/>
        </w:rPr>
      </w:pPr>
      <w:r>
        <w:rPr>
          <w:rFonts w:hint="eastAsia" w:eastAsia="仿宋"/>
          <w:sz w:val="24"/>
          <w:szCs w:val="22"/>
        </w:rPr>
        <w:t>（5）不同供应商的投标文件异常一致或者投标报价呈规律性差异；</w:t>
      </w:r>
    </w:p>
    <w:p>
      <w:pPr>
        <w:spacing w:line="400" w:lineRule="atLeast"/>
        <w:rPr>
          <w:rFonts w:hint="eastAsia" w:eastAsia="仿宋"/>
          <w:sz w:val="24"/>
          <w:szCs w:val="22"/>
        </w:rPr>
      </w:pPr>
      <w:r>
        <w:rPr>
          <w:rFonts w:hint="eastAsia" w:eastAsia="仿宋"/>
          <w:sz w:val="24"/>
          <w:szCs w:val="22"/>
        </w:rPr>
        <w:t>（6）不同供应商的投标文件相互混装；</w:t>
      </w:r>
    </w:p>
    <w:p>
      <w:pPr>
        <w:spacing w:line="400" w:lineRule="atLeast"/>
        <w:rPr>
          <w:rFonts w:hint="eastAsia" w:eastAsia="仿宋"/>
          <w:sz w:val="24"/>
          <w:szCs w:val="22"/>
        </w:rPr>
      </w:pPr>
      <w:r>
        <w:rPr>
          <w:rFonts w:hint="eastAsia" w:eastAsia="仿宋"/>
          <w:sz w:val="24"/>
          <w:szCs w:val="22"/>
        </w:rPr>
        <w:t>（7）不同供应商的投标保证金从同一单位或者个人的账户转出。</w:t>
      </w:r>
    </w:p>
    <w:p>
      <w:pPr>
        <w:spacing w:line="400" w:lineRule="atLeast"/>
        <w:rPr>
          <w:rFonts w:hint="eastAsia" w:eastAsia="仿宋"/>
          <w:sz w:val="24"/>
          <w:szCs w:val="22"/>
        </w:rPr>
      </w:pPr>
      <w:r>
        <w:rPr>
          <w:rFonts w:hint="eastAsia" w:eastAsia="仿宋"/>
          <w:sz w:val="24"/>
          <w:szCs w:val="22"/>
        </w:rPr>
        <w:t>（8）使用伪造、变造的行政许可证件；</w:t>
      </w:r>
    </w:p>
    <w:p>
      <w:pPr>
        <w:spacing w:line="400" w:lineRule="atLeast"/>
        <w:rPr>
          <w:rFonts w:hint="eastAsia" w:eastAsia="仿宋"/>
          <w:sz w:val="24"/>
          <w:szCs w:val="22"/>
        </w:rPr>
      </w:pPr>
      <w:r>
        <w:rPr>
          <w:rFonts w:hint="eastAsia" w:eastAsia="仿宋"/>
          <w:sz w:val="24"/>
          <w:szCs w:val="22"/>
        </w:rPr>
        <w:t>（9）提供虚假的项目负责人或者主要技术人员简历、 劳动关系证明；</w:t>
      </w:r>
    </w:p>
    <w:p>
      <w:pPr>
        <w:spacing w:line="400" w:lineRule="atLeast"/>
        <w:rPr>
          <w:rFonts w:hint="eastAsia" w:eastAsia="仿宋"/>
          <w:sz w:val="24"/>
          <w:szCs w:val="22"/>
        </w:rPr>
      </w:pPr>
      <w:r>
        <w:rPr>
          <w:rFonts w:hint="eastAsia" w:eastAsia="仿宋"/>
          <w:sz w:val="24"/>
          <w:szCs w:val="22"/>
        </w:rPr>
        <w:t>（10）提供虚假的信用状况；</w:t>
      </w:r>
    </w:p>
    <w:p>
      <w:pPr>
        <w:spacing w:line="400" w:lineRule="atLeast"/>
        <w:rPr>
          <w:rFonts w:hint="eastAsia" w:eastAsia="仿宋"/>
          <w:sz w:val="24"/>
          <w:szCs w:val="22"/>
        </w:rPr>
      </w:pPr>
      <w:r>
        <w:rPr>
          <w:rFonts w:hint="eastAsia" w:eastAsia="仿宋"/>
          <w:sz w:val="24"/>
          <w:szCs w:val="22"/>
        </w:rPr>
        <w:t>（11）其他弄虚作假的行为；</w:t>
      </w:r>
    </w:p>
    <w:p>
      <w:pPr>
        <w:spacing w:line="400" w:lineRule="atLeast"/>
        <w:rPr>
          <w:rFonts w:hint="eastAsia" w:eastAsia="仿宋"/>
          <w:sz w:val="24"/>
          <w:szCs w:val="22"/>
        </w:rPr>
      </w:pPr>
      <w:r>
        <w:rPr>
          <w:rFonts w:hint="eastAsia" w:eastAsia="仿宋"/>
          <w:sz w:val="24"/>
          <w:szCs w:val="22"/>
        </w:rPr>
        <w:t>（12）未按照招标文件的规定提交投标保证金的；</w:t>
      </w:r>
    </w:p>
    <w:p>
      <w:pPr>
        <w:spacing w:line="400" w:lineRule="atLeast"/>
        <w:rPr>
          <w:rFonts w:hint="eastAsia" w:eastAsia="仿宋"/>
          <w:sz w:val="24"/>
          <w:szCs w:val="22"/>
        </w:rPr>
      </w:pPr>
      <w:r>
        <w:rPr>
          <w:rFonts w:hint="eastAsia" w:eastAsia="仿宋"/>
          <w:sz w:val="24"/>
          <w:szCs w:val="22"/>
        </w:rPr>
        <w:t>（13）投标文件未按招标文件要求签署、盖章的；</w:t>
      </w:r>
    </w:p>
    <w:p>
      <w:pPr>
        <w:spacing w:line="400" w:lineRule="atLeast"/>
        <w:rPr>
          <w:rFonts w:hint="eastAsia" w:eastAsia="仿宋"/>
          <w:sz w:val="24"/>
          <w:szCs w:val="22"/>
        </w:rPr>
      </w:pPr>
      <w:r>
        <w:rPr>
          <w:rFonts w:hint="eastAsia" w:eastAsia="仿宋"/>
          <w:sz w:val="24"/>
          <w:szCs w:val="22"/>
        </w:rPr>
        <w:t>（14）不具备招标文件中规定的资格要求的；</w:t>
      </w:r>
    </w:p>
    <w:p>
      <w:pPr>
        <w:spacing w:line="400" w:lineRule="atLeast"/>
        <w:rPr>
          <w:rFonts w:hint="eastAsia" w:eastAsia="仿宋"/>
          <w:sz w:val="24"/>
          <w:szCs w:val="22"/>
        </w:rPr>
      </w:pPr>
      <w:r>
        <w:rPr>
          <w:rFonts w:hint="eastAsia" w:eastAsia="仿宋"/>
          <w:sz w:val="24"/>
          <w:szCs w:val="22"/>
        </w:rPr>
        <w:t>（15）报价出现超过招标文件中最高限价规定的；</w:t>
      </w:r>
    </w:p>
    <w:p>
      <w:pPr>
        <w:spacing w:line="400" w:lineRule="atLeast"/>
        <w:rPr>
          <w:rFonts w:hint="eastAsia" w:eastAsia="仿宋"/>
          <w:sz w:val="24"/>
          <w:szCs w:val="22"/>
        </w:rPr>
      </w:pPr>
      <w:r>
        <w:rPr>
          <w:rFonts w:hint="eastAsia" w:eastAsia="仿宋"/>
          <w:sz w:val="24"/>
          <w:szCs w:val="22"/>
        </w:rPr>
        <w:t>（16）投标文件含有采购人不能接受的附加条件的；</w:t>
      </w:r>
    </w:p>
    <w:p>
      <w:pPr>
        <w:spacing w:line="400" w:lineRule="atLeast"/>
        <w:rPr>
          <w:rFonts w:hint="eastAsia" w:eastAsia="仿宋"/>
          <w:sz w:val="24"/>
          <w:szCs w:val="22"/>
        </w:rPr>
      </w:pPr>
      <w:r>
        <w:rPr>
          <w:rFonts w:hint="eastAsia" w:eastAsia="仿宋"/>
          <w:sz w:val="24"/>
          <w:szCs w:val="22"/>
        </w:rPr>
        <w:t>（17）法律、法规和招标文件规定的其他无效情形。</w:t>
      </w:r>
    </w:p>
    <w:p>
      <w:pPr>
        <w:spacing w:line="400" w:lineRule="atLeast"/>
        <w:rPr>
          <w:rFonts w:hint="eastAsia" w:eastAsia="仿宋"/>
          <w:sz w:val="24"/>
          <w:szCs w:val="22"/>
        </w:rPr>
      </w:pPr>
      <w:r>
        <w:rPr>
          <w:rFonts w:hint="eastAsia" w:eastAsia="仿宋"/>
          <w:sz w:val="24"/>
          <w:szCs w:val="22"/>
        </w:rPr>
        <w:t>（18）不符合招标文件关于进口产品规定的；</w:t>
      </w:r>
    </w:p>
    <w:p>
      <w:pPr>
        <w:spacing w:line="400" w:lineRule="atLeast"/>
        <w:rPr>
          <w:rFonts w:hint="eastAsia" w:eastAsia="仿宋"/>
          <w:sz w:val="24"/>
          <w:szCs w:val="22"/>
        </w:rPr>
      </w:pPr>
      <w:r>
        <w:rPr>
          <w:rFonts w:hint="eastAsia" w:eastAsia="仿宋"/>
          <w:sz w:val="24"/>
          <w:szCs w:val="22"/>
        </w:rPr>
        <w:t>（19）任何选择性报价（或多个方案）的投标；</w:t>
      </w:r>
    </w:p>
    <w:p>
      <w:pPr>
        <w:spacing w:line="400" w:lineRule="atLeast"/>
        <w:rPr>
          <w:rFonts w:hint="eastAsia" w:eastAsia="仿宋"/>
          <w:sz w:val="24"/>
          <w:szCs w:val="22"/>
        </w:rPr>
      </w:pPr>
      <w:r>
        <w:rPr>
          <w:rFonts w:hint="eastAsia" w:eastAsia="仿宋"/>
          <w:sz w:val="24"/>
          <w:szCs w:val="22"/>
        </w:rPr>
        <w:t>（20）任何包含价格调整要求的投标；</w:t>
      </w:r>
    </w:p>
    <w:p>
      <w:pPr>
        <w:spacing w:line="400" w:lineRule="atLeast"/>
        <w:rPr>
          <w:rFonts w:hint="eastAsia" w:eastAsia="仿宋"/>
          <w:sz w:val="24"/>
          <w:szCs w:val="22"/>
        </w:rPr>
      </w:pPr>
      <w:r>
        <w:rPr>
          <w:rFonts w:hint="eastAsia" w:eastAsia="仿宋"/>
          <w:sz w:val="24"/>
          <w:szCs w:val="22"/>
        </w:rPr>
        <w:t>（21）投标有效期不满足要求的投标；</w:t>
      </w:r>
    </w:p>
    <w:p>
      <w:pPr>
        <w:spacing w:line="400" w:lineRule="atLeast"/>
        <w:rPr>
          <w:rFonts w:hint="eastAsia" w:eastAsia="仿宋"/>
          <w:sz w:val="24"/>
          <w:szCs w:val="22"/>
        </w:rPr>
      </w:pPr>
      <w:r>
        <w:rPr>
          <w:rFonts w:hint="eastAsia" w:eastAsia="仿宋"/>
          <w:sz w:val="24"/>
          <w:szCs w:val="22"/>
        </w:rPr>
        <w:t>（22）评标委员会认为供应商的报价明显低于其他通过符合性审查供应商的报价，有可能影响产品质量或者不能诚信履约的，供应商不能证明其报价合理性的；</w:t>
      </w:r>
    </w:p>
    <w:p>
      <w:pPr>
        <w:spacing w:line="400" w:lineRule="atLeast"/>
        <w:rPr>
          <w:rFonts w:hint="eastAsia" w:eastAsia="仿宋"/>
          <w:sz w:val="24"/>
          <w:szCs w:val="22"/>
        </w:rPr>
      </w:pPr>
      <w:r>
        <w:rPr>
          <w:rFonts w:hint="eastAsia" w:eastAsia="仿宋"/>
          <w:sz w:val="24"/>
          <w:szCs w:val="22"/>
        </w:rPr>
        <w:t>（23）投标文件报价出现前后不一致，供应商不确认修正后的报价的；</w:t>
      </w:r>
    </w:p>
    <w:p>
      <w:pPr>
        <w:spacing w:line="400" w:lineRule="atLeast"/>
        <w:rPr>
          <w:rFonts w:hint="eastAsia" w:eastAsia="仿宋"/>
          <w:sz w:val="24"/>
          <w:szCs w:val="22"/>
        </w:rPr>
      </w:pPr>
      <w:r>
        <w:rPr>
          <w:rFonts w:hint="eastAsia" w:eastAsia="仿宋"/>
          <w:sz w:val="24"/>
          <w:szCs w:val="22"/>
        </w:rPr>
        <w:t>（24）未按照招标文件要求提交“供应商声明函”的；</w:t>
      </w:r>
    </w:p>
    <w:p>
      <w:pPr>
        <w:spacing w:line="400" w:lineRule="atLeast"/>
        <w:rPr>
          <w:rFonts w:hint="eastAsia" w:eastAsia="仿宋"/>
          <w:sz w:val="24"/>
          <w:szCs w:val="22"/>
        </w:rPr>
      </w:pPr>
      <w:r>
        <w:rPr>
          <w:rFonts w:hint="eastAsia" w:eastAsia="仿宋"/>
          <w:sz w:val="24"/>
          <w:szCs w:val="22"/>
        </w:rPr>
        <w:t>（25）服务期限（或交货期）不满足招标文件要求的；</w:t>
      </w:r>
    </w:p>
    <w:p>
      <w:pPr>
        <w:spacing w:line="400" w:lineRule="atLeast"/>
        <w:rPr>
          <w:rFonts w:hint="eastAsia" w:eastAsia="仿宋"/>
          <w:sz w:val="24"/>
          <w:szCs w:val="22"/>
        </w:rPr>
      </w:pPr>
      <w:r>
        <w:rPr>
          <w:rFonts w:hint="eastAsia" w:eastAsia="仿宋"/>
          <w:sz w:val="24"/>
          <w:szCs w:val="22"/>
        </w:rPr>
        <w:t>（26）未按照招标文件要求单独递交报价一览表原件的。</w:t>
      </w:r>
    </w:p>
    <w:p>
      <w:pPr>
        <w:spacing w:line="400" w:lineRule="atLeast"/>
        <w:rPr>
          <w:rFonts w:hint="eastAsia" w:eastAsia="仿宋"/>
          <w:b/>
          <w:bCs/>
          <w:sz w:val="24"/>
          <w:szCs w:val="22"/>
        </w:rPr>
      </w:pPr>
      <w:r>
        <w:rPr>
          <w:rFonts w:hint="eastAsia" w:eastAsia="仿宋"/>
          <w:b/>
          <w:bCs/>
          <w:sz w:val="24"/>
          <w:szCs w:val="22"/>
        </w:rPr>
        <w:t>在招标采购中，出现下列情形之一的，应予废标：</w:t>
      </w:r>
    </w:p>
    <w:p>
      <w:pPr>
        <w:spacing w:line="400" w:lineRule="atLeast"/>
        <w:rPr>
          <w:rFonts w:hint="eastAsia" w:eastAsia="仿宋"/>
          <w:sz w:val="24"/>
          <w:szCs w:val="22"/>
        </w:rPr>
      </w:pPr>
      <w:r>
        <w:rPr>
          <w:rFonts w:hint="eastAsia" w:eastAsia="仿宋"/>
          <w:sz w:val="24"/>
          <w:szCs w:val="22"/>
        </w:rPr>
        <w:t>（1）符合专业条件的供应商或者对招标文件作实质响应的供应商不足三家。</w:t>
      </w:r>
    </w:p>
    <w:p>
      <w:pPr>
        <w:spacing w:line="400" w:lineRule="atLeast"/>
        <w:rPr>
          <w:rFonts w:hint="eastAsia" w:eastAsia="仿宋"/>
          <w:sz w:val="24"/>
          <w:szCs w:val="22"/>
        </w:rPr>
      </w:pPr>
      <w:r>
        <w:rPr>
          <w:rFonts w:hint="eastAsia" w:eastAsia="仿宋"/>
          <w:sz w:val="24"/>
          <w:szCs w:val="22"/>
        </w:rPr>
        <w:t>（2）出现影响采购公正的违法、违规行为的。</w:t>
      </w:r>
    </w:p>
    <w:p>
      <w:pPr>
        <w:spacing w:line="400" w:lineRule="atLeast"/>
        <w:rPr>
          <w:rFonts w:hint="eastAsia" w:eastAsia="仿宋"/>
          <w:sz w:val="24"/>
          <w:szCs w:val="22"/>
        </w:rPr>
      </w:pPr>
      <w:r>
        <w:rPr>
          <w:rFonts w:hint="eastAsia" w:eastAsia="仿宋"/>
          <w:sz w:val="24"/>
          <w:szCs w:val="22"/>
        </w:rPr>
        <w:t>（3）供应商的报价均超过了采购预算，采购人不能支付的。</w:t>
      </w:r>
    </w:p>
    <w:p>
      <w:pPr>
        <w:spacing w:line="400" w:lineRule="atLeast"/>
        <w:rPr>
          <w:rFonts w:hint="eastAsia" w:eastAsia="仿宋"/>
          <w:sz w:val="24"/>
          <w:szCs w:val="22"/>
        </w:rPr>
      </w:pPr>
      <w:r>
        <w:rPr>
          <w:rFonts w:hint="eastAsia" w:eastAsia="仿宋"/>
          <w:sz w:val="24"/>
          <w:szCs w:val="22"/>
        </w:rPr>
        <w:t>（4）因重大变故，采购任务取消的。</w:t>
      </w:r>
    </w:p>
    <w:p>
      <w:pPr>
        <w:spacing w:line="400" w:lineRule="atLeast"/>
        <w:rPr>
          <w:rFonts w:eastAsia="仿宋"/>
          <w:sz w:val="24"/>
        </w:rPr>
      </w:pPr>
      <w:r>
        <w:rPr>
          <w:rFonts w:eastAsia="仿宋"/>
          <w:sz w:val="24"/>
        </w:rPr>
        <w:t>24．谈判过程</w:t>
      </w:r>
    </w:p>
    <w:p>
      <w:pPr>
        <w:spacing w:line="400" w:lineRule="atLeast"/>
        <w:rPr>
          <w:rFonts w:eastAsia="仿宋"/>
          <w:sz w:val="24"/>
        </w:rPr>
      </w:pPr>
      <w:r>
        <w:rPr>
          <w:rFonts w:eastAsia="仿宋"/>
          <w:sz w:val="24"/>
        </w:rPr>
        <w:t>24.1 谈判的依据为谈判文件和谈判响应文件。</w:t>
      </w:r>
    </w:p>
    <w:p>
      <w:pPr>
        <w:spacing w:line="400" w:lineRule="atLeast"/>
        <w:ind w:left="600" w:hanging="600" w:hangingChars="250"/>
        <w:rPr>
          <w:rFonts w:eastAsia="仿宋"/>
          <w:sz w:val="24"/>
        </w:rPr>
      </w:pPr>
      <w:r>
        <w:rPr>
          <w:rFonts w:eastAsia="仿宋"/>
          <w:sz w:val="24"/>
        </w:rPr>
        <w:t>24.2招标代理机构工作人员将对供应商进行资格审核。审核内容按本须知第4条规定执行。</w:t>
      </w:r>
    </w:p>
    <w:p>
      <w:pPr>
        <w:spacing w:line="400" w:lineRule="atLeast"/>
        <w:ind w:left="600" w:hanging="600" w:hangingChars="250"/>
        <w:rPr>
          <w:rFonts w:eastAsia="仿宋"/>
          <w:sz w:val="24"/>
        </w:rPr>
      </w:pPr>
      <w:r>
        <w:rPr>
          <w:rFonts w:eastAsia="仿宋"/>
          <w:sz w:val="24"/>
        </w:rPr>
        <w:t>24.3对通过资格审核的投标商，谈判小组将审查谈判响应文件是否完整，是否有计算错误，要求的保证金是否提供，文件是否恰当地签署。</w:t>
      </w:r>
    </w:p>
    <w:p>
      <w:pPr>
        <w:adjustRightInd w:val="0"/>
        <w:ind w:left="600" w:hanging="600" w:hangingChars="250"/>
        <w:rPr>
          <w:rFonts w:eastAsia="仿宋"/>
          <w:sz w:val="24"/>
        </w:rPr>
      </w:pPr>
      <w:r>
        <w:rPr>
          <w:rFonts w:eastAsia="仿宋"/>
          <w:sz w:val="24"/>
        </w:rPr>
        <w:t>24.4评审原则</w:t>
      </w:r>
    </w:p>
    <w:p>
      <w:pPr>
        <w:spacing w:line="400" w:lineRule="atLeast"/>
        <w:ind w:left="720" w:hanging="720" w:hangingChars="300"/>
        <w:rPr>
          <w:rFonts w:eastAsia="仿宋"/>
          <w:sz w:val="24"/>
        </w:rPr>
      </w:pPr>
      <w:r>
        <w:rPr>
          <w:rFonts w:eastAsia="仿宋"/>
          <w:sz w:val="24"/>
        </w:rPr>
        <w:t>24.4.1对谈判响应文件进行详细评审，谈判小组将确定每一谈判响应是否对谈判文件的要求作出了实质性的响应，而没有重大偏离。实质性响应的谈判响应是指谈判响应符合谈判文件的所有条款、条件和规定且没有重大偏离或保留。重大偏离或保留系指影响到谈判文件规定的供货范围、质量和性能，或限制了买方的权利和供应商的义务的规定，而纠正这些偏离将影响到其他提交实质性响应谈判响应的供应商的公平竞争地位。</w:t>
      </w:r>
    </w:p>
    <w:p>
      <w:pPr>
        <w:pStyle w:val="9"/>
        <w:spacing w:line="520" w:lineRule="exact"/>
        <w:ind w:firstLine="562"/>
        <w:rPr>
          <w:rFonts w:eastAsia="仿宋"/>
          <w:color w:val="000000"/>
          <w:sz w:val="28"/>
          <w:szCs w:val="28"/>
        </w:rPr>
      </w:pPr>
      <w:r>
        <w:rPr>
          <w:rFonts w:eastAsia="仿宋"/>
          <w:b/>
          <w:bCs/>
          <w:color w:val="000000"/>
          <w:sz w:val="28"/>
          <w:szCs w:val="28"/>
        </w:rPr>
        <w:t>符合性评审表</w:t>
      </w:r>
    </w:p>
    <w:tbl>
      <w:tblPr>
        <w:tblStyle w:val="31"/>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7"/>
        <w:gridCol w:w="2207"/>
        <w:gridCol w:w="4566"/>
        <w:gridCol w:w="97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3" w:hRule="atLeast"/>
          <w:jc w:val="center"/>
        </w:trPr>
        <w:tc>
          <w:tcPr>
            <w:tcW w:w="1767" w:type="dxa"/>
            <w:vMerge w:val="restart"/>
            <w:vAlign w:val="center"/>
          </w:tcPr>
          <w:p>
            <w:pPr>
              <w:spacing w:line="240" w:lineRule="auto"/>
              <w:jc w:val="center"/>
              <w:rPr>
                <w:rFonts w:eastAsia="仿宋"/>
                <w:b/>
                <w:color w:val="000000"/>
                <w:sz w:val="24"/>
                <w:szCs w:val="24"/>
              </w:rPr>
            </w:pPr>
            <w:bookmarkStart w:id="37" w:name="EBf97f626d7f2349dc98726a51f37130cf"/>
            <w:r>
              <w:rPr>
                <w:rFonts w:eastAsia="仿宋"/>
                <w:b/>
                <w:color w:val="000000"/>
                <w:sz w:val="24"/>
                <w:szCs w:val="24"/>
              </w:rPr>
              <w:t>评分因素</w:t>
            </w:r>
          </w:p>
        </w:tc>
        <w:tc>
          <w:tcPr>
            <w:tcW w:w="2207" w:type="dxa"/>
            <w:vMerge w:val="restart"/>
            <w:vAlign w:val="center"/>
          </w:tcPr>
          <w:p>
            <w:pPr>
              <w:spacing w:line="240" w:lineRule="auto"/>
              <w:jc w:val="center"/>
              <w:rPr>
                <w:rFonts w:eastAsia="仿宋"/>
                <w:b/>
                <w:color w:val="000000"/>
                <w:sz w:val="24"/>
                <w:szCs w:val="24"/>
              </w:rPr>
            </w:pPr>
            <w:r>
              <w:rPr>
                <w:rFonts w:eastAsia="仿宋"/>
                <w:b/>
                <w:color w:val="000000"/>
                <w:sz w:val="24"/>
                <w:szCs w:val="24"/>
              </w:rPr>
              <w:t>评分点</w:t>
            </w:r>
          </w:p>
        </w:tc>
        <w:tc>
          <w:tcPr>
            <w:tcW w:w="4566" w:type="dxa"/>
            <w:vMerge w:val="restart"/>
            <w:vAlign w:val="center"/>
          </w:tcPr>
          <w:p>
            <w:pPr>
              <w:spacing w:line="240" w:lineRule="auto"/>
              <w:jc w:val="center"/>
              <w:rPr>
                <w:rFonts w:eastAsia="仿宋"/>
                <w:b/>
                <w:color w:val="000000"/>
                <w:sz w:val="24"/>
                <w:szCs w:val="24"/>
              </w:rPr>
            </w:pPr>
            <w:r>
              <w:rPr>
                <w:rFonts w:eastAsia="仿宋"/>
                <w:b/>
                <w:color w:val="000000"/>
                <w:sz w:val="24"/>
                <w:szCs w:val="24"/>
              </w:rPr>
              <w:t>评分标准</w:t>
            </w:r>
          </w:p>
        </w:tc>
        <w:tc>
          <w:tcPr>
            <w:tcW w:w="1960" w:type="dxa"/>
            <w:gridSpan w:val="2"/>
            <w:vAlign w:val="center"/>
          </w:tcPr>
          <w:p>
            <w:pPr>
              <w:spacing w:line="240" w:lineRule="auto"/>
              <w:jc w:val="center"/>
              <w:rPr>
                <w:rFonts w:eastAsia="仿宋"/>
                <w:b/>
                <w:color w:val="000000"/>
                <w:sz w:val="24"/>
                <w:szCs w:val="24"/>
              </w:rPr>
            </w:pPr>
            <w:r>
              <w:rPr>
                <w:rFonts w:eastAsia="仿宋"/>
                <w:b/>
                <w:color w:val="00000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767" w:type="dxa"/>
            <w:vMerge w:val="continue"/>
            <w:vAlign w:val="center"/>
          </w:tcPr>
          <w:p>
            <w:pPr>
              <w:spacing w:line="240" w:lineRule="auto"/>
              <w:jc w:val="center"/>
              <w:rPr>
                <w:rFonts w:eastAsia="仿宋"/>
                <w:b/>
                <w:color w:val="000000"/>
                <w:sz w:val="24"/>
                <w:szCs w:val="24"/>
              </w:rPr>
            </w:pPr>
          </w:p>
        </w:tc>
        <w:tc>
          <w:tcPr>
            <w:tcW w:w="2207" w:type="dxa"/>
            <w:vMerge w:val="continue"/>
            <w:vAlign w:val="center"/>
          </w:tcPr>
          <w:p>
            <w:pPr>
              <w:spacing w:line="240" w:lineRule="auto"/>
              <w:jc w:val="center"/>
              <w:rPr>
                <w:rFonts w:eastAsia="仿宋"/>
                <w:b/>
                <w:color w:val="000000"/>
                <w:sz w:val="24"/>
                <w:szCs w:val="24"/>
              </w:rPr>
            </w:pPr>
          </w:p>
        </w:tc>
        <w:tc>
          <w:tcPr>
            <w:tcW w:w="4566" w:type="dxa"/>
            <w:vMerge w:val="continue"/>
            <w:vAlign w:val="center"/>
          </w:tcPr>
          <w:p>
            <w:pPr>
              <w:spacing w:line="240" w:lineRule="auto"/>
              <w:jc w:val="center"/>
              <w:rPr>
                <w:rFonts w:eastAsia="仿宋"/>
                <w:b/>
                <w:color w:val="000000"/>
                <w:sz w:val="24"/>
                <w:szCs w:val="24"/>
              </w:rPr>
            </w:pPr>
          </w:p>
        </w:tc>
        <w:tc>
          <w:tcPr>
            <w:tcW w:w="979" w:type="dxa"/>
            <w:vAlign w:val="center"/>
          </w:tcPr>
          <w:p>
            <w:pPr>
              <w:spacing w:line="240" w:lineRule="auto"/>
              <w:jc w:val="center"/>
              <w:rPr>
                <w:rFonts w:eastAsia="仿宋"/>
                <w:b/>
                <w:color w:val="000000"/>
                <w:sz w:val="24"/>
                <w:szCs w:val="24"/>
              </w:rPr>
            </w:pPr>
            <w:r>
              <w:rPr>
                <w:rFonts w:eastAsia="仿宋"/>
                <w:b/>
                <w:color w:val="000000"/>
                <w:sz w:val="24"/>
                <w:szCs w:val="24"/>
              </w:rPr>
              <w:t>是</w:t>
            </w:r>
            <w:r>
              <w:rPr>
                <w:rFonts w:eastAsia="仿宋"/>
                <w:bCs/>
                <w:color w:val="000000"/>
                <w:sz w:val="24"/>
                <w:szCs w:val="24"/>
              </w:rPr>
              <w:t>（√）</w:t>
            </w:r>
          </w:p>
        </w:tc>
        <w:tc>
          <w:tcPr>
            <w:tcW w:w="981" w:type="dxa"/>
            <w:vAlign w:val="center"/>
          </w:tcPr>
          <w:p>
            <w:pPr>
              <w:spacing w:line="240" w:lineRule="auto"/>
              <w:jc w:val="center"/>
              <w:rPr>
                <w:rFonts w:eastAsia="仿宋"/>
                <w:b/>
                <w:color w:val="000000"/>
                <w:sz w:val="24"/>
                <w:szCs w:val="24"/>
              </w:rPr>
            </w:pPr>
            <w:r>
              <w:rPr>
                <w:rFonts w:eastAsia="仿宋"/>
                <w:b/>
                <w:color w:val="000000"/>
                <w:sz w:val="24"/>
                <w:szCs w:val="24"/>
              </w:rPr>
              <w:t>否</w:t>
            </w:r>
            <w:r>
              <w:rPr>
                <w:rFonts w:eastAsia="仿宋"/>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767" w:type="dxa"/>
            <w:vMerge w:val="restart"/>
            <w:vAlign w:val="center"/>
          </w:tcPr>
          <w:p>
            <w:pPr>
              <w:spacing w:line="240" w:lineRule="auto"/>
              <w:jc w:val="center"/>
              <w:rPr>
                <w:rFonts w:eastAsia="仿宋"/>
                <w:color w:val="000000"/>
                <w:sz w:val="24"/>
                <w:szCs w:val="24"/>
              </w:rPr>
            </w:pPr>
            <w:r>
              <w:rPr>
                <w:rFonts w:eastAsia="仿宋"/>
                <w:color w:val="000000"/>
                <w:sz w:val="24"/>
                <w:szCs w:val="24"/>
              </w:rPr>
              <w:t>符合性审查</w:t>
            </w:r>
          </w:p>
        </w:tc>
        <w:tc>
          <w:tcPr>
            <w:tcW w:w="2207" w:type="dxa"/>
            <w:vAlign w:val="center"/>
          </w:tcPr>
          <w:p>
            <w:pPr>
              <w:spacing w:line="240" w:lineRule="auto"/>
              <w:jc w:val="center"/>
              <w:rPr>
                <w:rFonts w:eastAsia="仿宋"/>
                <w:color w:val="000000"/>
                <w:sz w:val="24"/>
                <w:szCs w:val="24"/>
              </w:rPr>
            </w:pPr>
            <w:r>
              <w:rPr>
                <w:rFonts w:eastAsia="仿宋"/>
                <w:color w:val="000000"/>
                <w:sz w:val="24"/>
                <w:szCs w:val="24"/>
              </w:rPr>
              <w:t>供应商名称</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供应商名称是否与营业执照一致</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kern w:val="2"/>
                <w:sz w:val="24"/>
                <w:szCs w:val="24"/>
              </w:rPr>
              <w:t>资格证明文件</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供应商资格证明文件是否满足竞争性</w:t>
            </w:r>
            <w:r>
              <w:rPr>
                <w:rFonts w:hint="eastAsia" w:eastAsia="仿宋"/>
                <w:color w:val="000000"/>
                <w:sz w:val="24"/>
                <w:szCs w:val="24"/>
                <w:lang w:val="en-US" w:eastAsia="zh-CN"/>
              </w:rPr>
              <w:t>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sz w:val="24"/>
                <w:szCs w:val="24"/>
              </w:rPr>
              <w:t>响应文件签署、盖章</w:t>
            </w:r>
          </w:p>
        </w:tc>
        <w:tc>
          <w:tcPr>
            <w:tcW w:w="4566" w:type="dxa"/>
            <w:vAlign w:val="center"/>
          </w:tcPr>
          <w:p>
            <w:pPr>
              <w:pStyle w:val="128"/>
              <w:spacing w:line="240" w:lineRule="auto"/>
              <w:jc w:val="both"/>
              <w:rPr>
                <w:rFonts w:eastAsia="仿宋"/>
                <w:color w:val="000000"/>
                <w:sz w:val="24"/>
                <w:szCs w:val="24"/>
              </w:rPr>
            </w:pPr>
            <w:r>
              <w:rPr>
                <w:rFonts w:eastAsia="仿宋"/>
                <w:color w:val="000000"/>
                <w:sz w:val="24"/>
                <w:szCs w:val="24"/>
              </w:rPr>
              <w:t>响应文件是否按照</w:t>
            </w:r>
            <w:r>
              <w:rPr>
                <w:rFonts w:hint="eastAsia" w:eastAsia="仿宋"/>
                <w:color w:val="000000"/>
                <w:sz w:val="24"/>
                <w:szCs w:val="24"/>
                <w:lang w:eastAsia="zh-CN"/>
              </w:rPr>
              <w:t>竞争性谈判</w:t>
            </w:r>
            <w:r>
              <w:rPr>
                <w:rFonts w:eastAsia="仿宋"/>
                <w:color w:val="000000"/>
                <w:sz w:val="24"/>
                <w:szCs w:val="24"/>
              </w:rPr>
              <w:t>文件规定要求、签署、盖章</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spacing w:line="240" w:lineRule="auto"/>
              <w:jc w:val="center"/>
              <w:rPr>
                <w:rFonts w:eastAsia="仿宋"/>
                <w:color w:val="000000"/>
                <w:sz w:val="24"/>
                <w:szCs w:val="24"/>
              </w:rPr>
            </w:pPr>
            <w:r>
              <w:rPr>
                <w:rFonts w:eastAsia="仿宋"/>
                <w:color w:val="000000"/>
                <w:kern w:val="0"/>
                <w:sz w:val="24"/>
                <w:szCs w:val="24"/>
              </w:rPr>
              <w:t>投标报价</w:t>
            </w:r>
          </w:p>
        </w:tc>
        <w:tc>
          <w:tcPr>
            <w:tcW w:w="4566" w:type="dxa"/>
            <w:vAlign w:val="center"/>
          </w:tcPr>
          <w:p>
            <w:pPr>
              <w:spacing w:line="240" w:lineRule="auto"/>
              <w:rPr>
                <w:rFonts w:eastAsia="仿宋"/>
                <w:color w:val="000000"/>
                <w:sz w:val="24"/>
                <w:szCs w:val="24"/>
              </w:rPr>
            </w:pPr>
            <w:r>
              <w:rPr>
                <w:rFonts w:eastAsia="仿宋"/>
                <w:color w:val="000000"/>
                <w:kern w:val="0"/>
                <w:sz w:val="24"/>
                <w:szCs w:val="24"/>
              </w:rPr>
              <w:t>投标报价是否按照招标文件格式填写，投标报价是否唯一</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spacing w:line="240" w:lineRule="auto"/>
              <w:jc w:val="center"/>
              <w:rPr>
                <w:rFonts w:eastAsia="仿宋"/>
                <w:color w:val="000000"/>
                <w:sz w:val="24"/>
                <w:szCs w:val="24"/>
              </w:rPr>
            </w:pPr>
            <w:r>
              <w:rPr>
                <w:rFonts w:eastAsia="仿宋"/>
                <w:color w:val="000000"/>
                <w:sz w:val="24"/>
                <w:szCs w:val="24"/>
              </w:rPr>
              <w:t>磋商有效期</w:t>
            </w:r>
          </w:p>
        </w:tc>
        <w:tc>
          <w:tcPr>
            <w:tcW w:w="4566" w:type="dxa"/>
            <w:vAlign w:val="center"/>
          </w:tcPr>
          <w:p>
            <w:pPr>
              <w:spacing w:line="240" w:lineRule="auto"/>
              <w:rPr>
                <w:rFonts w:eastAsia="仿宋"/>
                <w:color w:val="000000"/>
                <w:sz w:val="24"/>
                <w:szCs w:val="24"/>
              </w:rPr>
            </w:pPr>
            <w:r>
              <w:rPr>
                <w:rFonts w:eastAsia="仿宋"/>
                <w:color w:val="000000"/>
                <w:sz w:val="24"/>
                <w:szCs w:val="24"/>
              </w:rPr>
              <w:t>是否符合</w:t>
            </w:r>
            <w:r>
              <w:rPr>
                <w:rFonts w:hint="eastAsia" w:eastAsia="仿宋"/>
                <w:color w:val="000000"/>
                <w:sz w:val="24"/>
                <w:szCs w:val="24"/>
                <w:lang w:eastAsia="zh-CN"/>
              </w:rPr>
              <w:t>竞争性谈判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kern w:val="2"/>
                <w:sz w:val="24"/>
                <w:szCs w:val="24"/>
              </w:rPr>
              <w:t>响应文件完整性</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供应商响应文件的响应性、完整性是否符合</w:t>
            </w:r>
            <w:r>
              <w:rPr>
                <w:rFonts w:hint="eastAsia" w:eastAsia="仿宋"/>
                <w:color w:val="000000"/>
                <w:sz w:val="24"/>
                <w:szCs w:val="24"/>
                <w:lang w:eastAsia="zh-CN"/>
              </w:rPr>
              <w:t>竞争性谈判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hint="eastAsia" w:eastAsia="仿宋"/>
                <w:color w:val="000000"/>
                <w:kern w:val="2"/>
                <w:sz w:val="24"/>
                <w:szCs w:val="24"/>
                <w:lang w:val="en-US" w:eastAsia="zh-CN"/>
              </w:rPr>
            </w:pPr>
            <w:r>
              <w:rPr>
                <w:rFonts w:hint="eastAsia" w:eastAsia="仿宋"/>
                <w:color w:val="000000"/>
                <w:kern w:val="2"/>
                <w:sz w:val="24"/>
                <w:szCs w:val="24"/>
                <w:lang w:val="en-US" w:eastAsia="zh-CN"/>
              </w:rPr>
              <w:t>投标保证金</w:t>
            </w:r>
          </w:p>
        </w:tc>
        <w:tc>
          <w:tcPr>
            <w:tcW w:w="4566" w:type="dxa"/>
            <w:vAlign w:val="center"/>
          </w:tcPr>
          <w:p>
            <w:pPr>
              <w:spacing w:line="240" w:lineRule="auto"/>
              <w:rPr>
                <w:rFonts w:hint="eastAsia" w:eastAsia="仿宋"/>
                <w:color w:val="000000"/>
                <w:sz w:val="24"/>
                <w:szCs w:val="24"/>
                <w:lang w:val="en-US" w:eastAsia="zh-CN"/>
              </w:rPr>
            </w:pPr>
            <w:r>
              <w:rPr>
                <w:rFonts w:hint="eastAsia" w:eastAsia="仿宋"/>
                <w:color w:val="000000"/>
                <w:sz w:val="24"/>
                <w:szCs w:val="24"/>
                <w:lang w:val="en-US" w:eastAsia="zh-CN"/>
              </w:rPr>
              <w:t>是否按照谈判文件要求缴纳</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hint="default" w:eastAsia="仿宋"/>
                <w:color w:val="000000"/>
                <w:kern w:val="2"/>
                <w:sz w:val="24"/>
                <w:szCs w:val="24"/>
                <w:lang w:val="en-US" w:eastAsia="zh-CN"/>
              </w:rPr>
            </w:pPr>
            <w:r>
              <w:rPr>
                <w:rFonts w:hint="eastAsia" w:eastAsia="仿宋"/>
                <w:color w:val="000000"/>
                <w:kern w:val="2"/>
                <w:sz w:val="24"/>
                <w:szCs w:val="24"/>
                <w:lang w:val="en-US" w:eastAsia="zh-CN"/>
              </w:rPr>
              <w:t>中小微企业声明函</w:t>
            </w:r>
          </w:p>
        </w:tc>
        <w:tc>
          <w:tcPr>
            <w:tcW w:w="4566" w:type="dxa"/>
            <w:vAlign w:val="center"/>
          </w:tcPr>
          <w:p>
            <w:pPr>
              <w:spacing w:line="240" w:lineRule="auto"/>
              <w:rPr>
                <w:rFonts w:hint="default" w:eastAsia="仿宋"/>
                <w:color w:val="000000"/>
                <w:sz w:val="24"/>
                <w:szCs w:val="24"/>
                <w:lang w:val="en-US" w:eastAsia="zh-CN"/>
              </w:rPr>
            </w:pPr>
            <w:r>
              <w:rPr>
                <w:rFonts w:hint="default" w:eastAsia="仿宋"/>
                <w:color w:val="000000"/>
                <w:sz w:val="24"/>
                <w:szCs w:val="24"/>
                <w:lang w:val="en-US" w:eastAsia="zh-CN"/>
              </w:rPr>
              <w:t>本项目为专门面向中小企业（含中型、小型、微型企业）采购项目，根据《政府采购促进中小企业发展管理办法》（财库[2020]46号）的规定，不再执行价格评审优惠的扶持政策</w:t>
            </w:r>
            <w:r>
              <w:rPr>
                <w:rFonts w:hint="eastAsia" w:eastAsia="仿宋"/>
                <w:color w:val="000000"/>
                <w:sz w:val="24"/>
                <w:szCs w:val="24"/>
                <w:lang w:val="en-US" w:eastAsia="zh-CN"/>
              </w:rPr>
              <w:t>，所投产品生产厂家必须提供此说明。</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0500" w:type="dxa"/>
            <w:gridSpan w:val="5"/>
            <w:vAlign w:val="center"/>
          </w:tcPr>
          <w:p>
            <w:pPr>
              <w:spacing w:line="240" w:lineRule="auto"/>
              <w:jc w:val="left"/>
              <w:rPr>
                <w:rFonts w:hint="eastAsia" w:eastAsia="仿宋"/>
                <w:b/>
                <w:color w:val="000000"/>
                <w:sz w:val="24"/>
                <w:szCs w:val="24"/>
                <w:lang w:val="en-US" w:eastAsia="zh-CN"/>
              </w:rPr>
            </w:pPr>
            <w:r>
              <w:rPr>
                <w:rFonts w:hint="eastAsia" w:eastAsia="仿宋"/>
                <w:b/>
                <w:color w:val="000000"/>
                <w:sz w:val="24"/>
                <w:szCs w:val="24"/>
                <w:lang w:val="en-US" w:eastAsia="zh-CN"/>
              </w:rPr>
              <w:t>评审结果：</w:t>
            </w:r>
          </w:p>
          <w:p>
            <w:pPr>
              <w:spacing w:line="240" w:lineRule="auto"/>
              <w:jc w:val="left"/>
              <w:rPr>
                <w:rFonts w:hint="eastAsia" w:eastAsia="仿宋"/>
                <w:color w:val="000000"/>
                <w:sz w:val="24"/>
                <w:szCs w:val="24"/>
                <w:lang w:val="en-US" w:eastAsia="zh-CN"/>
              </w:rPr>
            </w:pPr>
            <w:r>
              <w:rPr>
                <w:rFonts w:eastAsia="仿宋"/>
                <w:b/>
                <w:color w:val="000000"/>
                <w:sz w:val="24"/>
                <w:szCs w:val="24"/>
              </w:rPr>
              <w:t>注：以上检查内容必须全部符合检查标准，否则为无效标。</w:t>
            </w:r>
            <w:r>
              <w:rPr>
                <w:rFonts w:hint="eastAsia" w:eastAsia="仿宋"/>
                <w:b/>
                <w:color w:val="000000"/>
                <w:sz w:val="24"/>
                <w:szCs w:val="24"/>
                <w:lang w:val="en-US" w:eastAsia="zh-CN"/>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0500" w:type="dxa"/>
            <w:gridSpan w:val="5"/>
            <w:vAlign w:val="center"/>
          </w:tcPr>
          <w:p>
            <w:pPr>
              <w:spacing w:line="240" w:lineRule="auto"/>
              <w:jc w:val="left"/>
              <w:rPr>
                <w:rFonts w:hint="eastAsia" w:eastAsia="仿宋"/>
                <w:b/>
                <w:color w:val="000000"/>
                <w:sz w:val="24"/>
                <w:szCs w:val="24"/>
                <w:lang w:val="en-US" w:eastAsia="zh-CN"/>
              </w:rPr>
            </w:pPr>
            <w:r>
              <w:rPr>
                <w:rFonts w:hint="eastAsia" w:eastAsia="仿宋"/>
                <w:b/>
                <w:color w:val="000000"/>
                <w:sz w:val="24"/>
                <w:szCs w:val="24"/>
                <w:lang w:val="en-US" w:eastAsia="zh-CN"/>
              </w:rPr>
              <w:t>谈判专家小组成员签字</w:t>
            </w:r>
          </w:p>
        </w:tc>
      </w:tr>
      <w:bookmarkEnd w:id="37"/>
    </w:tbl>
    <w:p>
      <w:pPr>
        <w:spacing w:line="400" w:lineRule="atLeast"/>
        <w:rPr>
          <w:rFonts w:eastAsia="仿宋"/>
          <w:sz w:val="24"/>
        </w:rPr>
      </w:pPr>
      <w:r>
        <w:rPr>
          <w:rFonts w:eastAsia="仿宋"/>
          <w:sz w:val="24"/>
        </w:rPr>
        <w:t>25．谈判响应文件的澄清</w:t>
      </w:r>
    </w:p>
    <w:p>
      <w:pPr>
        <w:spacing w:line="400" w:lineRule="atLeast"/>
        <w:ind w:left="600" w:hanging="600" w:hangingChars="250"/>
        <w:rPr>
          <w:rFonts w:eastAsia="仿宋"/>
          <w:sz w:val="24"/>
        </w:rPr>
      </w:pPr>
      <w:r>
        <w:rPr>
          <w:rFonts w:eastAsia="仿宋"/>
          <w:sz w:val="24"/>
        </w:rPr>
        <w:t>25.1为有助于对谈判响应文件进行审查、评估和比较，谈判小组将对认为需要（不是每一个）的供应商进行澄清答疑，请供应商澄清其谈判响应内容，供应商有责任按照招标代理机构通知的时间、地点指派专人进行答疑和澄清。</w:t>
      </w:r>
    </w:p>
    <w:p>
      <w:pPr>
        <w:spacing w:line="400" w:lineRule="atLeast"/>
        <w:ind w:left="600" w:hanging="600" w:hangingChars="250"/>
        <w:rPr>
          <w:rFonts w:eastAsia="仿宋"/>
          <w:sz w:val="24"/>
        </w:rPr>
      </w:pPr>
      <w:r>
        <w:rPr>
          <w:rFonts w:eastAsia="仿宋"/>
          <w:sz w:val="24"/>
        </w:rPr>
        <w:t>25.2 要澄清的答复应是书面的，谈判时法人或法人授权人代表应作书面记录。但不得对谈判内容进行实质性修改。澄清文件须由供应商法人代表或法人授权代表签字和/或加盖公章并作为谈判响应文件的组成部分。</w:t>
      </w:r>
    </w:p>
    <w:p>
      <w:pPr>
        <w:spacing w:line="400" w:lineRule="atLeast"/>
        <w:ind w:left="600" w:hanging="600" w:hangingChars="250"/>
        <w:rPr>
          <w:rFonts w:eastAsia="仿宋"/>
          <w:sz w:val="24"/>
        </w:rPr>
      </w:pPr>
      <w:r>
        <w:rPr>
          <w:rFonts w:eastAsia="仿宋"/>
          <w:sz w:val="24"/>
        </w:rPr>
        <w:t>25.3 谈判结束后，谈判小组要求所有参加谈判的供应商在规定的时间内进行最后报价。</w:t>
      </w:r>
    </w:p>
    <w:p>
      <w:pPr>
        <w:spacing w:line="400" w:lineRule="atLeast"/>
        <w:rPr>
          <w:rFonts w:eastAsia="仿宋"/>
          <w:sz w:val="24"/>
        </w:rPr>
      </w:pPr>
      <w:r>
        <w:rPr>
          <w:rFonts w:eastAsia="仿宋"/>
          <w:sz w:val="24"/>
        </w:rPr>
        <w:t>26．确定成交供应商的办法</w:t>
      </w:r>
    </w:p>
    <w:p>
      <w:pPr>
        <w:spacing w:line="400" w:lineRule="atLeast"/>
        <w:ind w:left="600" w:hanging="600" w:hangingChars="250"/>
        <w:rPr>
          <w:rFonts w:eastAsia="仿宋"/>
          <w:bCs/>
          <w:sz w:val="24"/>
        </w:rPr>
      </w:pPr>
      <w:r>
        <w:rPr>
          <w:rFonts w:eastAsia="仿宋"/>
          <w:bCs/>
          <w:sz w:val="24"/>
        </w:rPr>
        <w:t>26.1谈判小组按照谈判文件要求对谈判响应文件中的供应商资格、供应商资格证明文件、重要技术指标以及技术和商务上要求的其它重要内容进行审核。</w:t>
      </w:r>
    </w:p>
    <w:p>
      <w:pPr>
        <w:spacing w:line="400" w:lineRule="atLeast"/>
        <w:ind w:left="600" w:hanging="600" w:hangingChars="250"/>
        <w:rPr>
          <w:rFonts w:eastAsia="仿宋"/>
          <w:bCs/>
          <w:sz w:val="24"/>
        </w:rPr>
      </w:pPr>
      <w:r>
        <w:rPr>
          <w:rFonts w:eastAsia="仿宋"/>
          <w:bCs/>
          <w:sz w:val="24"/>
        </w:rPr>
        <w:t>26.2谈判小组和供应商谈判过程中作出的书面承诺是否符合谈判文件中对质量、技术和服务的要求。</w:t>
      </w:r>
    </w:p>
    <w:p>
      <w:pPr>
        <w:spacing w:line="400" w:lineRule="atLeast"/>
        <w:ind w:left="480" w:hanging="480" w:hangingChars="200"/>
        <w:rPr>
          <w:rFonts w:eastAsia="仿宋"/>
          <w:bCs/>
          <w:sz w:val="24"/>
        </w:rPr>
      </w:pPr>
      <w:r>
        <w:rPr>
          <w:rFonts w:eastAsia="仿宋"/>
          <w:bCs/>
          <w:sz w:val="24"/>
        </w:rPr>
        <w:t>26.3谈判小组将根据需要决定对所有合格的供应商在规定时间内进行二次或多次报价，最后报价将作为谈判小组评比的最终依据。</w:t>
      </w:r>
    </w:p>
    <w:p>
      <w:pPr>
        <w:adjustRightInd w:val="0"/>
        <w:ind w:left="600" w:hanging="600" w:hangingChars="250"/>
        <w:rPr>
          <w:rFonts w:eastAsia="仿宋"/>
          <w:sz w:val="24"/>
        </w:rPr>
      </w:pPr>
      <w:r>
        <w:rPr>
          <w:rFonts w:eastAsia="仿宋"/>
          <w:bCs/>
          <w:sz w:val="24"/>
        </w:rPr>
        <w:t>26.4 符合采购需求、质量和服务相等，最终报价由低到高的顺序推荐成交供应商。</w:t>
      </w:r>
    </w:p>
    <w:p>
      <w:pPr>
        <w:adjustRightInd w:val="0"/>
        <w:ind w:left="600" w:hanging="600" w:hangingChars="250"/>
        <w:rPr>
          <w:rFonts w:eastAsia="仿宋"/>
          <w:sz w:val="24"/>
        </w:rPr>
      </w:pPr>
      <w:r>
        <w:rPr>
          <w:rFonts w:eastAsia="仿宋"/>
          <w:bCs/>
          <w:sz w:val="24"/>
        </w:rPr>
        <w:t>26.5采购人根据谈判小组推荐意见，确定最终响应报价最低者为成交供应商。如果成交供应商的实际情况与其谈判资料不相符，将取消资格，由次低价的成交候选人递补，或废标后重新组织采购。</w:t>
      </w:r>
    </w:p>
    <w:p>
      <w:pPr>
        <w:spacing w:line="400" w:lineRule="atLeast"/>
        <w:rPr>
          <w:rFonts w:eastAsia="仿宋"/>
          <w:sz w:val="24"/>
        </w:rPr>
      </w:pPr>
      <w:r>
        <w:rPr>
          <w:rFonts w:eastAsia="仿宋"/>
          <w:sz w:val="24"/>
        </w:rPr>
        <w:t>27．谈判过程的保密性</w:t>
      </w:r>
    </w:p>
    <w:p>
      <w:pPr>
        <w:spacing w:line="400" w:lineRule="atLeast"/>
        <w:ind w:left="552" w:hanging="552" w:hangingChars="230"/>
        <w:rPr>
          <w:rFonts w:eastAsia="仿宋"/>
          <w:sz w:val="24"/>
        </w:rPr>
      </w:pPr>
      <w:r>
        <w:rPr>
          <w:rFonts w:eastAsia="仿宋"/>
          <w:sz w:val="24"/>
        </w:rPr>
        <w:t>27.1 谈判后，直到授予合同为止，凡是属于审查、澄清、评价和比较的有关资料以及授予成交通知书的建议等谈判小组成员或参与谈判的有关工作人员均不得向供应商或其他无关的人员透露，违者给予警告、取消担任谈判小组成员的资格，不得再参加任何项目的谈判。</w:t>
      </w:r>
    </w:p>
    <w:p>
      <w:pPr>
        <w:spacing w:line="400" w:lineRule="atLeast"/>
        <w:ind w:left="552" w:hanging="552" w:hangingChars="230"/>
        <w:rPr>
          <w:rFonts w:eastAsia="仿宋"/>
          <w:sz w:val="24"/>
        </w:rPr>
      </w:pPr>
      <w:r>
        <w:rPr>
          <w:rFonts w:eastAsia="仿宋"/>
          <w:sz w:val="24"/>
        </w:rPr>
        <w:t>27.2 供应商在谈判过程中，所进行的力图影响谈判结果的，不符合《政府采购法》及本次谈判中有关规定的活动，将被取消其谈判资格。</w:t>
      </w:r>
    </w:p>
    <w:p>
      <w:pPr>
        <w:spacing w:line="400" w:lineRule="atLeast"/>
        <w:ind w:left="552" w:hanging="552" w:hangingChars="230"/>
        <w:rPr>
          <w:rFonts w:eastAsia="仿宋"/>
          <w:sz w:val="24"/>
        </w:rPr>
      </w:pPr>
      <w:r>
        <w:rPr>
          <w:rFonts w:eastAsia="仿宋"/>
          <w:sz w:val="24"/>
        </w:rPr>
        <w:t>28.</w:t>
      </w:r>
      <w:r>
        <w:rPr>
          <w:rFonts w:eastAsia="仿宋"/>
        </w:rPr>
        <w:t xml:space="preserve"> </w:t>
      </w:r>
      <w:r>
        <w:rPr>
          <w:rFonts w:eastAsia="仿宋"/>
          <w:sz w:val="24"/>
        </w:rPr>
        <w:t>若供应商和小微企业产品/服务制造商均符合小微企业条件，并且提供了《中小企业声明函》的，则其评标价格=供应商报价中属于小型和微型企业产品的价格部分×（100%-</w:t>
      </w:r>
      <w:r>
        <w:rPr>
          <w:rFonts w:hint="eastAsia" w:eastAsia="仿宋"/>
          <w:sz w:val="24"/>
          <w:lang w:val="en-US" w:eastAsia="zh-CN"/>
        </w:rPr>
        <w:t>10</w:t>
      </w:r>
      <w:r>
        <w:rPr>
          <w:rFonts w:eastAsia="仿宋"/>
          <w:sz w:val="24"/>
        </w:rPr>
        <w:t>%）+供应商报价中不属于小型和微型企业产品的价格部分；否则，其评标价=投标报价。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p>
    <w:p>
      <w:pPr>
        <w:pStyle w:val="29"/>
        <w:ind w:left="0" w:leftChars="0" w:firstLine="0" w:firstLineChars="0"/>
        <w:jc w:val="center"/>
        <w:rPr>
          <w:rFonts w:ascii="Times New Roman" w:hAnsi="Times New Roman" w:eastAsia="仿宋" w:cs="Times New Roman"/>
          <w:b/>
          <w:kern w:val="2"/>
          <w:sz w:val="28"/>
          <w:szCs w:val="28"/>
          <w:lang w:val="en-US" w:eastAsia="zh-CN" w:bidi="ar-SA"/>
        </w:rPr>
      </w:pPr>
      <w:r>
        <w:rPr>
          <w:rFonts w:ascii="Times New Roman" w:hAnsi="Times New Roman" w:eastAsia="仿宋" w:cs="Times New Roman"/>
          <w:b/>
          <w:kern w:val="2"/>
          <w:sz w:val="28"/>
          <w:szCs w:val="28"/>
          <w:lang w:val="en-US" w:eastAsia="zh-CN" w:bidi="ar-SA"/>
        </w:rPr>
        <w:t>F  授予合同</w:t>
      </w:r>
      <w:bookmarkEnd w:id="32"/>
    </w:p>
    <w:p>
      <w:pPr>
        <w:rPr>
          <w:rFonts w:eastAsia="仿宋"/>
          <w:sz w:val="24"/>
        </w:rPr>
      </w:pPr>
      <w:r>
        <w:rPr>
          <w:rFonts w:eastAsia="仿宋"/>
          <w:sz w:val="24"/>
        </w:rPr>
        <w:t>28．合同授予标准</w:t>
      </w:r>
    </w:p>
    <w:p>
      <w:pPr>
        <w:ind w:left="600" w:hanging="600" w:hangingChars="250"/>
        <w:rPr>
          <w:rFonts w:eastAsia="仿宋"/>
          <w:sz w:val="24"/>
        </w:rPr>
      </w:pPr>
      <w:r>
        <w:rPr>
          <w:rFonts w:eastAsia="仿宋"/>
          <w:sz w:val="24"/>
        </w:rPr>
        <w:t>28.1合同将授予被确定为实质上响应谈判文件要求，符合采购需求、质量和服务满足谈判文件要求且报价最低的供应商。</w:t>
      </w:r>
    </w:p>
    <w:p>
      <w:pPr>
        <w:rPr>
          <w:rFonts w:eastAsia="仿宋"/>
          <w:sz w:val="24"/>
        </w:rPr>
      </w:pPr>
      <w:r>
        <w:rPr>
          <w:rFonts w:eastAsia="仿宋"/>
          <w:sz w:val="24"/>
        </w:rPr>
        <w:t>28.2 最低谈判响应价不一定是被授予合同的保证。</w:t>
      </w:r>
    </w:p>
    <w:p>
      <w:pPr>
        <w:rPr>
          <w:rFonts w:eastAsia="仿宋"/>
          <w:sz w:val="24"/>
        </w:rPr>
      </w:pPr>
      <w:r>
        <w:rPr>
          <w:rFonts w:eastAsia="仿宋"/>
          <w:sz w:val="24"/>
        </w:rPr>
        <w:t>28.3 如有特殊情况的产品则特殊处理。</w:t>
      </w:r>
    </w:p>
    <w:p>
      <w:pPr>
        <w:rPr>
          <w:rFonts w:eastAsia="仿宋"/>
          <w:sz w:val="24"/>
        </w:rPr>
      </w:pPr>
      <w:r>
        <w:rPr>
          <w:rFonts w:eastAsia="仿宋"/>
          <w:sz w:val="24"/>
        </w:rPr>
        <w:t>29．接受和拒绝任何或所有谈判响应的权力</w:t>
      </w:r>
    </w:p>
    <w:p>
      <w:pPr>
        <w:ind w:left="600" w:hanging="600" w:hangingChars="250"/>
        <w:rPr>
          <w:rFonts w:eastAsia="仿宋"/>
          <w:sz w:val="24"/>
        </w:rPr>
      </w:pPr>
      <w:r>
        <w:rPr>
          <w:rFonts w:eastAsia="仿宋"/>
          <w:sz w:val="24"/>
        </w:rPr>
        <w:t>29.1为维护国家利益，采购代理机构在授予合同之前仍有选择或拒绝任何全部谈判响应的权力，并对所采取的行为不作任何解释。</w:t>
      </w:r>
    </w:p>
    <w:p>
      <w:pPr>
        <w:rPr>
          <w:rFonts w:eastAsia="仿宋"/>
          <w:sz w:val="24"/>
        </w:rPr>
      </w:pPr>
      <w:r>
        <w:rPr>
          <w:rFonts w:eastAsia="仿宋"/>
          <w:sz w:val="24"/>
        </w:rPr>
        <w:t>30．成交通知书</w:t>
      </w:r>
    </w:p>
    <w:p>
      <w:pPr>
        <w:ind w:left="552" w:hanging="552" w:hangingChars="230"/>
        <w:rPr>
          <w:rFonts w:eastAsia="仿宋"/>
          <w:sz w:val="24"/>
        </w:rPr>
      </w:pPr>
      <w:r>
        <w:rPr>
          <w:rFonts w:eastAsia="仿宋"/>
          <w:sz w:val="24"/>
        </w:rPr>
        <w:t>30.1采购代理机构将以书面形式发出《成交通知书》，《成交通知书》一经发出即发生法律效力。</w:t>
      </w:r>
    </w:p>
    <w:p>
      <w:pPr>
        <w:rPr>
          <w:rFonts w:eastAsia="仿宋"/>
          <w:sz w:val="24"/>
        </w:rPr>
      </w:pPr>
      <w:r>
        <w:rPr>
          <w:rFonts w:eastAsia="仿宋"/>
          <w:sz w:val="24"/>
        </w:rPr>
        <w:t>30.2 《成交通知书》将作为签订合同的依据。</w:t>
      </w:r>
    </w:p>
    <w:p>
      <w:pPr>
        <w:ind w:left="600" w:hanging="600" w:hangingChars="250"/>
        <w:rPr>
          <w:rFonts w:eastAsia="仿宋"/>
          <w:sz w:val="24"/>
        </w:rPr>
      </w:pPr>
      <w:r>
        <w:rPr>
          <w:rFonts w:eastAsia="仿宋"/>
          <w:sz w:val="24"/>
        </w:rPr>
        <w:t>30.3 采购代理机构将在成交通知书按规定签订合同并提交履约保证金（如适用）后退还其谈判响应保证金。</w:t>
      </w:r>
    </w:p>
    <w:p>
      <w:pPr>
        <w:rPr>
          <w:rFonts w:eastAsia="仿宋"/>
          <w:sz w:val="24"/>
        </w:rPr>
      </w:pPr>
      <w:r>
        <w:rPr>
          <w:rFonts w:eastAsia="仿宋"/>
          <w:sz w:val="24"/>
        </w:rPr>
        <w:t>31．签订合同</w:t>
      </w:r>
    </w:p>
    <w:p>
      <w:pPr>
        <w:ind w:left="540" w:hanging="540" w:hangingChars="225"/>
        <w:rPr>
          <w:rFonts w:eastAsia="仿宋"/>
          <w:sz w:val="24"/>
        </w:rPr>
      </w:pPr>
      <w:r>
        <w:rPr>
          <w:rFonts w:eastAsia="仿宋"/>
          <w:sz w:val="24"/>
        </w:rPr>
        <w:t>31.1 供应商收到《成交通知书》后，按《成交通知书》中规定的时间地点与买方签订合同。买方和成交通知书不得再订立背离合同实质性内容的其他协议。</w:t>
      </w:r>
    </w:p>
    <w:p>
      <w:pPr>
        <w:rPr>
          <w:rFonts w:eastAsia="仿宋"/>
          <w:sz w:val="24"/>
        </w:rPr>
      </w:pPr>
      <w:r>
        <w:rPr>
          <w:rFonts w:eastAsia="仿宋"/>
          <w:sz w:val="24"/>
        </w:rPr>
        <w:t>31.2如成交通知书拒签合同，则按违约处理。采购代理机构没收其谈判响应保证金。</w:t>
      </w:r>
    </w:p>
    <w:p>
      <w:pPr>
        <w:rPr>
          <w:rFonts w:eastAsia="仿宋"/>
          <w:sz w:val="24"/>
        </w:rPr>
      </w:pPr>
      <w:r>
        <w:rPr>
          <w:rFonts w:eastAsia="仿宋"/>
          <w:sz w:val="24"/>
        </w:rPr>
        <w:t>31.3谈判文件、成交通知书的谈判响应文件及其澄清文件等，均为签订经济合同的依据。</w:t>
      </w:r>
    </w:p>
    <w:p>
      <w:pPr>
        <w:rPr>
          <w:rFonts w:eastAsia="仿宋"/>
          <w:sz w:val="24"/>
        </w:rPr>
      </w:pPr>
      <w:r>
        <w:rPr>
          <w:rFonts w:eastAsia="仿宋"/>
          <w:sz w:val="24"/>
        </w:rPr>
        <w:t>32．履约保证金</w:t>
      </w:r>
    </w:p>
    <w:p>
      <w:pPr>
        <w:ind w:left="720" w:hanging="720"/>
        <w:rPr>
          <w:rFonts w:eastAsia="仿宋"/>
          <w:sz w:val="24"/>
        </w:rPr>
      </w:pPr>
      <w:r>
        <w:rPr>
          <w:rFonts w:eastAsia="仿宋"/>
          <w:sz w:val="24"/>
        </w:rPr>
        <w:t>32.1成交通知书应按合同规定的方式、时间和金额向买方提交履约保证金。</w:t>
      </w:r>
    </w:p>
    <w:p>
      <w:pPr>
        <w:rPr>
          <w:rFonts w:eastAsia="仿宋"/>
          <w:sz w:val="24"/>
        </w:rPr>
      </w:pPr>
      <w:r>
        <w:rPr>
          <w:rFonts w:eastAsia="仿宋"/>
          <w:sz w:val="24"/>
        </w:rPr>
        <w:t>33．采购代理服务费</w:t>
      </w:r>
    </w:p>
    <w:p>
      <w:pPr>
        <w:pStyle w:val="16"/>
        <w:rPr>
          <w:rFonts w:ascii="Times New Roman" w:hAnsi="Times New Roman" w:eastAsia="仿宋"/>
          <w:sz w:val="24"/>
        </w:rPr>
      </w:pPr>
      <w:r>
        <w:rPr>
          <w:rFonts w:ascii="Times New Roman" w:hAnsi="Times New Roman" w:eastAsia="仿宋"/>
          <w:sz w:val="24"/>
        </w:rPr>
        <w:t>33.1成交通知书须向采购代理机构按如下标准和期限交纳采购代理服务费：</w:t>
      </w:r>
    </w:p>
    <w:p>
      <w:pPr>
        <w:rPr>
          <w:rFonts w:eastAsia="仿宋"/>
          <w:sz w:val="24"/>
        </w:rPr>
      </w:pPr>
      <w:r>
        <w:rPr>
          <w:rFonts w:eastAsia="仿宋"/>
          <w:bCs/>
          <w:sz w:val="24"/>
        </w:rPr>
        <w:t>33.1.1</w:t>
      </w:r>
      <w:r>
        <w:rPr>
          <w:rFonts w:eastAsia="仿宋"/>
          <w:sz w:val="24"/>
          <w:szCs w:val="24"/>
        </w:rPr>
        <w:t>支付比例见供应商须知表。（不含税）</w:t>
      </w:r>
    </w:p>
    <w:p>
      <w:pPr>
        <w:ind w:left="720" w:hanging="720" w:hangingChars="300"/>
        <w:rPr>
          <w:rFonts w:eastAsia="仿宋"/>
          <w:sz w:val="24"/>
        </w:rPr>
      </w:pPr>
      <w:r>
        <w:rPr>
          <w:rFonts w:eastAsia="仿宋"/>
          <w:sz w:val="24"/>
        </w:rPr>
        <w:t>33.1.2</w:t>
      </w:r>
      <w:r>
        <w:rPr>
          <w:rFonts w:hint="eastAsia" w:eastAsia="仿宋"/>
          <w:sz w:val="24"/>
          <w:lang w:val="en-US" w:eastAsia="zh-CN"/>
        </w:rPr>
        <w:t>中标供应商必须在领取</w:t>
      </w:r>
      <w:r>
        <w:rPr>
          <w:rFonts w:eastAsia="仿宋"/>
          <w:sz w:val="24"/>
        </w:rPr>
        <w:t>成交通知书</w:t>
      </w:r>
      <w:r>
        <w:rPr>
          <w:rFonts w:hint="eastAsia" w:eastAsia="仿宋"/>
          <w:sz w:val="24"/>
          <w:lang w:val="en-US" w:eastAsia="zh-CN"/>
        </w:rPr>
        <w:t>时</w:t>
      </w:r>
      <w:r>
        <w:rPr>
          <w:rFonts w:hint="eastAsia" w:ascii="Times New Roman" w:hAnsi="Times New Roman" w:eastAsia="仿宋"/>
          <w:bCs/>
          <w:sz w:val="24"/>
        </w:rPr>
        <w:t>一次性付清中标服务费</w:t>
      </w:r>
      <w:r>
        <w:rPr>
          <w:rFonts w:hint="eastAsia" w:ascii="Times New Roman" w:hAnsi="Times New Roman" w:eastAsia="仿宋"/>
          <w:bCs/>
          <w:sz w:val="24"/>
          <w:lang w:eastAsia="zh-CN"/>
        </w:rPr>
        <w:t>，</w:t>
      </w:r>
      <w:r>
        <w:rPr>
          <w:rFonts w:ascii="Times New Roman" w:hAnsi="Times New Roman" w:eastAsia="仿宋"/>
          <w:bCs/>
          <w:sz w:val="24"/>
        </w:rPr>
        <w:t>须按规定的标准</w:t>
      </w:r>
      <w:r>
        <w:rPr>
          <w:rFonts w:hint="eastAsia" w:ascii="Times New Roman" w:hAnsi="Times New Roman" w:eastAsia="仿宋"/>
          <w:bCs/>
          <w:sz w:val="24"/>
          <w:lang w:val="en-US" w:eastAsia="zh-CN"/>
        </w:rPr>
        <w:t>以</w:t>
      </w:r>
      <w:r>
        <w:rPr>
          <w:rFonts w:eastAsia="仿宋"/>
          <w:sz w:val="24"/>
        </w:rPr>
        <w:t>电汇或现金的方式一次性向采购代理机构缴纳采购代理服务费。</w:t>
      </w:r>
    </w:p>
    <w:p>
      <w:pPr>
        <w:rPr>
          <w:rFonts w:eastAsia="仿宋"/>
          <w:sz w:val="24"/>
        </w:rPr>
      </w:pPr>
      <w:r>
        <w:rPr>
          <w:rFonts w:eastAsia="仿宋"/>
          <w:sz w:val="24"/>
        </w:rPr>
        <w:t>34. 采购商在质疑期内一次性提出针对同一采购程序环节的质疑。</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p>
    <w:p>
      <w:pPr>
        <w:pStyle w:val="5"/>
        <w:spacing w:before="100" w:beforeAutospacing="1" w:after="100" w:afterAutospacing="1" w:line="400" w:lineRule="atLeast"/>
        <w:jc w:val="center"/>
        <w:rPr>
          <w:rFonts w:ascii="Times New Roman" w:hAnsi="Times New Roman" w:eastAsia="仿宋"/>
          <w:bCs/>
          <w:sz w:val="24"/>
        </w:rPr>
      </w:pPr>
      <w:bookmarkStart w:id="38" w:name="_Toc476155215"/>
      <w:bookmarkStart w:id="39" w:name="_Toc12355"/>
      <w:r>
        <w:rPr>
          <w:rFonts w:ascii="Times New Roman" w:hAnsi="Times New Roman" w:eastAsia="仿宋"/>
          <w:sz w:val="28"/>
          <w:szCs w:val="28"/>
        </w:rPr>
        <w:t>G  谈判失败条件</w:t>
      </w:r>
      <w:bookmarkEnd w:id="38"/>
      <w:bookmarkEnd w:id="39"/>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35.出现影响采购公正的违法、违规行为的；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36.因重大变故，采购任务取消的；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37.谈判响应文件截止时间后，实际参与的供应商不足法定家数的；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38.报价均超过采购预算的；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39.对谈判文件作出实质性响应的供应商不足法定家数的。</w:t>
      </w:r>
    </w:p>
    <w:p>
      <w:pPr>
        <w:widowControl/>
        <w:snapToGrid w:val="0"/>
        <w:spacing w:line="400" w:lineRule="exact"/>
        <w:jc w:val="left"/>
        <w:rPr>
          <w:rFonts w:hint="eastAsia" w:ascii="仿宋" w:hAnsi="仿宋" w:eastAsia="仿宋" w:cs="仿宋"/>
          <w:b/>
          <w:bCs/>
        </w:rPr>
      </w:pPr>
      <w:r>
        <w:rPr>
          <w:rFonts w:hint="eastAsia" w:ascii="仿宋" w:hAnsi="仿宋" w:eastAsia="仿宋" w:cs="仿宋"/>
          <w:b/>
          <w:bCs/>
        </w:rPr>
        <w:t>质疑处理</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1参加投标供应商认为招标文件、采购过程和中标结果使自己的权益受到损害的，可以在知道或应知其权益受到损害之日起七个工作日内，以书面形式向招标公司提出质疑。上述应知其权益受到损害之日，是指：</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1.1对可以质疑的招标文件提出质疑的，为收到招标文件之日或者招标文件公告期限届满之日；</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1.2对采购过程提出质疑的，为各采购程序环节结束之日；</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1.3对中标结果提出质疑的，为中标结果公告期限届满之日。</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2质疑必须以参加投标供应商法定代表人或授权委托人（被授权人）（投标文件中所确定的）原件送达的方式提交，未按上述要求提交的质疑函（含传真、电子邮件等）招标公司有权不予受理。</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3未参加投标活动的供应商或在投标活动中自身权益未受到损害的供应商所提出的质疑不予受理。</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4质疑函应当包括下列内容：</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4.1质疑供应商的名称、地址、邮编、联系人、联系电话；</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4.2具体的质疑事项及明确的请求；</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4.3认为自己合法权益受到损害或可能受到损害的相关证据材料；</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4.4提起质疑的日期；</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5招标公司收到质疑函后，将对质疑的形式和内容进行审查，如质疑函内容、格式不符合规定，招标公司将告知质疑人进行补正。</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6质疑人应当在法定质疑期限内进行补正并重新提交质疑函，拒不补正或者在法定期限内未重新提交质疑函的，为无效质疑，招标公司有权不予受理。</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7对于内容、格式符合规定的质疑函，招标公司应当在收到投标供应商的书面质疑后七个工作日内作出答复，并以书面形式通知质疑供应商和其他有关供应商，但答复的内容不得涉及商业秘密。</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8供应商提出书面质疑必须有理、有据，提供必要的证明材料，不得恶意质疑或提交虚假质疑。否则，一经查实，采购中心有权依据政府采购的有关规定，报请政府采购监管部门对该供应商进行相应的行政处罚，并扣减其诚信记录分。</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9质疑接受联系人：新疆西北招标有限公司</w:t>
      </w:r>
    </w:p>
    <w:p>
      <w:pPr>
        <w:widowControl/>
        <w:snapToGrid w:val="0"/>
        <w:spacing w:line="400" w:lineRule="exact"/>
        <w:ind w:left="265" w:leftChars="126"/>
        <w:jc w:val="left"/>
        <w:rPr>
          <w:rFonts w:hint="default" w:ascii="仿宋" w:hAnsi="仿宋" w:eastAsia="仿宋" w:cs="仿宋"/>
          <w:bCs/>
          <w:sz w:val="24"/>
          <w:lang w:val="en-US" w:eastAsia="zh-CN"/>
        </w:rPr>
      </w:pPr>
      <w:r>
        <w:rPr>
          <w:rFonts w:hint="eastAsia" w:ascii="仿宋" w:hAnsi="仿宋" w:eastAsia="仿宋" w:cs="仿宋"/>
          <w:bCs/>
          <w:sz w:val="24"/>
        </w:rPr>
        <w:t>联系人：</w:t>
      </w:r>
      <w:r>
        <w:rPr>
          <w:rFonts w:hint="eastAsia" w:ascii="仿宋" w:hAnsi="仿宋" w:eastAsia="仿宋" w:cs="仿宋"/>
          <w:bCs/>
          <w:sz w:val="24"/>
          <w:lang w:val="en-US" w:eastAsia="zh-CN"/>
        </w:rPr>
        <w:t>刘俊凯 郝鹏亮</w:t>
      </w:r>
    </w:p>
    <w:p>
      <w:pPr>
        <w:widowControl/>
        <w:snapToGrid w:val="0"/>
        <w:spacing w:line="400" w:lineRule="exact"/>
        <w:ind w:left="265" w:leftChars="126"/>
        <w:jc w:val="left"/>
        <w:rPr>
          <w:rFonts w:hint="eastAsia" w:ascii="仿宋" w:hAnsi="仿宋" w:eastAsia="仿宋" w:cs="仿宋"/>
          <w:bCs/>
          <w:sz w:val="24"/>
        </w:rPr>
      </w:pPr>
      <w:r>
        <w:rPr>
          <w:rFonts w:hint="eastAsia" w:ascii="仿宋" w:hAnsi="仿宋" w:eastAsia="仿宋" w:cs="仿宋"/>
          <w:bCs/>
          <w:sz w:val="24"/>
        </w:rPr>
        <w:t>联系电话：0991-5823555</w:t>
      </w:r>
    </w:p>
    <w:p>
      <w:pPr>
        <w:pStyle w:val="3"/>
        <w:keepNext/>
        <w:keepLines w:val="0"/>
        <w:pageBreakBefore w:val="0"/>
        <w:widowControl w:val="0"/>
        <w:numPr>
          <w:ilvl w:val="0"/>
          <w:numId w:val="4"/>
        </w:numPr>
        <w:kinsoku/>
        <w:wordWrap/>
        <w:overflowPunct/>
        <w:topLinePunct w:val="0"/>
        <w:autoSpaceDE/>
        <w:autoSpaceDN/>
        <w:bidi w:val="0"/>
        <w:adjustRightInd/>
        <w:snapToGrid/>
        <w:spacing w:before="0" w:after="0" w:line="160" w:lineRule="atLeast"/>
        <w:ind w:left="363" w:hanging="363"/>
        <w:textAlignment w:val="auto"/>
        <w:outlineLvl w:val="0"/>
        <w:rPr>
          <w:rFonts w:ascii="Times New Roman" w:hAnsi="Times New Roman" w:eastAsia="仿宋"/>
        </w:rPr>
      </w:pPr>
      <w:r>
        <w:rPr>
          <w:rFonts w:ascii="Times New Roman" w:hAnsi="Times New Roman" w:eastAsia="仿宋"/>
          <w:bCs w:val="0"/>
          <w:sz w:val="24"/>
        </w:rPr>
        <w:br w:type="page"/>
      </w:r>
      <w:bookmarkStart w:id="40" w:name="_Toc21199"/>
      <w:r>
        <w:rPr>
          <w:rFonts w:hint="eastAsia" w:ascii="仿宋" w:hAnsi="仿宋" w:eastAsia="仿宋" w:cs="仿宋"/>
          <w:b/>
          <w:bCs/>
          <w:sz w:val="32"/>
          <w:szCs w:val="32"/>
        </w:rPr>
        <w:t xml:space="preserve">  </w:t>
      </w:r>
      <w:r>
        <w:rPr>
          <w:rFonts w:ascii="Times New Roman" w:hAnsi="Times New Roman" w:eastAsia="仿宋"/>
        </w:rPr>
        <w:t>货物需求</w:t>
      </w:r>
      <w:bookmarkEnd w:id="40"/>
    </w:p>
    <w:tbl>
      <w:tblPr>
        <w:tblStyle w:val="3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943"/>
        <w:gridCol w:w="866"/>
        <w:gridCol w:w="1733"/>
        <w:gridCol w:w="1391"/>
        <w:gridCol w:w="139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83" w:type="dxa"/>
            <w:noWrap w:val="0"/>
            <w:vAlign w:val="center"/>
          </w:tcPr>
          <w:p>
            <w:pPr>
              <w:widowControl/>
              <w:jc w:val="center"/>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lang w:val="en-US" w:eastAsia="zh-CN"/>
              </w:rPr>
              <w:t>序号</w:t>
            </w:r>
          </w:p>
        </w:tc>
        <w:tc>
          <w:tcPr>
            <w:tcW w:w="2943"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设备名称</w:t>
            </w:r>
          </w:p>
        </w:tc>
        <w:tc>
          <w:tcPr>
            <w:tcW w:w="866"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数量</w:t>
            </w:r>
          </w:p>
        </w:tc>
        <w:tc>
          <w:tcPr>
            <w:tcW w:w="1733"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最高限价</w:t>
            </w:r>
            <w:r>
              <w:rPr>
                <w:rFonts w:hint="eastAsia" w:ascii="Times New Roman" w:hAnsi="Times New Roman" w:eastAsia="仿宋" w:cs="Times New Roman"/>
                <w:b w:val="0"/>
                <w:bCs w:val="0"/>
                <w:color w:val="auto"/>
                <w:kern w:val="0"/>
                <w:sz w:val="22"/>
                <w:szCs w:val="22"/>
                <w:lang w:val="en-US" w:eastAsia="zh-CN"/>
              </w:rPr>
              <w:t>单价</w:t>
            </w:r>
            <w:r>
              <w:rPr>
                <w:rFonts w:hint="default" w:ascii="Times New Roman" w:hAnsi="Times New Roman" w:eastAsia="仿宋" w:cs="Times New Roman"/>
                <w:b w:val="0"/>
                <w:bCs w:val="0"/>
                <w:color w:val="auto"/>
                <w:kern w:val="0"/>
                <w:sz w:val="22"/>
                <w:szCs w:val="22"/>
              </w:rPr>
              <w:t>（万元）</w:t>
            </w:r>
          </w:p>
        </w:tc>
        <w:tc>
          <w:tcPr>
            <w:tcW w:w="1391"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预算金额（万元）</w:t>
            </w:r>
          </w:p>
        </w:tc>
        <w:tc>
          <w:tcPr>
            <w:tcW w:w="1391"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国产/进口</w:t>
            </w:r>
          </w:p>
        </w:tc>
        <w:tc>
          <w:tcPr>
            <w:tcW w:w="1361"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83"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i w:val="0"/>
                <w:iCs w:val="0"/>
                <w:color w:val="auto"/>
                <w:kern w:val="0"/>
                <w:sz w:val="22"/>
                <w:szCs w:val="22"/>
                <w:u w:val="none"/>
                <w:lang w:val="en-US" w:eastAsia="zh-CN" w:bidi="ar"/>
              </w:rPr>
              <w:t>1</w:t>
            </w:r>
          </w:p>
        </w:tc>
        <w:tc>
          <w:tcPr>
            <w:tcW w:w="2943"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根管显微镜</w:t>
            </w:r>
          </w:p>
        </w:tc>
        <w:tc>
          <w:tcPr>
            <w:tcW w:w="866"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2</w:t>
            </w:r>
          </w:p>
        </w:tc>
        <w:tc>
          <w:tcPr>
            <w:tcW w:w="1733"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40</w:t>
            </w:r>
          </w:p>
        </w:tc>
        <w:tc>
          <w:tcPr>
            <w:tcW w:w="1391"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80</w:t>
            </w:r>
          </w:p>
        </w:tc>
        <w:tc>
          <w:tcPr>
            <w:tcW w:w="1391" w:type="dxa"/>
            <w:noWrap w:val="0"/>
            <w:vAlign w:val="center"/>
          </w:tcPr>
          <w:p>
            <w:pPr>
              <w:keepNext w:val="0"/>
              <w:keepLines w:val="0"/>
              <w:widowControl/>
              <w:suppressLineNumbers w:val="0"/>
              <w:jc w:val="center"/>
              <w:textAlignment w:val="center"/>
              <w:rPr>
                <w:rFonts w:hint="eastAsia"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国产</w:t>
            </w:r>
          </w:p>
        </w:tc>
        <w:tc>
          <w:tcPr>
            <w:tcW w:w="1361"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竞争性谈判</w:t>
            </w:r>
          </w:p>
        </w:tc>
      </w:tr>
    </w:tbl>
    <w:p>
      <w:pPr>
        <w:pStyle w:val="2"/>
        <w:rPr>
          <w:rFonts w:hint="default"/>
          <w:lang w:val="en-US" w:eastAsia="zh-CN"/>
        </w:rPr>
      </w:pPr>
    </w:p>
    <w:p>
      <w:pPr>
        <w:pStyle w:val="2"/>
        <w:rPr>
          <w:rFonts w:hint="default" w:ascii="Times New Roman" w:hAnsi="Times New Roman" w:eastAsia="仿宋" w:cs="Times New Roman"/>
          <w:lang w:val="en-US" w:eastAsia="zh-CN"/>
        </w:rPr>
      </w:pPr>
    </w:p>
    <w:p>
      <w:pPr>
        <w:keepNext/>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 xml:space="preserve"> 备注：投标人的投标报价不得超过最高限价</w:t>
      </w:r>
    </w:p>
    <w:p>
      <w:pPr>
        <w:pStyle w:val="2"/>
        <w:rPr>
          <w:rFonts w:hint="default" w:ascii="Times New Roman" w:hAnsi="Times New Roman" w:eastAsia="仿宋" w:cs="Times New Roman"/>
          <w:b w:val="0"/>
          <w:bCs/>
          <w:color w:val="auto"/>
          <w:sz w:val="28"/>
          <w:szCs w:val="28"/>
          <w:highlight w:val="none"/>
          <w:lang w:val="en-US" w:eastAsia="zh-CN"/>
        </w:rPr>
      </w:pPr>
    </w:p>
    <w:p>
      <w:pPr>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br w:type="page"/>
      </w:r>
    </w:p>
    <w:p>
      <w:pPr>
        <w:pStyle w:val="2"/>
        <w:rPr>
          <w:rFonts w:hint="default"/>
          <w:sz w:val="20"/>
          <w:szCs w:val="18"/>
          <w:lang w:val="en-US" w:eastAsia="zh-CN"/>
        </w:rPr>
      </w:pPr>
    </w:p>
    <w:p>
      <w:pPr>
        <w:spacing w:line="440" w:lineRule="exact"/>
        <w:jc w:val="center"/>
        <w:rPr>
          <w:rFonts w:hint="eastAsia"/>
          <w:b/>
          <w:sz w:val="40"/>
          <w:szCs w:val="40"/>
        </w:rPr>
      </w:pPr>
      <w:r>
        <w:rPr>
          <w:rFonts w:hint="eastAsia"/>
          <w:b/>
          <w:sz w:val="40"/>
          <w:szCs w:val="40"/>
        </w:rPr>
        <w:t>根管显微镜技术参数要求</w:t>
      </w:r>
    </w:p>
    <w:p>
      <w:pPr>
        <w:numPr>
          <w:ilvl w:val="0"/>
          <w:numId w:val="5"/>
        </w:numPr>
        <w:spacing w:line="440" w:lineRule="exact"/>
        <w:rPr>
          <w:rFonts w:hint="eastAsia"/>
          <w:sz w:val="32"/>
          <w:szCs w:val="32"/>
        </w:rPr>
      </w:pPr>
      <w:r>
        <w:rPr>
          <w:rFonts w:hint="eastAsia"/>
          <w:sz w:val="32"/>
          <w:szCs w:val="32"/>
        </w:rPr>
        <w:t>主镜部分规格参数要求：</w:t>
      </w:r>
    </w:p>
    <w:p>
      <w:pPr>
        <w:numPr>
          <w:ilvl w:val="0"/>
          <w:numId w:val="6"/>
        </w:numPr>
        <w:spacing w:line="440" w:lineRule="exact"/>
        <w:rPr>
          <w:rFonts w:hint="eastAsia"/>
          <w:sz w:val="32"/>
          <w:szCs w:val="32"/>
        </w:rPr>
      </w:pPr>
      <w:r>
        <w:rPr>
          <w:rFonts w:hint="eastAsia"/>
          <w:sz w:val="32"/>
          <w:szCs w:val="32"/>
        </w:rPr>
        <w:t>显微镜采用进口光学玻璃，多层镀膜增透，复消色差光学设计，保证最佳对比度和清晰度。</w:t>
      </w:r>
    </w:p>
    <w:p>
      <w:pPr>
        <w:numPr>
          <w:ilvl w:val="0"/>
          <w:numId w:val="6"/>
        </w:numPr>
        <w:spacing w:line="440" w:lineRule="exact"/>
        <w:rPr>
          <w:rFonts w:hint="eastAsia"/>
          <w:sz w:val="32"/>
          <w:szCs w:val="32"/>
        </w:rPr>
      </w:pPr>
      <w:r>
        <w:rPr>
          <w:sz w:val="32"/>
          <w:szCs w:val="32"/>
        </w:rPr>
        <w:t>*</w:t>
      </w:r>
      <w:r>
        <w:rPr>
          <w:rFonts w:hint="eastAsia"/>
          <w:sz w:val="32"/>
          <w:szCs w:val="32"/>
        </w:rPr>
        <w:t>全金属变角双目镜筒，角度调节范围不低于 0-180°;带一键放大机构，可将放大倍数一键提高 1.5 倍。</w:t>
      </w:r>
    </w:p>
    <w:p>
      <w:pPr>
        <w:numPr>
          <w:ilvl w:val="0"/>
          <w:numId w:val="6"/>
        </w:numPr>
        <w:spacing w:line="440" w:lineRule="exact"/>
        <w:rPr>
          <w:rFonts w:hint="eastAsia"/>
          <w:sz w:val="32"/>
          <w:szCs w:val="32"/>
        </w:rPr>
      </w:pPr>
      <w:r>
        <w:rPr>
          <w:rFonts w:hint="eastAsia"/>
          <w:sz w:val="32"/>
          <w:szCs w:val="32"/>
        </w:rPr>
        <w:t>双目镜筒瞳距可调，瞳距覆盖范围不小于 55mm-75mm，带精确瞳距调节旋钮，可显示瞳距数值，调节精度小于 1mm，调节旋钮带消毒罩。</w:t>
      </w:r>
    </w:p>
    <w:p>
      <w:pPr>
        <w:numPr>
          <w:ilvl w:val="0"/>
          <w:numId w:val="6"/>
        </w:numPr>
        <w:spacing w:line="440" w:lineRule="exact"/>
        <w:rPr>
          <w:rFonts w:hint="eastAsia"/>
          <w:sz w:val="32"/>
          <w:szCs w:val="32"/>
        </w:rPr>
      </w:pPr>
      <w:r>
        <w:rPr>
          <w:rFonts w:hint="eastAsia"/>
          <w:sz w:val="32"/>
          <w:szCs w:val="32"/>
        </w:rPr>
        <w:t>高眼点广角目镜，护眼杯高度可调, 视度调节范围不小于±7D。</w:t>
      </w:r>
    </w:p>
    <w:p>
      <w:pPr>
        <w:numPr>
          <w:ilvl w:val="0"/>
          <w:numId w:val="6"/>
        </w:numPr>
        <w:spacing w:line="440" w:lineRule="exact"/>
        <w:rPr>
          <w:rFonts w:hint="eastAsia"/>
          <w:sz w:val="32"/>
          <w:szCs w:val="32"/>
        </w:rPr>
      </w:pPr>
      <w:r>
        <w:rPr>
          <w:rFonts w:hint="eastAsia"/>
          <w:sz w:val="32"/>
          <w:szCs w:val="32"/>
        </w:rPr>
        <w:t>目镜视场直径范围不小于 12mm~120mm。</w:t>
      </w:r>
    </w:p>
    <w:p>
      <w:pPr>
        <w:numPr>
          <w:ilvl w:val="0"/>
          <w:numId w:val="6"/>
        </w:numPr>
        <w:spacing w:line="440" w:lineRule="exact"/>
        <w:rPr>
          <w:rFonts w:hint="eastAsia"/>
          <w:sz w:val="32"/>
          <w:szCs w:val="32"/>
        </w:rPr>
      </w:pPr>
      <w:r>
        <w:rPr>
          <w:sz w:val="32"/>
          <w:szCs w:val="32"/>
        </w:rPr>
        <w:t>*</w:t>
      </w:r>
      <w:r>
        <w:rPr>
          <w:rFonts w:hint="eastAsia"/>
          <w:sz w:val="32"/>
          <w:szCs w:val="32"/>
        </w:rPr>
        <w:t>电动连续变倍系统，F=250mm 条件下,放大倍数至少覆盖 2 倍-19 倍，手动连续变倍模式可选；配置目镜一键放大机构后，放大倍数覆盖范围不小于 2 倍-30 倍。</w:t>
      </w:r>
    </w:p>
    <w:p>
      <w:pPr>
        <w:numPr>
          <w:ilvl w:val="0"/>
          <w:numId w:val="6"/>
        </w:numPr>
        <w:spacing w:line="440" w:lineRule="exact"/>
        <w:rPr>
          <w:rFonts w:hint="eastAsia"/>
          <w:sz w:val="32"/>
          <w:szCs w:val="32"/>
        </w:rPr>
      </w:pPr>
      <w:r>
        <w:rPr>
          <w:rFonts w:hint="eastAsia"/>
          <w:sz w:val="32"/>
          <w:szCs w:val="32"/>
        </w:rPr>
        <w:t>人体工程学 30°光学延长器与分光器集成（2:8 或者 5:5 可选）。</w:t>
      </w:r>
    </w:p>
    <w:p>
      <w:pPr>
        <w:numPr>
          <w:ilvl w:val="0"/>
          <w:numId w:val="6"/>
        </w:numPr>
        <w:spacing w:line="440" w:lineRule="exact"/>
        <w:rPr>
          <w:rFonts w:hint="eastAsia"/>
          <w:sz w:val="32"/>
          <w:szCs w:val="32"/>
        </w:rPr>
      </w:pPr>
      <w:r>
        <w:rPr>
          <w:rFonts w:hint="eastAsia"/>
          <w:sz w:val="32"/>
          <w:szCs w:val="32"/>
        </w:rPr>
        <w:t>双目镜筒倾摆功能装置：在医生坐姿不变的情况下，镜身向左向右倾摆时可保持双目镜筒保持水平观察位置。</w:t>
      </w:r>
    </w:p>
    <w:p>
      <w:pPr>
        <w:numPr>
          <w:ilvl w:val="0"/>
          <w:numId w:val="6"/>
        </w:numPr>
        <w:spacing w:line="440" w:lineRule="exact"/>
        <w:rPr>
          <w:rFonts w:hint="eastAsia"/>
          <w:sz w:val="32"/>
          <w:szCs w:val="32"/>
        </w:rPr>
      </w:pPr>
      <w:r>
        <w:rPr>
          <w:sz w:val="32"/>
          <w:szCs w:val="32"/>
        </w:rPr>
        <w:t>*</w:t>
      </w:r>
      <w:r>
        <w:rPr>
          <w:rFonts w:hint="eastAsia"/>
          <w:sz w:val="32"/>
          <w:szCs w:val="32"/>
        </w:rPr>
        <w:t>多功能电控手柄：可控制锁定/解锁电磁锁，变倍、变焦功能；影像拍照、录像、自动对焦功能；照明亮度调节、一键开关光源；调节速度 2 档可调。</w:t>
      </w:r>
    </w:p>
    <w:p>
      <w:pPr>
        <w:numPr>
          <w:ilvl w:val="0"/>
          <w:numId w:val="6"/>
        </w:numPr>
        <w:spacing w:line="440" w:lineRule="exact"/>
        <w:rPr>
          <w:rFonts w:hint="eastAsia"/>
          <w:sz w:val="32"/>
          <w:szCs w:val="32"/>
        </w:rPr>
      </w:pPr>
      <w:r>
        <w:rPr>
          <w:rFonts w:hint="eastAsia"/>
          <w:sz w:val="32"/>
          <w:szCs w:val="32"/>
        </w:rPr>
        <w:t>变焦系统：内置原厂一体大行程电动变焦物镜，焦距覆盖范围不小于 F=200mm- 450mm，带防溅保护罩。</w:t>
      </w:r>
    </w:p>
    <w:p>
      <w:pPr>
        <w:numPr>
          <w:ilvl w:val="0"/>
          <w:numId w:val="6"/>
        </w:numPr>
        <w:spacing w:line="440" w:lineRule="exact"/>
        <w:rPr>
          <w:rFonts w:hint="eastAsia"/>
          <w:sz w:val="32"/>
          <w:szCs w:val="32"/>
        </w:rPr>
      </w:pPr>
      <w:r>
        <w:rPr>
          <w:rFonts w:hint="eastAsia"/>
          <w:sz w:val="32"/>
          <w:szCs w:val="32"/>
        </w:rPr>
        <w:t>LCD 显示：显示当前工作距离、缩放系数、放大倍率、测量系数、LED 光源亮度等参数。</w:t>
      </w:r>
    </w:p>
    <w:p>
      <w:pPr>
        <w:numPr>
          <w:ilvl w:val="0"/>
          <w:numId w:val="6"/>
        </w:numPr>
        <w:spacing w:line="440" w:lineRule="exact"/>
        <w:rPr>
          <w:sz w:val="32"/>
          <w:szCs w:val="32"/>
        </w:rPr>
      </w:pPr>
      <w:r>
        <w:rPr>
          <w:rFonts w:hint="eastAsia"/>
          <w:sz w:val="32"/>
          <w:szCs w:val="32"/>
        </w:rPr>
        <w:t>*内置目镜内测量功能。</w:t>
      </w:r>
    </w:p>
    <w:p>
      <w:pPr>
        <w:spacing w:line="440" w:lineRule="exact"/>
        <w:ind w:left="360"/>
        <w:rPr>
          <w:rFonts w:hint="eastAsia"/>
          <w:sz w:val="32"/>
          <w:szCs w:val="32"/>
        </w:rPr>
      </w:pPr>
    </w:p>
    <w:p>
      <w:pPr>
        <w:numPr>
          <w:ilvl w:val="0"/>
          <w:numId w:val="5"/>
        </w:numPr>
        <w:spacing w:line="440" w:lineRule="exact"/>
        <w:rPr>
          <w:rFonts w:hint="eastAsia"/>
          <w:sz w:val="32"/>
          <w:szCs w:val="32"/>
        </w:rPr>
      </w:pPr>
      <w:r>
        <w:rPr>
          <w:rFonts w:hint="eastAsia"/>
          <w:sz w:val="32"/>
          <w:szCs w:val="32"/>
        </w:rPr>
        <w:t>照明部分规格参数要求：</w:t>
      </w:r>
    </w:p>
    <w:p>
      <w:pPr>
        <w:numPr>
          <w:ilvl w:val="0"/>
          <w:numId w:val="7"/>
        </w:numPr>
        <w:spacing w:line="440" w:lineRule="exact"/>
        <w:rPr>
          <w:rFonts w:hint="eastAsia"/>
          <w:sz w:val="32"/>
          <w:szCs w:val="32"/>
        </w:rPr>
      </w:pPr>
      <w:r>
        <w:rPr>
          <w:rFonts w:hint="eastAsia"/>
          <w:sz w:val="32"/>
          <w:szCs w:val="32"/>
        </w:rPr>
        <w:t>光源: 集成真色彩 LED 照明系统，色温 5500K，CRI&gt;92 ,照度＞100000 Lux。</w:t>
      </w:r>
    </w:p>
    <w:p>
      <w:pPr>
        <w:numPr>
          <w:ilvl w:val="0"/>
          <w:numId w:val="7"/>
        </w:numPr>
        <w:spacing w:line="440" w:lineRule="exact"/>
        <w:rPr>
          <w:rFonts w:hint="eastAsia"/>
          <w:sz w:val="32"/>
          <w:szCs w:val="32"/>
        </w:rPr>
      </w:pPr>
      <w:r>
        <w:rPr>
          <w:rFonts w:hint="eastAsia"/>
          <w:sz w:val="32"/>
          <w:szCs w:val="32"/>
        </w:rPr>
        <w:t>自动限位开关，抬高显微镜小横臂可自动关灯，下拉至工作位自动开灯，延长灯泡的使用寿命，方便学员和医生操作。</w:t>
      </w:r>
    </w:p>
    <w:p>
      <w:pPr>
        <w:numPr>
          <w:ilvl w:val="0"/>
          <w:numId w:val="7"/>
        </w:numPr>
        <w:spacing w:line="440" w:lineRule="exact"/>
        <w:rPr>
          <w:rFonts w:hint="eastAsia"/>
          <w:sz w:val="32"/>
          <w:szCs w:val="32"/>
        </w:rPr>
      </w:pPr>
      <w:r>
        <w:rPr>
          <w:sz w:val="32"/>
          <w:szCs w:val="32"/>
        </w:rPr>
        <w:t>*</w:t>
      </w:r>
      <w:r>
        <w:rPr>
          <w:rFonts w:hint="eastAsia"/>
          <w:sz w:val="32"/>
          <w:szCs w:val="32"/>
        </w:rPr>
        <w:t>配置增强照明系统：光亮度与放大倍数联动，最大放大倍率时自动增加 30％的强度（照度&gt; 150000 Lux）。</w:t>
      </w:r>
    </w:p>
    <w:p>
      <w:pPr>
        <w:numPr>
          <w:ilvl w:val="0"/>
          <w:numId w:val="7"/>
        </w:numPr>
        <w:spacing w:line="440" w:lineRule="exact"/>
        <w:rPr>
          <w:rFonts w:hint="eastAsia"/>
          <w:sz w:val="32"/>
          <w:szCs w:val="32"/>
        </w:rPr>
      </w:pPr>
      <w:r>
        <w:rPr>
          <w:rFonts w:hint="eastAsia"/>
          <w:sz w:val="32"/>
          <w:szCs w:val="32"/>
        </w:rPr>
        <w:t>荧光切换系统，可用于辅助检查探测龋齿。</w:t>
      </w:r>
    </w:p>
    <w:p>
      <w:pPr>
        <w:numPr>
          <w:ilvl w:val="0"/>
          <w:numId w:val="7"/>
        </w:numPr>
        <w:spacing w:line="440" w:lineRule="exact"/>
        <w:rPr>
          <w:rFonts w:hint="eastAsia"/>
          <w:sz w:val="32"/>
          <w:szCs w:val="32"/>
        </w:rPr>
      </w:pPr>
      <w:r>
        <w:rPr>
          <w:rFonts w:hint="eastAsia"/>
          <w:sz w:val="32"/>
          <w:szCs w:val="32"/>
        </w:rPr>
        <w:t>显微镜配置专为口腔科设计的橙色滤镜，用于树脂充填以防止填充物固化；配置绿色滤镜增强血管和神经等重要组织的比度，确保手术治疗安全。</w:t>
      </w:r>
    </w:p>
    <w:p>
      <w:pPr>
        <w:numPr>
          <w:ilvl w:val="0"/>
          <w:numId w:val="7"/>
        </w:numPr>
        <w:spacing w:line="440" w:lineRule="exact"/>
        <w:rPr>
          <w:rFonts w:hint="eastAsia"/>
          <w:sz w:val="32"/>
          <w:szCs w:val="32"/>
        </w:rPr>
      </w:pPr>
      <w:r>
        <w:rPr>
          <w:rFonts w:hint="eastAsia"/>
          <w:sz w:val="32"/>
          <w:szCs w:val="32"/>
        </w:rPr>
        <w:t>内置多波段激光保护片，可过滤 488-514nm/660nm/800-830nm/980nm/1064nm 波段激光。</w:t>
      </w:r>
    </w:p>
    <w:p>
      <w:pPr>
        <w:numPr>
          <w:ilvl w:val="0"/>
          <w:numId w:val="7"/>
        </w:numPr>
        <w:spacing w:line="440" w:lineRule="exact"/>
        <w:rPr>
          <w:rFonts w:hint="eastAsia"/>
          <w:sz w:val="32"/>
          <w:szCs w:val="32"/>
        </w:rPr>
      </w:pPr>
      <w:r>
        <w:rPr>
          <w:rFonts w:hint="eastAsia"/>
          <w:sz w:val="32"/>
          <w:szCs w:val="32"/>
        </w:rPr>
        <w:t>照明光斑大小多档可调，最大光斑直径不小于 160mm。</w:t>
      </w:r>
    </w:p>
    <w:p>
      <w:pPr>
        <w:numPr>
          <w:ilvl w:val="0"/>
          <w:numId w:val="7"/>
        </w:numPr>
        <w:spacing w:line="440" w:lineRule="exact"/>
        <w:rPr>
          <w:rFonts w:hint="eastAsia"/>
          <w:sz w:val="32"/>
          <w:szCs w:val="32"/>
        </w:rPr>
      </w:pPr>
      <w:r>
        <w:rPr>
          <w:rFonts w:hint="eastAsia"/>
          <w:sz w:val="32"/>
          <w:szCs w:val="32"/>
        </w:rPr>
        <w:t>*配置消光功能:偏光消反光，还原真实的细节</w:t>
      </w:r>
    </w:p>
    <w:p>
      <w:pPr>
        <w:numPr>
          <w:ilvl w:val="0"/>
          <w:numId w:val="7"/>
        </w:numPr>
        <w:spacing w:line="440" w:lineRule="exact"/>
        <w:rPr>
          <w:sz w:val="32"/>
          <w:szCs w:val="32"/>
        </w:rPr>
      </w:pPr>
      <w:r>
        <w:rPr>
          <w:rFonts w:hint="eastAsia"/>
          <w:sz w:val="32"/>
          <w:szCs w:val="32"/>
        </w:rPr>
        <w:t>*可选配辅助 LED 照明光源，双 LED 结合后物面照度＞200000Lux。</w:t>
      </w:r>
    </w:p>
    <w:p>
      <w:pPr>
        <w:spacing w:line="440" w:lineRule="exact"/>
        <w:rPr>
          <w:rFonts w:hint="eastAsia"/>
          <w:sz w:val="32"/>
          <w:szCs w:val="32"/>
        </w:rPr>
      </w:pPr>
    </w:p>
    <w:p>
      <w:pPr>
        <w:numPr>
          <w:ilvl w:val="0"/>
          <w:numId w:val="5"/>
        </w:numPr>
        <w:spacing w:line="440" w:lineRule="exact"/>
        <w:rPr>
          <w:rFonts w:hint="eastAsia"/>
          <w:sz w:val="32"/>
          <w:szCs w:val="32"/>
        </w:rPr>
      </w:pPr>
      <w:r>
        <w:rPr>
          <w:rFonts w:hint="eastAsia"/>
          <w:sz w:val="32"/>
          <w:szCs w:val="32"/>
        </w:rPr>
        <w:t>影像部分规格参数要求：</w:t>
      </w:r>
    </w:p>
    <w:p>
      <w:pPr>
        <w:numPr>
          <w:ilvl w:val="0"/>
          <w:numId w:val="8"/>
        </w:numPr>
        <w:spacing w:line="440" w:lineRule="exact"/>
        <w:rPr>
          <w:rFonts w:hint="eastAsia"/>
          <w:sz w:val="32"/>
          <w:szCs w:val="32"/>
        </w:rPr>
      </w:pPr>
      <w:r>
        <w:rPr>
          <w:sz w:val="32"/>
          <w:szCs w:val="32"/>
        </w:rPr>
        <w:t>*</w:t>
      </w:r>
      <w:r>
        <w:rPr>
          <w:rFonts w:hint="eastAsia"/>
          <w:sz w:val="32"/>
          <w:szCs w:val="32"/>
        </w:rPr>
        <w:t>内置 4K 超高清影像摄录系统：采用 1/1.2" Sony CMOS 摄像头，分辨率 3840x2160;</w:t>
      </w:r>
    </w:p>
    <w:p>
      <w:pPr>
        <w:numPr>
          <w:ilvl w:val="0"/>
          <w:numId w:val="8"/>
        </w:numPr>
        <w:spacing w:line="440" w:lineRule="exact"/>
        <w:rPr>
          <w:rFonts w:hint="eastAsia"/>
          <w:sz w:val="32"/>
          <w:szCs w:val="32"/>
        </w:rPr>
      </w:pPr>
      <w:r>
        <w:rPr>
          <w:rFonts w:hint="eastAsia"/>
          <w:sz w:val="32"/>
          <w:szCs w:val="32"/>
        </w:rPr>
        <w:t>影像存储:双 USB3.0 影像储存，双 USB2.0 功能控制，图片、视频记录格式：JPEG;MP4;</w:t>
      </w:r>
    </w:p>
    <w:p>
      <w:pPr>
        <w:numPr>
          <w:ilvl w:val="0"/>
          <w:numId w:val="8"/>
        </w:numPr>
        <w:spacing w:line="440" w:lineRule="exact"/>
        <w:rPr>
          <w:rFonts w:hint="eastAsia"/>
          <w:sz w:val="32"/>
          <w:szCs w:val="32"/>
        </w:rPr>
      </w:pPr>
      <w:r>
        <w:rPr>
          <w:rFonts w:hint="eastAsia"/>
          <w:sz w:val="32"/>
          <w:szCs w:val="32"/>
        </w:rPr>
        <w:t>影像输出方式:双视频输出 1 HDMI、1 DVI 两种端口;</w:t>
      </w:r>
    </w:p>
    <w:p>
      <w:pPr>
        <w:numPr>
          <w:ilvl w:val="0"/>
          <w:numId w:val="8"/>
        </w:numPr>
        <w:spacing w:line="440" w:lineRule="exact"/>
        <w:rPr>
          <w:rFonts w:hint="eastAsia"/>
          <w:sz w:val="32"/>
          <w:szCs w:val="32"/>
        </w:rPr>
      </w:pPr>
      <w:r>
        <w:rPr>
          <w:rFonts w:hint="eastAsia"/>
          <w:sz w:val="32"/>
          <w:szCs w:val="32"/>
        </w:rPr>
        <w:t>影像一键自动对焦功能</w:t>
      </w:r>
    </w:p>
    <w:p>
      <w:pPr>
        <w:numPr>
          <w:ilvl w:val="0"/>
          <w:numId w:val="8"/>
        </w:numPr>
        <w:spacing w:line="440" w:lineRule="exact"/>
        <w:rPr>
          <w:rFonts w:hint="eastAsia"/>
          <w:sz w:val="32"/>
          <w:szCs w:val="32"/>
        </w:rPr>
      </w:pPr>
      <w:r>
        <w:rPr>
          <w:sz w:val="32"/>
          <w:szCs w:val="32"/>
        </w:rPr>
        <w:t>*</w:t>
      </w:r>
      <w:r>
        <w:rPr>
          <w:rFonts w:hint="eastAsia"/>
          <w:sz w:val="32"/>
          <w:szCs w:val="32"/>
        </w:rPr>
        <w:t>可选配外置手机影像接口，可将医生手机固定在显微镜上实现拍照录像，可使用旋钮360°调整成像角度，可多维任意调节手机屏幕方向。</w:t>
      </w:r>
    </w:p>
    <w:p>
      <w:pPr>
        <w:numPr>
          <w:ilvl w:val="0"/>
          <w:numId w:val="8"/>
        </w:numPr>
        <w:spacing w:line="440" w:lineRule="exact"/>
        <w:rPr>
          <w:rFonts w:hint="eastAsia"/>
          <w:sz w:val="32"/>
          <w:szCs w:val="32"/>
        </w:rPr>
      </w:pPr>
      <w:r>
        <w:rPr>
          <w:rFonts w:hint="eastAsia"/>
          <w:sz w:val="32"/>
          <w:szCs w:val="32"/>
        </w:rPr>
        <w:t>可选配外置数码影像接口，可将数码相机固定在显微镜上实现拍照录像，可使用旋钮360°调整成像角度;（F230mm/F340mm/F450 可选）</w:t>
      </w:r>
    </w:p>
    <w:p>
      <w:pPr>
        <w:numPr>
          <w:ilvl w:val="0"/>
          <w:numId w:val="8"/>
        </w:numPr>
        <w:spacing w:line="440" w:lineRule="exact"/>
        <w:rPr>
          <w:rFonts w:hint="eastAsia"/>
          <w:sz w:val="32"/>
          <w:szCs w:val="32"/>
        </w:rPr>
      </w:pPr>
      <w:r>
        <w:rPr>
          <w:rFonts w:hint="eastAsia"/>
          <w:sz w:val="32"/>
          <w:szCs w:val="32"/>
        </w:rPr>
        <w:t>4k 超高清显示器≥27 寸,含显示器支架、显微镜立柱抱箍;</w:t>
      </w:r>
    </w:p>
    <w:p>
      <w:pPr>
        <w:numPr>
          <w:ilvl w:val="0"/>
          <w:numId w:val="8"/>
        </w:numPr>
        <w:spacing w:line="440" w:lineRule="exact"/>
        <w:rPr>
          <w:rFonts w:hint="eastAsia"/>
          <w:sz w:val="32"/>
          <w:szCs w:val="32"/>
        </w:rPr>
      </w:pPr>
      <w:r>
        <w:rPr>
          <w:rFonts w:hint="eastAsia"/>
          <w:sz w:val="32"/>
          <w:szCs w:val="32"/>
        </w:rPr>
        <w:t>全平台 App（Windows、macOS、iOS 和 Andriod）:通过无线WIFI 或有线RJ45 连接,可将显微镜视频流媒体传输到Windows 桌面设备和手机, 通过Zumax App 的 PC/ Android / iOS 采集影像. 。</w:t>
      </w:r>
    </w:p>
    <w:p>
      <w:pPr>
        <w:spacing w:line="440" w:lineRule="exact"/>
        <w:rPr>
          <w:rFonts w:hint="eastAsia"/>
          <w:sz w:val="32"/>
          <w:szCs w:val="32"/>
        </w:rPr>
      </w:pPr>
    </w:p>
    <w:p>
      <w:pPr>
        <w:numPr>
          <w:ilvl w:val="0"/>
          <w:numId w:val="5"/>
        </w:numPr>
        <w:spacing w:line="440" w:lineRule="exact"/>
        <w:rPr>
          <w:rFonts w:hint="eastAsia"/>
          <w:sz w:val="32"/>
          <w:szCs w:val="32"/>
        </w:rPr>
      </w:pPr>
      <w:r>
        <w:rPr>
          <w:rFonts w:hint="eastAsia"/>
          <w:sz w:val="32"/>
          <w:szCs w:val="32"/>
        </w:rPr>
        <w:t>支架部分规格参数要求：</w:t>
      </w:r>
    </w:p>
    <w:p>
      <w:pPr>
        <w:numPr>
          <w:ilvl w:val="0"/>
          <w:numId w:val="9"/>
        </w:numPr>
        <w:spacing w:line="440" w:lineRule="exact"/>
        <w:rPr>
          <w:rFonts w:hint="eastAsia"/>
          <w:sz w:val="32"/>
          <w:szCs w:val="32"/>
        </w:rPr>
      </w:pPr>
      <w:r>
        <w:rPr>
          <w:sz w:val="32"/>
          <w:szCs w:val="32"/>
        </w:rPr>
        <w:t>*</w:t>
      </w:r>
      <w:r>
        <w:rPr>
          <w:rFonts w:hint="eastAsia"/>
          <w:sz w:val="32"/>
          <w:szCs w:val="32"/>
        </w:rPr>
        <w:t>三电磁锁控制系统：按钮控制锁定/解锁机身全关节前后、左右、旋转移动。</w:t>
      </w:r>
    </w:p>
    <w:p>
      <w:pPr>
        <w:numPr>
          <w:ilvl w:val="0"/>
          <w:numId w:val="9"/>
        </w:numPr>
        <w:spacing w:line="440" w:lineRule="exact"/>
        <w:rPr>
          <w:rFonts w:hint="eastAsia"/>
          <w:sz w:val="32"/>
          <w:szCs w:val="32"/>
        </w:rPr>
      </w:pPr>
      <w:r>
        <w:rPr>
          <w:sz w:val="32"/>
          <w:szCs w:val="32"/>
        </w:rPr>
        <w:t>*</w:t>
      </w:r>
      <w:r>
        <w:rPr>
          <w:rFonts w:hint="eastAsia"/>
          <w:sz w:val="32"/>
          <w:szCs w:val="32"/>
        </w:rPr>
        <w:t>落地式支架，轻便，便于移动，支架臂伸展范围不小于 1500mm。</w:t>
      </w:r>
    </w:p>
    <w:p>
      <w:pPr>
        <w:spacing w:line="440" w:lineRule="exact"/>
        <w:ind w:firstLine="640" w:firstLineChars="200"/>
        <w:rPr>
          <w:rFonts w:hint="eastAsia"/>
          <w:sz w:val="32"/>
          <w:szCs w:val="32"/>
        </w:rPr>
      </w:pPr>
      <w:r>
        <w:rPr>
          <w:rFonts w:hint="eastAsia"/>
          <w:sz w:val="32"/>
          <w:szCs w:val="32"/>
        </w:rPr>
        <w:t>2.1第一横臂长度不小于 500mm，旋转角度：360°</w:t>
      </w:r>
    </w:p>
    <w:p>
      <w:pPr>
        <w:spacing w:line="440" w:lineRule="exact"/>
        <w:ind w:firstLine="640" w:firstLineChars="200"/>
        <w:rPr>
          <w:rFonts w:hint="eastAsia"/>
          <w:sz w:val="32"/>
          <w:szCs w:val="32"/>
        </w:rPr>
      </w:pPr>
      <w:r>
        <w:rPr>
          <w:rFonts w:hint="eastAsia"/>
          <w:sz w:val="32"/>
          <w:szCs w:val="32"/>
        </w:rPr>
        <w:t>2.2第二横臂长度不低于 700mm，旋转角度：±150º，上下移动不小于±268mm</w:t>
      </w:r>
    </w:p>
    <w:p>
      <w:pPr>
        <w:spacing w:line="440" w:lineRule="exact"/>
        <w:ind w:firstLine="640" w:firstLineChars="200"/>
        <w:rPr>
          <w:rFonts w:hint="eastAsia"/>
          <w:sz w:val="32"/>
          <w:szCs w:val="32"/>
        </w:rPr>
      </w:pPr>
      <w:r>
        <w:rPr>
          <w:rFonts w:hint="eastAsia"/>
          <w:sz w:val="32"/>
          <w:szCs w:val="32"/>
        </w:rPr>
        <w:t>2.3第一横臂位于第二横臂上方。</w:t>
      </w:r>
    </w:p>
    <w:p>
      <w:pPr>
        <w:numPr>
          <w:ilvl w:val="0"/>
          <w:numId w:val="9"/>
        </w:numPr>
        <w:spacing w:line="440" w:lineRule="exact"/>
        <w:rPr>
          <w:rFonts w:hint="eastAsia"/>
          <w:sz w:val="32"/>
          <w:szCs w:val="32"/>
        </w:rPr>
      </w:pPr>
      <w:r>
        <w:rPr>
          <w:rFonts w:hint="eastAsia"/>
          <w:sz w:val="32"/>
          <w:szCs w:val="32"/>
        </w:rPr>
        <w:t>配有主镜可调节平衡系统（前后、左右） ,通过旋钮可轻松的完成整个主镜系统的平衡调节；</w:t>
      </w:r>
    </w:p>
    <w:p>
      <w:pPr>
        <w:numPr>
          <w:ilvl w:val="0"/>
          <w:numId w:val="9"/>
        </w:numPr>
        <w:spacing w:line="440" w:lineRule="exact"/>
        <w:rPr>
          <w:rFonts w:hint="eastAsia"/>
          <w:sz w:val="32"/>
          <w:szCs w:val="32"/>
        </w:rPr>
      </w:pPr>
      <w:r>
        <w:rPr>
          <w:rFonts w:hint="eastAsia"/>
          <w:sz w:val="32"/>
          <w:szCs w:val="32"/>
        </w:rPr>
        <w:t>迷你无线脚控开关，控制调焦、变倍、拍照以及录像。</w:t>
      </w:r>
    </w:p>
    <w:p>
      <w:pPr>
        <w:spacing w:line="440" w:lineRule="exact"/>
        <w:rPr>
          <w:rFonts w:hint="eastAsia"/>
          <w:sz w:val="32"/>
          <w:szCs w:val="32"/>
        </w:rPr>
      </w:pPr>
    </w:p>
    <w:p>
      <w:pPr>
        <w:numPr>
          <w:ilvl w:val="0"/>
          <w:numId w:val="5"/>
        </w:numPr>
        <w:spacing w:line="440" w:lineRule="exact"/>
        <w:rPr>
          <w:rFonts w:hint="eastAsia"/>
          <w:sz w:val="32"/>
          <w:szCs w:val="32"/>
        </w:rPr>
      </w:pPr>
      <w:r>
        <w:rPr>
          <w:rFonts w:hint="eastAsia"/>
          <w:sz w:val="32"/>
          <w:szCs w:val="32"/>
        </w:rPr>
        <w:t>其他技术性要求：</w:t>
      </w:r>
    </w:p>
    <w:p>
      <w:pPr>
        <w:numPr>
          <w:ilvl w:val="0"/>
          <w:numId w:val="10"/>
        </w:numPr>
        <w:spacing w:line="440" w:lineRule="exact"/>
        <w:rPr>
          <w:rFonts w:hint="eastAsia"/>
          <w:sz w:val="32"/>
          <w:szCs w:val="32"/>
        </w:rPr>
      </w:pPr>
      <w:r>
        <w:rPr>
          <w:rFonts w:hint="eastAsia"/>
          <w:sz w:val="32"/>
          <w:szCs w:val="32"/>
        </w:rPr>
        <w:t>负责设备的安装、调试、培训等工作。</w:t>
      </w:r>
    </w:p>
    <w:p>
      <w:pPr>
        <w:numPr>
          <w:ilvl w:val="0"/>
          <w:numId w:val="10"/>
        </w:numPr>
        <w:spacing w:line="440" w:lineRule="exact"/>
        <w:rPr>
          <w:rFonts w:hint="eastAsia"/>
          <w:sz w:val="32"/>
          <w:szCs w:val="32"/>
        </w:rPr>
      </w:pPr>
      <w:r>
        <w:rPr>
          <w:rFonts w:hint="eastAsia"/>
          <w:sz w:val="32"/>
          <w:szCs w:val="32"/>
        </w:rPr>
        <w:t>如标配中含有打印机的，要求配置医院现有品牌（所用耗材需与医院现有耗材一致）。</w:t>
      </w:r>
    </w:p>
    <w:p>
      <w:pPr>
        <w:numPr>
          <w:ilvl w:val="0"/>
          <w:numId w:val="10"/>
        </w:numPr>
        <w:spacing w:line="440" w:lineRule="exact"/>
        <w:rPr>
          <w:sz w:val="32"/>
          <w:szCs w:val="32"/>
        </w:rPr>
      </w:pPr>
      <w:r>
        <w:rPr>
          <w:rFonts w:hint="eastAsia"/>
          <w:sz w:val="32"/>
          <w:szCs w:val="32"/>
        </w:rPr>
        <w:t>如具有数据存储功能，产生信息数据的设备必须终生免费开放各类数据接口，包含但不限于DICOM、WEBservice等数据接口格式，以保证与我院现有信息系统的数据对接。</w:t>
      </w:r>
    </w:p>
    <w:p>
      <w:pPr>
        <w:numPr>
          <w:ilvl w:val="0"/>
          <w:numId w:val="10"/>
        </w:numPr>
        <w:spacing w:line="440" w:lineRule="exact"/>
        <w:rPr>
          <w:rFonts w:hint="eastAsia"/>
          <w:sz w:val="32"/>
          <w:szCs w:val="32"/>
        </w:rPr>
      </w:pPr>
      <w:r>
        <w:rPr>
          <w:rFonts w:hint="eastAsia"/>
          <w:sz w:val="32"/>
          <w:szCs w:val="32"/>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pPr>
        <w:numPr>
          <w:ilvl w:val="0"/>
          <w:numId w:val="10"/>
        </w:numPr>
        <w:spacing w:line="440" w:lineRule="exact"/>
        <w:rPr>
          <w:rFonts w:hint="eastAsia"/>
          <w:sz w:val="32"/>
          <w:szCs w:val="32"/>
        </w:rPr>
      </w:pPr>
      <w:r>
        <w:rPr>
          <w:rFonts w:hint="eastAsia"/>
          <w:sz w:val="32"/>
          <w:szCs w:val="32"/>
        </w:rPr>
        <w:t>如</w:t>
      </w:r>
      <w:r>
        <w:rPr>
          <w:sz w:val="32"/>
          <w:szCs w:val="32"/>
        </w:rPr>
        <w:t>具有</w:t>
      </w:r>
      <w:r>
        <w:rPr>
          <w:rFonts w:hint="eastAsia"/>
          <w:sz w:val="32"/>
          <w:szCs w:val="32"/>
        </w:rPr>
        <w:t>工作站或相关</w:t>
      </w:r>
      <w:r>
        <w:rPr>
          <w:sz w:val="32"/>
          <w:szCs w:val="32"/>
        </w:rPr>
        <w:t>操作</w:t>
      </w:r>
      <w:r>
        <w:rPr>
          <w:rFonts w:hint="eastAsia"/>
          <w:sz w:val="32"/>
          <w:szCs w:val="32"/>
        </w:rPr>
        <w:t>系统，其中</w:t>
      </w:r>
      <w:r>
        <w:rPr>
          <w:sz w:val="32"/>
          <w:szCs w:val="32"/>
        </w:rPr>
        <w:t>包</w:t>
      </w:r>
      <w:r>
        <w:rPr>
          <w:rFonts w:hint="eastAsia"/>
          <w:sz w:val="32"/>
          <w:szCs w:val="32"/>
        </w:rPr>
        <w:t xml:space="preserve">含的所有软件，无年度维护费用；软件中涉及到存储病人就诊信息的，无单独就诊卡或芯片类存储介质。 </w:t>
      </w:r>
    </w:p>
    <w:p>
      <w:pPr>
        <w:numPr>
          <w:ilvl w:val="0"/>
          <w:numId w:val="10"/>
        </w:numPr>
        <w:spacing w:line="440" w:lineRule="exact"/>
        <w:rPr>
          <w:rFonts w:hint="eastAsia"/>
          <w:sz w:val="32"/>
          <w:szCs w:val="32"/>
        </w:rPr>
      </w:pPr>
      <w:r>
        <w:rPr>
          <w:rFonts w:hint="eastAsia"/>
          <w:sz w:val="32"/>
          <w:szCs w:val="32"/>
        </w:rPr>
        <w:t>自验收合格之日起计保修期，提供整机（包含附件，如稳压电源、脚踏、推车等）原厂保修服务≥</w:t>
      </w:r>
      <w:r>
        <w:rPr>
          <w:sz w:val="32"/>
          <w:szCs w:val="32"/>
        </w:rPr>
        <w:t>3</w:t>
      </w:r>
      <w:r>
        <w:rPr>
          <w:rFonts w:hint="eastAsia"/>
          <w:sz w:val="32"/>
          <w:szCs w:val="32"/>
        </w:rPr>
        <w:t>年，承担保修期内设备任何故障产生的费用。</w:t>
      </w:r>
    </w:p>
    <w:p>
      <w:pPr>
        <w:numPr>
          <w:ilvl w:val="0"/>
          <w:numId w:val="10"/>
        </w:numPr>
        <w:spacing w:line="440" w:lineRule="exact"/>
        <w:rPr>
          <w:rFonts w:hint="default" w:ascii="Times New Roman" w:hAnsi="Times New Roman" w:eastAsia="仿宋" w:cs="Times New Roman"/>
          <w:b w:val="0"/>
          <w:bCs/>
          <w:color w:val="auto"/>
          <w:sz w:val="22"/>
          <w:szCs w:val="22"/>
        </w:rPr>
      </w:pPr>
      <w:r>
        <w:rPr>
          <w:rFonts w:hint="eastAsia"/>
          <w:sz w:val="32"/>
          <w:szCs w:val="32"/>
        </w:rPr>
        <w:t>保修期内每季度定期由专业工程师对设备进行巡检，并出具相应工单交使用科室及医学工程科备案。</w:t>
      </w:r>
    </w:p>
    <w:p>
      <w:pPr>
        <w:pStyle w:val="2"/>
        <w:rPr>
          <w:rFonts w:eastAsia="仿宋"/>
          <w:b/>
          <w:bCs/>
          <w:color w:val="000000"/>
          <w:kern w:val="0"/>
          <w:sz w:val="24"/>
          <w:szCs w:val="24"/>
          <w:lang w:bidi="ar"/>
        </w:rPr>
      </w:pPr>
    </w:p>
    <w:p/>
    <w:p>
      <w:pPr>
        <w:pStyle w:val="41"/>
        <w:rPr>
          <w:rFonts w:hint="eastAsia"/>
        </w:rPr>
        <w:sectPr>
          <w:headerReference r:id="rId8" w:type="first"/>
          <w:footerReference r:id="rId10" w:type="first"/>
          <w:footerReference r:id="rId9" w:type="default"/>
          <w:pgSz w:w="11907" w:h="16840"/>
          <w:pgMar w:top="1134" w:right="1080" w:bottom="1134" w:left="1080" w:header="567" w:footer="567" w:gutter="0"/>
          <w:pgNumType w:fmt="decimal" w:start="1"/>
          <w:cols w:space="720" w:num="1"/>
          <w:titlePg/>
          <w:docGrid w:type="lines" w:linePitch="409" w:charSpace="0"/>
        </w:sectPr>
      </w:pPr>
      <w:bookmarkStart w:id="41" w:name="_Toc248299891"/>
      <w:bookmarkStart w:id="42" w:name="_Toc18614"/>
      <w:bookmarkStart w:id="43" w:name="_Toc349637940"/>
      <w:bookmarkStart w:id="44" w:name="_Toc31413"/>
      <w:bookmarkStart w:id="45" w:name="_Toc255566102"/>
      <w:bookmarkStart w:id="46" w:name="_Toc349573141"/>
      <w:bookmarkStart w:id="47" w:name="_Toc298240426"/>
      <w:bookmarkStart w:id="48" w:name="_Toc267301301"/>
    </w:p>
    <w:bookmarkEnd w:id="41"/>
    <w:bookmarkEnd w:id="42"/>
    <w:bookmarkEnd w:id="43"/>
    <w:bookmarkEnd w:id="44"/>
    <w:bookmarkEnd w:id="45"/>
    <w:bookmarkEnd w:id="46"/>
    <w:bookmarkEnd w:id="47"/>
    <w:bookmarkEnd w:id="48"/>
    <w:p>
      <w:pPr>
        <w:spacing w:line="520" w:lineRule="exact"/>
        <w:jc w:val="center"/>
        <w:outlineLvl w:val="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32"/>
          <w:szCs w:val="32"/>
        </w:rPr>
        <w:t>第四部分  合同主要条款</w:t>
      </w:r>
    </w:p>
    <w:p>
      <w:pPr>
        <w:jc w:val="center"/>
        <w:rPr>
          <w:rFonts w:hint="default" w:ascii="Times New Roman" w:hAnsi="Times New Roman" w:eastAsia="仿宋" w:cs="Times New Roman"/>
          <w:bCs/>
          <w:color w:val="auto"/>
          <w:sz w:val="48"/>
          <w:szCs w:val="48"/>
        </w:rPr>
      </w:pPr>
      <w:r>
        <w:rPr>
          <w:rFonts w:hint="default" w:ascii="Times New Roman" w:hAnsi="Times New Roman" w:eastAsia="仿宋" w:cs="Times New Roman"/>
          <w:bCs/>
          <w:color w:val="auto"/>
          <w:sz w:val="28"/>
        </w:rPr>
        <w:t>（具体以实际签订合同为主）</w:t>
      </w:r>
    </w:p>
    <w:p>
      <w:pPr>
        <w:spacing w:line="264" w:lineRule="auto"/>
        <w:jc w:val="center"/>
        <w:rPr>
          <w:rFonts w:hint="default" w:ascii="Times New Roman" w:hAnsi="Times New Roman" w:eastAsia="仿宋" w:cs="Times New Roman"/>
          <w:bCs/>
          <w:iCs/>
          <w:color w:val="auto"/>
          <w:sz w:val="48"/>
          <w:szCs w:val="48"/>
        </w:rPr>
      </w:pPr>
      <w:r>
        <w:rPr>
          <w:rFonts w:hint="default" w:ascii="Times New Roman" w:hAnsi="Times New Roman" w:eastAsia="仿宋" w:cs="Times New Roman"/>
          <w:bCs/>
          <w:iCs/>
          <w:color w:val="auto"/>
          <w:sz w:val="48"/>
          <w:szCs w:val="48"/>
        </w:rPr>
        <w:t>新疆医科大学第一附属医院购置</w:t>
      </w:r>
    </w:p>
    <w:p>
      <w:pPr>
        <w:spacing w:line="264" w:lineRule="auto"/>
        <w:jc w:val="center"/>
        <w:rPr>
          <w:rFonts w:hint="default" w:ascii="Times New Roman" w:hAnsi="Times New Roman" w:eastAsia="仿宋" w:cs="Times New Roman"/>
          <w:bCs/>
          <w:color w:val="auto"/>
          <w:sz w:val="28"/>
          <w:szCs w:val="28"/>
        </w:rPr>
      </w:pPr>
    </w:p>
    <w:p>
      <w:pPr>
        <w:spacing w:line="264" w:lineRule="auto"/>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（设备名称）</w:t>
      </w: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jc w:val="center"/>
        <w:rPr>
          <w:rFonts w:hint="default" w:ascii="Times New Roman" w:hAnsi="Times New Roman" w:eastAsia="仿宋" w:cs="Times New Roman"/>
          <w:bCs/>
          <w:color w:val="auto"/>
          <w:sz w:val="44"/>
          <w:szCs w:val="44"/>
        </w:rPr>
      </w:pPr>
      <w:r>
        <w:rPr>
          <w:rFonts w:hint="default" w:ascii="Times New Roman" w:hAnsi="Times New Roman" w:eastAsia="仿宋" w:cs="Times New Roman"/>
          <w:bCs/>
          <w:color w:val="auto"/>
          <w:sz w:val="44"/>
          <w:szCs w:val="44"/>
        </w:rPr>
        <w:t>销  售  合  同</w:t>
      </w:r>
    </w:p>
    <w:p>
      <w:pPr>
        <w:jc w:val="center"/>
        <w:rPr>
          <w:rFonts w:hint="default" w:ascii="Times New Roman" w:hAnsi="Times New Roman" w:eastAsia="仿宋" w:cs="Times New Roman"/>
          <w:bCs/>
          <w:color w:val="auto"/>
          <w:sz w:val="24"/>
          <w:szCs w:val="24"/>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u w:val="single"/>
        </w:rPr>
      </w:pPr>
      <w:r>
        <w:rPr>
          <w:rFonts w:hint="default" w:ascii="Times New Roman" w:hAnsi="Times New Roman" w:eastAsia="仿宋" w:cs="Times New Roman"/>
          <w:bCs/>
          <w:color w:val="auto"/>
          <w:sz w:val="32"/>
          <w:szCs w:val="32"/>
        </w:rPr>
        <w:t>买方（甲方）：</w:t>
      </w:r>
      <w:r>
        <w:rPr>
          <w:rFonts w:hint="default" w:ascii="Times New Roman" w:hAnsi="Times New Roman" w:eastAsia="仿宋" w:cs="Times New Roman"/>
          <w:bCs/>
          <w:color w:val="auto"/>
          <w:sz w:val="32"/>
          <w:szCs w:val="32"/>
          <w:u w:val="single"/>
        </w:rPr>
        <w:t>新疆医科大学第一附属医院</w:t>
      </w: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u w:val="single"/>
        </w:rPr>
      </w:pPr>
      <w:r>
        <w:rPr>
          <w:rFonts w:hint="default" w:ascii="Times New Roman" w:hAnsi="Times New Roman" w:eastAsia="仿宋" w:cs="Times New Roman"/>
          <w:bCs/>
          <w:color w:val="auto"/>
          <w:sz w:val="32"/>
          <w:szCs w:val="32"/>
        </w:rPr>
        <w:t>卖方（乙方）：</w:t>
      </w:r>
      <w:r>
        <w:rPr>
          <w:rFonts w:hint="default" w:ascii="Times New Roman" w:hAnsi="Times New Roman" w:eastAsia="仿宋" w:cs="Times New Roman"/>
          <w:bCs/>
          <w:color w:val="auto"/>
          <w:sz w:val="32"/>
          <w:szCs w:val="32"/>
          <w:u w:val="single"/>
        </w:rPr>
        <w:t xml:space="preserve">                         </w:t>
      </w: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合 同 编 号：</w:t>
      </w:r>
    </w:p>
    <w:p>
      <w:pPr>
        <w:spacing w:line="264" w:lineRule="auto"/>
        <w:ind w:firstLine="627" w:firstLineChars="196"/>
        <w:rPr>
          <w:rFonts w:hint="default" w:ascii="Times New Roman" w:hAnsi="Times New Roman" w:eastAsia="仿宋" w:cs="Times New Roman"/>
          <w:bCs/>
          <w:color w:val="auto"/>
          <w:sz w:val="32"/>
          <w:szCs w:val="32"/>
        </w:rPr>
      </w:pPr>
    </w:p>
    <w:p>
      <w:pPr>
        <w:spacing w:line="264" w:lineRule="auto"/>
        <w:ind w:firstLine="640" w:firstLineChars="200"/>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    年   月   日</w:t>
      </w:r>
    </w:p>
    <w:p>
      <w:pPr>
        <w:spacing w:line="264" w:lineRule="auto"/>
        <w:jc w:val="center"/>
        <w:rPr>
          <w:rFonts w:hint="default" w:ascii="Times New Roman" w:hAnsi="Times New Roman" w:eastAsia="仿宋" w:cs="Times New Roman"/>
          <w:bCs/>
          <w:color w:val="auto"/>
          <w:szCs w:val="21"/>
        </w:rPr>
      </w:pPr>
    </w:p>
    <w:p>
      <w:pPr>
        <w:spacing w:line="264" w:lineRule="auto"/>
        <w:jc w:val="center"/>
        <w:rPr>
          <w:rFonts w:hint="default" w:ascii="Times New Roman" w:hAnsi="Times New Roman" w:eastAsia="仿宋" w:cs="Times New Roman"/>
          <w:bCs/>
          <w:color w:val="auto"/>
          <w:sz w:val="40"/>
          <w:szCs w:val="40"/>
        </w:rPr>
        <w:sectPr>
          <w:pgSz w:w="11905" w:h="16838"/>
          <w:pgMar w:top="720" w:right="1417" w:bottom="720" w:left="1417" w:header="850" w:footer="992" w:gutter="0"/>
          <w:cols w:space="720" w:num="1"/>
          <w:docGrid w:type="lines" w:linePitch="416" w:charSpace="0"/>
        </w:sectPr>
      </w:pPr>
    </w:p>
    <w:p>
      <w:pPr>
        <w:spacing w:line="264" w:lineRule="auto"/>
        <w:jc w:val="center"/>
        <w:rPr>
          <w:rFonts w:hint="default" w:ascii="Times New Roman" w:hAnsi="Times New Roman" w:eastAsia="仿宋" w:cs="Times New Roman"/>
          <w:bCs/>
          <w:color w:val="auto"/>
          <w:sz w:val="40"/>
          <w:szCs w:val="40"/>
        </w:rPr>
      </w:pPr>
      <w:r>
        <w:rPr>
          <w:rFonts w:hint="default" w:ascii="Times New Roman" w:hAnsi="Times New Roman" w:eastAsia="仿宋" w:cs="Times New Roman"/>
          <w:bCs/>
          <w:color w:val="auto"/>
          <w:sz w:val="40"/>
          <w:szCs w:val="40"/>
        </w:rPr>
        <w:t>销 售 合 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甲方：新疆医科大学第一附属医院</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乙方：</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甲乙双方根据《中华人民共和国政府采购法》、《中华人民共和国民法典》、《中华人民共和国产品质量法》及其他相关法律法规的规定，本着平等互利、协商一致、等价有偿的原则，就甲方购买乙方的</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设备并由乙方提供相关服务事宜，达成一致，协议如下：</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一、设备名称、规格（型号）、数量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1、 设备名称：</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规格型号：</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数量：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单价（人民币）：</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2、合同总价（人民币）：（小写）                          （大写）</w:t>
      </w:r>
    </w:p>
    <w:p>
      <w:pPr>
        <w:spacing w:line="264" w:lineRule="auto"/>
        <w:ind w:firstLine="420" w:firstLineChars="200"/>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 xml:space="preserve">    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 </w:t>
      </w:r>
    </w:p>
    <w:p>
      <w:pPr>
        <w:ind w:firstLine="420" w:firstLineChars="200"/>
        <w:rPr>
          <w:rFonts w:hint="default" w:ascii="Times New Roman" w:hAnsi="Times New Roman" w:eastAsia="仿宋" w:cs="Times New Roman"/>
          <w:bCs/>
          <w:color w:val="auto"/>
        </w:rPr>
      </w:pPr>
      <w:r>
        <w:rPr>
          <w:rFonts w:hint="default" w:ascii="Times New Roman" w:hAnsi="Times New Roman" w:eastAsia="仿宋" w:cs="Times New Roman"/>
          <w:bCs/>
          <w:color w:val="auto"/>
        </w:rPr>
        <w:t>3、本合同以美元计价，双方明确，按照第一次购汇当日的银行汇卖价，即购汇凭单上的购汇汇率，作为与医院结算的购汇汇率。</w:t>
      </w:r>
    </w:p>
    <w:p>
      <w:pPr>
        <w:spacing w:line="264" w:lineRule="auto"/>
        <w:rPr>
          <w:rStyle w:val="39"/>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二、制造商及原产地</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制造商：              </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原产地：</w:t>
      </w:r>
    </w:p>
    <w:p>
      <w:pPr>
        <w:spacing w:line="264" w:lineRule="auto"/>
        <w:rPr>
          <w:rFonts w:hint="default" w:ascii="Times New Roman" w:hAnsi="Times New Roman" w:eastAsia="仿宋" w:cs="Times New Roman"/>
          <w:bCs/>
          <w:color w:val="auto"/>
          <w:szCs w:val="21"/>
          <w:u w:val="single"/>
        </w:rPr>
      </w:pPr>
      <w:r>
        <w:rPr>
          <w:rFonts w:hint="default" w:ascii="Times New Roman" w:hAnsi="Times New Roman" w:eastAsia="仿宋" w:cs="Times New Roman"/>
          <w:bCs/>
          <w:color w:val="auto"/>
          <w:szCs w:val="21"/>
        </w:rPr>
        <w:t>三、系统配置：详见附件</w:t>
      </w:r>
    </w:p>
    <w:p>
      <w:pPr>
        <w:spacing w:line="264" w:lineRule="auto"/>
        <w:ind w:left="420" w:hanging="420" w:hanging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四、随机的必备品、配件、工具及其数量：乙方应按产品说明书和装箱单及出厂要求配备必须的备品、配件和专用工具。</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五、交货期、地点、保修期：</w:t>
      </w:r>
    </w:p>
    <w:p>
      <w:pPr>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a）交货期：自中标通知书发出之日起</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天内（按出中标通知之日算起），</w:t>
      </w:r>
      <w:r>
        <w:rPr>
          <w:rFonts w:hint="default" w:ascii="Times New Roman" w:hAnsi="Times New Roman" w:eastAsia="仿宋" w:cs="Times New Roman"/>
          <w:bCs/>
          <w:color w:val="auto"/>
        </w:rPr>
        <w:t>将货物运送至甲方指定地点：</w:t>
      </w:r>
      <w:r>
        <w:rPr>
          <w:rFonts w:hint="default" w:ascii="Times New Roman" w:hAnsi="Times New Roman" w:eastAsia="仿宋" w:cs="Times New Roman"/>
          <w:bCs/>
          <w:color w:val="auto"/>
          <w:u w:val="single"/>
        </w:rPr>
        <w:t xml:space="preserve">       </w:t>
      </w:r>
      <w:r>
        <w:rPr>
          <w:rFonts w:hint="default" w:ascii="Times New Roman" w:hAnsi="Times New Roman" w:eastAsia="仿宋" w:cs="Times New Roman"/>
          <w:bCs/>
          <w:color w:val="auto"/>
        </w:rPr>
        <w:t xml:space="preserve"> ，并负责完成安装调试，配合甲方完成验收。</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b）交货地点：甲方指定。</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c）质保期：系统安装验收合格之日起</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年，提供整机（包含附件）原厂保修服务，承担保修期内设备任何故障产生的费用。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六、售后服务：详见附件，需涵盖以下条款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保修期自验收合格时起，在保修期间，乙方需提供免费的维修及零配件更换；在甲方发出要求服务通知的24小时内，乙方指派的服务人员必须到达用户方现场，对设备出现的较大的问题，解决时间不超过3个日历日。</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3、设备如出现故障，乙方二小时内回应，二十四小时内排除故障，如一天不能解决处理的，应向甲方提供同类型的应急代用设备，如相同的事故出现两次将无偿更换新机或退回甲方货款。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4、如设备维修调试后达不到合同或招投标文件规定的质量或技术指标要求，甲方有权提出退货，并要求乙方退回货款。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5、保修期外，终身免费维修，定期保养，最优惠提供零配件、易损件和耗材。</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6、疆内设有常年维修点或提供常驻维修人员。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7、乙方接到甲方通知后未依照约定时间到场提供维修（包括零配件更换）保养等售后服务的，甲方有权另行聘请专业人员进行维修处理，产生的合理费用在质保金中予以扣除，不足部分，乙方应予以补足。</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8、乙方的安装调试人员有义务对甲方的设备维修人员及使用人员进行免费培训，确保维修人员能对设备进行日常维护和一般性故障的查找及故障的排除，确保使用人员能够熟练掌握设备的各项功能和操作。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9、乙方应当按照附件及本约定履行售后服务义务，附件与本约定不一致的，以本约定为准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七、付款方式：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1、货物抵达交货地点安装、调试完毕且经甲方验收合格支付合同总金额的90%，即人民币大写：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；小写：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2、留10%作为质保金，即人民币大写：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 ；小写：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元，待</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年质保期满后，经甲方再次验收，若无质量问题无息支付。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4、以上付款均需乙方在符合付款条件下，先向甲方提交真实合法有效且符合甲方财务做账要求的等额增值税发票并提出书面付款申请，由甲方财务审核通过后，按照甲方财务计划予以支付。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5、乙方银行账户信息：</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开户行：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账户名称：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银行账号：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八、包装标准：</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1、乙方提供的全部货物须采用相应标准的保护措施进行包装。这种包装应适于航空、海运和内陆运输，并有良好的防潮、防震、防锈和防野蛮装卸的保护措施，以确保货物安全运抵交货地点。</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2、由于乙方包装或其防护措施不妥而引起货物锈蚀、损坏和丢失的任何损失的责任或费用由乙方承担。</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3、除双方特殊约定以外，乙方提供的包装物费用包括在本合同总价中。</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4、乙方负责将送至甲方指定地点的设备包装物从甲方工作场所中清除出去，不得给甲方工作人员或环境造成影响，否则将承担相应的责任，赔偿甲方的损失。</w:t>
      </w:r>
    </w:p>
    <w:p>
      <w:pPr>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5、货物在</w:t>
      </w:r>
      <w:r>
        <w:rPr>
          <w:rFonts w:hint="default" w:ascii="Times New Roman" w:hAnsi="Times New Roman" w:eastAsia="仿宋" w:cs="Times New Roman"/>
          <w:bCs/>
          <w:color w:val="auto"/>
        </w:rPr>
        <w:t>运输途中的安全问题均由乙方负责。</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九、技术参数：乙方负责提供物品详细的中文版说明书、使用手册、维修手册及电路原理图等一切与该设备的安装、维修、保养有关的技术图纸及文字资料。</w:t>
      </w:r>
      <w:r>
        <w:rPr>
          <w:rFonts w:hint="default" w:ascii="Times New Roman" w:hAnsi="Times New Roman" w:eastAsia="仿宋" w:cs="Times New Roman"/>
          <w:bCs/>
          <w:color w:val="auto"/>
        </w:rPr>
        <w:t>否则，甲方有权不予付款且不承担违约责任。乙方应</w:t>
      </w:r>
      <w:r>
        <w:rPr>
          <w:rFonts w:hint="default" w:ascii="Times New Roman" w:hAnsi="Times New Roman" w:eastAsia="仿宋" w:cs="Times New Roman"/>
          <w:bCs/>
          <w:color w:val="auto"/>
          <w:szCs w:val="21"/>
        </w:rPr>
        <w:t>同时提供该设备彩页资料和公司、产品资质，并承担由此发生的全部费用。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十、安装调试：</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1、乙方必须在合同签订后1周内将所有的安装调试条件、需甲方配合的事项以书面方式通知甲方；</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2、乙方负责物品的运送、安装、调试、技术协助、校准、培训以及其他类似等工作，直至该物品可以正常使用。 </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3、乙方应指派专门的技术人员对甲方的设备维修人员及使用人员进行免费培训，确保维修人员能对设备进行日常维护和一般性故障的查找及故障的排除，确保使用人员能够熟练掌握设备的各项功能和操作，</w:t>
      </w:r>
      <w:r>
        <w:rPr>
          <w:rFonts w:hint="default" w:ascii="Times New Roman" w:hAnsi="Times New Roman" w:eastAsia="仿宋" w:cs="Times New Roman"/>
          <w:bCs/>
          <w:color w:val="auto"/>
        </w:rPr>
        <w:t>且上述费用已包含在合同总价中，甲方不再另行支付</w:t>
      </w:r>
      <w:r>
        <w:rPr>
          <w:rFonts w:hint="default" w:ascii="Times New Roman" w:hAnsi="Times New Roman" w:eastAsia="仿宋" w:cs="Times New Roman"/>
          <w:bCs/>
          <w:color w:val="auto"/>
          <w:szCs w:val="21"/>
        </w:rPr>
        <w:t>。</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十一、验收标准：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1、单证齐全：应有产品合格证（或质量证明）、使用说明、保修证明、发票和其他应具有的单证。同时由乙方提供该套设备的商检证，需计量鉴定的，还需提供初次计量鉴定证书。</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2、质量符合国家法律法规规定的标准、招标文件和投标文件的要求。其中有关设备名称、制造商、数量等信息须符合投标文件和配置清单</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3、设备到达用户所在地后，由甲、乙双方负责对货物进行数量、包装及品质的验收。确定与合同规定相符后，乙方工程师须</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天内负责对设备进行安装调试。因乙方原因造成不能按时完成安装调试工作，乙方应承担甲方由此所受的损失。</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4、甲方设备使用科室最终签发相关的安装验收合格报告，并且甲方有权委托中国有资质的单位对仪器进行精度校核，所发生的费用由乙方承担且乙方</w:t>
      </w:r>
      <w:r>
        <w:rPr>
          <w:rFonts w:hint="default" w:ascii="Times New Roman" w:hAnsi="Times New Roman" w:eastAsia="仿宋" w:cs="Times New Roman"/>
          <w:bCs/>
          <w:color w:val="auto"/>
        </w:rPr>
        <w:t>同意</w:t>
      </w:r>
      <w:r>
        <w:rPr>
          <w:rFonts w:hint="default" w:ascii="Times New Roman" w:hAnsi="Times New Roman" w:eastAsia="仿宋" w:cs="Times New Roman"/>
          <w:bCs/>
          <w:color w:val="auto"/>
          <w:szCs w:val="21"/>
        </w:rPr>
        <w:t>授权甲方从应付货款中直接</w:t>
      </w:r>
      <w:r>
        <w:rPr>
          <w:rFonts w:hint="default" w:ascii="Times New Roman" w:hAnsi="Times New Roman" w:eastAsia="仿宋" w:cs="Times New Roman"/>
          <w:bCs/>
          <w:color w:val="auto"/>
        </w:rPr>
        <w:t>扣除</w:t>
      </w:r>
      <w:r>
        <w:rPr>
          <w:rFonts w:hint="default" w:ascii="Times New Roman" w:hAnsi="Times New Roman" w:eastAsia="仿宋" w:cs="Times New Roman"/>
          <w:bCs/>
          <w:color w:val="auto"/>
          <w:szCs w:val="21"/>
        </w:rPr>
        <w:t>。</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5、甲方最终验收合格后进入保修期。若</w:t>
      </w:r>
      <w:r>
        <w:rPr>
          <w:rFonts w:hint="default" w:ascii="Times New Roman" w:hAnsi="Times New Roman" w:eastAsia="仿宋" w:cs="Times New Roman"/>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6、技术监督局的检测费用由乙方承担，并且负责保修期内设备所涉及的计量检测工作，提供承诺函。</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十二、质量技术标准及损害赔偿：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w:t>
      </w:r>
      <w:r>
        <w:rPr>
          <w:rFonts w:hint="default" w:ascii="Times New Roman" w:hAnsi="Times New Roman" w:eastAsia="仿宋" w:cs="Times New Roman"/>
          <w:bCs/>
          <w:color w:val="auto"/>
        </w:rPr>
        <w:t>产品质量标准：</w:t>
      </w:r>
      <w:r>
        <w:rPr>
          <w:rFonts w:hint="default" w:ascii="Times New Roman" w:hAnsi="Times New Roman" w:eastAsia="仿宋" w:cs="Times New Roman"/>
          <w:bCs/>
          <w:color w:val="auto"/>
          <w:szCs w:val="21"/>
        </w:rPr>
        <w:t>设备的质量技术标准按国家法律法规规定的标准、招标文件和乙方投标文件所要求的技术标准执行。同时应符合中华人民共和国国家质量及国家安全环保标准，上述标准不一致的，按照高标准执行。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2、乙方应保证其提供的货物是原产地的原装产品，是全新的、未使用过的，采用的是最佳材料和第一流的工艺，并在各个方面符合合同规定的质量、规格和性能要求。否则按退货处理。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5、如因为乙方设备质量原因，导致甲方损失，乙方应按照实际损失予以赔偿。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十三、合同修改、变更、转让及专利权：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1、未经甲方书面同意，乙方不得对合同条款及服务内容进行任何修改、变更。并且不得转让其应履行的义务。否则，甲方有权终止合同，所发生的损失由乙方全部承担。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十五、违约责任：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1、乙方交付设备的品种、规格、质量不符合国家标准或合同规定的，由乙方全权负责换货。换货必须全新并符合</w:t>
      </w:r>
      <w:r>
        <w:rPr>
          <w:rFonts w:hint="default" w:ascii="Times New Roman" w:hAnsi="Times New Roman" w:eastAsia="仿宋" w:cs="Times New Roman"/>
          <w:bCs/>
          <w:color w:val="auto"/>
        </w:rPr>
        <w:t>本合同约定的质量标准和验收标准</w:t>
      </w:r>
      <w:r>
        <w:rPr>
          <w:rFonts w:hint="default" w:ascii="Times New Roman" w:hAnsi="Times New Roman" w:eastAsia="仿宋" w:cs="Times New Roman"/>
          <w:bCs/>
          <w:color w:val="auto"/>
          <w:szCs w:val="21"/>
        </w:rPr>
        <w:t>，因此而产生的一切费用和甲方遭受的一切直接损失由乙方无条件承担，</w:t>
      </w:r>
      <w:r>
        <w:rPr>
          <w:rFonts w:hint="default" w:ascii="Times New Roman" w:hAnsi="Times New Roman" w:eastAsia="仿宋" w:cs="Times New Roman"/>
          <w:bCs/>
          <w:color w:val="auto"/>
        </w:rPr>
        <w:t>乙方不能修理或者不能调换、安装的，按合同总额的10%承担违约金。</w:t>
      </w:r>
      <w:r>
        <w:rPr>
          <w:rFonts w:hint="default" w:ascii="Times New Roman" w:hAnsi="Times New Roman" w:eastAsia="仿宋" w:cs="Times New Roman"/>
          <w:bCs/>
          <w:color w:val="auto"/>
          <w:szCs w:val="21"/>
        </w:rPr>
        <w:t>同时，甲方有权选择退货，乙方应承担因退货而发生的一切直接损失和费用并按照本合同总金额10%向甲方支付违约金。</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2、乙方逾期交货的，按逾期交货部分货款计算，乙方向甲方偿付每日千分之五的违约金，逾期十天以上的，甲方有权解除合同，乙方应当承担因终止合同而发生的一切直接损失和费用。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3、如因乙方原因设备未按投标文件确定的日期进行维修或维修未达到甲方要求的，在甲方提出赔偿十日内，乙方应当按照甲方赔偿要求赔偿数额支付。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4、乙方不得以任何形式在任何情况下对甲方工作人员进行商业贿赂活动，否则甲方有权单方解除合同，同时乙方需按照本合同总金额20%向甲方支付违约金并承担相应的法律责任。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十六、赔偿、追索权：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1、本合同中所涉及到的乙方应支付甲方的损害赔偿、违约金等，在质保期内，甲方有权从合同总金额10%的质保金中直接扣除，对不足以抵偿的部分，甲方保留追索权；设备质保期以外，甲方保留追索的权利，包括从甲、乙双方所签署的其他合同乙方的权利中，追偿上述经济损失及违约金。</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2、本合同所有条款约定的违约金、赔偿金等均应以人民币的方式支付，双方明确</w:t>
      </w:r>
      <w:r>
        <w:rPr>
          <w:rFonts w:hint="default" w:ascii="Times New Roman" w:hAnsi="Times New Roman" w:eastAsia="仿宋" w:cs="Times New Roman"/>
          <w:bCs/>
          <w:color w:val="auto"/>
        </w:rPr>
        <w:t>按照第一次购汇当日的银行汇卖价，即购汇凭单上的购汇汇率，作为</w:t>
      </w:r>
      <w:r>
        <w:rPr>
          <w:rFonts w:hint="default" w:ascii="Times New Roman" w:hAnsi="Times New Roman" w:eastAsia="仿宋" w:cs="Times New Roman"/>
          <w:bCs/>
          <w:color w:val="auto"/>
          <w:szCs w:val="21"/>
        </w:rPr>
        <w:t>今后违约金、赔偿金等结算支付的汇率。</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十七、解决合同纠纷的方式：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1、合同双方本着诚实、公平合理的原则协商解决，协商仍不能达成共识，可向甲方所在地人民法院提起诉讼。</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2、在诉讼期间，合同未发生争议部分应当继续履行。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十八、其它：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 合同所有附件均为合同的有效组成部分，与合同具有同等的法律效力。包括招标文件、谈判文件、成交通知书、成交方的投标文件及询标中的书面答疑和开标中的书面承诺等。</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2、乙方保证提供的资质是真实的，与原件相符。否则，产生的责任及给甲方造成的损失均由乙方承担并赔偿。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3、乙方保证合同中提供的电话、传真、开户银行、账号等信息准确无误。否则造成的责任及损失由乙方承担。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4、本合同应按中华人民共和国的相关法律解释。</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5、本合同文本一式五份，甲方执四份、乙方执一份。自甲、乙双方签字盖章之日起生效，双方如有未尽事宜，可另行友好协商解决。</w:t>
      </w:r>
    </w:p>
    <w:tbl>
      <w:tblPr>
        <w:tblStyle w:val="31"/>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甲方：新疆医科大学第一附属医院</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w:t>
            </w:r>
          </w:p>
        </w:tc>
      </w:tr>
      <w:tr>
        <w:tblPrEx>
          <w:tblCellMar>
            <w:top w:w="0" w:type="dxa"/>
            <w:left w:w="108" w:type="dxa"/>
            <w:bottom w:w="0" w:type="dxa"/>
            <w:right w:w="108" w:type="dxa"/>
          </w:tblCellMar>
        </w:tblPrEx>
        <w:trPr>
          <w:trHeight w:val="80" w:hRule="atLeast"/>
        </w:trPr>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甲方法人：</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乙方法人：</w:t>
            </w:r>
          </w:p>
        </w:tc>
      </w:tr>
      <w:tr>
        <w:tblPrEx>
          <w:tblCellMar>
            <w:top w:w="0" w:type="dxa"/>
            <w:left w:w="108" w:type="dxa"/>
            <w:bottom w:w="0" w:type="dxa"/>
            <w:right w:w="108" w:type="dxa"/>
          </w:tblCellMar>
        </w:tblPrEx>
        <w:tc>
          <w:tcPr>
            <w:tcW w:w="5148" w:type="dxa"/>
            <w:noWrap w:val="0"/>
            <w:vAlign w:val="top"/>
          </w:tcPr>
          <w:p>
            <w:pPr>
              <w:spacing w:line="360"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rPr>
          <w:trHeight w:val="350" w:hRule="atLeast"/>
        </w:trPr>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甲方代表：</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乙方授权代表：</w:t>
            </w:r>
          </w:p>
        </w:tc>
      </w:tr>
      <w:tr>
        <w:tblPrEx>
          <w:tblCellMar>
            <w:top w:w="0" w:type="dxa"/>
            <w:left w:w="108" w:type="dxa"/>
            <w:bottom w:w="0" w:type="dxa"/>
            <w:right w:w="108" w:type="dxa"/>
          </w:tblCellMar>
        </w:tblPrEx>
        <w:trPr>
          <w:trHeight w:val="350" w:hRule="atLeast"/>
        </w:trPr>
        <w:tc>
          <w:tcPr>
            <w:tcW w:w="5148" w:type="dxa"/>
            <w:noWrap w:val="0"/>
            <w:vAlign w:val="top"/>
          </w:tcPr>
          <w:p>
            <w:pPr>
              <w:spacing w:line="360"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合同专用章：</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ind w:left="1050" w:hanging="1050" w:hangingChars="5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单位地址：</w:t>
            </w:r>
          </w:p>
        </w:tc>
      </w:tr>
      <w:tr>
        <w:tblPrEx>
          <w:tblCellMar>
            <w:top w:w="0" w:type="dxa"/>
            <w:left w:w="108" w:type="dxa"/>
            <w:bottom w:w="0" w:type="dxa"/>
            <w:right w:w="108" w:type="dxa"/>
          </w:tblCellMar>
        </w:tblPrEx>
        <w:trPr>
          <w:trHeight w:val="265" w:hRule="atLeast"/>
        </w:trPr>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合同专用章：</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维修工程师电话：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单位地址：</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开户行：</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单位电话：</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帐号：</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合同签订时间：    年   月   日</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合同签订时间：    年   月   日</w:t>
            </w:r>
          </w:p>
        </w:tc>
      </w:tr>
    </w:tbl>
    <w:p>
      <w:pPr>
        <w:spacing w:line="360" w:lineRule="auto"/>
        <w:jc w:val="center"/>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bCs/>
          <w:color w:val="auto"/>
          <w:szCs w:val="21"/>
        </w:rPr>
        <w:br w:type="page"/>
      </w:r>
      <w:r>
        <w:rPr>
          <w:rFonts w:hint="default" w:ascii="Times New Roman" w:hAnsi="Times New Roman" w:eastAsia="仿宋" w:cs="Times New Roman"/>
          <w:b/>
          <w:color w:val="auto"/>
          <w:sz w:val="32"/>
          <w:szCs w:val="32"/>
          <w:lang w:eastAsia="zh-CN"/>
        </w:rPr>
        <w:t>医疗卫生机构医药产品廉洁购销合同</w:t>
      </w:r>
    </w:p>
    <w:p>
      <w:p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color w:val="auto"/>
          <w:sz w:val="28"/>
          <w:szCs w:val="28"/>
          <w:lang w:eastAsia="zh-CN"/>
        </w:rPr>
        <w:t>甲方</w:t>
      </w:r>
      <w:r>
        <w:rPr>
          <w:rFonts w:hint="default" w:ascii="Times New Roman" w:hAnsi="Times New Roman" w:eastAsia="仿宋" w:cs="Times New Roman"/>
          <w:color w:val="auto"/>
          <w:sz w:val="28"/>
          <w:szCs w:val="28"/>
          <w:lang w:eastAsia="zh-CN"/>
        </w:rPr>
        <w:t>：新疆医科大学第一附属医院</w:t>
      </w:r>
    </w:p>
    <w:p>
      <w:p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color w:val="auto"/>
          <w:sz w:val="28"/>
          <w:szCs w:val="28"/>
          <w:lang w:eastAsia="zh-CN"/>
        </w:rPr>
        <w:t>乙方</w:t>
      </w:r>
      <w:r>
        <w:rPr>
          <w:rFonts w:hint="default" w:ascii="Times New Roman" w:hAnsi="Times New Roman" w:eastAsia="仿宋" w:cs="Times New Roman"/>
          <w:color w:val="auto"/>
          <w:sz w:val="28"/>
          <w:szCs w:val="28"/>
          <w:lang w:eastAsia="zh-CN"/>
        </w:rPr>
        <w:t xml:space="preserve">： </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一、甲乙双方按照《合同法》及医药产品购销合同约定购销药品、医用设备、医用耗材等医药产品。</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四、严禁甲方工作人员利用任何途径和方式，为乙方统计医师个人及临床科室有关医药产品用量信息，或为乙方统计提供便利。</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五、乙方不得以回扣、宴请等方式影响甲方工作人员采购或使用医药产品的选择权，不得在学术活动中提供旅游、超标准支付食宿费用。</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六、乙方指定</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default" w:ascii="Times New Roman" w:hAnsi="Times New Roman" w:eastAsia="仿宋" w:cs="Times New Roman"/>
          <w:color w:val="auto"/>
          <w:sz w:val="28"/>
          <w:szCs w:val="28"/>
          <w:shd w:val="clear" w:color="auto" w:fill="FFFFFF"/>
          <w:lang w:eastAsia="zh-CN"/>
        </w:rPr>
        <w:t>（国卫法制发〔2013〕50号）</w:t>
      </w:r>
      <w:r>
        <w:rPr>
          <w:rFonts w:hint="default" w:ascii="Times New Roman" w:hAnsi="Times New Roman" w:eastAsia="仿宋" w:cs="Times New Roman"/>
          <w:color w:val="auto"/>
          <w:sz w:val="28"/>
          <w:szCs w:val="28"/>
          <w:lang w:eastAsia="zh-CN"/>
        </w:rPr>
        <w:t>相关规定处理。</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八、本合同作为医药产品购销合同的重要组成部分，与购销合同一并执行，具有同等的法律效力。</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九、本合同一式肆份，甲方叁份，乙方壹份，并从签订之日起生效。</w:t>
      </w: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甲方（盖章）：                   乙方（盖章）：</w:t>
      </w:r>
    </w:p>
    <w:p>
      <w:pPr>
        <w:spacing w:line="360" w:lineRule="auto"/>
        <w:rPr>
          <w:rFonts w:hint="default" w:ascii="Times New Roman" w:hAnsi="Times New Roman" w:eastAsia="仿宋" w:cs="Times New Roman"/>
          <w:b/>
          <w:color w:val="auto"/>
          <w:sz w:val="28"/>
          <w:szCs w:val="28"/>
          <w:lang w:eastAsia="zh-CN"/>
        </w:rPr>
      </w:pP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法定代表人（负责人）：           法定代表人（负责人）：</w:t>
      </w:r>
    </w:p>
    <w:p>
      <w:pPr>
        <w:spacing w:line="360" w:lineRule="auto"/>
        <w:rPr>
          <w:rFonts w:hint="default" w:ascii="Times New Roman" w:hAnsi="Times New Roman" w:eastAsia="仿宋" w:cs="Times New Roman"/>
          <w:b/>
          <w:color w:val="auto"/>
          <w:sz w:val="28"/>
          <w:szCs w:val="28"/>
          <w:lang w:eastAsia="zh-CN"/>
        </w:rPr>
      </w:pP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经办人签名：                     经办人签名：</w:t>
      </w:r>
    </w:p>
    <w:p>
      <w:pPr>
        <w:spacing w:line="360" w:lineRule="auto"/>
        <w:ind w:firstLine="1680" w:firstLineChars="600"/>
        <w:rPr>
          <w:rFonts w:hint="eastAsia" w:ascii="仿宋" w:hAnsi="仿宋" w:eastAsia="仿宋"/>
          <w:b/>
          <w:sz w:val="32"/>
          <w:szCs w:val="32"/>
          <w:lang w:eastAsia="zh-CN"/>
        </w:rPr>
      </w:pPr>
      <w:r>
        <w:rPr>
          <w:rFonts w:hint="default" w:ascii="Times New Roman" w:hAnsi="Times New Roman" w:eastAsia="仿宋" w:cs="Times New Roman"/>
          <w:color w:val="auto"/>
          <w:sz w:val="28"/>
          <w:szCs w:val="28"/>
        </w:rPr>
        <w:t xml:space="preserve">年   月   日              </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 xml:space="preserve">  年   月   日</w:t>
      </w:r>
    </w:p>
    <w:p>
      <w:pPr>
        <w:spacing w:line="360" w:lineRule="auto"/>
        <w:jc w:val="center"/>
        <w:rPr>
          <w:rFonts w:hint="eastAsia" w:ascii="仿宋" w:hAnsi="仿宋" w:eastAsia="仿宋"/>
          <w:b/>
          <w:sz w:val="32"/>
          <w:szCs w:val="32"/>
          <w:lang w:eastAsia="zh-CN"/>
        </w:rPr>
      </w:pPr>
    </w:p>
    <w:p>
      <w:pPr>
        <w:spacing w:line="360" w:lineRule="auto"/>
        <w:jc w:val="center"/>
        <w:rPr>
          <w:rFonts w:hint="eastAsia" w:ascii="仿宋" w:hAnsi="仿宋" w:eastAsia="仿宋"/>
          <w:b/>
          <w:sz w:val="32"/>
          <w:szCs w:val="32"/>
          <w:lang w:eastAsia="zh-CN"/>
        </w:rPr>
        <w:sectPr>
          <w:pgSz w:w="11907" w:h="16840"/>
          <w:pgMar w:top="1134" w:right="1080" w:bottom="1134" w:left="1080" w:header="567" w:footer="567" w:gutter="0"/>
          <w:pgNumType w:fmt="decimal"/>
          <w:cols w:space="720" w:num="1"/>
          <w:titlePg/>
          <w:docGrid w:type="lines" w:linePitch="409" w:charSpace="0"/>
        </w:sectPr>
      </w:pPr>
    </w:p>
    <w:p>
      <w:pPr>
        <w:tabs>
          <w:tab w:val="left" w:pos="360"/>
        </w:tabs>
        <w:jc w:val="center"/>
        <w:outlineLvl w:val="0"/>
        <w:rPr>
          <w:rFonts w:eastAsia="仿宋"/>
          <w:sz w:val="32"/>
          <w:szCs w:val="32"/>
        </w:rPr>
      </w:pPr>
      <w:bookmarkStart w:id="49" w:name="_Toc5662"/>
      <w:bookmarkStart w:id="50" w:name="_Toc17168"/>
      <w:r>
        <w:rPr>
          <w:rFonts w:eastAsia="仿宋"/>
          <w:sz w:val="32"/>
          <w:szCs w:val="32"/>
        </w:rPr>
        <w:t>第</w:t>
      </w:r>
      <w:r>
        <w:rPr>
          <w:rFonts w:hint="eastAsia" w:eastAsia="仿宋"/>
          <w:sz w:val="32"/>
          <w:szCs w:val="32"/>
        </w:rPr>
        <w:t>五</w:t>
      </w:r>
      <w:r>
        <w:rPr>
          <w:rFonts w:eastAsia="仿宋"/>
          <w:sz w:val="32"/>
          <w:szCs w:val="32"/>
        </w:rPr>
        <w:t>部分　范本格式</w:t>
      </w:r>
      <w:bookmarkEnd w:id="49"/>
      <w:bookmarkEnd w:id="50"/>
    </w:p>
    <w:p>
      <w:pPr>
        <w:autoSpaceDE w:val="0"/>
        <w:autoSpaceDN w:val="0"/>
        <w:adjustRightInd w:val="0"/>
        <w:jc w:val="center"/>
        <w:rPr>
          <w:rFonts w:eastAsia="仿宋"/>
          <w:bCs/>
          <w:kern w:val="0"/>
          <w:sz w:val="84"/>
          <w:szCs w:val="84"/>
        </w:rPr>
      </w:pPr>
      <w:r>
        <w:rPr>
          <w:rFonts w:eastAsia="仿宋"/>
          <w:bCs/>
          <w:sz w:val="84"/>
          <w:szCs w:val="84"/>
        </w:rPr>
        <w:t>投标文件</w:t>
      </w:r>
    </w:p>
    <w:p>
      <w:pPr>
        <w:autoSpaceDE w:val="0"/>
        <w:autoSpaceDN w:val="0"/>
        <w:adjustRightInd w:val="0"/>
        <w:spacing w:line="520" w:lineRule="exact"/>
        <w:jc w:val="center"/>
        <w:rPr>
          <w:rFonts w:eastAsia="仿宋"/>
          <w:bCs/>
          <w:kern w:val="0"/>
          <w:sz w:val="36"/>
          <w:szCs w:val="36"/>
        </w:rPr>
      </w:pPr>
      <w:r>
        <w:rPr>
          <w:rFonts w:eastAsia="仿宋"/>
          <w:bCs/>
          <w:kern w:val="0"/>
          <w:sz w:val="36"/>
          <w:szCs w:val="36"/>
        </w:rPr>
        <w:t>（ 正/副 本 ）</w:t>
      </w:r>
    </w:p>
    <w:p>
      <w:pPr>
        <w:autoSpaceDE w:val="0"/>
        <w:autoSpaceDN w:val="0"/>
        <w:adjustRightInd w:val="0"/>
        <w:spacing w:line="520" w:lineRule="exact"/>
        <w:rPr>
          <w:rFonts w:eastAsia="仿宋"/>
          <w:bCs/>
          <w:kern w:val="0"/>
          <w:sz w:val="24"/>
        </w:rPr>
      </w:pPr>
    </w:p>
    <w:p>
      <w:pPr>
        <w:pStyle w:val="129"/>
        <w:rPr>
          <w:rFonts w:eastAsia="仿宋"/>
          <w:bCs/>
          <w:kern w:val="0"/>
        </w:rPr>
      </w:pPr>
    </w:p>
    <w:p>
      <w:pPr>
        <w:pStyle w:val="129"/>
        <w:rPr>
          <w:rFonts w:eastAsia="仿宋"/>
          <w:bCs/>
          <w:kern w:val="0"/>
        </w:rPr>
      </w:pPr>
    </w:p>
    <w:p>
      <w:pPr>
        <w:pStyle w:val="129"/>
        <w:rPr>
          <w:rFonts w:eastAsia="仿宋"/>
          <w:bCs/>
          <w:kern w:val="0"/>
        </w:rPr>
      </w:pPr>
    </w:p>
    <w:p>
      <w:pPr>
        <w:pStyle w:val="129"/>
        <w:rPr>
          <w:rFonts w:eastAsia="仿宋"/>
          <w:bCs/>
          <w:kern w:val="0"/>
        </w:rPr>
      </w:pPr>
    </w:p>
    <w:p>
      <w:pPr>
        <w:pStyle w:val="129"/>
        <w:rPr>
          <w:rFonts w:eastAsia="仿宋"/>
          <w:bCs/>
          <w:kern w:val="0"/>
        </w:rPr>
      </w:pPr>
    </w:p>
    <w:p>
      <w:pPr>
        <w:spacing w:before="124" w:beforeLines="30" w:after="291" w:afterLines="70" w:line="540" w:lineRule="exact"/>
        <w:ind w:left="630" w:leftChars="300"/>
        <w:rPr>
          <w:rFonts w:eastAsia="仿宋"/>
          <w:bCs/>
          <w:sz w:val="28"/>
          <w:szCs w:val="28"/>
        </w:rPr>
      </w:pPr>
      <w:r>
        <w:rPr>
          <w:rFonts w:eastAsia="仿宋"/>
          <w:bCs/>
          <w:sz w:val="28"/>
          <w:szCs w:val="28"/>
        </w:rPr>
        <w:t>项 目 编 号：</w:t>
      </w:r>
    </w:p>
    <w:p>
      <w:pPr>
        <w:spacing w:before="124" w:beforeLines="30" w:after="291" w:afterLines="70" w:line="540" w:lineRule="exact"/>
        <w:ind w:left="630" w:leftChars="300"/>
        <w:rPr>
          <w:rFonts w:eastAsia="仿宋"/>
          <w:bCs/>
          <w:sz w:val="28"/>
          <w:szCs w:val="28"/>
        </w:rPr>
      </w:pPr>
      <w:r>
        <w:rPr>
          <w:rFonts w:eastAsia="仿宋"/>
          <w:bCs/>
          <w:sz w:val="28"/>
          <w:szCs w:val="28"/>
        </w:rPr>
        <w:t>项 目 名 称：</w:t>
      </w:r>
    </w:p>
    <w:p>
      <w:pPr>
        <w:spacing w:before="124" w:beforeLines="30" w:after="291" w:afterLines="70" w:line="540" w:lineRule="exact"/>
        <w:ind w:left="630" w:leftChars="300"/>
        <w:rPr>
          <w:rFonts w:eastAsia="仿宋"/>
          <w:bCs/>
          <w:sz w:val="28"/>
          <w:szCs w:val="28"/>
        </w:rPr>
      </w:pPr>
      <w:r>
        <w:rPr>
          <w:rFonts w:eastAsia="仿宋"/>
          <w:bCs/>
          <w:sz w:val="28"/>
          <w:szCs w:val="28"/>
        </w:rPr>
        <w:t>投标人名称（公章）：</w:t>
      </w:r>
    </w:p>
    <w:p>
      <w:pPr>
        <w:spacing w:before="124" w:beforeLines="30" w:after="291" w:afterLines="70" w:line="540" w:lineRule="exact"/>
        <w:ind w:left="630" w:leftChars="300"/>
        <w:rPr>
          <w:rFonts w:eastAsia="仿宋"/>
          <w:bCs/>
          <w:sz w:val="28"/>
          <w:szCs w:val="28"/>
        </w:rPr>
      </w:pPr>
      <w:r>
        <w:rPr>
          <w:rFonts w:eastAsia="仿宋"/>
          <w:bCs/>
          <w:sz w:val="28"/>
          <w:szCs w:val="28"/>
        </w:rPr>
        <w:t>投标人详细地址：</w:t>
      </w:r>
    </w:p>
    <w:p>
      <w:pPr>
        <w:spacing w:before="124" w:beforeLines="30" w:after="291" w:afterLines="70" w:line="540" w:lineRule="exact"/>
        <w:ind w:left="630" w:leftChars="300"/>
        <w:rPr>
          <w:rFonts w:eastAsia="仿宋"/>
          <w:bCs/>
          <w:sz w:val="28"/>
          <w:szCs w:val="28"/>
        </w:rPr>
      </w:pPr>
      <w:r>
        <w:rPr>
          <w:rFonts w:eastAsia="仿宋"/>
          <w:bCs/>
          <w:sz w:val="28"/>
          <w:szCs w:val="28"/>
        </w:rPr>
        <w:t>联系人（签字或盖章）：</w:t>
      </w:r>
    </w:p>
    <w:p>
      <w:pPr>
        <w:spacing w:before="124" w:beforeLines="30" w:after="291" w:afterLines="70" w:line="540" w:lineRule="exact"/>
        <w:ind w:left="630" w:leftChars="300"/>
        <w:rPr>
          <w:rFonts w:eastAsia="仿宋"/>
          <w:bCs/>
          <w:sz w:val="28"/>
          <w:szCs w:val="28"/>
        </w:rPr>
      </w:pPr>
      <w:r>
        <w:rPr>
          <w:rFonts w:eastAsia="仿宋"/>
          <w:bCs/>
          <w:sz w:val="28"/>
          <w:szCs w:val="28"/>
        </w:rPr>
        <w:t>联系电话：</w:t>
      </w:r>
    </w:p>
    <w:p>
      <w:pPr>
        <w:spacing w:before="124" w:beforeLines="30" w:after="291" w:afterLines="70" w:line="540" w:lineRule="exact"/>
        <w:ind w:left="630" w:leftChars="300"/>
        <w:rPr>
          <w:rFonts w:eastAsia="仿宋"/>
          <w:bCs/>
          <w:sz w:val="28"/>
          <w:szCs w:val="28"/>
        </w:rPr>
      </w:pPr>
      <w:r>
        <w:rPr>
          <w:rFonts w:eastAsia="仿宋"/>
          <w:bCs/>
          <w:sz w:val="28"/>
          <w:szCs w:val="28"/>
        </w:rPr>
        <w:t>递交日期：</w:t>
      </w:r>
    </w:p>
    <w:p>
      <w:pPr>
        <w:spacing w:line="400" w:lineRule="atLeast"/>
        <w:jc w:val="center"/>
        <w:rPr>
          <w:rFonts w:eastAsia="仿宋"/>
          <w:bCs/>
        </w:rPr>
      </w:pPr>
      <w:r>
        <w:rPr>
          <w:rFonts w:eastAsia="仿宋"/>
          <w:bCs/>
        </w:rPr>
        <w:br w:type="page"/>
      </w:r>
    </w:p>
    <w:p>
      <w:pPr>
        <w:rPr>
          <w:rFonts w:eastAsia="仿宋"/>
          <w:bCs/>
          <w:sz w:val="24"/>
          <w:szCs w:val="24"/>
        </w:rPr>
      </w:pPr>
      <w:r>
        <w:rPr>
          <w:rFonts w:eastAsia="仿宋"/>
          <w:bCs/>
          <w:sz w:val="24"/>
          <w:szCs w:val="24"/>
        </w:rPr>
        <w:t>投标文件在编制时必需编制目录及对应页码</w:t>
      </w:r>
    </w:p>
    <w:p>
      <w:pPr>
        <w:pStyle w:val="2"/>
      </w:pPr>
    </w:p>
    <w:p>
      <w:pPr>
        <w:spacing w:line="400" w:lineRule="atLeast"/>
        <w:jc w:val="center"/>
        <w:rPr>
          <w:rFonts w:eastAsia="仿宋"/>
          <w:sz w:val="24"/>
        </w:rPr>
      </w:pPr>
      <w:r>
        <w:rPr>
          <w:rFonts w:eastAsia="仿宋"/>
          <w:sz w:val="24"/>
        </w:rPr>
        <w:t>1、 谈判响应书</w:t>
      </w:r>
    </w:p>
    <w:p>
      <w:pPr>
        <w:spacing w:line="400" w:lineRule="atLeast"/>
        <w:rPr>
          <w:rFonts w:eastAsia="仿宋"/>
          <w:sz w:val="24"/>
        </w:rPr>
      </w:pPr>
      <w:r>
        <w:rPr>
          <w:rFonts w:eastAsia="仿宋"/>
          <w:sz w:val="24"/>
        </w:rPr>
        <w:t xml:space="preserve">致： </w:t>
      </w:r>
      <w:r>
        <w:rPr>
          <w:rFonts w:hint="eastAsia" w:eastAsia="仿宋"/>
          <w:sz w:val="24"/>
        </w:rPr>
        <w:t>新疆医科大学第一附属医院</w:t>
      </w:r>
      <w:r>
        <w:rPr>
          <w:rFonts w:eastAsia="仿宋"/>
          <w:sz w:val="24"/>
        </w:rPr>
        <w:t xml:space="preserve">       </w:t>
      </w:r>
    </w:p>
    <w:p>
      <w:pPr>
        <w:spacing w:line="400" w:lineRule="atLeast"/>
        <w:ind w:firstLine="555"/>
        <w:rPr>
          <w:rFonts w:eastAsia="仿宋"/>
          <w:sz w:val="24"/>
        </w:rPr>
      </w:pPr>
      <w:r>
        <w:rPr>
          <w:rFonts w:eastAsia="仿宋"/>
          <w:sz w:val="24"/>
        </w:rPr>
        <w:t>根据贵方为　　　（项目名称）项目（项目编号</w:t>
      </w:r>
      <w:r>
        <w:rPr>
          <w:rFonts w:hint="eastAsia" w:eastAsia="仿宋"/>
          <w:sz w:val="24"/>
        </w:rPr>
        <w:t>、标包</w:t>
      </w:r>
      <w:r>
        <w:rPr>
          <w:rFonts w:eastAsia="仿宋"/>
          <w:sz w:val="24"/>
        </w:rPr>
        <w:t>）采购的招标邀请，签字代表（姓名、职务）经正式授权并代表供应商（供应商名称、地址）提交下述文件正本一份和副本</w:t>
      </w:r>
      <w:r>
        <w:rPr>
          <w:rFonts w:hint="eastAsia" w:eastAsia="仿宋"/>
          <w:sz w:val="24"/>
        </w:rPr>
        <w:t>二</w:t>
      </w:r>
      <w:r>
        <w:rPr>
          <w:rFonts w:eastAsia="仿宋"/>
          <w:sz w:val="24"/>
        </w:rPr>
        <w:t>份。</w:t>
      </w:r>
    </w:p>
    <w:p>
      <w:pPr>
        <w:numPr>
          <w:ilvl w:val="0"/>
          <w:numId w:val="11"/>
        </w:numPr>
        <w:spacing w:line="400" w:lineRule="atLeast"/>
        <w:rPr>
          <w:rFonts w:eastAsia="仿宋"/>
          <w:sz w:val="24"/>
        </w:rPr>
      </w:pPr>
      <w:r>
        <w:rPr>
          <w:rFonts w:eastAsia="仿宋"/>
          <w:sz w:val="24"/>
        </w:rPr>
        <w:t>报价表</w:t>
      </w:r>
    </w:p>
    <w:p>
      <w:pPr>
        <w:numPr>
          <w:ilvl w:val="0"/>
          <w:numId w:val="11"/>
        </w:numPr>
        <w:spacing w:line="400" w:lineRule="atLeast"/>
        <w:rPr>
          <w:rFonts w:eastAsia="仿宋"/>
          <w:sz w:val="24"/>
        </w:rPr>
      </w:pPr>
      <w:r>
        <w:rPr>
          <w:rFonts w:eastAsia="仿宋"/>
          <w:sz w:val="24"/>
        </w:rPr>
        <w:t>投标分项报价表</w:t>
      </w:r>
    </w:p>
    <w:p>
      <w:pPr>
        <w:numPr>
          <w:ilvl w:val="0"/>
          <w:numId w:val="11"/>
        </w:numPr>
        <w:spacing w:line="400" w:lineRule="atLeast"/>
        <w:rPr>
          <w:rFonts w:eastAsia="仿宋"/>
          <w:sz w:val="24"/>
        </w:rPr>
      </w:pPr>
      <w:r>
        <w:rPr>
          <w:rFonts w:eastAsia="仿宋"/>
          <w:sz w:val="24"/>
        </w:rPr>
        <w:t>规格、技术参数、功能偏离表</w:t>
      </w:r>
    </w:p>
    <w:p>
      <w:pPr>
        <w:numPr>
          <w:ilvl w:val="0"/>
          <w:numId w:val="11"/>
        </w:numPr>
        <w:spacing w:line="400" w:lineRule="atLeast"/>
        <w:rPr>
          <w:rFonts w:eastAsia="仿宋"/>
          <w:sz w:val="24"/>
        </w:rPr>
      </w:pPr>
      <w:r>
        <w:rPr>
          <w:rFonts w:eastAsia="仿宋"/>
          <w:sz w:val="24"/>
        </w:rPr>
        <w:t>商务条款偏离表</w:t>
      </w:r>
    </w:p>
    <w:p>
      <w:pPr>
        <w:numPr>
          <w:ilvl w:val="0"/>
          <w:numId w:val="11"/>
        </w:numPr>
        <w:spacing w:line="400" w:lineRule="atLeast"/>
        <w:rPr>
          <w:rFonts w:eastAsia="仿宋"/>
          <w:sz w:val="24"/>
        </w:rPr>
      </w:pPr>
      <w:r>
        <w:rPr>
          <w:rFonts w:eastAsia="仿宋"/>
          <w:sz w:val="24"/>
        </w:rPr>
        <w:t>按谈判文件供应商须知、技术规格要求及其他要求提供有关文件</w:t>
      </w:r>
    </w:p>
    <w:p>
      <w:pPr>
        <w:numPr>
          <w:ilvl w:val="0"/>
          <w:numId w:val="11"/>
        </w:numPr>
        <w:spacing w:line="400" w:lineRule="atLeast"/>
        <w:rPr>
          <w:rFonts w:eastAsia="仿宋"/>
          <w:sz w:val="24"/>
        </w:rPr>
      </w:pPr>
      <w:r>
        <w:rPr>
          <w:rFonts w:eastAsia="仿宋"/>
          <w:sz w:val="24"/>
        </w:rPr>
        <w:t>资格证明文件</w:t>
      </w:r>
    </w:p>
    <w:p>
      <w:pPr>
        <w:numPr>
          <w:ilvl w:val="0"/>
          <w:numId w:val="11"/>
        </w:numPr>
        <w:spacing w:line="400" w:lineRule="atLeast"/>
        <w:rPr>
          <w:rFonts w:eastAsia="仿宋"/>
          <w:sz w:val="24"/>
        </w:rPr>
      </w:pPr>
      <w:r>
        <w:rPr>
          <w:rFonts w:eastAsia="仿宋"/>
          <w:sz w:val="24"/>
        </w:rPr>
        <w:t>谈判响应保证金，形式（电汇），金额为（注明币种）。</w:t>
      </w:r>
    </w:p>
    <w:p>
      <w:pPr>
        <w:numPr>
          <w:ilvl w:val="0"/>
          <w:numId w:val="11"/>
        </w:numPr>
        <w:spacing w:line="400" w:lineRule="atLeast"/>
        <w:rPr>
          <w:rFonts w:eastAsia="仿宋"/>
          <w:sz w:val="24"/>
        </w:rPr>
      </w:pPr>
      <w:r>
        <w:rPr>
          <w:rFonts w:eastAsia="仿宋"/>
          <w:sz w:val="24"/>
        </w:rPr>
        <w:t>彩页介绍、检测报告等</w:t>
      </w:r>
    </w:p>
    <w:p>
      <w:pPr>
        <w:spacing w:line="400" w:lineRule="atLeast"/>
        <w:ind w:firstLine="555"/>
        <w:rPr>
          <w:rFonts w:eastAsia="仿宋"/>
          <w:sz w:val="24"/>
        </w:rPr>
      </w:pPr>
      <w:r>
        <w:rPr>
          <w:rFonts w:eastAsia="仿宋"/>
          <w:sz w:val="24"/>
        </w:rPr>
        <w:t>据此函，签字代表宣布同意如下：</w:t>
      </w:r>
    </w:p>
    <w:p>
      <w:pPr>
        <w:spacing w:line="400" w:lineRule="atLeast"/>
        <w:ind w:left="1112" w:hanging="560"/>
        <w:rPr>
          <w:rFonts w:eastAsia="仿宋"/>
          <w:sz w:val="24"/>
        </w:rPr>
      </w:pPr>
      <w:r>
        <w:rPr>
          <w:rFonts w:eastAsia="仿宋"/>
          <w:sz w:val="24"/>
        </w:rPr>
        <w:t>1．所附谈判报价表中规定的应提交和交付的货物和服务总报价为（注明币种，并用文字和数字表示的总报价）。</w:t>
      </w:r>
    </w:p>
    <w:p>
      <w:pPr>
        <w:spacing w:line="400" w:lineRule="atLeast"/>
        <w:ind w:firstLine="555"/>
        <w:rPr>
          <w:rFonts w:eastAsia="仿宋"/>
          <w:sz w:val="24"/>
        </w:rPr>
      </w:pPr>
      <w:r>
        <w:rPr>
          <w:rFonts w:eastAsia="仿宋"/>
          <w:sz w:val="24"/>
        </w:rPr>
        <w:t>2．供应商将按谈判文件的规定履行合同责任和义务；</w:t>
      </w:r>
    </w:p>
    <w:p>
      <w:pPr>
        <w:spacing w:line="400" w:lineRule="atLeast"/>
        <w:ind w:left="1112" w:hanging="560"/>
        <w:rPr>
          <w:rFonts w:eastAsia="仿宋"/>
          <w:sz w:val="24"/>
        </w:rPr>
      </w:pPr>
      <w:r>
        <w:rPr>
          <w:rFonts w:eastAsia="仿宋"/>
          <w:sz w:val="24"/>
        </w:rPr>
        <w:t>3．供应商已详细审查全部谈判文件，包括修改文件（如有的话）。我们完全理解并同意放弃对这方面有不明及误解的权利。</w:t>
      </w:r>
    </w:p>
    <w:p>
      <w:pPr>
        <w:spacing w:line="400" w:lineRule="atLeast"/>
        <w:ind w:firstLine="555"/>
        <w:rPr>
          <w:rFonts w:eastAsia="仿宋"/>
          <w:sz w:val="24"/>
        </w:rPr>
      </w:pPr>
      <w:r>
        <w:rPr>
          <w:rFonts w:eastAsia="仿宋"/>
          <w:sz w:val="24"/>
        </w:rPr>
        <w:t>4．本投标有效期自</w:t>
      </w:r>
      <w:r>
        <w:rPr>
          <w:rFonts w:hint="eastAsia" w:eastAsia="仿宋"/>
          <w:sz w:val="24"/>
          <w:lang w:eastAsia="zh-CN"/>
        </w:rPr>
        <w:t>谈判</w:t>
      </w:r>
      <w:r>
        <w:rPr>
          <w:rFonts w:eastAsia="仿宋"/>
          <w:sz w:val="24"/>
        </w:rPr>
        <w:t>之日起　　　　个日历日。</w:t>
      </w:r>
    </w:p>
    <w:p>
      <w:pPr>
        <w:spacing w:line="400" w:lineRule="atLeast"/>
        <w:ind w:left="900" w:hanging="348"/>
        <w:rPr>
          <w:rFonts w:eastAsia="仿宋"/>
          <w:sz w:val="24"/>
        </w:rPr>
      </w:pPr>
      <w:r>
        <w:rPr>
          <w:rFonts w:eastAsia="仿宋"/>
          <w:sz w:val="24"/>
        </w:rPr>
        <w:t>5．如果在规定的</w:t>
      </w:r>
      <w:r>
        <w:rPr>
          <w:rFonts w:hint="eastAsia" w:eastAsia="仿宋"/>
          <w:sz w:val="24"/>
          <w:lang w:eastAsia="zh-CN"/>
        </w:rPr>
        <w:t>谈判</w:t>
      </w:r>
      <w:r>
        <w:rPr>
          <w:rFonts w:eastAsia="仿宋"/>
          <w:sz w:val="24"/>
        </w:rPr>
        <w:t>时间后，供应商在投标有效期内撤回投标，其谈判响应保证金将被贵方没收。</w:t>
      </w:r>
    </w:p>
    <w:p>
      <w:pPr>
        <w:spacing w:line="400" w:lineRule="atLeast"/>
        <w:ind w:left="900" w:hanging="335"/>
        <w:rPr>
          <w:rFonts w:eastAsia="仿宋"/>
          <w:sz w:val="24"/>
        </w:rPr>
      </w:pPr>
      <w:r>
        <w:rPr>
          <w:rFonts w:eastAsia="仿宋"/>
          <w:sz w:val="24"/>
        </w:rPr>
        <w:t>6．供应商同意提供按照贵方可能要求的与其谈判有关的一切数据或资料，完全理解贵方不一定要接受最低价的报价投标或收到的任何谈判。</w:t>
      </w:r>
    </w:p>
    <w:p>
      <w:pPr>
        <w:spacing w:line="400" w:lineRule="atLeast"/>
        <w:ind w:firstLine="570"/>
        <w:rPr>
          <w:rFonts w:eastAsia="仿宋"/>
          <w:sz w:val="24"/>
        </w:rPr>
      </w:pPr>
      <w:r>
        <w:rPr>
          <w:rFonts w:eastAsia="仿宋"/>
          <w:sz w:val="24"/>
        </w:rPr>
        <w:t>7．与本谈判有关的一切正式往来信函请寄：</w:t>
      </w:r>
    </w:p>
    <w:p>
      <w:pPr>
        <w:spacing w:line="400" w:lineRule="atLeast"/>
        <w:ind w:firstLine="280"/>
        <w:rPr>
          <w:rFonts w:eastAsia="仿宋"/>
          <w:sz w:val="24"/>
        </w:rPr>
      </w:pPr>
    </w:p>
    <w:p>
      <w:pPr>
        <w:spacing w:line="400" w:lineRule="atLeast"/>
        <w:ind w:firstLine="280"/>
        <w:rPr>
          <w:rFonts w:eastAsia="仿宋"/>
          <w:sz w:val="24"/>
        </w:rPr>
      </w:pPr>
      <w:r>
        <w:rPr>
          <w:rFonts w:eastAsia="仿宋"/>
          <w:sz w:val="24"/>
        </w:rPr>
        <w:t>地址：　　　　　　　　    　　邮编：　　　　   　　　　　</w:t>
      </w:r>
    </w:p>
    <w:p>
      <w:pPr>
        <w:spacing w:line="400" w:lineRule="atLeast"/>
        <w:rPr>
          <w:rFonts w:eastAsia="仿宋"/>
          <w:sz w:val="24"/>
        </w:rPr>
      </w:pPr>
      <w:r>
        <w:rPr>
          <w:rFonts w:eastAsia="仿宋"/>
          <w:sz w:val="24"/>
        </w:rPr>
        <w:t>　电话：　　　　　　　　　　    传真：　   　　　　　　　　</w:t>
      </w:r>
    </w:p>
    <w:p>
      <w:pPr>
        <w:spacing w:line="400" w:lineRule="atLeast"/>
        <w:rPr>
          <w:rFonts w:eastAsia="仿宋"/>
          <w:sz w:val="24"/>
        </w:rPr>
      </w:pPr>
      <w:r>
        <w:rPr>
          <w:rFonts w:eastAsia="仿宋"/>
          <w:sz w:val="24"/>
        </w:rPr>
        <w:t>　　</w:t>
      </w:r>
    </w:p>
    <w:p>
      <w:pPr>
        <w:spacing w:line="400" w:lineRule="atLeast"/>
        <w:rPr>
          <w:rFonts w:eastAsia="仿宋"/>
          <w:sz w:val="24"/>
        </w:rPr>
      </w:pPr>
      <w:r>
        <w:rPr>
          <w:rFonts w:eastAsia="仿宋"/>
          <w:sz w:val="24"/>
        </w:rPr>
        <w:t>　法人或法人授权人代表签字：　　　　　　　　　　</w:t>
      </w:r>
    </w:p>
    <w:p>
      <w:pPr>
        <w:spacing w:line="400" w:lineRule="atLeast"/>
        <w:rPr>
          <w:rFonts w:eastAsia="仿宋"/>
          <w:sz w:val="24"/>
        </w:rPr>
      </w:pPr>
      <w:r>
        <w:rPr>
          <w:rFonts w:eastAsia="仿宋"/>
          <w:sz w:val="24"/>
        </w:rPr>
        <w:t>　供应商名称：　      　　　　　　　　</w:t>
      </w:r>
    </w:p>
    <w:p>
      <w:pPr>
        <w:spacing w:line="400" w:lineRule="atLeast"/>
        <w:rPr>
          <w:rFonts w:eastAsia="仿宋"/>
          <w:sz w:val="24"/>
        </w:rPr>
      </w:pPr>
      <w:r>
        <w:rPr>
          <w:rFonts w:eastAsia="仿宋"/>
          <w:sz w:val="24"/>
        </w:rPr>
        <w:t>　公      章：　　　　　　　　　　</w:t>
      </w:r>
    </w:p>
    <w:p>
      <w:pPr>
        <w:spacing w:line="400" w:lineRule="atLeast"/>
        <w:rPr>
          <w:rFonts w:eastAsia="仿宋"/>
          <w:sz w:val="24"/>
        </w:rPr>
      </w:pPr>
      <w:r>
        <w:rPr>
          <w:rFonts w:eastAsia="仿宋"/>
          <w:sz w:val="24"/>
        </w:rPr>
        <w:t>　日　　　期：　　 　年　  月  　日</w:t>
      </w:r>
    </w:p>
    <w:p>
      <w:pPr>
        <w:spacing w:line="400" w:lineRule="atLeast"/>
        <w:rPr>
          <w:rFonts w:eastAsia="仿宋"/>
          <w:sz w:val="24"/>
        </w:rPr>
        <w:sectPr>
          <w:footerReference r:id="rId12" w:type="first"/>
          <w:footerReference r:id="rId11" w:type="default"/>
          <w:pgSz w:w="11907" w:h="16840"/>
          <w:pgMar w:top="1134" w:right="1083" w:bottom="1134" w:left="1083" w:header="850" w:footer="680" w:gutter="0"/>
          <w:pgNumType w:fmt="decimal"/>
          <w:cols w:space="720" w:num="1"/>
          <w:titlePg/>
          <w:docGrid w:type="lines" w:linePitch="409" w:charSpace="0"/>
        </w:sectPr>
      </w:pPr>
    </w:p>
    <w:p>
      <w:pPr>
        <w:spacing w:line="360" w:lineRule="auto"/>
        <w:jc w:val="center"/>
        <w:outlineLvl w:val="1"/>
        <w:rPr>
          <w:rFonts w:hint="default" w:ascii="Times New Roman" w:hAnsi="Times New Roman" w:eastAsia="仿宋" w:cs="Times New Roman"/>
          <w:bCs/>
          <w:color w:val="auto"/>
          <w:sz w:val="28"/>
          <w:szCs w:val="28"/>
        </w:rPr>
      </w:pPr>
      <w:bookmarkStart w:id="51" w:name="_Toc8179"/>
      <w:r>
        <w:rPr>
          <w:rFonts w:hint="default" w:ascii="Times New Roman" w:hAnsi="Times New Roman" w:eastAsia="仿宋" w:cs="Times New Roman"/>
          <w:bCs/>
          <w:color w:val="auto"/>
          <w:sz w:val="28"/>
          <w:szCs w:val="28"/>
        </w:rPr>
        <w:t>2、开标一览表</w:t>
      </w:r>
      <w:bookmarkEnd w:id="51"/>
    </w:p>
    <w:p>
      <w:pPr>
        <w:tabs>
          <w:tab w:val="left" w:pos="9135"/>
        </w:tabs>
        <w:spacing w:line="360" w:lineRule="auto"/>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项目名称：</w:t>
      </w:r>
      <w:r>
        <w:rPr>
          <w:rFonts w:hint="default" w:ascii="Times New Roman" w:hAnsi="Times New Roman" w:eastAsia="仿宋" w:cs="Times New Roman"/>
          <w:bCs/>
          <w:color w:val="auto"/>
          <w:sz w:val="24"/>
          <w:szCs w:val="24"/>
          <w:u w:val="single"/>
        </w:rPr>
        <w:t>　　　　　　　　　　</w:t>
      </w:r>
    </w:p>
    <w:p>
      <w:pPr>
        <w:tabs>
          <w:tab w:val="left" w:pos="9135"/>
        </w:tabs>
        <w:spacing w:line="360" w:lineRule="auto"/>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项目编号：</w:t>
      </w:r>
      <w:r>
        <w:rPr>
          <w:rFonts w:hint="default" w:ascii="Times New Roman" w:hAnsi="Times New Roman" w:eastAsia="仿宋" w:cs="Times New Roman"/>
          <w:bCs/>
          <w:color w:val="auto"/>
          <w:sz w:val="24"/>
          <w:szCs w:val="24"/>
          <w:u w:val="single"/>
        </w:rPr>
        <w:t>　　　　　　　　　　</w:t>
      </w:r>
    </w:p>
    <w:p>
      <w:pPr>
        <w:pStyle w:val="29"/>
        <w:ind w:firstLine="0" w:firstLineChars="0"/>
        <w:jc w:val="left"/>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单    位：元</w:t>
      </w:r>
    </w:p>
    <w:tbl>
      <w:tblPr>
        <w:tblStyle w:val="31"/>
        <w:tblW w:w="11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82"/>
        <w:gridCol w:w="1221"/>
        <w:gridCol w:w="1193"/>
        <w:gridCol w:w="1289"/>
        <w:gridCol w:w="1289"/>
        <w:gridCol w:w="128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blHeader/>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包号</w:t>
            </w: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名称</w:t>
            </w: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型号规格</w:t>
            </w:r>
          </w:p>
        </w:tc>
        <w:tc>
          <w:tcPr>
            <w:tcW w:w="1289"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val="en-US" w:eastAsia="zh-CN"/>
              </w:rPr>
            </w:pPr>
            <w:r>
              <w:rPr>
                <w:rFonts w:hint="eastAsia" w:ascii="Times New Roman" w:hAnsi="Times New Roman" w:eastAsia="仿宋" w:cs="Times New Roman"/>
                <w:bCs/>
                <w:color w:val="auto"/>
                <w:sz w:val="24"/>
                <w:szCs w:val="24"/>
                <w:lang w:val="en-US" w:eastAsia="zh-CN"/>
              </w:rPr>
              <w:t>原产地</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投标总价</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交货期</w:t>
            </w: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2"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21"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19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2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3366" w:type="dxa"/>
            <w:gridSpan w:val="3"/>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          计</w:t>
            </w:r>
          </w:p>
        </w:tc>
        <w:tc>
          <w:tcPr>
            <w:tcW w:w="6349" w:type="dxa"/>
            <w:gridSpan w:val="5"/>
            <w:noWrap w:val="0"/>
            <w:vAlign w:val="center"/>
          </w:tcPr>
          <w:p>
            <w:pPr>
              <w:tabs>
                <w:tab w:val="left" w:pos="9135"/>
              </w:tabs>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小写（元）：</w:t>
            </w:r>
          </w:p>
          <w:p>
            <w:pPr>
              <w:pStyle w:val="29"/>
              <w:ind w:firstLine="0" w:firstLineChars="0"/>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大写（元）：</w:t>
            </w:r>
          </w:p>
        </w:tc>
        <w:tc>
          <w:tcPr>
            <w:tcW w:w="1289" w:type="dxa"/>
            <w:noWrap w:val="0"/>
            <w:vAlign w:val="center"/>
          </w:tcPr>
          <w:p>
            <w:pPr>
              <w:pStyle w:val="29"/>
              <w:ind w:firstLine="0" w:firstLineChars="0"/>
              <w:rPr>
                <w:rFonts w:hint="default" w:ascii="Times New Roman" w:hAnsi="Times New Roman" w:eastAsia="仿宋" w:cs="Times New Roman"/>
                <w:bCs/>
                <w:color w:val="auto"/>
                <w:szCs w:val="24"/>
              </w:rPr>
            </w:pPr>
          </w:p>
        </w:tc>
      </w:tr>
    </w:tbl>
    <w:p>
      <w:pPr>
        <w:tabs>
          <w:tab w:val="left" w:pos="9135"/>
        </w:tabs>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注：1、此表需单独密封一份唱标时使用。</w:t>
      </w:r>
    </w:p>
    <w:p>
      <w:pPr>
        <w:tabs>
          <w:tab w:val="left" w:pos="9135"/>
        </w:tabs>
        <w:spacing w:line="360" w:lineRule="auto"/>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2、折扣条件与折扣声明应在表下注明。</w:t>
      </w: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pStyle w:val="29"/>
        <w:ind w:firstLine="4080" w:firstLineChars="1700"/>
        <w:jc w:val="center"/>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日期： 年 月  日</w:t>
      </w:r>
    </w:p>
    <w:p>
      <w:pPr>
        <w:spacing w:line="360" w:lineRule="auto"/>
        <w:jc w:val="center"/>
        <w:outlineLvl w:val="1"/>
        <w:rPr>
          <w:rFonts w:hint="default" w:ascii="Times New Roman" w:hAnsi="Times New Roman" w:eastAsia="仿宋" w:cs="Times New Roman"/>
          <w:bCs/>
          <w:color w:val="auto"/>
          <w:sz w:val="28"/>
          <w:szCs w:val="28"/>
        </w:rPr>
      </w:pPr>
      <w:bookmarkStart w:id="52" w:name="_Toc20918"/>
      <w:bookmarkStart w:id="53" w:name="_Toc3196"/>
      <w:bookmarkStart w:id="54" w:name="_Toc22003"/>
      <w:r>
        <w:rPr>
          <w:rFonts w:hint="default" w:ascii="Times New Roman" w:hAnsi="Times New Roman" w:eastAsia="仿宋" w:cs="Times New Roman"/>
          <w:bCs/>
          <w:color w:val="auto"/>
          <w:sz w:val="28"/>
          <w:szCs w:val="28"/>
        </w:rPr>
        <w:t>3、分项报价表</w:t>
      </w:r>
      <w:bookmarkEnd w:id="52"/>
      <w:bookmarkEnd w:id="53"/>
      <w:bookmarkEnd w:id="54"/>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项目名称：</w:t>
      </w:r>
      <w:r>
        <w:rPr>
          <w:rFonts w:hint="eastAsia" w:ascii="Times New Roman" w:hAnsi="Times New Roman" w:eastAsia="仿宋" w:cs="Times New Roman"/>
          <w:bCs/>
          <w:color w:val="auto"/>
          <w:sz w:val="24"/>
          <w:lang w:eastAsia="zh-CN"/>
        </w:rPr>
        <w:t>新疆医科大学第一附属医院医疗设备采购项目-口腔种植机</w:t>
      </w:r>
      <w:r>
        <w:rPr>
          <w:rFonts w:hint="default" w:ascii="Times New Roman" w:hAnsi="Times New Roman" w:eastAsia="仿宋" w:cs="Times New Roman"/>
          <w:bCs/>
          <w:color w:val="auto"/>
          <w:sz w:val="24"/>
          <w:lang w:val="en-US" w:eastAsia="zh-CN"/>
        </w:rPr>
        <w:t xml:space="preserve">标项  </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项目编号：</w:t>
      </w:r>
      <w:r>
        <w:rPr>
          <w:rFonts w:hint="eastAsia" w:ascii="Times New Roman" w:hAnsi="Times New Roman" w:eastAsia="仿宋" w:cs="Times New Roman"/>
          <w:bCs/>
          <w:color w:val="auto"/>
          <w:sz w:val="24"/>
          <w:lang w:eastAsia="zh-CN"/>
        </w:rPr>
        <w:t>2023-XBZC-01035</w:t>
      </w:r>
      <w:r>
        <w:rPr>
          <w:rFonts w:hint="default" w:ascii="Times New Roman" w:hAnsi="Times New Roman" w:eastAsia="仿宋" w:cs="Times New Roman"/>
          <w:bCs/>
          <w:color w:val="auto"/>
          <w:sz w:val="24"/>
        </w:rPr>
        <w:t>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    位：元</w:t>
      </w:r>
    </w:p>
    <w:tbl>
      <w:tblPr>
        <w:tblStyle w:val="31"/>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1062"/>
        <w:gridCol w:w="1062"/>
        <w:gridCol w:w="1345"/>
        <w:gridCol w:w="883"/>
        <w:gridCol w:w="115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55" w:name="_Toc25073"/>
            <w:bookmarkStart w:id="56" w:name="_Toc27281"/>
            <w:bookmarkStart w:id="57" w:name="_Toc29613"/>
            <w:bookmarkStart w:id="58" w:name="_Toc27030"/>
            <w:bookmarkStart w:id="59" w:name="_Toc20851"/>
            <w:r>
              <w:rPr>
                <w:rFonts w:hint="default" w:ascii="Times New Roman" w:hAnsi="Times New Roman" w:eastAsia="仿宋" w:cs="Times New Roman"/>
                <w:bCs/>
                <w:color w:val="auto"/>
                <w:sz w:val="24"/>
              </w:rPr>
              <w:t>序号</w:t>
            </w:r>
            <w:bookmarkEnd w:id="55"/>
            <w:bookmarkEnd w:id="56"/>
            <w:bookmarkEnd w:id="57"/>
            <w:bookmarkEnd w:id="58"/>
            <w:bookmarkEnd w:id="59"/>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bookmarkStart w:id="60" w:name="_Toc31028"/>
            <w:bookmarkStart w:id="61" w:name="_Toc17433"/>
            <w:bookmarkStart w:id="62" w:name="_Toc21128"/>
            <w:bookmarkStart w:id="63" w:name="_Toc2702"/>
            <w:bookmarkStart w:id="64" w:name="_Toc19329"/>
            <w:r>
              <w:rPr>
                <w:rFonts w:hint="default" w:ascii="Times New Roman" w:hAnsi="Times New Roman" w:eastAsia="仿宋" w:cs="Times New Roman"/>
                <w:bCs/>
                <w:color w:val="auto"/>
                <w:sz w:val="24"/>
              </w:rPr>
              <w:t>货物名称</w:t>
            </w:r>
            <w:bookmarkEnd w:id="60"/>
            <w:bookmarkEnd w:id="61"/>
            <w:bookmarkEnd w:id="62"/>
            <w:bookmarkEnd w:id="63"/>
            <w:bookmarkEnd w:id="64"/>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bookmarkStart w:id="65" w:name="_Toc17145"/>
            <w:bookmarkStart w:id="66" w:name="_Toc13100"/>
            <w:bookmarkStart w:id="67" w:name="_Toc14119"/>
            <w:bookmarkStart w:id="68" w:name="_Toc3744"/>
            <w:bookmarkStart w:id="69" w:name="_Toc9708"/>
            <w:r>
              <w:rPr>
                <w:rFonts w:hint="default" w:ascii="Times New Roman" w:hAnsi="Times New Roman" w:eastAsia="仿宋" w:cs="Times New Roman"/>
                <w:bCs/>
                <w:color w:val="auto"/>
                <w:sz w:val="24"/>
              </w:rPr>
              <w:t>规格型号</w:t>
            </w:r>
            <w:bookmarkEnd w:id="65"/>
            <w:bookmarkEnd w:id="66"/>
            <w:bookmarkEnd w:id="67"/>
            <w:bookmarkEnd w:id="68"/>
            <w:bookmarkEnd w:id="69"/>
          </w:p>
        </w:tc>
        <w:tc>
          <w:tcPr>
            <w:tcW w:w="106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bookmarkStart w:id="70" w:name="_Toc15166"/>
            <w:bookmarkStart w:id="71" w:name="_Toc18771"/>
            <w:bookmarkStart w:id="72" w:name="_Toc20726"/>
            <w:bookmarkStart w:id="73" w:name="_Toc5723"/>
            <w:bookmarkStart w:id="74" w:name="_Toc25887"/>
            <w:r>
              <w:rPr>
                <w:rFonts w:hint="eastAsia" w:ascii="Times New Roman" w:hAnsi="Times New Roman" w:eastAsia="仿宋" w:cs="Times New Roman"/>
                <w:bCs/>
                <w:color w:val="auto"/>
                <w:sz w:val="24"/>
                <w:lang w:val="en-US" w:eastAsia="zh-CN"/>
              </w:rPr>
              <w:t>原</w:t>
            </w:r>
            <w:r>
              <w:rPr>
                <w:rFonts w:hint="default" w:ascii="Times New Roman" w:hAnsi="Times New Roman" w:eastAsia="仿宋" w:cs="Times New Roman"/>
                <w:bCs/>
                <w:color w:val="auto"/>
                <w:sz w:val="24"/>
                <w:lang w:val="en-US" w:eastAsia="zh-CN"/>
              </w:rPr>
              <w:t>产地</w:t>
            </w: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制造商</w:t>
            </w:r>
            <w:bookmarkEnd w:id="70"/>
            <w:bookmarkEnd w:id="71"/>
            <w:bookmarkEnd w:id="72"/>
            <w:bookmarkEnd w:id="73"/>
            <w:bookmarkEnd w:id="74"/>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eastAsia="zh-CN"/>
              </w:rPr>
            </w:pPr>
            <w:bookmarkStart w:id="75" w:name="_Toc25554"/>
            <w:bookmarkStart w:id="76" w:name="_Toc29607"/>
            <w:bookmarkStart w:id="77" w:name="_Toc4344"/>
            <w:bookmarkStart w:id="78" w:name="_Toc10668"/>
            <w:bookmarkStart w:id="79" w:name="_Toc17289"/>
            <w:r>
              <w:rPr>
                <w:rFonts w:hint="default" w:ascii="Times New Roman" w:hAnsi="Times New Roman" w:eastAsia="仿宋" w:cs="Times New Roman"/>
                <w:bCs/>
                <w:color w:val="auto"/>
                <w:sz w:val="24"/>
              </w:rPr>
              <w:t>数量</w:t>
            </w:r>
            <w:bookmarkEnd w:id="75"/>
            <w:bookmarkEnd w:id="76"/>
            <w:bookmarkEnd w:id="77"/>
            <w:bookmarkEnd w:id="78"/>
            <w:bookmarkEnd w:id="79"/>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bookmarkStart w:id="80" w:name="_Toc22992"/>
            <w:bookmarkStart w:id="81" w:name="_Toc9682"/>
            <w:bookmarkStart w:id="82" w:name="_Toc1286"/>
            <w:bookmarkStart w:id="83" w:name="_Toc5151"/>
            <w:bookmarkStart w:id="84" w:name="_Toc1787"/>
            <w:r>
              <w:rPr>
                <w:rFonts w:hint="default" w:ascii="Times New Roman" w:hAnsi="Times New Roman" w:eastAsia="仿宋" w:cs="Times New Roman"/>
                <w:bCs/>
                <w:color w:val="auto"/>
                <w:sz w:val="24"/>
              </w:rPr>
              <w:t>单价</w:t>
            </w:r>
            <w:bookmarkEnd w:id="80"/>
            <w:bookmarkEnd w:id="81"/>
            <w:bookmarkEnd w:id="82"/>
            <w:bookmarkEnd w:id="83"/>
            <w:bookmarkEnd w:id="84"/>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bookmarkStart w:id="85" w:name="_Toc24971"/>
            <w:bookmarkStart w:id="86" w:name="_Toc21832"/>
            <w:bookmarkStart w:id="87" w:name="_Toc757"/>
            <w:bookmarkStart w:id="88" w:name="_Toc10663"/>
            <w:bookmarkStart w:id="89" w:name="_Toc10888"/>
            <w:r>
              <w:rPr>
                <w:rFonts w:hint="default" w:ascii="Times New Roman" w:hAnsi="Times New Roman" w:eastAsia="仿宋" w:cs="Times New Roman"/>
                <w:bCs/>
                <w:color w:val="auto"/>
                <w:sz w:val="24"/>
              </w:rPr>
              <w:t>总价</w:t>
            </w:r>
            <w:bookmarkEnd w:id="85"/>
            <w:bookmarkEnd w:id="86"/>
            <w:bookmarkEnd w:id="87"/>
            <w:bookmarkEnd w:id="88"/>
            <w:bookmarkEnd w:id="89"/>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bookmarkStart w:id="90" w:name="_Toc16655"/>
            <w:bookmarkStart w:id="91" w:name="_Toc30447"/>
            <w:bookmarkStart w:id="92" w:name="_Toc29118"/>
            <w:bookmarkStart w:id="93" w:name="_Toc17065"/>
            <w:bookmarkStart w:id="94" w:name="_Toc13133"/>
            <w:r>
              <w:rPr>
                <w:rFonts w:hint="default" w:ascii="Times New Roman" w:hAnsi="Times New Roman" w:eastAsia="仿宋" w:cs="Times New Roman"/>
                <w:bCs/>
                <w:color w:val="auto"/>
                <w:sz w:val="24"/>
              </w:rPr>
              <w:t>备注</w:t>
            </w:r>
            <w:bookmarkEnd w:id="90"/>
            <w:bookmarkEnd w:id="91"/>
            <w:bookmarkEnd w:id="92"/>
            <w:bookmarkEnd w:id="93"/>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95" w:name="_Toc16683"/>
            <w:bookmarkStart w:id="96" w:name="_Toc8738"/>
            <w:bookmarkStart w:id="97" w:name="_Toc8302"/>
            <w:bookmarkStart w:id="98" w:name="_Toc15376"/>
            <w:bookmarkStart w:id="99" w:name="_Toc4061"/>
            <w:r>
              <w:rPr>
                <w:rFonts w:hint="default" w:ascii="Times New Roman" w:hAnsi="Times New Roman" w:eastAsia="仿宋" w:cs="Times New Roman"/>
                <w:bCs/>
                <w:color w:val="auto"/>
                <w:sz w:val="24"/>
              </w:rPr>
              <w:t>1</w:t>
            </w:r>
            <w:bookmarkEnd w:id="95"/>
            <w:bookmarkEnd w:id="96"/>
            <w:bookmarkEnd w:id="97"/>
            <w:bookmarkEnd w:id="98"/>
            <w:bookmarkEnd w:id="99"/>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100" w:name="_Toc31160"/>
            <w:bookmarkStart w:id="101" w:name="_Toc17139"/>
            <w:bookmarkStart w:id="102" w:name="_Toc32733"/>
            <w:bookmarkStart w:id="103" w:name="_Toc1708"/>
            <w:bookmarkStart w:id="104" w:name="_Toc7825"/>
            <w:r>
              <w:rPr>
                <w:rFonts w:hint="default" w:ascii="Times New Roman" w:hAnsi="Times New Roman" w:eastAsia="仿宋" w:cs="Times New Roman"/>
                <w:bCs/>
                <w:color w:val="auto"/>
                <w:sz w:val="24"/>
              </w:rPr>
              <w:t>2</w:t>
            </w:r>
            <w:bookmarkEnd w:id="100"/>
            <w:bookmarkEnd w:id="101"/>
            <w:bookmarkEnd w:id="102"/>
            <w:bookmarkEnd w:id="103"/>
            <w:bookmarkEnd w:id="104"/>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bookmarkStart w:id="105" w:name="_Toc29755"/>
            <w:bookmarkStart w:id="106" w:name="_Toc32186"/>
            <w:bookmarkStart w:id="107" w:name="_Toc1689"/>
            <w:bookmarkStart w:id="108" w:name="_Toc2268"/>
            <w:bookmarkStart w:id="109" w:name="_Toc4024"/>
            <w:r>
              <w:rPr>
                <w:rFonts w:hint="default" w:ascii="Times New Roman" w:hAnsi="Times New Roman" w:eastAsia="仿宋" w:cs="Times New Roman"/>
                <w:bCs/>
                <w:color w:val="auto"/>
                <w:sz w:val="24"/>
              </w:rPr>
              <w:t>3</w:t>
            </w:r>
            <w:bookmarkEnd w:id="105"/>
            <w:bookmarkEnd w:id="106"/>
            <w:bookmarkEnd w:id="107"/>
            <w:bookmarkEnd w:id="108"/>
            <w:bookmarkEnd w:id="109"/>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spacing w:line="400" w:lineRule="atLeast"/>
              <w:jc w:val="center"/>
              <w:rPr>
                <w:rFonts w:hint="default" w:ascii="Times New Roman" w:hAnsi="Times New Roman" w:eastAsia="仿宋" w:cs="Times New Roman"/>
                <w:bCs/>
                <w:color w:val="auto"/>
                <w:sz w:val="24"/>
              </w:rPr>
            </w:pPr>
            <w:bookmarkStart w:id="110" w:name="_Toc5406"/>
            <w:bookmarkStart w:id="111" w:name="_Toc27070"/>
            <w:bookmarkStart w:id="112" w:name="_Toc6381"/>
            <w:bookmarkStart w:id="113" w:name="_Toc2262"/>
            <w:bookmarkStart w:id="114" w:name="_Toc3650"/>
            <w:r>
              <w:rPr>
                <w:rFonts w:hint="default" w:ascii="Times New Roman" w:hAnsi="Times New Roman" w:eastAsia="仿宋" w:cs="Times New Roman"/>
                <w:bCs/>
                <w:color w:val="auto"/>
                <w:sz w:val="24"/>
              </w:rPr>
              <w:t>合    计</w:t>
            </w:r>
            <w:bookmarkEnd w:id="110"/>
            <w:bookmarkEnd w:id="111"/>
            <w:bookmarkEnd w:id="112"/>
            <w:bookmarkEnd w:id="113"/>
            <w:bookmarkEnd w:id="114"/>
          </w:p>
        </w:tc>
        <w:tc>
          <w:tcPr>
            <w:tcW w:w="7670" w:type="dxa"/>
            <w:gridSpan w:val="7"/>
            <w:noWrap w:val="0"/>
            <w:vAlign w:val="center"/>
          </w:tcPr>
          <w:p>
            <w:pPr>
              <w:spacing w:line="400" w:lineRule="atLeast"/>
              <w:jc w:val="center"/>
              <w:rPr>
                <w:rFonts w:hint="default" w:ascii="Times New Roman" w:hAnsi="Times New Roman" w:eastAsia="仿宋" w:cs="Times New Roman"/>
                <w:bCs/>
                <w:color w:val="auto"/>
                <w:sz w:val="24"/>
              </w:rPr>
            </w:pPr>
            <w:bookmarkStart w:id="115" w:name="_Toc22407"/>
            <w:bookmarkStart w:id="116" w:name="_Toc27720"/>
            <w:bookmarkStart w:id="117" w:name="_Toc13977"/>
            <w:bookmarkStart w:id="118" w:name="_Toc3430"/>
            <w:bookmarkStart w:id="119" w:name="_Toc29560"/>
            <w:r>
              <w:rPr>
                <w:rFonts w:hint="default" w:ascii="Times New Roman" w:hAnsi="Times New Roman" w:eastAsia="仿宋" w:cs="Times New Roman"/>
                <w:bCs/>
                <w:color w:val="auto"/>
                <w:sz w:val="24"/>
              </w:rPr>
              <w:t>小写（元）：</w:t>
            </w:r>
            <w:bookmarkEnd w:id="115"/>
            <w:bookmarkEnd w:id="116"/>
            <w:bookmarkEnd w:id="117"/>
            <w:bookmarkEnd w:id="118"/>
            <w:bookmarkEnd w:id="119"/>
          </w:p>
          <w:p>
            <w:pPr>
              <w:spacing w:line="400" w:lineRule="atLeast"/>
              <w:jc w:val="center"/>
              <w:rPr>
                <w:rFonts w:hint="default" w:ascii="Times New Roman" w:hAnsi="Times New Roman" w:eastAsia="仿宋" w:cs="Times New Roman"/>
                <w:bCs/>
                <w:color w:val="auto"/>
                <w:sz w:val="24"/>
              </w:rPr>
            </w:pPr>
            <w:bookmarkStart w:id="120" w:name="_Toc6907"/>
            <w:bookmarkStart w:id="121" w:name="_Toc11122"/>
            <w:bookmarkStart w:id="122" w:name="_Toc10874"/>
            <w:bookmarkStart w:id="123" w:name="_Toc14667"/>
            <w:bookmarkStart w:id="124" w:name="_Toc16232"/>
            <w:r>
              <w:rPr>
                <w:rFonts w:hint="default" w:ascii="Times New Roman" w:hAnsi="Times New Roman" w:eastAsia="仿宋" w:cs="Times New Roman"/>
                <w:bCs/>
                <w:color w:val="auto"/>
                <w:sz w:val="24"/>
              </w:rPr>
              <w:t>大写（元）：</w:t>
            </w:r>
            <w:bookmarkEnd w:id="120"/>
            <w:bookmarkEnd w:id="121"/>
            <w:bookmarkEnd w:id="122"/>
            <w:bookmarkEnd w:id="123"/>
            <w:bookmarkEnd w:id="124"/>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注：此表</w:t>
      </w:r>
      <w:r>
        <w:rPr>
          <w:rFonts w:hint="default" w:ascii="Times New Roman" w:hAnsi="Times New Roman" w:eastAsia="仿宋" w:cs="Times New Roman"/>
          <w:bCs/>
          <w:color w:val="auto"/>
          <w:sz w:val="24"/>
          <w:lang w:val="en-US" w:eastAsia="zh-CN"/>
        </w:rPr>
        <w:t>必须</w:t>
      </w:r>
      <w:r>
        <w:rPr>
          <w:rFonts w:hint="default" w:ascii="Times New Roman" w:hAnsi="Times New Roman" w:eastAsia="仿宋" w:cs="Times New Roman"/>
          <w:bCs/>
          <w:color w:val="auto"/>
          <w:sz w:val="24"/>
        </w:rPr>
        <w:t>详列投标的每种</w:t>
      </w:r>
      <w:r>
        <w:rPr>
          <w:rFonts w:hint="default" w:ascii="Times New Roman" w:hAnsi="Times New Roman" w:eastAsia="仿宋" w:cs="Times New Roman"/>
          <w:bCs/>
          <w:color w:val="auto"/>
          <w:sz w:val="24"/>
          <w:lang w:val="en-US" w:eastAsia="zh-CN"/>
        </w:rPr>
        <w:t>货物</w:t>
      </w:r>
      <w:r>
        <w:rPr>
          <w:rFonts w:hint="default" w:ascii="Times New Roman" w:hAnsi="Times New Roman" w:eastAsia="仿宋" w:cs="Times New Roman"/>
          <w:bCs/>
          <w:color w:val="auto"/>
          <w:sz w:val="24"/>
        </w:rPr>
        <w:t>及配置清单。</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spacing w:line="400" w:lineRule="atLeast"/>
        <w:jc w:val="center"/>
        <w:outlineLvl w:val="1"/>
        <w:rPr>
          <w:rFonts w:hint="default" w:ascii="Times New Roman" w:hAnsi="Times New Roman" w:eastAsia="仿宋" w:cs="Times New Roman"/>
          <w:bCs/>
          <w:color w:val="auto"/>
          <w:sz w:val="24"/>
        </w:rPr>
        <w:sectPr>
          <w:pgSz w:w="11905" w:h="16838"/>
          <w:pgMar w:top="720" w:right="1417" w:bottom="720" w:left="1417" w:header="850" w:footer="992" w:gutter="0"/>
          <w:cols w:space="720" w:num="1"/>
          <w:docGrid w:type="lines" w:linePitch="416" w:charSpace="0"/>
        </w:sectPr>
      </w:pPr>
    </w:p>
    <w:p>
      <w:pPr>
        <w:spacing w:line="400" w:lineRule="atLeast"/>
        <w:jc w:val="center"/>
        <w:rPr>
          <w:rFonts w:hint="default" w:ascii="Times New Roman" w:hAnsi="Times New Roman" w:eastAsia="仿宋" w:cs="Times New Roman"/>
          <w:bCs/>
          <w:color w:val="auto"/>
          <w:sz w:val="24"/>
        </w:rPr>
      </w:pPr>
      <w:bookmarkStart w:id="125" w:name="_Toc12472"/>
      <w:bookmarkStart w:id="126" w:name="_Toc10457"/>
      <w:r>
        <w:rPr>
          <w:rFonts w:hint="default" w:ascii="Times New Roman" w:hAnsi="Times New Roman" w:eastAsia="仿宋" w:cs="Times New Roman"/>
          <w:bCs/>
          <w:color w:val="auto"/>
          <w:sz w:val="40"/>
          <w:szCs w:val="28"/>
        </w:rPr>
        <w:t>配置清单</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项目名称</w:t>
      </w:r>
      <w:r>
        <w:rPr>
          <w:rFonts w:hint="default" w:ascii="Times New Roman" w:hAnsi="Times New Roman" w:eastAsia="仿宋" w:cs="Times New Roman"/>
          <w:bCs/>
          <w:color w:val="auto"/>
          <w:sz w:val="24"/>
          <w:lang w:val="en-US" w:eastAsia="zh-CN"/>
        </w:rPr>
        <w:t>/标项</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项目编号：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    位：</w:t>
      </w:r>
      <w:r>
        <w:rPr>
          <w:rFonts w:hint="default" w:ascii="Times New Roman" w:hAnsi="Times New Roman" w:eastAsia="仿宋" w:cs="Times New Roman"/>
          <w:bCs/>
          <w:color w:val="auto"/>
          <w:sz w:val="24"/>
          <w:szCs w:val="24"/>
        </w:rPr>
        <w:t>元</w:t>
      </w:r>
    </w:p>
    <w:tbl>
      <w:tblPr>
        <w:tblStyle w:val="31"/>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1062"/>
        <w:gridCol w:w="1062"/>
        <w:gridCol w:w="1345"/>
        <w:gridCol w:w="883"/>
        <w:gridCol w:w="115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货物名称</w:t>
            </w: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规格型号</w:t>
            </w:r>
          </w:p>
        </w:tc>
        <w:tc>
          <w:tcPr>
            <w:tcW w:w="106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eastAsia" w:ascii="Times New Roman" w:hAnsi="Times New Roman" w:eastAsia="仿宋" w:cs="Times New Roman"/>
                <w:bCs/>
                <w:color w:val="auto"/>
                <w:sz w:val="24"/>
                <w:lang w:val="en-US" w:eastAsia="zh-CN"/>
              </w:rPr>
              <w:t>原</w:t>
            </w:r>
            <w:r>
              <w:rPr>
                <w:rFonts w:hint="default" w:ascii="Times New Roman" w:hAnsi="Times New Roman" w:eastAsia="仿宋" w:cs="Times New Roman"/>
                <w:bCs/>
                <w:color w:val="auto"/>
                <w:sz w:val="24"/>
                <w:lang w:val="en-US" w:eastAsia="zh-CN"/>
              </w:rPr>
              <w:t>产地</w:t>
            </w: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制造商</w:t>
            </w: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数量</w:t>
            </w: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单价</w:t>
            </w: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总价</w:t>
            </w: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w:t>
            </w:r>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w:t>
            </w:r>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3</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合    计</w:t>
            </w:r>
          </w:p>
        </w:tc>
        <w:tc>
          <w:tcPr>
            <w:tcW w:w="7670" w:type="dxa"/>
            <w:gridSpan w:val="7"/>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小写（</w:t>
            </w:r>
            <w:r>
              <w:rPr>
                <w:rFonts w:hint="default" w:ascii="Times New Roman" w:hAnsi="Times New Roman" w:eastAsia="仿宋" w:cs="Times New Roman"/>
                <w:bCs/>
                <w:color w:val="auto"/>
                <w:sz w:val="24"/>
                <w:szCs w:val="24"/>
              </w:rPr>
              <w:t>元</w:t>
            </w:r>
            <w:r>
              <w:rPr>
                <w:rFonts w:hint="default" w:ascii="Times New Roman" w:hAnsi="Times New Roman" w:eastAsia="仿宋" w:cs="Times New Roman"/>
                <w:bCs/>
                <w:color w:val="auto"/>
                <w:sz w:val="24"/>
              </w:rPr>
              <w:t>）：</w:t>
            </w:r>
          </w:p>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大写（</w:t>
            </w:r>
            <w:r>
              <w:rPr>
                <w:rFonts w:hint="default" w:ascii="Times New Roman" w:hAnsi="Times New Roman" w:eastAsia="仿宋" w:cs="Times New Roman"/>
                <w:bCs/>
                <w:color w:val="auto"/>
                <w:sz w:val="24"/>
                <w:szCs w:val="24"/>
              </w:rPr>
              <w:t>元</w:t>
            </w:r>
            <w:r>
              <w:rPr>
                <w:rFonts w:hint="default" w:ascii="Times New Roman" w:hAnsi="Times New Roman" w:eastAsia="仿宋" w:cs="Times New Roman"/>
                <w:bCs/>
                <w:color w:val="auto"/>
                <w:sz w:val="24"/>
              </w:rPr>
              <w:t>）：</w:t>
            </w: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注：此表</w:t>
      </w:r>
      <w:r>
        <w:rPr>
          <w:rFonts w:hint="default" w:ascii="Times New Roman" w:hAnsi="Times New Roman" w:eastAsia="仿宋" w:cs="Times New Roman"/>
          <w:bCs/>
          <w:color w:val="auto"/>
          <w:sz w:val="24"/>
          <w:lang w:val="en-US" w:eastAsia="zh-CN"/>
        </w:rPr>
        <w:t>必须</w:t>
      </w:r>
      <w:r>
        <w:rPr>
          <w:rFonts w:hint="default" w:ascii="Times New Roman" w:hAnsi="Times New Roman" w:eastAsia="仿宋" w:cs="Times New Roman"/>
          <w:bCs/>
          <w:color w:val="auto"/>
          <w:sz w:val="24"/>
        </w:rPr>
        <w:t>详列投标</w:t>
      </w:r>
      <w:r>
        <w:rPr>
          <w:rFonts w:hint="eastAsia" w:ascii="Times New Roman" w:hAnsi="Times New Roman" w:eastAsia="仿宋" w:cs="Times New Roman"/>
          <w:bCs/>
          <w:color w:val="auto"/>
          <w:sz w:val="24"/>
          <w:lang w:val="en-US" w:eastAsia="zh-CN"/>
        </w:rPr>
        <w:t>设备</w:t>
      </w:r>
      <w:r>
        <w:rPr>
          <w:rFonts w:hint="default" w:ascii="Times New Roman" w:hAnsi="Times New Roman" w:eastAsia="仿宋" w:cs="Times New Roman"/>
          <w:bCs/>
          <w:color w:val="auto"/>
          <w:sz w:val="24"/>
        </w:rPr>
        <w:t>的配置清单。</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pStyle w:val="2"/>
        <w:rPr>
          <w:rFonts w:hint="default"/>
        </w:rPr>
        <w:sectPr>
          <w:pgSz w:w="11905" w:h="16838"/>
          <w:pgMar w:top="720" w:right="1417" w:bottom="720" w:left="1417" w:header="850" w:footer="992" w:gutter="0"/>
          <w:cols w:space="720" w:num="1"/>
          <w:docGrid w:type="lines" w:linePitch="416" w:charSpace="0"/>
        </w:sectPr>
      </w:pPr>
    </w:p>
    <w:p>
      <w:pPr>
        <w:pStyle w:val="5"/>
        <w:spacing w:before="0" w:after="0" w:line="360" w:lineRule="auto"/>
        <w:jc w:val="center"/>
        <w:rPr>
          <w:rFonts w:hint="default" w:ascii="Times New Roman" w:hAnsi="Times New Roman" w:eastAsia="仿宋" w:cs="Times New Roman"/>
          <w:b w:val="0"/>
          <w:bCs/>
          <w:color w:val="auto"/>
          <w:sz w:val="28"/>
          <w:szCs w:val="28"/>
        </w:rPr>
      </w:pPr>
      <w:r>
        <w:rPr>
          <w:rFonts w:hint="default" w:ascii="Times New Roman" w:hAnsi="Times New Roman" w:eastAsia="仿宋" w:cs="Times New Roman"/>
          <w:b w:val="0"/>
          <w:bCs/>
          <w:color w:val="auto"/>
          <w:sz w:val="28"/>
          <w:szCs w:val="28"/>
        </w:rPr>
        <w:t>4、备品备件价格清单表</w:t>
      </w:r>
      <w:bookmarkEnd w:id="125"/>
      <w:bookmarkEnd w:id="126"/>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9"/>
              <w:spacing w:line="500" w:lineRule="exact"/>
              <w:ind w:firstLine="0" w:firstLineChars="0"/>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免费提供备损耗件备品备件清单品备件清单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序号</w:t>
            </w: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备品备件名称</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价格</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9"/>
              <w:spacing w:line="500" w:lineRule="exact"/>
              <w:ind w:firstLine="0" w:firstLineChars="0"/>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序号</w:t>
            </w: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备品备件名称</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价格</w:t>
            </w: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9"/>
              <w:spacing w:line="500" w:lineRule="exact"/>
              <w:ind w:firstLine="0" w:firstLineChars="0"/>
              <w:jc w:val="center"/>
              <w:rPr>
                <w:rFonts w:hint="default" w:ascii="Times New Roman" w:hAnsi="Times New Roman" w:eastAsia="仿宋" w:cs="Times New Roman"/>
                <w:bCs/>
                <w:color w:val="auto"/>
                <w:sz w:val="24"/>
                <w:szCs w:val="22"/>
              </w:rPr>
            </w:pPr>
          </w:p>
        </w:tc>
      </w:tr>
    </w:tbl>
    <w:p>
      <w:pPr>
        <w:pStyle w:val="9"/>
        <w:spacing w:line="500" w:lineRule="exact"/>
        <w:ind w:firstLine="0" w:firstLineChars="0"/>
        <w:rPr>
          <w:rFonts w:hint="default" w:ascii="Times New Roman" w:hAnsi="Times New Roman" w:eastAsia="仿宋" w:cs="Times New Roman"/>
          <w:bCs/>
          <w:color w:val="auto"/>
          <w:lang w:val="en-US" w:eastAsia="zh-CN"/>
        </w:rPr>
      </w:pPr>
      <w:r>
        <w:rPr>
          <w:rFonts w:hint="default" w:ascii="Times New Roman" w:hAnsi="Times New Roman" w:eastAsia="仿宋" w:cs="Times New Roman"/>
          <w:bCs/>
          <w:color w:val="auto"/>
        </w:rPr>
        <w:t>服务质保期内免费提供损耗件备品备件</w:t>
      </w:r>
      <w:r>
        <w:rPr>
          <w:rFonts w:hint="default" w:ascii="Times New Roman" w:hAnsi="Times New Roman" w:eastAsia="仿宋" w:cs="Times New Roman"/>
          <w:bCs/>
          <w:color w:val="auto"/>
          <w:lang w:eastAsia="zh-CN"/>
        </w:rPr>
        <w:t>，</w:t>
      </w:r>
      <w:r>
        <w:rPr>
          <w:rFonts w:hint="default" w:ascii="Times New Roman" w:hAnsi="Times New Roman" w:eastAsia="仿宋" w:cs="Times New Roman"/>
          <w:bCs/>
          <w:color w:val="auto"/>
          <w:lang w:val="en-US" w:eastAsia="zh-CN"/>
        </w:rPr>
        <w:t>如有耗材需提供配套耗材价格表</w:t>
      </w:r>
    </w:p>
    <w:p>
      <w:pPr>
        <w:pStyle w:val="9"/>
        <w:spacing w:line="500" w:lineRule="exact"/>
        <w:ind w:firstLine="0" w:firstLineChars="0"/>
        <w:rPr>
          <w:rFonts w:hint="default" w:ascii="Times New Roman" w:hAnsi="Times New Roman" w:eastAsia="仿宋" w:cs="Times New Roman"/>
          <w:bCs/>
          <w:color w:val="auto"/>
          <w:lang w:val="en-US" w:eastAsia="zh-CN"/>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pStyle w:val="9"/>
        <w:spacing w:line="500" w:lineRule="exact"/>
        <w:ind w:firstLine="0" w:firstLineChars="0"/>
        <w:rPr>
          <w:rFonts w:hint="default" w:ascii="Times New Roman" w:hAnsi="Times New Roman" w:eastAsia="仿宋" w:cs="Times New Roman"/>
          <w:bCs/>
          <w:color w:val="auto"/>
          <w:lang w:val="en-US" w:eastAsia="zh-CN"/>
        </w:rPr>
        <w:sectPr>
          <w:pgSz w:w="11905" w:h="16838"/>
          <w:pgMar w:top="720" w:right="1417" w:bottom="720" w:left="1417" w:header="850" w:footer="992" w:gutter="0"/>
          <w:cols w:space="720" w:num="1"/>
          <w:docGrid w:type="lines" w:linePitch="416" w:charSpace="0"/>
        </w:sectPr>
      </w:pPr>
    </w:p>
    <w:p>
      <w:pPr>
        <w:spacing w:line="400" w:lineRule="atLeast"/>
        <w:jc w:val="center"/>
        <w:outlineLvl w:val="1"/>
        <w:rPr>
          <w:rFonts w:hint="default" w:ascii="Times New Roman" w:hAnsi="Times New Roman" w:eastAsia="仿宋" w:cs="Times New Roman"/>
          <w:bCs/>
          <w:color w:val="auto"/>
          <w:sz w:val="24"/>
        </w:rPr>
      </w:pPr>
      <w:bookmarkStart w:id="127" w:name="_Toc144"/>
      <w:r>
        <w:rPr>
          <w:rFonts w:hint="default" w:ascii="Times New Roman" w:hAnsi="Times New Roman" w:eastAsia="仿宋" w:cs="Times New Roman"/>
          <w:bCs/>
          <w:color w:val="auto"/>
          <w:sz w:val="28"/>
          <w:szCs w:val="28"/>
        </w:rPr>
        <w:t>5、技术参数、功能偏离表</w:t>
      </w:r>
      <w:bookmarkEnd w:id="127"/>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投标商名称（公章）：</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项目编号/包号：</w:t>
      </w:r>
      <w:r>
        <w:rPr>
          <w:rFonts w:hint="default" w:ascii="Times New Roman" w:hAnsi="Times New Roman" w:eastAsia="仿宋" w:cs="Times New Roman"/>
          <w:bCs/>
          <w:color w:val="auto"/>
          <w:sz w:val="24"/>
          <w:u w:val="single"/>
        </w:rPr>
        <w: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69"/>
        <w:gridCol w:w="2242"/>
        <w:gridCol w:w="2070"/>
        <w:gridCol w:w="1481"/>
        <w:gridCol w:w="9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146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招标文件规格条目号</w:t>
            </w:r>
          </w:p>
        </w:tc>
        <w:tc>
          <w:tcPr>
            <w:tcW w:w="224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招标文件要求规格</w:t>
            </w:r>
          </w:p>
        </w:tc>
        <w:tc>
          <w:tcPr>
            <w:tcW w:w="2070"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投标规格</w:t>
            </w:r>
          </w:p>
        </w:tc>
        <w:tc>
          <w:tcPr>
            <w:tcW w:w="1481"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偏离</w:t>
            </w:r>
          </w:p>
        </w:tc>
        <w:tc>
          <w:tcPr>
            <w:tcW w:w="91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说明</w:t>
            </w:r>
          </w:p>
        </w:tc>
        <w:tc>
          <w:tcPr>
            <w:tcW w:w="1157"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注：与招标文件中“第三部分货物需求及技术要求”逐条对应填写。</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投标商代表签字：</w:t>
      </w:r>
      <w:r>
        <w:rPr>
          <w:rFonts w:hint="default" w:ascii="Times New Roman" w:hAnsi="Times New Roman" w:eastAsia="仿宋" w:cs="Times New Roman"/>
          <w:bCs/>
          <w:color w:val="auto"/>
          <w:sz w:val="24"/>
          <w:u w:val="single"/>
        </w:rPr>
        <w:t>　　　　　　　　　　　　　　　</w:t>
      </w:r>
    </w:p>
    <w:p>
      <w:pPr>
        <w:spacing w:line="400" w:lineRule="atLeast"/>
        <w:jc w:val="center"/>
        <w:outlineLvl w:val="1"/>
        <w:rPr>
          <w:rFonts w:hint="default" w:ascii="Times New Roman" w:hAnsi="Times New Roman" w:eastAsia="仿宋" w:cs="Times New Roman"/>
          <w:bCs/>
          <w:color w:val="auto"/>
          <w:sz w:val="28"/>
          <w:szCs w:val="28"/>
        </w:rPr>
      </w:pPr>
      <w:bookmarkStart w:id="128" w:name="_Toc11586"/>
      <w:bookmarkStart w:id="129" w:name="_Toc13853"/>
      <w:bookmarkStart w:id="130" w:name="_Toc18011"/>
      <w:r>
        <w:rPr>
          <w:rFonts w:hint="default" w:ascii="Times New Roman" w:hAnsi="Times New Roman" w:eastAsia="仿宋" w:cs="Times New Roman"/>
          <w:bCs/>
          <w:color w:val="auto"/>
          <w:sz w:val="28"/>
          <w:szCs w:val="28"/>
        </w:rPr>
        <w:t>6、商务条款偏离表</w:t>
      </w:r>
      <w:bookmarkEnd w:id="128"/>
      <w:bookmarkEnd w:id="129"/>
      <w:bookmarkEnd w:id="130"/>
    </w:p>
    <w:p>
      <w:pPr>
        <w:spacing w:line="400" w:lineRule="atLeast"/>
        <w:ind w:firstLine="2640"/>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投标商名称（公章）：</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项目编号/包号：</w:t>
      </w:r>
      <w:r>
        <w:rPr>
          <w:rFonts w:hint="default" w:ascii="Times New Roman" w:hAnsi="Times New Roman" w:eastAsia="仿宋" w:cs="Times New Roman"/>
          <w:bCs/>
          <w:color w:val="auto"/>
          <w:sz w:val="24"/>
          <w:u w:val="single"/>
        </w:rPr>
        <w: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459"/>
        <w:gridCol w:w="2588"/>
        <w:gridCol w:w="28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145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w:t>
            </w:r>
          </w:p>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条目号</w:t>
            </w:r>
          </w:p>
        </w:tc>
        <w:tc>
          <w:tcPr>
            <w:tcW w:w="258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招标文件的商务条款</w:t>
            </w:r>
          </w:p>
        </w:tc>
        <w:tc>
          <w:tcPr>
            <w:tcW w:w="2875"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投标文件的商务条款</w:t>
            </w:r>
          </w:p>
        </w:tc>
        <w:tc>
          <w:tcPr>
            <w:tcW w:w="201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注：与招标文件中“商务条款”逐条对应填写，若无偏离，填写无偏离，完全响应招标文件。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投标商代表签字：</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jc w:val="center"/>
        <w:outlineLvl w:val="1"/>
        <w:rPr>
          <w:rFonts w:hint="default" w:ascii="Times New Roman" w:hAnsi="Times New Roman" w:eastAsia="仿宋" w:cs="Times New Roman"/>
          <w:bCs/>
          <w:color w:val="auto"/>
          <w:sz w:val="28"/>
          <w:szCs w:val="28"/>
        </w:rPr>
        <w:sectPr>
          <w:pgSz w:w="11905" w:h="16838"/>
          <w:pgMar w:top="720" w:right="1417" w:bottom="720" w:left="1417" w:header="850" w:footer="992" w:gutter="0"/>
          <w:cols w:space="720" w:num="1"/>
          <w:docGrid w:type="lines" w:linePitch="416" w:charSpace="0"/>
        </w:sectPr>
      </w:pPr>
      <w:bookmarkStart w:id="131" w:name="_Toc29829"/>
      <w:bookmarkStart w:id="132" w:name="_Toc10278"/>
      <w:bookmarkStart w:id="133" w:name="_Toc23663"/>
    </w:p>
    <w:p>
      <w:pPr>
        <w:spacing w:line="400" w:lineRule="atLeast"/>
        <w:jc w:val="center"/>
        <w:outlineLvl w:val="1"/>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8"/>
          <w:szCs w:val="28"/>
        </w:rPr>
        <w:t>7、法人代表授权书格式</w:t>
      </w:r>
      <w:bookmarkEnd w:id="131"/>
      <w:bookmarkEnd w:id="132"/>
      <w:bookmarkEnd w:id="133"/>
    </w:p>
    <w:p>
      <w:pPr>
        <w:spacing w:line="400" w:lineRule="atLeast"/>
        <w:rPr>
          <w:rFonts w:hint="default" w:ascii="Times New Roman" w:hAnsi="Times New Roman" w:eastAsia="仿宋" w:cs="Times New Roman"/>
          <w:bCs/>
          <w:color w:val="auto"/>
          <w:sz w:val="24"/>
        </w:rPr>
      </w:pPr>
    </w:p>
    <w:p>
      <w:pPr>
        <w:pStyle w:val="14"/>
        <w:spacing w:line="360" w:lineRule="auto"/>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本授权书声明：注册于</w:t>
      </w:r>
      <w:r>
        <w:rPr>
          <w:rFonts w:hint="default" w:ascii="Times New Roman" w:hAnsi="Times New Roman" w:eastAsia="仿宋" w:cs="Times New Roman"/>
          <w:bCs/>
          <w:color w:val="auto"/>
          <w:szCs w:val="24"/>
          <w:u w:val="single"/>
        </w:rPr>
        <w:t>（地区的名称）</w:t>
      </w:r>
      <w:r>
        <w:rPr>
          <w:rFonts w:hint="default" w:ascii="Times New Roman" w:hAnsi="Times New Roman" w:eastAsia="仿宋" w:cs="Times New Roman"/>
          <w:bCs/>
          <w:color w:val="auto"/>
          <w:szCs w:val="24"/>
        </w:rPr>
        <w:t>的</w:t>
      </w:r>
      <w:r>
        <w:rPr>
          <w:rFonts w:hint="default" w:ascii="Times New Roman" w:hAnsi="Times New Roman" w:eastAsia="仿宋" w:cs="Times New Roman"/>
          <w:bCs/>
          <w:color w:val="auto"/>
          <w:szCs w:val="24"/>
          <w:u w:val="single"/>
        </w:rPr>
        <w:t>（公司名称）</w:t>
      </w:r>
      <w:r>
        <w:rPr>
          <w:rFonts w:hint="default" w:ascii="Times New Roman" w:hAnsi="Times New Roman" w:eastAsia="仿宋" w:cs="Times New Roman"/>
          <w:bCs/>
          <w:color w:val="auto"/>
          <w:szCs w:val="24"/>
        </w:rPr>
        <w:t>的在下面签字的</w:t>
      </w:r>
      <w:r>
        <w:rPr>
          <w:rFonts w:hint="default" w:ascii="Times New Roman" w:hAnsi="Times New Roman" w:eastAsia="仿宋" w:cs="Times New Roman"/>
          <w:bCs/>
          <w:color w:val="auto"/>
          <w:szCs w:val="24"/>
          <w:u w:val="single"/>
        </w:rPr>
        <w:t>（法人代表姓名、职务）</w:t>
      </w:r>
      <w:r>
        <w:rPr>
          <w:rFonts w:hint="default" w:ascii="Times New Roman" w:hAnsi="Times New Roman" w:eastAsia="仿宋" w:cs="Times New Roman"/>
          <w:bCs/>
          <w:color w:val="auto"/>
          <w:szCs w:val="24"/>
        </w:rPr>
        <w:t>代表本公司授权</w:t>
      </w:r>
      <w:r>
        <w:rPr>
          <w:rFonts w:hint="default" w:ascii="Times New Roman" w:hAnsi="Times New Roman" w:eastAsia="仿宋" w:cs="Times New Roman"/>
          <w:bCs/>
          <w:color w:val="auto"/>
          <w:szCs w:val="24"/>
          <w:u w:val="single"/>
        </w:rPr>
        <w:t>（单位名称）</w:t>
      </w:r>
      <w:r>
        <w:rPr>
          <w:rFonts w:hint="default" w:ascii="Times New Roman" w:hAnsi="Times New Roman" w:eastAsia="仿宋" w:cs="Times New Roman"/>
          <w:bCs/>
          <w:color w:val="auto"/>
          <w:szCs w:val="24"/>
        </w:rPr>
        <w:t>的在下面签字的</w:t>
      </w:r>
      <w:r>
        <w:rPr>
          <w:rFonts w:hint="default" w:ascii="Times New Roman" w:hAnsi="Times New Roman" w:eastAsia="仿宋" w:cs="Times New Roman"/>
          <w:bCs/>
          <w:color w:val="auto"/>
          <w:szCs w:val="24"/>
          <w:u w:val="single"/>
        </w:rPr>
        <w:t>（被授权人的姓名、职务）</w:t>
      </w:r>
      <w:r>
        <w:rPr>
          <w:rFonts w:hint="default" w:ascii="Times New Roman" w:hAnsi="Times New Roman" w:eastAsia="仿宋" w:cs="Times New Roman"/>
          <w:bCs/>
          <w:color w:val="auto"/>
          <w:szCs w:val="24"/>
        </w:rPr>
        <w:t>为本公司的合法代理人，就</w:t>
      </w:r>
      <w:r>
        <w:rPr>
          <w:rFonts w:hint="default" w:ascii="Times New Roman" w:hAnsi="Times New Roman" w:eastAsia="仿宋" w:cs="Times New Roman"/>
          <w:bCs/>
          <w:color w:val="auto"/>
          <w:szCs w:val="24"/>
          <w:u w:val="single"/>
        </w:rPr>
        <w:t>（项目名称、项目编号、设备名称）</w:t>
      </w:r>
      <w:r>
        <w:rPr>
          <w:rFonts w:hint="default" w:ascii="Times New Roman" w:hAnsi="Times New Roman" w:eastAsia="仿宋" w:cs="Times New Roman"/>
          <w:bCs/>
          <w:color w:val="auto"/>
          <w:szCs w:val="24"/>
        </w:rPr>
        <w:t>的投标，以本公司的名义处理一切与之有关的事务。</w:t>
      </w:r>
    </w:p>
    <w:p>
      <w:pPr>
        <w:spacing w:line="360" w:lineRule="auto"/>
        <w:ind w:firstLine="480"/>
        <w:rPr>
          <w:rFonts w:hint="default" w:ascii="Times New Roman" w:hAnsi="Times New Roman" w:eastAsia="仿宋" w:cs="Times New Roman"/>
          <w:bCs/>
          <w:color w:val="auto"/>
          <w:sz w:val="24"/>
          <w:szCs w:val="24"/>
        </w:rPr>
      </w:pPr>
    </w:p>
    <w:p>
      <w:pPr>
        <w:spacing w:line="360" w:lineRule="auto"/>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本授权书于</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日签字生效，特此声明。</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pPr>
              <w:pStyle w:val="2"/>
              <w:jc w:val="center"/>
              <w:rPr>
                <w:rFonts w:hint="default" w:ascii="Times New Roman" w:hAnsi="Times New Roman" w:eastAsia="仿宋" w:cs="Times New Roman"/>
                <w:bCs/>
                <w:color w:val="auto"/>
                <w:sz w:val="24"/>
                <w:szCs w:val="24"/>
              </w:rPr>
            </w:pPr>
          </w:p>
          <w:p>
            <w:pPr>
              <w:pStyle w:val="2"/>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授权人身份证正面</w:t>
            </w:r>
          </w:p>
        </w:tc>
        <w:tc>
          <w:tcPr>
            <w:tcW w:w="4630" w:type="dxa"/>
            <w:noWrap w:val="0"/>
            <w:vAlign w:val="top"/>
          </w:tcPr>
          <w:p>
            <w:pPr>
              <w:pStyle w:val="2"/>
              <w:jc w:val="center"/>
              <w:rPr>
                <w:rFonts w:hint="default" w:ascii="Times New Roman" w:hAnsi="Times New Roman" w:eastAsia="仿宋" w:cs="Times New Roman"/>
                <w:bCs/>
                <w:color w:val="auto"/>
                <w:sz w:val="24"/>
                <w:szCs w:val="24"/>
              </w:rPr>
            </w:pPr>
          </w:p>
          <w:p>
            <w:pPr>
              <w:pStyle w:val="2"/>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pPr>
              <w:pStyle w:val="2"/>
              <w:jc w:val="center"/>
              <w:rPr>
                <w:rFonts w:hint="default" w:ascii="Times New Roman" w:hAnsi="Times New Roman" w:eastAsia="仿宋" w:cs="Times New Roman"/>
                <w:bCs/>
                <w:color w:val="auto"/>
                <w:sz w:val="24"/>
                <w:szCs w:val="24"/>
              </w:rPr>
            </w:pPr>
          </w:p>
          <w:p>
            <w:pPr>
              <w:pStyle w:val="2"/>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授权人身份证反面</w:t>
            </w:r>
          </w:p>
        </w:tc>
        <w:tc>
          <w:tcPr>
            <w:tcW w:w="4630" w:type="dxa"/>
            <w:noWrap w:val="0"/>
            <w:vAlign w:val="top"/>
          </w:tcPr>
          <w:p>
            <w:pPr>
              <w:pStyle w:val="2"/>
              <w:jc w:val="center"/>
              <w:rPr>
                <w:rFonts w:hint="default" w:ascii="Times New Roman" w:hAnsi="Times New Roman" w:eastAsia="仿宋" w:cs="Times New Roman"/>
                <w:bCs/>
                <w:color w:val="auto"/>
                <w:sz w:val="24"/>
                <w:szCs w:val="24"/>
              </w:rPr>
            </w:pPr>
          </w:p>
          <w:p>
            <w:pPr>
              <w:pStyle w:val="2"/>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被授权人身份证反面</w:t>
            </w:r>
          </w:p>
        </w:tc>
      </w:tr>
    </w:tbl>
    <w:p>
      <w:pPr>
        <w:spacing w:line="360" w:lineRule="auto"/>
        <w:ind w:firstLine="480"/>
        <w:rPr>
          <w:rFonts w:hint="default" w:ascii="Times New Roman" w:hAnsi="Times New Roman" w:eastAsia="仿宋" w:cs="Times New Roman"/>
          <w:bCs/>
          <w:color w:val="auto"/>
          <w:sz w:val="24"/>
          <w:szCs w:val="24"/>
        </w:rPr>
      </w:pPr>
    </w:p>
    <w:p>
      <w:pPr>
        <w:spacing w:line="360" w:lineRule="auto"/>
        <w:ind w:firstLine="3182" w:firstLineChars="13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法人代表签字</w:t>
      </w:r>
      <w:r>
        <w:rPr>
          <w:rFonts w:hint="default" w:ascii="Times New Roman" w:hAnsi="Times New Roman" w:eastAsia="仿宋" w:cs="Times New Roman"/>
          <w:bCs/>
          <w:color w:val="auto"/>
          <w:sz w:val="24"/>
          <w:szCs w:val="24"/>
          <w:u w:val="single"/>
        </w:rPr>
        <w:t>　　　　　　　　　　　　　　　　　</w:t>
      </w:r>
    </w:p>
    <w:p>
      <w:pPr>
        <w:spacing w:line="360" w:lineRule="auto"/>
        <w:ind w:firstLine="3182" w:firstLineChars="13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被授权人签字</w:t>
      </w:r>
      <w:r>
        <w:rPr>
          <w:rFonts w:hint="default" w:ascii="Times New Roman" w:hAnsi="Times New Roman" w:eastAsia="仿宋" w:cs="Times New Roman"/>
          <w:bCs/>
          <w:color w:val="auto"/>
          <w:sz w:val="24"/>
          <w:szCs w:val="24"/>
          <w:u w:val="single"/>
        </w:rPr>
        <w:t>　　　　　　　　　　　　　　　　　</w:t>
      </w:r>
    </w:p>
    <w:p>
      <w:pPr>
        <w:spacing w:line="360" w:lineRule="auto"/>
        <w:ind w:firstLine="3422" w:firstLineChars="14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公   章：</w:t>
      </w:r>
    </w:p>
    <w:p>
      <w:pPr>
        <w:pStyle w:val="29"/>
        <w:spacing w:line="360" w:lineRule="auto"/>
        <w:ind w:firstLine="240"/>
        <w:rPr>
          <w:rFonts w:hint="default" w:ascii="Times New Roman" w:hAnsi="Times New Roman" w:eastAsia="仿宋" w:cs="Times New Roman"/>
          <w:bCs/>
          <w:color w:val="auto"/>
          <w:szCs w:val="24"/>
        </w:rPr>
      </w:pPr>
    </w:p>
    <w:p>
      <w:pPr>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注：凡公司法人前来参加投标的投标人，可以不提供此项证明文件。</w:t>
      </w:r>
    </w:p>
    <w:p>
      <w:pPr>
        <w:spacing w:line="400" w:lineRule="atLeast"/>
        <w:rPr>
          <w:rFonts w:hint="default" w:ascii="Times New Roman" w:hAnsi="Times New Roman" w:eastAsia="仿宋" w:cs="Times New Roman"/>
          <w:bCs/>
          <w:color w:val="auto"/>
          <w:sz w:val="24"/>
          <w:szCs w:val="24"/>
        </w:rPr>
      </w:pPr>
    </w:p>
    <w:p>
      <w:pPr>
        <w:pStyle w:val="29"/>
        <w:ind w:firstLine="240"/>
        <w:rPr>
          <w:rFonts w:hint="default" w:ascii="Times New Roman" w:hAnsi="Times New Roman" w:eastAsia="仿宋" w:cs="Times New Roman"/>
          <w:bCs/>
          <w:color w:val="auto"/>
        </w:rPr>
      </w:pPr>
    </w:p>
    <w:p>
      <w:pPr>
        <w:spacing w:line="360" w:lineRule="auto"/>
        <w:ind w:left="-1039" w:leftChars="-495"/>
        <w:jc w:val="center"/>
        <w:rPr>
          <w:rFonts w:hint="default" w:ascii="Times New Roman" w:hAnsi="Times New Roman" w:eastAsia="仿宋" w:cs="Times New Roman"/>
          <w:bCs/>
          <w:color w:val="auto"/>
          <w:sz w:val="24"/>
          <w:szCs w:val="24"/>
        </w:rPr>
      </w:pPr>
      <w:bookmarkStart w:id="134" w:name="_Toc29407"/>
      <w:r>
        <w:rPr>
          <w:rFonts w:hint="default" w:ascii="Times New Roman" w:hAnsi="Times New Roman" w:eastAsia="仿宋" w:cs="Times New Roman"/>
          <w:bCs/>
          <w:color w:val="auto"/>
          <w:sz w:val="24"/>
          <w:szCs w:val="24"/>
        </w:rPr>
        <w:t>法定代表人身份证明书</w:t>
      </w:r>
      <w:bookmarkEnd w:id="134"/>
    </w:p>
    <w:p>
      <w:pPr>
        <w:pStyle w:val="2"/>
        <w:ind w:left="1210" w:hanging="1209" w:hangingChars="504"/>
        <w:rPr>
          <w:rFonts w:hint="default" w:ascii="Times New Roman" w:hAnsi="Times New Roman" w:eastAsia="仿宋" w:cs="Times New Roman"/>
          <w:bCs/>
          <w:color w:val="auto"/>
          <w:sz w:val="24"/>
          <w:szCs w:val="24"/>
        </w:rPr>
      </w:pP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企业名称：</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企业类型：</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地    址：</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营业期限：</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成立时间：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姓名： </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性别：</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年龄：</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职务：</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系 </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（投标人企业名称）的法定代表人。</w:t>
      </w:r>
    </w:p>
    <w:p>
      <w:pPr>
        <w:pStyle w:val="2"/>
        <w:ind w:left="1207" w:hanging="1207" w:hangingChars="503"/>
        <w:rPr>
          <w:rFonts w:hint="default" w:ascii="Times New Roman" w:hAnsi="Times New Roman" w:eastAsia="仿宋" w:cs="Times New Roman"/>
          <w:bCs/>
          <w:color w:val="auto"/>
          <w:sz w:val="24"/>
          <w:szCs w:val="24"/>
        </w:rPr>
      </w:pP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特此证明。</w:t>
      </w:r>
    </w:p>
    <w:p>
      <w:pPr>
        <w:rPr>
          <w:rFonts w:hint="default" w:ascii="Times New Roman" w:hAnsi="Times New Roman" w:eastAsia="仿宋" w:cs="Times New Roman"/>
          <w:bCs/>
          <w:color w:val="auto"/>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pPr>
              <w:pStyle w:val="2"/>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法定代表人身份证正面</w:t>
            </w:r>
          </w:p>
        </w:tc>
        <w:tc>
          <w:tcPr>
            <w:tcW w:w="4470" w:type="dxa"/>
            <w:noWrap w:val="0"/>
            <w:vAlign w:val="top"/>
          </w:tcPr>
          <w:p>
            <w:pPr>
              <w:pStyle w:val="2"/>
              <w:jc w:val="center"/>
              <w:rPr>
                <w:rFonts w:hint="default" w:ascii="Times New Roman" w:hAnsi="Times New Roman" w:eastAsia="仿宋" w:cs="Times New Roman"/>
                <w:bCs/>
                <w:color w:val="auto"/>
                <w:sz w:val="24"/>
                <w:szCs w:val="24"/>
              </w:rPr>
            </w:pPr>
          </w:p>
          <w:p>
            <w:pPr>
              <w:pStyle w:val="2"/>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p>
          <w:p>
            <w:pPr>
              <w:pStyle w:val="2"/>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法定代表人身份证反面</w:t>
            </w:r>
          </w:p>
        </w:tc>
      </w:tr>
    </w:tbl>
    <w:p>
      <w:pPr>
        <w:pStyle w:val="2"/>
        <w:ind w:left="1207" w:hanging="1207" w:hangingChars="503"/>
        <w:rPr>
          <w:rFonts w:hint="default" w:ascii="Times New Roman" w:hAnsi="Times New Roman" w:eastAsia="仿宋" w:cs="Times New Roman"/>
          <w:bCs/>
          <w:color w:val="auto"/>
          <w:sz w:val="24"/>
          <w:szCs w:val="24"/>
        </w:rPr>
      </w:pP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投标人（盖章）：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                     </w:t>
      </w:r>
    </w:p>
    <w:p>
      <w:pPr>
        <w:pStyle w:val="2"/>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  期：        年        月        日</w:t>
      </w:r>
    </w:p>
    <w:p>
      <w:pPr>
        <w:pStyle w:val="2"/>
        <w:ind w:left="1207" w:hanging="1207" w:hangingChars="503"/>
        <w:rPr>
          <w:rFonts w:hint="default" w:ascii="Times New Roman" w:hAnsi="Times New Roman" w:eastAsia="仿宋" w:cs="Times New Roman"/>
          <w:bCs/>
          <w:color w:val="auto"/>
          <w:sz w:val="24"/>
          <w:szCs w:val="24"/>
        </w:rPr>
      </w:pPr>
    </w:p>
    <w:p>
      <w:pPr>
        <w:pStyle w:val="2"/>
        <w:ind w:left="1207" w:hanging="1207" w:hangingChars="503"/>
        <w:rPr>
          <w:rFonts w:hint="default" w:ascii="Times New Roman" w:hAnsi="Times New Roman" w:eastAsia="仿宋" w:cs="Times New Roman"/>
          <w:bCs/>
          <w:color w:val="auto"/>
          <w:sz w:val="24"/>
          <w:szCs w:val="24"/>
        </w:rPr>
        <w:sectPr>
          <w:pgSz w:w="11905" w:h="16838"/>
          <w:pgMar w:top="720" w:right="1417" w:bottom="720" w:left="1417" w:header="850" w:footer="992" w:gutter="0"/>
          <w:cols w:space="720" w:num="1"/>
          <w:docGrid w:type="lines" w:linePitch="416" w:charSpace="0"/>
        </w:sectPr>
      </w:pPr>
      <w:r>
        <w:rPr>
          <w:rFonts w:hint="default" w:ascii="Times New Roman" w:hAnsi="Times New Roman" w:eastAsia="仿宋" w:cs="Times New Roman"/>
          <w:bCs/>
          <w:color w:val="auto"/>
          <w:sz w:val="24"/>
          <w:szCs w:val="24"/>
        </w:rPr>
        <w:t>注：1、本证明书为法定代表人本人作为公司代理人参与投标的，提供此项证明书</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pPr>
      <w:bookmarkStart w:id="135" w:name="_Toc27492"/>
      <w:bookmarkStart w:id="136" w:name="_Toc20816"/>
      <w:bookmarkStart w:id="137" w:name="_Toc22312"/>
      <w:r>
        <w:rPr>
          <w:rFonts w:hint="default" w:ascii="Times New Roman" w:hAnsi="Times New Roman" w:eastAsia="仿宋" w:cs="Times New Roman"/>
          <w:bCs/>
          <w:color w:val="auto"/>
          <w:sz w:val="28"/>
          <w:szCs w:val="28"/>
        </w:rPr>
        <w:t>8、关于资格的声明函</w:t>
      </w:r>
      <w:bookmarkEnd w:id="135"/>
      <w:bookmarkEnd w:id="136"/>
      <w:bookmarkEnd w:id="137"/>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致：</w:t>
      </w:r>
      <w:r>
        <w:rPr>
          <w:rFonts w:hint="default" w:ascii="Times New Roman" w:hAnsi="Times New Roman" w:eastAsia="仿宋" w:cs="Times New Roman"/>
          <w:bCs/>
          <w:color w:val="auto"/>
          <w:sz w:val="24"/>
          <w:u w:val="single"/>
        </w:rPr>
        <w:t>　新疆西北招标有限公司　　</w:t>
      </w:r>
      <w:r>
        <w:rPr>
          <w:rFonts w:hint="default" w:ascii="Times New Roman" w:hAnsi="Times New Roman" w:eastAsia="仿宋" w:cs="Times New Roman"/>
          <w:bCs/>
          <w:color w:val="auto"/>
          <w:sz w:val="24"/>
        </w:rPr>
        <w:t>：</w:t>
      </w:r>
    </w:p>
    <w:p>
      <w:pPr>
        <w:spacing w:line="400" w:lineRule="atLeast"/>
        <w:ind w:firstLine="57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关于贵方</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年</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月</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日第</w:t>
      </w:r>
      <w:r>
        <w:rPr>
          <w:rFonts w:hint="default" w:ascii="Times New Roman" w:hAnsi="Times New Roman" w:eastAsia="仿宋" w:cs="Times New Roman"/>
          <w:bCs/>
          <w:color w:val="auto"/>
          <w:sz w:val="24"/>
          <w:u w:val="single"/>
        </w:rPr>
        <w:t>（项目编号）</w:t>
      </w:r>
      <w:r>
        <w:rPr>
          <w:rFonts w:hint="default" w:ascii="Times New Roman" w:hAnsi="Times New Roman" w:eastAsia="仿宋" w:cs="Times New Roman"/>
          <w:bCs/>
          <w:color w:val="auto"/>
          <w:sz w:val="24"/>
        </w:rPr>
        <w:t>招标通告，本签字人愿意参加投标，并有能力提供</w:t>
      </w:r>
      <w:r>
        <w:rPr>
          <w:rFonts w:hint="default" w:ascii="Times New Roman" w:hAnsi="Times New Roman" w:eastAsia="仿宋" w:cs="Times New Roman"/>
          <w:bCs/>
          <w:color w:val="auto"/>
          <w:sz w:val="24"/>
          <w:u w:val="single"/>
        </w:rPr>
        <w:t>　　（项目名称）　　　</w:t>
      </w:r>
      <w:r>
        <w:rPr>
          <w:rFonts w:hint="default" w:ascii="Times New Roman" w:hAnsi="Times New Roman" w:eastAsia="仿宋" w:cs="Times New Roman"/>
          <w:bCs/>
          <w:color w:val="auto"/>
          <w:sz w:val="24"/>
        </w:rPr>
        <w:t>项目中的</w:t>
      </w:r>
      <w:r>
        <w:rPr>
          <w:rFonts w:hint="default" w:ascii="Times New Roman" w:hAnsi="Times New Roman" w:eastAsia="仿宋" w:cs="Times New Roman"/>
          <w:bCs/>
          <w:color w:val="auto"/>
          <w:sz w:val="24"/>
          <w:u w:val="single"/>
        </w:rPr>
        <w:t>　（货物名称）　　</w:t>
      </w:r>
      <w:r>
        <w:rPr>
          <w:rFonts w:hint="default" w:ascii="Times New Roman" w:hAnsi="Times New Roman" w:eastAsia="仿宋" w:cs="Times New Roman"/>
          <w:bCs/>
          <w:color w:val="auto"/>
          <w:sz w:val="24"/>
        </w:rPr>
        <w:t>招标货物及相关服务，并证明所提交的所有文件和说明是准确和真实的。</w:t>
      </w:r>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制造商或贸易公司的　　　　　　　        受权签署本资格文件人：</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名称</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签字：</w:t>
      </w:r>
      <w:r>
        <w:rPr>
          <w:rFonts w:hint="default" w:ascii="Times New Roman" w:hAnsi="Times New Roman" w:eastAsia="仿宋" w:cs="Times New Roman"/>
          <w:bCs/>
          <w:color w:val="auto"/>
          <w:sz w:val="24"/>
          <w:u w:val="single"/>
        </w:rPr>
        <w:t>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地址</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签字人姓名、职务（印刷体）</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传真</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xml:space="preserve">            　        邮编</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ind w:firstLine="240" w:firstLineChars="1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电话</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w:t>
      </w:r>
    </w:p>
    <w:p>
      <w:pPr>
        <w:spacing w:line="400" w:lineRule="atLeast"/>
        <w:rPr>
          <w:rFonts w:hint="default" w:ascii="Times New Roman" w:hAnsi="Times New Roman" w:eastAsia="仿宋" w:cs="Times New Roman"/>
          <w:bCs/>
          <w:color w:val="auto"/>
          <w:sz w:val="24"/>
        </w:rPr>
      </w:pPr>
    </w:p>
    <w:p>
      <w:pPr>
        <w:spacing w:line="400" w:lineRule="atLeast"/>
        <w:ind w:firstLine="240" w:firstLineChars="1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盖章：</w:t>
      </w:r>
    </w:p>
    <w:p>
      <w:pPr>
        <w:spacing w:line="400" w:lineRule="atLeast"/>
        <w:rPr>
          <w:rFonts w:hint="default" w:ascii="Times New Roman" w:hAnsi="Times New Roman" w:eastAsia="仿宋" w:cs="Times New Roman"/>
          <w:bCs/>
          <w:color w:val="auto"/>
          <w:sz w:val="24"/>
          <w:u w:val="single"/>
        </w:rPr>
      </w:pPr>
    </w:p>
    <w:p>
      <w:pPr>
        <w:pStyle w:val="12"/>
        <w:spacing w:line="400" w:lineRule="atLeast"/>
        <w:rPr>
          <w:rFonts w:hint="default" w:ascii="Times New Roman" w:hAnsi="Times New Roman" w:eastAsia="仿宋" w:cs="Times New Roman"/>
          <w:b w:val="0"/>
          <w:bCs/>
          <w:color w:val="auto"/>
          <w:sz w:val="24"/>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pStyle w:val="16"/>
        <w:spacing w:line="400" w:lineRule="atLeast"/>
        <w:jc w:val="center"/>
        <w:outlineLvl w:val="1"/>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4"/>
        </w:rPr>
        <w:br w:type="page"/>
      </w:r>
      <w:bookmarkStart w:id="138" w:name="_Toc24646"/>
      <w:bookmarkStart w:id="139" w:name="_Toc17638"/>
      <w:bookmarkStart w:id="140" w:name="_Toc1587"/>
      <w:r>
        <w:rPr>
          <w:rFonts w:hint="default" w:ascii="Times New Roman" w:hAnsi="Times New Roman" w:eastAsia="仿宋" w:cs="Times New Roman"/>
          <w:bCs/>
          <w:color w:val="auto"/>
          <w:sz w:val="28"/>
          <w:szCs w:val="28"/>
        </w:rPr>
        <w:t>9、制造商出具的授权函</w:t>
      </w:r>
      <w:bookmarkEnd w:id="138"/>
      <w:bookmarkEnd w:id="139"/>
      <w:bookmarkEnd w:id="140"/>
    </w:p>
    <w:p>
      <w:pPr>
        <w:pStyle w:val="16"/>
        <w:spacing w:line="400" w:lineRule="atLeast"/>
        <w:rPr>
          <w:rFonts w:hint="default" w:ascii="Times New Roman" w:hAnsi="Times New Roman" w:eastAsia="仿宋" w:cs="Times New Roman"/>
          <w:bCs/>
          <w:i/>
          <w:color w:val="auto"/>
          <w:sz w:val="24"/>
        </w:rPr>
      </w:pPr>
    </w:p>
    <w:p>
      <w:pPr>
        <w:pStyle w:val="16"/>
        <w:spacing w:line="400" w:lineRule="atLeast"/>
        <w:rPr>
          <w:rFonts w:hint="default" w:ascii="Times New Roman" w:hAnsi="Times New Roman" w:eastAsia="仿宋" w:cs="Times New Roman"/>
          <w:bCs/>
          <w:iCs/>
          <w:color w:val="auto"/>
          <w:sz w:val="24"/>
          <w:u w:val="single"/>
        </w:rPr>
      </w:pPr>
      <w:r>
        <w:rPr>
          <w:rFonts w:hint="default" w:ascii="Times New Roman" w:hAnsi="Times New Roman" w:eastAsia="仿宋" w:cs="Times New Roman"/>
          <w:bCs/>
          <w:iCs/>
          <w:color w:val="auto"/>
          <w:sz w:val="24"/>
        </w:rPr>
        <w:t>致：</w:t>
      </w:r>
      <w:r>
        <w:rPr>
          <w:rFonts w:hint="default" w:ascii="Times New Roman" w:hAnsi="Times New Roman" w:eastAsia="仿宋" w:cs="Times New Roman"/>
          <w:bCs/>
          <w:iCs/>
          <w:color w:val="auto"/>
          <w:sz w:val="24"/>
          <w:u w:val="single"/>
        </w:rPr>
        <w:t xml:space="preserve">(招标机构)   </w:t>
      </w:r>
    </w:p>
    <w:p>
      <w:pPr>
        <w:pStyle w:val="16"/>
        <w:spacing w:line="400" w:lineRule="atLeast"/>
        <w:rPr>
          <w:rFonts w:hint="default" w:ascii="Times New Roman" w:hAnsi="Times New Roman" w:eastAsia="仿宋" w:cs="Times New Roman"/>
          <w:bCs/>
          <w:iCs/>
          <w:color w:val="auto"/>
          <w:sz w:val="24"/>
        </w:rPr>
      </w:pPr>
      <w:r>
        <w:rPr>
          <w:rFonts w:hint="default" w:ascii="Times New Roman" w:hAnsi="Times New Roman" w:eastAsia="仿宋" w:cs="Times New Roman"/>
          <w:bCs/>
          <w:iCs/>
          <w:color w:val="auto"/>
          <w:sz w:val="24"/>
        </w:rPr>
        <w:t>我们</w:t>
      </w:r>
      <w:r>
        <w:rPr>
          <w:rFonts w:hint="default" w:ascii="Times New Roman" w:hAnsi="Times New Roman" w:eastAsia="仿宋" w:cs="Times New Roman"/>
          <w:bCs/>
          <w:iCs/>
          <w:color w:val="auto"/>
          <w:sz w:val="24"/>
          <w:u w:val="single"/>
        </w:rPr>
        <w:t>（制造商名称)</w:t>
      </w:r>
      <w:r>
        <w:rPr>
          <w:rFonts w:hint="default" w:ascii="Times New Roman" w:hAnsi="Times New Roman" w:eastAsia="仿宋" w:cs="Times New Roman"/>
          <w:bCs/>
          <w:iCs/>
          <w:color w:val="auto"/>
          <w:sz w:val="24"/>
        </w:rPr>
        <w:t>兹指派主要营业地点设在</w:t>
      </w:r>
      <w:r>
        <w:rPr>
          <w:rFonts w:hint="default" w:ascii="Times New Roman" w:hAnsi="Times New Roman" w:eastAsia="仿宋" w:cs="Times New Roman"/>
          <w:bCs/>
          <w:iCs/>
          <w:color w:val="auto"/>
          <w:sz w:val="24"/>
          <w:u w:val="single"/>
        </w:rPr>
        <w:t xml:space="preserve">(贸易公司地址) </w:t>
      </w:r>
      <w:r>
        <w:rPr>
          <w:rFonts w:hint="default" w:ascii="Times New Roman" w:hAnsi="Times New Roman" w:eastAsia="仿宋" w:cs="Times New Roman"/>
          <w:bCs/>
          <w:iCs/>
          <w:color w:val="auto"/>
          <w:sz w:val="24"/>
        </w:rPr>
        <w:t>的</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作为我方真正的和合法的代理人进行下列有效的活动：</w:t>
      </w:r>
    </w:p>
    <w:p>
      <w:pPr>
        <w:pStyle w:val="16"/>
        <w:spacing w:line="400" w:lineRule="atLeast"/>
        <w:ind w:firstLine="480" w:firstLineChars="200"/>
        <w:rPr>
          <w:rFonts w:hint="default" w:ascii="Times New Roman" w:hAnsi="Times New Roman" w:eastAsia="仿宋" w:cs="Times New Roman"/>
          <w:bCs/>
          <w:iCs/>
          <w:color w:val="auto"/>
          <w:sz w:val="24"/>
        </w:rPr>
      </w:pPr>
      <w:r>
        <w:rPr>
          <w:rFonts w:hint="default" w:ascii="Times New Roman" w:hAnsi="Times New Roman" w:eastAsia="仿宋" w:cs="Times New Roman"/>
          <w:bCs/>
          <w:iCs/>
          <w:color w:val="auto"/>
          <w:sz w:val="24"/>
        </w:rPr>
        <w:t>代表我方办理贵方第</w:t>
      </w:r>
      <w:r>
        <w:rPr>
          <w:rFonts w:hint="default" w:ascii="Times New Roman" w:hAnsi="Times New Roman" w:eastAsia="仿宋" w:cs="Times New Roman"/>
          <w:bCs/>
          <w:iCs/>
          <w:color w:val="auto"/>
          <w:sz w:val="24"/>
          <w:szCs w:val="24"/>
          <w:u w:val="single"/>
        </w:rPr>
        <w:t>（项目编号）</w:t>
      </w:r>
      <w:r>
        <w:rPr>
          <w:rFonts w:hint="default" w:ascii="Times New Roman" w:hAnsi="Times New Roman" w:eastAsia="仿宋" w:cs="Times New Roman"/>
          <w:bCs/>
          <w:iCs/>
          <w:color w:val="auto"/>
          <w:sz w:val="24"/>
        </w:rPr>
        <w:t>项目中要求提供的由我方制造</w:t>
      </w:r>
      <w:r>
        <w:rPr>
          <w:rFonts w:hint="default" w:ascii="Times New Roman" w:hAnsi="Times New Roman" w:eastAsia="仿宋" w:cs="Times New Roman"/>
          <w:bCs/>
          <w:iCs/>
          <w:color w:val="auto"/>
          <w:sz w:val="24"/>
          <w:u w:val="single"/>
        </w:rPr>
        <w:t>（货物名称）</w:t>
      </w:r>
      <w:r>
        <w:rPr>
          <w:rFonts w:hint="default" w:ascii="Times New Roman" w:hAnsi="Times New Roman" w:eastAsia="仿宋" w:cs="Times New Roman"/>
          <w:bCs/>
          <w:iCs/>
          <w:color w:val="auto"/>
          <w:sz w:val="24"/>
        </w:rPr>
        <w:t>货物的有关事宜，并对我方具有约束力；</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iCs/>
          <w:color w:val="auto"/>
          <w:sz w:val="24"/>
        </w:rPr>
        <w:t xml:space="preserve">    (2)作为制造商，我方保证以投标合作者来约束自己，并</w:t>
      </w:r>
      <w:r>
        <w:rPr>
          <w:rFonts w:hint="default" w:ascii="Times New Roman" w:hAnsi="Times New Roman" w:eastAsia="仿宋" w:cs="Times New Roman"/>
          <w:bCs/>
          <w:color w:val="auto"/>
          <w:sz w:val="24"/>
        </w:rPr>
        <w:t>对该投标共同和分别承担招标文件中所规定的义务；</w:t>
      </w:r>
    </w:p>
    <w:p>
      <w:pPr>
        <w:pStyle w:val="16"/>
        <w:spacing w:line="400" w:lineRule="atLeast"/>
        <w:ind w:firstLine="480"/>
        <w:rPr>
          <w:rFonts w:hint="default" w:ascii="Times New Roman" w:hAnsi="Times New Roman" w:eastAsia="仿宋" w:cs="Times New Roman"/>
          <w:bCs/>
          <w:iCs/>
          <w:color w:val="auto"/>
          <w:sz w:val="24"/>
        </w:rPr>
      </w:pPr>
      <w:r>
        <w:rPr>
          <w:rFonts w:hint="default" w:ascii="Times New Roman" w:hAnsi="Times New Roman" w:eastAsia="仿宋" w:cs="Times New Roman"/>
          <w:bCs/>
          <w:color w:val="auto"/>
          <w:sz w:val="24"/>
        </w:rPr>
        <w:t>(3)我方兹授予</w:t>
      </w:r>
      <w:r>
        <w:rPr>
          <w:rFonts w:hint="default" w:ascii="Times New Roman" w:hAnsi="Times New Roman" w:eastAsia="仿宋" w:cs="Times New Roman"/>
          <w:bCs/>
          <w:iCs/>
          <w:color w:val="auto"/>
          <w:sz w:val="24"/>
          <w:u w:val="single"/>
        </w:rPr>
        <w:t>（贸易公司名称)</w:t>
      </w:r>
      <w:r>
        <w:rPr>
          <w:rFonts w:hint="default" w:ascii="Times New Roman" w:hAnsi="Times New Roman" w:eastAsia="仿宋" w:cs="Times New Roman"/>
          <w:bCs/>
          <w:iCs/>
          <w:color w:val="auto"/>
          <w:sz w:val="24"/>
        </w:rPr>
        <w:t>全权办理和履行上述我方为完成上述各点所必须的事宜，具有替换或撤消的全权。兹确认</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或其正式授权代表依此合法地办理一切事宜。我方于年月日签署本文件，</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于年</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月日接受此件，以此为证。</w:t>
      </w:r>
    </w:p>
    <w:p>
      <w:pPr>
        <w:pStyle w:val="16"/>
        <w:spacing w:line="400" w:lineRule="atLeast"/>
        <w:rPr>
          <w:rFonts w:hint="default" w:ascii="Times New Roman" w:hAnsi="Times New Roman" w:eastAsia="仿宋" w:cs="Times New Roman"/>
          <w:bCs/>
          <w:color w:val="auto"/>
          <w:sz w:val="24"/>
        </w:rPr>
      </w:pPr>
    </w:p>
    <w:p>
      <w:pPr>
        <w:pStyle w:val="16"/>
        <w:spacing w:line="400" w:lineRule="atLeast"/>
        <w:rPr>
          <w:rFonts w:hint="default" w:ascii="Times New Roman" w:hAnsi="Times New Roman" w:eastAsia="仿宋" w:cs="Times New Roman"/>
          <w:bCs/>
          <w:color w:val="auto"/>
          <w:sz w:val="24"/>
        </w:rPr>
      </w:pP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贸易公司名称：                                     制造商名称：</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签字人职务和部门：                                 签字人职务和部门：</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签字人姓名：                                       签字人姓名：</w:t>
      </w:r>
    </w:p>
    <w:p>
      <w:pPr>
        <w:pStyle w:val="16"/>
        <w:spacing w:line="400" w:lineRule="atLeast"/>
        <w:ind w:firstLine="480"/>
        <w:rPr>
          <w:rFonts w:hint="default" w:ascii="Times New Roman" w:hAnsi="Times New Roman" w:eastAsia="仿宋" w:cs="Times New Roman"/>
          <w:bCs/>
          <w:color w:val="auto"/>
          <w:sz w:val="24"/>
        </w:rPr>
      </w:pPr>
    </w:p>
    <w:p>
      <w:pPr>
        <w:pStyle w:val="16"/>
        <w:spacing w:line="400" w:lineRule="atLeast"/>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注：若制造商作为投标主体直接参与投标，可以不提供此项证明文件。</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4"/>
        </w:rPr>
      </w:pPr>
      <w:bookmarkStart w:id="141" w:name="_Toc10024"/>
      <w:bookmarkStart w:id="142" w:name="_Toc15710"/>
      <w:bookmarkStart w:id="143" w:name="_Toc2187"/>
      <w:r>
        <w:rPr>
          <w:rFonts w:hint="default" w:ascii="Times New Roman" w:hAnsi="Times New Roman" w:eastAsia="仿宋" w:cs="Times New Roman"/>
          <w:bCs/>
          <w:color w:val="auto"/>
          <w:sz w:val="28"/>
          <w:szCs w:val="28"/>
        </w:rPr>
        <w:t>10、投标人近二年在国内和本地区的销售业绩表（附采购合同或中标通知书）</w:t>
      </w:r>
      <w:bookmarkEnd w:id="141"/>
      <w:bookmarkEnd w:id="142"/>
      <w:bookmarkEnd w:id="143"/>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pPr>
      <w:bookmarkStart w:id="144" w:name="_Toc28228"/>
      <w:bookmarkStart w:id="145" w:name="_Toc207"/>
      <w:bookmarkStart w:id="146" w:name="_Toc776"/>
      <w:r>
        <w:rPr>
          <w:rFonts w:hint="default" w:ascii="Times New Roman" w:hAnsi="Times New Roman" w:eastAsia="仿宋" w:cs="Times New Roman"/>
          <w:bCs/>
          <w:color w:val="auto"/>
          <w:sz w:val="28"/>
          <w:szCs w:val="28"/>
        </w:rPr>
        <w:t>11、资质证明文件</w:t>
      </w:r>
      <w:bookmarkEnd w:id="144"/>
      <w:bookmarkEnd w:id="145"/>
      <w:bookmarkEnd w:id="146"/>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1、内容见第23.2条。</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2、其它一切有利于产品和投标商的证明材料。</w:t>
      </w: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sectPr>
          <w:headerReference r:id="rId13" w:type="default"/>
          <w:type w:val="continuous"/>
          <w:pgSz w:w="11905" w:h="16838"/>
          <w:pgMar w:top="720" w:right="1417" w:bottom="720" w:left="1417" w:header="850" w:footer="992" w:gutter="0"/>
          <w:cols w:space="720" w:num="1"/>
          <w:docGrid w:type="lines" w:linePitch="416" w:charSpace="0"/>
        </w:sectPr>
      </w:pPr>
      <w:bookmarkStart w:id="147" w:name="_Toc20724"/>
      <w:bookmarkStart w:id="148" w:name="_Toc8312"/>
      <w:bookmarkStart w:id="149" w:name="_Toc10943"/>
      <w:r>
        <w:rPr>
          <w:rFonts w:hint="default" w:ascii="Times New Roman" w:hAnsi="Times New Roman" w:eastAsia="仿宋" w:cs="Times New Roman"/>
          <w:bCs/>
          <w:color w:val="auto"/>
          <w:sz w:val="28"/>
          <w:szCs w:val="28"/>
        </w:rPr>
        <w:t>12、产品彩页</w:t>
      </w:r>
      <w:bookmarkEnd w:id="147"/>
      <w:bookmarkEnd w:id="148"/>
      <w:bookmarkEnd w:id="149"/>
    </w:p>
    <w:p>
      <w:pPr>
        <w:spacing w:line="400" w:lineRule="atLeast"/>
        <w:jc w:val="center"/>
        <w:outlineLvl w:val="1"/>
        <w:rPr>
          <w:rFonts w:hint="default" w:ascii="Times New Roman" w:hAnsi="Times New Roman" w:eastAsia="仿宋" w:cs="Times New Roman"/>
          <w:bCs/>
          <w:color w:val="auto"/>
          <w:sz w:val="28"/>
          <w:szCs w:val="28"/>
        </w:rPr>
      </w:pPr>
      <w:bookmarkStart w:id="150" w:name="_Toc28433"/>
      <w:bookmarkStart w:id="151" w:name="_Toc16307"/>
      <w:bookmarkStart w:id="152" w:name="_Toc23272"/>
      <w:bookmarkStart w:id="153" w:name="_Toc20774"/>
      <w:r>
        <w:rPr>
          <w:rFonts w:hint="default" w:ascii="Times New Roman" w:hAnsi="Times New Roman" w:eastAsia="仿宋" w:cs="Times New Roman"/>
          <w:bCs/>
          <w:color w:val="auto"/>
          <w:sz w:val="28"/>
          <w:szCs w:val="28"/>
        </w:rPr>
        <w:t>13、其他内容</w:t>
      </w:r>
      <w:bookmarkEnd w:id="150"/>
      <w:r>
        <w:rPr>
          <w:rFonts w:hint="default" w:ascii="Times New Roman" w:hAnsi="Times New Roman" w:eastAsia="仿宋" w:cs="Times New Roman"/>
          <w:bCs/>
          <w:color w:val="auto"/>
          <w:sz w:val="28"/>
          <w:szCs w:val="28"/>
        </w:rPr>
        <w:t>(若有，请如实填写)</w:t>
      </w:r>
      <w:bookmarkEnd w:id="151"/>
      <w:bookmarkEnd w:id="152"/>
      <w:bookmarkEnd w:id="153"/>
    </w:p>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13.1节能、环境标志产品优惠明细表</w:t>
      </w:r>
    </w:p>
    <w:p>
      <w:pPr>
        <w:spacing w:line="440" w:lineRule="exact"/>
        <w:ind w:firstLine="120" w:firstLineChars="50"/>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投标人名称（公章）：</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招标编号：</w:t>
      </w:r>
      <w:r>
        <w:rPr>
          <w:rFonts w:hint="default" w:ascii="Times New Roman" w:hAnsi="Times New Roman" w:eastAsia="仿宋" w:cs="Times New Roman"/>
          <w:bCs/>
          <w:color w:val="auto"/>
          <w:sz w:val="24"/>
          <w:szCs w:val="24"/>
          <w:u w:val="single"/>
        </w:rPr>
        <w:t xml:space="preserve">　　　　           </w:t>
      </w:r>
    </w:p>
    <w:p>
      <w:pPr>
        <w:spacing w:line="440" w:lineRule="exact"/>
        <w:ind w:firstLine="120" w:firstLineChars="5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所投内容：</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w:t>
      </w: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（1）节能产品明细清单                        报价货币种类</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金额单位：元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53"/>
        <w:gridCol w:w="1939"/>
        <w:gridCol w:w="1443"/>
        <w:gridCol w:w="2016"/>
        <w:gridCol w:w="897"/>
        <w:gridCol w:w="776"/>
        <w:gridCol w:w="94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w:t>
            </w: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产品名称、规格型号</w:t>
            </w: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节字标志认证证书号</w:t>
            </w: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节能产品认证证书有效截止日期</w:t>
            </w: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单位</w:t>
            </w: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29" w:type="dxa"/>
            <w:gridSpan w:val="5"/>
            <w:noWrap w:val="0"/>
            <w:vAlign w:val="center"/>
          </w:tcPr>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合计金额</w:t>
            </w:r>
          </w:p>
        </w:tc>
        <w:tc>
          <w:tcPr>
            <w:tcW w:w="2617" w:type="dxa"/>
            <w:gridSpan w:val="3"/>
            <w:noWrap w:val="0"/>
            <w:vAlign w:val="center"/>
          </w:tcPr>
          <w:p>
            <w:pPr>
              <w:spacing w:line="440" w:lineRule="exact"/>
              <w:rPr>
                <w:rFonts w:hint="default" w:ascii="Times New Roman" w:hAnsi="Times New Roman" w:eastAsia="仿宋" w:cs="Times New Roman"/>
                <w:bCs/>
                <w:color w:val="auto"/>
                <w:sz w:val="24"/>
                <w:szCs w:val="24"/>
              </w:rPr>
            </w:pPr>
          </w:p>
        </w:tc>
      </w:tr>
    </w:tbl>
    <w:p>
      <w:pPr>
        <w:spacing w:line="440" w:lineRule="exact"/>
        <w:rPr>
          <w:rFonts w:hint="default" w:ascii="Times New Roman" w:hAnsi="Times New Roman" w:eastAsia="仿宋" w:cs="Times New Roman"/>
          <w:bCs/>
          <w:color w:val="auto"/>
          <w:sz w:val="24"/>
          <w:szCs w:val="24"/>
        </w:rPr>
      </w:pP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（2）环保产品明细清单                    报价货币种类</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金额单位：元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w:t>
            </w: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产品名称、规格型号</w:t>
            </w: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中国环境标志认证证书编号</w:t>
            </w: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认证证书有效截止日期</w:t>
            </w: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单位</w:t>
            </w: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合计金额</w:t>
            </w:r>
          </w:p>
        </w:tc>
        <w:tc>
          <w:tcPr>
            <w:tcW w:w="2602" w:type="dxa"/>
            <w:gridSpan w:val="3"/>
            <w:noWrap w:val="0"/>
            <w:vAlign w:val="center"/>
          </w:tcPr>
          <w:p>
            <w:pPr>
              <w:spacing w:line="440" w:lineRule="exact"/>
              <w:rPr>
                <w:rFonts w:hint="default" w:ascii="Times New Roman" w:hAnsi="Times New Roman" w:eastAsia="仿宋" w:cs="Times New Roman"/>
                <w:bCs/>
                <w:color w:val="auto"/>
                <w:sz w:val="24"/>
                <w:szCs w:val="24"/>
              </w:rPr>
            </w:pPr>
          </w:p>
        </w:tc>
      </w:tr>
    </w:tbl>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w:t>
      </w:r>
    </w:p>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若无货物属于优先采购节能、环境标志产品的，则不填写此表。</w:t>
      </w:r>
    </w:p>
    <w:p>
      <w:pPr>
        <w:adjustRightInd w:val="0"/>
        <w:snapToGrid w:val="0"/>
        <w:spacing w:line="440" w:lineRule="exact"/>
        <w:rPr>
          <w:rFonts w:hint="default" w:ascii="Times New Roman" w:hAnsi="Times New Roman" w:eastAsia="仿宋" w:cs="Times New Roman"/>
          <w:bCs/>
          <w:color w:val="auto"/>
          <w:sz w:val="24"/>
          <w:szCs w:val="24"/>
        </w:rPr>
      </w:pPr>
    </w:p>
    <w:p>
      <w:pPr>
        <w:adjustRightInd w:val="0"/>
        <w:snapToGrid w:val="0"/>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投标人（盖单位章）：</w:t>
      </w:r>
    </w:p>
    <w:p>
      <w:pPr>
        <w:adjustRightInd w:val="0"/>
        <w:snapToGrid w:val="0"/>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法定代表人或其委托代理人签字：</w:t>
      </w:r>
      <w:r>
        <w:rPr>
          <w:rFonts w:hint="default" w:ascii="Times New Roman" w:hAnsi="Times New Roman" w:eastAsia="仿宋" w:cs="Times New Roman"/>
          <w:bCs/>
          <w:color w:val="auto"/>
          <w:sz w:val="24"/>
          <w:szCs w:val="24"/>
          <w:u w:val="single"/>
        </w:rPr>
        <w:t xml:space="preserve">       </w:t>
      </w: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日</w:t>
      </w:r>
    </w:p>
    <w:p>
      <w:pPr>
        <w:adjustRightInd w:val="0"/>
        <w:snapToGrid w:val="0"/>
        <w:spacing w:line="440" w:lineRule="exact"/>
        <w:ind w:right="24"/>
        <w:rPr>
          <w:rFonts w:hint="default" w:ascii="Times New Roman" w:hAnsi="Times New Roman" w:eastAsia="仿宋" w:cs="Times New Roman"/>
          <w:bCs/>
          <w:color w:val="auto"/>
          <w:sz w:val="24"/>
          <w:szCs w:val="24"/>
        </w:rPr>
      </w:pPr>
    </w:p>
    <w:p>
      <w:pPr>
        <w:adjustRightInd w:val="0"/>
        <w:snapToGrid w:val="0"/>
        <w:spacing w:line="440" w:lineRule="exact"/>
        <w:ind w:right="24"/>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13.2 节能、环境标志产品证明材料</w:t>
      </w:r>
    </w:p>
    <w:p>
      <w:pPr>
        <w:adjustRightInd w:val="0"/>
        <w:snapToGrid w:val="0"/>
        <w:spacing w:line="440" w:lineRule="exact"/>
        <w:ind w:right="24"/>
        <w:rPr>
          <w:rFonts w:hint="default" w:ascii="Times New Roman" w:hAnsi="Times New Roman" w:eastAsia="仿宋" w:cs="Times New Roman"/>
          <w:bCs/>
          <w:color w:val="auto"/>
          <w:sz w:val="24"/>
          <w:szCs w:val="24"/>
        </w:rPr>
      </w:pP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1.节能产品：应在中国政府采购网（ ht tp://www.ccgp.gov.cn ）</w:t>
      </w: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2.环境标志产品：应在中国政府采购网（ http://www.ccgp.gov.cn ）</w:t>
      </w: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3.属优先采购节能、环境标志产品须从以上权威媒体网站上查询并打印结果。</w:t>
      </w:r>
    </w:p>
    <w:p>
      <w:pPr>
        <w:spacing w:line="440" w:lineRule="exact"/>
        <w:ind w:firstLine="218" w:firstLineChars="91"/>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t>4.证明材料加盖投标人公章。</w:t>
      </w:r>
    </w:p>
    <w:p>
      <w:pPr>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13.3  小微企业生产或销售的产品优惠明细表</w:t>
      </w:r>
    </w:p>
    <w:p>
      <w:pPr>
        <w:rPr>
          <w:rFonts w:hint="default" w:ascii="Times New Roman" w:hAnsi="Times New Roman" w:eastAsia="仿宋" w:cs="Times New Roman"/>
          <w:bCs/>
          <w:color w:val="auto"/>
          <w:sz w:val="24"/>
          <w:szCs w:val="24"/>
        </w:rPr>
      </w:pPr>
    </w:p>
    <w:p>
      <w:pPr>
        <w:pStyle w:val="88"/>
        <w:spacing w:line="440" w:lineRule="exact"/>
        <w:ind w:left="1680" w:leftChars="800" w:firstLine="4320" w:firstLineChars="18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报价货币种类：</w:t>
      </w:r>
      <w:r>
        <w:rPr>
          <w:rFonts w:hint="default" w:ascii="Times New Roman" w:hAnsi="Times New Roman" w:eastAsia="仿宋" w:cs="Times New Roman"/>
          <w:bCs/>
          <w:color w:val="auto"/>
          <w:sz w:val="24"/>
          <w:szCs w:val="24"/>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4</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5</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6</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标段（包）</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小型和微型企业产品名称</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报价（元）</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价格评审扣除金额（元）</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品牌型号规格</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8647" w:type="dxa"/>
            <w:gridSpan w:val="6"/>
            <w:noWrap w:val="0"/>
            <w:vAlign w:val="center"/>
          </w:tcPr>
          <w:p>
            <w:pPr>
              <w:tabs>
                <w:tab w:val="left" w:pos="5355"/>
              </w:tabs>
              <w:spacing w:line="380" w:lineRule="atLeas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本标段（包）总计：           （元）</w:t>
            </w:r>
          </w:p>
        </w:tc>
      </w:tr>
    </w:tbl>
    <w:p>
      <w:pPr>
        <w:pStyle w:val="88"/>
        <w:spacing w:line="440" w:lineRule="exact"/>
        <w:ind w:left="0" w:firstLine="0"/>
        <w:rPr>
          <w:rFonts w:hint="default" w:ascii="Times New Roman" w:hAnsi="Times New Roman" w:eastAsia="仿宋" w:cs="Times New Roman"/>
          <w:bCs/>
          <w:color w:val="auto"/>
          <w:sz w:val="24"/>
          <w:szCs w:val="24"/>
        </w:rPr>
      </w:pPr>
    </w:p>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w:t>
      </w:r>
    </w:p>
    <w:p>
      <w:pPr>
        <w:spacing w:line="440" w:lineRule="exact"/>
        <w:ind w:firstLine="42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1、当一个标段（包）内有多个属于小型和微型企业的产品时， 投标人应按序号详细填写。</w:t>
      </w:r>
    </w:p>
    <w:p>
      <w:pPr>
        <w:spacing w:line="440" w:lineRule="exact"/>
        <w:ind w:left="420" w:leftChars="2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2、栏目5=栏目4×招标文件规定的价格扣除比率的优惠幅度。</w:t>
      </w:r>
    </w:p>
    <w:p>
      <w:pPr>
        <w:spacing w:line="440" w:lineRule="exact"/>
        <w:ind w:firstLine="42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3、若所供应的产品不具备此类评审优惠条件，本“中小价格扣除明细表” 不必填写。</w:t>
      </w:r>
    </w:p>
    <w:p>
      <w:pPr>
        <w:spacing w:line="440" w:lineRule="exact"/>
        <w:ind w:firstLine="600"/>
        <w:rPr>
          <w:rFonts w:hint="default" w:ascii="Times New Roman" w:hAnsi="Times New Roman" w:eastAsia="仿宋" w:cs="Times New Roman"/>
          <w:bCs/>
          <w:color w:val="auto"/>
          <w:sz w:val="24"/>
          <w:szCs w:val="24"/>
        </w:rPr>
      </w:pPr>
    </w:p>
    <w:p>
      <w:pPr>
        <w:adjustRightInd w:val="0"/>
        <w:snapToGrid w:val="0"/>
        <w:spacing w:line="360" w:lineRule="auto"/>
        <w:jc w:val="right"/>
        <w:rPr>
          <w:rFonts w:hint="default" w:ascii="Times New Roman" w:hAnsi="Times New Roman" w:eastAsia="仿宋" w:cs="Times New Roman"/>
          <w:bCs/>
          <w:color w:val="auto"/>
          <w:sz w:val="24"/>
          <w:szCs w:val="24"/>
        </w:rPr>
      </w:pPr>
    </w:p>
    <w:p>
      <w:pPr>
        <w:adjustRightInd w:val="0"/>
        <w:snapToGrid w:val="0"/>
        <w:spacing w:line="360" w:lineRule="auto"/>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投标人（盖单位章）：</w:t>
      </w:r>
    </w:p>
    <w:p>
      <w:pPr>
        <w:adjustRightInd w:val="0"/>
        <w:snapToGrid w:val="0"/>
        <w:spacing w:line="360" w:lineRule="auto"/>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法定代表人或其委托代理人签字：</w:t>
      </w:r>
      <w:r>
        <w:rPr>
          <w:rFonts w:hint="default" w:ascii="Times New Roman" w:hAnsi="Times New Roman" w:eastAsia="仿宋" w:cs="Times New Roman"/>
          <w:bCs/>
          <w:color w:val="auto"/>
          <w:sz w:val="24"/>
          <w:szCs w:val="24"/>
          <w:u w:val="single"/>
        </w:rPr>
        <w:t xml:space="preserve">       </w:t>
      </w:r>
    </w:p>
    <w:p>
      <w:pPr>
        <w:adjustRightInd w:val="0"/>
        <w:snapToGrid w:val="0"/>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日</w:t>
      </w:r>
    </w:p>
    <w:p>
      <w:pPr>
        <w:spacing w:line="360" w:lineRule="auto"/>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 xml:space="preserve">13.4  </w:t>
      </w:r>
      <w:r>
        <w:rPr>
          <w:rFonts w:hint="default" w:ascii="Times New Roman" w:hAnsi="Times New Roman" w:eastAsia="仿宋" w:cs="Times New Roman"/>
          <w:bCs/>
          <w:color w:val="auto"/>
          <w:kern w:val="0"/>
          <w:sz w:val="24"/>
          <w:szCs w:val="24"/>
        </w:rPr>
        <w:t>中小微企业声明函</w:t>
      </w:r>
    </w:p>
    <w:p>
      <w:pPr>
        <w:widowControl/>
        <w:ind w:firstLine="480" w:firstLineChars="200"/>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中小企业声明函（货物）</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本公司（联合体） 郑重声明， 根据《政府采购促进中小企业发展管理办法》（财库﹝2020﹞ 46号）的规定，本公司（联合体）参加</w:t>
      </w:r>
      <w:r>
        <w:rPr>
          <w:rFonts w:hint="default" w:ascii="Times New Roman" w:hAnsi="Times New Roman" w:eastAsia="仿宋" w:cs="Times New Roman"/>
          <w:bCs/>
          <w:color w:val="auto"/>
          <w:kern w:val="0"/>
          <w:sz w:val="24"/>
          <w:szCs w:val="24"/>
          <w:u w:val="single"/>
        </w:rPr>
        <w:t>（单位名称）</w:t>
      </w:r>
      <w:r>
        <w:rPr>
          <w:rFonts w:hint="default" w:ascii="Times New Roman" w:hAnsi="Times New Roman" w:eastAsia="仿宋" w:cs="Times New Roman"/>
          <w:bCs/>
          <w:color w:val="auto"/>
          <w:kern w:val="0"/>
          <w:sz w:val="24"/>
          <w:szCs w:val="24"/>
        </w:rPr>
        <w:t xml:space="preserve"> 的</w:t>
      </w:r>
      <w:r>
        <w:rPr>
          <w:rFonts w:hint="default" w:ascii="Times New Roman" w:hAnsi="Times New Roman" w:eastAsia="仿宋" w:cs="Times New Roman"/>
          <w:bCs/>
          <w:color w:val="auto"/>
          <w:kern w:val="0"/>
          <w:sz w:val="24"/>
          <w:szCs w:val="24"/>
          <w:u w:val="single"/>
        </w:rPr>
        <w:t>（项目名称）</w:t>
      </w:r>
      <w:r>
        <w:rPr>
          <w:rFonts w:hint="default" w:ascii="Times New Roman" w:hAnsi="Times New Roman" w:eastAsia="仿宋" w:cs="Times New Roman"/>
          <w:bCs/>
          <w:color w:val="auto"/>
          <w:kern w:val="0"/>
          <w:sz w:val="24"/>
          <w:szCs w:val="24"/>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1. </w:t>
      </w:r>
      <w:r>
        <w:rPr>
          <w:rFonts w:hint="default" w:ascii="Times New Roman" w:hAnsi="Times New Roman" w:eastAsia="仿宋" w:cs="Times New Roman"/>
          <w:bCs/>
          <w:color w:val="auto"/>
          <w:kern w:val="0"/>
          <w:sz w:val="24"/>
          <w:szCs w:val="24"/>
          <w:u w:val="single"/>
        </w:rPr>
        <w:t>（标的名称）</w:t>
      </w:r>
      <w:r>
        <w:rPr>
          <w:rFonts w:hint="default" w:ascii="Times New Roman" w:hAnsi="Times New Roman" w:eastAsia="仿宋" w:cs="Times New Roman"/>
          <w:bCs/>
          <w:color w:val="auto"/>
          <w:kern w:val="0"/>
          <w:sz w:val="24"/>
          <w:szCs w:val="24"/>
        </w:rPr>
        <w:t xml:space="preserve"> ， 属于</w:t>
      </w:r>
      <w:r>
        <w:rPr>
          <w:rFonts w:hint="default" w:ascii="Times New Roman" w:hAnsi="Times New Roman" w:eastAsia="仿宋" w:cs="Times New Roman"/>
          <w:bCs/>
          <w:color w:val="auto"/>
          <w:kern w:val="0"/>
          <w:sz w:val="24"/>
          <w:szCs w:val="24"/>
          <w:u w:val="single"/>
        </w:rPr>
        <w:t>（采购文件中明确的所属行业）行业</w:t>
      </w:r>
      <w:r>
        <w:rPr>
          <w:rFonts w:hint="default" w:ascii="Times New Roman" w:hAnsi="Times New Roman" w:eastAsia="仿宋" w:cs="Times New Roman"/>
          <w:bCs/>
          <w:color w:val="auto"/>
          <w:kern w:val="0"/>
          <w:sz w:val="24"/>
          <w:szCs w:val="24"/>
        </w:rPr>
        <w:t>； 制造商为</w:t>
      </w:r>
      <w:r>
        <w:rPr>
          <w:rFonts w:hint="default" w:ascii="Times New Roman" w:hAnsi="Times New Roman" w:eastAsia="仿宋" w:cs="Times New Roman"/>
          <w:bCs/>
          <w:color w:val="auto"/>
          <w:kern w:val="0"/>
          <w:sz w:val="24"/>
          <w:szCs w:val="24"/>
          <w:u w:val="single"/>
        </w:rPr>
        <w:t>（ 企业名称）</w:t>
      </w:r>
      <w:r>
        <w:rPr>
          <w:rFonts w:hint="default" w:ascii="Times New Roman" w:hAnsi="Times New Roman" w:eastAsia="仿宋" w:cs="Times New Roman"/>
          <w:bCs/>
          <w:color w:val="auto"/>
          <w:kern w:val="0"/>
          <w:sz w:val="24"/>
          <w:szCs w:val="24"/>
        </w:rPr>
        <w:t>， 从业人员</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人， 营业收入为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资产总额为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w:t>
      </w:r>
      <w:r>
        <w:rPr>
          <w:rFonts w:hint="default" w:ascii="Times New Roman" w:hAnsi="Times New Roman" w:eastAsia="仿宋" w:cs="Times New Roman"/>
          <w:bCs/>
          <w:color w:val="auto"/>
          <w:kern w:val="0"/>
          <w:sz w:val="24"/>
          <w:szCs w:val="24"/>
          <w:vertAlign w:val="superscript"/>
        </w:rPr>
        <w:t>1</w:t>
      </w:r>
      <w:r>
        <w:rPr>
          <w:rFonts w:hint="default" w:ascii="Times New Roman" w:hAnsi="Times New Roman" w:eastAsia="仿宋" w:cs="Times New Roman"/>
          <w:bCs/>
          <w:color w:val="auto"/>
          <w:kern w:val="0"/>
          <w:sz w:val="24"/>
          <w:szCs w:val="24"/>
        </w:rPr>
        <w:t>， 属于（</w:t>
      </w:r>
      <w:r>
        <w:rPr>
          <w:rFonts w:hint="default" w:ascii="Times New Roman" w:hAnsi="Times New Roman" w:eastAsia="仿宋" w:cs="Times New Roman"/>
          <w:bCs/>
          <w:color w:val="auto"/>
          <w:kern w:val="0"/>
          <w:sz w:val="24"/>
          <w:szCs w:val="24"/>
          <w:u w:val="single"/>
        </w:rPr>
        <w:t>中型企业、 小型企业、 微型企业</w:t>
      </w: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2. </w:t>
      </w:r>
      <w:r>
        <w:rPr>
          <w:rFonts w:hint="default" w:ascii="Times New Roman" w:hAnsi="Times New Roman" w:eastAsia="仿宋" w:cs="Times New Roman"/>
          <w:bCs/>
          <w:color w:val="auto"/>
          <w:kern w:val="0"/>
          <w:sz w:val="24"/>
          <w:szCs w:val="24"/>
          <w:u w:val="single"/>
        </w:rPr>
        <w:t>（标的名称）</w:t>
      </w:r>
      <w:r>
        <w:rPr>
          <w:rFonts w:hint="default" w:ascii="Times New Roman" w:hAnsi="Times New Roman" w:eastAsia="仿宋" w:cs="Times New Roman"/>
          <w:bCs/>
          <w:color w:val="auto"/>
          <w:kern w:val="0"/>
          <w:sz w:val="24"/>
          <w:szCs w:val="24"/>
        </w:rPr>
        <w:t xml:space="preserve"> ， 属于</w:t>
      </w:r>
      <w:r>
        <w:rPr>
          <w:rFonts w:hint="default" w:ascii="Times New Roman" w:hAnsi="Times New Roman" w:eastAsia="仿宋" w:cs="Times New Roman"/>
          <w:bCs/>
          <w:color w:val="auto"/>
          <w:kern w:val="0"/>
          <w:sz w:val="24"/>
          <w:szCs w:val="24"/>
          <w:u w:val="single"/>
        </w:rPr>
        <w:t>（采购文件中明确的所属行业）</w:t>
      </w:r>
      <w:r>
        <w:rPr>
          <w:rFonts w:hint="default" w:ascii="Times New Roman" w:hAnsi="Times New Roman" w:eastAsia="仿宋" w:cs="Times New Roman"/>
          <w:bCs/>
          <w:color w:val="auto"/>
          <w:kern w:val="0"/>
          <w:sz w:val="24"/>
          <w:szCs w:val="24"/>
        </w:rPr>
        <w:t>行业； 制造商为</w:t>
      </w:r>
      <w:r>
        <w:rPr>
          <w:rFonts w:hint="default" w:ascii="Times New Roman" w:hAnsi="Times New Roman" w:eastAsia="仿宋" w:cs="Times New Roman"/>
          <w:bCs/>
          <w:color w:val="auto"/>
          <w:kern w:val="0"/>
          <w:sz w:val="24"/>
          <w:szCs w:val="24"/>
          <w:u w:val="single"/>
        </w:rPr>
        <w:t>（ 企业名称）</w:t>
      </w:r>
      <w:r>
        <w:rPr>
          <w:rFonts w:hint="default" w:ascii="Times New Roman" w:hAnsi="Times New Roman" w:eastAsia="仿宋" w:cs="Times New Roman"/>
          <w:bCs/>
          <w:color w:val="auto"/>
          <w:kern w:val="0"/>
          <w:sz w:val="24"/>
          <w:szCs w:val="24"/>
        </w:rPr>
        <w:t>， 从业人员</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人， 营业收为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资产总额为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属于</w:t>
      </w:r>
      <w:r>
        <w:rPr>
          <w:rFonts w:hint="default" w:ascii="Times New Roman" w:hAnsi="Times New Roman" w:eastAsia="仿宋" w:cs="Times New Roman"/>
          <w:bCs/>
          <w:color w:val="auto"/>
          <w:kern w:val="0"/>
          <w:sz w:val="24"/>
          <w:szCs w:val="24"/>
          <w:u w:val="single"/>
        </w:rPr>
        <w:t>（中型企业、 小型企业、 微型企业）</w:t>
      </w: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本企业对上述声明内容的真实性负责。 如有虚假， 将依法承担相应责任。</w:t>
      </w:r>
    </w:p>
    <w:p>
      <w:pPr>
        <w:widowControl/>
        <w:wordWrap w:val="0"/>
        <w:spacing w:line="360" w:lineRule="auto"/>
        <w:ind w:firstLine="480" w:firstLineChars="200"/>
        <w:jc w:val="right"/>
        <w:rPr>
          <w:rFonts w:hint="default" w:ascii="Times New Roman" w:hAnsi="Times New Roman" w:eastAsia="仿宋" w:cs="Times New Roman"/>
          <w:bCs/>
          <w:color w:val="auto"/>
          <w:kern w:val="0"/>
          <w:sz w:val="24"/>
          <w:szCs w:val="24"/>
        </w:rPr>
      </w:pPr>
    </w:p>
    <w:p>
      <w:pPr>
        <w:widowControl/>
        <w:wordWrap w:val="0"/>
        <w:spacing w:line="360" w:lineRule="auto"/>
        <w:ind w:firstLine="480" w:firstLineChars="200"/>
        <w:jc w:val="righ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企业名称（盖章）：        </w:t>
      </w:r>
    </w:p>
    <w:p>
      <w:pPr>
        <w:widowControl/>
        <w:wordWrap w:val="0"/>
        <w:spacing w:line="360" w:lineRule="auto"/>
        <w:ind w:right="480" w:firstLine="480" w:firstLineChars="200"/>
        <w:jc w:val="righ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日 期：      </w:t>
      </w:r>
    </w:p>
    <w:p>
      <w:pPr>
        <w:spacing w:line="360" w:lineRule="auto"/>
        <w:ind w:firstLine="480" w:firstLineChars="200"/>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eastAsia="zh-CN"/>
        </w:rPr>
        <w:t>注：</w:t>
      </w:r>
      <w:r>
        <w:rPr>
          <w:rFonts w:hint="default" w:ascii="Times New Roman" w:hAnsi="Times New Roman" w:eastAsia="仿宋" w:cs="Times New Roman"/>
          <w:b w:val="0"/>
          <w:bCs/>
          <w:color w:val="auto"/>
          <w:kern w:val="0"/>
          <w:sz w:val="22"/>
          <w:szCs w:val="22"/>
          <w:highlight w:val="none"/>
        </w:rPr>
        <w:t>从业人员、 营业收入、 资产总额填报上一年度数据， 无上一年度数据的新成立企业可不填报。（若响应文件中无上述文件，则在评审时不考虑对该小、微企业的相关优惠。）</w:t>
      </w:r>
      <w:r>
        <w:rPr>
          <w:rFonts w:hint="default" w:ascii="Times New Roman" w:hAnsi="Times New Roman" w:eastAsia="仿宋" w:cs="Times New Roman"/>
          <w:b w:val="0"/>
          <w:bCs/>
          <w:color w:val="auto"/>
          <w:kern w:val="0"/>
          <w:sz w:val="24"/>
          <w:szCs w:val="24"/>
          <w:highlight w:val="none"/>
        </w:rPr>
        <w:t xml:space="preserve"> </w:t>
      </w:r>
      <w:r>
        <w:rPr>
          <w:rFonts w:hint="default" w:ascii="Times New Roman" w:hAnsi="Times New Roman" w:eastAsia="仿宋" w:cs="Times New Roman"/>
          <w:b w:val="0"/>
          <w:bCs/>
          <w:color w:val="auto"/>
          <w:kern w:val="0"/>
          <w:sz w:val="24"/>
          <w:szCs w:val="24"/>
          <w:highlight w:val="none"/>
          <w:lang w:eastAsia="zh-CN"/>
        </w:rPr>
        <w:t>，</w:t>
      </w:r>
      <w:r>
        <w:rPr>
          <w:rFonts w:hint="default" w:ascii="Times New Roman" w:hAnsi="Times New Roman" w:eastAsia="仿宋" w:cs="Times New Roman"/>
          <w:b w:val="0"/>
          <w:bCs/>
          <w:color w:val="auto"/>
          <w:kern w:val="0"/>
          <w:sz w:val="24"/>
          <w:szCs w:val="24"/>
          <w:highlight w:val="none"/>
          <w:lang w:val="en-US" w:eastAsia="zh-CN"/>
        </w:rPr>
        <w:t>面向中小微企业项目，必须填写。</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 </w:t>
      </w:r>
    </w:p>
    <w:p>
      <w:pPr>
        <w:tabs>
          <w:tab w:val="left" w:pos="3777"/>
          <w:tab w:val="center" w:pos="4819"/>
        </w:tabs>
        <w:spacing w:line="440" w:lineRule="exact"/>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13.5</w:t>
      </w:r>
      <w:r>
        <w:rPr>
          <w:rFonts w:hint="default" w:ascii="Times New Roman" w:hAnsi="Times New Roman" w:eastAsia="仿宋" w:cs="Times New Roman"/>
          <w:bCs/>
          <w:color w:val="auto"/>
          <w:kern w:val="0"/>
          <w:sz w:val="24"/>
          <w:szCs w:val="24"/>
        </w:rPr>
        <w:t>监狱企业声明函</w:t>
      </w:r>
    </w:p>
    <w:p>
      <w:pPr>
        <w:spacing w:line="360" w:lineRule="auto"/>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（监狱企业适用）</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本条所称货物不包括使用大型企业注册商标的货物和服务。</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本公司对上述声明的真实性负责。如有虚假，将依法承担相应责任。</w:t>
      </w:r>
    </w:p>
    <w:p>
      <w:pPr>
        <w:spacing w:line="360" w:lineRule="auto"/>
        <w:ind w:firstLine="4860" w:firstLineChars="2025"/>
        <w:rPr>
          <w:rFonts w:hint="default" w:ascii="Times New Roman" w:hAnsi="Times New Roman" w:eastAsia="仿宋" w:cs="Times New Roman"/>
          <w:bCs/>
          <w:color w:val="auto"/>
          <w:kern w:val="0"/>
          <w:sz w:val="24"/>
          <w:szCs w:val="24"/>
        </w:rPr>
      </w:pPr>
    </w:p>
    <w:p>
      <w:pPr>
        <w:spacing w:line="360" w:lineRule="auto"/>
        <w:ind w:firstLine="4860" w:firstLineChars="20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企业名称（盖公章）：</w:t>
      </w:r>
    </w:p>
    <w:p>
      <w:pPr>
        <w:spacing w:line="360" w:lineRule="auto"/>
        <w:ind w:firstLine="4860" w:firstLineChars="20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法定代表人（负责人）或其授权代表(签字)：</w:t>
      </w:r>
    </w:p>
    <w:p>
      <w:pPr>
        <w:tabs>
          <w:tab w:val="left" w:pos="2880"/>
        </w:tabs>
        <w:spacing w:line="460" w:lineRule="atLeast"/>
        <w:ind w:firstLine="4800" w:firstLineChars="20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kern w:val="0"/>
          <w:sz w:val="24"/>
          <w:szCs w:val="24"/>
        </w:rPr>
        <w:t>日期：</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注：后附监狱企业资格证明文件</w:t>
      </w:r>
    </w:p>
    <w:p>
      <w:pPr>
        <w:spacing w:line="440" w:lineRule="exact"/>
        <w:ind w:firstLine="567"/>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t>2.证明材料加盖投标人公章。</w:t>
      </w:r>
    </w:p>
    <w:p>
      <w:pPr>
        <w:spacing w:line="360" w:lineRule="auto"/>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default" w:ascii="Times New Roman" w:hAnsi="Times New Roman" w:eastAsia="仿宋" w:cs="Times New Roman"/>
          <w:bCs/>
          <w:color w:val="auto"/>
          <w:sz w:val="24"/>
          <w:szCs w:val="24"/>
        </w:rPr>
      </w:pPr>
    </w:p>
    <w:p>
      <w:pPr>
        <w:tabs>
          <w:tab w:val="left" w:pos="3600"/>
        </w:tabs>
        <w:adjustRightInd w:val="0"/>
        <w:snapToGrid w:val="0"/>
        <w:spacing w:line="440" w:lineRule="exact"/>
        <w:jc w:val="center"/>
        <w:rPr>
          <w:rFonts w:hint="default" w:ascii="Times New Roman" w:hAnsi="Times New Roman" w:eastAsia="仿宋" w:cs="Times New Roman"/>
          <w:bCs/>
          <w:color w:val="auto"/>
          <w:sz w:val="24"/>
          <w:szCs w:val="24"/>
        </w:rPr>
        <w:sectPr>
          <w:pgSz w:w="11905" w:h="16838"/>
          <w:pgMar w:top="720" w:right="1417" w:bottom="720" w:left="1417" w:header="850" w:footer="992" w:gutter="0"/>
          <w:cols w:space="720" w:num="1"/>
          <w:docGrid w:type="lines" w:linePitch="416" w:charSpace="0"/>
        </w:sectPr>
      </w:pPr>
    </w:p>
    <w:p>
      <w:pPr>
        <w:tabs>
          <w:tab w:val="left" w:pos="3600"/>
        </w:tabs>
        <w:adjustRightInd w:val="0"/>
        <w:snapToGrid w:val="0"/>
        <w:spacing w:line="440" w:lineRule="exact"/>
        <w:jc w:val="center"/>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z w:val="24"/>
          <w:szCs w:val="24"/>
        </w:rPr>
        <w:t xml:space="preserve">13.6 </w:t>
      </w:r>
      <w:r>
        <w:rPr>
          <w:rFonts w:hint="default" w:ascii="Times New Roman" w:hAnsi="Times New Roman" w:eastAsia="仿宋" w:cs="Times New Roman"/>
          <w:bCs/>
          <w:color w:val="auto"/>
          <w:spacing w:val="6"/>
          <w:kern w:val="0"/>
          <w:sz w:val="24"/>
          <w:szCs w:val="24"/>
        </w:rPr>
        <w:t>残疾人福利性单位声明函</w:t>
      </w:r>
    </w:p>
    <w:p>
      <w:pPr>
        <w:autoSpaceDE w:val="0"/>
        <w:autoSpaceDN w:val="0"/>
        <w:adjustRightInd w:val="0"/>
        <w:spacing w:line="440" w:lineRule="exac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544" w:firstLineChars="2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单位名称（盖章）：</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rPr>
      </w:pPr>
      <w:r>
        <w:rPr>
          <w:rFonts w:hint="default" w:ascii="Times New Roman" w:hAnsi="Times New Roman" w:eastAsia="仿宋" w:cs="Times New Roman"/>
          <w:bCs/>
          <w:color w:val="auto"/>
          <w:spacing w:val="6"/>
          <w:kern w:val="0"/>
          <w:sz w:val="24"/>
          <w:szCs w:val="24"/>
        </w:rPr>
        <w:t xml:space="preserve">                                      日  期：</w:t>
      </w:r>
    </w:p>
    <w:p>
      <w:pPr>
        <w:widowControl/>
        <w:adjustRightInd w:val="0"/>
        <w:snapToGrid w:val="0"/>
        <w:spacing w:line="440" w:lineRule="exact"/>
        <w:ind w:firstLine="420" w:firstLineChars="200"/>
        <w:jc w:val="left"/>
        <w:rPr>
          <w:rFonts w:hint="default" w:ascii="Times New Roman" w:hAnsi="Times New Roman" w:eastAsia="仿宋" w:cs="Times New Roman"/>
          <w:bCs/>
          <w:color w:val="auto"/>
        </w:rPr>
      </w:pPr>
    </w:p>
    <w:p>
      <w:pPr>
        <w:spacing w:line="400" w:lineRule="atLeast"/>
        <w:ind w:firstLine="3730"/>
        <w:rPr>
          <w:rFonts w:hint="default" w:ascii="Times New Roman" w:hAnsi="Times New Roman" w:eastAsia="仿宋" w:cs="Times New Roman"/>
          <w:bCs/>
          <w:color w:val="auto"/>
          <w:sz w:val="24"/>
          <w:szCs w:val="24"/>
        </w:rPr>
      </w:pPr>
    </w:p>
    <w:p>
      <w:pPr>
        <w:pStyle w:val="9"/>
        <w:rPr>
          <w:rFonts w:hint="default" w:ascii="Times New Roman" w:hAnsi="Times New Roman" w:eastAsia="仿宋" w:cs="Times New Roman"/>
          <w:bCs/>
          <w:color w:val="auto"/>
        </w:rPr>
      </w:pPr>
    </w:p>
    <w:p>
      <w:pPr>
        <w:spacing w:line="400" w:lineRule="atLeast"/>
        <w:ind w:firstLine="3730"/>
        <w:rPr>
          <w:rFonts w:hint="default" w:ascii="Times New Roman" w:hAnsi="Times New Roman" w:eastAsia="仿宋" w:cs="Times New Roman"/>
          <w:bCs/>
          <w:color w:val="auto"/>
          <w:sz w:val="24"/>
          <w:szCs w:val="24"/>
        </w:rPr>
      </w:pPr>
    </w:p>
    <w:p>
      <w:pPr>
        <w:rPr>
          <w:rFonts w:eastAsia="仿宋"/>
          <w:sz w:val="28"/>
          <w:szCs w:val="28"/>
        </w:rPr>
      </w:pPr>
    </w:p>
    <w:sectPr>
      <w:headerReference r:id="rId14" w:type="default"/>
      <w:pgSz w:w="11905" w:h="16838"/>
      <w:pgMar w:top="720" w:right="1417" w:bottom="720" w:left="1417" w:header="850" w:footer="992" w:gutter="0"/>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17A12F27-FA31-495F-A746-F9DB6BDA9C1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lang w:val="zh-CN"/>
      </w:rPr>
      <w:t xml:space="preserve">  </w: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5"/>
      </w:rPr>
    </w:pPr>
    <w:r>
      <w:fldChar w:fldCharType="begin"/>
    </w:r>
    <w:r>
      <w:rPr>
        <w:rStyle w:val="35"/>
      </w:rPr>
      <w:instrText xml:space="preserve">PAGE  </w:instrTex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lang w:val="zh-CN"/>
      </w:rPr>
      <w:t xml:space="preserve">  </w: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rPr>
        <w:lang w:val="zh-CN"/>
      </w:rPr>
      <w:t xml:space="preserve">  </w:t>
    </w: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b/>
        <w:bCs/>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2E0E6"/>
    <w:multiLevelType w:val="singleLevel"/>
    <w:tmpl w:val="9892E0E6"/>
    <w:lvl w:ilvl="0" w:tentative="0">
      <w:start w:val="3"/>
      <w:numFmt w:val="chineseCounting"/>
      <w:suff w:val="space"/>
      <w:lvlText w:val="第%1部分"/>
      <w:lvlJc w:val="left"/>
      <w:rPr>
        <w:rFonts w:hint="eastAsia"/>
      </w:rPr>
    </w:lvl>
  </w:abstractNum>
  <w:abstractNum w:abstractNumId="1">
    <w:nsid w:val="AC317BE6"/>
    <w:multiLevelType w:val="multilevel"/>
    <w:tmpl w:val="AC317BE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39D271E8"/>
    <w:multiLevelType w:val="multilevel"/>
    <w:tmpl w:val="39D271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7">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3"/>
  </w:num>
  <w:num w:numId="4">
    <w:abstractNumId w:val="0"/>
  </w:num>
  <w:num w:numId="5">
    <w:abstractNumId w:val="10"/>
  </w:num>
  <w:num w:numId="6">
    <w:abstractNumId w:val="9"/>
  </w:num>
  <w:num w:numId="7">
    <w:abstractNumId w:val="8"/>
  </w:num>
  <w:num w:numId="8">
    <w:abstractNumId w:val="4"/>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TBkMmFjNDZlMTljNjA0NGQ0YjBiOGMzMjQ4ZjEifQ=="/>
  </w:docVars>
  <w:rsids>
    <w:rsidRoot w:val="001820A0"/>
    <w:rsid w:val="0000024D"/>
    <w:rsid w:val="000002FB"/>
    <w:rsid w:val="00000603"/>
    <w:rsid w:val="0000168B"/>
    <w:rsid w:val="00001F66"/>
    <w:rsid w:val="00002A60"/>
    <w:rsid w:val="00003963"/>
    <w:rsid w:val="00003CA2"/>
    <w:rsid w:val="00004276"/>
    <w:rsid w:val="00004C01"/>
    <w:rsid w:val="00004FFE"/>
    <w:rsid w:val="000055D7"/>
    <w:rsid w:val="0000664B"/>
    <w:rsid w:val="00006E1D"/>
    <w:rsid w:val="00006E55"/>
    <w:rsid w:val="00006E5A"/>
    <w:rsid w:val="000075E3"/>
    <w:rsid w:val="00007A01"/>
    <w:rsid w:val="00010A99"/>
    <w:rsid w:val="00011164"/>
    <w:rsid w:val="00011730"/>
    <w:rsid w:val="00011AAF"/>
    <w:rsid w:val="000130CB"/>
    <w:rsid w:val="00013111"/>
    <w:rsid w:val="000132BE"/>
    <w:rsid w:val="000133FA"/>
    <w:rsid w:val="00013A99"/>
    <w:rsid w:val="00013AA6"/>
    <w:rsid w:val="00014999"/>
    <w:rsid w:val="00014AAB"/>
    <w:rsid w:val="000150E1"/>
    <w:rsid w:val="000155ED"/>
    <w:rsid w:val="00015E7B"/>
    <w:rsid w:val="000160EB"/>
    <w:rsid w:val="00016364"/>
    <w:rsid w:val="00016801"/>
    <w:rsid w:val="000175E2"/>
    <w:rsid w:val="0001787A"/>
    <w:rsid w:val="00017897"/>
    <w:rsid w:val="00021674"/>
    <w:rsid w:val="000217CC"/>
    <w:rsid w:val="00022523"/>
    <w:rsid w:val="0002280A"/>
    <w:rsid w:val="00022B65"/>
    <w:rsid w:val="000230EA"/>
    <w:rsid w:val="0002354F"/>
    <w:rsid w:val="00023DEF"/>
    <w:rsid w:val="000244B1"/>
    <w:rsid w:val="000244F0"/>
    <w:rsid w:val="00024614"/>
    <w:rsid w:val="000248CD"/>
    <w:rsid w:val="0002515F"/>
    <w:rsid w:val="000251B7"/>
    <w:rsid w:val="000259B4"/>
    <w:rsid w:val="00026DE8"/>
    <w:rsid w:val="00026E8E"/>
    <w:rsid w:val="000279C8"/>
    <w:rsid w:val="00030F8C"/>
    <w:rsid w:val="00031000"/>
    <w:rsid w:val="00031A09"/>
    <w:rsid w:val="00031CF4"/>
    <w:rsid w:val="00031E94"/>
    <w:rsid w:val="00032696"/>
    <w:rsid w:val="0003351D"/>
    <w:rsid w:val="00033F17"/>
    <w:rsid w:val="00034469"/>
    <w:rsid w:val="00034521"/>
    <w:rsid w:val="000346F3"/>
    <w:rsid w:val="00034A51"/>
    <w:rsid w:val="00034C11"/>
    <w:rsid w:val="00035A40"/>
    <w:rsid w:val="00035D77"/>
    <w:rsid w:val="0003778A"/>
    <w:rsid w:val="00037A63"/>
    <w:rsid w:val="00037C04"/>
    <w:rsid w:val="0004003E"/>
    <w:rsid w:val="0004031A"/>
    <w:rsid w:val="00040908"/>
    <w:rsid w:val="00040B52"/>
    <w:rsid w:val="000411FB"/>
    <w:rsid w:val="00041E9F"/>
    <w:rsid w:val="00042BA3"/>
    <w:rsid w:val="00043722"/>
    <w:rsid w:val="00043A22"/>
    <w:rsid w:val="00043EEF"/>
    <w:rsid w:val="000448D9"/>
    <w:rsid w:val="00044C20"/>
    <w:rsid w:val="00044D95"/>
    <w:rsid w:val="000454D9"/>
    <w:rsid w:val="00045B87"/>
    <w:rsid w:val="00046397"/>
    <w:rsid w:val="00046518"/>
    <w:rsid w:val="00046E99"/>
    <w:rsid w:val="00047646"/>
    <w:rsid w:val="0005007D"/>
    <w:rsid w:val="0005375C"/>
    <w:rsid w:val="00055499"/>
    <w:rsid w:val="00055905"/>
    <w:rsid w:val="00055B1B"/>
    <w:rsid w:val="00055F29"/>
    <w:rsid w:val="0005616D"/>
    <w:rsid w:val="00056B24"/>
    <w:rsid w:val="000604E9"/>
    <w:rsid w:val="00060B55"/>
    <w:rsid w:val="00060D55"/>
    <w:rsid w:val="00060D57"/>
    <w:rsid w:val="00060EE9"/>
    <w:rsid w:val="00062196"/>
    <w:rsid w:val="00062466"/>
    <w:rsid w:val="00062A68"/>
    <w:rsid w:val="00063491"/>
    <w:rsid w:val="00063C78"/>
    <w:rsid w:val="00064579"/>
    <w:rsid w:val="00065670"/>
    <w:rsid w:val="00066B89"/>
    <w:rsid w:val="00066E47"/>
    <w:rsid w:val="000671D3"/>
    <w:rsid w:val="00067470"/>
    <w:rsid w:val="0006798E"/>
    <w:rsid w:val="0007087E"/>
    <w:rsid w:val="00070966"/>
    <w:rsid w:val="00070C7A"/>
    <w:rsid w:val="000711E5"/>
    <w:rsid w:val="00071A91"/>
    <w:rsid w:val="00071F67"/>
    <w:rsid w:val="00072604"/>
    <w:rsid w:val="00072763"/>
    <w:rsid w:val="00072DEB"/>
    <w:rsid w:val="0007335C"/>
    <w:rsid w:val="00075201"/>
    <w:rsid w:val="00075355"/>
    <w:rsid w:val="00075945"/>
    <w:rsid w:val="00076765"/>
    <w:rsid w:val="00076AC6"/>
    <w:rsid w:val="00077498"/>
    <w:rsid w:val="00077DF5"/>
    <w:rsid w:val="00077F16"/>
    <w:rsid w:val="0008033D"/>
    <w:rsid w:val="000806FF"/>
    <w:rsid w:val="00081917"/>
    <w:rsid w:val="0008238C"/>
    <w:rsid w:val="000823E9"/>
    <w:rsid w:val="000824E1"/>
    <w:rsid w:val="00082D22"/>
    <w:rsid w:val="00083526"/>
    <w:rsid w:val="0008420A"/>
    <w:rsid w:val="00084519"/>
    <w:rsid w:val="00084B31"/>
    <w:rsid w:val="00084B9B"/>
    <w:rsid w:val="000856C4"/>
    <w:rsid w:val="00085CFB"/>
    <w:rsid w:val="00086535"/>
    <w:rsid w:val="00087FD2"/>
    <w:rsid w:val="000906D8"/>
    <w:rsid w:val="00091451"/>
    <w:rsid w:val="00091CFB"/>
    <w:rsid w:val="00091D0C"/>
    <w:rsid w:val="00092AB8"/>
    <w:rsid w:val="00092E8D"/>
    <w:rsid w:val="000937AF"/>
    <w:rsid w:val="0009388A"/>
    <w:rsid w:val="0009435A"/>
    <w:rsid w:val="00096143"/>
    <w:rsid w:val="00096525"/>
    <w:rsid w:val="000967AD"/>
    <w:rsid w:val="000970DA"/>
    <w:rsid w:val="000977C9"/>
    <w:rsid w:val="00097902"/>
    <w:rsid w:val="0009797A"/>
    <w:rsid w:val="00097BAE"/>
    <w:rsid w:val="000A00E0"/>
    <w:rsid w:val="000A04B8"/>
    <w:rsid w:val="000A0749"/>
    <w:rsid w:val="000A0943"/>
    <w:rsid w:val="000A2C54"/>
    <w:rsid w:val="000A3251"/>
    <w:rsid w:val="000A37E0"/>
    <w:rsid w:val="000A3F7F"/>
    <w:rsid w:val="000A4521"/>
    <w:rsid w:val="000A46C6"/>
    <w:rsid w:val="000A4B10"/>
    <w:rsid w:val="000A4F7D"/>
    <w:rsid w:val="000A57D7"/>
    <w:rsid w:val="000A60CD"/>
    <w:rsid w:val="000A622A"/>
    <w:rsid w:val="000A663D"/>
    <w:rsid w:val="000A6F68"/>
    <w:rsid w:val="000A7781"/>
    <w:rsid w:val="000A7F2E"/>
    <w:rsid w:val="000B001D"/>
    <w:rsid w:val="000B05FA"/>
    <w:rsid w:val="000B0ABA"/>
    <w:rsid w:val="000B1B7F"/>
    <w:rsid w:val="000B1C9C"/>
    <w:rsid w:val="000B1FB7"/>
    <w:rsid w:val="000B2FD5"/>
    <w:rsid w:val="000B3563"/>
    <w:rsid w:val="000B3B28"/>
    <w:rsid w:val="000B4E76"/>
    <w:rsid w:val="000B5A32"/>
    <w:rsid w:val="000B6E82"/>
    <w:rsid w:val="000B7833"/>
    <w:rsid w:val="000B7BD9"/>
    <w:rsid w:val="000B7FB5"/>
    <w:rsid w:val="000C02D8"/>
    <w:rsid w:val="000C03FD"/>
    <w:rsid w:val="000C04E8"/>
    <w:rsid w:val="000C0E34"/>
    <w:rsid w:val="000C10DE"/>
    <w:rsid w:val="000C1ADA"/>
    <w:rsid w:val="000C1CE8"/>
    <w:rsid w:val="000C29DF"/>
    <w:rsid w:val="000C2D4E"/>
    <w:rsid w:val="000C381D"/>
    <w:rsid w:val="000C4196"/>
    <w:rsid w:val="000C45C3"/>
    <w:rsid w:val="000C46D7"/>
    <w:rsid w:val="000C5283"/>
    <w:rsid w:val="000C589F"/>
    <w:rsid w:val="000C58DE"/>
    <w:rsid w:val="000C6C7A"/>
    <w:rsid w:val="000C6CF0"/>
    <w:rsid w:val="000C745F"/>
    <w:rsid w:val="000D048B"/>
    <w:rsid w:val="000D0B3C"/>
    <w:rsid w:val="000D10BF"/>
    <w:rsid w:val="000D2067"/>
    <w:rsid w:val="000D28C7"/>
    <w:rsid w:val="000D29BD"/>
    <w:rsid w:val="000D40AC"/>
    <w:rsid w:val="000D442E"/>
    <w:rsid w:val="000D46B7"/>
    <w:rsid w:val="000D4AED"/>
    <w:rsid w:val="000D5295"/>
    <w:rsid w:val="000D6317"/>
    <w:rsid w:val="000D6738"/>
    <w:rsid w:val="000D77A5"/>
    <w:rsid w:val="000D77B0"/>
    <w:rsid w:val="000E0123"/>
    <w:rsid w:val="000E153E"/>
    <w:rsid w:val="000E1BF5"/>
    <w:rsid w:val="000E1DCA"/>
    <w:rsid w:val="000E1EF4"/>
    <w:rsid w:val="000E2A76"/>
    <w:rsid w:val="000E31E5"/>
    <w:rsid w:val="000E3DE9"/>
    <w:rsid w:val="000E428D"/>
    <w:rsid w:val="000E51DC"/>
    <w:rsid w:val="000E528B"/>
    <w:rsid w:val="000E53D0"/>
    <w:rsid w:val="000E61DB"/>
    <w:rsid w:val="000E69BB"/>
    <w:rsid w:val="000E73AE"/>
    <w:rsid w:val="000E79CA"/>
    <w:rsid w:val="000E7EB8"/>
    <w:rsid w:val="000F0993"/>
    <w:rsid w:val="000F14E6"/>
    <w:rsid w:val="000F1DAD"/>
    <w:rsid w:val="000F1F24"/>
    <w:rsid w:val="000F283D"/>
    <w:rsid w:val="000F2B06"/>
    <w:rsid w:val="000F2D83"/>
    <w:rsid w:val="000F2FB0"/>
    <w:rsid w:val="000F34A6"/>
    <w:rsid w:val="000F4207"/>
    <w:rsid w:val="000F42DA"/>
    <w:rsid w:val="000F47C5"/>
    <w:rsid w:val="000F4D32"/>
    <w:rsid w:val="000F5348"/>
    <w:rsid w:val="000F5399"/>
    <w:rsid w:val="000F5672"/>
    <w:rsid w:val="000F5E83"/>
    <w:rsid w:val="000F68E7"/>
    <w:rsid w:val="0010019D"/>
    <w:rsid w:val="0010063C"/>
    <w:rsid w:val="00101384"/>
    <w:rsid w:val="00102059"/>
    <w:rsid w:val="00102DC6"/>
    <w:rsid w:val="00102FFE"/>
    <w:rsid w:val="0010301B"/>
    <w:rsid w:val="0010333A"/>
    <w:rsid w:val="001035F2"/>
    <w:rsid w:val="001039E8"/>
    <w:rsid w:val="00104162"/>
    <w:rsid w:val="00105367"/>
    <w:rsid w:val="001056EF"/>
    <w:rsid w:val="00106004"/>
    <w:rsid w:val="001060AD"/>
    <w:rsid w:val="00106856"/>
    <w:rsid w:val="00106DC6"/>
    <w:rsid w:val="00107276"/>
    <w:rsid w:val="00107D50"/>
    <w:rsid w:val="00107DA0"/>
    <w:rsid w:val="00110C45"/>
    <w:rsid w:val="001126CA"/>
    <w:rsid w:val="00112C2E"/>
    <w:rsid w:val="00112FF2"/>
    <w:rsid w:val="00113266"/>
    <w:rsid w:val="00113563"/>
    <w:rsid w:val="00113AD1"/>
    <w:rsid w:val="00113DF4"/>
    <w:rsid w:val="001145DD"/>
    <w:rsid w:val="00114855"/>
    <w:rsid w:val="0011668C"/>
    <w:rsid w:val="00117C39"/>
    <w:rsid w:val="0012000E"/>
    <w:rsid w:val="00120045"/>
    <w:rsid w:val="00120306"/>
    <w:rsid w:val="0012037F"/>
    <w:rsid w:val="00120A5A"/>
    <w:rsid w:val="00121AF5"/>
    <w:rsid w:val="00123118"/>
    <w:rsid w:val="00123400"/>
    <w:rsid w:val="00123D19"/>
    <w:rsid w:val="00124502"/>
    <w:rsid w:val="00125C30"/>
    <w:rsid w:val="00125DFB"/>
    <w:rsid w:val="00126DAA"/>
    <w:rsid w:val="00126DDD"/>
    <w:rsid w:val="001275EE"/>
    <w:rsid w:val="00127BC7"/>
    <w:rsid w:val="00127BF4"/>
    <w:rsid w:val="00130212"/>
    <w:rsid w:val="00130663"/>
    <w:rsid w:val="00130C97"/>
    <w:rsid w:val="001310E0"/>
    <w:rsid w:val="0013264D"/>
    <w:rsid w:val="0013288D"/>
    <w:rsid w:val="001329F0"/>
    <w:rsid w:val="00132BA0"/>
    <w:rsid w:val="0013306F"/>
    <w:rsid w:val="00134753"/>
    <w:rsid w:val="00134925"/>
    <w:rsid w:val="00134BEE"/>
    <w:rsid w:val="00136528"/>
    <w:rsid w:val="00136551"/>
    <w:rsid w:val="00136861"/>
    <w:rsid w:val="00137284"/>
    <w:rsid w:val="00137F5F"/>
    <w:rsid w:val="001410D3"/>
    <w:rsid w:val="001411BE"/>
    <w:rsid w:val="0014171B"/>
    <w:rsid w:val="001420F0"/>
    <w:rsid w:val="0014235D"/>
    <w:rsid w:val="001437EA"/>
    <w:rsid w:val="00143A0B"/>
    <w:rsid w:val="00143F8F"/>
    <w:rsid w:val="001440A3"/>
    <w:rsid w:val="00144712"/>
    <w:rsid w:val="00144A86"/>
    <w:rsid w:val="00145712"/>
    <w:rsid w:val="001459AE"/>
    <w:rsid w:val="00146A72"/>
    <w:rsid w:val="00146DFE"/>
    <w:rsid w:val="00146EB0"/>
    <w:rsid w:val="00150084"/>
    <w:rsid w:val="001502FE"/>
    <w:rsid w:val="00150AD6"/>
    <w:rsid w:val="00150C59"/>
    <w:rsid w:val="00150CB9"/>
    <w:rsid w:val="00150CFA"/>
    <w:rsid w:val="00151093"/>
    <w:rsid w:val="001510B1"/>
    <w:rsid w:val="001511BA"/>
    <w:rsid w:val="00151D46"/>
    <w:rsid w:val="00152002"/>
    <w:rsid w:val="001525EB"/>
    <w:rsid w:val="001529D8"/>
    <w:rsid w:val="001533A7"/>
    <w:rsid w:val="00154E4F"/>
    <w:rsid w:val="00155409"/>
    <w:rsid w:val="00156899"/>
    <w:rsid w:val="001568DF"/>
    <w:rsid w:val="00156925"/>
    <w:rsid w:val="0016188E"/>
    <w:rsid w:val="001618BD"/>
    <w:rsid w:val="00161ACB"/>
    <w:rsid w:val="00161EF3"/>
    <w:rsid w:val="00163816"/>
    <w:rsid w:val="00164078"/>
    <w:rsid w:val="001642A8"/>
    <w:rsid w:val="001644CA"/>
    <w:rsid w:val="00164AC7"/>
    <w:rsid w:val="00164BB8"/>
    <w:rsid w:val="00164DD2"/>
    <w:rsid w:val="00165B33"/>
    <w:rsid w:val="00166287"/>
    <w:rsid w:val="00166347"/>
    <w:rsid w:val="00166D34"/>
    <w:rsid w:val="0017055E"/>
    <w:rsid w:val="00170AAF"/>
    <w:rsid w:val="00171718"/>
    <w:rsid w:val="001723A7"/>
    <w:rsid w:val="00172939"/>
    <w:rsid w:val="00172B77"/>
    <w:rsid w:val="00172E86"/>
    <w:rsid w:val="00172EC0"/>
    <w:rsid w:val="0017302B"/>
    <w:rsid w:val="001731C2"/>
    <w:rsid w:val="001735AA"/>
    <w:rsid w:val="001748D8"/>
    <w:rsid w:val="00174B79"/>
    <w:rsid w:val="00174BD6"/>
    <w:rsid w:val="00174FDD"/>
    <w:rsid w:val="00175CC3"/>
    <w:rsid w:val="001761EF"/>
    <w:rsid w:val="0017662A"/>
    <w:rsid w:val="00176E95"/>
    <w:rsid w:val="001779C5"/>
    <w:rsid w:val="00177E2B"/>
    <w:rsid w:val="0018068C"/>
    <w:rsid w:val="001807F4"/>
    <w:rsid w:val="00181CB9"/>
    <w:rsid w:val="00181CFD"/>
    <w:rsid w:val="00181FEE"/>
    <w:rsid w:val="001820A0"/>
    <w:rsid w:val="0018255E"/>
    <w:rsid w:val="00182BB6"/>
    <w:rsid w:val="00184186"/>
    <w:rsid w:val="001846BC"/>
    <w:rsid w:val="00184866"/>
    <w:rsid w:val="00184CD3"/>
    <w:rsid w:val="00185096"/>
    <w:rsid w:val="001859B2"/>
    <w:rsid w:val="00185C88"/>
    <w:rsid w:val="00187057"/>
    <w:rsid w:val="00190132"/>
    <w:rsid w:val="001908E9"/>
    <w:rsid w:val="00190DD6"/>
    <w:rsid w:val="001912C9"/>
    <w:rsid w:val="00191784"/>
    <w:rsid w:val="00191800"/>
    <w:rsid w:val="00191A46"/>
    <w:rsid w:val="00191C26"/>
    <w:rsid w:val="00192A1C"/>
    <w:rsid w:val="001932D0"/>
    <w:rsid w:val="00197ADB"/>
    <w:rsid w:val="00197C50"/>
    <w:rsid w:val="001A01F5"/>
    <w:rsid w:val="001A044D"/>
    <w:rsid w:val="001A067C"/>
    <w:rsid w:val="001A09A5"/>
    <w:rsid w:val="001A0EA9"/>
    <w:rsid w:val="001A0F49"/>
    <w:rsid w:val="001A1998"/>
    <w:rsid w:val="001A21CE"/>
    <w:rsid w:val="001A267F"/>
    <w:rsid w:val="001A2E7D"/>
    <w:rsid w:val="001A31A9"/>
    <w:rsid w:val="001A4B3A"/>
    <w:rsid w:val="001A5569"/>
    <w:rsid w:val="001A6086"/>
    <w:rsid w:val="001A6920"/>
    <w:rsid w:val="001A701C"/>
    <w:rsid w:val="001A743B"/>
    <w:rsid w:val="001A75E7"/>
    <w:rsid w:val="001B037C"/>
    <w:rsid w:val="001B053B"/>
    <w:rsid w:val="001B14A9"/>
    <w:rsid w:val="001B21AA"/>
    <w:rsid w:val="001B2A28"/>
    <w:rsid w:val="001B2D06"/>
    <w:rsid w:val="001B3F62"/>
    <w:rsid w:val="001B4FEF"/>
    <w:rsid w:val="001B5367"/>
    <w:rsid w:val="001B5861"/>
    <w:rsid w:val="001B5878"/>
    <w:rsid w:val="001B59DD"/>
    <w:rsid w:val="001B5B2D"/>
    <w:rsid w:val="001B5C15"/>
    <w:rsid w:val="001B5C9D"/>
    <w:rsid w:val="001B5F65"/>
    <w:rsid w:val="001B5FD8"/>
    <w:rsid w:val="001B62D5"/>
    <w:rsid w:val="001B6631"/>
    <w:rsid w:val="001B6810"/>
    <w:rsid w:val="001B6951"/>
    <w:rsid w:val="001B6DC7"/>
    <w:rsid w:val="001B73A8"/>
    <w:rsid w:val="001B7742"/>
    <w:rsid w:val="001B7B7C"/>
    <w:rsid w:val="001C017F"/>
    <w:rsid w:val="001C0182"/>
    <w:rsid w:val="001C07A8"/>
    <w:rsid w:val="001C0C2B"/>
    <w:rsid w:val="001C0FEC"/>
    <w:rsid w:val="001C1190"/>
    <w:rsid w:val="001C1206"/>
    <w:rsid w:val="001C2DF6"/>
    <w:rsid w:val="001C3215"/>
    <w:rsid w:val="001C34DD"/>
    <w:rsid w:val="001C3B06"/>
    <w:rsid w:val="001C3D09"/>
    <w:rsid w:val="001C4125"/>
    <w:rsid w:val="001C423E"/>
    <w:rsid w:val="001C55D1"/>
    <w:rsid w:val="001C55EB"/>
    <w:rsid w:val="001C58CB"/>
    <w:rsid w:val="001C5E9C"/>
    <w:rsid w:val="001C73FD"/>
    <w:rsid w:val="001C7AAA"/>
    <w:rsid w:val="001D055D"/>
    <w:rsid w:val="001D0A7F"/>
    <w:rsid w:val="001D0C8E"/>
    <w:rsid w:val="001D128D"/>
    <w:rsid w:val="001D1710"/>
    <w:rsid w:val="001D17D3"/>
    <w:rsid w:val="001D2D84"/>
    <w:rsid w:val="001D3A31"/>
    <w:rsid w:val="001D40DC"/>
    <w:rsid w:val="001D57A5"/>
    <w:rsid w:val="001D5A4A"/>
    <w:rsid w:val="001D5D8E"/>
    <w:rsid w:val="001D6128"/>
    <w:rsid w:val="001D663C"/>
    <w:rsid w:val="001E039F"/>
    <w:rsid w:val="001E0598"/>
    <w:rsid w:val="001E05A2"/>
    <w:rsid w:val="001E0AC5"/>
    <w:rsid w:val="001E0D54"/>
    <w:rsid w:val="001E10B6"/>
    <w:rsid w:val="001E1A7E"/>
    <w:rsid w:val="001E1E8B"/>
    <w:rsid w:val="001E208D"/>
    <w:rsid w:val="001E24CD"/>
    <w:rsid w:val="001E34C2"/>
    <w:rsid w:val="001E3E8E"/>
    <w:rsid w:val="001E3FEB"/>
    <w:rsid w:val="001F07B5"/>
    <w:rsid w:val="001F127B"/>
    <w:rsid w:val="001F167A"/>
    <w:rsid w:val="001F1CB7"/>
    <w:rsid w:val="001F1D61"/>
    <w:rsid w:val="001F38E7"/>
    <w:rsid w:val="001F40AB"/>
    <w:rsid w:val="001F4230"/>
    <w:rsid w:val="001F459B"/>
    <w:rsid w:val="001F4738"/>
    <w:rsid w:val="001F47E1"/>
    <w:rsid w:val="001F49B2"/>
    <w:rsid w:val="001F4BB4"/>
    <w:rsid w:val="001F4F0A"/>
    <w:rsid w:val="001F53C9"/>
    <w:rsid w:val="001F6691"/>
    <w:rsid w:val="001F691A"/>
    <w:rsid w:val="001F7592"/>
    <w:rsid w:val="001F7B69"/>
    <w:rsid w:val="002007A6"/>
    <w:rsid w:val="00200A10"/>
    <w:rsid w:val="00201166"/>
    <w:rsid w:val="0020256F"/>
    <w:rsid w:val="0020290A"/>
    <w:rsid w:val="00203E31"/>
    <w:rsid w:val="002041F3"/>
    <w:rsid w:val="002049E6"/>
    <w:rsid w:val="00204E18"/>
    <w:rsid w:val="002052BE"/>
    <w:rsid w:val="0020598A"/>
    <w:rsid w:val="002059FB"/>
    <w:rsid w:val="00206BEE"/>
    <w:rsid w:val="00206C6D"/>
    <w:rsid w:val="00206D75"/>
    <w:rsid w:val="00207643"/>
    <w:rsid w:val="00207D3E"/>
    <w:rsid w:val="0021009B"/>
    <w:rsid w:val="00210326"/>
    <w:rsid w:val="002117BC"/>
    <w:rsid w:val="002121F5"/>
    <w:rsid w:val="00212300"/>
    <w:rsid w:val="002127DE"/>
    <w:rsid w:val="00212876"/>
    <w:rsid w:val="00212C28"/>
    <w:rsid w:val="00212D75"/>
    <w:rsid w:val="00213123"/>
    <w:rsid w:val="002133E4"/>
    <w:rsid w:val="002143A5"/>
    <w:rsid w:val="002146AA"/>
    <w:rsid w:val="002146D2"/>
    <w:rsid w:val="0021495D"/>
    <w:rsid w:val="00214B9D"/>
    <w:rsid w:val="00215092"/>
    <w:rsid w:val="00215C52"/>
    <w:rsid w:val="00216D12"/>
    <w:rsid w:val="00216D78"/>
    <w:rsid w:val="00217B3A"/>
    <w:rsid w:val="00217D91"/>
    <w:rsid w:val="00217FD3"/>
    <w:rsid w:val="002204B5"/>
    <w:rsid w:val="00220C65"/>
    <w:rsid w:val="00221512"/>
    <w:rsid w:val="00221DFD"/>
    <w:rsid w:val="00222979"/>
    <w:rsid w:val="00222E2C"/>
    <w:rsid w:val="0022338B"/>
    <w:rsid w:val="00224E17"/>
    <w:rsid w:val="0022563A"/>
    <w:rsid w:val="002263BD"/>
    <w:rsid w:val="00226ADC"/>
    <w:rsid w:val="002272AF"/>
    <w:rsid w:val="00227318"/>
    <w:rsid w:val="00227A99"/>
    <w:rsid w:val="00230931"/>
    <w:rsid w:val="0023221D"/>
    <w:rsid w:val="002322BF"/>
    <w:rsid w:val="00232810"/>
    <w:rsid w:val="00232D7C"/>
    <w:rsid w:val="00233074"/>
    <w:rsid w:val="002330CB"/>
    <w:rsid w:val="002333B2"/>
    <w:rsid w:val="00233574"/>
    <w:rsid w:val="00233692"/>
    <w:rsid w:val="00234603"/>
    <w:rsid w:val="00234CCF"/>
    <w:rsid w:val="00235B48"/>
    <w:rsid w:val="00235BA7"/>
    <w:rsid w:val="00235BF2"/>
    <w:rsid w:val="00236CE6"/>
    <w:rsid w:val="0023724D"/>
    <w:rsid w:val="002402A7"/>
    <w:rsid w:val="00240845"/>
    <w:rsid w:val="00240BC6"/>
    <w:rsid w:val="00240DA5"/>
    <w:rsid w:val="002410D1"/>
    <w:rsid w:val="0024153B"/>
    <w:rsid w:val="0024371E"/>
    <w:rsid w:val="002442BE"/>
    <w:rsid w:val="00244F26"/>
    <w:rsid w:val="002469FE"/>
    <w:rsid w:val="00246BD4"/>
    <w:rsid w:val="0024715A"/>
    <w:rsid w:val="002473A4"/>
    <w:rsid w:val="002473BB"/>
    <w:rsid w:val="00247457"/>
    <w:rsid w:val="0024790C"/>
    <w:rsid w:val="00247E72"/>
    <w:rsid w:val="00247E85"/>
    <w:rsid w:val="0025010C"/>
    <w:rsid w:val="002513CB"/>
    <w:rsid w:val="002518F8"/>
    <w:rsid w:val="00251C5F"/>
    <w:rsid w:val="00253977"/>
    <w:rsid w:val="00254F6B"/>
    <w:rsid w:val="002555DE"/>
    <w:rsid w:val="002559AE"/>
    <w:rsid w:val="00255AA9"/>
    <w:rsid w:val="0025675A"/>
    <w:rsid w:val="00256D31"/>
    <w:rsid w:val="00257271"/>
    <w:rsid w:val="00257C36"/>
    <w:rsid w:val="002601BF"/>
    <w:rsid w:val="002608AE"/>
    <w:rsid w:val="00260D79"/>
    <w:rsid w:val="0026288F"/>
    <w:rsid w:val="00262F33"/>
    <w:rsid w:val="002631FB"/>
    <w:rsid w:val="00263ABB"/>
    <w:rsid w:val="0026430D"/>
    <w:rsid w:val="00264D89"/>
    <w:rsid w:val="002652C9"/>
    <w:rsid w:val="0027179E"/>
    <w:rsid w:val="00271CC1"/>
    <w:rsid w:val="00273752"/>
    <w:rsid w:val="00274B00"/>
    <w:rsid w:val="00274EAD"/>
    <w:rsid w:val="002757AC"/>
    <w:rsid w:val="002759D5"/>
    <w:rsid w:val="00276298"/>
    <w:rsid w:val="002763F1"/>
    <w:rsid w:val="002768CC"/>
    <w:rsid w:val="002768D5"/>
    <w:rsid w:val="00276A41"/>
    <w:rsid w:val="00276D1B"/>
    <w:rsid w:val="002775DB"/>
    <w:rsid w:val="00280027"/>
    <w:rsid w:val="002801A6"/>
    <w:rsid w:val="00280AAF"/>
    <w:rsid w:val="002810B1"/>
    <w:rsid w:val="00281868"/>
    <w:rsid w:val="00281D21"/>
    <w:rsid w:val="00282792"/>
    <w:rsid w:val="00282F79"/>
    <w:rsid w:val="00284237"/>
    <w:rsid w:val="002842D9"/>
    <w:rsid w:val="00284332"/>
    <w:rsid w:val="00284451"/>
    <w:rsid w:val="00284D1F"/>
    <w:rsid w:val="00284DAB"/>
    <w:rsid w:val="00284ED2"/>
    <w:rsid w:val="002861E2"/>
    <w:rsid w:val="002864B3"/>
    <w:rsid w:val="00290446"/>
    <w:rsid w:val="00290732"/>
    <w:rsid w:val="00290D16"/>
    <w:rsid w:val="00291181"/>
    <w:rsid w:val="00291721"/>
    <w:rsid w:val="002919E7"/>
    <w:rsid w:val="00291B56"/>
    <w:rsid w:val="00291F33"/>
    <w:rsid w:val="002924F4"/>
    <w:rsid w:val="0029302E"/>
    <w:rsid w:val="0029340F"/>
    <w:rsid w:val="00293744"/>
    <w:rsid w:val="0029397E"/>
    <w:rsid w:val="00294003"/>
    <w:rsid w:val="00294ABC"/>
    <w:rsid w:val="00294AF1"/>
    <w:rsid w:val="00296560"/>
    <w:rsid w:val="00297151"/>
    <w:rsid w:val="002A059B"/>
    <w:rsid w:val="002A0729"/>
    <w:rsid w:val="002A0841"/>
    <w:rsid w:val="002A08B4"/>
    <w:rsid w:val="002A1602"/>
    <w:rsid w:val="002A1C5F"/>
    <w:rsid w:val="002A239B"/>
    <w:rsid w:val="002A2502"/>
    <w:rsid w:val="002A2A36"/>
    <w:rsid w:val="002A2EFC"/>
    <w:rsid w:val="002A32EE"/>
    <w:rsid w:val="002A3386"/>
    <w:rsid w:val="002A35C7"/>
    <w:rsid w:val="002A3994"/>
    <w:rsid w:val="002A41E6"/>
    <w:rsid w:val="002A43A4"/>
    <w:rsid w:val="002A5FE7"/>
    <w:rsid w:val="002A7C6A"/>
    <w:rsid w:val="002B082F"/>
    <w:rsid w:val="002B1713"/>
    <w:rsid w:val="002B1965"/>
    <w:rsid w:val="002B1DB0"/>
    <w:rsid w:val="002B1FA2"/>
    <w:rsid w:val="002B213B"/>
    <w:rsid w:val="002B29FA"/>
    <w:rsid w:val="002B2B29"/>
    <w:rsid w:val="002B30F3"/>
    <w:rsid w:val="002B3E1F"/>
    <w:rsid w:val="002B4205"/>
    <w:rsid w:val="002B5FF6"/>
    <w:rsid w:val="002B6FF9"/>
    <w:rsid w:val="002B7384"/>
    <w:rsid w:val="002B7C38"/>
    <w:rsid w:val="002B7CBB"/>
    <w:rsid w:val="002B7FB4"/>
    <w:rsid w:val="002C01FF"/>
    <w:rsid w:val="002C1695"/>
    <w:rsid w:val="002C16FA"/>
    <w:rsid w:val="002C1FC5"/>
    <w:rsid w:val="002C210F"/>
    <w:rsid w:val="002C2CD1"/>
    <w:rsid w:val="002C3437"/>
    <w:rsid w:val="002C3442"/>
    <w:rsid w:val="002C3535"/>
    <w:rsid w:val="002C45E3"/>
    <w:rsid w:val="002C4D24"/>
    <w:rsid w:val="002C52E5"/>
    <w:rsid w:val="002C6002"/>
    <w:rsid w:val="002C60A6"/>
    <w:rsid w:val="002C6444"/>
    <w:rsid w:val="002C656F"/>
    <w:rsid w:val="002C6E68"/>
    <w:rsid w:val="002D063C"/>
    <w:rsid w:val="002D0849"/>
    <w:rsid w:val="002D0CD0"/>
    <w:rsid w:val="002D0DD3"/>
    <w:rsid w:val="002D15CD"/>
    <w:rsid w:val="002D1680"/>
    <w:rsid w:val="002D179C"/>
    <w:rsid w:val="002D1FD5"/>
    <w:rsid w:val="002D211D"/>
    <w:rsid w:val="002D29C7"/>
    <w:rsid w:val="002D385A"/>
    <w:rsid w:val="002D418B"/>
    <w:rsid w:val="002D4BD9"/>
    <w:rsid w:val="002D53F4"/>
    <w:rsid w:val="002D54BD"/>
    <w:rsid w:val="002D5B40"/>
    <w:rsid w:val="002D5F0D"/>
    <w:rsid w:val="002D6846"/>
    <w:rsid w:val="002D68E6"/>
    <w:rsid w:val="002D767B"/>
    <w:rsid w:val="002D785D"/>
    <w:rsid w:val="002D7A6F"/>
    <w:rsid w:val="002D7ED5"/>
    <w:rsid w:val="002E0435"/>
    <w:rsid w:val="002E0E55"/>
    <w:rsid w:val="002E151F"/>
    <w:rsid w:val="002E1971"/>
    <w:rsid w:val="002E1B7E"/>
    <w:rsid w:val="002E2138"/>
    <w:rsid w:val="002E21AC"/>
    <w:rsid w:val="002E4219"/>
    <w:rsid w:val="002E4AAE"/>
    <w:rsid w:val="002E4F5D"/>
    <w:rsid w:val="002E5BA7"/>
    <w:rsid w:val="002E5D0B"/>
    <w:rsid w:val="002E62BA"/>
    <w:rsid w:val="002E6E54"/>
    <w:rsid w:val="002E70AE"/>
    <w:rsid w:val="002E7895"/>
    <w:rsid w:val="002E7FED"/>
    <w:rsid w:val="002F1CB8"/>
    <w:rsid w:val="002F1DF2"/>
    <w:rsid w:val="002F218D"/>
    <w:rsid w:val="002F2C48"/>
    <w:rsid w:val="002F3078"/>
    <w:rsid w:val="002F3187"/>
    <w:rsid w:val="002F3215"/>
    <w:rsid w:val="002F3F7A"/>
    <w:rsid w:val="002F410F"/>
    <w:rsid w:val="002F4861"/>
    <w:rsid w:val="002F5FAA"/>
    <w:rsid w:val="002F62BE"/>
    <w:rsid w:val="002F6C03"/>
    <w:rsid w:val="002F748E"/>
    <w:rsid w:val="002F7D81"/>
    <w:rsid w:val="003002CB"/>
    <w:rsid w:val="00300339"/>
    <w:rsid w:val="0030045A"/>
    <w:rsid w:val="0030053B"/>
    <w:rsid w:val="00300A53"/>
    <w:rsid w:val="00300DB2"/>
    <w:rsid w:val="00300E60"/>
    <w:rsid w:val="003016B8"/>
    <w:rsid w:val="00301939"/>
    <w:rsid w:val="00301BD6"/>
    <w:rsid w:val="00302EE8"/>
    <w:rsid w:val="00303A1B"/>
    <w:rsid w:val="0030480F"/>
    <w:rsid w:val="00305AAD"/>
    <w:rsid w:val="00306BED"/>
    <w:rsid w:val="003071EB"/>
    <w:rsid w:val="00307B53"/>
    <w:rsid w:val="0031151F"/>
    <w:rsid w:val="00311ABB"/>
    <w:rsid w:val="003122E4"/>
    <w:rsid w:val="003124E5"/>
    <w:rsid w:val="00312603"/>
    <w:rsid w:val="00312A71"/>
    <w:rsid w:val="00314689"/>
    <w:rsid w:val="003147D4"/>
    <w:rsid w:val="00314A40"/>
    <w:rsid w:val="00314AAA"/>
    <w:rsid w:val="00315CE5"/>
    <w:rsid w:val="00317A1E"/>
    <w:rsid w:val="00317CD9"/>
    <w:rsid w:val="00317CDE"/>
    <w:rsid w:val="00320530"/>
    <w:rsid w:val="00320AA3"/>
    <w:rsid w:val="00320C84"/>
    <w:rsid w:val="003216AD"/>
    <w:rsid w:val="00322DE7"/>
    <w:rsid w:val="0032324F"/>
    <w:rsid w:val="003234A2"/>
    <w:rsid w:val="00323E02"/>
    <w:rsid w:val="003249A9"/>
    <w:rsid w:val="003257C2"/>
    <w:rsid w:val="00325C00"/>
    <w:rsid w:val="00325FD3"/>
    <w:rsid w:val="00326236"/>
    <w:rsid w:val="00326489"/>
    <w:rsid w:val="003271B1"/>
    <w:rsid w:val="00327693"/>
    <w:rsid w:val="003307D9"/>
    <w:rsid w:val="00331137"/>
    <w:rsid w:val="00331462"/>
    <w:rsid w:val="0033167A"/>
    <w:rsid w:val="00331DA5"/>
    <w:rsid w:val="00331E37"/>
    <w:rsid w:val="00331E70"/>
    <w:rsid w:val="00332290"/>
    <w:rsid w:val="00332934"/>
    <w:rsid w:val="00332FF1"/>
    <w:rsid w:val="00333591"/>
    <w:rsid w:val="003337C6"/>
    <w:rsid w:val="0033384B"/>
    <w:rsid w:val="00334084"/>
    <w:rsid w:val="003340BE"/>
    <w:rsid w:val="0033420B"/>
    <w:rsid w:val="00334BD6"/>
    <w:rsid w:val="003366DE"/>
    <w:rsid w:val="00336890"/>
    <w:rsid w:val="00336B1C"/>
    <w:rsid w:val="00336CD4"/>
    <w:rsid w:val="00336FB8"/>
    <w:rsid w:val="003370A4"/>
    <w:rsid w:val="00337DE9"/>
    <w:rsid w:val="003401E5"/>
    <w:rsid w:val="00340B1C"/>
    <w:rsid w:val="00340B4E"/>
    <w:rsid w:val="00340D36"/>
    <w:rsid w:val="00341234"/>
    <w:rsid w:val="00341759"/>
    <w:rsid w:val="00341AC1"/>
    <w:rsid w:val="00341B4F"/>
    <w:rsid w:val="00342071"/>
    <w:rsid w:val="003420AF"/>
    <w:rsid w:val="003424F1"/>
    <w:rsid w:val="0034255E"/>
    <w:rsid w:val="003429A3"/>
    <w:rsid w:val="00342D4B"/>
    <w:rsid w:val="0034327A"/>
    <w:rsid w:val="00343C2F"/>
    <w:rsid w:val="00344117"/>
    <w:rsid w:val="00344881"/>
    <w:rsid w:val="00344A53"/>
    <w:rsid w:val="00345321"/>
    <w:rsid w:val="00345627"/>
    <w:rsid w:val="00345716"/>
    <w:rsid w:val="00345829"/>
    <w:rsid w:val="00345C77"/>
    <w:rsid w:val="00346406"/>
    <w:rsid w:val="0034673C"/>
    <w:rsid w:val="00346A26"/>
    <w:rsid w:val="00350803"/>
    <w:rsid w:val="003509BB"/>
    <w:rsid w:val="003514E7"/>
    <w:rsid w:val="003519C8"/>
    <w:rsid w:val="00351D02"/>
    <w:rsid w:val="003520E6"/>
    <w:rsid w:val="0035242A"/>
    <w:rsid w:val="0035291E"/>
    <w:rsid w:val="00352BA3"/>
    <w:rsid w:val="00352E59"/>
    <w:rsid w:val="0035360D"/>
    <w:rsid w:val="00353D10"/>
    <w:rsid w:val="00353DED"/>
    <w:rsid w:val="003550E0"/>
    <w:rsid w:val="0035572B"/>
    <w:rsid w:val="00355DFB"/>
    <w:rsid w:val="00355F11"/>
    <w:rsid w:val="0035623C"/>
    <w:rsid w:val="003562BA"/>
    <w:rsid w:val="0035657A"/>
    <w:rsid w:val="00356BD9"/>
    <w:rsid w:val="00356BDA"/>
    <w:rsid w:val="00356EE9"/>
    <w:rsid w:val="0035727A"/>
    <w:rsid w:val="00357CE5"/>
    <w:rsid w:val="0036028E"/>
    <w:rsid w:val="003603F9"/>
    <w:rsid w:val="00360474"/>
    <w:rsid w:val="00360630"/>
    <w:rsid w:val="00361351"/>
    <w:rsid w:val="003619C4"/>
    <w:rsid w:val="0036248A"/>
    <w:rsid w:val="00363010"/>
    <w:rsid w:val="003636A4"/>
    <w:rsid w:val="0036399E"/>
    <w:rsid w:val="00363C34"/>
    <w:rsid w:val="00364480"/>
    <w:rsid w:val="003645BC"/>
    <w:rsid w:val="0036506C"/>
    <w:rsid w:val="003656F0"/>
    <w:rsid w:val="0036593A"/>
    <w:rsid w:val="0036597C"/>
    <w:rsid w:val="00365B4C"/>
    <w:rsid w:val="00366158"/>
    <w:rsid w:val="00366846"/>
    <w:rsid w:val="00366931"/>
    <w:rsid w:val="00367685"/>
    <w:rsid w:val="00367984"/>
    <w:rsid w:val="00370D28"/>
    <w:rsid w:val="003714AC"/>
    <w:rsid w:val="003714AD"/>
    <w:rsid w:val="003717E4"/>
    <w:rsid w:val="00372783"/>
    <w:rsid w:val="00372F00"/>
    <w:rsid w:val="00373078"/>
    <w:rsid w:val="00374F92"/>
    <w:rsid w:val="00374FB9"/>
    <w:rsid w:val="00375013"/>
    <w:rsid w:val="00375107"/>
    <w:rsid w:val="00375388"/>
    <w:rsid w:val="00375538"/>
    <w:rsid w:val="003766E3"/>
    <w:rsid w:val="00376EE4"/>
    <w:rsid w:val="00377008"/>
    <w:rsid w:val="0037763B"/>
    <w:rsid w:val="00377C28"/>
    <w:rsid w:val="00380227"/>
    <w:rsid w:val="003805DE"/>
    <w:rsid w:val="003812DA"/>
    <w:rsid w:val="00381430"/>
    <w:rsid w:val="00381768"/>
    <w:rsid w:val="00381A66"/>
    <w:rsid w:val="00381D3C"/>
    <w:rsid w:val="003822E9"/>
    <w:rsid w:val="00382BF5"/>
    <w:rsid w:val="00382D29"/>
    <w:rsid w:val="003848ED"/>
    <w:rsid w:val="00385C69"/>
    <w:rsid w:val="00385CFE"/>
    <w:rsid w:val="00387469"/>
    <w:rsid w:val="00387FDA"/>
    <w:rsid w:val="0039064F"/>
    <w:rsid w:val="003906D9"/>
    <w:rsid w:val="003912BF"/>
    <w:rsid w:val="00391328"/>
    <w:rsid w:val="00391DB5"/>
    <w:rsid w:val="003932D1"/>
    <w:rsid w:val="003948C1"/>
    <w:rsid w:val="00395113"/>
    <w:rsid w:val="00395840"/>
    <w:rsid w:val="003969A1"/>
    <w:rsid w:val="00396E85"/>
    <w:rsid w:val="00397016"/>
    <w:rsid w:val="00397931"/>
    <w:rsid w:val="0039795E"/>
    <w:rsid w:val="003979A6"/>
    <w:rsid w:val="00397F34"/>
    <w:rsid w:val="003A0200"/>
    <w:rsid w:val="003A04D1"/>
    <w:rsid w:val="003A08F5"/>
    <w:rsid w:val="003A09E2"/>
    <w:rsid w:val="003A1FB5"/>
    <w:rsid w:val="003A32CF"/>
    <w:rsid w:val="003A3434"/>
    <w:rsid w:val="003A389A"/>
    <w:rsid w:val="003A3C61"/>
    <w:rsid w:val="003A4D74"/>
    <w:rsid w:val="003A65BA"/>
    <w:rsid w:val="003A704B"/>
    <w:rsid w:val="003A793C"/>
    <w:rsid w:val="003A7E9B"/>
    <w:rsid w:val="003A7F31"/>
    <w:rsid w:val="003B0EE9"/>
    <w:rsid w:val="003B1142"/>
    <w:rsid w:val="003B177A"/>
    <w:rsid w:val="003B2636"/>
    <w:rsid w:val="003B2687"/>
    <w:rsid w:val="003B29ED"/>
    <w:rsid w:val="003B322F"/>
    <w:rsid w:val="003B485F"/>
    <w:rsid w:val="003B6241"/>
    <w:rsid w:val="003B6441"/>
    <w:rsid w:val="003B73D9"/>
    <w:rsid w:val="003C093E"/>
    <w:rsid w:val="003C136B"/>
    <w:rsid w:val="003C2A6C"/>
    <w:rsid w:val="003C2C5A"/>
    <w:rsid w:val="003C315F"/>
    <w:rsid w:val="003C3236"/>
    <w:rsid w:val="003C33DD"/>
    <w:rsid w:val="003C3528"/>
    <w:rsid w:val="003C375F"/>
    <w:rsid w:val="003C3ABC"/>
    <w:rsid w:val="003C469E"/>
    <w:rsid w:val="003C491B"/>
    <w:rsid w:val="003C5008"/>
    <w:rsid w:val="003C56BA"/>
    <w:rsid w:val="003C6DFA"/>
    <w:rsid w:val="003C7345"/>
    <w:rsid w:val="003D0251"/>
    <w:rsid w:val="003D0D85"/>
    <w:rsid w:val="003D0DEF"/>
    <w:rsid w:val="003D2175"/>
    <w:rsid w:val="003D2C38"/>
    <w:rsid w:val="003D3462"/>
    <w:rsid w:val="003D3ECB"/>
    <w:rsid w:val="003D43E6"/>
    <w:rsid w:val="003D4C65"/>
    <w:rsid w:val="003D5000"/>
    <w:rsid w:val="003D5075"/>
    <w:rsid w:val="003D53A7"/>
    <w:rsid w:val="003D683C"/>
    <w:rsid w:val="003D7952"/>
    <w:rsid w:val="003D7D2B"/>
    <w:rsid w:val="003E0598"/>
    <w:rsid w:val="003E09CF"/>
    <w:rsid w:val="003E0FA8"/>
    <w:rsid w:val="003E2C91"/>
    <w:rsid w:val="003E2FBD"/>
    <w:rsid w:val="003E35C0"/>
    <w:rsid w:val="003E3B18"/>
    <w:rsid w:val="003E53B5"/>
    <w:rsid w:val="003E5AC1"/>
    <w:rsid w:val="003E6107"/>
    <w:rsid w:val="003E638F"/>
    <w:rsid w:val="003E6E6C"/>
    <w:rsid w:val="003E702D"/>
    <w:rsid w:val="003E72A5"/>
    <w:rsid w:val="003E7468"/>
    <w:rsid w:val="003E7FAB"/>
    <w:rsid w:val="003F03AE"/>
    <w:rsid w:val="003F0879"/>
    <w:rsid w:val="003F08F8"/>
    <w:rsid w:val="003F1253"/>
    <w:rsid w:val="003F165B"/>
    <w:rsid w:val="003F1B94"/>
    <w:rsid w:val="003F2879"/>
    <w:rsid w:val="003F2EB5"/>
    <w:rsid w:val="003F34FF"/>
    <w:rsid w:val="003F40E2"/>
    <w:rsid w:val="003F4B1F"/>
    <w:rsid w:val="003F5D0C"/>
    <w:rsid w:val="003F5FC3"/>
    <w:rsid w:val="003F640D"/>
    <w:rsid w:val="003F74B8"/>
    <w:rsid w:val="003F7C87"/>
    <w:rsid w:val="003F7EBA"/>
    <w:rsid w:val="004001F9"/>
    <w:rsid w:val="004006C4"/>
    <w:rsid w:val="00400A44"/>
    <w:rsid w:val="00402462"/>
    <w:rsid w:val="00402EDE"/>
    <w:rsid w:val="00403089"/>
    <w:rsid w:val="004038C1"/>
    <w:rsid w:val="00403AD2"/>
    <w:rsid w:val="00403C10"/>
    <w:rsid w:val="0040445A"/>
    <w:rsid w:val="004045B8"/>
    <w:rsid w:val="004051AC"/>
    <w:rsid w:val="004055EC"/>
    <w:rsid w:val="00405B55"/>
    <w:rsid w:val="00405D34"/>
    <w:rsid w:val="00406723"/>
    <w:rsid w:val="00406E32"/>
    <w:rsid w:val="004079CE"/>
    <w:rsid w:val="00407D28"/>
    <w:rsid w:val="00407F52"/>
    <w:rsid w:val="00410A28"/>
    <w:rsid w:val="004116C7"/>
    <w:rsid w:val="00412C03"/>
    <w:rsid w:val="00412F7B"/>
    <w:rsid w:val="0041331E"/>
    <w:rsid w:val="0041335A"/>
    <w:rsid w:val="0041349D"/>
    <w:rsid w:val="00413C0B"/>
    <w:rsid w:val="00415322"/>
    <w:rsid w:val="00415B35"/>
    <w:rsid w:val="00416191"/>
    <w:rsid w:val="00416AC0"/>
    <w:rsid w:val="00416CD4"/>
    <w:rsid w:val="004176A0"/>
    <w:rsid w:val="00417735"/>
    <w:rsid w:val="00417BD7"/>
    <w:rsid w:val="004201B8"/>
    <w:rsid w:val="004201F1"/>
    <w:rsid w:val="004203A8"/>
    <w:rsid w:val="0042069D"/>
    <w:rsid w:val="00420890"/>
    <w:rsid w:val="00422B39"/>
    <w:rsid w:val="00423412"/>
    <w:rsid w:val="00423C43"/>
    <w:rsid w:val="004242E3"/>
    <w:rsid w:val="004252DF"/>
    <w:rsid w:val="00425401"/>
    <w:rsid w:val="00426824"/>
    <w:rsid w:val="00426E12"/>
    <w:rsid w:val="00427848"/>
    <w:rsid w:val="00427B11"/>
    <w:rsid w:val="00427CAB"/>
    <w:rsid w:val="0043072F"/>
    <w:rsid w:val="00430DFC"/>
    <w:rsid w:val="0043167A"/>
    <w:rsid w:val="004317EC"/>
    <w:rsid w:val="00432008"/>
    <w:rsid w:val="004320C1"/>
    <w:rsid w:val="00432766"/>
    <w:rsid w:val="00433491"/>
    <w:rsid w:val="004337D0"/>
    <w:rsid w:val="00433B8B"/>
    <w:rsid w:val="0043476A"/>
    <w:rsid w:val="00434F25"/>
    <w:rsid w:val="0043543B"/>
    <w:rsid w:val="004355ED"/>
    <w:rsid w:val="00435728"/>
    <w:rsid w:val="00435879"/>
    <w:rsid w:val="00435EA3"/>
    <w:rsid w:val="00436D7E"/>
    <w:rsid w:val="004372C4"/>
    <w:rsid w:val="00437584"/>
    <w:rsid w:val="00437F65"/>
    <w:rsid w:val="00440016"/>
    <w:rsid w:val="00440696"/>
    <w:rsid w:val="00440F0B"/>
    <w:rsid w:val="0044132C"/>
    <w:rsid w:val="00441924"/>
    <w:rsid w:val="00441D63"/>
    <w:rsid w:val="00442395"/>
    <w:rsid w:val="00442571"/>
    <w:rsid w:val="004428DA"/>
    <w:rsid w:val="00442C64"/>
    <w:rsid w:val="00443121"/>
    <w:rsid w:val="0044330C"/>
    <w:rsid w:val="00443D41"/>
    <w:rsid w:val="00443D75"/>
    <w:rsid w:val="00443E49"/>
    <w:rsid w:val="0044422D"/>
    <w:rsid w:val="00444F10"/>
    <w:rsid w:val="004453CB"/>
    <w:rsid w:val="00445A64"/>
    <w:rsid w:val="00446128"/>
    <w:rsid w:val="00446CAF"/>
    <w:rsid w:val="004471B7"/>
    <w:rsid w:val="0045031C"/>
    <w:rsid w:val="0045043E"/>
    <w:rsid w:val="0045130C"/>
    <w:rsid w:val="004518F7"/>
    <w:rsid w:val="00451CC0"/>
    <w:rsid w:val="00452702"/>
    <w:rsid w:val="0045375D"/>
    <w:rsid w:val="004537CC"/>
    <w:rsid w:val="00453BE4"/>
    <w:rsid w:val="004540A6"/>
    <w:rsid w:val="00454237"/>
    <w:rsid w:val="00454C50"/>
    <w:rsid w:val="00454CC3"/>
    <w:rsid w:val="00454ED6"/>
    <w:rsid w:val="0045582D"/>
    <w:rsid w:val="00455E67"/>
    <w:rsid w:val="004566A7"/>
    <w:rsid w:val="00456842"/>
    <w:rsid w:val="00457366"/>
    <w:rsid w:val="0045798E"/>
    <w:rsid w:val="00457F31"/>
    <w:rsid w:val="004603DB"/>
    <w:rsid w:val="00460624"/>
    <w:rsid w:val="00460D57"/>
    <w:rsid w:val="0046116F"/>
    <w:rsid w:val="00461695"/>
    <w:rsid w:val="004618E5"/>
    <w:rsid w:val="0046218A"/>
    <w:rsid w:val="00462B20"/>
    <w:rsid w:val="00463479"/>
    <w:rsid w:val="0046382D"/>
    <w:rsid w:val="00463B51"/>
    <w:rsid w:val="00464478"/>
    <w:rsid w:val="0046478C"/>
    <w:rsid w:val="00464E0F"/>
    <w:rsid w:val="0046519F"/>
    <w:rsid w:val="0046531C"/>
    <w:rsid w:val="004656B7"/>
    <w:rsid w:val="004663E1"/>
    <w:rsid w:val="0046696F"/>
    <w:rsid w:val="004671DF"/>
    <w:rsid w:val="00467E18"/>
    <w:rsid w:val="0047015D"/>
    <w:rsid w:val="00470AB9"/>
    <w:rsid w:val="00471366"/>
    <w:rsid w:val="004713A4"/>
    <w:rsid w:val="00471499"/>
    <w:rsid w:val="0047194A"/>
    <w:rsid w:val="0047197C"/>
    <w:rsid w:val="004722B4"/>
    <w:rsid w:val="00474D29"/>
    <w:rsid w:val="00474D76"/>
    <w:rsid w:val="00474F8A"/>
    <w:rsid w:val="0047508B"/>
    <w:rsid w:val="00475729"/>
    <w:rsid w:val="004764D8"/>
    <w:rsid w:val="00476534"/>
    <w:rsid w:val="00476821"/>
    <w:rsid w:val="00476E96"/>
    <w:rsid w:val="00477245"/>
    <w:rsid w:val="00477714"/>
    <w:rsid w:val="00477990"/>
    <w:rsid w:val="00477AAD"/>
    <w:rsid w:val="004800D8"/>
    <w:rsid w:val="00480238"/>
    <w:rsid w:val="0048102F"/>
    <w:rsid w:val="00481759"/>
    <w:rsid w:val="00482603"/>
    <w:rsid w:val="004826ED"/>
    <w:rsid w:val="0048336E"/>
    <w:rsid w:val="004833C7"/>
    <w:rsid w:val="0048347B"/>
    <w:rsid w:val="004837E0"/>
    <w:rsid w:val="00483971"/>
    <w:rsid w:val="00483C1E"/>
    <w:rsid w:val="0048679C"/>
    <w:rsid w:val="0048682B"/>
    <w:rsid w:val="00486886"/>
    <w:rsid w:val="0048718B"/>
    <w:rsid w:val="0048794A"/>
    <w:rsid w:val="00487A24"/>
    <w:rsid w:val="00487C84"/>
    <w:rsid w:val="00487DC8"/>
    <w:rsid w:val="00487F4B"/>
    <w:rsid w:val="00487F86"/>
    <w:rsid w:val="00487FC0"/>
    <w:rsid w:val="0049077A"/>
    <w:rsid w:val="004909A8"/>
    <w:rsid w:val="00490B84"/>
    <w:rsid w:val="004912D4"/>
    <w:rsid w:val="00491552"/>
    <w:rsid w:val="0049167D"/>
    <w:rsid w:val="00491F45"/>
    <w:rsid w:val="00492453"/>
    <w:rsid w:val="00493CD4"/>
    <w:rsid w:val="00494F97"/>
    <w:rsid w:val="0049586D"/>
    <w:rsid w:val="00497504"/>
    <w:rsid w:val="00497F1E"/>
    <w:rsid w:val="00497F97"/>
    <w:rsid w:val="004A0952"/>
    <w:rsid w:val="004A140E"/>
    <w:rsid w:val="004A26E4"/>
    <w:rsid w:val="004A2854"/>
    <w:rsid w:val="004A396E"/>
    <w:rsid w:val="004A3FDB"/>
    <w:rsid w:val="004A4E3E"/>
    <w:rsid w:val="004A5240"/>
    <w:rsid w:val="004A584C"/>
    <w:rsid w:val="004B071D"/>
    <w:rsid w:val="004B1164"/>
    <w:rsid w:val="004B12FE"/>
    <w:rsid w:val="004B1AD2"/>
    <w:rsid w:val="004B2097"/>
    <w:rsid w:val="004B2A99"/>
    <w:rsid w:val="004B2CAD"/>
    <w:rsid w:val="004B35A4"/>
    <w:rsid w:val="004B367C"/>
    <w:rsid w:val="004B3A7E"/>
    <w:rsid w:val="004B3BBE"/>
    <w:rsid w:val="004B3F7B"/>
    <w:rsid w:val="004B41E2"/>
    <w:rsid w:val="004B4524"/>
    <w:rsid w:val="004B48E8"/>
    <w:rsid w:val="004B4C79"/>
    <w:rsid w:val="004B555B"/>
    <w:rsid w:val="004B5646"/>
    <w:rsid w:val="004B653A"/>
    <w:rsid w:val="004B661D"/>
    <w:rsid w:val="004B6A1A"/>
    <w:rsid w:val="004B6C69"/>
    <w:rsid w:val="004B70E5"/>
    <w:rsid w:val="004C00DD"/>
    <w:rsid w:val="004C093D"/>
    <w:rsid w:val="004C0B9A"/>
    <w:rsid w:val="004C0FE0"/>
    <w:rsid w:val="004C199B"/>
    <w:rsid w:val="004C23FA"/>
    <w:rsid w:val="004C33A9"/>
    <w:rsid w:val="004C382A"/>
    <w:rsid w:val="004C3C28"/>
    <w:rsid w:val="004C3EA9"/>
    <w:rsid w:val="004C456F"/>
    <w:rsid w:val="004C59CE"/>
    <w:rsid w:val="004C5E3A"/>
    <w:rsid w:val="004C6533"/>
    <w:rsid w:val="004C688F"/>
    <w:rsid w:val="004C6A90"/>
    <w:rsid w:val="004C6B00"/>
    <w:rsid w:val="004C77C3"/>
    <w:rsid w:val="004D0A69"/>
    <w:rsid w:val="004D10EB"/>
    <w:rsid w:val="004D1120"/>
    <w:rsid w:val="004D16E5"/>
    <w:rsid w:val="004D21EB"/>
    <w:rsid w:val="004D2DB8"/>
    <w:rsid w:val="004D38A9"/>
    <w:rsid w:val="004D4B37"/>
    <w:rsid w:val="004D4CBE"/>
    <w:rsid w:val="004D4E25"/>
    <w:rsid w:val="004D52C1"/>
    <w:rsid w:val="004D5CB1"/>
    <w:rsid w:val="004D63B4"/>
    <w:rsid w:val="004D6C34"/>
    <w:rsid w:val="004D7439"/>
    <w:rsid w:val="004E0171"/>
    <w:rsid w:val="004E0744"/>
    <w:rsid w:val="004E0B6B"/>
    <w:rsid w:val="004E1392"/>
    <w:rsid w:val="004E16A5"/>
    <w:rsid w:val="004E1FED"/>
    <w:rsid w:val="004E2FE5"/>
    <w:rsid w:val="004E4894"/>
    <w:rsid w:val="004E5954"/>
    <w:rsid w:val="004E5BB3"/>
    <w:rsid w:val="004E624F"/>
    <w:rsid w:val="004E626D"/>
    <w:rsid w:val="004E6296"/>
    <w:rsid w:val="004E64CF"/>
    <w:rsid w:val="004E65D1"/>
    <w:rsid w:val="004E68C4"/>
    <w:rsid w:val="004E6ECF"/>
    <w:rsid w:val="004E72FB"/>
    <w:rsid w:val="004E7528"/>
    <w:rsid w:val="004F076A"/>
    <w:rsid w:val="004F0A02"/>
    <w:rsid w:val="004F224F"/>
    <w:rsid w:val="004F2509"/>
    <w:rsid w:val="004F33CE"/>
    <w:rsid w:val="004F3D3C"/>
    <w:rsid w:val="004F3F8B"/>
    <w:rsid w:val="004F48DD"/>
    <w:rsid w:val="004F4DBF"/>
    <w:rsid w:val="004F4F2C"/>
    <w:rsid w:val="004F555C"/>
    <w:rsid w:val="004F59AB"/>
    <w:rsid w:val="004F5D16"/>
    <w:rsid w:val="004F5F37"/>
    <w:rsid w:val="004F6536"/>
    <w:rsid w:val="004F665C"/>
    <w:rsid w:val="004F6B8E"/>
    <w:rsid w:val="004F6C35"/>
    <w:rsid w:val="004F779D"/>
    <w:rsid w:val="004F7C2A"/>
    <w:rsid w:val="00500B3D"/>
    <w:rsid w:val="00500FF4"/>
    <w:rsid w:val="005011DE"/>
    <w:rsid w:val="00501346"/>
    <w:rsid w:val="0050135D"/>
    <w:rsid w:val="00501624"/>
    <w:rsid w:val="00501636"/>
    <w:rsid w:val="00501A26"/>
    <w:rsid w:val="00502317"/>
    <w:rsid w:val="0050278F"/>
    <w:rsid w:val="0050279D"/>
    <w:rsid w:val="00502C0D"/>
    <w:rsid w:val="0050338E"/>
    <w:rsid w:val="0050439B"/>
    <w:rsid w:val="00504AF9"/>
    <w:rsid w:val="00505279"/>
    <w:rsid w:val="0050547D"/>
    <w:rsid w:val="005056F3"/>
    <w:rsid w:val="005058E1"/>
    <w:rsid w:val="00505AEE"/>
    <w:rsid w:val="00505B00"/>
    <w:rsid w:val="00505D2E"/>
    <w:rsid w:val="005060B4"/>
    <w:rsid w:val="0050615B"/>
    <w:rsid w:val="00506268"/>
    <w:rsid w:val="00506BB6"/>
    <w:rsid w:val="00506C49"/>
    <w:rsid w:val="00506DF6"/>
    <w:rsid w:val="00506F99"/>
    <w:rsid w:val="00507208"/>
    <w:rsid w:val="00507956"/>
    <w:rsid w:val="00510976"/>
    <w:rsid w:val="0051118D"/>
    <w:rsid w:val="005118C7"/>
    <w:rsid w:val="00512896"/>
    <w:rsid w:val="005135AE"/>
    <w:rsid w:val="00513F90"/>
    <w:rsid w:val="00514030"/>
    <w:rsid w:val="0051456A"/>
    <w:rsid w:val="00514B7F"/>
    <w:rsid w:val="0051541B"/>
    <w:rsid w:val="00515480"/>
    <w:rsid w:val="00515681"/>
    <w:rsid w:val="005157CF"/>
    <w:rsid w:val="00515C1C"/>
    <w:rsid w:val="00515C84"/>
    <w:rsid w:val="00516619"/>
    <w:rsid w:val="00516949"/>
    <w:rsid w:val="00517C88"/>
    <w:rsid w:val="00517E31"/>
    <w:rsid w:val="005208B9"/>
    <w:rsid w:val="005217B4"/>
    <w:rsid w:val="00522026"/>
    <w:rsid w:val="00522977"/>
    <w:rsid w:val="0052402A"/>
    <w:rsid w:val="00524508"/>
    <w:rsid w:val="0052479E"/>
    <w:rsid w:val="00524E99"/>
    <w:rsid w:val="005250DF"/>
    <w:rsid w:val="00525936"/>
    <w:rsid w:val="00525D15"/>
    <w:rsid w:val="00527111"/>
    <w:rsid w:val="005301F7"/>
    <w:rsid w:val="0053055D"/>
    <w:rsid w:val="00530919"/>
    <w:rsid w:val="00531293"/>
    <w:rsid w:val="00531C81"/>
    <w:rsid w:val="0053357C"/>
    <w:rsid w:val="005336F5"/>
    <w:rsid w:val="005341F0"/>
    <w:rsid w:val="0053451C"/>
    <w:rsid w:val="0053475E"/>
    <w:rsid w:val="00534C06"/>
    <w:rsid w:val="005352DC"/>
    <w:rsid w:val="005352F1"/>
    <w:rsid w:val="005368B4"/>
    <w:rsid w:val="00536A1B"/>
    <w:rsid w:val="0053725B"/>
    <w:rsid w:val="00537D05"/>
    <w:rsid w:val="0054085C"/>
    <w:rsid w:val="00540A73"/>
    <w:rsid w:val="00542913"/>
    <w:rsid w:val="005429E2"/>
    <w:rsid w:val="00542AC3"/>
    <w:rsid w:val="00542E75"/>
    <w:rsid w:val="005433E7"/>
    <w:rsid w:val="00544175"/>
    <w:rsid w:val="00544DEF"/>
    <w:rsid w:val="00545058"/>
    <w:rsid w:val="00545306"/>
    <w:rsid w:val="00546040"/>
    <w:rsid w:val="00546E0F"/>
    <w:rsid w:val="005474B7"/>
    <w:rsid w:val="00550081"/>
    <w:rsid w:val="00550252"/>
    <w:rsid w:val="0055086A"/>
    <w:rsid w:val="0055131F"/>
    <w:rsid w:val="00551689"/>
    <w:rsid w:val="005516EB"/>
    <w:rsid w:val="005520AF"/>
    <w:rsid w:val="005522A0"/>
    <w:rsid w:val="00553A55"/>
    <w:rsid w:val="0055477F"/>
    <w:rsid w:val="005548A4"/>
    <w:rsid w:val="00554A15"/>
    <w:rsid w:val="00554DE7"/>
    <w:rsid w:val="00555EC4"/>
    <w:rsid w:val="00555F71"/>
    <w:rsid w:val="00556BE3"/>
    <w:rsid w:val="00557328"/>
    <w:rsid w:val="00557717"/>
    <w:rsid w:val="005579DD"/>
    <w:rsid w:val="00557DE6"/>
    <w:rsid w:val="00561907"/>
    <w:rsid w:val="00563138"/>
    <w:rsid w:val="005640A6"/>
    <w:rsid w:val="00564358"/>
    <w:rsid w:val="0056437D"/>
    <w:rsid w:val="00564B10"/>
    <w:rsid w:val="005655A7"/>
    <w:rsid w:val="00565B22"/>
    <w:rsid w:val="00565E87"/>
    <w:rsid w:val="00565FB9"/>
    <w:rsid w:val="005664CB"/>
    <w:rsid w:val="00566846"/>
    <w:rsid w:val="005668DA"/>
    <w:rsid w:val="0056711A"/>
    <w:rsid w:val="00567276"/>
    <w:rsid w:val="00567704"/>
    <w:rsid w:val="00567DCB"/>
    <w:rsid w:val="005709B1"/>
    <w:rsid w:val="00572128"/>
    <w:rsid w:val="00572BBD"/>
    <w:rsid w:val="00572F55"/>
    <w:rsid w:val="0057408D"/>
    <w:rsid w:val="005741DA"/>
    <w:rsid w:val="00574B5E"/>
    <w:rsid w:val="00575312"/>
    <w:rsid w:val="005758DD"/>
    <w:rsid w:val="00575D5A"/>
    <w:rsid w:val="005768E0"/>
    <w:rsid w:val="00576B6D"/>
    <w:rsid w:val="0057715B"/>
    <w:rsid w:val="00577905"/>
    <w:rsid w:val="00577CA9"/>
    <w:rsid w:val="00577DEE"/>
    <w:rsid w:val="00580610"/>
    <w:rsid w:val="005807A6"/>
    <w:rsid w:val="00581644"/>
    <w:rsid w:val="00581B56"/>
    <w:rsid w:val="00581EDE"/>
    <w:rsid w:val="00581F00"/>
    <w:rsid w:val="005830C6"/>
    <w:rsid w:val="005836F9"/>
    <w:rsid w:val="00583AA7"/>
    <w:rsid w:val="005846C3"/>
    <w:rsid w:val="00585C39"/>
    <w:rsid w:val="005869FA"/>
    <w:rsid w:val="00586CF3"/>
    <w:rsid w:val="005872AD"/>
    <w:rsid w:val="0058760A"/>
    <w:rsid w:val="005877A7"/>
    <w:rsid w:val="00590DCD"/>
    <w:rsid w:val="00591475"/>
    <w:rsid w:val="00591A0F"/>
    <w:rsid w:val="00591B68"/>
    <w:rsid w:val="00593516"/>
    <w:rsid w:val="005944A0"/>
    <w:rsid w:val="0059456A"/>
    <w:rsid w:val="00594905"/>
    <w:rsid w:val="0059508F"/>
    <w:rsid w:val="005954E4"/>
    <w:rsid w:val="00595782"/>
    <w:rsid w:val="00595EB0"/>
    <w:rsid w:val="00596B35"/>
    <w:rsid w:val="005971DF"/>
    <w:rsid w:val="005A0205"/>
    <w:rsid w:val="005A0465"/>
    <w:rsid w:val="005A0557"/>
    <w:rsid w:val="005A09EE"/>
    <w:rsid w:val="005A0B6B"/>
    <w:rsid w:val="005A1214"/>
    <w:rsid w:val="005A1EA7"/>
    <w:rsid w:val="005A2003"/>
    <w:rsid w:val="005A20F7"/>
    <w:rsid w:val="005A271B"/>
    <w:rsid w:val="005A2B10"/>
    <w:rsid w:val="005A416A"/>
    <w:rsid w:val="005A57EC"/>
    <w:rsid w:val="005A5C4E"/>
    <w:rsid w:val="005A5EFE"/>
    <w:rsid w:val="005A68C2"/>
    <w:rsid w:val="005A6FA4"/>
    <w:rsid w:val="005A71F4"/>
    <w:rsid w:val="005A732F"/>
    <w:rsid w:val="005A7535"/>
    <w:rsid w:val="005A7DF7"/>
    <w:rsid w:val="005B04B0"/>
    <w:rsid w:val="005B07E1"/>
    <w:rsid w:val="005B0E16"/>
    <w:rsid w:val="005B16B3"/>
    <w:rsid w:val="005B2B38"/>
    <w:rsid w:val="005B41A6"/>
    <w:rsid w:val="005B4605"/>
    <w:rsid w:val="005B48E1"/>
    <w:rsid w:val="005B5920"/>
    <w:rsid w:val="005B5B96"/>
    <w:rsid w:val="005B5D2D"/>
    <w:rsid w:val="005B60A9"/>
    <w:rsid w:val="005B60ED"/>
    <w:rsid w:val="005B688D"/>
    <w:rsid w:val="005B6B05"/>
    <w:rsid w:val="005B6E5C"/>
    <w:rsid w:val="005B720A"/>
    <w:rsid w:val="005B72E0"/>
    <w:rsid w:val="005B7B7A"/>
    <w:rsid w:val="005B7C07"/>
    <w:rsid w:val="005B7CF4"/>
    <w:rsid w:val="005C0199"/>
    <w:rsid w:val="005C12E7"/>
    <w:rsid w:val="005C1A06"/>
    <w:rsid w:val="005C1DC5"/>
    <w:rsid w:val="005C2871"/>
    <w:rsid w:val="005C41CC"/>
    <w:rsid w:val="005C43BC"/>
    <w:rsid w:val="005C59FB"/>
    <w:rsid w:val="005C6D85"/>
    <w:rsid w:val="005C6E97"/>
    <w:rsid w:val="005C7277"/>
    <w:rsid w:val="005C757C"/>
    <w:rsid w:val="005D0413"/>
    <w:rsid w:val="005D095C"/>
    <w:rsid w:val="005D1316"/>
    <w:rsid w:val="005D2889"/>
    <w:rsid w:val="005D4438"/>
    <w:rsid w:val="005D4E33"/>
    <w:rsid w:val="005D572C"/>
    <w:rsid w:val="005D5DBB"/>
    <w:rsid w:val="005D659D"/>
    <w:rsid w:val="005D6929"/>
    <w:rsid w:val="005D6B90"/>
    <w:rsid w:val="005D7611"/>
    <w:rsid w:val="005D7D87"/>
    <w:rsid w:val="005D7F1E"/>
    <w:rsid w:val="005E0DDE"/>
    <w:rsid w:val="005E103A"/>
    <w:rsid w:val="005E1057"/>
    <w:rsid w:val="005E1120"/>
    <w:rsid w:val="005E116F"/>
    <w:rsid w:val="005E16AE"/>
    <w:rsid w:val="005E1914"/>
    <w:rsid w:val="005E2ED9"/>
    <w:rsid w:val="005E3107"/>
    <w:rsid w:val="005E4A27"/>
    <w:rsid w:val="005E4F74"/>
    <w:rsid w:val="005E5FC8"/>
    <w:rsid w:val="005E60D5"/>
    <w:rsid w:val="005E6508"/>
    <w:rsid w:val="005E67C1"/>
    <w:rsid w:val="005E6E65"/>
    <w:rsid w:val="005E739C"/>
    <w:rsid w:val="005F0065"/>
    <w:rsid w:val="005F018A"/>
    <w:rsid w:val="005F06CE"/>
    <w:rsid w:val="005F14E8"/>
    <w:rsid w:val="005F1CFD"/>
    <w:rsid w:val="005F20F2"/>
    <w:rsid w:val="005F277F"/>
    <w:rsid w:val="005F29D6"/>
    <w:rsid w:val="005F3BEC"/>
    <w:rsid w:val="005F4F7D"/>
    <w:rsid w:val="005F528C"/>
    <w:rsid w:val="005F5396"/>
    <w:rsid w:val="005F5A93"/>
    <w:rsid w:val="005F64D0"/>
    <w:rsid w:val="005F73E3"/>
    <w:rsid w:val="005F7953"/>
    <w:rsid w:val="005F7BA8"/>
    <w:rsid w:val="00600A81"/>
    <w:rsid w:val="00600AF9"/>
    <w:rsid w:val="00601701"/>
    <w:rsid w:val="006017C2"/>
    <w:rsid w:val="0060285F"/>
    <w:rsid w:val="00602B21"/>
    <w:rsid w:val="00602DCC"/>
    <w:rsid w:val="00602DF3"/>
    <w:rsid w:val="00602E12"/>
    <w:rsid w:val="006032DC"/>
    <w:rsid w:val="00603A31"/>
    <w:rsid w:val="00603CA1"/>
    <w:rsid w:val="00604753"/>
    <w:rsid w:val="006049D5"/>
    <w:rsid w:val="00604D22"/>
    <w:rsid w:val="006053E2"/>
    <w:rsid w:val="00605434"/>
    <w:rsid w:val="00605715"/>
    <w:rsid w:val="00606574"/>
    <w:rsid w:val="0060759A"/>
    <w:rsid w:val="00607A21"/>
    <w:rsid w:val="006110B3"/>
    <w:rsid w:val="00611BCA"/>
    <w:rsid w:val="006120A3"/>
    <w:rsid w:val="00612296"/>
    <w:rsid w:val="0061262F"/>
    <w:rsid w:val="006135D6"/>
    <w:rsid w:val="00613627"/>
    <w:rsid w:val="006136C3"/>
    <w:rsid w:val="006149BE"/>
    <w:rsid w:val="00614B04"/>
    <w:rsid w:val="00615343"/>
    <w:rsid w:val="006153C0"/>
    <w:rsid w:val="00615D89"/>
    <w:rsid w:val="00616D09"/>
    <w:rsid w:val="006174FC"/>
    <w:rsid w:val="006178F2"/>
    <w:rsid w:val="00617DD0"/>
    <w:rsid w:val="00620365"/>
    <w:rsid w:val="00620FCC"/>
    <w:rsid w:val="00621BA4"/>
    <w:rsid w:val="00621CED"/>
    <w:rsid w:val="0062282E"/>
    <w:rsid w:val="006229FB"/>
    <w:rsid w:val="00622A58"/>
    <w:rsid w:val="00622CC6"/>
    <w:rsid w:val="00623C06"/>
    <w:rsid w:val="00623C11"/>
    <w:rsid w:val="006249C8"/>
    <w:rsid w:val="00624BD4"/>
    <w:rsid w:val="00625567"/>
    <w:rsid w:val="0062625F"/>
    <w:rsid w:val="0062677A"/>
    <w:rsid w:val="00626A56"/>
    <w:rsid w:val="006273D2"/>
    <w:rsid w:val="00627521"/>
    <w:rsid w:val="00627C0B"/>
    <w:rsid w:val="00627D67"/>
    <w:rsid w:val="006306C1"/>
    <w:rsid w:val="006320B7"/>
    <w:rsid w:val="0063289E"/>
    <w:rsid w:val="006330D9"/>
    <w:rsid w:val="0063391E"/>
    <w:rsid w:val="00634CA8"/>
    <w:rsid w:val="00634E87"/>
    <w:rsid w:val="00635B17"/>
    <w:rsid w:val="00635EB1"/>
    <w:rsid w:val="006368F2"/>
    <w:rsid w:val="00636DA8"/>
    <w:rsid w:val="00637131"/>
    <w:rsid w:val="006376FE"/>
    <w:rsid w:val="00637A48"/>
    <w:rsid w:val="00637ECC"/>
    <w:rsid w:val="00640841"/>
    <w:rsid w:val="00641294"/>
    <w:rsid w:val="006413EE"/>
    <w:rsid w:val="006416D6"/>
    <w:rsid w:val="00642334"/>
    <w:rsid w:val="0064238E"/>
    <w:rsid w:val="0064271C"/>
    <w:rsid w:val="00642FD2"/>
    <w:rsid w:val="006457FE"/>
    <w:rsid w:val="00645B95"/>
    <w:rsid w:val="00645E30"/>
    <w:rsid w:val="0064605B"/>
    <w:rsid w:val="0064608A"/>
    <w:rsid w:val="0064625F"/>
    <w:rsid w:val="00646399"/>
    <w:rsid w:val="00646543"/>
    <w:rsid w:val="00646C73"/>
    <w:rsid w:val="00647631"/>
    <w:rsid w:val="0064784A"/>
    <w:rsid w:val="0065081B"/>
    <w:rsid w:val="00651FE5"/>
    <w:rsid w:val="0065218A"/>
    <w:rsid w:val="0065237C"/>
    <w:rsid w:val="006525EF"/>
    <w:rsid w:val="0065264F"/>
    <w:rsid w:val="0065266A"/>
    <w:rsid w:val="00652BFF"/>
    <w:rsid w:val="0065558D"/>
    <w:rsid w:val="00655B7C"/>
    <w:rsid w:val="00656C75"/>
    <w:rsid w:val="00656CA6"/>
    <w:rsid w:val="00657BC5"/>
    <w:rsid w:val="00657E4E"/>
    <w:rsid w:val="0066014D"/>
    <w:rsid w:val="0066113A"/>
    <w:rsid w:val="0066222F"/>
    <w:rsid w:val="00662EF4"/>
    <w:rsid w:val="006633FD"/>
    <w:rsid w:val="006635B4"/>
    <w:rsid w:val="00663F05"/>
    <w:rsid w:val="00665B60"/>
    <w:rsid w:val="006669D2"/>
    <w:rsid w:val="00666ADB"/>
    <w:rsid w:val="00667112"/>
    <w:rsid w:val="00670B37"/>
    <w:rsid w:val="00671312"/>
    <w:rsid w:val="00672AE3"/>
    <w:rsid w:val="00672B48"/>
    <w:rsid w:val="006738B9"/>
    <w:rsid w:val="00674481"/>
    <w:rsid w:val="006745AC"/>
    <w:rsid w:val="006745BD"/>
    <w:rsid w:val="006749AE"/>
    <w:rsid w:val="00674F44"/>
    <w:rsid w:val="006751D4"/>
    <w:rsid w:val="006754AE"/>
    <w:rsid w:val="00676209"/>
    <w:rsid w:val="00676B6D"/>
    <w:rsid w:val="00676BD0"/>
    <w:rsid w:val="00677613"/>
    <w:rsid w:val="0067765E"/>
    <w:rsid w:val="006776AC"/>
    <w:rsid w:val="006805E0"/>
    <w:rsid w:val="00680E45"/>
    <w:rsid w:val="00681907"/>
    <w:rsid w:val="00681D1C"/>
    <w:rsid w:val="006822A1"/>
    <w:rsid w:val="0068257A"/>
    <w:rsid w:val="00683ACB"/>
    <w:rsid w:val="00683D6D"/>
    <w:rsid w:val="006842CE"/>
    <w:rsid w:val="0068491B"/>
    <w:rsid w:val="00684ABA"/>
    <w:rsid w:val="0068508A"/>
    <w:rsid w:val="006858C3"/>
    <w:rsid w:val="00685F4E"/>
    <w:rsid w:val="0068628A"/>
    <w:rsid w:val="00686689"/>
    <w:rsid w:val="0068750A"/>
    <w:rsid w:val="006875A3"/>
    <w:rsid w:val="00687BCD"/>
    <w:rsid w:val="00687CEC"/>
    <w:rsid w:val="00690699"/>
    <w:rsid w:val="006911B1"/>
    <w:rsid w:val="0069120D"/>
    <w:rsid w:val="0069158B"/>
    <w:rsid w:val="00691971"/>
    <w:rsid w:val="00691BC4"/>
    <w:rsid w:val="00692237"/>
    <w:rsid w:val="00692FC5"/>
    <w:rsid w:val="00693565"/>
    <w:rsid w:val="00693619"/>
    <w:rsid w:val="0069366E"/>
    <w:rsid w:val="006936B1"/>
    <w:rsid w:val="0069514F"/>
    <w:rsid w:val="00695C94"/>
    <w:rsid w:val="00696312"/>
    <w:rsid w:val="0069653B"/>
    <w:rsid w:val="00696736"/>
    <w:rsid w:val="006969FA"/>
    <w:rsid w:val="00697258"/>
    <w:rsid w:val="006973B0"/>
    <w:rsid w:val="006979AD"/>
    <w:rsid w:val="00697C2A"/>
    <w:rsid w:val="006A0686"/>
    <w:rsid w:val="006A0BE3"/>
    <w:rsid w:val="006A0D96"/>
    <w:rsid w:val="006A0EF2"/>
    <w:rsid w:val="006A1916"/>
    <w:rsid w:val="006A2CB3"/>
    <w:rsid w:val="006A2D7B"/>
    <w:rsid w:val="006A34DD"/>
    <w:rsid w:val="006A3A4C"/>
    <w:rsid w:val="006A4856"/>
    <w:rsid w:val="006A52D3"/>
    <w:rsid w:val="006A53C2"/>
    <w:rsid w:val="006A59FA"/>
    <w:rsid w:val="006A5FF9"/>
    <w:rsid w:val="006A6D31"/>
    <w:rsid w:val="006A767C"/>
    <w:rsid w:val="006A76C5"/>
    <w:rsid w:val="006A7954"/>
    <w:rsid w:val="006A7C65"/>
    <w:rsid w:val="006B02C7"/>
    <w:rsid w:val="006B0306"/>
    <w:rsid w:val="006B0434"/>
    <w:rsid w:val="006B15BA"/>
    <w:rsid w:val="006B19B7"/>
    <w:rsid w:val="006B1D50"/>
    <w:rsid w:val="006B233C"/>
    <w:rsid w:val="006B2884"/>
    <w:rsid w:val="006B2C81"/>
    <w:rsid w:val="006B372F"/>
    <w:rsid w:val="006B389A"/>
    <w:rsid w:val="006B5012"/>
    <w:rsid w:val="006B54A1"/>
    <w:rsid w:val="006B54A5"/>
    <w:rsid w:val="006B5E42"/>
    <w:rsid w:val="006B74D4"/>
    <w:rsid w:val="006B7A10"/>
    <w:rsid w:val="006B7E6F"/>
    <w:rsid w:val="006C005E"/>
    <w:rsid w:val="006C0808"/>
    <w:rsid w:val="006C13DE"/>
    <w:rsid w:val="006C1CB8"/>
    <w:rsid w:val="006C236E"/>
    <w:rsid w:val="006C2FB3"/>
    <w:rsid w:val="006C4737"/>
    <w:rsid w:val="006C4D38"/>
    <w:rsid w:val="006C580F"/>
    <w:rsid w:val="006C5E23"/>
    <w:rsid w:val="006C6353"/>
    <w:rsid w:val="006C645A"/>
    <w:rsid w:val="006C69E4"/>
    <w:rsid w:val="006C6DBF"/>
    <w:rsid w:val="006D1082"/>
    <w:rsid w:val="006D221A"/>
    <w:rsid w:val="006D466D"/>
    <w:rsid w:val="006D50F6"/>
    <w:rsid w:val="006D554D"/>
    <w:rsid w:val="006D5B5E"/>
    <w:rsid w:val="006D639C"/>
    <w:rsid w:val="006D687E"/>
    <w:rsid w:val="006E0480"/>
    <w:rsid w:val="006E148D"/>
    <w:rsid w:val="006E221A"/>
    <w:rsid w:val="006E2C32"/>
    <w:rsid w:val="006E2CD6"/>
    <w:rsid w:val="006E3439"/>
    <w:rsid w:val="006E3E5F"/>
    <w:rsid w:val="006E4D33"/>
    <w:rsid w:val="006E52F6"/>
    <w:rsid w:val="006E59B7"/>
    <w:rsid w:val="006E5D15"/>
    <w:rsid w:val="006E660A"/>
    <w:rsid w:val="006E6ECB"/>
    <w:rsid w:val="006E74EC"/>
    <w:rsid w:val="006E7597"/>
    <w:rsid w:val="006E77C5"/>
    <w:rsid w:val="006E7AA8"/>
    <w:rsid w:val="006F0232"/>
    <w:rsid w:val="006F0541"/>
    <w:rsid w:val="006F1296"/>
    <w:rsid w:val="006F1A99"/>
    <w:rsid w:val="006F22A5"/>
    <w:rsid w:val="006F234E"/>
    <w:rsid w:val="006F2531"/>
    <w:rsid w:val="006F260D"/>
    <w:rsid w:val="006F40FD"/>
    <w:rsid w:val="006F45B6"/>
    <w:rsid w:val="006F4793"/>
    <w:rsid w:val="006F4A72"/>
    <w:rsid w:val="006F4C5D"/>
    <w:rsid w:val="006F5630"/>
    <w:rsid w:val="006F622D"/>
    <w:rsid w:val="006F623C"/>
    <w:rsid w:val="006F717A"/>
    <w:rsid w:val="006F790E"/>
    <w:rsid w:val="006F796C"/>
    <w:rsid w:val="006F7B36"/>
    <w:rsid w:val="0070029D"/>
    <w:rsid w:val="00700A56"/>
    <w:rsid w:val="007025AD"/>
    <w:rsid w:val="007029A0"/>
    <w:rsid w:val="00703C32"/>
    <w:rsid w:val="007074C6"/>
    <w:rsid w:val="007075EE"/>
    <w:rsid w:val="0070769E"/>
    <w:rsid w:val="00707CA7"/>
    <w:rsid w:val="0071035A"/>
    <w:rsid w:val="00710C3A"/>
    <w:rsid w:val="007113C8"/>
    <w:rsid w:val="00711B3B"/>
    <w:rsid w:val="00711BCD"/>
    <w:rsid w:val="00712160"/>
    <w:rsid w:val="00713933"/>
    <w:rsid w:val="00713AC2"/>
    <w:rsid w:val="0071463F"/>
    <w:rsid w:val="007150B2"/>
    <w:rsid w:val="00715A28"/>
    <w:rsid w:val="00716FE4"/>
    <w:rsid w:val="0071707A"/>
    <w:rsid w:val="00717204"/>
    <w:rsid w:val="00717925"/>
    <w:rsid w:val="00717F7F"/>
    <w:rsid w:val="007206AE"/>
    <w:rsid w:val="007206EB"/>
    <w:rsid w:val="007207D9"/>
    <w:rsid w:val="0072085C"/>
    <w:rsid w:val="00721AB9"/>
    <w:rsid w:val="00721F17"/>
    <w:rsid w:val="00722243"/>
    <w:rsid w:val="007228E9"/>
    <w:rsid w:val="00722921"/>
    <w:rsid w:val="0072307C"/>
    <w:rsid w:val="00723924"/>
    <w:rsid w:val="0072459E"/>
    <w:rsid w:val="007249E6"/>
    <w:rsid w:val="00725441"/>
    <w:rsid w:val="00727B3F"/>
    <w:rsid w:val="007303C5"/>
    <w:rsid w:val="007304F9"/>
    <w:rsid w:val="0073093C"/>
    <w:rsid w:val="00730FC2"/>
    <w:rsid w:val="00731B03"/>
    <w:rsid w:val="00732258"/>
    <w:rsid w:val="00733412"/>
    <w:rsid w:val="0073400E"/>
    <w:rsid w:val="0073505D"/>
    <w:rsid w:val="00735562"/>
    <w:rsid w:val="00735873"/>
    <w:rsid w:val="00736B3F"/>
    <w:rsid w:val="00740BB7"/>
    <w:rsid w:val="007412AD"/>
    <w:rsid w:val="00741B01"/>
    <w:rsid w:val="00741C93"/>
    <w:rsid w:val="007420DC"/>
    <w:rsid w:val="00742880"/>
    <w:rsid w:val="0074305B"/>
    <w:rsid w:val="007432C0"/>
    <w:rsid w:val="007438BC"/>
    <w:rsid w:val="00743C15"/>
    <w:rsid w:val="00743FC8"/>
    <w:rsid w:val="00744138"/>
    <w:rsid w:val="007446DA"/>
    <w:rsid w:val="00744927"/>
    <w:rsid w:val="00744A00"/>
    <w:rsid w:val="00744D51"/>
    <w:rsid w:val="00744D86"/>
    <w:rsid w:val="0074569A"/>
    <w:rsid w:val="00745F35"/>
    <w:rsid w:val="0074757D"/>
    <w:rsid w:val="0074766C"/>
    <w:rsid w:val="007478D6"/>
    <w:rsid w:val="0074792D"/>
    <w:rsid w:val="00747DBC"/>
    <w:rsid w:val="007500BE"/>
    <w:rsid w:val="00750185"/>
    <w:rsid w:val="007503EA"/>
    <w:rsid w:val="00752C59"/>
    <w:rsid w:val="00753709"/>
    <w:rsid w:val="007537C6"/>
    <w:rsid w:val="0075434F"/>
    <w:rsid w:val="00754A3D"/>
    <w:rsid w:val="00754FCE"/>
    <w:rsid w:val="00755930"/>
    <w:rsid w:val="00756273"/>
    <w:rsid w:val="00756A1E"/>
    <w:rsid w:val="00756BF1"/>
    <w:rsid w:val="007573DE"/>
    <w:rsid w:val="00757542"/>
    <w:rsid w:val="00757D6F"/>
    <w:rsid w:val="00760831"/>
    <w:rsid w:val="007614BA"/>
    <w:rsid w:val="00761788"/>
    <w:rsid w:val="00762DFF"/>
    <w:rsid w:val="00763A6F"/>
    <w:rsid w:val="0076464D"/>
    <w:rsid w:val="0076474F"/>
    <w:rsid w:val="007659AC"/>
    <w:rsid w:val="007666CC"/>
    <w:rsid w:val="00766FA8"/>
    <w:rsid w:val="00767570"/>
    <w:rsid w:val="007676BF"/>
    <w:rsid w:val="00767D71"/>
    <w:rsid w:val="007703DE"/>
    <w:rsid w:val="00770B48"/>
    <w:rsid w:val="00770CB7"/>
    <w:rsid w:val="0077112A"/>
    <w:rsid w:val="00771D17"/>
    <w:rsid w:val="00772950"/>
    <w:rsid w:val="00772E29"/>
    <w:rsid w:val="00772E8F"/>
    <w:rsid w:val="0077317E"/>
    <w:rsid w:val="007733C8"/>
    <w:rsid w:val="007734CC"/>
    <w:rsid w:val="00774236"/>
    <w:rsid w:val="007743F3"/>
    <w:rsid w:val="00774422"/>
    <w:rsid w:val="00774851"/>
    <w:rsid w:val="00775A38"/>
    <w:rsid w:val="00775A41"/>
    <w:rsid w:val="007766EA"/>
    <w:rsid w:val="00776D8A"/>
    <w:rsid w:val="00776E07"/>
    <w:rsid w:val="00777134"/>
    <w:rsid w:val="00777C3E"/>
    <w:rsid w:val="00777FC4"/>
    <w:rsid w:val="007800D4"/>
    <w:rsid w:val="00780BA7"/>
    <w:rsid w:val="00781E4D"/>
    <w:rsid w:val="007824AD"/>
    <w:rsid w:val="00782946"/>
    <w:rsid w:val="007835AC"/>
    <w:rsid w:val="00783C83"/>
    <w:rsid w:val="00783FFA"/>
    <w:rsid w:val="00784F78"/>
    <w:rsid w:val="00785219"/>
    <w:rsid w:val="007853B8"/>
    <w:rsid w:val="0078572D"/>
    <w:rsid w:val="00785762"/>
    <w:rsid w:val="007861E3"/>
    <w:rsid w:val="007874E1"/>
    <w:rsid w:val="007875CB"/>
    <w:rsid w:val="007875E2"/>
    <w:rsid w:val="0079009E"/>
    <w:rsid w:val="007901B7"/>
    <w:rsid w:val="0079097D"/>
    <w:rsid w:val="00790CD9"/>
    <w:rsid w:val="00790E84"/>
    <w:rsid w:val="00791364"/>
    <w:rsid w:val="00791C87"/>
    <w:rsid w:val="007923C8"/>
    <w:rsid w:val="00792ED7"/>
    <w:rsid w:val="007930DF"/>
    <w:rsid w:val="00794653"/>
    <w:rsid w:val="00795B93"/>
    <w:rsid w:val="00797ABB"/>
    <w:rsid w:val="00797EDC"/>
    <w:rsid w:val="007A025A"/>
    <w:rsid w:val="007A15C0"/>
    <w:rsid w:val="007A325F"/>
    <w:rsid w:val="007A4583"/>
    <w:rsid w:val="007A4F4A"/>
    <w:rsid w:val="007A54D9"/>
    <w:rsid w:val="007A5595"/>
    <w:rsid w:val="007A61B2"/>
    <w:rsid w:val="007A694F"/>
    <w:rsid w:val="007A77E4"/>
    <w:rsid w:val="007A79D6"/>
    <w:rsid w:val="007A7E59"/>
    <w:rsid w:val="007B0944"/>
    <w:rsid w:val="007B0A06"/>
    <w:rsid w:val="007B1ECD"/>
    <w:rsid w:val="007B25F1"/>
    <w:rsid w:val="007B2913"/>
    <w:rsid w:val="007B3606"/>
    <w:rsid w:val="007B378C"/>
    <w:rsid w:val="007B4916"/>
    <w:rsid w:val="007B49AF"/>
    <w:rsid w:val="007B4B88"/>
    <w:rsid w:val="007B5443"/>
    <w:rsid w:val="007B59F5"/>
    <w:rsid w:val="007B5B6A"/>
    <w:rsid w:val="007B5EC5"/>
    <w:rsid w:val="007B642D"/>
    <w:rsid w:val="007B6718"/>
    <w:rsid w:val="007B6944"/>
    <w:rsid w:val="007B783A"/>
    <w:rsid w:val="007B7D97"/>
    <w:rsid w:val="007C0113"/>
    <w:rsid w:val="007C01DB"/>
    <w:rsid w:val="007C08BA"/>
    <w:rsid w:val="007C0C79"/>
    <w:rsid w:val="007C1EBE"/>
    <w:rsid w:val="007C20F7"/>
    <w:rsid w:val="007C241C"/>
    <w:rsid w:val="007C243D"/>
    <w:rsid w:val="007C24C6"/>
    <w:rsid w:val="007C3B68"/>
    <w:rsid w:val="007C3C4B"/>
    <w:rsid w:val="007C4084"/>
    <w:rsid w:val="007C473D"/>
    <w:rsid w:val="007C4AEF"/>
    <w:rsid w:val="007C54B6"/>
    <w:rsid w:val="007C54CA"/>
    <w:rsid w:val="007C5C6B"/>
    <w:rsid w:val="007C62EB"/>
    <w:rsid w:val="007C6348"/>
    <w:rsid w:val="007C692E"/>
    <w:rsid w:val="007C6E11"/>
    <w:rsid w:val="007D0AE5"/>
    <w:rsid w:val="007D0B71"/>
    <w:rsid w:val="007D0D05"/>
    <w:rsid w:val="007D12A3"/>
    <w:rsid w:val="007D192B"/>
    <w:rsid w:val="007D2CFA"/>
    <w:rsid w:val="007D35E4"/>
    <w:rsid w:val="007D3649"/>
    <w:rsid w:val="007D44E8"/>
    <w:rsid w:val="007D475C"/>
    <w:rsid w:val="007D53BE"/>
    <w:rsid w:val="007D5952"/>
    <w:rsid w:val="007D5E84"/>
    <w:rsid w:val="007D5FE8"/>
    <w:rsid w:val="007D67AD"/>
    <w:rsid w:val="007D76AC"/>
    <w:rsid w:val="007D7D09"/>
    <w:rsid w:val="007E1F3B"/>
    <w:rsid w:val="007E1FB6"/>
    <w:rsid w:val="007E21D1"/>
    <w:rsid w:val="007E32D2"/>
    <w:rsid w:val="007E3670"/>
    <w:rsid w:val="007E3EBE"/>
    <w:rsid w:val="007E49D5"/>
    <w:rsid w:val="007E5DEE"/>
    <w:rsid w:val="007E61A5"/>
    <w:rsid w:val="007E6777"/>
    <w:rsid w:val="007E6827"/>
    <w:rsid w:val="007E6B6D"/>
    <w:rsid w:val="007E7C56"/>
    <w:rsid w:val="007F0317"/>
    <w:rsid w:val="007F09FD"/>
    <w:rsid w:val="007F0D1A"/>
    <w:rsid w:val="007F119E"/>
    <w:rsid w:val="007F11F8"/>
    <w:rsid w:val="007F14DC"/>
    <w:rsid w:val="007F15E8"/>
    <w:rsid w:val="007F17B3"/>
    <w:rsid w:val="007F1DE7"/>
    <w:rsid w:val="007F34D5"/>
    <w:rsid w:val="007F39F1"/>
    <w:rsid w:val="007F4BC6"/>
    <w:rsid w:val="007F6348"/>
    <w:rsid w:val="007F6484"/>
    <w:rsid w:val="007F6F0C"/>
    <w:rsid w:val="007F73FB"/>
    <w:rsid w:val="007F7B60"/>
    <w:rsid w:val="007F7DEB"/>
    <w:rsid w:val="00800287"/>
    <w:rsid w:val="00801105"/>
    <w:rsid w:val="008018C4"/>
    <w:rsid w:val="00802131"/>
    <w:rsid w:val="008028C9"/>
    <w:rsid w:val="00803780"/>
    <w:rsid w:val="0080385A"/>
    <w:rsid w:val="008049CB"/>
    <w:rsid w:val="00805784"/>
    <w:rsid w:val="00805795"/>
    <w:rsid w:val="00805EAB"/>
    <w:rsid w:val="00806267"/>
    <w:rsid w:val="0080648D"/>
    <w:rsid w:val="00806501"/>
    <w:rsid w:val="0080679B"/>
    <w:rsid w:val="0080683A"/>
    <w:rsid w:val="008079EA"/>
    <w:rsid w:val="00807E39"/>
    <w:rsid w:val="00810846"/>
    <w:rsid w:val="008108F4"/>
    <w:rsid w:val="00810953"/>
    <w:rsid w:val="008112E9"/>
    <w:rsid w:val="008114EC"/>
    <w:rsid w:val="00812590"/>
    <w:rsid w:val="008125FB"/>
    <w:rsid w:val="0081301D"/>
    <w:rsid w:val="0081307B"/>
    <w:rsid w:val="008132CC"/>
    <w:rsid w:val="00813E4F"/>
    <w:rsid w:val="008141E9"/>
    <w:rsid w:val="008145B5"/>
    <w:rsid w:val="00814740"/>
    <w:rsid w:val="00814EA5"/>
    <w:rsid w:val="00815CB1"/>
    <w:rsid w:val="00816731"/>
    <w:rsid w:val="00816BCF"/>
    <w:rsid w:val="00817119"/>
    <w:rsid w:val="008210A2"/>
    <w:rsid w:val="008221F2"/>
    <w:rsid w:val="00822629"/>
    <w:rsid w:val="008235F2"/>
    <w:rsid w:val="00824105"/>
    <w:rsid w:val="00824360"/>
    <w:rsid w:val="008246E8"/>
    <w:rsid w:val="00824F44"/>
    <w:rsid w:val="00825142"/>
    <w:rsid w:val="0082517E"/>
    <w:rsid w:val="008251A2"/>
    <w:rsid w:val="0082549C"/>
    <w:rsid w:val="00825C6E"/>
    <w:rsid w:val="008262DF"/>
    <w:rsid w:val="008265C7"/>
    <w:rsid w:val="00826784"/>
    <w:rsid w:val="00827889"/>
    <w:rsid w:val="00827F0E"/>
    <w:rsid w:val="0083295B"/>
    <w:rsid w:val="008329D6"/>
    <w:rsid w:val="00832FB2"/>
    <w:rsid w:val="008335F5"/>
    <w:rsid w:val="00833EE8"/>
    <w:rsid w:val="008348FA"/>
    <w:rsid w:val="00835AC4"/>
    <w:rsid w:val="00835D15"/>
    <w:rsid w:val="00835F56"/>
    <w:rsid w:val="008365C3"/>
    <w:rsid w:val="00840052"/>
    <w:rsid w:val="008407A5"/>
    <w:rsid w:val="00841478"/>
    <w:rsid w:val="0084168E"/>
    <w:rsid w:val="008419E7"/>
    <w:rsid w:val="00842139"/>
    <w:rsid w:val="008423A7"/>
    <w:rsid w:val="00842B2D"/>
    <w:rsid w:val="00842DF7"/>
    <w:rsid w:val="008430A9"/>
    <w:rsid w:val="0084345A"/>
    <w:rsid w:val="008442F3"/>
    <w:rsid w:val="008447EF"/>
    <w:rsid w:val="00845191"/>
    <w:rsid w:val="00845B17"/>
    <w:rsid w:val="008468B7"/>
    <w:rsid w:val="0084705C"/>
    <w:rsid w:val="0084707E"/>
    <w:rsid w:val="008474A0"/>
    <w:rsid w:val="008474DB"/>
    <w:rsid w:val="008479FF"/>
    <w:rsid w:val="00847FAE"/>
    <w:rsid w:val="008502E5"/>
    <w:rsid w:val="0085206B"/>
    <w:rsid w:val="00852E24"/>
    <w:rsid w:val="00852E33"/>
    <w:rsid w:val="00854C8D"/>
    <w:rsid w:val="00854D25"/>
    <w:rsid w:val="00855C26"/>
    <w:rsid w:val="00856FCB"/>
    <w:rsid w:val="00857556"/>
    <w:rsid w:val="0085771C"/>
    <w:rsid w:val="00857946"/>
    <w:rsid w:val="0085799D"/>
    <w:rsid w:val="00857ADE"/>
    <w:rsid w:val="008603EB"/>
    <w:rsid w:val="00860983"/>
    <w:rsid w:val="00860DBD"/>
    <w:rsid w:val="0086198D"/>
    <w:rsid w:val="00861AD5"/>
    <w:rsid w:val="00861FF9"/>
    <w:rsid w:val="00862251"/>
    <w:rsid w:val="008627FB"/>
    <w:rsid w:val="00862B59"/>
    <w:rsid w:val="00862BA4"/>
    <w:rsid w:val="00862C67"/>
    <w:rsid w:val="00863649"/>
    <w:rsid w:val="00863A14"/>
    <w:rsid w:val="00864A2A"/>
    <w:rsid w:val="00864A63"/>
    <w:rsid w:val="00864CF1"/>
    <w:rsid w:val="00865637"/>
    <w:rsid w:val="00866371"/>
    <w:rsid w:val="0086654A"/>
    <w:rsid w:val="00866972"/>
    <w:rsid w:val="00866C53"/>
    <w:rsid w:val="0086702B"/>
    <w:rsid w:val="008677BE"/>
    <w:rsid w:val="008733AC"/>
    <w:rsid w:val="0087376D"/>
    <w:rsid w:val="00873977"/>
    <w:rsid w:val="00875698"/>
    <w:rsid w:val="00875966"/>
    <w:rsid w:val="0087612C"/>
    <w:rsid w:val="00876A13"/>
    <w:rsid w:val="00876A3F"/>
    <w:rsid w:val="00877125"/>
    <w:rsid w:val="00877343"/>
    <w:rsid w:val="008774B2"/>
    <w:rsid w:val="008779EB"/>
    <w:rsid w:val="0088010E"/>
    <w:rsid w:val="0088047A"/>
    <w:rsid w:val="00880A1F"/>
    <w:rsid w:val="008827C4"/>
    <w:rsid w:val="00882C63"/>
    <w:rsid w:val="00882FB4"/>
    <w:rsid w:val="008846E2"/>
    <w:rsid w:val="00884B27"/>
    <w:rsid w:val="0088664D"/>
    <w:rsid w:val="008866CA"/>
    <w:rsid w:val="008872D0"/>
    <w:rsid w:val="008876F1"/>
    <w:rsid w:val="00887AB9"/>
    <w:rsid w:val="00887B45"/>
    <w:rsid w:val="00887B59"/>
    <w:rsid w:val="0089041A"/>
    <w:rsid w:val="00890C80"/>
    <w:rsid w:val="00890CE7"/>
    <w:rsid w:val="008915C8"/>
    <w:rsid w:val="008917F3"/>
    <w:rsid w:val="0089194A"/>
    <w:rsid w:val="00891F7D"/>
    <w:rsid w:val="00892534"/>
    <w:rsid w:val="00893735"/>
    <w:rsid w:val="008945B6"/>
    <w:rsid w:val="00894723"/>
    <w:rsid w:val="008947C5"/>
    <w:rsid w:val="00894A1A"/>
    <w:rsid w:val="00894D06"/>
    <w:rsid w:val="00894E00"/>
    <w:rsid w:val="00896126"/>
    <w:rsid w:val="00896FAF"/>
    <w:rsid w:val="008974E9"/>
    <w:rsid w:val="00897A2E"/>
    <w:rsid w:val="008A00D1"/>
    <w:rsid w:val="008A168E"/>
    <w:rsid w:val="008A1EF9"/>
    <w:rsid w:val="008A28F9"/>
    <w:rsid w:val="008A2996"/>
    <w:rsid w:val="008A29D6"/>
    <w:rsid w:val="008A29D8"/>
    <w:rsid w:val="008A2DC4"/>
    <w:rsid w:val="008A386E"/>
    <w:rsid w:val="008A532A"/>
    <w:rsid w:val="008A5337"/>
    <w:rsid w:val="008A709D"/>
    <w:rsid w:val="008A72C6"/>
    <w:rsid w:val="008B1470"/>
    <w:rsid w:val="008B1E37"/>
    <w:rsid w:val="008B264F"/>
    <w:rsid w:val="008B27D0"/>
    <w:rsid w:val="008B340C"/>
    <w:rsid w:val="008B37A1"/>
    <w:rsid w:val="008B3AFD"/>
    <w:rsid w:val="008B4BEA"/>
    <w:rsid w:val="008B50F5"/>
    <w:rsid w:val="008B5774"/>
    <w:rsid w:val="008B58C3"/>
    <w:rsid w:val="008B5E1D"/>
    <w:rsid w:val="008B5EE5"/>
    <w:rsid w:val="008B7105"/>
    <w:rsid w:val="008B7FD9"/>
    <w:rsid w:val="008C11B4"/>
    <w:rsid w:val="008C19C1"/>
    <w:rsid w:val="008C26AB"/>
    <w:rsid w:val="008C2BBD"/>
    <w:rsid w:val="008C2F9F"/>
    <w:rsid w:val="008C3265"/>
    <w:rsid w:val="008C38EA"/>
    <w:rsid w:val="008C41A9"/>
    <w:rsid w:val="008C41E6"/>
    <w:rsid w:val="008C4966"/>
    <w:rsid w:val="008C4997"/>
    <w:rsid w:val="008C4B99"/>
    <w:rsid w:val="008C58DE"/>
    <w:rsid w:val="008C5D76"/>
    <w:rsid w:val="008C6164"/>
    <w:rsid w:val="008C75C3"/>
    <w:rsid w:val="008C79F7"/>
    <w:rsid w:val="008C7B37"/>
    <w:rsid w:val="008D0887"/>
    <w:rsid w:val="008D0DCB"/>
    <w:rsid w:val="008D14C8"/>
    <w:rsid w:val="008D18AA"/>
    <w:rsid w:val="008D1B3A"/>
    <w:rsid w:val="008D1D06"/>
    <w:rsid w:val="008D2308"/>
    <w:rsid w:val="008D23EB"/>
    <w:rsid w:val="008D2831"/>
    <w:rsid w:val="008D311E"/>
    <w:rsid w:val="008D4462"/>
    <w:rsid w:val="008D49A6"/>
    <w:rsid w:val="008D4C91"/>
    <w:rsid w:val="008D5047"/>
    <w:rsid w:val="008D53D0"/>
    <w:rsid w:val="008D5885"/>
    <w:rsid w:val="008D5B16"/>
    <w:rsid w:val="008D621A"/>
    <w:rsid w:val="008D64EC"/>
    <w:rsid w:val="008D73B7"/>
    <w:rsid w:val="008D778E"/>
    <w:rsid w:val="008D7C72"/>
    <w:rsid w:val="008E015E"/>
    <w:rsid w:val="008E0C55"/>
    <w:rsid w:val="008E1747"/>
    <w:rsid w:val="008E176F"/>
    <w:rsid w:val="008E245F"/>
    <w:rsid w:val="008E3217"/>
    <w:rsid w:val="008E3AF9"/>
    <w:rsid w:val="008E459C"/>
    <w:rsid w:val="008E463E"/>
    <w:rsid w:val="008E4920"/>
    <w:rsid w:val="008E4968"/>
    <w:rsid w:val="008E4ACE"/>
    <w:rsid w:val="008E5610"/>
    <w:rsid w:val="008E5AD3"/>
    <w:rsid w:val="008E65F3"/>
    <w:rsid w:val="008E697A"/>
    <w:rsid w:val="008E77EB"/>
    <w:rsid w:val="008E7958"/>
    <w:rsid w:val="008E7AED"/>
    <w:rsid w:val="008E7FEC"/>
    <w:rsid w:val="008F02D5"/>
    <w:rsid w:val="008F055F"/>
    <w:rsid w:val="008F0D7D"/>
    <w:rsid w:val="008F314F"/>
    <w:rsid w:val="008F3DF2"/>
    <w:rsid w:val="008F3EE9"/>
    <w:rsid w:val="008F3F66"/>
    <w:rsid w:val="008F40B3"/>
    <w:rsid w:val="008F432F"/>
    <w:rsid w:val="008F45D6"/>
    <w:rsid w:val="008F4BE5"/>
    <w:rsid w:val="008F4C7E"/>
    <w:rsid w:val="008F54AF"/>
    <w:rsid w:val="008F55F3"/>
    <w:rsid w:val="008F5B42"/>
    <w:rsid w:val="008F5F41"/>
    <w:rsid w:val="008F6058"/>
    <w:rsid w:val="008F68E3"/>
    <w:rsid w:val="008F6B85"/>
    <w:rsid w:val="008F6EBB"/>
    <w:rsid w:val="008F7AB3"/>
    <w:rsid w:val="008F7B44"/>
    <w:rsid w:val="008F7BDF"/>
    <w:rsid w:val="00900196"/>
    <w:rsid w:val="009002A9"/>
    <w:rsid w:val="00900B97"/>
    <w:rsid w:val="0090123A"/>
    <w:rsid w:val="009016A0"/>
    <w:rsid w:val="00902885"/>
    <w:rsid w:val="00902D44"/>
    <w:rsid w:val="009034C0"/>
    <w:rsid w:val="0090356B"/>
    <w:rsid w:val="00903D80"/>
    <w:rsid w:val="00904939"/>
    <w:rsid w:val="0090550D"/>
    <w:rsid w:val="00905BE6"/>
    <w:rsid w:val="00905FB9"/>
    <w:rsid w:val="00906893"/>
    <w:rsid w:val="00906D5E"/>
    <w:rsid w:val="00906DCF"/>
    <w:rsid w:val="0091006D"/>
    <w:rsid w:val="0091028D"/>
    <w:rsid w:val="009107EA"/>
    <w:rsid w:val="00911E43"/>
    <w:rsid w:val="00914706"/>
    <w:rsid w:val="00914729"/>
    <w:rsid w:val="00915166"/>
    <w:rsid w:val="00915440"/>
    <w:rsid w:val="00915699"/>
    <w:rsid w:val="00915B16"/>
    <w:rsid w:val="0091608B"/>
    <w:rsid w:val="00916357"/>
    <w:rsid w:val="00916973"/>
    <w:rsid w:val="00916A63"/>
    <w:rsid w:val="00916D79"/>
    <w:rsid w:val="00916F15"/>
    <w:rsid w:val="00917612"/>
    <w:rsid w:val="0092076F"/>
    <w:rsid w:val="00920AC5"/>
    <w:rsid w:val="00921BBC"/>
    <w:rsid w:val="00921FB8"/>
    <w:rsid w:val="00922D44"/>
    <w:rsid w:val="00923E7A"/>
    <w:rsid w:val="00924987"/>
    <w:rsid w:val="009255C6"/>
    <w:rsid w:val="00926056"/>
    <w:rsid w:val="00926DF5"/>
    <w:rsid w:val="00927482"/>
    <w:rsid w:val="00930518"/>
    <w:rsid w:val="00930AE3"/>
    <w:rsid w:val="00930C63"/>
    <w:rsid w:val="009314B9"/>
    <w:rsid w:val="009316EE"/>
    <w:rsid w:val="009325BF"/>
    <w:rsid w:val="00932ABE"/>
    <w:rsid w:val="00932DD0"/>
    <w:rsid w:val="00933197"/>
    <w:rsid w:val="0093326B"/>
    <w:rsid w:val="00933582"/>
    <w:rsid w:val="009336FD"/>
    <w:rsid w:val="009349FF"/>
    <w:rsid w:val="009355F2"/>
    <w:rsid w:val="0093577F"/>
    <w:rsid w:val="00935851"/>
    <w:rsid w:val="0093645D"/>
    <w:rsid w:val="009364CF"/>
    <w:rsid w:val="009403FD"/>
    <w:rsid w:val="00940661"/>
    <w:rsid w:val="00940985"/>
    <w:rsid w:val="00940ECA"/>
    <w:rsid w:val="00941EDB"/>
    <w:rsid w:val="009423D7"/>
    <w:rsid w:val="00942F7E"/>
    <w:rsid w:val="00942F8B"/>
    <w:rsid w:val="00943136"/>
    <w:rsid w:val="009440C0"/>
    <w:rsid w:val="009443CB"/>
    <w:rsid w:val="00944866"/>
    <w:rsid w:val="009453E1"/>
    <w:rsid w:val="00945BC7"/>
    <w:rsid w:val="00946620"/>
    <w:rsid w:val="00946967"/>
    <w:rsid w:val="00946C19"/>
    <w:rsid w:val="0094714C"/>
    <w:rsid w:val="00947392"/>
    <w:rsid w:val="00947F90"/>
    <w:rsid w:val="00950A1C"/>
    <w:rsid w:val="00950AE6"/>
    <w:rsid w:val="00950C28"/>
    <w:rsid w:val="00951B12"/>
    <w:rsid w:val="00951F4B"/>
    <w:rsid w:val="0095220C"/>
    <w:rsid w:val="00952D8D"/>
    <w:rsid w:val="00952F21"/>
    <w:rsid w:val="00952F43"/>
    <w:rsid w:val="00952F7D"/>
    <w:rsid w:val="00953710"/>
    <w:rsid w:val="00953A8D"/>
    <w:rsid w:val="00953B01"/>
    <w:rsid w:val="00954864"/>
    <w:rsid w:val="00954AB2"/>
    <w:rsid w:val="009551B5"/>
    <w:rsid w:val="00955AAF"/>
    <w:rsid w:val="0095626B"/>
    <w:rsid w:val="00956A51"/>
    <w:rsid w:val="00957C50"/>
    <w:rsid w:val="00960B4C"/>
    <w:rsid w:val="00960C01"/>
    <w:rsid w:val="0096100E"/>
    <w:rsid w:val="0096102E"/>
    <w:rsid w:val="00961B59"/>
    <w:rsid w:val="00962579"/>
    <w:rsid w:val="0096271D"/>
    <w:rsid w:val="009632F7"/>
    <w:rsid w:val="0096392B"/>
    <w:rsid w:val="00963DD9"/>
    <w:rsid w:val="00964139"/>
    <w:rsid w:val="009663BB"/>
    <w:rsid w:val="00966791"/>
    <w:rsid w:val="00966F94"/>
    <w:rsid w:val="009702A8"/>
    <w:rsid w:val="00970417"/>
    <w:rsid w:val="00970502"/>
    <w:rsid w:val="00970DF3"/>
    <w:rsid w:val="00971083"/>
    <w:rsid w:val="00971EF9"/>
    <w:rsid w:val="00972441"/>
    <w:rsid w:val="0097250C"/>
    <w:rsid w:val="00972625"/>
    <w:rsid w:val="0097286A"/>
    <w:rsid w:val="009742E6"/>
    <w:rsid w:val="009743CC"/>
    <w:rsid w:val="0097440C"/>
    <w:rsid w:val="00974541"/>
    <w:rsid w:val="00974C15"/>
    <w:rsid w:val="00974D41"/>
    <w:rsid w:val="00974D58"/>
    <w:rsid w:val="009753EF"/>
    <w:rsid w:val="00975DC4"/>
    <w:rsid w:val="00976A22"/>
    <w:rsid w:val="00977708"/>
    <w:rsid w:val="0098049A"/>
    <w:rsid w:val="009805E4"/>
    <w:rsid w:val="009814C9"/>
    <w:rsid w:val="009816E2"/>
    <w:rsid w:val="00981B3D"/>
    <w:rsid w:val="009820C5"/>
    <w:rsid w:val="009833A0"/>
    <w:rsid w:val="009839E7"/>
    <w:rsid w:val="00984764"/>
    <w:rsid w:val="00984FE7"/>
    <w:rsid w:val="00985138"/>
    <w:rsid w:val="0098538C"/>
    <w:rsid w:val="00985F0A"/>
    <w:rsid w:val="00986818"/>
    <w:rsid w:val="00987809"/>
    <w:rsid w:val="00987A21"/>
    <w:rsid w:val="00990501"/>
    <w:rsid w:val="0099131E"/>
    <w:rsid w:val="009917A1"/>
    <w:rsid w:val="00991F9A"/>
    <w:rsid w:val="009928A5"/>
    <w:rsid w:val="009947C1"/>
    <w:rsid w:val="00994B24"/>
    <w:rsid w:val="00994BCC"/>
    <w:rsid w:val="00994F91"/>
    <w:rsid w:val="00995078"/>
    <w:rsid w:val="00995141"/>
    <w:rsid w:val="0099758E"/>
    <w:rsid w:val="00997616"/>
    <w:rsid w:val="00997C0A"/>
    <w:rsid w:val="00997F76"/>
    <w:rsid w:val="009A00E3"/>
    <w:rsid w:val="009A0112"/>
    <w:rsid w:val="009A0F38"/>
    <w:rsid w:val="009A10DD"/>
    <w:rsid w:val="009A1189"/>
    <w:rsid w:val="009A1BA5"/>
    <w:rsid w:val="009A1C50"/>
    <w:rsid w:val="009A2522"/>
    <w:rsid w:val="009A2929"/>
    <w:rsid w:val="009A301D"/>
    <w:rsid w:val="009A41D1"/>
    <w:rsid w:val="009A41D7"/>
    <w:rsid w:val="009A4B70"/>
    <w:rsid w:val="009A6D5B"/>
    <w:rsid w:val="009A6F57"/>
    <w:rsid w:val="009A78E9"/>
    <w:rsid w:val="009B03B1"/>
    <w:rsid w:val="009B04B7"/>
    <w:rsid w:val="009B05C7"/>
    <w:rsid w:val="009B0A38"/>
    <w:rsid w:val="009B1954"/>
    <w:rsid w:val="009B2280"/>
    <w:rsid w:val="009B2AE9"/>
    <w:rsid w:val="009B39DD"/>
    <w:rsid w:val="009B44E0"/>
    <w:rsid w:val="009B46CD"/>
    <w:rsid w:val="009B4B56"/>
    <w:rsid w:val="009B5F44"/>
    <w:rsid w:val="009B66C5"/>
    <w:rsid w:val="009B6982"/>
    <w:rsid w:val="009B6CBD"/>
    <w:rsid w:val="009B705C"/>
    <w:rsid w:val="009B7534"/>
    <w:rsid w:val="009C0104"/>
    <w:rsid w:val="009C0660"/>
    <w:rsid w:val="009C18C0"/>
    <w:rsid w:val="009C1F11"/>
    <w:rsid w:val="009C2177"/>
    <w:rsid w:val="009C338E"/>
    <w:rsid w:val="009C34C8"/>
    <w:rsid w:val="009C35A8"/>
    <w:rsid w:val="009C3763"/>
    <w:rsid w:val="009C4400"/>
    <w:rsid w:val="009C5511"/>
    <w:rsid w:val="009C5792"/>
    <w:rsid w:val="009C5D1D"/>
    <w:rsid w:val="009C5FC2"/>
    <w:rsid w:val="009C61E9"/>
    <w:rsid w:val="009D0773"/>
    <w:rsid w:val="009D09EA"/>
    <w:rsid w:val="009D1595"/>
    <w:rsid w:val="009D1B7D"/>
    <w:rsid w:val="009D39B7"/>
    <w:rsid w:val="009D3D0B"/>
    <w:rsid w:val="009D4233"/>
    <w:rsid w:val="009D429F"/>
    <w:rsid w:val="009D4663"/>
    <w:rsid w:val="009D5340"/>
    <w:rsid w:val="009D57C5"/>
    <w:rsid w:val="009D6121"/>
    <w:rsid w:val="009D6427"/>
    <w:rsid w:val="009D6F79"/>
    <w:rsid w:val="009E0BEB"/>
    <w:rsid w:val="009E1CE1"/>
    <w:rsid w:val="009E22EF"/>
    <w:rsid w:val="009E25B9"/>
    <w:rsid w:val="009E3A48"/>
    <w:rsid w:val="009E4984"/>
    <w:rsid w:val="009E5057"/>
    <w:rsid w:val="009E5427"/>
    <w:rsid w:val="009E5AEF"/>
    <w:rsid w:val="009E5B50"/>
    <w:rsid w:val="009E67EB"/>
    <w:rsid w:val="009E7223"/>
    <w:rsid w:val="009F0200"/>
    <w:rsid w:val="009F155F"/>
    <w:rsid w:val="009F16D2"/>
    <w:rsid w:val="009F178A"/>
    <w:rsid w:val="009F2659"/>
    <w:rsid w:val="009F2797"/>
    <w:rsid w:val="009F2D75"/>
    <w:rsid w:val="009F371A"/>
    <w:rsid w:val="009F4B37"/>
    <w:rsid w:val="009F4E71"/>
    <w:rsid w:val="009F526F"/>
    <w:rsid w:val="009F53B1"/>
    <w:rsid w:val="009F54E6"/>
    <w:rsid w:val="009F65D6"/>
    <w:rsid w:val="009F6694"/>
    <w:rsid w:val="009F76E9"/>
    <w:rsid w:val="009F781A"/>
    <w:rsid w:val="009F7DF0"/>
    <w:rsid w:val="00A0044D"/>
    <w:rsid w:val="00A00F01"/>
    <w:rsid w:val="00A01CF6"/>
    <w:rsid w:val="00A025AA"/>
    <w:rsid w:val="00A02AB7"/>
    <w:rsid w:val="00A02D53"/>
    <w:rsid w:val="00A02ECD"/>
    <w:rsid w:val="00A03E3E"/>
    <w:rsid w:val="00A04C68"/>
    <w:rsid w:val="00A050AE"/>
    <w:rsid w:val="00A05394"/>
    <w:rsid w:val="00A05716"/>
    <w:rsid w:val="00A05843"/>
    <w:rsid w:val="00A05C91"/>
    <w:rsid w:val="00A05F94"/>
    <w:rsid w:val="00A0613D"/>
    <w:rsid w:val="00A0626F"/>
    <w:rsid w:val="00A06D0B"/>
    <w:rsid w:val="00A075FA"/>
    <w:rsid w:val="00A07A4C"/>
    <w:rsid w:val="00A1137A"/>
    <w:rsid w:val="00A1169E"/>
    <w:rsid w:val="00A11BD7"/>
    <w:rsid w:val="00A11D98"/>
    <w:rsid w:val="00A1389D"/>
    <w:rsid w:val="00A13E16"/>
    <w:rsid w:val="00A15AE6"/>
    <w:rsid w:val="00A15FDE"/>
    <w:rsid w:val="00A16116"/>
    <w:rsid w:val="00A163DD"/>
    <w:rsid w:val="00A16D81"/>
    <w:rsid w:val="00A17774"/>
    <w:rsid w:val="00A17883"/>
    <w:rsid w:val="00A17CF8"/>
    <w:rsid w:val="00A20512"/>
    <w:rsid w:val="00A20673"/>
    <w:rsid w:val="00A21587"/>
    <w:rsid w:val="00A21C3D"/>
    <w:rsid w:val="00A2297A"/>
    <w:rsid w:val="00A22CD1"/>
    <w:rsid w:val="00A22E55"/>
    <w:rsid w:val="00A22E9E"/>
    <w:rsid w:val="00A23B42"/>
    <w:rsid w:val="00A241DF"/>
    <w:rsid w:val="00A255F6"/>
    <w:rsid w:val="00A257F4"/>
    <w:rsid w:val="00A25A15"/>
    <w:rsid w:val="00A26BAB"/>
    <w:rsid w:val="00A27183"/>
    <w:rsid w:val="00A279A0"/>
    <w:rsid w:val="00A300A3"/>
    <w:rsid w:val="00A309C4"/>
    <w:rsid w:val="00A312AC"/>
    <w:rsid w:val="00A31CD0"/>
    <w:rsid w:val="00A32649"/>
    <w:rsid w:val="00A32F3A"/>
    <w:rsid w:val="00A33033"/>
    <w:rsid w:val="00A336E9"/>
    <w:rsid w:val="00A342A6"/>
    <w:rsid w:val="00A35C37"/>
    <w:rsid w:val="00A35F41"/>
    <w:rsid w:val="00A361FA"/>
    <w:rsid w:val="00A363E3"/>
    <w:rsid w:val="00A36F09"/>
    <w:rsid w:val="00A36F3A"/>
    <w:rsid w:val="00A37BAC"/>
    <w:rsid w:val="00A37C26"/>
    <w:rsid w:val="00A405A5"/>
    <w:rsid w:val="00A41DFF"/>
    <w:rsid w:val="00A42FDE"/>
    <w:rsid w:val="00A432B8"/>
    <w:rsid w:val="00A43A55"/>
    <w:rsid w:val="00A43F1E"/>
    <w:rsid w:val="00A4408F"/>
    <w:rsid w:val="00A4491D"/>
    <w:rsid w:val="00A45E5C"/>
    <w:rsid w:val="00A46A0F"/>
    <w:rsid w:val="00A47194"/>
    <w:rsid w:val="00A472D9"/>
    <w:rsid w:val="00A47B70"/>
    <w:rsid w:val="00A5012F"/>
    <w:rsid w:val="00A5060C"/>
    <w:rsid w:val="00A519FE"/>
    <w:rsid w:val="00A51BC5"/>
    <w:rsid w:val="00A52504"/>
    <w:rsid w:val="00A52A55"/>
    <w:rsid w:val="00A52AFF"/>
    <w:rsid w:val="00A52B3A"/>
    <w:rsid w:val="00A52E8D"/>
    <w:rsid w:val="00A52F9D"/>
    <w:rsid w:val="00A53198"/>
    <w:rsid w:val="00A531C6"/>
    <w:rsid w:val="00A53374"/>
    <w:rsid w:val="00A53942"/>
    <w:rsid w:val="00A5411C"/>
    <w:rsid w:val="00A54210"/>
    <w:rsid w:val="00A542F8"/>
    <w:rsid w:val="00A549B7"/>
    <w:rsid w:val="00A5531B"/>
    <w:rsid w:val="00A55A71"/>
    <w:rsid w:val="00A566FB"/>
    <w:rsid w:val="00A56A5D"/>
    <w:rsid w:val="00A57DF8"/>
    <w:rsid w:val="00A57F28"/>
    <w:rsid w:val="00A57FC2"/>
    <w:rsid w:val="00A6014D"/>
    <w:rsid w:val="00A60D3B"/>
    <w:rsid w:val="00A61107"/>
    <w:rsid w:val="00A6132E"/>
    <w:rsid w:val="00A61776"/>
    <w:rsid w:val="00A61C06"/>
    <w:rsid w:val="00A62306"/>
    <w:rsid w:val="00A62CCD"/>
    <w:rsid w:val="00A63244"/>
    <w:rsid w:val="00A633CE"/>
    <w:rsid w:val="00A639D3"/>
    <w:rsid w:val="00A63A0A"/>
    <w:rsid w:val="00A63E5D"/>
    <w:rsid w:val="00A63EC8"/>
    <w:rsid w:val="00A64F23"/>
    <w:rsid w:val="00A65642"/>
    <w:rsid w:val="00A6625A"/>
    <w:rsid w:val="00A672A8"/>
    <w:rsid w:val="00A67507"/>
    <w:rsid w:val="00A67522"/>
    <w:rsid w:val="00A705B8"/>
    <w:rsid w:val="00A70DFA"/>
    <w:rsid w:val="00A7117E"/>
    <w:rsid w:val="00A71197"/>
    <w:rsid w:val="00A71802"/>
    <w:rsid w:val="00A72051"/>
    <w:rsid w:val="00A72EA6"/>
    <w:rsid w:val="00A745EE"/>
    <w:rsid w:val="00A749DA"/>
    <w:rsid w:val="00A74A38"/>
    <w:rsid w:val="00A74AEE"/>
    <w:rsid w:val="00A7573B"/>
    <w:rsid w:val="00A7585E"/>
    <w:rsid w:val="00A75B25"/>
    <w:rsid w:val="00A761BB"/>
    <w:rsid w:val="00A76EF2"/>
    <w:rsid w:val="00A76FF3"/>
    <w:rsid w:val="00A7768F"/>
    <w:rsid w:val="00A779DE"/>
    <w:rsid w:val="00A77C3C"/>
    <w:rsid w:val="00A77EEA"/>
    <w:rsid w:val="00A77F6A"/>
    <w:rsid w:val="00A801C2"/>
    <w:rsid w:val="00A81787"/>
    <w:rsid w:val="00A824D1"/>
    <w:rsid w:val="00A828B0"/>
    <w:rsid w:val="00A82A08"/>
    <w:rsid w:val="00A82C04"/>
    <w:rsid w:val="00A82D59"/>
    <w:rsid w:val="00A833B6"/>
    <w:rsid w:val="00A83697"/>
    <w:rsid w:val="00A83A19"/>
    <w:rsid w:val="00A83F84"/>
    <w:rsid w:val="00A8425D"/>
    <w:rsid w:val="00A84320"/>
    <w:rsid w:val="00A84A83"/>
    <w:rsid w:val="00A851DB"/>
    <w:rsid w:val="00A857EE"/>
    <w:rsid w:val="00A85F58"/>
    <w:rsid w:val="00A865E2"/>
    <w:rsid w:val="00A86E4F"/>
    <w:rsid w:val="00A86F43"/>
    <w:rsid w:val="00A902F3"/>
    <w:rsid w:val="00A90BF7"/>
    <w:rsid w:val="00A90E3E"/>
    <w:rsid w:val="00A912BE"/>
    <w:rsid w:val="00A926F9"/>
    <w:rsid w:val="00A928E8"/>
    <w:rsid w:val="00A9341A"/>
    <w:rsid w:val="00A93F64"/>
    <w:rsid w:val="00A94A84"/>
    <w:rsid w:val="00A959C4"/>
    <w:rsid w:val="00A95C2C"/>
    <w:rsid w:val="00A95E47"/>
    <w:rsid w:val="00A96A16"/>
    <w:rsid w:val="00A96C58"/>
    <w:rsid w:val="00A96E79"/>
    <w:rsid w:val="00A97092"/>
    <w:rsid w:val="00A975F2"/>
    <w:rsid w:val="00A97878"/>
    <w:rsid w:val="00A97BBF"/>
    <w:rsid w:val="00A97F69"/>
    <w:rsid w:val="00A97F73"/>
    <w:rsid w:val="00AA0BC7"/>
    <w:rsid w:val="00AA0FCE"/>
    <w:rsid w:val="00AA1BB6"/>
    <w:rsid w:val="00AA209E"/>
    <w:rsid w:val="00AA3271"/>
    <w:rsid w:val="00AA63A8"/>
    <w:rsid w:val="00AA6B0B"/>
    <w:rsid w:val="00AA7214"/>
    <w:rsid w:val="00AA7851"/>
    <w:rsid w:val="00AB034E"/>
    <w:rsid w:val="00AB068D"/>
    <w:rsid w:val="00AB124A"/>
    <w:rsid w:val="00AB1A6C"/>
    <w:rsid w:val="00AB35A9"/>
    <w:rsid w:val="00AB376C"/>
    <w:rsid w:val="00AB389C"/>
    <w:rsid w:val="00AB456B"/>
    <w:rsid w:val="00AB4B94"/>
    <w:rsid w:val="00AB5895"/>
    <w:rsid w:val="00AB59B2"/>
    <w:rsid w:val="00AB7D5F"/>
    <w:rsid w:val="00AC03A4"/>
    <w:rsid w:val="00AC0753"/>
    <w:rsid w:val="00AC2274"/>
    <w:rsid w:val="00AC2606"/>
    <w:rsid w:val="00AC2C88"/>
    <w:rsid w:val="00AC3523"/>
    <w:rsid w:val="00AC3B92"/>
    <w:rsid w:val="00AC446D"/>
    <w:rsid w:val="00AC58AD"/>
    <w:rsid w:val="00AC604D"/>
    <w:rsid w:val="00AD06D0"/>
    <w:rsid w:val="00AD0721"/>
    <w:rsid w:val="00AD1225"/>
    <w:rsid w:val="00AD17B1"/>
    <w:rsid w:val="00AD1B10"/>
    <w:rsid w:val="00AD1B3E"/>
    <w:rsid w:val="00AD2390"/>
    <w:rsid w:val="00AD2909"/>
    <w:rsid w:val="00AD2C11"/>
    <w:rsid w:val="00AD384A"/>
    <w:rsid w:val="00AD40FD"/>
    <w:rsid w:val="00AD4112"/>
    <w:rsid w:val="00AD4140"/>
    <w:rsid w:val="00AD44D1"/>
    <w:rsid w:val="00AD530E"/>
    <w:rsid w:val="00AD63C7"/>
    <w:rsid w:val="00AD652D"/>
    <w:rsid w:val="00AD69B7"/>
    <w:rsid w:val="00AD6BBD"/>
    <w:rsid w:val="00AD709A"/>
    <w:rsid w:val="00AD722E"/>
    <w:rsid w:val="00AD779C"/>
    <w:rsid w:val="00AD7AB8"/>
    <w:rsid w:val="00AD7B4F"/>
    <w:rsid w:val="00AD7BB1"/>
    <w:rsid w:val="00AD7C2B"/>
    <w:rsid w:val="00AD7F18"/>
    <w:rsid w:val="00AE05DF"/>
    <w:rsid w:val="00AE069A"/>
    <w:rsid w:val="00AE08CA"/>
    <w:rsid w:val="00AE098A"/>
    <w:rsid w:val="00AE0A11"/>
    <w:rsid w:val="00AE2A77"/>
    <w:rsid w:val="00AE33AF"/>
    <w:rsid w:val="00AE371F"/>
    <w:rsid w:val="00AE3CA8"/>
    <w:rsid w:val="00AE3D10"/>
    <w:rsid w:val="00AE4423"/>
    <w:rsid w:val="00AE51E9"/>
    <w:rsid w:val="00AE5700"/>
    <w:rsid w:val="00AE6045"/>
    <w:rsid w:val="00AE6428"/>
    <w:rsid w:val="00AE68EC"/>
    <w:rsid w:val="00AE7085"/>
    <w:rsid w:val="00AE7884"/>
    <w:rsid w:val="00AE795E"/>
    <w:rsid w:val="00AF0305"/>
    <w:rsid w:val="00AF0D4C"/>
    <w:rsid w:val="00AF10A2"/>
    <w:rsid w:val="00AF2FE0"/>
    <w:rsid w:val="00AF32EE"/>
    <w:rsid w:val="00AF34FF"/>
    <w:rsid w:val="00AF3530"/>
    <w:rsid w:val="00AF3B48"/>
    <w:rsid w:val="00AF44FD"/>
    <w:rsid w:val="00AF5047"/>
    <w:rsid w:val="00AF5698"/>
    <w:rsid w:val="00AF6074"/>
    <w:rsid w:val="00AF6BCB"/>
    <w:rsid w:val="00B002BD"/>
    <w:rsid w:val="00B0087E"/>
    <w:rsid w:val="00B0148E"/>
    <w:rsid w:val="00B01CD6"/>
    <w:rsid w:val="00B01D57"/>
    <w:rsid w:val="00B01E05"/>
    <w:rsid w:val="00B03727"/>
    <w:rsid w:val="00B03F48"/>
    <w:rsid w:val="00B04583"/>
    <w:rsid w:val="00B04BCF"/>
    <w:rsid w:val="00B04E57"/>
    <w:rsid w:val="00B05491"/>
    <w:rsid w:val="00B057A6"/>
    <w:rsid w:val="00B05A33"/>
    <w:rsid w:val="00B076B3"/>
    <w:rsid w:val="00B07CAA"/>
    <w:rsid w:val="00B1021A"/>
    <w:rsid w:val="00B1029E"/>
    <w:rsid w:val="00B10C73"/>
    <w:rsid w:val="00B11747"/>
    <w:rsid w:val="00B11B79"/>
    <w:rsid w:val="00B122D8"/>
    <w:rsid w:val="00B12559"/>
    <w:rsid w:val="00B135DC"/>
    <w:rsid w:val="00B1367E"/>
    <w:rsid w:val="00B1405D"/>
    <w:rsid w:val="00B14798"/>
    <w:rsid w:val="00B14D33"/>
    <w:rsid w:val="00B14EB6"/>
    <w:rsid w:val="00B1500B"/>
    <w:rsid w:val="00B16044"/>
    <w:rsid w:val="00B161F8"/>
    <w:rsid w:val="00B16E89"/>
    <w:rsid w:val="00B178B8"/>
    <w:rsid w:val="00B20382"/>
    <w:rsid w:val="00B2113F"/>
    <w:rsid w:val="00B21C5F"/>
    <w:rsid w:val="00B21D9C"/>
    <w:rsid w:val="00B230BB"/>
    <w:rsid w:val="00B233CB"/>
    <w:rsid w:val="00B23863"/>
    <w:rsid w:val="00B23C62"/>
    <w:rsid w:val="00B23F85"/>
    <w:rsid w:val="00B240AF"/>
    <w:rsid w:val="00B2464D"/>
    <w:rsid w:val="00B2548B"/>
    <w:rsid w:val="00B256AF"/>
    <w:rsid w:val="00B261F1"/>
    <w:rsid w:val="00B271D9"/>
    <w:rsid w:val="00B31338"/>
    <w:rsid w:val="00B31C4E"/>
    <w:rsid w:val="00B31D4D"/>
    <w:rsid w:val="00B32E0E"/>
    <w:rsid w:val="00B32FFF"/>
    <w:rsid w:val="00B33389"/>
    <w:rsid w:val="00B3386A"/>
    <w:rsid w:val="00B339A0"/>
    <w:rsid w:val="00B347F4"/>
    <w:rsid w:val="00B34836"/>
    <w:rsid w:val="00B349B2"/>
    <w:rsid w:val="00B34D08"/>
    <w:rsid w:val="00B3573B"/>
    <w:rsid w:val="00B35C1E"/>
    <w:rsid w:val="00B35E5E"/>
    <w:rsid w:val="00B35FC8"/>
    <w:rsid w:val="00B3647C"/>
    <w:rsid w:val="00B37951"/>
    <w:rsid w:val="00B37B9B"/>
    <w:rsid w:val="00B37C2B"/>
    <w:rsid w:val="00B37C7B"/>
    <w:rsid w:val="00B37E4D"/>
    <w:rsid w:val="00B37E70"/>
    <w:rsid w:val="00B40198"/>
    <w:rsid w:val="00B40495"/>
    <w:rsid w:val="00B404CD"/>
    <w:rsid w:val="00B41D92"/>
    <w:rsid w:val="00B42704"/>
    <w:rsid w:val="00B42E69"/>
    <w:rsid w:val="00B42FC6"/>
    <w:rsid w:val="00B44469"/>
    <w:rsid w:val="00B44EC5"/>
    <w:rsid w:val="00B44FDF"/>
    <w:rsid w:val="00B4567E"/>
    <w:rsid w:val="00B45D0D"/>
    <w:rsid w:val="00B45F61"/>
    <w:rsid w:val="00B46554"/>
    <w:rsid w:val="00B472F5"/>
    <w:rsid w:val="00B47478"/>
    <w:rsid w:val="00B5023D"/>
    <w:rsid w:val="00B5139A"/>
    <w:rsid w:val="00B51B3D"/>
    <w:rsid w:val="00B52668"/>
    <w:rsid w:val="00B52DE4"/>
    <w:rsid w:val="00B533B6"/>
    <w:rsid w:val="00B53832"/>
    <w:rsid w:val="00B53A27"/>
    <w:rsid w:val="00B53AFA"/>
    <w:rsid w:val="00B550E7"/>
    <w:rsid w:val="00B55772"/>
    <w:rsid w:val="00B559C7"/>
    <w:rsid w:val="00B55BEC"/>
    <w:rsid w:val="00B577AD"/>
    <w:rsid w:val="00B57B08"/>
    <w:rsid w:val="00B60D98"/>
    <w:rsid w:val="00B613B6"/>
    <w:rsid w:val="00B63ABF"/>
    <w:rsid w:val="00B6412E"/>
    <w:rsid w:val="00B641DE"/>
    <w:rsid w:val="00B644CF"/>
    <w:rsid w:val="00B6464B"/>
    <w:rsid w:val="00B64AB7"/>
    <w:rsid w:val="00B65482"/>
    <w:rsid w:val="00B65917"/>
    <w:rsid w:val="00B6598B"/>
    <w:rsid w:val="00B6696A"/>
    <w:rsid w:val="00B66D53"/>
    <w:rsid w:val="00B66E31"/>
    <w:rsid w:val="00B67752"/>
    <w:rsid w:val="00B70385"/>
    <w:rsid w:val="00B7077A"/>
    <w:rsid w:val="00B70D3C"/>
    <w:rsid w:val="00B70FB9"/>
    <w:rsid w:val="00B72016"/>
    <w:rsid w:val="00B72C23"/>
    <w:rsid w:val="00B73B76"/>
    <w:rsid w:val="00B73DDD"/>
    <w:rsid w:val="00B74831"/>
    <w:rsid w:val="00B7484A"/>
    <w:rsid w:val="00B750C2"/>
    <w:rsid w:val="00B752F0"/>
    <w:rsid w:val="00B76D38"/>
    <w:rsid w:val="00B77165"/>
    <w:rsid w:val="00B80387"/>
    <w:rsid w:val="00B8042A"/>
    <w:rsid w:val="00B80BCC"/>
    <w:rsid w:val="00B80D19"/>
    <w:rsid w:val="00B8160E"/>
    <w:rsid w:val="00B822AF"/>
    <w:rsid w:val="00B826D9"/>
    <w:rsid w:val="00B826E3"/>
    <w:rsid w:val="00B82D40"/>
    <w:rsid w:val="00B83AF3"/>
    <w:rsid w:val="00B842DE"/>
    <w:rsid w:val="00B852C0"/>
    <w:rsid w:val="00B85B71"/>
    <w:rsid w:val="00B8639D"/>
    <w:rsid w:val="00B86EAC"/>
    <w:rsid w:val="00B8752B"/>
    <w:rsid w:val="00B87737"/>
    <w:rsid w:val="00B87B17"/>
    <w:rsid w:val="00B87BD8"/>
    <w:rsid w:val="00B87F39"/>
    <w:rsid w:val="00B91197"/>
    <w:rsid w:val="00B911F1"/>
    <w:rsid w:val="00B92C16"/>
    <w:rsid w:val="00B92FAD"/>
    <w:rsid w:val="00B93E19"/>
    <w:rsid w:val="00B9511F"/>
    <w:rsid w:val="00B957E8"/>
    <w:rsid w:val="00B96C69"/>
    <w:rsid w:val="00B96CCE"/>
    <w:rsid w:val="00B974C6"/>
    <w:rsid w:val="00BA019A"/>
    <w:rsid w:val="00BA0833"/>
    <w:rsid w:val="00BA1863"/>
    <w:rsid w:val="00BA23DC"/>
    <w:rsid w:val="00BA2A42"/>
    <w:rsid w:val="00BA3603"/>
    <w:rsid w:val="00BA5C06"/>
    <w:rsid w:val="00BA6713"/>
    <w:rsid w:val="00BA6D26"/>
    <w:rsid w:val="00BA79E1"/>
    <w:rsid w:val="00BB000A"/>
    <w:rsid w:val="00BB05CF"/>
    <w:rsid w:val="00BB0832"/>
    <w:rsid w:val="00BB1449"/>
    <w:rsid w:val="00BB2708"/>
    <w:rsid w:val="00BB312F"/>
    <w:rsid w:val="00BB3ACD"/>
    <w:rsid w:val="00BB4195"/>
    <w:rsid w:val="00BB4743"/>
    <w:rsid w:val="00BB4A7A"/>
    <w:rsid w:val="00BB585A"/>
    <w:rsid w:val="00BB5BD6"/>
    <w:rsid w:val="00BB713F"/>
    <w:rsid w:val="00BB71FE"/>
    <w:rsid w:val="00BB799C"/>
    <w:rsid w:val="00BB79BC"/>
    <w:rsid w:val="00BB7B89"/>
    <w:rsid w:val="00BB7F30"/>
    <w:rsid w:val="00BC0174"/>
    <w:rsid w:val="00BC0B57"/>
    <w:rsid w:val="00BC0ED4"/>
    <w:rsid w:val="00BC1364"/>
    <w:rsid w:val="00BC160F"/>
    <w:rsid w:val="00BC1D74"/>
    <w:rsid w:val="00BC3124"/>
    <w:rsid w:val="00BC339D"/>
    <w:rsid w:val="00BC37AA"/>
    <w:rsid w:val="00BC400A"/>
    <w:rsid w:val="00BC417E"/>
    <w:rsid w:val="00BC4321"/>
    <w:rsid w:val="00BC4392"/>
    <w:rsid w:val="00BC470F"/>
    <w:rsid w:val="00BC4B6E"/>
    <w:rsid w:val="00BC58C4"/>
    <w:rsid w:val="00BC606C"/>
    <w:rsid w:val="00BC6172"/>
    <w:rsid w:val="00BC6303"/>
    <w:rsid w:val="00BC684A"/>
    <w:rsid w:val="00BC71A2"/>
    <w:rsid w:val="00BC7F8E"/>
    <w:rsid w:val="00BD0C82"/>
    <w:rsid w:val="00BD199A"/>
    <w:rsid w:val="00BD22CB"/>
    <w:rsid w:val="00BD2771"/>
    <w:rsid w:val="00BD2B03"/>
    <w:rsid w:val="00BD2F0E"/>
    <w:rsid w:val="00BD35AB"/>
    <w:rsid w:val="00BD3ED1"/>
    <w:rsid w:val="00BD4222"/>
    <w:rsid w:val="00BD5116"/>
    <w:rsid w:val="00BD5325"/>
    <w:rsid w:val="00BD59E3"/>
    <w:rsid w:val="00BD5A77"/>
    <w:rsid w:val="00BD5D5E"/>
    <w:rsid w:val="00BD5E50"/>
    <w:rsid w:val="00BD617E"/>
    <w:rsid w:val="00BD6509"/>
    <w:rsid w:val="00BD6B19"/>
    <w:rsid w:val="00BD6CC5"/>
    <w:rsid w:val="00BD6D0B"/>
    <w:rsid w:val="00BD7557"/>
    <w:rsid w:val="00BD794C"/>
    <w:rsid w:val="00BD7F4F"/>
    <w:rsid w:val="00BE0599"/>
    <w:rsid w:val="00BE1071"/>
    <w:rsid w:val="00BE154E"/>
    <w:rsid w:val="00BE1756"/>
    <w:rsid w:val="00BE1ECE"/>
    <w:rsid w:val="00BE207F"/>
    <w:rsid w:val="00BE217A"/>
    <w:rsid w:val="00BE2402"/>
    <w:rsid w:val="00BE2D4F"/>
    <w:rsid w:val="00BE36DD"/>
    <w:rsid w:val="00BE4E7C"/>
    <w:rsid w:val="00BE518B"/>
    <w:rsid w:val="00BE55E9"/>
    <w:rsid w:val="00BE5E24"/>
    <w:rsid w:val="00BE64C8"/>
    <w:rsid w:val="00BE6656"/>
    <w:rsid w:val="00BE6966"/>
    <w:rsid w:val="00BE6AA6"/>
    <w:rsid w:val="00BE795F"/>
    <w:rsid w:val="00BF1076"/>
    <w:rsid w:val="00BF10E4"/>
    <w:rsid w:val="00BF17D0"/>
    <w:rsid w:val="00BF181C"/>
    <w:rsid w:val="00BF245B"/>
    <w:rsid w:val="00BF2B66"/>
    <w:rsid w:val="00BF3633"/>
    <w:rsid w:val="00BF37F6"/>
    <w:rsid w:val="00BF3C4C"/>
    <w:rsid w:val="00BF550B"/>
    <w:rsid w:val="00BF56CF"/>
    <w:rsid w:val="00BF57ED"/>
    <w:rsid w:val="00BF6639"/>
    <w:rsid w:val="00C00548"/>
    <w:rsid w:val="00C00A04"/>
    <w:rsid w:val="00C00BCC"/>
    <w:rsid w:val="00C016D0"/>
    <w:rsid w:val="00C025CF"/>
    <w:rsid w:val="00C029A3"/>
    <w:rsid w:val="00C032B0"/>
    <w:rsid w:val="00C033B9"/>
    <w:rsid w:val="00C03EB4"/>
    <w:rsid w:val="00C04A2F"/>
    <w:rsid w:val="00C05EBB"/>
    <w:rsid w:val="00C0644F"/>
    <w:rsid w:val="00C06E7E"/>
    <w:rsid w:val="00C071F7"/>
    <w:rsid w:val="00C07643"/>
    <w:rsid w:val="00C10770"/>
    <w:rsid w:val="00C109DE"/>
    <w:rsid w:val="00C1139F"/>
    <w:rsid w:val="00C124F8"/>
    <w:rsid w:val="00C126E3"/>
    <w:rsid w:val="00C13710"/>
    <w:rsid w:val="00C1381A"/>
    <w:rsid w:val="00C1395F"/>
    <w:rsid w:val="00C13DEB"/>
    <w:rsid w:val="00C149EA"/>
    <w:rsid w:val="00C15D38"/>
    <w:rsid w:val="00C163BD"/>
    <w:rsid w:val="00C169AC"/>
    <w:rsid w:val="00C16CAC"/>
    <w:rsid w:val="00C17E27"/>
    <w:rsid w:val="00C17E3C"/>
    <w:rsid w:val="00C20685"/>
    <w:rsid w:val="00C214A4"/>
    <w:rsid w:val="00C21A4B"/>
    <w:rsid w:val="00C223F7"/>
    <w:rsid w:val="00C226B6"/>
    <w:rsid w:val="00C22777"/>
    <w:rsid w:val="00C22824"/>
    <w:rsid w:val="00C230DC"/>
    <w:rsid w:val="00C2335A"/>
    <w:rsid w:val="00C23BC0"/>
    <w:rsid w:val="00C24031"/>
    <w:rsid w:val="00C24780"/>
    <w:rsid w:val="00C2494C"/>
    <w:rsid w:val="00C24E90"/>
    <w:rsid w:val="00C24FC8"/>
    <w:rsid w:val="00C257BE"/>
    <w:rsid w:val="00C2597F"/>
    <w:rsid w:val="00C26932"/>
    <w:rsid w:val="00C27563"/>
    <w:rsid w:val="00C302D9"/>
    <w:rsid w:val="00C31762"/>
    <w:rsid w:val="00C3176D"/>
    <w:rsid w:val="00C31989"/>
    <w:rsid w:val="00C31B15"/>
    <w:rsid w:val="00C32105"/>
    <w:rsid w:val="00C32990"/>
    <w:rsid w:val="00C33424"/>
    <w:rsid w:val="00C33758"/>
    <w:rsid w:val="00C33A46"/>
    <w:rsid w:val="00C34E3D"/>
    <w:rsid w:val="00C34FE4"/>
    <w:rsid w:val="00C35225"/>
    <w:rsid w:val="00C3561D"/>
    <w:rsid w:val="00C35B93"/>
    <w:rsid w:val="00C36B02"/>
    <w:rsid w:val="00C3745E"/>
    <w:rsid w:val="00C37671"/>
    <w:rsid w:val="00C377FE"/>
    <w:rsid w:val="00C37BEE"/>
    <w:rsid w:val="00C37EE1"/>
    <w:rsid w:val="00C40073"/>
    <w:rsid w:val="00C4030C"/>
    <w:rsid w:val="00C40AD8"/>
    <w:rsid w:val="00C41ADF"/>
    <w:rsid w:val="00C41D93"/>
    <w:rsid w:val="00C420FB"/>
    <w:rsid w:val="00C4268E"/>
    <w:rsid w:val="00C4324D"/>
    <w:rsid w:val="00C4379E"/>
    <w:rsid w:val="00C4380D"/>
    <w:rsid w:val="00C43C00"/>
    <w:rsid w:val="00C44829"/>
    <w:rsid w:val="00C46501"/>
    <w:rsid w:val="00C46637"/>
    <w:rsid w:val="00C46F8C"/>
    <w:rsid w:val="00C479BA"/>
    <w:rsid w:val="00C47D6C"/>
    <w:rsid w:val="00C47E92"/>
    <w:rsid w:val="00C501BB"/>
    <w:rsid w:val="00C50FF3"/>
    <w:rsid w:val="00C514B6"/>
    <w:rsid w:val="00C515DE"/>
    <w:rsid w:val="00C516CA"/>
    <w:rsid w:val="00C5170A"/>
    <w:rsid w:val="00C5233A"/>
    <w:rsid w:val="00C5257D"/>
    <w:rsid w:val="00C52643"/>
    <w:rsid w:val="00C52F32"/>
    <w:rsid w:val="00C52F4A"/>
    <w:rsid w:val="00C535FB"/>
    <w:rsid w:val="00C53BF9"/>
    <w:rsid w:val="00C54BFD"/>
    <w:rsid w:val="00C552D4"/>
    <w:rsid w:val="00C56589"/>
    <w:rsid w:val="00C567CA"/>
    <w:rsid w:val="00C56A9C"/>
    <w:rsid w:val="00C575E8"/>
    <w:rsid w:val="00C57CE3"/>
    <w:rsid w:val="00C60021"/>
    <w:rsid w:val="00C60695"/>
    <w:rsid w:val="00C616A3"/>
    <w:rsid w:val="00C62367"/>
    <w:rsid w:val="00C62560"/>
    <w:rsid w:val="00C62E83"/>
    <w:rsid w:val="00C639D5"/>
    <w:rsid w:val="00C64548"/>
    <w:rsid w:val="00C64683"/>
    <w:rsid w:val="00C64C6B"/>
    <w:rsid w:val="00C654EA"/>
    <w:rsid w:val="00C65EB7"/>
    <w:rsid w:val="00C66533"/>
    <w:rsid w:val="00C66F4F"/>
    <w:rsid w:val="00C67496"/>
    <w:rsid w:val="00C67C4A"/>
    <w:rsid w:val="00C70274"/>
    <w:rsid w:val="00C704F3"/>
    <w:rsid w:val="00C70A2D"/>
    <w:rsid w:val="00C70AD5"/>
    <w:rsid w:val="00C71387"/>
    <w:rsid w:val="00C716D3"/>
    <w:rsid w:val="00C71F51"/>
    <w:rsid w:val="00C720C1"/>
    <w:rsid w:val="00C7217F"/>
    <w:rsid w:val="00C72C2E"/>
    <w:rsid w:val="00C73269"/>
    <w:rsid w:val="00C739E9"/>
    <w:rsid w:val="00C73B1A"/>
    <w:rsid w:val="00C73F0C"/>
    <w:rsid w:val="00C74578"/>
    <w:rsid w:val="00C74CA7"/>
    <w:rsid w:val="00C74F4C"/>
    <w:rsid w:val="00C76352"/>
    <w:rsid w:val="00C7652D"/>
    <w:rsid w:val="00C768D3"/>
    <w:rsid w:val="00C769DC"/>
    <w:rsid w:val="00C76DD4"/>
    <w:rsid w:val="00C77707"/>
    <w:rsid w:val="00C77766"/>
    <w:rsid w:val="00C7783D"/>
    <w:rsid w:val="00C77E9A"/>
    <w:rsid w:val="00C807CF"/>
    <w:rsid w:val="00C80B69"/>
    <w:rsid w:val="00C814F4"/>
    <w:rsid w:val="00C81CCF"/>
    <w:rsid w:val="00C81CDC"/>
    <w:rsid w:val="00C81E04"/>
    <w:rsid w:val="00C824AC"/>
    <w:rsid w:val="00C830B0"/>
    <w:rsid w:val="00C831C2"/>
    <w:rsid w:val="00C84260"/>
    <w:rsid w:val="00C842A3"/>
    <w:rsid w:val="00C87249"/>
    <w:rsid w:val="00C874D7"/>
    <w:rsid w:val="00C87C2E"/>
    <w:rsid w:val="00C87C8D"/>
    <w:rsid w:val="00C90376"/>
    <w:rsid w:val="00C90D02"/>
    <w:rsid w:val="00C90DE3"/>
    <w:rsid w:val="00C910DD"/>
    <w:rsid w:val="00C910ED"/>
    <w:rsid w:val="00C91273"/>
    <w:rsid w:val="00C918AD"/>
    <w:rsid w:val="00C91E83"/>
    <w:rsid w:val="00C92918"/>
    <w:rsid w:val="00C92E4C"/>
    <w:rsid w:val="00C92F19"/>
    <w:rsid w:val="00C92FB6"/>
    <w:rsid w:val="00C9338A"/>
    <w:rsid w:val="00C93A58"/>
    <w:rsid w:val="00C93EB7"/>
    <w:rsid w:val="00C96414"/>
    <w:rsid w:val="00C964EA"/>
    <w:rsid w:val="00C969BD"/>
    <w:rsid w:val="00CA01E4"/>
    <w:rsid w:val="00CA07FC"/>
    <w:rsid w:val="00CA11D5"/>
    <w:rsid w:val="00CA1819"/>
    <w:rsid w:val="00CA21A2"/>
    <w:rsid w:val="00CA268B"/>
    <w:rsid w:val="00CA361F"/>
    <w:rsid w:val="00CA404E"/>
    <w:rsid w:val="00CA50F6"/>
    <w:rsid w:val="00CA5502"/>
    <w:rsid w:val="00CA59A1"/>
    <w:rsid w:val="00CA5A53"/>
    <w:rsid w:val="00CA6D65"/>
    <w:rsid w:val="00CA795E"/>
    <w:rsid w:val="00CB0109"/>
    <w:rsid w:val="00CB09FA"/>
    <w:rsid w:val="00CB0D75"/>
    <w:rsid w:val="00CB1075"/>
    <w:rsid w:val="00CB1243"/>
    <w:rsid w:val="00CB1AD3"/>
    <w:rsid w:val="00CB20B5"/>
    <w:rsid w:val="00CB244C"/>
    <w:rsid w:val="00CB2759"/>
    <w:rsid w:val="00CB3818"/>
    <w:rsid w:val="00CB3A76"/>
    <w:rsid w:val="00CB4291"/>
    <w:rsid w:val="00CB48C1"/>
    <w:rsid w:val="00CB4B69"/>
    <w:rsid w:val="00CB4C09"/>
    <w:rsid w:val="00CB6643"/>
    <w:rsid w:val="00CB6E78"/>
    <w:rsid w:val="00CB7D9B"/>
    <w:rsid w:val="00CB7F45"/>
    <w:rsid w:val="00CC195B"/>
    <w:rsid w:val="00CC285E"/>
    <w:rsid w:val="00CC2956"/>
    <w:rsid w:val="00CC2A3C"/>
    <w:rsid w:val="00CC3348"/>
    <w:rsid w:val="00CC436C"/>
    <w:rsid w:val="00CC47A8"/>
    <w:rsid w:val="00CC49F6"/>
    <w:rsid w:val="00CC4DE3"/>
    <w:rsid w:val="00CC547E"/>
    <w:rsid w:val="00CC5781"/>
    <w:rsid w:val="00CC5CB1"/>
    <w:rsid w:val="00CC5DDF"/>
    <w:rsid w:val="00CC5F89"/>
    <w:rsid w:val="00CC6205"/>
    <w:rsid w:val="00CC66EA"/>
    <w:rsid w:val="00CC688C"/>
    <w:rsid w:val="00CC6FF0"/>
    <w:rsid w:val="00CC772D"/>
    <w:rsid w:val="00CD1719"/>
    <w:rsid w:val="00CD2ACB"/>
    <w:rsid w:val="00CD2E95"/>
    <w:rsid w:val="00CD3189"/>
    <w:rsid w:val="00CD320D"/>
    <w:rsid w:val="00CD3BA3"/>
    <w:rsid w:val="00CD4096"/>
    <w:rsid w:val="00CD479D"/>
    <w:rsid w:val="00CD4E5C"/>
    <w:rsid w:val="00CD5EDF"/>
    <w:rsid w:val="00CD7043"/>
    <w:rsid w:val="00CD7227"/>
    <w:rsid w:val="00CD7760"/>
    <w:rsid w:val="00CE0005"/>
    <w:rsid w:val="00CE0839"/>
    <w:rsid w:val="00CE0A94"/>
    <w:rsid w:val="00CE1992"/>
    <w:rsid w:val="00CE27C2"/>
    <w:rsid w:val="00CE2EB2"/>
    <w:rsid w:val="00CE36EC"/>
    <w:rsid w:val="00CE4564"/>
    <w:rsid w:val="00CE5323"/>
    <w:rsid w:val="00CE54C7"/>
    <w:rsid w:val="00CE67E1"/>
    <w:rsid w:val="00CE7238"/>
    <w:rsid w:val="00CE7B4A"/>
    <w:rsid w:val="00CE7BC6"/>
    <w:rsid w:val="00CF1471"/>
    <w:rsid w:val="00CF1718"/>
    <w:rsid w:val="00CF3843"/>
    <w:rsid w:val="00CF3928"/>
    <w:rsid w:val="00CF39C1"/>
    <w:rsid w:val="00CF4783"/>
    <w:rsid w:val="00CF5AF5"/>
    <w:rsid w:val="00CF5C0B"/>
    <w:rsid w:val="00CF5D15"/>
    <w:rsid w:val="00CF6AF1"/>
    <w:rsid w:val="00D006C6"/>
    <w:rsid w:val="00D007FD"/>
    <w:rsid w:val="00D00CFA"/>
    <w:rsid w:val="00D01212"/>
    <w:rsid w:val="00D01CC5"/>
    <w:rsid w:val="00D01E04"/>
    <w:rsid w:val="00D02309"/>
    <w:rsid w:val="00D030BE"/>
    <w:rsid w:val="00D03374"/>
    <w:rsid w:val="00D0356F"/>
    <w:rsid w:val="00D04561"/>
    <w:rsid w:val="00D0706B"/>
    <w:rsid w:val="00D0772F"/>
    <w:rsid w:val="00D112B7"/>
    <w:rsid w:val="00D115D1"/>
    <w:rsid w:val="00D11B32"/>
    <w:rsid w:val="00D1247A"/>
    <w:rsid w:val="00D133F0"/>
    <w:rsid w:val="00D135B5"/>
    <w:rsid w:val="00D13B8C"/>
    <w:rsid w:val="00D1524E"/>
    <w:rsid w:val="00D154E3"/>
    <w:rsid w:val="00D15C35"/>
    <w:rsid w:val="00D15FF8"/>
    <w:rsid w:val="00D1638B"/>
    <w:rsid w:val="00D1656D"/>
    <w:rsid w:val="00D16DC6"/>
    <w:rsid w:val="00D16F47"/>
    <w:rsid w:val="00D16FD4"/>
    <w:rsid w:val="00D170F1"/>
    <w:rsid w:val="00D2056F"/>
    <w:rsid w:val="00D205BD"/>
    <w:rsid w:val="00D2079E"/>
    <w:rsid w:val="00D208D5"/>
    <w:rsid w:val="00D20E78"/>
    <w:rsid w:val="00D213BE"/>
    <w:rsid w:val="00D21893"/>
    <w:rsid w:val="00D21C03"/>
    <w:rsid w:val="00D22676"/>
    <w:rsid w:val="00D23286"/>
    <w:rsid w:val="00D23B76"/>
    <w:rsid w:val="00D24029"/>
    <w:rsid w:val="00D24660"/>
    <w:rsid w:val="00D2498B"/>
    <w:rsid w:val="00D24F40"/>
    <w:rsid w:val="00D24FD6"/>
    <w:rsid w:val="00D25DA0"/>
    <w:rsid w:val="00D25E94"/>
    <w:rsid w:val="00D26642"/>
    <w:rsid w:val="00D26A14"/>
    <w:rsid w:val="00D26DA5"/>
    <w:rsid w:val="00D26F8A"/>
    <w:rsid w:val="00D27312"/>
    <w:rsid w:val="00D27A5B"/>
    <w:rsid w:val="00D27F9F"/>
    <w:rsid w:val="00D301C8"/>
    <w:rsid w:val="00D3071C"/>
    <w:rsid w:val="00D31059"/>
    <w:rsid w:val="00D312E3"/>
    <w:rsid w:val="00D315AD"/>
    <w:rsid w:val="00D31838"/>
    <w:rsid w:val="00D32BDB"/>
    <w:rsid w:val="00D34420"/>
    <w:rsid w:val="00D34786"/>
    <w:rsid w:val="00D348A8"/>
    <w:rsid w:val="00D34A59"/>
    <w:rsid w:val="00D35002"/>
    <w:rsid w:val="00D352C8"/>
    <w:rsid w:val="00D358DE"/>
    <w:rsid w:val="00D36DDE"/>
    <w:rsid w:val="00D374BD"/>
    <w:rsid w:val="00D37BA7"/>
    <w:rsid w:val="00D37E43"/>
    <w:rsid w:val="00D4105B"/>
    <w:rsid w:val="00D4189C"/>
    <w:rsid w:val="00D41B81"/>
    <w:rsid w:val="00D42021"/>
    <w:rsid w:val="00D4240F"/>
    <w:rsid w:val="00D42793"/>
    <w:rsid w:val="00D434F6"/>
    <w:rsid w:val="00D436F2"/>
    <w:rsid w:val="00D43A04"/>
    <w:rsid w:val="00D43A26"/>
    <w:rsid w:val="00D440FA"/>
    <w:rsid w:val="00D4441E"/>
    <w:rsid w:val="00D444A9"/>
    <w:rsid w:val="00D44AE2"/>
    <w:rsid w:val="00D455EC"/>
    <w:rsid w:val="00D45830"/>
    <w:rsid w:val="00D45B61"/>
    <w:rsid w:val="00D45CA2"/>
    <w:rsid w:val="00D46D36"/>
    <w:rsid w:val="00D47362"/>
    <w:rsid w:val="00D50ABD"/>
    <w:rsid w:val="00D511C1"/>
    <w:rsid w:val="00D5190E"/>
    <w:rsid w:val="00D52018"/>
    <w:rsid w:val="00D5301E"/>
    <w:rsid w:val="00D53064"/>
    <w:rsid w:val="00D536E6"/>
    <w:rsid w:val="00D53DA1"/>
    <w:rsid w:val="00D54FE2"/>
    <w:rsid w:val="00D55FEB"/>
    <w:rsid w:val="00D569C5"/>
    <w:rsid w:val="00D60530"/>
    <w:rsid w:val="00D60A4F"/>
    <w:rsid w:val="00D619D2"/>
    <w:rsid w:val="00D61BF7"/>
    <w:rsid w:val="00D62C2F"/>
    <w:rsid w:val="00D63565"/>
    <w:rsid w:val="00D63714"/>
    <w:rsid w:val="00D64321"/>
    <w:rsid w:val="00D6442B"/>
    <w:rsid w:val="00D646C9"/>
    <w:rsid w:val="00D64889"/>
    <w:rsid w:val="00D649F1"/>
    <w:rsid w:val="00D64CC0"/>
    <w:rsid w:val="00D6508B"/>
    <w:rsid w:val="00D651D1"/>
    <w:rsid w:val="00D6596B"/>
    <w:rsid w:val="00D662F4"/>
    <w:rsid w:val="00D664F9"/>
    <w:rsid w:val="00D66A35"/>
    <w:rsid w:val="00D66D33"/>
    <w:rsid w:val="00D6730C"/>
    <w:rsid w:val="00D675AE"/>
    <w:rsid w:val="00D6783D"/>
    <w:rsid w:val="00D67C8A"/>
    <w:rsid w:val="00D703B6"/>
    <w:rsid w:val="00D70CE1"/>
    <w:rsid w:val="00D70D67"/>
    <w:rsid w:val="00D70FC3"/>
    <w:rsid w:val="00D7263E"/>
    <w:rsid w:val="00D734EE"/>
    <w:rsid w:val="00D737FD"/>
    <w:rsid w:val="00D73CB7"/>
    <w:rsid w:val="00D7498D"/>
    <w:rsid w:val="00D75025"/>
    <w:rsid w:val="00D76215"/>
    <w:rsid w:val="00D76229"/>
    <w:rsid w:val="00D76841"/>
    <w:rsid w:val="00D77770"/>
    <w:rsid w:val="00D77C88"/>
    <w:rsid w:val="00D8072A"/>
    <w:rsid w:val="00D80849"/>
    <w:rsid w:val="00D83250"/>
    <w:rsid w:val="00D8330D"/>
    <w:rsid w:val="00D837D3"/>
    <w:rsid w:val="00D849AE"/>
    <w:rsid w:val="00D84ECB"/>
    <w:rsid w:val="00D84F41"/>
    <w:rsid w:val="00D85222"/>
    <w:rsid w:val="00D857EB"/>
    <w:rsid w:val="00D858F5"/>
    <w:rsid w:val="00D864BA"/>
    <w:rsid w:val="00D869F7"/>
    <w:rsid w:val="00D86A65"/>
    <w:rsid w:val="00D87A63"/>
    <w:rsid w:val="00D87C3F"/>
    <w:rsid w:val="00D90E3C"/>
    <w:rsid w:val="00D91DAF"/>
    <w:rsid w:val="00D921D9"/>
    <w:rsid w:val="00D923B3"/>
    <w:rsid w:val="00D933C4"/>
    <w:rsid w:val="00D93475"/>
    <w:rsid w:val="00D93B9E"/>
    <w:rsid w:val="00D950A3"/>
    <w:rsid w:val="00D955EB"/>
    <w:rsid w:val="00D959F8"/>
    <w:rsid w:val="00D96180"/>
    <w:rsid w:val="00D962CF"/>
    <w:rsid w:val="00D96345"/>
    <w:rsid w:val="00D97840"/>
    <w:rsid w:val="00DA0E14"/>
    <w:rsid w:val="00DA362D"/>
    <w:rsid w:val="00DA3F8A"/>
    <w:rsid w:val="00DA5DE4"/>
    <w:rsid w:val="00DA65B9"/>
    <w:rsid w:val="00DA709F"/>
    <w:rsid w:val="00DA7502"/>
    <w:rsid w:val="00DB02CC"/>
    <w:rsid w:val="00DB1A68"/>
    <w:rsid w:val="00DB1D43"/>
    <w:rsid w:val="00DB222C"/>
    <w:rsid w:val="00DB2B4F"/>
    <w:rsid w:val="00DB2F78"/>
    <w:rsid w:val="00DB3014"/>
    <w:rsid w:val="00DB3A34"/>
    <w:rsid w:val="00DB4020"/>
    <w:rsid w:val="00DB4230"/>
    <w:rsid w:val="00DB45BB"/>
    <w:rsid w:val="00DB4DF5"/>
    <w:rsid w:val="00DB5135"/>
    <w:rsid w:val="00DB572A"/>
    <w:rsid w:val="00DB57AF"/>
    <w:rsid w:val="00DB5D6F"/>
    <w:rsid w:val="00DB604E"/>
    <w:rsid w:val="00DB69FD"/>
    <w:rsid w:val="00DB736E"/>
    <w:rsid w:val="00DB7D03"/>
    <w:rsid w:val="00DB7D83"/>
    <w:rsid w:val="00DB7E31"/>
    <w:rsid w:val="00DB7FA7"/>
    <w:rsid w:val="00DC0EFE"/>
    <w:rsid w:val="00DC1610"/>
    <w:rsid w:val="00DC1BB7"/>
    <w:rsid w:val="00DC1D35"/>
    <w:rsid w:val="00DC2E54"/>
    <w:rsid w:val="00DC43C6"/>
    <w:rsid w:val="00DC4764"/>
    <w:rsid w:val="00DC477E"/>
    <w:rsid w:val="00DC499F"/>
    <w:rsid w:val="00DC4CF9"/>
    <w:rsid w:val="00DC5428"/>
    <w:rsid w:val="00DC55F1"/>
    <w:rsid w:val="00DC5603"/>
    <w:rsid w:val="00DC5F98"/>
    <w:rsid w:val="00DC63CE"/>
    <w:rsid w:val="00DC687E"/>
    <w:rsid w:val="00DC7762"/>
    <w:rsid w:val="00DD03FD"/>
    <w:rsid w:val="00DD04A7"/>
    <w:rsid w:val="00DD04E6"/>
    <w:rsid w:val="00DD0D22"/>
    <w:rsid w:val="00DD16E7"/>
    <w:rsid w:val="00DD1FAE"/>
    <w:rsid w:val="00DD220D"/>
    <w:rsid w:val="00DD2242"/>
    <w:rsid w:val="00DD22C3"/>
    <w:rsid w:val="00DD36C3"/>
    <w:rsid w:val="00DD38EA"/>
    <w:rsid w:val="00DD4427"/>
    <w:rsid w:val="00DD478A"/>
    <w:rsid w:val="00DD4BB6"/>
    <w:rsid w:val="00DD4DF2"/>
    <w:rsid w:val="00DD514D"/>
    <w:rsid w:val="00DD5921"/>
    <w:rsid w:val="00DD658F"/>
    <w:rsid w:val="00DD66AB"/>
    <w:rsid w:val="00DD68B1"/>
    <w:rsid w:val="00DD6BF7"/>
    <w:rsid w:val="00DD6DAF"/>
    <w:rsid w:val="00DD706B"/>
    <w:rsid w:val="00DD76F2"/>
    <w:rsid w:val="00DE0631"/>
    <w:rsid w:val="00DE0FB6"/>
    <w:rsid w:val="00DE1A4A"/>
    <w:rsid w:val="00DE3B8E"/>
    <w:rsid w:val="00DE3D66"/>
    <w:rsid w:val="00DE4CC7"/>
    <w:rsid w:val="00DE511F"/>
    <w:rsid w:val="00DE569D"/>
    <w:rsid w:val="00DE5FF1"/>
    <w:rsid w:val="00DE64C2"/>
    <w:rsid w:val="00DE6991"/>
    <w:rsid w:val="00DE6F2A"/>
    <w:rsid w:val="00DE6FB4"/>
    <w:rsid w:val="00DE7339"/>
    <w:rsid w:val="00DE74C7"/>
    <w:rsid w:val="00DE74EE"/>
    <w:rsid w:val="00DE7D97"/>
    <w:rsid w:val="00DE7DF1"/>
    <w:rsid w:val="00DE7FB3"/>
    <w:rsid w:val="00DF163E"/>
    <w:rsid w:val="00DF2191"/>
    <w:rsid w:val="00DF22B5"/>
    <w:rsid w:val="00DF258F"/>
    <w:rsid w:val="00DF25F3"/>
    <w:rsid w:val="00DF2AB8"/>
    <w:rsid w:val="00DF37EC"/>
    <w:rsid w:val="00DF4A8D"/>
    <w:rsid w:val="00DF4CFD"/>
    <w:rsid w:val="00DF5A31"/>
    <w:rsid w:val="00DF63B3"/>
    <w:rsid w:val="00DF74EA"/>
    <w:rsid w:val="00E00F35"/>
    <w:rsid w:val="00E01165"/>
    <w:rsid w:val="00E0137B"/>
    <w:rsid w:val="00E017F6"/>
    <w:rsid w:val="00E023C0"/>
    <w:rsid w:val="00E03290"/>
    <w:rsid w:val="00E03839"/>
    <w:rsid w:val="00E03F13"/>
    <w:rsid w:val="00E040CA"/>
    <w:rsid w:val="00E05C7E"/>
    <w:rsid w:val="00E0622D"/>
    <w:rsid w:val="00E06B09"/>
    <w:rsid w:val="00E07580"/>
    <w:rsid w:val="00E07605"/>
    <w:rsid w:val="00E07726"/>
    <w:rsid w:val="00E07A15"/>
    <w:rsid w:val="00E07F3E"/>
    <w:rsid w:val="00E10608"/>
    <w:rsid w:val="00E10B40"/>
    <w:rsid w:val="00E10D75"/>
    <w:rsid w:val="00E11375"/>
    <w:rsid w:val="00E11831"/>
    <w:rsid w:val="00E12124"/>
    <w:rsid w:val="00E123DD"/>
    <w:rsid w:val="00E13559"/>
    <w:rsid w:val="00E13A53"/>
    <w:rsid w:val="00E1415E"/>
    <w:rsid w:val="00E14552"/>
    <w:rsid w:val="00E16CC7"/>
    <w:rsid w:val="00E17A0D"/>
    <w:rsid w:val="00E2094C"/>
    <w:rsid w:val="00E20ED4"/>
    <w:rsid w:val="00E21194"/>
    <w:rsid w:val="00E217D0"/>
    <w:rsid w:val="00E21807"/>
    <w:rsid w:val="00E21B45"/>
    <w:rsid w:val="00E21C90"/>
    <w:rsid w:val="00E21CD4"/>
    <w:rsid w:val="00E22404"/>
    <w:rsid w:val="00E229AB"/>
    <w:rsid w:val="00E22B3B"/>
    <w:rsid w:val="00E22EBB"/>
    <w:rsid w:val="00E2308D"/>
    <w:rsid w:val="00E23322"/>
    <w:rsid w:val="00E24129"/>
    <w:rsid w:val="00E25073"/>
    <w:rsid w:val="00E25571"/>
    <w:rsid w:val="00E262C9"/>
    <w:rsid w:val="00E266EB"/>
    <w:rsid w:val="00E304DF"/>
    <w:rsid w:val="00E31266"/>
    <w:rsid w:val="00E32491"/>
    <w:rsid w:val="00E332D8"/>
    <w:rsid w:val="00E332E8"/>
    <w:rsid w:val="00E3430F"/>
    <w:rsid w:val="00E34CBE"/>
    <w:rsid w:val="00E34CCB"/>
    <w:rsid w:val="00E34DB3"/>
    <w:rsid w:val="00E354B7"/>
    <w:rsid w:val="00E358D0"/>
    <w:rsid w:val="00E35FD5"/>
    <w:rsid w:val="00E36603"/>
    <w:rsid w:val="00E36D9A"/>
    <w:rsid w:val="00E37A08"/>
    <w:rsid w:val="00E40106"/>
    <w:rsid w:val="00E40345"/>
    <w:rsid w:val="00E409CB"/>
    <w:rsid w:val="00E411C3"/>
    <w:rsid w:val="00E41617"/>
    <w:rsid w:val="00E41A25"/>
    <w:rsid w:val="00E42025"/>
    <w:rsid w:val="00E42ACA"/>
    <w:rsid w:val="00E43101"/>
    <w:rsid w:val="00E43104"/>
    <w:rsid w:val="00E437ED"/>
    <w:rsid w:val="00E4389F"/>
    <w:rsid w:val="00E448F7"/>
    <w:rsid w:val="00E45172"/>
    <w:rsid w:val="00E45DE5"/>
    <w:rsid w:val="00E4629E"/>
    <w:rsid w:val="00E46E73"/>
    <w:rsid w:val="00E4785D"/>
    <w:rsid w:val="00E47924"/>
    <w:rsid w:val="00E47C06"/>
    <w:rsid w:val="00E50C68"/>
    <w:rsid w:val="00E537D4"/>
    <w:rsid w:val="00E53A26"/>
    <w:rsid w:val="00E53C2B"/>
    <w:rsid w:val="00E54563"/>
    <w:rsid w:val="00E547B5"/>
    <w:rsid w:val="00E548A9"/>
    <w:rsid w:val="00E54D24"/>
    <w:rsid w:val="00E552EB"/>
    <w:rsid w:val="00E55E01"/>
    <w:rsid w:val="00E564D8"/>
    <w:rsid w:val="00E5652B"/>
    <w:rsid w:val="00E5738F"/>
    <w:rsid w:val="00E57B6B"/>
    <w:rsid w:val="00E57D0B"/>
    <w:rsid w:val="00E57D7D"/>
    <w:rsid w:val="00E57F27"/>
    <w:rsid w:val="00E604C8"/>
    <w:rsid w:val="00E60823"/>
    <w:rsid w:val="00E60989"/>
    <w:rsid w:val="00E609D3"/>
    <w:rsid w:val="00E6181A"/>
    <w:rsid w:val="00E61DF5"/>
    <w:rsid w:val="00E61E53"/>
    <w:rsid w:val="00E62506"/>
    <w:rsid w:val="00E625D9"/>
    <w:rsid w:val="00E62E52"/>
    <w:rsid w:val="00E63F07"/>
    <w:rsid w:val="00E64611"/>
    <w:rsid w:val="00E647FD"/>
    <w:rsid w:val="00E64D81"/>
    <w:rsid w:val="00E64E47"/>
    <w:rsid w:val="00E657AB"/>
    <w:rsid w:val="00E6587E"/>
    <w:rsid w:val="00E6753C"/>
    <w:rsid w:val="00E70800"/>
    <w:rsid w:val="00E70896"/>
    <w:rsid w:val="00E709D5"/>
    <w:rsid w:val="00E70D7A"/>
    <w:rsid w:val="00E71300"/>
    <w:rsid w:val="00E719BD"/>
    <w:rsid w:val="00E71AB1"/>
    <w:rsid w:val="00E71B9C"/>
    <w:rsid w:val="00E72554"/>
    <w:rsid w:val="00E729CB"/>
    <w:rsid w:val="00E72AB7"/>
    <w:rsid w:val="00E72D0F"/>
    <w:rsid w:val="00E7312C"/>
    <w:rsid w:val="00E731F4"/>
    <w:rsid w:val="00E73D46"/>
    <w:rsid w:val="00E741DF"/>
    <w:rsid w:val="00E741FA"/>
    <w:rsid w:val="00E74448"/>
    <w:rsid w:val="00E74A17"/>
    <w:rsid w:val="00E74E26"/>
    <w:rsid w:val="00E74F63"/>
    <w:rsid w:val="00E74F6B"/>
    <w:rsid w:val="00E7634D"/>
    <w:rsid w:val="00E76B18"/>
    <w:rsid w:val="00E76C33"/>
    <w:rsid w:val="00E770D7"/>
    <w:rsid w:val="00E775AF"/>
    <w:rsid w:val="00E777B9"/>
    <w:rsid w:val="00E77B13"/>
    <w:rsid w:val="00E808B9"/>
    <w:rsid w:val="00E80A5E"/>
    <w:rsid w:val="00E80F9A"/>
    <w:rsid w:val="00E81E51"/>
    <w:rsid w:val="00E82123"/>
    <w:rsid w:val="00E8349A"/>
    <w:rsid w:val="00E83731"/>
    <w:rsid w:val="00E84198"/>
    <w:rsid w:val="00E843EC"/>
    <w:rsid w:val="00E84B62"/>
    <w:rsid w:val="00E85026"/>
    <w:rsid w:val="00E852B8"/>
    <w:rsid w:val="00E86101"/>
    <w:rsid w:val="00E86172"/>
    <w:rsid w:val="00E86A25"/>
    <w:rsid w:val="00E87357"/>
    <w:rsid w:val="00E8756F"/>
    <w:rsid w:val="00E902D1"/>
    <w:rsid w:val="00E90881"/>
    <w:rsid w:val="00E90B8F"/>
    <w:rsid w:val="00E919A4"/>
    <w:rsid w:val="00E91D48"/>
    <w:rsid w:val="00E91EB3"/>
    <w:rsid w:val="00E927F8"/>
    <w:rsid w:val="00E92DF3"/>
    <w:rsid w:val="00E92E38"/>
    <w:rsid w:val="00E93C5E"/>
    <w:rsid w:val="00E94764"/>
    <w:rsid w:val="00E94C69"/>
    <w:rsid w:val="00E952B2"/>
    <w:rsid w:val="00E95A63"/>
    <w:rsid w:val="00E95B36"/>
    <w:rsid w:val="00E95BB1"/>
    <w:rsid w:val="00E967C6"/>
    <w:rsid w:val="00E970A9"/>
    <w:rsid w:val="00E9726C"/>
    <w:rsid w:val="00E979E6"/>
    <w:rsid w:val="00EA005C"/>
    <w:rsid w:val="00EA0175"/>
    <w:rsid w:val="00EA1FC6"/>
    <w:rsid w:val="00EA2374"/>
    <w:rsid w:val="00EA2C8F"/>
    <w:rsid w:val="00EA2D53"/>
    <w:rsid w:val="00EA339A"/>
    <w:rsid w:val="00EA399F"/>
    <w:rsid w:val="00EA3F64"/>
    <w:rsid w:val="00EA41DC"/>
    <w:rsid w:val="00EA4AE6"/>
    <w:rsid w:val="00EA4E77"/>
    <w:rsid w:val="00EA4F64"/>
    <w:rsid w:val="00EA544B"/>
    <w:rsid w:val="00EA5D6C"/>
    <w:rsid w:val="00EA6A7A"/>
    <w:rsid w:val="00EA6BBE"/>
    <w:rsid w:val="00EA7B8D"/>
    <w:rsid w:val="00EB0466"/>
    <w:rsid w:val="00EB0CC4"/>
    <w:rsid w:val="00EB1063"/>
    <w:rsid w:val="00EB2864"/>
    <w:rsid w:val="00EB2EDB"/>
    <w:rsid w:val="00EB3318"/>
    <w:rsid w:val="00EB3C4E"/>
    <w:rsid w:val="00EB44B4"/>
    <w:rsid w:val="00EB452A"/>
    <w:rsid w:val="00EB4634"/>
    <w:rsid w:val="00EB46B0"/>
    <w:rsid w:val="00EB4A6A"/>
    <w:rsid w:val="00EB4D47"/>
    <w:rsid w:val="00EB6AE8"/>
    <w:rsid w:val="00EB6D6A"/>
    <w:rsid w:val="00EB7284"/>
    <w:rsid w:val="00EB72EA"/>
    <w:rsid w:val="00EB7530"/>
    <w:rsid w:val="00EB7994"/>
    <w:rsid w:val="00EB7F27"/>
    <w:rsid w:val="00EC2D25"/>
    <w:rsid w:val="00EC303F"/>
    <w:rsid w:val="00EC3DC2"/>
    <w:rsid w:val="00EC4169"/>
    <w:rsid w:val="00EC50B9"/>
    <w:rsid w:val="00EC5558"/>
    <w:rsid w:val="00EC5989"/>
    <w:rsid w:val="00EC5998"/>
    <w:rsid w:val="00EC5B3B"/>
    <w:rsid w:val="00EC6160"/>
    <w:rsid w:val="00EC706C"/>
    <w:rsid w:val="00EC74D2"/>
    <w:rsid w:val="00EC7C05"/>
    <w:rsid w:val="00ED011A"/>
    <w:rsid w:val="00ED0FAF"/>
    <w:rsid w:val="00ED1364"/>
    <w:rsid w:val="00ED1901"/>
    <w:rsid w:val="00ED1C98"/>
    <w:rsid w:val="00ED1CF0"/>
    <w:rsid w:val="00ED2635"/>
    <w:rsid w:val="00ED26FF"/>
    <w:rsid w:val="00ED2E0E"/>
    <w:rsid w:val="00ED3085"/>
    <w:rsid w:val="00ED3C69"/>
    <w:rsid w:val="00ED42F1"/>
    <w:rsid w:val="00ED457E"/>
    <w:rsid w:val="00ED4E37"/>
    <w:rsid w:val="00ED502D"/>
    <w:rsid w:val="00ED52D7"/>
    <w:rsid w:val="00ED53D0"/>
    <w:rsid w:val="00ED6A3F"/>
    <w:rsid w:val="00ED6CFC"/>
    <w:rsid w:val="00ED6E96"/>
    <w:rsid w:val="00ED6E9E"/>
    <w:rsid w:val="00ED6F27"/>
    <w:rsid w:val="00ED7546"/>
    <w:rsid w:val="00EE0B89"/>
    <w:rsid w:val="00EE153F"/>
    <w:rsid w:val="00EE1A45"/>
    <w:rsid w:val="00EE1FB7"/>
    <w:rsid w:val="00EE20DA"/>
    <w:rsid w:val="00EE250F"/>
    <w:rsid w:val="00EE2548"/>
    <w:rsid w:val="00EE3CF2"/>
    <w:rsid w:val="00EE44E5"/>
    <w:rsid w:val="00EE4887"/>
    <w:rsid w:val="00EE5118"/>
    <w:rsid w:val="00EE518B"/>
    <w:rsid w:val="00EE578A"/>
    <w:rsid w:val="00EE793B"/>
    <w:rsid w:val="00EE7E90"/>
    <w:rsid w:val="00EF0B0E"/>
    <w:rsid w:val="00EF0FA0"/>
    <w:rsid w:val="00EF165D"/>
    <w:rsid w:val="00EF1C44"/>
    <w:rsid w:val="00EF24B7"/>
    <w:rsid w:val="00EF26A9"/>
    <w:rsid w:val="00EF2A00"/>
    <w:rsid w:val="00EF2F08"/>
    <w:rsid w:val="00EF345D"/>
    <w:rsid w:val="00EF3EE0"/>
    <w:rsid w:val="00EF3F20"/>
    <w:rsid w:val="00EF4677"/>
    <w:rsid w:val="00EF4D7A"/>
    <w:rsid w:val="00EF6598"/>
    <w:rsid w:val="00EF7734"/>
    <w:rsid w:val="00EF7A80"/>
    <w:rsid w:val="00F006BC"/>
    <w:rsid w:val="00F00891"/>
    <w:rsid w:val="00F02012"/>
    <w:rsid w:val="00F021FE"/>
    <w:rsid w:val="00F03742"/>
    <w:rsid w:val="00F037D8"/>
    <w:rsid w:val="00F03928"/>
    <w:rsid w:val="00F04387"/>
    <w:rsid w:val="00F0455D"/>
    <w:rsid w:val="00F04C56"/>
    <w:rsid w:val="00F06244"/>
    <w:rsid w:val="00F0790A"/>
    <w:rsid w:val="00F07D47"/>
    <w:rsid w:val="00F11511"/>
    <w:rsid w:val="00F118EC"/>
    <w:rsid w:val="00F1208F"/>
    <w:rsid w:val="00F124B7"/>
    <w:rsid w:val="00F124CE"/>
    <w:rsid w:val="00F1265C"/>
    <w:rsid w:val="00F1293C"/>
    <w:rsid w:val="00F12EEC"/>
    <w:rsid w:val="00F14182"/>
    <w:rsid w:val="00F14717"/>
    <w:rsid w:val="00F14932"/>
    <w:rsid w:val="00F14ACC"/>
    <w:rsid w:val="00F152B7"/>
    <w:rsid w:val="00F1536A"/>
    <w:rsid w:val="00F155F9"/>
    <w:rsid w:val="00F15C35"/>
    <w:rsid w:val="00F1604F"/>
    <w:rsid w:val="00F1607C"/>
    <w:rsid w:val="00F1616D"/>
    <w:rsid w:val="00F203B3"/>
    <w:rsid w:val="00F20D78"/>
    <w:rsid w:val="00F21796"/>
    <w:rsid w:val="00F21C66"/>
    <w:rsid w:val="00F2238D"/>
    <w:rsid w:val="00F22A1E"/>
    <w:rsid w:val="00F23A5B"/>
    <w:rsid w:val="00F24F3C"/>
    <w:rsid w:val="00F2562B"/>
    <w:rsid w:val="00F25BE2"/>
    <w:rsid w:val="00F2605E"/>
    <w:rsid w:val="00F26B6E"/>
    <w:rsid w:val="00F27ACA"/>
    <w:rsid w:val="00F27B29"/>
    <w:rsid w:val="00F306A4"/>
    <w:rsid w:val="00F3115C"/>
    <w:rsid w:val="00F32412"/>
    <w:rsid w:val="00F32611"/>
    <w:rsid w:val="00F32C54"/>
    <w:rsid w:val="00F3379C"/>
    <w:rsid w:val="00F33C29"/>
    <w:rsid w:val="00F3533D"/>
    <w:rsid w:val="00F36B0A"/>
    <w:rsid w:val="00F37B77"/>
    <w:rsid w:val="00F37B90"/>
    <w:rsid w:val="00F40816"/>
    <w:rsid w:val="00F40B7E"/>
    <w:rsid w:val="00F41A7D"/>
    <w:rsid w:val="00F41C36"/>
    <w:rsid w:val="00F42298"/>
    <w:rsid w:val="00F4283B"/>
    <w:rsid w:val="00F42A0F"/>
    <w:rsid w:val="00F42BE6"/>
    <w:rsid w:val="00F445C3"/>
    <w:rsid w:val="00F46132"/>
    <w:rsid w:val="00F461B1"/>
    <w:rsid w:val="00F47B2A"/>
    <w:rsid w:val="00F50097"/>
    <w:rsid w:val="00F500C5"/>
    <w:rsid w:val="00F5106C"/>
    <w:rsid w:val="00F510BE"/>
    <w:rsid w:val="00F51B3C"/>
    <w:rsid w:val="00F52445"/>
    <w:rsid w:val="00F5261F"/>
    <w:rsid w:val="00F52A13"/>
    <w:rsid w:val="00F52F71"/>
    <w:rsid w:val="00F53200"/>
    <w:rsid w:val="00F54384"/>
    <w:rsid w:val="00F54A8F"/>
    <w:rsid w:val="00F54C9B"/>
    <w:rsid w:val="00F5578C"/>
    <w:rsid w:val="00F55BBF"/>
    <w:rsid w:val="00F56090"/>
    <w:rsid w:val="00F562BC"/>
    <w:rsid w:val="00F56482"/>
    <w:rsid w:val="00F5682F"/>
    <w:rsid w:val="00F56C71"/>
    <w:rsid w:val="00F57A6D"/>
    <w:rsid w:val="00F60654"/>
    <w:rsid w:val="00F61993"/>
    <w:rsid w:val="00F61F6B"/>
    <w:rsid w:val="00F62EA7"/>
    <w:rsid w:val="00F642C9"/>
    <w:rsid w:val="00F64C59"/>
    <w:rsid w:val="00F64CA4"/>
    <w:rsid w:val="00F65A0E"/>
    <w:rsid w:val="00F65ACE"/>
    <w:rsid w:val="00F65F1A"/>
    <w:rsid w:val="00F662B0"/>
    <w:rsid w:val="00F6671F"/>
    <w:rsid w:val="00F67153"/>
    <w:rsid w:val="00F67A04"/>
    <w:rsid w:val="00F70141"/>
    <w:rsid w:val="00F70615"/>
    <w:rsid w:val="00F70765"/>
    <w:rsid w:val="00F71033"/>
    <w:rsid w:val="00F71A03"/>
    <w:rsid w:val="00F71AE8"/>
    <w:rsid w:val="00F722FC"/>
    <w:rsid w:val="00F74260"/>
    <w:rsid w:val="00F74FF1"/>
    <w:rsid w:val="00F75B04"/>
    <w:rsid w:val="00F75B56"/>
    <w:rsid w:val="00F75D8B"/>
    <w:rsid w:val="00F76098"/>
    <w:rsid w:val="00F7664B"/>
    <w:rsid w:val="00F76A07"/>
    <w:rsid w:val="00F774F8"/>
    <w:rsid w:val="00F779DC"/>
    <w:rsid w:val="00F77B37"/>
    <w:rsid w:val="00F77B75"/>
    <w:rsid w:val="00F802BF"/>
    <w:rsid w:val="00F81A07"/>
    <w:rsid w:val="00F81C47"/>
    <w:rsid w:val="00F8301E"/>
    <w:rsid w:val="00F83A07"/>
    <w:rsid w:val="00F840DA"/>
    <w:rsid w:val="00F84542"/>
    <w:rsid w:val="00F8546E"/>
    <w:rsid w:val="00F855B0"/>
    <w:rsid w:val="00F86608"/>
    <w:rsid w:val="00F86A17"/>
    <w:rsid w:val="00F871CF"/>
    <w:rsid w:val="00F87216"/>
    <w:rsid w:val="00F87578"/>
    <w:rsid w:val="00F87C54"/>
    <w:rsid w:val="00F90755"/>
    <w:rsid w:val="00F90D38"/>
    <w:rsid w:val="00F9153C"/>
    <w:rsid w:val="00F91AE2"/>
    <w:rsid w:val="00F91B2B"/>
    <w:rsid w:val="00F92996"/>
    <w:rsid w:val="00F92A7E"/>
    <w:rsid w:val="00F94A87"/>
    <w:rsid w:val="00F95AFC"/>
    <w:rsid w:val="00F95CBF"/>
    <w:rsid w:val="00F96410"/>
    <w:rsid w:val="00F96AEF"/>
    <w:rsid w:val="00FA1795"/>
    <w:rsid w:val="00FA1B52"/>
    <w:rsid w:val="00FA1F5E"/>
    <w:rsid w:val="00FA2BF1"/>
    <w:rsid w:val="00FA2C31"/>
    <w:rsid w:val="00FA423D"/>
    <w:rsid w:val="00FA50F6"/>
    <w:rsid w:val="00FA5925"/>
    <w:rsid w:val="00FA6066"/>
    <w:rsid w:val="00FA61BE"/>
    <w:rsid w:val="00FA62CA"/>
    <w:rsid w:val="00FA66AB"/>
    <w:rsid w:val="00FA6969"/>
    <w:rsid w:val="00FA7210"/>
    <w:rsid w:val="00FA7682"/>
    <w:rsid w:val="00FA7E64"/>
    <w:rsid w:val="00FA7EED"/>
    <w:rsid w:val="00FB0990"/>
    <w:rsid w:val="00FB0D3D"/>
    <w:rsid w:val="00FB0D55"/>
    <w:rsid w:val="00FB0EB2"/>
    <w:rsid w:val="00FB12CC"/>
    <w:rsid w:val="00FB2585"/>
    <w:rsid w:val="00FB2834"/>
    <w:rsid w:val="00FB28FA"/>
    <w:rsid w:val="00FB3308"/>
    <w:rsid w:val="00FB45C2"/>
    <w:rsid w:val="00FB514F"/>
    <w:rsid w:val="00FB53F1"/>
    <w:rsid w:val="00FB60F5"/>
    <w:rsid w:val="00FB675B"/>
    <w:rsid w:val="00FB6D4F"/>
    <w:rsid w:val="00FB7A64"/>
    <w:rsid w:val="00FB7C22"/>
    <w:rsid w:val="00FC01CD"/>
    <w:rsid w:val="00FC2EEE"/>
    <w:rsid w:val="00FC315C"/>
    <w:rsid w:val="00FC39A1"/>
    <w:rsid w:val="00FC4097"/>
    <w:rsid w:val="00FC45FD"/>
    <w:rsid w:val="00FC4696"/>
    <w:rsid w:val="00FC4B1F"/>
    <w:rsid w:val="00FC4C7B"/>
    <w:rsid w:val="00FC5496"/>
    <w:rsid w:val="00FC5B99"/>
    <w:rsid w:val="00FC6260"/>
    <w:rsid w:val="00FC6DB5"/>
    <w:rsid w:val="00FC6DF4"/>
    <w:rsid w:val="00FC7C5B"/>
    <w:rsid w:val="00FD1B01"/>
    <w:rsid w:val="00FD1D0E"/>
    <w:rsid w:val="00FD1D3D"/>
    <w:rsid w:val="00FD2C8D"/>
    <w:rsid w:val="00FD2E04"/>
    <w:rsid w:val="00FD2E0D"/>
    <w:rsid w:val="00FD3773"/>
    <w:rsid w:val="00FD3926"/>
    <w:rsid w:val="00FD469D"/>
    <w:rsid w:val="00FD5262"/>
    <w:rsid w:val="00FD6B3C"/>
    <w:rsid w:val="00FD6E57"/>
    <w:rsid w:val="00FD7AAE"/>
    <w:rsid w:val="00FD7F4C"/>
    <w:rsid w:val="00FD7FB6"/>
    <w:rsid w:val="00FE027F"/>
    <w:rsid w:val="00FE0FBF"/>
    <w:rsid w:val="00FE13E0"/>
    <w:rsid w:val="00FE1471"/>
    <w:rsid w:val="00FE1A39"/>
    <w:rsid w:val="00FE1E80"/>
    <w:rsid w:val="00FE2AD7"/>
    <w:rsid w:val="00FE33AB"/>
    <w:rsid w:val="00FE35C3"/>
    <w:rsid w:val="00FE3941"/>
    <w:rsid w:val="00FE3AD6"/>
    <w:rsid w:val="00FE42DA"/>
    <w:rsid w:val="00FE4DE4"/>
    <w:rsid w:val="00FE5924"/>
    <w:rsid w:val="00FE5BB3"/>
    <w:rsid w:val="00FE5D53"/>
    <w:rsid w:val="00FE5D55"/>
    <w:rsid w:val="00FE641A"/>
    <w:rsid w:val="00FE6816"/>
    <w:rsid w:val="00FE6ACF"/>
    <w:rsid w:val="00FE6AF5"/>
    <w:rsid w:val="00FE6C26"/>
    <w:rsid w:val="00FE6D10"/>
    <w:rsid w:val="00FE7054"/>
    <w:rsid w:val="00FE7A44"/>
    <w:rsid w:val="00FE7D66"/>
    <w:rsid w:val="00FF0091"/>
    <w:rsid w:val="00FF01A4"/>
    <w:rsid w:val="00FF0453"/>
    <w:rsid w:val="00FF111D"/>
    <w:rsid w:val="00FF1840"/>
    <w:rsid w:val="00FF186D"/>
    <w:rsid w:val="00FF1C59"/>
    <w:rsid w:val="00FF281E"/>
    <w:rsid w:val="00FF49D7"/>
    <w:rsid w:val="00FF4CB4"/>
    <w:rsid w:val="00FF55E6"/>
    <w:rsid w:val="00FF62E4"/>
    <w:rsid w:val="00FF709C"/>
    <w:rsid w:val="00FF79C5"/>
    <w:rsid w:val="00FF79E1"/>
    <w:rsid w:val="02A219EB"/>
    <w:rsid w:val="040B2BBD"/>
    <w:rsid w:val="05D95763"/>
    <w:rsid w:val="06282816"/>
    <w:rsid w:val="089C6B6D"/>
    <w:rsid w:val="093F51ED"/>
    <w:rsid w:val="0D496666"/>
    <w:rsid w:val="0F89177D"/>
    <w:rsid w:val="0FF24D67"/>
    <w:rsid w:val="133315AE"/>
    <w:rsid w:val="17347144"/>
    <w:rsid w:val="188525F7"/>
    <w:rsid w:val="1BB54D0C"/>
    <w:rsid w:val="20353668"/>
    <w:rsid w:val="208E1830"/>
    <w:rsid w:val="21D201FB"/>
    <w:rsid w:val="228A0EE9"/>
    <w:rsid w:val="22A01392"/>
    <w:rsid w:val="23606EC4"/>
    <w:rsid w:val="24A066B0"/>
    <w:rsid w:val="24B16489"/>
    <w:rsid w:val="258661DB"/>
    <w:rsid w:val="279C203A"/>
    <w:rsid w:val="28B01A0B"/>
    <w:rsid w:val="2F9C24FF"/>
    <w:rsid w:val="2F9D1195"/>
    <w:rsid w:val="30A07368"/>
    <w:rsid w:val="315672BC"/>
    <w:rsid w:val="315D12B7"/>
    <w:rsid w:val="337B22DF"/>
    <w:rsid w:val="33A77869"/>
    <w:rsid w:val="349422FC"/>
    <w:rsid w:val="35382E89"/>
    <w:rsid w:val="356C19EB"/>
    <w:rsid w:val="35F24D13"/>
    <w:rsid w:val="369A229D"/>
    <w:rsid w:val="36CB52BA"/>
    <w:rsid w:val="3A866A3F"/>
    <w:rsid w:val="3DFF70C5"/>
    <w:rsid w:val="3EA53CE0"/>
    <w:rsid w:val="40642790"/>
    <w:rsid w:val="40796122"/>
    <w:rsid w:val="41A76562"/>
    <w:rsid w:val="42BD04A6"/>
    <w:rsid w:val="46123A3D"/>
    <w:rsid w:val="478758D4"/>
    <w:rsid w:val="49714A1D"/>
    <w:rsid w:val="49CE5A05"/>
    <w:rsid w:val="4B1A0AC6"/>
    <w:rsid w:val="4C04385A"/>
    <w:rsid w:val="4C0B2A9F"/>
    <w:rsid w:val="4D2B1FFE"/>
    <w:rsid w:val="50A42DD9"/>
    <w:rsid w:val="50D41921"/>
    <w:rsid w:val="52E10F88"/>
    <w:rsid w:val="558D708B"/>
    <w:rsid w:val="55CF30FE"/>
    <w:rsid w:val="56DE0E47"/>
    <w:rsid w:val="587E3636"/>
    <w:rsid w:val="58FD7667"/>
    <w:rsid w:val="5A2F287B"/>
    <w:rsid w:val="5AF62B00"/>
    <w:rsid w:val="5D986B60"/>
    <w:rsid w:val="5F2B3A2B"/>
    <w:rsid w:val="62117902"/>
    <w:rsid w:val="6268292A"/>
    <w:rsid w:val="638D3185"/>
    <w:rsid w:val="65304480"/>
    <w:rsid w:val="65993399"/>
    <w:rsid w:val="65DE1922"/>
    <w:rsid w:val="692A0260"/>
    <w:rsid w:val="699B73E4"/>
    <w:rsid w:val="6AB5473D"/>
    <w:rsid w:val="6C221E21"/>
    <w:rsid w:val="6DB00ABF"/>
    <w:rsid w:val="6E392911"/>
    <w:rsid w:val="6EAB7730"/>
    <w:rsid w:val="72244061"/>
    <w:rsid w:val="73097069"/>
    <w:rsid w:val="75744FB7"/>
    <w:rsid w:val="764373AE"/>
    <w:rsid w:val="76CE09D8"/>
    <w:rsid w:val="78D27259"/>
    <w:rsid w:val="78D61055"/>
    <w:rsid w:val="7CA2205E"/>
    <w:rsid w:val="7F3474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91"/>
    <w:qFormat/>
    <w:uiPriority w:val="0"/>
    <w:pPr>
      <w:keepNext/>
      <w:numPr>
        <w:ilvl w:val="0"/>
        <w:numId w:val="1"/>
      </w:numPr>
      <w:outlineLvl w:val="0"/>
    </w:pPr>
    <w:rPr>
      <w:b w:val="0"/>
    </w:rPr>
  </w:style>
  <w:style w:type="paragraph" w:styleId="5">
    <w:name w:val="heading 2"/>
    <w:basedOn w:val="1"/>
    <w:next w:val="1"/>
    <w:link w:val="92"/>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9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9"/>
    <w:basedOn w:val="1"/>
    <w:next w:val="1"/>
    <w:link w:val="94"/>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4">
    <w:name w:val="Title"/>
    <w:basedOn w:val="1"/>
    <w:next w:val="1"/>
    <w:link w:val="90"/>
    <w:qFormat/>
    <w:uiPriority w:val="0"/>
    <w:pPr>
      <w:spacing w:before="240" w:after="60"/>
      <w:jc w:val="center"/>
      <w:outlineLvl w:val="0"/>
    </w:pPr>
    <w:rPr>
      <w:rFonts w:ascii="等线 Light" w:hAnsi="等线 Light" w:cs="Times New Roman"/>
      <w:b/>
      <w:bCs/>
      <w:sz w:val="32"/>
      <w:szCs w:val="32"/>
    </w:rPr>
  </w:style>
  <w:style w:type="paragraph" w:styleId="9">
    <w:name w:val="Normal Indent"/>
    <w:basedOn w:val="1"/>
    <w:qFormat/>
    <w:uiPriority w:val="0"/>
    <w:pPr>
      <w:ind w:firstLine="420" w:firstLineChars="200"/>
    </w:pPr>
    <w:rPr>
      <w:szCs w:val="24"/>
    </w:rPr>
  </w:style>
  <w:style w:type="paragraph" w:styleId="10">
    <w:name w:val="Document Map"/>
    <w:basedOn w:val="1"/>
    <w:semiHidden/>
    <w:qFormat/>
    <w:uiPriority w:val="0"/>
    <w:pPr>
      <w:shd w:val="clear" w:color="auto" w:fill="000080"/>
    </w:pPr>
  </w:style>
  <w:style w:type="paragraph" w:styleId="11">
    <w:name w:val="annotation text"/>
    <w:basedOn w:val="1"/>
    <w:link w:val="95"/>
    <w:qFormat/>
    <w:uiPriority w:val="0"/>
    <w:pPr>
      <w:jc w:val="left"/>
    </w:pPr>
  </w:style>
  <w:style w:type="paragraph" w:styleId="12">
    <w:name w:val="Salutation"/>
    <w:basedOn w:val="1"/>
    <w:next w:val="1"/>
    <w:qFormat/>
    <w:uiPriority w:val="0"/>
    <w:rPr>
      <w:rFonts w:ascii="宋体"/>
      <w:b/>
      <w:sz w:val="28"/>
    </w:rPr>
  </w:style>
  <w:style w:type="paragraph" w:styleId="13">
    <w:name w:val="Body Text"/>
    <w:basedOn w:val="1"/>
    <w:next w:val="1"/>
    <w:qFormat/>
    <w:uiPriority w:val="0"/>
    <w:rPr>
      <w:rFonts w:ascii="Arial" w:hAnsi="Arial" w:cs="Arial"/>
      <w:sz w:val="24"/>
    </w:rPr>
  </w:style>
  <w:style w:type="paragraph" w:styleId="14">
    <w:name w:val="Body Text Indent"/>
    <w:basedOn w:val="1"/>
    <w:qFormat/>
    <w:uiPriority w:val="0"/>
    <w:pPr>
      <w:ind w:firstLine="480"/>
    </w:pPr>
    <w:rPr>
      <w:rFonts w:ascii="宋体" w:hAnsi="宋体"/>
      <w:sz w:val="24"/>
    </w:rPr>
  </w:style>
  <w:style w:type="paragraph" w:styleId="15">
    <w:name w:val="toc 3"/>
    <w:basedOn w:val="1"/>
    <w:next w:val="1"/>
    <w:qFormat/>
    <w:uiPriority w:val="39"/>
    <w:pPr>
      <w:ind w:left="840" w:leftChars="400"/>
    </w:pPr>
  </w:style>
  <w:style w:type="paragraph" w:styleId="16">
    <w:name w:val="Plain Text"/>
    <w:basedOn w:val="1"/>
    <w:link w:val="96"/>
    <w:qFormat/>
    <w:uiPriority w:val="0"/>
    <w:rPr>
      <w:rFonts w:ascii="宋体" w:hAnsi="Courier New"/>
    </w:rPr>
  </w:style>
  <w:style w:type="paragraph" w:styleId="17">
    <w:name w:val="Date"/>
    <w:basedOn w:val="1"/>
    <w:next w:val="1"/>
    <w:qFormat/>
    <w:uiPriority w:val="0"/>
    <w:pPr>
      <w:ind w:left="100"/>
    </w:pPr>
    <w:rPr>
      <w:sz w:val="24"/>
    </w:rPr>
  </w:style>
  <w:style w:type="paragraph" w:styleId="18">
    <w:name w:val="Body Text Indent 2"/>
    <w:basedOn w:val="1"/>
    <w:qFormat/>
    <w:uiPriority w:val="0"/>
    <w:pPr>
      <w:ind w:firstLine="435"/>
    </w:pPr>
    <w:rPr>
      <w:rFonts w:ascii="宋体" w:hAnsi="宋体"/>
      <w:sz w:val="24"/>
    </w:rPr>
  </w:style>
  <w:style w:type="paragraph" w:styleId="19">
    <w:name w:val="Balloon Text"/>
    <w:basedOn w:val="1"/>
    <w:link w:val="97"/>
    <w:semiHidden/>
    <w:qFormat/>
    <w:uiPriority w:val="99"/>
    <w:rPr>
      <w:sz w:val="18"/>
      <w:szCs w:val="18"/>
    </w:rPr>
  </w:style>
  <w:style w:type="paragraph" w:styleId="20">
    <w:name w:val="footer"/>
    <w:basedOn w:val="1"/>
    <w:link w:val="98"/>
    <w:qFormat/>
    <w:uiPriority w:val="0"/>
    <w:pPr>
      <w:tabs>
        <w:tab w:val="center" w:pos="4153"/>
        <w:tab w:val="right" w:pos="8306"/>
      </w:tabs>
      <w:snapToGrid w:val="0"/>
      <w:jc w:val="left"/>
    </w:pPr>
    <w:rPr>
      <w:sz w:val="18"/>
    </w:rPr>
  </w:style>
  <w:style w:type="paragraph" w:styleId="21">
    <w:name w:val="header"/>
    <w:basedOn w:val="1"/>
    <w:link w:val="99"/>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style>
  <w:style w:type="paragraph" w:styleId="23">
    <w:name w:val="Body Text Indent 3"/>
    <w:basedOn w:val="1"/>
    <w:qFormat/>
    <w:uiPriority w:val="0"/>
    <w:pPr>
      <w:ind w:left="471" w:hanging="471" w:hangingChars="200"/>
    </w:pPr>
    <w:rPr>
      <w:rFonts w:ascii="Arial" w:hAnsi="Arial" w:cs="Arial"/>
      <w:b/>
      <w:bCs/>
      <w:sz w:val="24"/>
    </w:rPr>
  </w:style>
  <w:style w:type="paragraph" w:styleId="24">
    <w:name w:val="toc 2"/>
    <w:basedOn w:val="1"/>
    <w:next w:val="1"/>
    <w:qFormat/>
    <w:uiPriority w:val="39"/>
    <w:pPr>
      <w:ind w:left="420" w:leftChars="200"/>
    </w:pPr>
  </w:style>
  <w:style w:type="paragraph" w:styleId="25">
    <w:name w:val="Body Text 2"/>
    <w:basedOn w:val="1"/>
    <w:qFormat/>
    <w:uiPriority w:val="0"/>
    <w:pPr>
      <w:spacing w:line="360" w:lineRule="auto"/>
    </w:pPr>
    <w:rPr>
      <w:b/>
      <w:sz w:val="28"/>
      <w:szCs w:val="21"/>
    </w:rPr>
  </w:style>
  <w:style w:type="paragraph" w:styleId="2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8">
    <w:name w:val="annotation subject"/>
    <w:basedOn w:val="11"/>
    <w:next w:val="11"/>
    <w:link w:val="100"/>
    <w:qFormat/>
    <w:uiPriority w:val="0"/>
    <w:rPr>
      <w:b/>
      <w:bCs/>
    </w:rPr>
  </w:style>
  <w:style w:type="paragraph" w:styleId="29">
    <w:name w:val="Body Text First Indent"/>
    <w:basedOn w:val="13"/>
    <w:qFormat/>
    <w:uiPriority w:val="99"/>
    <w:pPr>
      <w:spacing w:after="120"/>
      <w:ind w:firstLine="420" w:firstLineChars="100"/>
    </w:pPr>
  </w:style>
  <w:style w:type="paragraph" w:styleId="30">
    <w:name w:val="Body Text First Indent 2"/>
    <w:basedOn w:val="14"/>
    <w:next w:val="1"/>
    <w:qFormat/>
    <w:uiPriority w:val="0"/>
    <w:pPr>
      <w:overflowPunct w:val="0"/>
      <w:adjustRightInd w:val="0"/>
      <w:spacing w:line="500" w:lineRule="exact"/>
      <w:ind w:firstLine="420" w:firstLineChars="200"/>
      <w:textAlignment w:val="baseline"/>
    </w:pPr>
    <w:rPr>
      <w:rFonts w:ascii="Times New Roman" w:hAnsi="Times New Roman" w:eastAsia="仿宋_GB2312" w:cs="Times New Roman"/>
      <w:kern w:val="28"/>
      <w:sz w:val="28"/>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99"/>
    <w:rPr>
      <w:color w:val="800080"/>
      <w:u w:val="single"/>
    </w:rPr>
  </w:style>
  <w:style w:type="character" w:styleId="37">
    <w:name w:val="Emphasis"/>
    <w:qFormat/>
    <w:uiPriority w:val="0"/>
    <w:rPr>
      <w:color w:val="CC0033"/>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styleId="40">
    <w:name w:val="HTML Sample"/>
    <w:qFormat/>
    <w:uiPriority w:val="0"/>
    <w:rPr>
      <w:rFonts w:ascii="Courier New" w:hAnsi="Courier New"/>
    </w:rPr>
  </w:style>
  <w:style w:type="paragraph" w:customStyle="1" w:styleId="41">
    <w:name w:val="Default"/>
    <w:basedOn w:val="4"/>
    <w:next w:val="42"/>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42">
    <w:name w:val="大标题"/>
    <w:basedOn w:val="1"/>
    <w:next w:val="30"/>
    <w:qFormat/>
    <w:uiPriority w:val="0"/>
    <w:pPr>
      <w:jc w:val="center"/>
    </w:pPr>
    <w:rPr>
      <w:rFonts w:ascii="Arial" w:hAnsi="Arial" w:eastAsia="宋体" w:cs="Times New Roman"/>
      <w:b/>
      <w:sz w:val="28"/>
      <w:szCs w:val="24"/>
    </w:rPr>
  </w:style>
  <w:style w:type="paragraph" w:customStyle="1" w:styleId="43">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44">
    <w:name w:val="仿宋正文"/>
    <w:basedOn w:val="1"/>
    <w:link w:val="101"/>
    <w:qFormat/>
    <w:uiPriority w:val="0"/>
    <w:pPr>
      <w:spacing w:line="360" w:lineRule="auto"/>
      <w:ind w:firstLine="480" w:firstLineChars="200"/>
    </w:pPr>
    <w:rPr>
      <w:rFonts w:ascii="仿宋_GB2312" w:eastAsia="仿宋_GB2312"/>
      <w:sz w:val="24"/>
    </w:rPr>
  </w:style>
  <w:style w:type="paragraph" w:customStyle="1" w:styleId="45">
    <w:name w:val="样式 正文缩进 + 首行缩进:  2 字符"/>
    <w:basedOn w:val="9"/>
    <w:link w:val="105"/>
    <w:qFormat/>
    <w:uiPriority w:val="0"/>
    <w:pPr>
      <w:spacing w:line="360" w:lineRule="auto"/>
      <w:ind w:firstLine="200"/>
    </w:pPr>
    <w:rPr>
      <w:kern w:val="0"/>
      <w:sz w:val="24"/>
      <w:szCs w:val="20"/>
    </w:rPr>
  </w:style>
  <w:style w:type="paragraph" w:customStyle="1" w:styleId="46">
    <w:name w:val="正文缩进2字符"/>
    <w:basedOn w:val="1"/>
    <w:next w:val="13"/>
    <w:link w:val="107"/>
    <w:qFormat/>
    <w:uiPriority w:val="0"/>
    <w:rPr>
      <w:rFonts w:ascii="Calibri" w:hAnsi="Calibri"/>
      <w:szCs w:val="22"/>
    </w:rPr>
  </w:style>
  <w:style w:type="paragraph" w:styleId="47">
    <w:name w:val="List Paragraph"/>
    <w:basedOn w:val="1"/>
    <w:link w:val="115"/>
    <w:qFormat/>
    <w:uiPriority w:val="34"/>
    <w:pPr>
      <w:ind w:firstLine="420" w:firstLineChars="200"/>
    </w:pPr>
    <w:rPr>
      <w:rFonts w:ascii="Calibri" w:hAnsi="Calibri"/>
      <w:szCs w:val="22"/>
    </w:rPr>
  </w:style>
  <w:style w:type="paragraph" w:customStyle="1" w:styleId="48">
    <w:name w:val="标准正文"/>
    <w:basedOn w:val="1"/>
    <w:link w:val="116"/>
    <w:qFormat/>
    <w:uiPriority w:val="0"/>
    <w:pPr>
      <w:spacing w:line="360" w:lineRule="auto"/>
      <w:ind w:firstLine="480" w:firstLineChars="200"/>
      <w:jc w:val="left"/>
    </w:pPr>
    <w:rPr>
      <w:rFonts w:ascii="宋体" w:hAnsi="宋体"/>
      <w:sz w:val="24"/>
      <w:szCs w:val="24"/>
    </w:rPr>
  </w:style>
  <w:style w:type="paragraph" w:customStyle="1" w:styleId="49">
    <w:name w:val="标准正文格式"/>
    <w:basedOn w:val="1"/>
    <w:link w:val="117"/>
    <w:qFormat/>
    <w:uiPriority w:val="0"/>
    <w:pPr>
      <w:widowControl/>
      <w:adjustRightInd w:val="0"/>
      <w:spacing w:line="360" w:lineRule="auto"/>
      <w:ind w:firstLine="200" w:firstLineChars="200"/>
      <w:textAlignment w:val="baseline"/>
    </w:pPr>
    <w:rPr>
      <w:rFonts w:ascii="宋体"/>
      <w:color w:val="000000"/>
      <w:kern w:val="0"/>
      <w:sz w:val="24"/>
    </w:rPr>
  </w:style>
  <w:style w:type="paragraph" w:customStyle="1" w:styleId="50">
    <w:name w:val="_Style 65"/>
    <w:basedOn w:val="1"/>
    <w:next w:val="47"/>
    <w:link w:val="118"/>
    <w:qFormat/>
    <w:uiPriority w:val="34"/>
    <w:pPr>
      <w:ind w:firstLine="420" w:firstLineChars="200"/>
    </w:pPr>
    <w:rPr>
      <w:rFonts w:ascii="Calibri" w:hAnsi="Calibri"/>
      <w:szCs w:val="22"/>
    </w:rPr>
  </w:style>
  <w:style w:type="paragraph" w:customStyle="1" w:styleId="51">
    <w:name w:val="正文缩进2格"/>
    <w:basedOn w:val="1"/>
    <w:link w:val="122"/>
    <w:qFormat/>
    <w:uiPriority w:val="0"/>
    <w:pPr>
      <w:spacing w:line="600" w:lineRule="exact"/>
      <w:ind w:firstLine="639" w:firstLineChars="206"/>
    </w:pPr>
    <w:rPr>
      <w:rFonts w:ascii="仿宋_GB2312" w:hAnsi="宋体" w:eastAsia="仿宋_GB2312"/>
      <w:sz w:val="31"/>
      <w:szCs w:val="28"/>
    </w:rPr>
  </w:style>
  <w:style w:type="paragraph" w:styleId="52">
    <w:name w:val="No Spacing"/>
    <w:qFormat/>
    <w:uiPriority w:val="0"/>
    <w:pPr>
      <w:widowControl w:val="0"/>
      <w:jc w:val="both"/>
    </w:pPr>
    <w:rPr>
      <w:rFonts w:ascii="Tahoma" w:hAnsi="Tahoma" w:eastAsia="微软雅黑" w:cs="Times New Roman"/>
      <w:kern w:val="2"/>
      <w:sz w:val="21"/>
      <w:lang w:val="en-US" w:eastAsia="zh-CN" w:bidi="ar-SA"/>
    </w:rPr>
  </w:style>
  <w:style w:type="paragraph" w:customStyle="1" w:styleId="53">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
    <w:name w:val="font5"/>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 Char Char Char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57">
    <w:name w:val="List Paragraph1"/>
    <w:basedOn w:val="1"/>
    <w:qFormat/>
    <w:uiPriority w:val="0"/>
    <w:pPr>
      <w:ind w:firstLine="420" w:firstLineChars="200"/>
    </w:pPr>
    <w:rPr>
      <w:rFonts w:ascii="Calibri" w:hAnsi="Calibri"/>
      <w:szCs w:val="22"/>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61">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4">
    <w:name w:val="333"/>
    <w:basedOn w:val="1"/>
    <w:qFormat/>
    <w:uiPriority w:val="0"/>
    <w:pPr>
      <w:adjustRightInd w:val="0"/>
      <w:spacing w:line="312" w:lineRule="atLeast"/>
      <w:textAlignment w:val="baseline"/>
    </w:pPr>
    <w:rPr>
      <w:kern w:val="0"/>
    </w:rPr>
  </w:style>
  <w:style w:type="paragraph" w:customStyle="1" w:styleId="65">
    <w:name w:val="_Style 60"/>
    <w:unhideWhenUsed/>
    <w:qFormat/>
    <w:uiPriority w:val="99"/>
    <w:rPr>
      <w:rFonts w:ascii="Times New Roman" w:hAnsi="Times New Roman" w:eastAsia="宋体" w:cs="Times New Roman"/>
      <w:kern w:val="2"/>
      <w:sz w:val="21"/>
      <w:lang w:val="en-US" w:eastAsia="zh-CN" w:bidi="ar-SA"/>
    </w:rPr>
  </w:style>
  <w:style w:type="paragraph" w:customStyle="1" w:styleId="6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List Paragraph2"/>
    <w:basedOn w:val="1"/>
    <w:qFormat/>
    <w:uiPriority w:val="0"/>
    <w:pPr>
      <w:ind w:firstLine="420" w:firstLineChars="200"/>
    </w:pPr>
    <w:rPr>
      <w:rFonts w:ascii="Calibri" w:hAnsi="Calibri"/>
      <w:szCs w:val="22"/>
    </w:rPr>
  </w:style>
  <w:style w:type="paragraph" w:customStyle="1" w:styleId="68">
    <w:name w:val="列出段落1"/>
    <w:basedOn w:val="1"/>
    <w:qFormat/>
    <w:uiPriority w:val="34"/>
    <w:pPr>
      <w:ind w:firstLine="420" w:firstLineChars="200"/>
    </w:pPr>
    <w:rPr>
      <w:rFonts w:ascii="Calibri" w:hAnsi="Calibri"/>
      <w:szCs w:val="22"/>
    </w:rPr>
  </w:style>
  <w:style w:type="paragraph" w:customStyle="1" w:styleId="69">
    <w:name w:val="Char"/>
    <w:basedOn w:val="1"/>
    <w:semiHidden/>
    <w:qFormat/>
    <w:uiPriority w:val="0"/>
    <w:rPr>
      <w:rFonts w:ascii="Tahoma" w:hAnsi="Tahoma" w:cs="仿宋_GB2312"/>
      <w:sz w:val="24"/>
      <w:szCs w:val="28"/>
    </w:rPr>
  </w:style>
  <w:style w:type="paragraph" w:customStyle="1" w:styleId="7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2"/>
      <w:szCs w:val="22"/>
    </w:rPr>
  </w:style>
  <w:style w:type="paragraph" w:customStyle="1" w:styleId="75">
    <w:name w:val=" 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7">
    <w:name w:val="测评方案正文"/>
    <w:basedOn w:val="1"/>
    <w:qFormat/>
    <w:uiPriority w:val="0"/>
    <w:pPr>
      <w:spacing w:before="156" w:beforeLines="50" w:after="156" w:afterLines="50" w:line="300" w:lineRule="auto"/>
      <w:ind w:firstLine="200" w:firstLineChars="200"/>
    </w:pPr>
    <w:rPr>
      <w:szCs w:val="32"/>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szCs w:val="24"/>
    </w:rPr>
  </w:style>
  <w:style w:type="paragraph" w:customStyle="1" w:styleId="80">
    <w:name w:val="_Style 8"/>
    <w:basedOn w:val="1"/>
    <w:qFormat/>
    <w:uiPriority w:val="0"/>
    <w:rPr>
      <w:szCs w:val="24"/>
    </w:rPr>
  </w:style>
  <w:style w:type="paragraph" w:customStyle="1" w:styleId="8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8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3">
    <w:name w:val="1 Char Char Char Char"/>
    <w:basedOn w:val="1"/>
    <w:qFormat/>
    <w:uiPriority w:val="0"/>
    <w:rPr>
      <w:rFonts w:ascii="Tahoma" w:hAnsi="Tahoma"/>
      <w:sz w:val="24"/>
    </w:rPr>
  </w:style>
  <w:style w:type="paragraph" w:customStyle="1" w:styleId="84">
    <w:name w:val="列出段落3"/>
    <w:basedOn w:val="1"/>
    <w:unhideWhenUsed/>
    <w:qFormat/>
    <w:uiPriority w:val="99"/>
    <w:pPr>
      <w:ind w:firstLine="420" w:firstLineChars="200"/>
    </w:pPr>
    <w:rPr>
      <w:rFonts w:ascii="Calibri" w:hAnsi="Calibri" w:eastAsia="宋体" w:cs="Times New Roman"/>
      <w:szCs w:val="22"/>
    </w:rPr>
  </w:style>
  <w:style w:type="paragraph" w:customStyle="1" w:styleId="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8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szCs w:val="24"/>
    </w:rPr>
  </w:style>
  <w:style w:type="paragraph" w:customStyle="1" w:styleId="8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89">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90">
    <w:name w:val="标题 字符"/>
    <w:link w:val="4"/>
    <w:qFormat/>
    <w:uiPriority w:val="0"/>
    <w:rPr>
      <w:rFonts w:ascii="等线 Light" w:hAnsi="等线 Light" w:cs="Times New Roman"/>
      <w:b/>
      <w:bCs/>
      <w:kern w:val="2"/>
      <w:sz w:val="32"/>
      <w:szCs w:val="32"/>
    </w:rPr>
  </w:style>
  <w:style w:type="character" w:customStyle="1" w:styleId="91">
    <w:name w:val="标题 1 字符"/>
    <w:link w:val="3"/>
    <w:qFormat/>
    <w:locked/>
    <w:uiPriority w:val="0"/>
    <w:rPr>
      <w:b/>
      <w:kern w:val="2"/>
      <w:sz w:val="21"/>
    </w:rPr>
  </w:style>
  <w:style w:type="character" w:customStyle="1" w:styleId="92">
    <w:name w:val="标题 2 字符1"/>
    <w:link w:val="5"/>
    <w:qFormat/>
    <w:uiPriority w:val="0"/>
    <w:rPr>
      <w:rFonts w:ascii="Arial" w:hAnsi="Arial" w:eastAsia="黑体"/>
      <w:b/>
      <w:kern w:val="2"/>
      <w:sz w:val="32"/>
    </w:rPr>
  </w:style>
  <w:style w:type="character" w:customStyle="1" w:styleId="93">
    <w:name w:val="标题 3 字符"/>
    <w:link w:val="6"/>
    <w:qFormat/>
    <w:uiPriority w:val="0"/>
    <w:rPr>
      <w:b/>
      <w:bCs/>
      <w:kern w:val="2"/>
      <w:sz w:val="32"/>
      <w:szCs w:val="32"/>
    </w:rPr>
  </w:style>
  <w:style w:type="character" w:customStyle="1" w:styleId="94">
    <w:name w:val="标题 9 字符"/>
    <w:link w:val="8"/>
    <w:semiHidden/>
    <w:qFormat/>
    <w:uiPriority w:val="0"/>
    <w:rPr>
      <w:rFonts w:ascii="Cambria" w:hAnsi="Cambria" w:eastAsia="宋体" w:cs="Times New Roman"/>
      <w:kern w:val="2"/>
      <w:sz w:val="21"/>
      <w:szCs w:val="21"/>
    </w:rPr>
  </w:style>
  <w:style w:type="character" w:customStyle="1" w:styleId="95">
    <w:name w:val="批注文字 字符"/>
    <w:link w:val="11"/>
    <w:qFormat/>
    <w:uiPriority w:val="0"/>
    <w:rPr>
      <w:kern w:val="2"/>
      <w:sz w:val="21"/>
    </w:rPr>
  </w:style>
  <w:style w:type="character" w:customStyle="1" w:styleId="96">
    <w:name w:val="纯文本 字符"/>
    <w:link w:val="16"/>
    <w:qFormat/>
    <w:uiPriority w:val="0"/>
    <w:rPr>
      <w:rFonts w:ascii="宋体" w:hAnsi="Courier New"/>
      <w:kern w:val="2"/>
      <w:sz w:val="21"/>
    </w:rPr>
  </w:style>
  <w:style w:type="character" w:customStyle="1" w:styleId="97">
    <w:name w:val="批注框文本 字符"/>
    <w:link w:val="19"/>
    <w:semiHidden/>
    <w:qFormat/>
    <w:uiPriority w:val="99"/>
    <w:rPr>
      <w:kern w:val="2"/>
      <w:sz w:val="18"/>
      <w:szCs w:val="18"/>
    </w:rPr>
  </w:style>
  <w:style w:type="character" w:customStyle="1" w:styleId="98">
    <w:name w:val="页脚 字符"/>
    <w:link w:val="20"/>
    <w:qFormat/>
    <w:uiPriority w:val="99"/>
    <w:rPr>
      <w:kern w:val="2"/>
      <w:sz w:val="18"/>
    </w:rPr>
  </w:style>
  <w:style w:type="character" w:customStyle="1" w:styleId="99">
    <w:name w:val="页眉 字符"/>
    <w:link w:val="21"/>
    <w:qFormat/>
    <w:uiPriority w:val="99"/>
    <w:rPr>
      <w:kern w:val="2"/>
      <w:sz w:val="18"/>
    </w:rPr>
  </w:style>
  <w:style w:type="character" w:customStyle="1" w:styleId="100">
    <w:name w:val="批注主题 字符"/>
    <w:link w:val="28"/>
    <w:qFormat/>
    <w:uiPriority w:val="0"/>
    <w:rPr>
      <w:b/>
      <w:bCs/>
      <w:kern w:val="2"/>
      <w:sz w:val="21"/>
    </w:rPr>
  </w:style>
  <w:style w:type="character" w:customStyle="1" w:styleId="101">
    <w:name w:val="仿宋正文 Char"/>
    <w:link w:val="44"/>
    <w:qFormat/>
    <w:uiPriority w:val="0"/>
    <w:rPr>
      <w:rFonts w:ascii="仿宋_GB2312" w:eastAsia="仿宋_GB2312"/>
      <w:kern w:val="2"/>
      <w:sz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正文文字 Char"/>
    <w:qFormat/>
    <w:uiPriority w:val="0"/>
    <w:rPr>
      <w:rFonts w:ascii="Arial" w:hAnsi="Arial" w:eastAsia="宋体" w:cs="Arial"/>
      <w:kern w:val="2"/>
      <w:sz w:val="24"/>
      <w:lang w:val="en-US" w:eastAsia="zh-CN" w:bidi="ar-SA"/>
    </w:rPr>
  </w:style>
  <w:style w:type="character" w:customStyle="1" w:styleId="104">
    <w:name w:val="grame"/>
    <w:qFormat/>
    <w:uiPriority w:val="0"/>
  </w:style>
  <w:style w:type="character" w:customStyle="1" w:styleId="105">
    <w:name w:val="样式 正文缩进 + 首行缩进:  2 字符 Char"/>
    <w:link w:val="45"/>
    <w:qFormat/>
    <w:uiPriority w:val="0"/>
    <w:rPr>
      <w:sz w:val="24"/>
    </w:rPr>
  </w:style>
  <w:style w:type="character" w:customStyle="1" w:styleId="106">
    <w:name w:val="s1"/>
    <w:qFormat/>
    <w:uiPriority w:val="0"/>
    <w:rPr>
      <w:sz w:val="20"/>
      <w:szCs w:val="20"/>
    </w:rPr>
  </w:style>
  <w:style w:type="character" w:customStyle="1" w:styleId="107">
    <w:name w:val="正文缩进2字符 Char"/>
    <w:link w:val="46"/>
    <w:qFormat/>
    <w:uiPriority w:val="0"/>
    <w:rPr>
      <w:rFonts w:ascii="Calibri" w:hAnsi="Calibri" w:eastAsia="宋体" w:cs="Times New Roman"/>
      <w:kern w:val="2"/>
      <w:sz w:val="21"/>
      <w:szCs w:val="22"/>
    </w:rPr>
  </w:style>
  <w:style w:type="character" w:customStyle="1" w:styleId="108">
    <w:name w:val="p21"/>
    <w:qFormat/>
    <w:uiPriority w:val="0"/>
    <w:rPr>
      <w:rFonts w:hint="default" w:ascii="Arial" w:hAnsi="Arial" w:cs="Arial"/>
      <w:color w:val="333333"/>
      <w:sz w:val="18"/>
      <w:szCs w:val="18"/>
      <w:u w:val="none"/>
    </w:rPr>
  </w:style>
  <w:style w:type="character" w:customStyle="1" w:styleId="109">
    <w:name w:val="NormalCharacter"/>
    <w:qFormat/>
    <w:uiPriority w:val="0"/>
  </w:style>
  <w:style w:type="character" w:customStyle="1" w:styleId="110">
    <w:name w:val="页眉 Char"/>
    <w:qFormat/>
    <w:uiPriority w:val="99"/>
    <w:rPr>
      <w:kern w:val="2"/>
      <w:sz w:val="18"/>
    </w:rPr>
  </w:style>
  <w:style w:type="character" w:customStyle="1" w:styleId="111">
    <w:name w:val="标题 2 字符"/>
    <w:qFormat/>
    <w:uiPriority w:val="0"/>
    <w:rPr>
      <w:rFonts w:ascii="Arial" w:hAnsi="Arial" w:eastAsia="黑体"/>
      <w:b/>
      <w:kern w:val="2"/>
      <w:sz w:val="32"/>
    </w:rPr>
  </w:style>
  <w:style w:type="character" w:customStyle="1" w:styleId="112">
    <w:name w:val="_Style 107"/>
    <w:unhideWhenUsed/>
    <w:qFormat/>
    <w:uiPriority w:val="99"/>
    <w:rPr>
      <w:color w:val="605E5C"/>
      <w:shd w:val="clear" w:color="auto" w:fill="E1DFDD"/>
    </w:rPr>
  </w:style>
  <w:style w:type="character" w:customStyle="1" w:styleId="113">
    <w:name w:val="form-textarea-print"/>
    <w:qFormat/>
    <w:uiPriority w:val="0"/>
  </w:style>
  <w:style w:type="character" w:customStyle="1" w:styleId="114">
    <w:name w:val="标准正文格式 Char Char"/>
    <w:qFormat/>
    <w:uiPriority w:val="0"/>
    <w:rPr>
      <w:rFonts w:ascii="宋体" w:eastAsia="仿宋_GB2312" w:cs="宋体"/>
      <w:color w:val="000000"/>
      <w:sz w:val="24"/>
    </w:rPr>
  </w:style>
  <w:style w:type="character" w:customStyle="1" w:styleId="115">
    <w:name w:val="列表段落 字符"/>
    <w:link w:val="47"/>
    <w:qFormat/>
    <w:uiPriority w:val="34"/>
    <w:rPr>
      <w:rFonts w:ascii="Calibri" w:hAnsi="Calibri"/>
      <w:kern w:val="2"/>
      <w:sz w:val="21"/>
      <w:szCs w:val="22"/>
    </w:rPr>
  </w:style>
  <w:style w:type="character" w:customStyle="1" w:styleId="116">
    <w:name w:val="标准正文 Char"/>
    <w:link w:val="48"/>
    <w:qFormat/>
    <w:uiPriority w:val="0"/>
    <w:rPr>
      <w:rFonts w:ascii="宋体" w:hAnsi="宋体"/>
      <w:kern w:val="2"/>
      <w:sz w:val="24"/>
      <w:szCs w:val="24"/>
    </w:rPr>
  </w:style>
  <w:style w:type="character" w:customStyle="1" w:styleId="117">
    <w:name w:val="标准正文格式 Char"/>
    <w:link w:val="49"/>
    <w:qFormat/>
    <w:uiPriority w:val="0"/>
    <w:rPr>
      <w:rFonts w:ascii="宋体" w:cs="宋体"/>
      <w:color w:val="000000"/>
      <w:sz w:val="24"/>
    </w:rPr>
  </w:style>
  <w:style w:type="character" w:customStyle="1" w:styleId="118">
    <w:name w:val="列出段落 Char"/>
    <w:link w:val="50"/>
    <w:qFormat/>
    <w:uiPriority w:val="34"/>
    <w:rPr>
      <w:rFonts w:ascii="Calibri" w:hAnsi="Calibri"/>
      <w:kern w:val="2"/>
      <w:sz w:val="21"/>
      <w:szCs w:val="22"/>
    </w:rPr>
  </w:style>
  <w:style w:type="character" w:customStyle="1" w:styleId="119">
    <w:name w:val="unnamed1"/>
    <w:qFormat/>
    <w:uiPriority w:val="0"/>
  </w:style>
  <w:style w:type="character" w:customStyle="1" w:styleId="120">
    <w:name w:val="css21"/>
    <w:qFormat/>
    <w:uiPriority w:val="0"/>
    <w:rPr>
      <w:sz w:val="18"/>
      <w:szCs w:val="18"/>
    </w:rPr>
  </w:style>
  <w:style w:type="character" w:customStyle="1" w:styleId="121">
    <w:name w:val="a1"/>
    <w:qFormat/>
    <w:uiPriority w:val="0"/>
    <w:rPr>
      <w:color w:val="000099"/>
      <w:spacing w:val="31680"/>
      <w:sz w:val="21"/>
      <w:szCs w:val="21"/>
    </w:rPr>
  </w:style>
  <w:style w:type="character" w:customStyle="1" w:styleId="122">
    <w:name w:val="正文缩进2格 Char"/>
    <w:link w:val="51"/>
    <w:qFormat/>
    <w:uiPriority w:val="0"/>
    <w:rPr>
      <w:rFonts w:ascii="仿宋_GB2312" w:hAnsi="宋体" w:eastAsia="仿宋_GB2312"/>
      <w:kern w:val="2"/>
      <w:sz w:val="31"/>
      <w:szCs w:val="28"/>
    </w:rPr>
  </w:style>
  <w:style w:type="character" w:customStyle="1" w:styleId="123">
    <w:name w:val="页脚 Char"/>
    <w:qFormat/>
    <w:uiPriority w:val="99"/>
    <w:rPr>
      <w:kern w:val="2"/>
      <w:sz w:val="18"/>
    </w:rPr>
  </w:style>
  <w:style w:type="character" w:customStyle="1" w:styleId="124">
    <w:name w:val="font21"/>
    <w:qFormat/>
    <w:uiPriority w:val="0"/>
    <w:rPr>
      <w:rFonts w:ascii="Arial" w:hAnsi="Arial" w:cs="Arial"/>
      <w:color w:val="000000"/>
      <w:sz w:val="24"/>
      <w:szCs w:val="24"/>
      <w:u w:val="none"/>
    </w:rPr>
  </w:style>
  <w:style w:type="character" w:customStyle="1" w:styleId="125">
    <w:name w:val="font01"/>
    <w:qFormat/>
    <w:uiPriority w:val="0"/>
    <w:rPr>
      <w:rFonts w:hint="eastAsia" w:ascii="宋体" w:hAnsi="宋体" w:eastAsia="宋体" w:cs="宋体"/>
      <w:color w:val="000000"/>
      <w:sz w:val="24"/>
      <w:szCs w:val="24"/>
      <w:u w:val="none"/>
    </w:rPr>
  </w:style>
  <w:style w:type="character" w:customStyle="1" w:styleId="126">
    <w:name w:val="font81"/>
    <w:qFormat/>
    <w:uiPriority w:val="0"/>
    <w:rPr>
      <w:rFonts w:ascii="Arial" w:hAnsi="Arial" w:cs="Arial"/>
      <w:color w:val="000000"/>
      <w:sz w:val="24"/>
      <w:szCs w:val="24"/>
      <w:u w:val="none"/>
    </w:rPr>
  </w:style>
  <w:style w:type="table" w:customStyle="1" w:styleId="127">
    <w:name w:val="TableGrid"/>
    <w:qFormat/>
    <w:uiPriority w:val="0"/>
    <w:rPr>
      <w:rFonts w:eastAsia="Times New Roman"/>
      <w:lang w:val="en-US" w:eastAsia="zh-CN" w:bidi="ar-SA"/>
    </w:rPr>
    <w:tblPr>
      <w:tblCellMar>
        <w:top w:w="0" w:type="dxa"/>
        <w:left w:w="0" w:type="dxa"/>
        <w:bottom w:w="0" w:type="dxa"/>
        <w:right w:w="0" w:type="dxa"/>
      </w:tblCellMar>
    </w:tblPr>
  </w:style>
  <w:style w:type="paragraph" w:customStyle="1" w:styleId="128">
    <w:name w:val="Normal"/>
    <w:qFormat/>
    <w:uiPriority w:val="0"/>
    <w:rPr>
      <w:rFonts w:ascii="Times New Roman" w:hAnsi="Times New Roman" w:eastAsia="Times New Roman" w:cs="Times New Roman"/>
      <w:sz w:val="24"/>
      <w:szCs w:val="24"/>
      <w:lang w:val="en-US" w:eastAsia="zh-CN" w:bidi="ar-SA"/>
    </w:rPr>
  </w:style>
  <w:style w:type="paragraph" w:customStyle="1" w:styleId="129">
    <w:name w:val="首行缩进"/>
    <w:basedOn w:val="1"/>
    <w:qFormat/>
    <w:uiPriority w:val="0"/>
    <w:pPr>
      <w:spacing w:line="360" w:lineRule="auto"/>
      <w:ind w:firstLine="480" w:firstLineChars="200"/>
    </w:pPr>
    <w:rPr>
      <w:sz w:val="24"/>
      <w:szCs w:val="22"/>
      <w:lang w:val="zh-CN"/>
    </w:rPr>
  </w:style>
  <w:style w:type="paragraph" w:customStyle="1" w:styleId="130">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48</Pages>
  <Words>22616</Words>
  <Characters>23716</Characters>
  <Lines>205</Lines>
  <Paragraphs>57</Paragraphs>
  <TotalTime>7</TotalTime>
  <ScaleCrop>false</ScaleCrop>
  <LinksUpToDate>false</LinksUpToDate>
  <CharactersWithSpaces>25288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2022-02-23T12:17:00Z</dcterms:created>
  <dc:creator>xt</dc:creator>
  <cp:lastModifiedBy>劉</cp:lastModifiedBy>
  <cp:lastPrinted>2022-06-02T02:23:00Z</cp:lastPrinted>
  <dcterms:modified xsi:type="dcterms:W3CDTF">2023-06-14T05:02:30Z</dcterms:modified>
  <dc:title>第一部份 投标邀请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FAB895ACBA7D43DFA021BA050121C883</vt:lpwstr>
  </property>
</Properties>
</file>