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ascii="仿宋" w:hAnsi="仿宋" w:eastAsia="仿宋" w:cs="仿宋"/>
          <w:color w:val="auto"/>
          <w:sz w:val="44"/>
          <w:szCs w:val="44"/>
          <w:lang w:eastAsia="zh-CN"/>
        </w:rPr>
      </w:pPr>
      <w:r>
        <w:rPr>
          <w:rFonts w:hint="eastAsia" w:ascii="仿宋" w:hAnsi="仿宋" w:eastAsia="仿宋" w:cs="仿宋"/>
          <w:color w:val="auto"/>
          <w:sz w:val="44"/>
          <w:szCs w:val="44"/>
          <w:lang w:eastAsia="zh-CN"/>
        </w:rPr>
        <w:t>2023年和田市和田河流域生态</w:t>
      </w:r>
    </w:p>
    <w:p>
      <w:pPr>
        <w:pStyle w:val="13"/>
        <w:jc w:val="center"/>
        <w:rPr>
          <w:rFonts w:hint="eastAsia" w:ascii="仿宋" w:hAnsi="仿宋" w:eastAsia="仿宋" w:cs="仿宋"/>
          <w:color w:val="auto"/>
          <w:sz w:val="44"/>
          <w:szCs w:val="44"/>
          <w:lang w:eastAsia="zh-CN"/>
        </w:rPr>
      </w:pPr>
      <w:r>
        <w:rPr>
          <w:rFonts w:hint="eastAsia" w:ascii="仿宋" w:hAnsi="仿宋" w:eastAsia="仿宋" w:cs="仿宋"/>
          <w:color w:val="auto"/>
          <w:sz w:val="44"/>
          <w:szCs w:val="44"/>
          <w:lang w:eastAsia="zh-CN"/>
        </w:rPr>
        <w:t>综合治理项目</w:t>
      </w: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lang w:val="en-US" w:eastAsia="zh-CN"/>
        </w:rPr>
      </w:pPr>
    </w:p>
    <w:p>
      <w:pPr>
        <w:pStyle w:val="52"/>
        <w:numPr>
          <w:ilvl w:val="0"/>
          <w:numId w:val="0"/>
        </w:numPr>
        <w:rPr>
          <w:rFonts w:hint="eastAsia"/>
          <w:lang w:val="en-US" w:eastAsia="zh-CN"/>
        </w:rPr>
      </w:pPr>
    </w:p>
    <w:p>
      <w:pPr>
        <w:pStyle w:val="5"/>
        <w:numPr>
          <w:ilvl w:val="3"/>
          <w:numId w:val="0"/>
        </w:numPr>
        <w:rPr>
          <w:rFonts w:hint="eastAsia"/>
          <w:lang w:val="en-US" w:eastAsia="zh-CN"/>
        </w:rPr>
      </w:pPr>
    </w:p>
    <w:p>
      <w:pPr>
        <w:rPr>
          <w:rFonts w:hint="eastAsia"/>
          <w:lang w:val="en-US" w:eastAsia="zh-CN"/>
        </w:rPr>
      </w:pPr>
    </w:p>
    <w:p>
      <w:pPr>
        <w:pageBreakBefore w:val="0"/>
        <w:numPr>
          <w:ilvl w:val="0"/>
          <w:numId w:val="0"/>
        </w:numPr>
        <w:shd w:val="clear"/>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32"/>
          <w:szCs w:val="32"/>
          <w:highlight w:val="yellow"/>
          <w:lang w:val="en-US" w:eastAsia="zh-CN"/>
        </w:rPr>
      </w:pPr>
      <w:r>
        <w:rPr>
          <w:rFonts w:hint="eastAsia" w:ascii="仿宋" w:hAnsi="仿宋" w:eastAsia="仿宋" w:cs="仿宋"/>
          <w:color w:val="auto"/>
          <w:sz w:val="32"/>
          <w:szCs w:val="32"/>
          <w:lang w:val="en-US" w:eastAsia="zh-CN"/>
        </w:rPr>
        <w:t>项目编</w:t>
      </w:r>
      <w:r>
        <w:rPr>
          <w:rFonts w:hint="eastAsia" w:ascii="仿宋" w:hAnsi="仿宋" w:eastAsia="仿宋" w:cs="仿宋"/>
          <w:color w:val="auto"/>
          <w:sz w:val="32"/>
          <w:szCs w:val="32"/>
          <w:highlight w:val="none"/>
          <w:lang w:val="en-US" w:eastAsia="zh-CN"/>
        </w:rPr>
        <w:t>号：</w:t>
      </w:r>
      <w:r>
        <w:rPr>
          <w:rFonts w:hint="eastAsia" w:ascii="仿宋" w:hAnsi="仿宋" w:eastAsia="仿宋" w:cs="仿宋"/>
          <w:bCs/>
          <w:color w:val="auto"/>
          <w:sz w:val="28"/>
          <w:szCs w:val="28"/>
          <w:highlight w:val="none"/>
          <w:lang w:val="en-US" w:eastAsia="zh-CN"/>
        </w:rPr>
        <w:t>HTSZFCGZBDL-2023-082</w:t>
      </w:r>
    </w:p>
    <w:p>
      <w:pPr>
        <w:pStyle w:val="33"/>
        <w:rPr>
          <w:rFonts w:hint="eastAsia" w:ascii="仿宋" w:hAnsi="仿宋" w:eastAsia="仿宋" w:cs="仿宋"/>
          <w:color w:val="auto"/>
        </w:rPr>
      </w:pPr>
    </w:p>
    <w:p>
      <w:pPr>
        <w:keepNext w:val="0"/>
        <w:keepLines w:val="0"/>
        <w:pageBreakBefore w:val="0"/>
        <w:widowControl w:val="0"/>
        <w:kinsoku/>
        <w:wordWrap/>
        <w:overflowPunct/>
        <w:topLinePunct w:val="0"/>
        <w:autoSpaceDE w:val="0"/>
        <w:autoSpaceDN w:val="0"/>
        <w:bidi w:val="0"/>
        <w:adjustRightInd w:val="0"/>
        <w:snapToGrid/>
        <w:spacing w:line="560" w:lineRule="exact"/>
        <w:ind w:left="1959" w:leftChars="133" w:hanging="1680" w:hangingChars="600"/>
        <w:textAlignment w:val="auto"/>
        <w:rPr>
          <w:rFonts w:hint="eastAsia" w:ascii="仿宋" w:hAnsi="仿宋" w:eastAsia="仿宋" w:cs="仿宋"/>
          <w:bCs/>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zh-CN"/>
        </w:rPr>
        <w:t>采</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lang w:val="zh-CN"/>
        </w:rPr>
        <w:t>购</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lang w:val="zh-CN"/>
        </w:rPr>
        <w:t>人（盖章）：</w:t>
      </w:r>
      <w:r>
        <w:rPr>
          <w:rFonts w:hint="eastAsia" w:ascii="仿宋" w:hAnsi="仿宋" w:eastAsia="仿宋" w:cs="仿宋"/>
          <w:bCs/>
          <w:color w:val="auto"/>
          <w:sz w:val="28"/>
          <w:szCs w:val="28"/>
          <w:lang w:val="en-US" w:eastAsia="zh-CN"/>
        </w:rPr>
        <w:t>和田市林业和草原局</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zh-CN"/>
        </w:rPr>
        <w:t>联 系 人：</w:t>
      </w:r>
      <w:r>
        <w:rPr>
          <w:rFonts w:hint="eastAsia" w:ascii="仿宋" w:hAnsi="仿宋" w:eastAsia="仿宋" w:cs="仿宋"/>
          <w:bCs/>
          <w:color w:val="auto"/>
          <w:sz w:val="28"/>
          <w:szCs w:val="28"/>
          <w:lang w:val="en-US" w:eastAsia="zh-CN"/>
        </w:rPr>
        <w:t>努日艾力</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zh-CN"/>
        </w:rPr>
        <w:t>电    话：</w:t>
      </w:r>
      <w:r>
        <w:rPr>
          <w:rFonts w:hint="eastAsia" w:ascii="仿宋" w:hAnsi="仿宋" w:eastAsia="仿宋" w:cs="仿宋"/>
          <w:bCs/>
          <w:color w:val="auto"/>
          <w:sz w:val="28"/>
          <w:szCs w:val="28"/>
          <w:lang w:val="en-US" w:eastAsia="zh-CN"/>
        </w:rPr>
        <w:t xml:space="preserve"> 0903-2054273</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仿宋" w:hAnsi="仿宋" w:eastAsia="仿宋" w:cs="仿宋"/>
          <w:bCs/>
          <w:color w:val="auto"/>
          <w:sz w:val="28"/>
          <w:szCs w:val="28"/>
          <w:lang w:val="zh-CN"/>
        </w:rPr>
      </w:pPr>
      <w:r>
        <w:rPr>
          <w:rFonts w:hint="eastAsia" w:ascii="仿宋" w:hAnsi="仿宋" w:eastAsia="仿宋" w:cs="仿宋"/>
          <w:bCs/>
          <w:color w:val="auto"/>
          <w:sz w:val="28"/>
          <w:szCs w:val="28"/>
          <w:lang w:val="zh-CN"/>
        </w:rPr>
        <w:t>详细地址：和田市和墨路158号</w:t>
      </w:r>
    </w:p>
    <w:p>
      <w:pPr>
        <w:keepNext w:val="0"/>
        <w:keepLines w:val="0"/>
        <w:pageBreakBefore w:val="0"/>
        <w:widowControl w:val="0"/>
        <w:kinsoku/>
        <w:wordWrap/>
        <w:overflowPunct/>
        <w:topLinePunct w:val="0"/>
        <w:autoSpaceDE w:val="0"/>
        <w:autoSpaceDN w:val="0"/>
        <w:bidi w:val="0"/>
        <w:adjustRightInd w:val="0"/>
        <w:snapToGrid/>
        <w:spacing w:line="480" w:lineRule="auto"/>
        <w:ind w:left="4302" w:leftChars="382" w:hanging="3500" w:hangingChars="1250"/>
        <w:textAlignment w:val="auto"/>
        <w:rPr>
          <w:rFonts w:hint="eastAsia" w:ascii="仿宋" w:hAnsi="仿宋" w:eastAsia="仿宋" w:cs="仿宋"/>
          <w:bCs/>
          <w:color w:val="auto"/>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zh-CN"/>
        </w:rPr>
        <w:t>招标代理机构</w:t>
      </w:r>
      <w:r>
        <w:rPr>
          <w:rFonts w:hint="eastAsia" w:ascii="仿宋" w:hAnsi="仿宋" w:eastAsia="仿宋" w:cs="仿宋"/>
          <w:color w:val="auto"/>
          <w:sz w:val="28"/>
          <w:szCs w:val="28"/>
          <w:lang w:val="zh-CN"/>
        </w:rPr>
        <w:t>（盖章）</w:t>
      </w:r>
      <w:r>
        <w:rPr>
          <w:rFonts w:hint="eastAsia" w:ascii="仿宋" w:hAnsi="仿宋" w:eastAsia="仿宋" w:cs="仿宋"/>
          <w:bCs/>
          <w:color w:val="auto"/>
          <w:sz w:val="28"/>
          <w:szCs w:val="28"/>
          <w:lang w:val="zh-CN"/>
        </w:rPr>
        <w:t>：</w:t>
      </w:r>
      <w:r>
        <w:rPr>
          <w:rFonts w:hint="eastAsia" w:ascii="仿宋" w:hAnsi="仿宋" w:eastAsia="仿宋" w:cs="仿宋"/>
          <w:bCs/>
          <w:color w:val="auto"/>
          <w:sz w:val="28"/>
          <w:szCs w:val="28"/>
          <w:lang w:val="en-US" w:eastAsia="zh-CN"/>
        </w:rPr>
        <w:t>新疆浩诚致远项目管理咨询有限公司</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kern w:val="0"/>
          <w:sz w:val="28"/>
          <w:szCs w:val="28"/>
          <w:lang w:val="zh-CN"/>
        </w:rPr>
        <w:t>项目负责人</w:t>
      </w:r>
      <w:r>
        <w:rPr>
          <w:rFonts w:hint="eastAsia" w:ascii="仿宋" w:hAnsi="仿宋" w:eastAsia="仿宋" w:cs="仿宋"/>
          <w:bCs/>
          <w:color w:val="auto"/>
          <w:sz w:val="28"/>
          <w:szCs w:val="28"/>
          <w:lang w:val="zh-CN"/>
        </w:rPr>
        <w:t>：</w:t>
      </w:r>
      <w:r>
        <w:rPr>
          <w:rFonts w:hint="eastAsia" w:ascii="仿宋" w:hAnsi="仿宋" w:eastAsia="仿宋" w:cs="仿宋"/>
          <w:bCs/>
          <w:color w:val="auto"/>
          <w:sz w:val="28"/>
          <w:szCs w:val="28"/>
          <w:lang w:val="en-US" w:eastAsia="zh-CN"/>
        </w:rPr>
        <w:t>熊思</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kern w:val="0"/>
          <w:sz w:val="28"/>
          <w:szCs w:val="28"/>
          <w:lang w:val="zh-CN"/>
        </w:rPr>
        <w:t>电    话</w:t>
      </w:r>
      <w:r>
        <w:rPr>
          <w:rFonts w:hint="eastAsia" w:ascii="仿宋" w:hAnsi="仿宋" w:eastAsia="仿宋" w:cs="仿宋"/>
          <w:bCs/>
          <w:color w:val="auto"/>
          <w:sz w:val="28"/>
          <w:szCs w:val="28"/>
          <w:lang w:val="zh-CN"/>
        </w:rPr>
        <w:t>：</w:t>
      </w:r>
      <w:r>
        <w:rPr>
          <w:rFonts w:hint="eastAsia" w:ascii="仿宋" w:hAnsi="仿宋" w:eastAsia="仿宋" w:cs="仿宋"/>
          <w:bCs/>
          <w:color w:val="auto"/>
          <w:sz w:val="28"/>
          <w:szCs w:val="28"/>
          <w:lang w:val="zh-CN" w:eastAsia="zh-CN"/>
        </w:rPr>
        <w:t>0903-2062911</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default"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zh-CN" w:eastAsia="zh-CN" w:bidi="ar-SA"/>
        </w:rPr>
        <w:t>详细地址：和田市</w:t>
      </w:r>
      <w:r>
        <w:rPr>
          <w:rFonts w:hint="eastAsia" w:ascii="仿宋" w:hAnsi="仿宋" w:eastAsia="仿宋" w:cs="仿宋"/>
          <w:b w:val="0"/>
          <w:bCs/>
          <w:color w:val="auto"/>
          <w:kern w:val="0"/>
          <w:sz w:val="28"/>
          <w:szCs w:val="28"/>
          <w:lang w:val="en-US" w:eastAsia="zh-CN" w:bidi="ar-SA"/>
        </w:rPr>
        <w:t>肖尔巴格乡库木巴格村1098号</w:t>
      </w:r>
    </w:p>
    <w:p>
      <w:pPr>
        <w:keepNext w:val="0"/>
        <w:keepLines w:val="0"/>
        <w:pageBreakBefore w:val="0"/>
        <w:widowControl w:val="0"/>
        <w:kinsoku/>
        <w:wordWrap/>
        <w:overflowPunct/>
        <w:topLinePunct w:val="0"/>
        <w:autoSpaceDE w:val="0"/>
        <w:autoSpaceDN w:val="0"/>
        <w:bidi w:val="0"/>
        <w:adjustRightInd w:val="0"/>
        <w:snapToGrid/>
        <w:spacing w:line="480" w:lineRule="auto"/>
        <w:ind w:left="315" w:leftChars="150"/>
        <w:textAlignment w:val="auto"/>
        <w:rPr>
          <w:rFonts w:hint="eastAsia" w:ascii="仿宋" w:hAnsi="仿宋" w:eastAsia="仿宋" w:cs="仿宋"/>
          <w:b w:val="0"/>
          <w:bCs/>
          <w:color w:val="auto"/>
          <w:kern w:val="0"/>
          <w:sz w:val="28"/>
          <w:szCs w:val="28"/>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left="315" w:leftChars="150" w:firstLine="2520" w:firstLineChars="9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日    期：2023年09月</w:t>
      </w:r>
    </w:p>
    <w:p>
      <w:pPr>
        <w:autoSpaceDE w:val="0"/>
        <w:autoSpaceDN w:val="0"/>
        <w:adjustRightInd w:val="0"/>
        <w:spacing w:line="600" w:lineRule="auto"/>
        <w:jc w:val="center"/>
        <w:rPr>
          <w:rFonts w:hint="eastAsia" w:ascii="仿宋" w:hAnsi="仿宋" w:eastAsia="仿宋" w:cs="仿宋"/>
          <w:color w:val="auto"/>
          <w:kern w:val="0"/>
          <w:sz w:val="36"/>
          <w:szCs w:val="36"/>
        </w:rPr>
      </w:pPr>
    </w:p>
    <w:p>
      <w:pPr>
        <w:autoSpaceDE w:val="0"/>
        <w:autoSpaceDN w:val="0"/>
        <w:adjustRightInd w:val="0"/>
        <w:spacing w:line="600" w:lineRule="auto"/>
        <w:jc w:val="center"/>
        <w:rPr>
          <w:rFonts w:hint="eastAsia" w:ascii="仿宋" w:hAnsi="仿宋" w:eastAsia="仿宋" w:cs="仿宋"/>
          <w:color w:val="auto"/>
          <w:kern w:val="0"/>
          <w:sz w:val="36"/>
          <w:szCs w:val="36"/>
        </w:rPr>
      </w:pPr>
      <w:r>
        <w:rPr>
          <w:rFonts w:hint="eastAsia" w:ascii="仿宋" w:hAnsi="仿宋" w:eastAsia="仿宋" w:cs="仿宋"/>
          <w:color w:val="auto"/>
          <w:kern w:val="0"/>
          <w:sz w:val="36"/>
          <w:szCs w:val="36"/>
        </w:rPr>
        <w:t>目  录</w:t>
      </w:r>
    </w:p>
    <w:p>
      <w:pPr>
        <w:pStyle w:val="31"/>
        <w:tabs>
          <w:tab w:val="right" w:leader="dot" w:pos="8307"/>
        </w:tabs>
        <w:rPr>
          <w:sz w:val="28"/>
          <w:szCs w:val="36"/>
        </w:rPr>
      </w:pPr>
      <w:r>
        <w:rPr>
          <w:rFonts w:hint="eastAsia" w:ascii="仿宋" w:hAnsi="仿宋" w:eastAsia="仿宋" w:cs="仿宋"/>
          <w:color w:val="auto"/>
        </w:rPr>
        <w:fldChar w:fldCharType="begin"/>
      </w:r>
      <w:r>
        <w:rPr>
          <w:rFonts w:hint="eastAsia" w:ascii="仿宋" w:hAnsi="仿宋" w:eastAsia="仿宋" w:cs="仿宋"/>
          <w:color w:val="auto"/>
        </w:rPr>
        <w:instrText xml:space="preserve">TOC \o "1-1" \h \u </w:instrText>
      </w:r>
      <w:r>
        <w:rPr>
          <w:rFonts w:hint="eastAsia" w:ascii="仿宋" w:hAnsi="仿宋" w:eastAsia="仿宋" w:cs="仿宋"/>
          <w:color w:val="auto"/>
        </w:rPr>
        <w:fldChar w:fldCharType="separate"/>
      </w:r>
      <w:r>
        <w:rPr>
          <w:rFonts w:hint="eastAsia" w:ascii="仿宋" w:hAnsi="仿宋" w:eastAsia="仿宋" w:cs="仿宋"/>
          <w:color w:val="auto"/>
          <w:sz w:val="28"/>
          <w:szCs w:val="36"/>
        </w:rPr>
        <w:fldChar w:fldCharType="begin"/>
      </w:r>
      <w:r>
        <w:rPr>
          <w:rFonts w:hint="eastAsia" w:ascii="仿宋" w:hAnsi="仿宋" w:eastAsia="仿宋" w:cs="仿宋"/>
          <w:sz w:val="28"/>
          <w:szCs w:val="36"/>
        </w:rPr>
        <w:instrText xml:space="preserve"> HYPERLINK \l _Toc8532 </w:instrText>
      </w:r>
      <w:r>
        <w:rPr>
          <w:rFonts w:hint="eastAsia" w:ascii="仿宋" w:hAnsi="仿宋" w:eastAsia="仿宋" w:cs="仿宋"/>
          <w:sz w:val="28"/>
          <w:szCs w:val="36"/>
        </w:rPr>
        <w:fldChar w:fldCharType="separate"/>
      </w:r>
      <w:r>
        <w:rPr>
          <w:rFonts w:hint="eastAsia"/>
          <w:sz w:val="28"/>
          <w:szCs w:val="36"/>
          <w:lang w:val="en-US" w:eastAsia="zh-CN"/>
        </w:rPr>
        <w:t>第一部分 谈判公告</w:t>
      </w:r>
      <w:r>
        <w:rPr>
          <w:sz w:val="28"/>
          <w:szCs w:val="36"/>
        </w:rPr>
        <w:tab/>
      </w:r>
      <w:r>
        <w:rPr>
          <w:sz w:val="28"/>
          <w:szCs w:val="36"/>
        </w:rPr>
        <w:fldChar w:fldCharType="begin"/>
      </w:r>
      <w:r>
        <w:rPr>
          <w:sz w:val="28"/>
          <w:szCs w:val="36"/>
        </w:rPr>
        <w:instrText xml:space="preserve"> PAGEREF _Toc8532 \h </w:instrText>
      </w:r>
      <w:r>
        <w:rPr>
          <w:sz w:val="28"/>
          <w:szCs w:val="36"/>
        </w:rPr>
        <w:fldChar w:fldCharType="separate"/>
      </w:r>
      <w:r>
        <w:rPr>
          <w:sz w:val="28"/>
          <w:szCs w:val="36"/>
        </w:rPr>
        <w:t>3</w:t>
      </w:r>
      <w:r>
        <w:rPr>
          <w:sz w:val="28"/>
          <w:szCs w:val="36"/>
        </w:rPr>
        <w:fldChar w:fldCharType="end"/>
      </w:r>
      <w:r>
        <w:rPr>
          <w:rFonts w:hint="eastAsia" w:ascii="仿宋" w:hAnsi="仿宋" w:eastAsia="仿宋" w:cs="仿宋"/>
          <w:color w:val="auto"/>
          <w:sz w:val="28"/>
          <w:szCs w:val="36"/>
        </w:rPr>
        <w:fldChar w:fldCharType="end"/>
      </w:r>
    </w:p>
    <w:p>
      <w:pPr>
        <w:pStyle w:val="31"/>
        <w:tabs>
          <w:tab w:val="right" w:leader="dot" w:pos="8307"/>
        </w:tabs>
        <w:rPr>
          <w:sz w:val="28"/>
          <w:szCs w:val="36"/>
        </w:rPr>
      </w:pPr>
      <w:r>
        <w:rPr>
          <w:rFonts w:hint="eastAsia" w:ascii="仿宋" w:hAnsi="仿宋" w:eastAsia="仿宋" w:cs="仿宋"/>
          <w:color w:val="auto"/>
          <w:sz w:val="28"/>
          <w:szCs w:val="36"/>
        </w:rPr>
        <w:fldChar w:fldCharType="begin"/>
      </w:r>
      <w:r>
        <w:rPr>
          <w:rFonts w:hint="eastAsia" w:ascii="仿宋" w:hAnsi="仿宋" w:eastAsia="仿宋" w:cs="仿宋"/>
          <w:sz w:val="28"/>
          <w:szCs w:val="36"/>
        </w:rPr>
        <w:instrText xml:space="preserve"> HYPERLINK \l _Toc9813 </w:instrText>
      </w:r>
      <w:r>
        <w:rPr>
          <w:rFonts w:hint="eastAsia" w:ascii="仿宋" w:hAnsi="仿宋" w:eastAsia="仿宋" w:cs="仿宋"/>
          <w:sz w:val="28"/>
          <w:szCs w:val="36"/>
        </w:rPr>
        <w:fldChar w:fldCharType="separate"/>
      </w:r>
      <w:r>
        <w:rPr>
          <w:rFonts w:hint="eastAsia"/>
          <w:sz w:val="28"/>
          <w:szCs w:val="36"/>
          <w:lang w:eastAsia="zh-CN"/>
        </w:rPr>
        <w:t>第二部分</w:t>
      </w:r>
      <w:r>
        <w:rPr>
          <w:rFonts w:hint="eastAsia"/>
          <w:sz w:val="28"/>
          <w:szCs w:val="36"/>
          <w:lang w:val="en-US" w:eastAsia="zh-CN"/>
        </w:rPr>
        <w:t xml:space="preserve"> </w:t>
      </w:r>
      <w:r>
        <w:rPr>
          <w:rFonts w:hint="eastAsia"/>
          <w:sz w:val="28"/>
          <w:szCs w:val="36"/>
          <w:lang w:eastAsia="zh-CN"/>
        </w:rPr>
        <w:t>投标人须知</w:t>
      </w:r>
      <w:r>
        <w:rPr>
          <w:sz w:val="28"/>
          <w:szCs w:val="36"/>
        </w:rPr>
        <w:tab/>
      </w:r>
      <w:r>
        <w:rPr>
          <w:rFonts w:hint="eastAsia"/>
          <w:sz w:val="28"/>
          <w:szCs w:val="36"/>
          <w:lang w:val="en-US" w:eastAsia="zh-CN"/>
        </w:rPr>
        <w:t>7</w:t>
      </w:r>
      <w:r>
        <w:rPr>
          <w:rFonts w:hint="eastAsia" w:ascii="仿宋" w:hAnsi="仿宋" w:eastAsia="仿宋" w:cs="仿宋"/>
          <w:color w:val="auto"/>
          <w:sz w:val="28"/>
          <w:szCs w:val="36"/>
        </w:rPr>
        <w:fldChar w:fldCharType="end"/>
      </w:r>
    </w:p>
    <w:p>
      <w:pPr>
        <w:pStyle w:val="31"/>
        <w:tabs>
          <w:tab w:val="right" w:leader="dot" w:pos="8307"/>
        </w:tabs>
        <w:rPr>
          <w:sz w:val="28"/>
          <w:szCs w:val="36"/>
        </w:rPr>
      </w:pPr>
      <w:r>
        <w:rPr>
          <w:rFonts w:hint="eastAsia" w:ascii="仿宋" w:hAnsi="仿宋" w:eastAsia="仿宋" w:cs="仿宋"/>
          <w:color w:val="auto"/>
          <w:sz w:val="28"/>
          <w:szCs w:val="36"/>
        </w:rPr>
        <w:fldChar w:fldCharType="begin"/>
      </w:r>
      <w:r>
        <w:rPr>
          <w:rFonts w:hint="eastAsia" w:ascii="仿宋" w:hAnsi="仿宋" w:eastAsia="仿宋" w:cs="仿宋"/>
          <w:sz w:val="28"/>
          <w:szCs w:val="36"/>
        </w:rPr>
        <w:instrText xml:space="preserve"> HYPERLINK \l _Toc2291 </w:instrText>
      </w:r>
      <w:r>
        <w:rPr>
          <w:rFonts w:hint="eastAsia" w:ascii="仿宋" w:hAnsi="仿宋" w:eastAsia="仿宋" w:cs="仿宋"/>
          <w:sz w:val="28"/>
          <w:szCs w:val="36"/>
        </w:rPr>
        <w:fldChar w:fldCharType="separate"/>
      </w:r>
      <w:r>
        <w:rPr>
          <w:rFonts w:hint="eastAsia"/>
          <w:sz w:val="28"/>
          <w:szCs w:val="36"/>
          <w:lang w:eastAsia="zh-CN"/>
        </w:rPr>
        <w:t>投标人须知前附表</w:t>
      </w:r>
      <w:r>
        <w:rPr>
          <w:sz w:val="28"/>
          <w:szCs w:val="36"/>
        </w:rPr>
        <w:tab/>
      </w:r>
      <w:r>
        <w:rPr>
          <w:rFonts w:hint="eastAsia"/>
          <w:sz w:val="28"/>
          <w:szCs w:val="36"/>
          <w:lang w:val="en-US" w:eastAsia="zh-CN"/>
        </w:rPr>
        <w:t>7</w:t>
      </w:r>
      <w:r>
        <w:rPr>
          <w:rFonts w:hint="eastAsia" w:ascii="仿宋" w:hAnsi="仿宋" w:eastAsia="仿宋" w:cs="仿宋"/>
          <w:color w:val="auto"/>
          <w:sz w:val="28"/>
          <w:szCs w:val="36"/>
        </w:rPr>
        <w:fldChar w:fldCharType="end"/>
      </w:r>
    </w:p>
    <w:p>
      <w:pPr>
        <w:pStyle w:val="31"/>
        <w:tabs>
          <w:tab w:val="right" w:leader="dot" w:pos="8307"/>
        </w:tabs>
        <w:rPr>
          <w:sz w:val="28"/>
          <w:szCs w:val="36"/>
        </w:rPr>
      </w:pPr>
      <w:r>
        <w:rPr>
          <w:rFonts w:hint="eastAsia" w:ascii="仿宋" w:hAnsi="仿宋" w:eastAsia="仿宋" w:cs="仿宋"/>
          <w:color w:val="auto"/>
          <w:sz w:val="28"/>
          <w:szCs w:val="36"/>
        </w:rPr>
        <w:fldChar w:fldCharType="begin"/>
      </w:r>
      <w:r>
        <w:rPr>
          <w:rFonts w:hint="eastAsia" w:ascii="仿宋" w:hAnsi="仿宋" w:eastAsia="仿宋" w:cs="仿宋"/>
          <w:sz w:val="28"/>
          <w:szCs w:val="36"/>
        </w:rPr>
        <w:instrText xml:space="preserve"> HYPERLINK \l _Toc1771 </w:instrText>
      </w:r>
      <w:r>
        <w:rPr>
          <w:rFonts w:hint="eastAsia" w:ascii="仿宋" w:hAnsi="仿宋" w:eastAsia="仿宋" w:cs="仿宋"/>
          <w:sz w:val="28"/>
          <w:szCs w:val="36"/>
        </w:rPr>
        <w:fldChar w:fldCharType="separate"/>
      </w:r>
      <w:r>
        <w:rPr>
          <w:rFonts w:hint="eastAsia"/>
          <w:sz w:val="28"/>
          <w:szCs w:val="36"/>
          <w:lang w:val="en-US" w:eastAsia="zh-CN"/>
        </w:rPr>
        <w:t>第三部分 评标办法及标准</w:t>
      </w:r>
      <w:r>
        <w:rPr>
          <w:sz w:val="28"/>
          <w:szCs w:val="36"/>
        </w:rPr>
        <w:tab/>
      </w:r>
      <w:r>
        <w:rPr>
          <w:sz w:val="28"/>
          <w:szCs w:val="36"/>
        </w:rPr>
        <w:fldChar w:fldCharType="begin"/>
      </w:r>
      <w:r>
        <w:rPr>
          <w:sz w:val="28"/>
          <w:szCs w:val="36"/>
        </w:rPr>
        <w:instrText xml:space="preserve"> PAGEREF _Toc1771 \h </w:instrText>
      </w:r>
      <w:r>
        <w:rPr>
          <w:sz w:val="28"/>
          <w:szCs w:val="36"/>
        </w:rPr>
        <w:fldChar w:fldCharType="separate"/>
      </w:r>
      <w:r>
        <w:rPr>
          <w:sz w:val="28"/>
          <w:szCs w:val="36"/>
        </w:rPr>
        <w:t>2</w:t>
      </w:r>
      <w:r>
        <w:rPr>
          <w:rFonts w:hint="eastAsia"/>
          <w:sz w:val="28"/>
          <w:szCs w:val="36"/>
          <w:lang w:val="en-US" w:eastAsia="zh-CN"/>
        </w:rPr>
        <w:t>2</w:t>
      </w:r>
      <w:r>
        <w:rPr>
          <w:sz w:val="28"/>
          <w:szCs w:val="36"/>
        </w:rPr>
        <w:fldChar w:fldCharType="end"/>
      </w:r>
      <w:r>
        <w:rPr>
          <w:rFonts w:hint="eastAsia" w:ascii="仿宋" w:hAnsi="仿宋" w:eastAsia="仿宋" w:cs="仿宋"/>
          <w:color w:val="auto"/>
          <w:sz w:val="28"/>
          <w:szCs w:val="36"/>
        </w:rPr>
        <w:fldChar w:fldCharType="end"/>
      </w:r>
    </w:p>
    <w:p>
      <w:pPr>
        <w:pStyle w:val="31"/>
        <w:tabs>
          <w:tab w:val="right" w:leader="dot" w:pos="8307"/>
        </w:tabs>
        <w:rPr>
          <w:sz w:val="28"/>
          <w:szCs w:val="36"/>
        </w:rPr>
      </w:pPr>
      <w:r>
        <w:rPr>
          <w:rFonts w:hint="eastAsia" w:ascii="仿宋" w:hAnsi="仿宋" w:eastAsia="仿宋" w:cs="仿宋"/>
          <w:color w:val="auto"/>
          <w:sz w:val="28"/>
          <w:szCs w:val="36"/>
        </w:rPr>
        <w:fldChar w:fldCharType="begin"/>
      </w:r>
      <w:r>
        <w:rPr>
          <w:rFonts w:hint="eastAsia" w:ascii="仿宋" w:hAnsi="仿宋" w:eastAsia="仿宋" w:cs="仿宋"/>
          <w:sz w:val="28"/>
          <w:szCs w:val="36"/>
        </w:rPr>
        <w:instrText xml:space="preserve"> HYPERLINK \l _Toc27514 </w:instrText>
      </w:r>
      <w:r>
        <w:rPr>
          <w:rFonts w:hint="eastAsia" w:ascii="仿宋" w:hAnsi="仿宋" w:eastAsia="仿宋" w:cs="仿宋"/>
          <w:sz w:val="28"/>
          <w:szCs w:val="36"/>
        </w:rPr>
        <w:fldChar w:fldCharType="separate"/>
      </w:r>
      <w:r>
        <w:rPr>
          <w:rFonts w:hint="eastAsia"/>
          <w:sz w:val="28"/>
          <w:szCs w:val="36"/>
        </w:rPr>
        <w:t>第四章 采购需求、技术参数、规格</w:t>
      </w:r>
      <w:r>
        <w:rPr>
          <w:sz w:val="28"/>
          <w:szCs w:val="36"/>
        </w:rPr>
        <w:tab/>
      </w:r>
      <w:r>
        <w:rPr>
          <w:sz w:val="28"/>
          <w:szCs w:val="36"/>
        </w:rPr>
        <w:fldChar w:fldCharType="begin"/>
      </w:r>
      <w:r>
        <w:rPr>
          <w:sz w:val="28"/>
          <w:szCs w:val="36"/>
        </w:rPr>
        <w:instrText xml:space="preserve"> PAGEREF _Toc27514 \h </w:instrText>
      </w:r>
      <w:r>
        <w:rPr>
          <w:sz w:val="28"/>
          <w:szCs w:val="36"/>
        </w:rPr>
        <w:fldChar w:fldCharType="separate"/>
      </w:r>
      <w:r>
        <w:rPr>
          <w:sz w:val="28"/>
          <w:szCs w:val="36"/>
        </w:rPr>
        <w:t>23</w:t>
      </w:r>
      <w:r>
        <w:rPr>
          <w:sz w:val="28"/>
          <w:szCs w:val="36"/>
        </w:rPr>
        <w:fldChar w:fldCharType="end"/>
      </w:r>
      <w:r>
        <w:rPr>
          <w:rFonts w:hint="eastAsia" w:ascii="仿宋" w:hAnsi="仿宋" w:eastAsia="仿宋" w:cs="仿宋"/>
          <w:color w:val="auto"/>
          <w:sz w:val="28"/>
          <w:szCs w:val="36"/>
        </w:rPr>
        <w:fldChar w:fldCharType="end"/>
      </w:r>
    </w:p>
    <w:p>
      <w:pPr>
        <w:pStyle w:val="31"/>
        <w:tabs>
          <w:tab w:val="right" w:leader="dot" w:pos="8307"/>
        </w:tabs>
        <w:rPr>
          <w:sz w:val="28"/>
          <w:szCs w:val="36"/>
        </w:rPr>
      </w:pPr>
      <w:r>
        <w:rPr>
          <w:rFonts w:hint="eastAsia" w:ascii="仿宋" w:hAnsi="仿宋" w:eastAsia="仿宋" w:cs="仿宋"/>
          <w:color w:val="auto"/>
          <w:sz w:val="28"/>
          <w:szCs w:val="36"/>
        </w:rPr>
        <w:fldChar w:fldCharType="begin"/>
      </w:r>
      <w:r>
        <w:rPr>
          <w:rFonts w:hint="eastAsia" w:ascii="仿宋" w:hAnsi="仿宋" w:eastAsia="仿宋" w:cs="仿宋"/>
          <w:sz w:val="28"/>
          <w:szCs w:val="36"/>
        </w:rPr>
        <w:instrText xml:space="preserve"> HYPERLINK \l _Toc29337 </w:instrText>
      </w:r>
      <w:r>
        <w:rPr>
          <w:rFonts w:hint="eastAsia" w:ascii="仿宋" w:hAnsi="仿宋" w:eastAsia="仿宋" w:cs="仿宋"/>
          <w:sz w:val="28"/>
          <w:szCs w:val="36"/>
        </w:rPr>
        <w:fldChar w:fldCharType="separate"/>
      </w:r>
      <w:r>
        <w:rPr>
          <w:rFonts w:hint="eastAsia"/>
          <w:sz w:val="28"/>
          <w:szCs w:val="36"/>
        </w:rPr>
        <w:t>第</w:t>
      </w:r>
      <w:r>
        <w:rPr>
          <w:rFonts w:hint="eastAsia"/>
          <w:sz w:val="28"/>
          <w:szCs w:val="36"/>
          <w:lang w:val="en-US" w:eastAsia="zh-CN"/>
        </w:rPr>
        <w:t>五</w:t>
      </w:r>
      <w:r>
        <w:rPr>
          <w:rFonts w:hint="eastAsia"/>
          <w:sz w:val="28"/>
          <w:szCs w:val="36"/>
        </w:rPr>
        <w:t>章</w:t>
      </w:r>
      <w:r>
        <w:rPr>
          <w:rFonts w:hint="eastAsia"/>
          <w:sz w:val="28"/>
          <w:szCs w:val="36"/>
          <w:lang w:val="en-US" w:eastAsia="zh-CN"/>
        </w:rPr>
        <w:t xml:space="preserve"> </w:t>
      </w:r>
      <w:r>
        <w:rPr>
          <w:rFonts w:hint="eastAsia"/>
          <w:sz w:val="28"/>
          <w:szCs w:val="36"/>
        </w:rPr>
        <w:t>政府采购合同参考范本</w:t>
      </w:r>
      <w:r>
        <w:rPr>
          <w:sz w:val="28"/>
          <w:szCs w:val="36"/>
        </w:rPr>
        <w:tab/>
      </w:r>
      <w:r>
        <w:rPr>
          <w:rFonts w:hint="eastAsia"/>
          <w:sz w:val="28"/>
          <w:szCs w:val="36"/>
          <w:lang w:val="en-US" w:eastAsia="zh-CN"/>
        </w:rPr>
        <w:t xml:space="preserve">  </w:t>
      </w:r>
      <w:r>
        <w:rPr>
          <w:sz w:val="28"/>
          <w:szCs w:val="36"/>
        </w:rPr>
        <w:fldChar w:fldCharType="begin"/>
      </w:r>
      <w:r>
        <w:rPr>
          <w:sz w:val="28"/>
          <w:szCs w:val="36"/>
        </w:rPr>
        <w:instrText xml:space="preserve"> PAGEREF _Toc29337 \h </w:instrText>
      </w:r>
      <w:r>
        <w:rPr>
          <w:sz w:val="28"/>
          <w:szCs w:val="36"/>
        </w:rPr>
        <w:fldChar w:fldCharType="separate"/>
      </w:r>
      <w:r>
        <w:rPr>
          <w:sz w:val="28"/>
          <w:szCs w:val="36"/>
        </w:rPr>
        <w:t>- 2</w:t>
      </w:r>
      <w:r>
        <w:rPr>
          <w:rFonts w:hint="eastAsia"/>
          <w:sz w:val="28"/>
          <w:szCs w:val="36"/>
          <w:lang w:val="en-US" w:eastAsia="zh-CN"/>
        </w:rPr>
        <w:t>9</w:t>
      </w:r>
      <w:r>
        <w:rPr>
          <w:sz w:val="28"/>
          <w:szCs w:val="36"/>
        </w:rPr>
        <w:t xml:space="preserve"> -</w:t>
      </w:r>
      <w:r>
        <w:rPr>
          <w:sz w:val="28"/>
          <w:szCs w:val="36"/>
        </w:rPr>
        <w:fldChar w:fldCharType="end"/>
      </w:r>
      <w:r>
        <w:rPr>
          <w:rFonts w:hint="eastAsia" w:ascii="仿宋" w:hAnsi="仿宋" w:eastAsia="仿宋" w:cs="仿宋"/>
          <w:color w:val="auto"/>
          <w:sz w:val="28"/>
          <w:szCs w:val="36"/>
        </w:rPr>
        <w:fldChar w:fldCharType="end"/>
      </w:r>
    </w:p>
    <w:p>
      <w:pPr>
        <w:pStyle w:val="31"/>
        <w:tabs>
          <w:tab w:val="right" w:leader="dot" w:pos="8307"/>
        </w:tabs>
      </w:pPr>
      <w:r>
        <w:rPr>
          <w:rFonts w:hint="eastAsia" w:ascii="仿宋" w:hAnsi="仿宋" w:eastAsia="仿宋" w:cs="仿宋"/>
          <w:color w:val="auto"/>
          <w:sz w:val="28"/>
          <w:szCs w:val="36"/>
        </w:rPr>
        <w:fldChar w:fldCharType="begin"/>
      </w:r>
      <w:r>
        <w:rPr>
          <w:rFonts w:hint="eastAsia" w:ascii="仿宋" w:hAnsi="仿宋" w:eastAsia="仿宋" w:cs="仿宋"/>
          <w:sz w:val="28"/>
          <w:szCs w:val="36"/>
        </w:rPr>
        <w:instrText xml:space="preserve"> HYPERLINK \l _Toc3652 </w:instrText>
      </w:r>
      <w:r>
        <w:rPr>
          <w:rFonts w:hint="eastAsia" w:ascii="仿宋" w:hAnsi="仿宋" w:eastAsia="仿宋" w:cs="仿宋"/>
          <w:sz w:val="28"/>
          <w:szCs w:val="36"/>
        </w:rPr>
        <w:fldChar w:fldCharType="separate"/>
      </w:r>
      <w:r>
        <w:rPr>
          <w:rFonts w:hint="eastAsia"/>
          <w:sz w:val="28"/>
          <w:szCs w:val="36"/>
        </w:rPr>
        <w:t>第</w:t>
      </w:r>
      <w:r>
        <w:rPr>
          <w:rFonts w:hint="eastAsia"/>
          <w:sz w:val="28"/>
          <w:szCs w:val="36"/>
          <w:lang w:val="en-US" w:eastAsia="zh-CN"/>
        </w:rPr>
        <w:t>六</w:t>
      </w:r>
      <w:r>
        <w:rPr>
          <w:rFonts w:hint="eastAsia"/>
          <w:sz w:val="28"/>
          <w:szCs w:val="36"/>
          <w:lang w:eastAsia="zh-CN"/>
        </w:rPr>
        <w:t>章</w:t>
      </w:r>
      <w:r>
        <w:rPr>
          <w:rFonts w:hint="eastAsia"/>
          <w:sz w:val="28"/>
          <w:szCs w:val="36"/>
        </w:rPr>
        <w:t xml:space="preserve">  投标文件内容及格式</w:t>
      </w:r>
      <w:r>
        <w:rPr>
          <w:sz w:val="28"/>
          <w:szCs w:val="36"/>
        </w:rPr>
        <w:tab/>
      </w:r>
      <w:r>
        <w:rPr>
          <w:sz w:val="28"/>
          <w:szCs w:val="36"/>
        </w:rPr>
        <w:fldChar w:fldCharType="begin"/>
      </w:r>
      <w:r>
        <w:rPr>
          <w:sz w:val="28"/>
          <w:szCs w:val="36"/>
        </w:rPr>
        <w:instrText xml:space="preserve"> PAGEREF _Toc3652 \h </w:instrText>
      </w:r>
      <w:r>
        <w:rPr>
          <w:sz w:val="28"/>
          <w:szCs w:val="36"/>
        </w:rPr>
        <w:fldChar w:fldCharType="separate"/>
      </w:r>
      <w:r>
        <w:rPr>
          <w:sz w:val="28"/>
          <w:szCs w:val="36"/>
        </w:rPr>
        <w:t xml:space="preserve">- </w:t>
      </w:r>
      <w:r>
        <w:rPr>
          <w:rFonts w:hint="eastAsia"/>
          <w:sz w:val="28"/>
          <w:szCs w:val="36"/>
          <w:lang w:val="en-US" w:eastAsia="zh-CN"/>
        </w:rPr>
        <w:t>34</w:t>
      </w:r>
      <w:r>
        <w:rPr>
          <w:sz w:val="28"/>
          <w:szCs w:val="36"/>
        </w:rPr>
        <w:t xml:space="preserve"> -</w:t>
      </w:r>
      <w:r>
        <w:rPr>
          <w:sz w:val="28"/>
          <w:szCs w:val="36"/>
        </w:rPr>
        <w:fldChar w:fldCharType="end"/>
      </w:r>
      <w:r>
        <w:rPr>
          <w:rFonts w:hint="eastAsia" w:ascii="仿宋" w:hAnsi="仿宋" w:eastAsia="仿宋" w:cs="仿宋"/>
          <w:color w:val="auto"/>
          <w:sz w:val="28"/>
          <w:szCs w:val="36"/>
        </w:rPr>
        <w:fldChar w:fldCharType="end"/>
      </w:r>
    </w:p>
    <w:p>
      <w:pPr>
        <w:pStyle w:val="3"/>
        <w:outlineLvl w:val="0"/>
        <w:rPr>
          <w:rFonts w:hint="eastAsia" w:ascii="仿宋" w:hAnsi="仿宋" w:eastAsia="仿宋" w:cs="仿宋"/>
          <w:color w:val="auto"/>
        </w:rPr>
      </w:pPr>
      <w:r>
        <w:rPr>
          <w:rFonts w:hint="eastAsia" w:ascii="仿宋" w:hAnsi="仿宋" w:eastAsia="仿宋" w:cs="仿宋"/>
          <w:color w:val="auto"/>
        </w:rPr>
        <w:fldChar w:fldCharType="end"/>
      </w: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autoSpaceDE w:val="0"/>
        <w:autoSpaceDN w:val="0"/>
        <w:adjustRightInd w:val="0"/>
        <w:spacing w:line="600" w:lineRule="auto"/>
        <w:ind w:left="2"/>
        <w:rPr>
          <w:rFonts w:hint="eastAsia" w:ascii="仿宋" w:hAnsi="仿宋" w:eastAsia="仿宋" w:cs="仿宋"/>
          <w:color w:val="auto"/>
          <w:kern w:val="0"/>
          <w:sz w:val="28"/>
          <w:szCs w:val="28"/>
        </w:rPr>
      </w:pPr>
    </w:p>
    <w:p>
      <w:pPr>
        <w:pStyle w:val="2"/>
        <w:rPr>
          <w:rFonts w:hint="eastAsia" w:ascii="仿宋" w:hAnsi="仿宋" w:eastAsia="仿宋" w:cs="仿宋"/>
          <w:color w:val="auto"/>
          <w:kern w:val="0"/>
          <w:sz w:val="28"/>
          <w:szCs w:val="28"/>
        </w:rPr>
      </w:pPr>
    </w:p>
    <w:p>
      <w:pPr>
        <w:rPr>
          <w:rFonts w:hint="eastAsia" w:ascii="仿宋" w:hAnsi="仿宋" w:eastAsia="仿宋" w:cs="仿宋"/>
          <w:color w:val="auto"/>
          <w:kern w:val="0"/>
          <w:sz w:val="28"/>
          <w:szCs w:val="28"/>
        </w:rPr>
      </w:pPr>
    </w:p>
    <w:p>
      <w:pPr>
        <w:pStyle w:val="2"/>
        <w:rPr>
          <w:rFonts w:hint="eastAsia" w:ascii="仿宋" w:hAnsi="仿宋" w:eastAsia="仿宋" w:cs="仿宋"/>
          <w:color w:val="auto"/>
          <w:kern w:val="0"/>
          <w:sz w:val="28"/>
          <w:szCs w:val="28"/>
        </w:rPr>
      </w:pPr>
    </w:p>
    <w:p>
      <w:pPr>
        <w:rPr>
          <w:rFonts w:hint="eastAsia"/>
        </w:rPr>
      </w:pPr>
    </w:p>
    <w:p>
      <w:pPr>
        <w:pStyle w:val="86"/>
        <w:rPr>
          <w:rFonts w:hint="eastAsia" w:ascii="仿宋" w:hAnsi="仿宋" w:eastAsia="仿宋" w:cs="仿宋"/>
          <w:color w:val="auto"/>
          <w:kern w:val="0"/>
          <w:sz w:val="28"/>
          <w:szCs w:val="28"/>
        </w:rPr>
      </w:pPr>
    </w:p>
    <w:p>
      <w:pPr>
        <w:rPr>
          <w:rFonts w:hint="eastAsia"/>
          <w:lang w:val="en-US" w:eastAsia="zh-CN"/>
        </w:rPr>
      </w:pPr>
      <w:bookmarkStart w:id="0" w:name="_Toc8532"/>
      <w:bookmarkStart w:id="1" w:name="_Toc27002"/>
      <w:bookmarkStart w:id="2" w:name="_Toc30491"/>
      <w:r>
        <w:rPr>
          <w:rFonts w:hint="eastAsia"/>
          <w:lang w:val="en-US" w:eastAsia="zh-CN"/>
        </w:rPr>
        <w:br w:type="page"/>
      </w:r>
    </w:p>
    <w:p>
      <w:pPr>
        <w:pStyle w:val="3"/>
        <w:bidi w:val="0"/>
        <w:rPr>
          <w:rFonts w:hint="default"/>
          <w:lang w:val="en-US" w:eastAsia="zh-CN"/>
        </w:rPr>
      </w:pPr>
      <w:r>
        <w:rPr>
          <w:rFonts w:hint="eastAsia"/>
          <w:lang w:val="en-US" w:eastAsia="zh-CN"/>
        </w:rPr>
        <w:t>第一部分 谈判公告</w:t>
      </w:r>
      <w:bookmarkEnd w:id="0"/>
    </w:p>
    <w:p>
      <w:pPr>
        <w:bidi w:val="0"/>
        <w:spacing w:line="240" w:lineRule="auto"/>
        <w:jc w:val="center"/>
        <w:rPr>
          <w:rStyle w:val="47"/>
          <w:rFonts w:hint="eastAsia" w:ascii="仿宋" w:hAnsi="仿宋" w:eastAsia="仿宋" w:cs="仿宋"/>
          <w:b w:val="0"/>
          <w:bCs w:val="0"/>
          <w:i w:val="0"/>
          <w:iCs w:val="0"/>
          <w:caps w:val="0"/>
          <w:color w:val="000000"/>
          <w:spacing w:val="0"/>
          <w:sz w:val="32"/>
          <w:szCs w:val="32"/>
          <w:lang w:val="en-US" w:eastAsia="zh-CN"/>
        </w:rPr>
      </w:pPr>
      <w:r>
        <w:rPr>
          <w:rStyle w:val="47"/>
          <w:rFonts w:hint="eastAsia" w:ascii="仿宋" w:hAnsi="仿宋" w:eastAsia="仿宋" w:cs="仿宋"/>
          <w:b w:val="0"/>
          <w:bCs w:val="0"/>
          <w:i w:val="0"/>
          <w:iCs w:val="0"/>
          <w:caps w:val="0"/>
          <w:color w:val="000000"/>
          <w:spacing w:val="0"/>
          <w:sz w:val="32"/>
          <w:szCs w:val="32"/>
          <w:lang w:val="en-US" w:eastAsia="zh-CN"/>
        </w:rPr>
        <w:t>2023年和田市和田河流域生态综合治理项目</w:t>
      </w:r>
    </w:p>
    <w:p>
      <w:pPr>
        <w:bidi w:val="0"/>
        <w:spacing w:line="240" w:lineRule="auto"/>
        <w:jc w:val="center"/>
        <w:rPr>
          <w:rStyle w:val="47"/>
          <w:rFonts w:hint="eastAsia" w:ascii="仿宋" w:hAnsi="仿宋" w:eastAsia="仿宋" w:cs="仿宋"/>
          <w:b w:val="0"/>
          <w:bCs w:val="0"/>
          <w:i w:val="0"/>
          <w:iCs w:val="0"/>
          <w:caps w:val="0"/>
          <w:color w:val="000000"/>
          <w:spacing w:val="0"/>
          <w:sz w:val="32"/>
          <w:szCs w:val="32"/>
        </w:rPr>
      </w:pPr>
      <w:r>
        <w:rPr>
          <w:rStyle w:val="47"/>
          <w:rFonts w:hint="eastAsia" w:ascii="仿宋" w:hAnsi="仿宋" w:eastAsia="仿宋" w:cs="仿宋"/>
          <w:b w:val="0"/>
          <w:bCs w:val="0"/>
          <w:i w:val="0"/>
          <w:iCs w:val="0"/>
          <w:caps w:val="0"/>
          <w:color w:val="000000"/>
          <w:spacing w:val="0"/>
          <w:sz w:val="32"/>
          <w:szCs w:val="32"/>
          <w:lang w:val="en-US" w:eastAsia="zh-CN"/>
        </w:rPr>
        <w:t>竞争性谈判公告</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9969" w:type="dxa"/>
          </w:tcPr>
          <w:p>
            <w:pPr>
              <w:bidi w:val="0"/>
              <w:spacing w:line="240" w:lineRule="auto"/>
              <w:ind w:firstLine="480" w:firstLineChars="200"/>
              <w:rPr>
                <w:rFonts w:hint="eastAsia" w:ascii="仿宋" w:hAnsi="仿宋" w:eastAsia="仿宋" w:cs="仿宋"/>
                <w:sz w:val="28"/>
                <w:szCs w:val="24"/>
              </w:rPr>
            </w:pPr>
            <w:r>
              <w:rPr>
                <w:rFonts w:hint="eastAsia" w:ascii="仿宋" w:hAnsi="仿宋" w:eastAsia="仿宋" w:cs="仿宋"/>
                <w:sz w:val="24"/>
                <w:szCs w:val="22"/>
              </w:rPr>
              <w:t>2023年和田市和田河流域生态综合治理项目招标项目的潜在投标人的潜在投标人应登陆政采云平台https://www.zcygov.cn/在线申请获取采购文件（进入“项目采购”应用，在获取采购文件菜单中选择项目，申请获取采购文件），并于</w:t>
            </w:r>
            <w:r>
              <w:rPr>
                <w:rFonts w:hint="eastAsia" w:ascii="仿宋" w:hAnsi="仿宋" w:eastAsia="仿宋" w:cs="仿宋"/>
                <w:sz w:val="24"/>
                <w:szCs w:val="22"/>
                <w:lang w:eastAsia="zh-CN"/>
              </w:rPr>
              <w:t>2023年9月28日</w:t>
            </w:r>
            <w:r>
              <w:rPr>
                <w:rFonts w:hint="eastAsia" w:ascii="仿宋" w:hAnsi="仿宋" w:eastAsia="仿宋" w:cs="仿宋"/>
                <w:sz w:val="24"/>
                <w:szCs w:val="22"/>
              </w:rPr>
              <w:t xml:space="preserve"> 11:00（北京时间）前递交投标文件。</w:t>
            </w:r>
          </w:p>
        </w:tc>
      </w:tr>
    </w:tbl>
    <w:p>
      <w:pPr>
        <w:bidi w:val="0"/>
        <w:spacing w:line="240" w:lineRule="auto"/>
        <w:rPr>
          <w:rStyle w:val="47"/>
          <w:rFonts w:hint="eastAsia" w:ascii="仿宋" w:hAnsi="仿宋" w:eastAsia="仿宋" w:cs="仿宋"/>
          <w:i w:val="0"/>
          <w:iCs w:val="0"/>
          <w:caps w:val="0"/>
          <w:color w:val="000000"/>
          <w:spacing w:val="0"/>
          <w:sz w:val="24"/>
          <w:szCs w:val="24"/>
        </w:rPr>
      </w:pPr>
    </w:p>
    <w:p>
      <w:pPr>
        <w:bidi w:val="0"/>
        <w:spacing w:line="240" w:lineRule="auto"/>
        <w:rPr>
          <w:rFonts w:hint="eastAsia" w:ascii="仿宋" w:hAnsi="仿宋" w:eastAsia="仿宋" w:cs="仿宋"/>
          <w:i w:val="0"/>
          <w:iCs w:val="0"/>
          <w:caps w:val="0"/>
          <w:color w:val="000000"/>
          <w:spacing w:val="0"/>
          <w:sz w:val="24"/>
          <w:szCs w:val="24"/>
          <w:highlight w:val="none"/>
        </w:rPr>
      </w:pPr>
      <w:r>
        <w:rPr>
          <w:rStyle w:val="47"/>
          <w:rFonts w:hint="eastAsia" w:ascii="仿宋" w:hAnsi="仿宋" w:eastAsia="仿宋" w:cs="仿宋"/>
          <w:i w:val="0"/>
          <w:iCs w:val="0"/>
          <w:caps w:val="0"/>
          <w:color w:val="000000"/>
          <w:spacing w:val="0"/>
          <w:sz w:val="24"/>
          <w:szCs w:val="24"/>
        </w:rPr>
        <w:t>一、项目</w:t>
      </w:r>
      <w:r>
        <w:rPr>
          <w:rStyle w:val="47"/>
          <w:rFonts w:hint="eastAsia" w:ascii="仿宋" w:hAnsi="仿宋" w:eastAsia="仿宋" w:cs="仿宋"/>
          <w:i w:val="0"/>
          <w:iCs w:val="0"/>
          <w:caps w:val="0"/>
          <w:color w:val="000000"/>
          <w:spacing w:val="0"/>
          <w:sz w:val="24"/>
          <w:szCs w:val="24"/>
          <w:highlight w:val="none"/>
        </w:rPr>
        <w:t>基本情况</w:t>
      </w:r>
    </w:p>
    <w:p>
      <w:pPr>
        <w:pStyle w:val="38"/>
        <w:keepNext w:val="0"/>
        <w:keepLines w:val="0"/>
        <w:widowControl/>
        <w:suppressLineNumbers w:val="0"/>
        <w:spacing w:before="75" w:beforeAutospacing="0" w:after="75" w:afterAutospacing="0" w:line="240" w:lineRule="auto"/>
        <w:ind w:left="0" w:right="0" w:firstLine="42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项目编号：</w:t>
      </w:r>
      <w:r>
        <w:rPr>
          <w:rFonts w:hint="eastAsia" w:ascii="仿宋" w:hAnsi="仿宋" w:eastAsia="仿宋" w:cs="仿宋"/>
          <w:i w:val="0"/>
          <w:iCs w:val="0"/>
          <w:caps w:val="0"/>
          <w:color w:val="000000"/>
          <w:spacing w:val="0"/>
          <w:sz w:val="24"/>
          <w:szCs w:val="24"/>
          <w:highlight w:val="none"/>
          <w:lang w:val="en-US" w:eastAsia="zh-CN"/>
        </w:rPr>
        <w:t>HTSZFCGZBDL-2023-082</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项目名称：2023年和田市和田河流域生态综合治理项目</w:t>
      </w:r>
    </w:p>
    <w:p>
      <w:pPr>
        <w:pStyle w:val="38"/>
        <w:keepNext w:val="0"/>
        <w:keepLines w:val="0"/>
        <w:widowControl/>
        <w:suppressLineNumbers w:val="0"/>
        <w:spacing w:before="75" w:beforeAutospacing="0" w:after="75" w:afterAutospacing="0" w:line="240" w:lineRule="auto"/>
        <w:ind w:left="0" w:right="0" w:firstLine="42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采购方式：</w:t>
      </w:r>
      <w:r>
        <w:rPr>
          <w:rFonts w:hint="eastAsia" w:ascii="仿宋" w:hAnsi="仿宋" w:eastAsia="仿宋" w:cs="仿宋"/>
          <w:i w:val="0"/>
          <w:iCs w:val="0"/>
          <w:caps w:val="0"/>
          <w:color w:val="000000"/>
          <w:spacing w:val="0"/>
          <w:sz w:val="24"/>
          <w:szCs w:val="24"/>
          <w:highlight w:val="none"/>
          <w:lang w:val="en-US" w:eastAsia="zh-CN"/>
        </w:rPr>
        <w:t>竞争性谈判</w:t>
      </w:r>
    </w:p>
    <w:p>
      <w:pPr>
        <w:pageBreakBefore w:val="0"/>
        <w:kinsoku/>
        <w:wordWrap/>
        <w:overflowPunct/>
        <w:topLinePunct w:val="0"/>
        <w:autoSpaceDE/>
        <w:autoSpaceDN/>
        <w:bidi w:val="0"/>
        <w:adjustRightInd/>
        <w:snapToGrid/>
        <w:spacing w:line="400" w:lineRule="exact"/>
        <w:ind w:left="0" w:leftChars="0" w:firstLine="420" w:firstLineChars="175"/>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预算金额（元）：859566    最高限价（元）：859566</w:t>
      </w:r>
    </w:p>
    <w:p>
      <w:pPr>
        <w:pageBreakBefore w:val="0"/>
        <w:kinsoku/>
        <w:wordWrap/>
        <w:overflowPunct/>
        <w:topLinePunct w:val="0"/>
        <w:autoSpaceDE/>
        <w:autoSpaceDN/>
        <w:bidi w:val="0"/>
        <w:adjustRightInd/>
        <w:snapToGrid/>
        <w:spacing w:line="400" w:lineRule="exact"/>
        <w:ind w:left="0" w:leftChars="0" w:firstLine="420" w:firstLineChars="175"/>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采购需求：</w:t>
      </w:r>
    </w:p>
    <w:tbl>
      <w:tblPr>
        <w:tblStyle w:val="44"/>
        <w:tblpPr w:leftFromText="180" w:rightFromText="180" w:vertAnchor="text" w:horzAnchor="page" w:tblpX="1483" w:tblpY="461"/>
        <w:tblOverlap w:val="never"/>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447"/>
        <w:gridCol w:w="783"/>
        <w:gridCol w:w="1476"/>
        <w:gridCol w:w="876"/>
        <w:gridCol w:w="263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center"/>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标项序号</w:t>
            </w:r>
          </w:p>
        </w:tc>
        <w:tc>
          <w:tcPr>
            <w:tcW w:w="244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center"/>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标项名称</w:t>
            </w:r>
          </w:p>
        </w:tc>
        <w:tc>
          <w:tcPr>
            <w:tcW w:w="783"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center"/>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数量</w:t>
            </w:r>
          </w:p>
        </w:tc>
        <w:tc>
          <w:tcPr>
            <w:tcW w:w="1476"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center"/>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预算金额（万元）</w:t>
            </w:r>
          </w:p>
        </w:tc>
        <w:tc>
          <w:tcPr>
            <w:tcW w:w="876"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center"/>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单位</w:t>
            </w:r>
          </w:p>
        </w:tc>
        <w:tc>
          <w:tcPr>
            <w:tcW w:w="26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center"/>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简要规格描述</w:t>
            </w:r>
          </w:p>
        </w:tc>
        <w:tc>
          <w:tcPr>
            <w:tcW w:w="867" w:type="dxa"/>
            <w:noWrap w:val="0"/>
            <w:vAlign w:val="center"/>
          </w:tcPr>
          <w:p>
            <w:pPr>
              <w:pStyle w:val="38"/>
              <w:keepNext w:val="0"/>
              <w:keepLines w:val="0"/>
              <w:widowControl/>
              <w:suppressLineNumbers w:val="0"/>
              <w:spacing w:before="75" w:beforeAutospacing="0" w:after="75" w:afterAutospacing="0" w:line="240" w:lineRule="auto"/>
              <w:ind w:right="0"/>
              <w:jc w:val="center"/>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756" w:type="dxa"/>
            <w:noWrap w:val="0"/>
            <w:vAlign w:val="top"/>
          </w:tcPr>
          <w:p>
            <w:pPr>
              <w:pStyle w:val="38"/>
              <w:keepNext w:val="0"/>
              <w:keepLines w:val="0"/>
              <w:widowControl/>
              <w:suppressLineNumbers w:val="0"/>
              <w:spacing w:before="75" w:beforeAutospacing="0" w:after="75" w:afterAutospacing="0" w:line="240" w:lineRule="auto"/>
              <w:ind w:right="0"/>
              <w:jc w:val="center"/>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1</w:t>
            </w:r>
          </w:p>
        </w:tc>
        <w:tc>
          <w:tcPr>
            <w:tcW w:w="2447" w:type="dxa"/>
            <w:noWrap w:val="0"/>
            <w:vAlign w:val="top"/>
          </w:tcPr>
          <w:p>
            <w:pPr>
              <w:pStyle w:val="38"/>
              <w:keepNext w:val="0"/>
              <w:keepLines w:val="0"/>
              <w:widowControl/>
              <w:suppressLineNumbers w:val="0"/>
              <w:spacing w:before="75" w:beforeAutospacing="0" w:after="75" w:afterAutospacing="0" w:line="240" w:lineRule="auto"/>
              <w:ind w:right="0"/>
              <w:jc w:val="both"/>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2023年和田市和田河流域生态综合治理项目</w:t>
            </w:r>
          </w:p>
          <w:p>
            <w:pPr>
              <w:pStyle w:val="38"/>
              <w:keepNext w:val="0"/>
              <w:keepLines w:val="0"/>
              <w:widowControl/>
              <w:suppressLineNumbers w:val="0"/>
              <w:spacing w:before="75" w:beforeAutospacing="0" w:after="75" w:afterAutospacing="0" w:line="240" w:lineRule="auto"/>
              <w:ind w:left="0" w:right="0" w:firstLine="420"/>
              <w:jc w:val="center"/>
              <w:rPr>
                <w:rFonts w:hint="eastAsia" w:ascii="仿宋" w:hAnsi="仿宋" w:eastAsia="仿宋" w:cs="仿宋"/>
                <w:i w:val="0"/>
                <w:iCs w:val="0"/>
                <w:caps w:val="0"/>
                <w:color w:val="000000"/>
                <w:spacing w:val="0"/>
                <w:kern w:val="0"/>
                <w:sz w:val="24"/>
                <w:szCs w:val="24"/>
                <w:highlight w:val="none"/>
                <w:lang w:val="en-US" w:eastAsia="zh-CN" w:bidi="ar-SA"/>
              </w:rPr>
            </w:pPr>
          </w:p>
        </w:tc>
        <w:tc>
          <w:tcPr>
            <w:tcW w:w="783" w:type="dxa"/>
            <w:noWrap w:val="0"/>
            <w:vAlign w:val="top"/>
          </w:tcPr>
          <w:p>
            <w:pPr>
              <w:pStyle w:val="38"/>
              <w:keepNext w:val="0"/>
              <w:keepLines w:val="0"/>
              <w:widowControl/>
              <w:suppressLineNumbers w:val="0"/>
              <w:spacing w:before="75" w:beforeAutospacing="0" w:after="75" w:afterAutospacing="0" w:line="240" w:lineRule="auto"/>
              <w:ind w:right="0"/>
              <w:jc w:val="center"/>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1</w:t>
            </w:r>
          </w:p>
        </w:tc>
        <w:tc>
          <w:tcPr>
            <w:tcW w:w="1476" w:type="dxa"/>
            <w:noWrap w:val="0"/>
            <w:vAlign w:val="top"/>
          </w:tcPr>
          <w:p>
            <w:pPr>
              <w:pStyle w:val="38"/>
              <w:keepNext w:val="0"/>
              <w:keepLines w:val="0"/>
              <w:widowControl/>
              <w:suppressLineNumbers w:val="0"/>
              <w:spacing w:before="75" w:beforeAutospacing="0" w:after="75" w:afterAutospacing="0" w:line="240" w:lineRule="auto"/>
              <w:ind w:right="0"/>
              <w:jc w:val="center"/>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85.9566</w:t>
            </w:r>
          </w:p>
        </w:tc>
        <w:tc>
          <w:tcPr>
            <w:tcW w:w="876" w:type="dxa"/>
            <w:noWrap w:val="0"/>
            <w:vAlign w:val="top"/>
          </w:tcPr>
          <w:p>
            <w:pPr>
              <w:pStyle w:val="38"/>
              <w:keepNext w:val="0"/>
              <w:keepLines w:val="0"/>
              <w:widowControl/>
              <w:suppressLineNumbers w:val="0"/>
              <w:spacing w:before="75" w:beforeAutospacing="0" w:after="75" w:afterAutospacing="0" w:line="240" w:lineRule="auto"/>
              <w:ind w:right="0"/>
              <w:jc w:val="center"/>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批</w:t>
            </w:r>
          </w:p>
        </w:tc>
        <w:tc>
          <w:tcPr>
            <w:tcW w:w="2635" w:type="dxa"/>
            <w:noWrap w:val="0"/>
            <w:vAlign w:val="top"/>
          </w:tcPr>
          <w:p>
            <w:pPr>
              <w:pStyle w:val="38"/>
              <w:keepNext w:val="0"/>
              <w:keepLines w:val="0"/>
              <w:widowControl/>
              <w:suppressLineNumbers w:val="0"/>
              <w:spacing w:before="75" w:beforeAutospacing="0" w:after="75" w:afterAutospacing="0" w:line="240" w:lineRule="auto"/>
              <w:ind w:right="0"/>
              <w:jc w:val="both"/>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
                <w:i w:val="0"/>
                <w:iCs w:val="0"/>
                <w:caps w:val="0"/>
                <w:color w:val="000000"/>
                <w:spacing w:val="0"/>
                <w:kern w:val="0"/>
                <w:sz w:val="24"/>
                <w:szCs w:val="24"/>
                <w:highlight w:val="none"/>
                <w:lang w:val="en-US" w:eastAsia="zh-CN" w:bidi="ar-SA"/>
              </w:rPr>
              <w:t>和田市吉亚乡人工造林0,1万亩，主要造林树种为密胡杨65267株、沙枣311976株.总投资资金85.9566万元。</w:t>
            </w:r>
          </w:p>
        </w:tc>
        <w:tc>
          <w:tcPr>
            <w:tcW w:w="867" w:type="dxa"/>
            <w:noWrap w:val="0"/>
            <w:vAlign w:val="top"/>
          </w:tcPr>
          <w:p>
            <w:pPr>
              <w:pStyle w:val="38"/>
              <w:keepNext w:val="0"/>
              <w:keepLines w:val="0"/>
              <w:widowControl/>
              <w:suppressLineNumbers w:val="0"/>
              <w:spacing w:before="75" w:beforeAutospacing="0" w:after="75" w:afterAutospacing="0" w:line="240" w:lineRule="auto"/>
              <w:ind w:left="0" w:right="0" w:firstLine="420"/>
              <w:jc w:val="center"/>
              <w:rPr>
                <w:rFonts w:hint="eastAsia" w:ascii="仿宋" w:hAnsi="仿宋" w:eastAsia="仿宋" w:cs="仿宋"/>
                <w:i w:val="0"/>
                <w:iCs w:val="0"/>
                <w:caps w:val="0"/>
                <w:color w:val="000000"/>
                <w:spacing w:val="0"/>
                <w:kern w:val="0"/>
                <w:sz w:val="24"/>
                <w:szCs w:val="24"/>
                <w:highlight w:val="none"/>
                <w:lang w:val="en-US" w:eastAsia="zh-CN" w:bidi="ar-SA"/>
              </w:rPr>
            </w:pPr>
          </w:p>
        </w:tc>
      </w:tr>
    </w:tbl>
    <w:p>
      <w:pPr>
        <w:pageBreakBefore w:val="0"/>
        <w:kinsoku/>
        <w:wordWrap/>
        <w:overflowPunct/>
        <w:topLinePunct w:val="0"/>
        <w:autoSpaceDE/>
        <w:autoSpaceDN/>
        <w:bidi w:val="0"/>
        <w:adjustRightInd/>
        <w:snapToGrid/>
        <w:spacing w:line="400" w:lineRule="exact"/>
        <w:textAlignment w:val="auto"/>
        <w:rPr>
          <w:rFonts w:hint="eastAsia" w:ascii="仿宋" w:hAnsi="仿宋" w:eastAsia="仿宋" w:cs="Times New Roman"/>
          <w:sz w:val="24"/>
          <w:szCs w:val="24"/>
          <w:highlight w:val="none"/>
          <w:lang w:val="en-US" w:eastAsia="zh-CN"/>
        </w:rPr>
      </w:pP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合同履约期限：合同签定后于2024年3月1日--2024年7月30日将苗木送达业主指定地点（具体以签订合同为准）</w:t>
      </w:r>
    </w:p>
    <w:p>
      <w:pPr>
        <w:pageBreakBefore w:val="0"/>
        <w:kinsoku/>
        <w:wordWrap/>
        <w:overflowPunct/>
        <w:topLinePunct w:val="0"/>
        <w:autoSpaceDE/>
        <w:autoSpaceDN/>
        <w:bidi w:val="0"/>
        <w:adjustRightInd/>
        <w:snapToGrid/>
        <w:spacing w:line="400" w:lineRule="exact"/>
        <w:ind w:firstLine="720" w:firstLineChars="300"/>
        <w:textAlignment w:val="auto"/>
        <w:rPr>
          <w:rStyle w:val="47"/>
          <w:rFonts w:hint="eastAsia" w:ascii="仿宋" w:hAnsi="仿宋" w:eastAsia="仿宋" w:cs="仿宋"/>
          <w:i w:val="0"/>
          <w:iCs w:val="0"/>
          <w:caps w:val="0"/>
          <w:color w:val="000000"/>
          <w:spacing w:val="0"/>
          <w:sz w:val="24"/>
          <w:szCs w:val="24"/>
          <w:highlight w:val="none"/>
        </w:rPr>
      </w:pPr>
      <w:r>
        <w:rPr>
          <w:rFonts w:hint="eastAsia" w:ascii="仿宋" w:hAnsi="仿宋" w:eastAsia="仿宋" w:cs="Times New Roman"/>
          <w:sz w:val="24"/>
          <w:szCs w:val="24"/>
          <w:highlight w:val="none"/>
          <w:lang w:val="en-US" w:eastAsia="zh-CN"/>
        </w:rPr>
        <w:t>本项目（否）接受联合体投标。</w:t>
      </w:r>
    </w:p>
    <w:p>
      <w:pPr>
        <w:pStyle w:val="38"/>
        <w:keepNext w:val="0"/>
        <w:keepLines w:val="0"/>
        <w:widowControl/>
        <w:suppressLineNumbers w:val="0"/>
        <w:spacing w:before="75" w:beforeAutospacing="0" w:after="75" w:afterAutospacing="0" w:line="240" w:lineRule="auto"/>
        <w:ind w:left="0" w:right="0"/>
        <w:rPr>
          <w:rFonts w:hint="eastAsia" w:ascii="仿宋" w:hAnsi="仿宋" w:eastAsia="仿宋" w:cs="仿宋"/>
          <w:sz w:val="24"/>
          <w:szCs w:val="24"/>
          <w:highlight w:val="none"/>
        </w:rPr>
      </w:pPr>
      <w:r>
        <w:rPr>
          <w:rStyle w:val="47"/>
          <w:rFonts w:hint="eastAsia" w:ascii="仿宋" w:hAnsi="仿宋" w:eastAsia="仿宋" w:cs="仿宋"/>
          <w:i w:val="0"/>
          <w:iCs w:val="0"/>
          <w:caps w:val="0"/>
          <w:color w:val="000000"/>
          <w:spacing w:val="0"/>
          <w:sz w:val="24"/>
          <w:szCs w:val="24"/>
          <w:highlight w:val="none"/>
        </w:rPr>
        <w:t>二、申请人的资格要求：</w:t>
      </w:r>
    </w:p>
    <w:p>
      <w:pPr>
        <w:pStyle w:val="38"/>
        <w:keepNext w:val="0"/>
        <w:keepLines w:val="0"/>
        <w:widowControl/>
        <w:suppressLineNumbers w:val="0"/>
        <w:spacing w:before="75" w:beforeAutospacing="0" w:after="75" w:afterAutospacing="0" w:line="240" w:lineRule="auto"/>
        <w:ind w:right="0" w:firstLine="480" w:firstLineChars="20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2.落实政府采购政策需满足的资格要求：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（1）根据《政府采购促进中小企业发展管理办法》（财库﹝2020﹞46 号）。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（2）投标人及其所投产品的制造商均属于《工业和信息化部、国家统计局、 国家发展和改革委员会、财政部关于印发中小企业划型标准规定的通知》(工信 部联企业[2011]300 号)；中规定的小型、微型企业标准的，按谈判文件格式提 供《中小企业声明函》等政府采购政策。</w:t>
      </w:r>
    </w:p>
    <w:p>
      <w:pPr>
        <w:pStyle w:val="21"/>
        <w:ind w:firstLine="480" w:firstLineChars="200"/>
        <w:rPr>
          <w:rFonts w:hint="eastAsia" w:ascii="仿宋" w:hAnsi="仿宋" w:eastAsia="仿宋" w:cs="仿宋"/>
          <w:i w:val="0"/>
          <w:iCs w:val="0"/>
          <w:caps w:val="0"/>
          <w:color w:val="000000"/>
          <w:spacing w:val="0"/>
          <w:kern w:val="2"/>
          <w:sz w:val="24"/>
          <w:szCs w:val="24"/>
          <w:highlight w:val="none"/>
          <w:lang w:val="en-US" w:eastAsia="zh-CN" w:bidi="ar-SA"/>
        </w:rPr>
      </w:pPr>
      <w:r>
        <w:rPr>
          <w:rFonts w:hint="eastAsia" w:ascii="仿宋" w:hAnsi="仿宋" w:eastAsia="仿宋" w:cs="仿宋"/>
          <w:i w:val="0"/>
          <w:iCs w:val="0"/>
          <w:caps w:val="0"/>
          <w:color w:val="000000"/>
          <w:spacing w:val="0"/>
          <w:kern w:val="2"/>
          <w:sz w:val="24"/>
          <w:szCs w:val="24"/>
          <w:highlight w:val="none"/>
          <w:lang w:val="en-US" w:eastAsia="zh-CN" w:bidi="ar-SA"/>
        </w:rPr>
        <w:t>（3）《财政部发展改革委生态环境部市场监管总局关于调整优化节能产品、 环境标志产品政府采购执行机制的通知》（财库〔2019〕9 号）；</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（1）投标单位应提供营业执照、组织机构代码证、税务登记证（原件）(或三证合一营业执照副本)；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（2）法定代表人的需携带法定代表人证明书（原件）及法定代表人身份证（原件），委托代理人需携带法定代表人授权委托书（原件）及委托代理人身份证（原件）；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（3）提供法定代表人或授权委托人（近3个月）的社保缴费凭证（新成立时间少于三个月的公司，按实际发生提供）；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（4）投标单位应提供税务机关出具近期的完税证明原件(附：近三个月的完税证明；新成立不足三个月的，按实际情况发生提供)；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（5）投标单位应提供2021年度或2022年度财务审计报告原件（会计周期不满一年的公司可不提供但需提供银行出具的近三个月的资信证明原件）；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4F81BD" w:themeColor="accent1"/>
          <w:spacing w:val="0"/>
          <w:sz w:val="24"/>
          <w:szCs w:val="24"/>
          <w:highlight w:val="none"/>
          <w:lang w:val="en-US" w:eastAsia="zh-CN"/>
          <w14:textFill>
            <w14:solidFill>
              <w14:schemeClr w14:val="accent1"/>
            </w14:solidFill>
          </w14:textFill>
        </w:rPr>
      </w:pPr>
      <w:r>
        <w:rPr>
          <w:rFonts w:hint="eastAsia" w:ascii="仿宋" w:hAnsi="仿宋" w:eastAsia="仿宋" w:cs="仿宋"/>
          <w:i w:val="0"/>
          <w:iCs w:val="0"/>
          <w:caps w:val="0"/>
          <w:color w:val="000000"/>
          <w:spacing w:val="0"/>
          <w:sz w:val="24"/>
          <w:szCs w:val="24"/>
          <w:highlight w:val="none"/>
          <w:lang w:val="en-US" w:eastAsia="zh-CN"/>
        </w:rPr>
        <w:t>（6）</w:t>
      </w:r>
      <w:r>
        <w:rPr>
          <w:rFonts w:hint="eastAsia" w:ascii="仿宋" w:hAnsi="仿宋" w:eastAsia="仿宋" w:cs="仿宋"/>
          <w:i w:val="0"/>
          <w:iCs w:val="0"/>
          <w:caps w:val="0"/>
          <w:color w:val="auto"/>
          <w:spacing w:val="0"/>
          <w:sz w:val="24"/>
          <w:szCs w:val="24"/>
          <w:highlight w:val="none"/>
          <w:lang w:val="en-US" w:eastAsia="zh-CN"/>
        </w:rPr>
        <w:t>拟参加的供应商需提供林业植物检疫登记证、林木种子生产经营许可证。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7）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（8）企业负责人为同一人或者存在直接控股、管理关系的不同投标人，不得参加同一合同项下的政府采购活动。否则，皆取消投标资格；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（9）本次招标不接受联合体投标。</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highlight w:val="none"/>
          <w:lang w:eastAsia="zh-CN"/>
        </w:rPr>
      </w:pPr>
      <w:r>
        <w:rPr>
          <w:rStyle w:val="47"/>
          <w:rFonts w:hint="eastAsia" w:ascii="仿宋" w:hAnsi="仿宋" w:eastAsia="仿宋" w:cs="仿宋"/>
          <w:i w:val="0"/>
          <w:iCs w:val="0"/>
          <w:caps w:val="0"/>
          <w:color w:val="000000"/>
          <w:spacing w:val="0"/>
          <w:sz w:val="24"/>
          <w:szCs w:val="24"/>
          <w:highlight w:val="none"/>
        </w:rPr>
        <w:t>三、获取</w:t>
      </w:r>
      <w:r>
        <w:rPr>
          <w:rStyle w:val="47"/>
          <w:rFonts w:hint="eastAsia" w:ascii="仿宋" w:hAnsi="仿宋" w:eastAsia="仿宋" w:cs="仿宋"/>
          <w:i w:val="0"/>
          <w:iCs w:val="0"/>
          <w:caps w:val="0"/>
          <w:color w:val="000000"/>
          <w:spacing w:val="0"/>
          <w:sz w:val="24"/>
          <w:szCs w:val="24"/>
          <w:highlight w:val="none"/>
          <w:lang w:eastAsia="zh-CN"/>
        </w:rPr>
        <w:t>谈判文件</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lang w:val="en-US" w:eastAsia="zh-CN"/>
        </w:rPr>
        <w:t>时间：2023年09月21日至2023年9月27日，每天上午10:00至14:00，下午14:00至23:59</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地点：政采云平台（https://www.zcygov.cn/）线上获取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方式：供应商登陆政采云平台https://www.zcygov.cn/在线申请获取采购文件（进入“项目采购”应用，在获取采购文件菜单中选择项目，申请获取采购文件）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lang w:val="en-US" w:eastAsia="zh-CN"/>
        </w:rPr>
        <w:t>售价（元）：0.0元</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47"/>
          <w:rFonts w:hint="eastAsia" w:ascii="仿宋" w:hAnsi="仿宋" w:eastAsia="仿宋" w:cs="仿宋"/>
          <w:i w:val="0"/>
          <w:iCs w:val="0"/>
          <w:caps w:val="0"/>
          <w:color w:val="000000"/>
          <w:spacing w:val="0"/>
          <w:sz w:val="24"/>
          <w:szCs w:val="24"/>
          <w:highlight w:val="none"/>
        </w:rPr>
        <w:t>四、提交投标文件截止时间、开标时间和地点</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leftChars="0" w:right="0" w:firstLine="420" w:firstLineChars="175"/>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提交（上传）投标文件截止时间： 2023年9月28日11:00（北京时间）</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地点：投标人应于</w:t>
      </w:r>
      <w:r>
        <w:rPr>
          <w:rFonts w:hint="eastAsia" w:ascii="仿宋" w:hAnsi="仿宋" w:eastAsia="仿宋" w:cs="仿宋"/>
          <w:i w:val="0"/>
          <w:iCs w:val="0"/>
          <w:caps w:val="0"/>
          <w:color w:val="000000"/>
          <w:spacing w:val="0"/>
          <w:sz w:val="24"/>
          <w:szCs w:val="24"/>
          <w:highlight w:val="none"/>
          <w:lang w:eastAsia="zh-CN"/>
        </w:rPr>
        <w:t>2023年9月28日</w:t>
      </w:r>
      <w:r>
        <w:rPr>
          <w:rFonts w:hint="eastAsia" w:ascii="仿宋" w:hAnsi="仿宋" w:eastAsia="仿宋" w:cs="仿宋"/>
          <w:i w:val="0"/>
          <w:iCs w:val="0"/>
          <w:caps w:val="0"/>
          <w:color w:val="000000"/>
          <w:spacing w:val="0"/>
          <w:sz w:val="24"/>
          <w:szCs w:val="24"/>
          <w:highlight w:val="none"/>
        </w:rPr>
        <w:t xml:space="preserve"> 11:00(北京时间）之前将电子投标文件上传到“政采云”平台。应按照本项目</w:t>
      </w:r>
      <w:r>
        <w:rPr>
          <w:rFonts w:hint="eastAsia" w:ascii="仿宋" w:hAnsi="仿宋" w:eastAsia="仿宋" w:cs="仿宋"/>
          <w:i w:val="0"/>
          <w:iCs w:val="0"/>
          <w:caps w:val="0"/>
          <w:color w:val="000000"/>
          <w:spacing w:val="0"/>
          <w:sz w:val="24"/>
          <w:szCs w:val="24"/>
          <w:highlight w:val="none"/>
          <w:lang w:eastAsia="zh-CN"/>
        </w:rPr>
        <w:t>谈判文件</w:t>
      </w:r>
      <w:r>
        <w:rPr>
          <w:rFonts w:hint="eastAsia" w:ascii="仿宋" w:hAnsi="仿宋" w:eastAsia="仿宋" w:cs="仿宋"/>
          <w:i w:val="0"/>
          <w:iCs w:val="0"/>
          <w:caps w:val="0"/>
          <w:color w:val="000000"/>
          <w:spacing w:val="0"/>
          <w:sz w:val="24"/>
          <w:szCs w:val="24"/>
          <w:highlight w:val="none"/>
        </w:rPr>
        <w:t>和政采云平台的要求编制、加密传输投标文件；</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47"/>
          <w:rFonts w:hint="eastAsia" w:ascii="仿宋" w:hAnsi="仿宋" w:eastAsia="仿宋" w:cs="仿宋"/>
          <w:i w:val="0"/>
          <w:iCs w:val="0"/>
          <w:caps w:val="0"/>
          <w:color w:val="000000"/>
          <w:spacing w:val="0"/>
          <w:sz w:val="24"/>
          <w:szCs w:val="24"/>
          <w:highlight w:val="none"/>
        </w:rPr>
        <w:t>五、公告期限</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自本公告发布之日起</w:t>
      </w:r>
      <w:r>
        <w:rPr>
          <w:rFonts w:hint="eastAsia" w:ascii="仿宋" w:hAnsi="仿宋" w:eastAsia="仿宋" w:cs="仿宋"/>
          <w:i w:val="0"/>
          <w:iCs w:val="0"/>
          <w:caps w:val="0"/>
          <w:color w:val="000000"/>
          <w:spacing w:val="0"/>
          <w:sz w:val="24"/>
          <w:szCs w:val="24"/>
          <w:highlight w:val="none"/>
          <w:lang w:val="en-US" w:eastAsia="zh-CN"/>
        </w:rPr>
        <w:t>3</w:t>
      </w:r>
      <w:r>
        <w:rPr>
          <w:rFonts w:hint="eastAsia" w:ascii="仿宋" w:hAnsi="仿宋" w:eastAsia="仿宋" w:cs="仿宋"/>
          <w:i w:val="0"/>
          <w:iCs w:val="0"/>
          <w:caps w:val="0"/>
          <w:color w:val="000000"/>
          <w:spacing w:val="0"/>
          <w:sz w:val="24"/>
          <w:szCs w:val="24"/>
          <w:highlight w:val="none"/>
        </w:rPr>
        <w:t>个工作日。</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47"/>
          <w:rFonts w:hint="eastAsia" w:ascii="仿宋" w:hAnsi="仿宋" w:eastAsia="仿宋" w:cs="仿宋"/>
          <w:i w:val="0"/>
          <w:iCs w:val="0"/>
          <w:caps w:val="0"/>
          <w:color w:val="000000"/>
          <w:spacing w:val="0"/>
          <w:sz w:val="24"/>
          <w:szCs w:val="24"/>
          <w:highlight w:val="none"/>
        </w:rPr>
        <w:t>六、其他补充事宜</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1、本项目实行网上投标，采用电子投标文件。若供应商参与投标，自行承担投标一切费用。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5、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谈判文件格式提供《中小企业声明函》等政府采购政策。 《财政部 发展改革委 生态环境部 市场监管总局 关于调整优化节能产品、环境标志产品政府采购执行机制的通知》（财库〔2019〕9号）。《关于信息安全产品实施政府采购的通知》（财库〔2010〕48号）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特别提示：</w:t>
      </w:r>
    </w:p>
    <w:p>
      <w:pPr>
        <w:pStyle w:val="3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00" w:lineRule="exact"/>
        <w:ind w:left="479" w:leftChars="228" w:right="0" w:firstLine="0" w:firstLineChars="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1.本项目预留金额100%专门面向中小企业的采购项目。</w:t>
      </w:r>
      <w:r>
        <w:rPr>
          <w:rFonts w:hint="eastAsia" w:ascii="仿宋" w:hAnsi="仿宋" w:eastAsia="仿宋" w:cs="仿宋"/>
          <w:i w:val="0"/>
          <w:iCs w:val="0"/>
          <w:caps w:val="0"/>
          <w:color w:val="000000"/>
          <w:spacing w:val="0"/>
          <w:sz w:val="24"/>
          <w:szCs w:val="24"/>
          <w:highlight w:val="none"/>
          <w:lang w:val="en-US" w:eastAsia="zh-CN"/>
        </w:rPr>
        <w:br w:type="textWrapping"/>
      </w:r>
      <w:r>
        <w:rPr>
          <w:rFonts w:hint="eastAsia" w:ascii="仿宋" w:hAnsi="仿宋" w:eastAsia="仿宋" w:cs="仿宋"/>
          <w:i w:val="0"/>
          <w:iCs w:val="0"/>
          <w:caps w:val="0"/>
          <w:color w:val="000000"/>
          <w:spacing w:val="0"/>
          <w:sz w:val="24"/>
          <w:szCs w:val="24"/>
          <w:highlight w:val="none"/>
          <w:lang w:val="en-US" w:eastAsia="zh-CN"/>
        </w:rPr>
        <w:t>2.本项目小微企业划分标准为：农、林、牧、渔业。</w:t>
      </w:r>
    </w:p>
    <w:p>
      <w:pPr>
        <w:pStyle w:val="38"/>
        <w:keepNext w:val="0"/>
        <w:keepLines w:val="0"/>
        <w:widowControl/>
        <w:suppressLineNumbers w:val="0"/>
        <w:shd w:val="clear"/>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8"/>
        <w:keepNext w:val="0"/>
        <w:keepLines w:val="0"/>
        <w:widowControl/>
        <w:suppressLineNumbers w:val="0"/>
        <w:spacing w:before="255" w:beforeAutospacing="0" w:after="255" w:afterAutospacing="0" w:line="240" w:lineRule="auto"/>
        <w:ind w:left="0" w:right="0" w:firstLine="0"/>
        <w:jc w:val="both"/>
        <w:rPr>
          <w:rFonts w:hint="eastAsia" w:ascii="仿宋" w:hAnsi="仿宋" w:eastAsia="仿宋" w:cs="仿宋"/>
          <w:i w:val="0"/>
          <w:iCs w:val="0"/>
          <w:caps w:val="0"/>
          <w:color w:val="000000"/>
          <w:spacing w:val="0"/>
          <w:sz w:val="24"/>
          <w:szCs w:val="24"/>
          <w:highlight w:val="none"/>
        </w:rPr>
      </w:pPr>
      <w:r>
        <w:rPr>
          <w:rStyle w:val="47"/>
          <w:rFonts w:hint="eastAsia" w:ascii="仿宋" w:hAnsi="仿宋" w:eastAsia="仿宋" w:cs="仿宋"/>
          <w:i w:val="0"/>
          <w:iCs w:val="0"/>
          <w:caps w:val="0"/>
          <w:color w:val="000000"/>
          <w:spacing w:val="0"/>
          <w:sz w:val="24"/>
          <w:szCs w:val="24"/>
          <w:highlight w:val="none"/>
        </w:rPr>
        <w:t>七、对本次采购提出询问，请按以下方式联系</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1.采购人信息</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名 称：和田市林业和草原局</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地 址：和田市和墨路158号</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联系方式：0903-2054273</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2.采购代理机构信息</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名 称：新疆浩诚致远项目管理咨询有限公司</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地 址：和田市肖尔巴格乡库木巴格村1098号</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联系方式：0903-2062911</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3.同级政府采购监督管理部门名称：和田市政府采购办</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联系人：刘敏</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监督投诉电话：0903-2512012</w:t>
      </w:r>
    </w:p>
    <w:p>
      <w:pPr>
        <w:pStyle w:val="3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highlight w:val="none"/>
          <w:lang w:val="en-US" w:eastAsia="zh-CN"/>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textAlignment w:val="auto"/>
        <w:rPr>
          <w:rFonts w:hint="eastAsia" w:ascii="仿宋" w:hAnsi="仿宋" w:eastAsia="仿宋" w:cs="仿宋"/>
          <w:i w:val="0"/>
          <w:caps w:val="0"/>
          <w:color w:val="auto"/>
          <w:spacing w:val="0"/>
          <w:sz w:val="24"/>
          <w:szCs w:val="24"/>
          <w:highlight w:val="none"/>
        </w:rPr>
      </w:pPr>
    </w:p>
    <w:p>
      <w:pPr>
        <w:rPr>
          <w:rFonts w:hint="eastAsia" w:ascii="仿宋" w:hAnsi="仿宋" w:eastAsia="仿宋" w:cs="仿宋"/>
          <w:b/>
          <w:color w:val="auto"/>
          <w:sz w:val="28"/>
          <w:szCs w:val="28"/>
          <w:highlight w:val="none"/>
          <w:lang w:eastAsia="zh-CN"/>
        </w:rPr>
      </w:pPr>
      <w:bookmarkStart w:id="3" w:name="_Toc1277"/>
      <w:bookmarkStart w:id="4" w:name="_Toc5064"/>
      <w:bookmarkStart w:id="5" w:name="_Toc30559"/>
      <w:bookmarkStart w:id="6" w:name="_Toc15231"/>
      <w:bookmarkStart w:id="7" w:name="_Toc15770"/>
      <w:bookmarkStart w:id="8" w:name="_Toc25035"/>
      <w:bookmarkStart w:id="9" w:name="_Toc19282"/>
      <w:r>
        <w:rPr>
          <w:rFonts w:hint="eastAsia" w:ascii="仿宋" w:hAnsi="仿宋" w:eastAsia="仿宋" w:cs="仿宋"/>
          <w:b/>
          <w:color w:val="auto"/>
          <w:sz w:val="28"/>
          <w:szCs w:val="28"/>
          <w:highlight w:val="none"/>
          <w:lang w:eastAsia="zh-CN"/>
        </w:rPr>
        <w:br w:type="page"/>
      </w:r>
    </w:p>
    <w:p>
      <w:pPr>
        <w:pStyle w:val="3"/>
        <w:bidi w:val="0"/>
        <w:rPr>
          <w:rFonts w:hint="eastAsia" w:ascii="仿宋" w:hAnsi="仿宋" w:eastAsia="仿宋" w:cs="仿宋"/>
          <w:b/>
          <w:color w:val="auto"/>
          <w:szCs w:val="28"/>
          <w:highlight w:val="none"/>
          <w:lang w:eastAsia="zh-CN"/>
        </w:rPr>
      </w:pPr>
      <w:bookmarkStart w:id="10" w:name="_Toc9813"/>
      <w:r>
        <w:rPr>
          <w:rFonts w:hint="eastAsia"/>
          <w:highlight w:val="none"/>
          <w:lang w:eastAsia="zh-CN"/>
        </w:rPr>
        <w:t>第二部分</w:t>
      </w:r>
      <w:r>
        <w:rPr>
          <w:rFonts w:hint="eastAsia"/>
          <w:highlight w:val="none"/>
          <w:lang w:val="en-US" w:eastAsia="zh-CN"/>
        </w:rPr>
        <w:t xml:space="preserve">    </w:t>
      </w:r>
      <w:r>
        <w:rPr>
          <w:rFonts w:hint="eastAsia"/>
          <w:highlight w:val="none"/>
          <w:lang w:eastAsia="zh-CN"/>
        </w:rPr>
        <w:t>投标人须知</w:t>
      </w:r>
      <w:bookmarkEnd w:id="1"/>
      <w:bookmarkEnd w:id="2"/>
      <w:bookmarkEnd w:id="3"/>
      <w:bookmarkEnd w:id="4"/>
      <w:bookmarkEnd w:id="5"/>
      <w:bookmarkEnd w:id="6"/>
      <w:bookmarkEnd w:id="7"/>
      <w:bookmarkEnd w:id="8"/>
      <w:bookmarkEnd w:id="9"/>
      <w:bookmarkEnd w:id="10"/>
    </w:p>
    <w:p>
      <w:pPr>
        <w:ind w:firstLine="420"/>
        <w:jc w:val="center"/>
        <w:outlineLvl w:val="0"/>
        <w:rPr>
          <w:rFonts w:hint="eastAsia" w:ascii="仿宋" w:hAnsi="仿宋" w:eastAsia="仿宋" w:cs="仿宋"/>
          <w:b/>
          <w:color w:val="auto"/>
          <w:sz w:val="28"/>
          <w:szCs w:val="28"/>
          <w:highlight w:val="none"/>
        </w:rPr>
      </w:pPr>
      <w:bookmarkStart w:id="11" w:name="_Toc7237"/>
      <w:bookmarkStart w:id="12" w:name="_Toc17655"/>
      <w:bookmarkStart w:id="13" w:name="_Toc14053"/>
      <w:bookmarkStart w:id="14" w:name="_Toc9144"/>
      <w:bookmarkStart w:id="15" w:name="_Toc12827"/>
      <w:bookmarkStart w:id="16" w:name="_Toc8971"/>
      <w:bookmarkStart w:id="17" w:name="_Toc18219"/>
      <w:bookmarkStart w:id="18" w:name="_Toc24832"/>
      <w:bookmarkStart w:id="19" w:name="_Toc21348_WPSOffice_Level1"/>
      <w:bookmarkStart w:id="20" w:name="_Toc10040"/>
      <w:bookmarkStart w:id="21" w:name="_Toc2291"/>
      <w:bookmarkStart w:id="22" w:name="_Toc10179"/>
      <w:bookmarkStart w:id="23" w:name="_Toc29111"/>
      <w:r>
        <w:rPr>
          <w:rFonts w:hint="eastAsia" w:ascii="仿宋" w:hAnsi="仿宋" w:eastAsia="仿宋" w:cs="仿宋"/>
          <w:b/>
          <w:color w:val="auto"/>
          <w:sz w:val="28"/>
          <w:szCs w:val="28"/>
          <w:highlight w:val="none"/>
        </w:rPr>
        <w:t>投标人须知前附表</w:t>
      </w:r>
      <w:bookmarkEnd w:id="11"/>
      <w:bookmarkEnd w:id="12"/>
      <w:bookmarkEnd w:id="13"/>
      <w:bookmarkEnd w:id="14"/>
      <w:bookmarkEnd w:id="15"/>
      <w:bookmarkEnd w:id="16"/>
      <w:bookmarkEnd w:id="17"/>
      <w:bookmarkEnd w:id="18"/>
      <w:bookmarkEnd w:id="19"/>
      <w:bookmarkEnd w:id="20"/>
      <w:bookmarkEnd w:id="21"/>
      <w:bookmarkEnd w:id="22"/>
      <w:bookmarkEnd w:id="23"/>
    </w:p>
    <w:tbl>
      <w:tblPr>
        <w:tblStyle w:val="43"/>
        <w:tblW w:w="10261"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723"/>
        <w:gridCol w:w="7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w:t>
            </w:r>
          </w:p>
        </w:tc>
        <w:tc>
          <w:tcPr>
            <w:tcW w:w="1723" w:type="dxa"/>
            <w:vAlign w:val="center"/>
          </w:tcPr>
          <w:p>
            <w:pPr>
              <w:spacing w:before="24" w:beforeLines="10" w:after="24" w:afterLines="10"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采购人</w:t>
            </w:r>
          </w:p>
        </w:tc>
        <w:tc>
          <w:tcPr>
            <w:tcW w:w="7700" w:type="dxa"/>
            <w:vAlign w:val="center"/>
          </w:tcPr>
          <w:p>
            <w:pPr>
              <w:spacing w:before="24" w:beforeLines="10" w:after="24" w:afterLines="10" w:line="240" w:lineRule="auto"/>
              <w:ind w:firstLine="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名  称：</w:t>
            </w:r>
            <w:r>
              <w:rPr>
                <w:rFonts w:hint="eastAsia" w:ascii="仿宋" w:hAnsi="仿宋" w:eastAsia="仿宋" w:cs="仿宋"/>
                <w:color w:val="auto"/>
                <w:sz w:val="24"/>
                <w:highlight w:val="none"/>
                <w:lang w:val="en-US" w:eastAsia="zh-CN"/>
              </w:rPr>
              <w:t>和田市林业和草原局</w:t>
            </w:r>
          </w:p>
          <w:p>
            <w:pPr>
              <w:spacing w:before="24" w:beforeLines="10" w:after="24" w:afterLines="10" w:line="240" w:lineRule="auto"/>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联系人：</w:t>
            </w:r>
            <w:r>
              <w:rPr>
                <w:rFonts w:hint="eastAsia" w:ascii="仿宋" w:hAnsi="仿宋" w:eastAsia="仿宋" w:cs="仿宋"/>
                <w:color w:val="auto"/>
                <w:sz w:val="24"/>
                <w:highlight w:val="none"/>
                <w:lang w:val="en-US" w:eastAsia="zh-CN"/>
              </w:rPr>
              <w:t>努日艾力</w:t>
            </w:r>
          </w:p>
          <w:p>
            <w:pPr>
              <w:spacing w:before="24" w:beforeLines="10" w:after="24" w:afterLines="10"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电  话：</w:t>
            </w:r>
            <w:r>
              <w:rPr>
                <w:rFonts w:hint="eastAsia" w:ascii="仿宋" w:hAnsi="仿宋" w:eastAsia="仿宋" w:cs="仿宋"/>
                <w:color w:val="auto"/>
                <w:sz w:val="24"/>
                <w:highlight w:val="none"/>
                <w:lang w:val="en-US" w:eastAsia="zh-CN"/>
              </w:rPr>
              <w:t>0903-2054273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p>
        </w:tc>
        <w:tc>
          <w:tcPr>
            <w:tcW w:w="1723" w:type="dxa"/>
            <w:vAlign w:val="center"/>
          </w:tcPr>
          <w:p>
            <w:pPr>
              <w:spacing w:before="24" w:beforeLines="10" w:after="24" w:afterLines="10"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代理机构</w:t>
            </w:r>
          </w:p>
        </w:tc>
        <w:tc>
          <w:tcPr>
            <w:tcW w:w="7700" w:type="dxa"/>
            <w:vAlign w:val="center"/>
          </w:tcPr>
          <w:p>
            <w:pPr>
              <w:spacing w:before="24" w:beforeLines="10" w:after="24" w:afterLines="10" w:line="240" w:lineRule="auto"/>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 xml:space="preserve">名  称: </w:t>
            </w:r>
            <w:r>
              <w:rPr>
                <w:rFonts w:hint="eastAsia" w:ascii="仿宋" w:hAnsi="仿宋" w:eastAsia="仿宋" w:cs="仿宋"/>
                <w:color w:val="auto"/>
                <w:sz w:val="24"/>
                <w:highlight w:val="none"/>
                <w:lang w:val="en-US" w:eastAsia="zh-CN"/>
              </w:rPr>
              <w:t>新疆浩诚致远项目管理咨询有限公司</w:t>
            </w:r>
          </w:p>
          <w:p>
            <w:pPr>
              <w:spacing w:before="24" w:beforeLines="10" w:after="24" w:afterLines="10" w:line="240" w:lineRule="auto"/>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 xml:space="preserve">地  址: </w:t>
            </w:r>
            <w:r>
              <w:rPr>
                <w:rFonts w:hint="eastAsia" w:ascii="仿宋" w:hAnsi="仿宋" w:eastAsia="仿宋" w:cs="仿宋"/>
                <w:color w:val="auto"/>
                <w:sz w:val="24"/>
                <w:highlight w:val="none"/>
                <w:lang w:val="zh-CN" w:eastAsia="zh-CN"/>
              </w:rPr>
              <w:t>和田市</w:t>
            </w:r>
            <w:r>
              <w:rPr>
                <w:rFonts w:hint="eastAsia" w:ascii="仿宋" w:hAnsi="仿宋" w:eastAsia="仿宋" w:cs="仿宋"/>
                <w:color w:val="auto"/>
                <w:sz w:val="24"/>
                <w:highlight w:val="none"/>
                <w:lang w:val="en-US" w:eastAsia="zh-CN"/>
              </w:rPr>
              <w:t>肖尔巴格乡库木巴格村1098号</w:t>
            </w:r>
          </w:p>
          <w:p>
            <w:pPr>
              <w:spacing w:before="24" w:beforeLines="10" w:after="24" w:afterLines="10" w:line="240" w:lineRule="auto"/>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 xml:space="preserve">联系人: </w:t>
            </w:r>
            <w:r>
              <w:rPr>
                <w:rFonts w:hint="eastAsia" w:ascii="仿宋" w:hAnsi="仿宋" w:eastAsia="仿宋" w:cs="仿宋"/>
                <w:color w:val="auto"/>
                <w:sz w:val="24"/>
                <w:highlight w:val="none"/>
                <w:lang w:val="en-US" w:eastAsia="zh-CN"/>
              </w:rPr>
              <w:t>熊思</w:t>
            </w:r>
          </w:p>
          <w:p>
            <w:pPr>
              <w:spacing w:before="24" w:beforeLines="10" w:after="24" w:afterLines="10"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电  话:</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val="0"/>
                <w:bCs/>
                <w:i w:val="0"/>
                <w:caps w:val="0"/>
                <w:color w:val="auto"/>
                <w:spacing w:val="0"/>
                <w:sz w:val="24"/>
                <w:szCs w:val="24"/>
                <w:highlight w:val="none"/>
                <w:shd w:val="clear" w:color="auto" w:fill="FFFFFF"/>
                <w:lang w:val="en-US" w:eastAsia="zh-CN"/>
              </w:rPr>
              <w:t>0903-2062911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i w:val="0"/>
                <w:caps w:val="0"/>
                <w:color w:val="auto"/>
                <w:spacing w:val="0"/>
                <w:sz w:val="24"/>
                <w:szCs w:val="24"/>
                <w:highlight w:val="none"/>
                <w:shd w:val="clear" w:color="auto" w:fill="FFFFFF"/>
                <w:lang w:val="en-US" w:eastAsia="zh-CN"/>
              </w:rPr>
              <w:t>3</w:t>
            </w:r>
          </w:p>
        </w:tc>
        <w:tc>
          <w:tcPr>
            <w:tcW w:w="17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i w:val="0"/>
                <w:caps w:val="0"/>
                <w:color w:val="auto"/>
                <w:spacing w:val="0"/>
                <w:sz w:val="24"/>
                <w:szCs w:val="24"/>
                <w:highlight w:val="none"/>
                <w:shd w:val="clear" w:color="auto" w:fill="FFFFFF"/>
                <w:lang w:val="en-US" w:eastAsia="zh-CN"/>
              </w:rPr>
              <w:t>同级政府采购监督管理部门</w:t>
            </w:r>
          </w:p>
        </w:tc>
        <w:tc>
          <w:tcPr>
            <w:tcW w:w="77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名称：和田市政府采购办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联系人：刘敏</w:t>
            </w:r>
          </w:p>
          <w:p>
            <w:pPr>
              <w:spacing w:before="24" w:beforeLines="10" w:after="24" w:afterLines="10"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b w:val="0"/>
                <w:bCs/>
                <w:i w:val="0"/>
                <w:caps w:val="0"/>
                <w:color w:val="auto"/>
                <w:spacing w:val="0"/>
                <w:sz w:val="24"/>
                <w:szCs w:val="24"/>
                <w:highlight w:val="none"/>
                <w:shd w:val="clear" w:color="auto" w:fill="FFFFFF"/>
                <w:lang w:val="en-US" w:eastAsia="zh-CN"/>
              </w:rPr>
              <w:t>监督投诉电话：0903-2512012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4</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项目编号及</w:t>
            </w:r>
            <w:r>
              <w:rPr>
                <w:rFonts w:hint="eastAsia" w:ascii="仿宋" w:hAnsi="仿宋" w:eastAsia="仿宋" w:cs="仿宋"/>
                <w:color w:val="auto"/>
                <w:sz w:val="24"/>
                <w:szCs w:val="24"/>
                <w:highlight w:val="none"/>
              </w:rPr>
              <w:t>项目名称</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lang w:val="en-US" w:eastAsia="zh-CN"/>
              </w:rPr>
              <w:t>HTSZFCGZBDL-2023-082</w:t>
            </w:r>
          </w:p>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项目名称：2023年和田市和田河流域生态综合治理项目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5</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和田市吉亚乡人工造林0,1万亩，主要造林树种为密胡杨65267株、沙枣311976株.总投资资金85.9566万元。（具体参数详见谈判文件）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投标保证金</w:t>
            </w:r>
          </w:p>
        </w:tc>
        <w:tc>
          <w:tcPr>
            <w:tcW w:w="7700" w:type="dxa"/>
            <w:vAlign w:val="center"/>
          </w:tcPr>
          <w:p>
            <w:pPr>
              <w:spacing w:line="240" w:lineRule="auto"/>
              <w:rPr>
                <w:rFonts w:hint="eastAsia" w:ascii="仿宋" w:hAnsi="仿宋" w:eastAsia="仿宋" w:cs="仿宋"/>
                <w:b/>
                <w:bCs/>
                <w:color w:val="auto"/>
                <w:kern w:val="0"/>
                <w:sz w:val="24"/>
                <w:highlight w:val="none"/>
                <w:lang w:val="en-US" w:eastAsia="zh-CN"/>
              </w:rPr>
            </w:pPr>
            <w:r>
              <w:rPr>
                <w:rFonts w:hint="eastAsia" w:ascii="仿宋" w:hAnsi="仿宋" w:eastAsia="仿宋" w:cs="仿宋"/>
                <w:b/>
                <w:color w:val="auto"/>
                <w:sz w:val="24"/>
                <w:highlight w:val="none"/>
                <w:lang w:val="en-US" w:eastAsia="zh-CN"/>
              </w:rPr>
              <w:t>投</w:t>
            </w:r>
            <w:r>
              <w:rPr>
                <w:rFonts w:hint="eastAsia" w:ascii="仿宋" w:hAnsi="仿宋" w:eastAsia="仿宋" w:cs="仿宋"/>
                <w:b/>
                <w:bCs/>
                <w:color w:val="auto"/>
                <w:kern w:val="0"/>
                <w:sz w:val="24"/>
                <w:highlight w:val="none"/>
                <w:lang w:val="en-US" w:eastAsia="zh-CN"/>
              </w:rPr>
              <w:t>标保证金：9000.00元（玖仟元整）；</w:t>
            </w:r>
          </w:p>
          <w:p>
            <w:pPr>
              <w:spacing w:line="240" w:lineRule="auto"/>
              <w:ind w:firstLine="0" w:firstLineChars="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保证金的缴纳方式：转账或电汇（须从供应商基本账户转出）</w:t>
            </w:r>
          </w:p>
          <w:p>
            <w:pPr>
              <w:spacing w:line="240" w:lineRule="auto"/>
              <w:ind w:firstLine="0" w:firstLineChars="0"/>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开户名称：新疆浩诚致远项目管理咨询有限公司和田分公司</w:t>
            </w:r>
          </w:p>
          <w:p>
            <w:pPr>
              <w:spacing w:line="240" w:lineRule="auto"/>
              <w:ind w:firstLine="0" w:firstLineChars="0"/>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开户银行：中国工商银行有限公司和田北京西路支行</w:t>
            </w:r>
          </w:p>
          <w:p>
            <w:pPr>
              <w:spacing w:line="240" w:lineRule="auto"/>
              <w:ind w:firstLine="0" w:firstLineChars="0"/>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账号：3015381109200305418</w:t>
            </w:r>
          </w:p>
          <w:p>
            <w:pPr>
              <w:spacing w:line="240" w:lineRule="auto"/>
              <w:ind w:firstLine="0" w:firstLineChars="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投标保证金缴纳截止时间：2023年9月28日11：00分（北京时间）。</w:t>
            </w:r>
          </w:p>
          <w:p>
            <w:pPr>
              <w:spacing w:line="240" w:lineRule="auto"/>
              <w:ind w:firstLine="48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kern w:val="0"/>
                <w:sz w:val="24"/>
                <w:highlight w:val="none"/>
                <w:lang w:val="en-US" w:eastAsia="zh-CN"/>
              </w:rPr>
              <w:t>备注：必须由投标单位的基本账户转至指定账户（必须一次性足额转至以上账户，汇款时必须在备注栏写明所投采购项目名称，系统内其他账户概不认可，请投标单位注意，无须到和田市行政服务和公共资源交易中心换取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资格要求</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p>
        </w:tc>
        <w:tc>
          <w:tcPr>
            <w:tcW w:w="7700" w:type="dxa"/>
            <w:vAlign w:val="center"/>
          </w:tcPr>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1.满足《中华人民共和国政府采购法》第二十二条规定；</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xml:space="preserve">2.落实政府采购政策需满足的资格要求：（1）根据《政府采购促进中小企业发展管理办法》（财库﹝2020﹞46 号）。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（2）投标人及其所投产品的制造商均属于《工业和信息化部、国家统计局、 国家发展和改革委员会、财政部关于印发中小企业划型标准规定的通知》(工信 部联企业[2011]300 号)；中规定的小型、微型企业标准的，按谈判文件格式提供《中小企业声明函》等政府采购政策。</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（3）《财政部发展改革委生态环境部市场监管总局关于调整优化节能产品、 环境标志产品政府采购执行机制的通知》（财库〔2019〕9 号）；</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3.本项目的特定资格要求：</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（1）投标单位应提供营业执照、组织机构代码证、税务登记证（原件）(或三证合一营业执照副本)；</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（2）法定代表人的需携带法定代表人证明书（原件）及法定代表人身份证（原件），委托代理人需携带法定代表人授权委托书（原件）及委托代理人身份证（原件）；</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（3）提供法定代表人或授权委托人（近3个月）的社保缴费凭证（新成立时间少于三个月的公司，按实际发生提供）；</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（4）投标单位应提供税务机关出具近期的完税证明原件(附：近三个月的完税证明；新成立不足三个月的，按实际情况发生提供)；</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（5）投标单位应提供2021年度或2022年度财务审计报告原件（会计周期不满一年的公司可不提供但需提供银行出具的近三个月的资信证明原件）；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（6）</w:t>
            </w:r>
            <w:r>
              <w:rPr>
                <w:rFonts w:hint="eastAsia" w:ascii="仿宋" w:hAnsi="仿宋" w:eastAsia="仿宋" w:cs="仿宋"/>
                <w:i w:val="0"/>
                <w:iCs w:val="0"/>
                <w:caps w:val="0"/>
                <w:color w:val="auto"/>
                <w:spacing w:val="0"/>
                <w:sz w:val="24"/>
                <w:szCs w:val="24"/>
                <w:highlight w:val="none"/>
                <w:lang w:val="en-US" w:eastAsia="zh-CN"/>
              </w:rPr>
              <w:t>拟参加的供应商需提供林业植物检疫登记证、林木种子生产经营许可证。</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7</w:t>
            </w:r>
            <w:r>
              <w:rPr>
                <w:rFonts w:hint="eastAsia" w:ascii="仿宋" w:hAnsi="仿宋" w:eastAsia="仿宋" w:cs="仿宋"/>
                <w:i w:val="0"/>
                <w:iCs w:val="0"/>
                <w:caps w:val="0"/>
                <w:color w:val="000000"/>
                <w:spacing w:val="0"/>
                <w:sz w:val="24"/>
                <w:szCs w:val="24"/>
                <w:highlight w:val="none"/>
              </w:rPr>
              <w:t>）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8</w:t>
            </w:r>
            <w:r>
              <w:rPr>
                <w:rFonts w:hint="eastAsia" w:ascii="仿宋" w:hAnsi="仿宋" w:eastAsia="仿宋" w:cs="仿宋"/>
                <w:i w:val="0"/>
                <w:iCs w:val="0"/>
                <w:caps w:val="0"/>
                <w:color w:val="000000"/>
                <w:spacing w:val="0"/>
                <w:sz w:val="24"/>
                <w:szCs w:val="24"/>
                <w:highlight w:val="none"/>
              </w:rPr>
              <w:t>）企业负责人为同一人或者存在直接控股、管理关系的不同投标人，不得参加同一合同项下的政府采购活动。否则，皆取消投标资格；</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9</w:t>
            </w:r>
            <w:r>
              <w:rPr>
                <w:rFonts w:hint="eastAsia" w:ascii="仿宋" w:hAnsi="仿宋" w:eastAsia="仿宋" w:cs="仿宋"/>
                <w:i w:val="0"/>
                <w:iCs w:val="0"/>
                <w:caps w:val="0"/>
                <w:color w:val="000000"/>
                <w:spacing w:val="0"/>
                <w:sz w:val="24"/>
                <w:szCs w:val="24"/>
                <w:highlight w:val="no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rPr>
              <w:t>信用情况</w:t>
            </w:r>
          </w:p>
        </w:tc>
        <w:tc>
          <w:tcPr>
            <w:tcW w:w="7700" w:type="dxa"/>
            <w:vAlign w:val="center"/>
          </w:tcPr>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1、信用记录查询时间及方式：</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（1）查询时间：自招标公告发布日期起至开标日期止，超出此时间范围将被视为无效投标。</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（2）查询方式：投标人自行通过“信用中国”及“中国政府采购网”查询，并按</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要求提供网页材料。被列入失信被执行人、政府采购严重违法失信行为记录名单,其他不符合《中华人民共和国政府采购法》第二十二条规定条件的供应商，其投标文件将被视为无效投标。未提供证明材料的视为不响应</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（3）供应商参加政府采购活动时，应当就自己的诚信情况在响应性文件中进行承诺。</w:t>
            </w:r>
          </w:p>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lang w:eastAsia="zh-CN"/>
              </w:rPr>
            </w:pPr>
            <w:r>
              <w:rPr>
                <w:rStyle w:val="50"/>
                <w:rFonts w:hint="eastAsia" w:ascii="仿宋" w:hAnsi="仿宋" w:eastAsia="仿宋" w:cs="仿宋"/>
                <w:b/>
                <w:bCs/>
                <w:color w:val="auto"/>
                <w:sz w:val="24"/>
                <w:szCs w:val="24"/>
                <w:highlight w:val="none"/>
              </w:rPr>
              <w:t>标前准备</w:t>
            </w:r>
          </w:p>
        </w:tc>
        <w:tc>
          <w:tcPr>
            <w:tcW w:w="7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val="0"/>
                <w:color w:val="auto"/>
                <w:sz w:val="24"/>
                <w:szCs w:val="24"/>
                <w:highlight w:val="none"/>
              </w:rPr>
              <w:t>1、本项目实行网上投标，采用电子投标文件。若供应商参与投标，自行承担投标一切费用。2、各供应商应在开标前应确保成为新疆维吾尔 自治区政府采购网正式注册入库供应商，并完成 CA 数字证书申领。因 未注册入库、未办理 CA 数字证书等原因造成无法投标或投标失败等后 果由供应商自行承担。3、本项目为电子招投标，投标人需要使用 CA 加 密设备，有意向参与新疆区域电子开评标的供应商，请访问新疆数字证 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 云客户服务热线 400-881-7190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合同履行期限</w:t>
            </w:r>
          </w:p>
        </w:tc>
        <w:tc>
          <w:tcPr>
            <w:tcW w:w="7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合同履约期限：合同签定后于2024年3月1日--2024年7月30日将苗木到达业主指定地点（具体以签订合同为准）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c>
          <w:tcPr>
            <w:tcW w:w="7700"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eastAsia="宋体"/>
                <w:highlight w:val="none"/>
                <w:lang w:val="en-US" w:eastAsia="zh-CN"/>
              </w:rPr>
            </w:pPr>
            <w:r>
              <w:rPr>
                <w:rFonts w:hint="eastAsia" w:ascii="仿宋" w:hAnsi="仿宋" w:eastAsia="仿宋" w:cs="仿宋"/>
                <w:sz w:val="24"/>
                <w:szCs w:val="24"/>
                <w:highlight w:val="none"/>
                <w:lang w:val="en-US" w:eastAsia="zh-CN"/>
              </w:rPr>
              <w:t>交货</w:t>
            </w:r>
            <w:r>
              <w:rPr>
                <w:rFonts w:hint="eastAsia" w:ascii="仿宋" w:hAnsi="仿宋" w:eastAsia="仿宋" w:cs="仿宋"/>
                <w:sz w:val="24"/>
                <w:szCs w:val="24"/>
                <w:highlight w:val="none"/>
              </w:rPr>
              <w:t>地点：采购方指定地点。</w:t>
            </w:r>
            <w:r>
              <w:rPr>
                <w:rFonts w:hint="eastAsia" w:ascii="仿宋" w:hAnsi="仿宋" w:eastAsia="仿宋" w:cs="仿宋"/>
                <w:sz w:val="24"/>
                <w:szCs w:val="24"/>
                <w:highlight w:val="none"/>
                <w:lang w:val="en-US" w:eastAsia="zh-CN"/>
              </w:rPr>
              <w:t>（具体以签订合同为准</w:t>
            </w:r>
            <w:r>
              <w:rPr>
                <w:rFonts w:hint="eastAsia"/>
                <w:highlight w:val="none"/>
                <w:lang w:val="en-US" w:eastAsia="zh-CN"/>
              </w:rPr>
              <w:t>）</w:t>
            </w:r>
          </w:p>
          <w:p>
            <w:pPr>
              <w:pStyle w:val="86"/>
              <w:spacing w:line="240" w:lineRule="auto"/>
              <w:rPr>
                <w:rFonts w:hint="eastAsia" w:ascii="仿宋" w:hAnsi="仿宋" w:eastAsia="仿宋" w:cs="仿宋"/>
                <w:b/>
                <w:bC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质保期</w:t>
            </w:r>
          </w:p>
        </w:tc>
        <w:tc>
          <w:tcPr>
            <w:tcW w:w="7700" w:type="dxa"/>
            <w:vAlign w:val="center"/>
          </w:tcPr>
          <w:p>
            <w:pPr>
              <w:pStyle w:val="86"/>
              <w:spacing w:line="240" w:lineRule="auto"/>
              <w:rPr>
                <w:rFonts w:hint="default"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质量要求</w:t>
            </w:r>
          </w:p>
        </w:tc>
        <w:tc>
          <w:tcPr>
            <w:tcW w:w="7700" w:type="dxa"/>
            <w:vAlign w:val="center"/>
          </w:tcPr>
          <w:p>
            <w:pPr>
              <w:pStyle w:val="86"/>
              <w:spacing w:line="240" w:lineRule="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合格，必须达行业规定标准及谈判文件中规定的标准。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14</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付款方式</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b/>
                <w:bCs/>
                <w:color w:val="auto"/>
                <w:kern w:val="2"/>
                <w:sz w:val="24"/>
                <w:szCs w:val="24"/>
                <w:highlight w:val="none"/>
                <w:lang w:val="en-US" w:eastAsia="zh-CN" w:bidi="ar-SA"/>
              </w:rPr>
              <w:t>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highlight w:val="none"/>
                <w:lang w:val="en-US" w:eastAsia="zh-CN"/>
              </w:rPr>
              <w:t>中央预算内资金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90天</w:t>
            </w:r>
            <w:r>
              <w:rPr>
                <w:rFonts w:hint="eastAsia" w:ascii="仿宋" w:hAnsi="仿宋" w:eastAsia="仿宋" w:cs="仿宋"/>
                <w:bCs/>
                <w:color w:val="auto"/>
                <w:sz w:val="24"/>
                <w:szCs w:val="24"/>
                <w:highlight w:val="none"/>
              </w:rPr>
              <w:t>（从投标截止之日算起）</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7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联合体投标</w:t>
            </w:r>
          </w:p>
        </w:tc>
        <w:tc>
          <w:tcPr>
            <w:tcW w:w="77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7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考察现场</w:t>
            </w:r>
          </w:p>
        </w:tc>
        <w:tc>
          <w:tcPr>
            <w:tcW w:w="77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17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质疑须知</w:t>
            </w:r>
          </w:p>
        </w:tc>
        <w:tc>
          <w:tcPr>
            <w:tcW w:w="7700" w:type="dxa"/>
            <w:vAlign w:val="center"/>
          </w:tcPr>
          <w:p>
            <w:pPr>
              <w:overflowPunct w:val="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接收质疑函的方式：现场递交纸质版及Word格式电子版质疑文件至接受单位或扫描PDF发送至邮箱：2330951835@qq.com。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接受质疑的单位：新疆浩诚致远项目管理咨询有限公司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联系电话：0903-2062911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地址：</w:t>
            </w:r>
            <w:r>
              <w:rPr>
                <w:rFonts w:hint="eastAsia" w:ascii="仿宋" w:hAnsi="仿宋" w:eastAsia="仿宋" w:cs="仿宋"/>
                <w:color w:val="auto"/>
                <w:sz w:val="24"/>
                <w:highlight w:val="none"/>
                <w:lang w:val="zh-CN" w:eastAsia="zh-CN"/>
              </w:rPr>
              <w:t>和田市</w:t>
            </w:r>
            <w:r>
              <w:rPr>
                <w:rFonts w:hint="eastAsia" w:ascii="仿宋" w:hAnsi="仿宋" w:eastAsia="仿宋" w:cs="仿宋"/>
                <w:color w:val="auto"/>
                <w:sz w:val="24"/>
                <w:highlight w:val="none"/>
                <w:lang w:val="en-US" w:eastAsia="zh-CN"/>
              </w:rPr>
              <w:t>肖尔巴格乡库木巴格村1098号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注：应商认为采购文件、采购过程、中标或者成交结果使自己的权益受到损害的，可以根据中华人民共和国财政部令第94号中第十条，以书面形式向采购人、采购代理机构一次性针对同一采购程序环节提出质疑。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谈判文件发放</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供应商登陆政采云平台</w:t>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"https://www.zcygov.cn/" </w:instrText>
            </w:r>
            <w:r>
              <w:rPr>
                <w:rFonts w:hint="eastAsia" w:ascii="仿宋" w:hAnsi="仿宋" w:eastAsia="仿宋" w:cs="仿宋"/>
                <w:b/>
                <w:bCs/>
                <w:color w:val="auto"/>
                <w:sz w:val="24"/>
                <w:szCs w:val="24"/>
                <w:highlight w:val="none"/>
              </w:rPr>
              <w:fldChar w:fldCharType="separate"/>
            </w:r>
            <w:r>
              <w:rPr>
                <w:rStyle w:val="50"/>
                <w:rFonts w:hint="eastAsia" w:ascii="仿宋" w:hAnsi="仿宋" w:eastAsia="仿宋" w:cs="仿宋"/>
                <w:b/>
                <w:bCs/>
                <w:color w:val="auto"/>
                <w:sz w:val="24"/>
                <w:szCs w:val="24"/>
                <w:highlight w:val="none"/>
              </w:rPr>
              <w:t>https://www.zcygov.cn/</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构成</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的其他文件</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val="0"/>
                <w:color w:val="auto"/>
                <w:sz w:val="24"/>
                <w:szCs w:val="24"/>
                <w:highlight w:val="none"/>
                <w:u w:val="none"/>
                <w:lang w:val="en-US" w:eastAsia="zh-CN"/>
              </w:rPr>
            </w:pPr>
            <w:r>
              <w:rPr>
                <w:rFonts w:hint="eastAsia" w:ascii="仿宋" w:hAnsi="仿宋" w:eastAsia="仿宋" w:cs="仿宋"/>
                <w:bCs/>
                <w:color w:val="auto"/>
                <w:sz w:val="24"/>
                <w:szCs w:val="24"/>
                <w:highlight w:val="none"/>
                <w:lang w:eastAsia="zh-CN"/>
              </w:rPr>
              <w:t>谈判文件</w:t>
            </w:r>
            <w:r>
              <w:rPr>
                <w:rFonts w:hint="eastAsia" w:ascii="仿宋" w:hAnsi="仿宋" w:eastAsia="仿宋" w:cs="仿宋"/>
                <w:bCs/>
                <w:color w:val="auto"/>
                <w:sz w:val="24"/>
                <w:szCs w:val="24"/>
                <w:highlight w:val="none"/>
              </w:rPr>
              <w:t>的澄清、修改书及有关补充通知为</w:t>
            </w:r>
            <w:r>
              <w:rPr>
                <w:rFonts w:hint="eastAsia" w:ascii="仿宋" w:hAnsi="仿宋" w:eastAsia="仿宋" w:cs="仿宋"/>
                <w:bCs/>
                <w:color w:val="auto"/>
                <w:sz w:val="24"/>
                <w:szCs w:val="24"/>
                <w:highlight w:val="none"/>
                <w:lang w:eastAsia="zh-CN"/>
              </w:rPr>
              <w:t>谈判文件</w:t>
            </w:r>
            <w:r>
              <w:rPr>
                <w:rFonts w:hint="eastAsia" w:ascii="仿宋" w:hAnsi="仿宋" w:eastAsia="仿宋" w:cs="仿宋"/>
                <w:bCs/>
                <w:color w:val="auto"/>
                <w:sz w:val="24"/>
                <w:szCs w:val="24"/>
                <w:highlight w:val="none"/>
              </w:rPr>
              <w:t>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22</w:t>
            </w: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投标截止时间</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i w:val="0"/>
                <w:caps w:val="0"/>
                <w:color w:val="auto"/>
                <w:spacing w:val="0"/>
                <w:sz w:val="24"/>
                <w:szCs w:val="24"/>
                <w:highlight w:val="none"/>
                <w:shd w:val="clear" w:color="auto" w:fill="FFFFFF"/>
                <w:lang w:val="en-US" w:eastAsia="zh-CN"/>
              </w:rPr>
              <w:t>2023年9月28日 11:00</w:t>
            </w:r>
            <w:r>
              <w:rPr>
                <w:rFonts w:hint="eastAsia" w:ascii="仿宋" w:hAnsi="仿宋" w:eastAsia="仿宋" w:cs="仿宋"/>
                <w:b w:val="0"/>
                <w:bCs/>
                <w:color w:val="auto"/>
                <w:sz w:val="24"/>
                <w:szCs w:val="24"/>
                <w:highlight w:val="none"/>
                <w:u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23</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递交投标文件的地点</w:t>
            </w:r>
            <w:r>
              <w:rPr>
                <w:rFonts w:hint="eastAsia" w:ascii="仿宋" w:hAnsi="仿宋" w:eastAsia="仿宋" w:cs="仿宋"/>
                <w:color w:val="auto"/>
                <w:sz w:val="24"/>
                <w:highlight w:val="none"/>
                <w:lang w:eastAsia="zh-CN"/>
              </w:rPr>
              <w:t>及方式</w:t>
            </w:r>
          </w:p>
        </w:tc>
        <w:tc>
          <w:tcPr>
            <w:tcW w:w="77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投标人应于2023年9月28日 11:00时整之前将电子投标文件上传到“政采云”平台。应按照本项目谈判文件和政采云平台的要求编制、加密传输投标文件。供应商在使用系统进行投标的过程中遇到涉及平台使用的任何问题，可致电政采云平台技术支持热线咨询，联系方式：400-881-7190。</w:t>
            </w:r>
          </w:p>
          <w:p>
            <w:pPr>
              <w:keepNext w:val="0"/>
              <w:keepLines w:val="0"/>
              <w:widowControl/>
              <w:suppressLineNumbers w:val="0"/>
              <w:jc w:val="left"/>
              <w:rPr>
                <w:rFonts w:hint="eastAsia" w:ascii="仿宋" w:hAnsi="仿宋" w:eastAsia="仿宋" w:cs="仿宋"/>
                <w:highlight w:val="none"/>
                <w:lang w:val="en-US" w:eastAsia="zh-CN"/>
              </w:rPr>
            </w:pPr>
            <w:r>
              <w:rPr>
                <w:rFonts w:hint="eastAsia" w:ascii="仿宋" w:hAnsi="仿宋" w:eastAsia="仿宋" w:cs="仿宋"/>
                <w:b/>
                <w:bCs/>
                <w:color w:val="000000"/>
                <w:kern w:val="0"/>
                <w:sz w:val="25"/>
                <w:szCs w:val="25"/>
                <w:highlight w:val="none"/>
                <w:lang w:val="en-US" w:eastAsia="zh-CN" w:bidi="ar"/>
              </w:rPr>
              <w:t>开标结束后 5 日内，将投标文件纸质版递交至招标代理处。未递交产生的后果由投标人自行承担。（纸质版投标文件由系统生成打印，无需区分正副本，无需加盖公章）纸质版投标文件3份、电子版光盘 2份、U 盘 1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投标</w:t>
            </w:r>
            <w:r>
              <w:rPr>
                <w:rFonts w:hint="eastAsia" w:ascii="仿宋" w:hAnsi="仿宋" w:eastAsia="仿宋" w:cs="仿宋"/>
                <w:b/>
                <w:bCs w:val="0"/>
                <w:color w:val="auto"/>
                <w:sz w:val="24"/>
                <w:szCs w:val="24"/>
                <w:highlight w:val="none"/>
              </w:rPr>
              <w:t>文件</w:t>
            </w:r>
            <w:r>
              <w:rPr>
                <w:rFonts w:hint="eastAsia" w:ascii="仿宋" w:hAnsi="仿宋" w:eastAsia="仿宋" w:cs="仿宋"/>
                <w:b/>
                <w:bCs w:val="0"/>
                <w:color w:val="auto"/>
                <w:sz w:val="24"/>
                <w:szCs w:val="24"/>
                <w:highlight w:val="none"/>
                <w:lang w:eastAsia="zh-CN"/>
              </w:rPr>
              <w:t>解密时间</w:t>
            </w:r>
          </w:p>
        </w:tc>
        <w:tc>
          <w:tcPr>
            <w:tcW w:w="7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开标方式：不见面电子开标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开标时间后</w:t>
            </w:r>
            <w:r>
              <w:rPr>
                <w:rFonts w:hint="eastAsia" w:ascii="仿宋" w:hAnsi="仿宋" w:eastAsia="仿宋" w:cs="仿宋"/>
                <w:b/>
                <w:bCs w:val="0"/>
                <w:color w:val="auto"/>
                <w:sz w:val="24"/>
                <w:szCs w:val="24"/>
                <w:highlight w:val="none"/>
                <w:lang w:val="en-US" w:eastAsia="zh-CN"/>
              </w:rPr>
              <w:t>30分钟</w:t>
            </w:r>
            <w:r>
              <w:rPr>
                <w:rFonts w:hint="eastAsia" w:ascii="仿宋" w:hAnsi="仿宋" w:eastAsia="仿宋" w:cs="仿宋"/>
                <w:b/>
                <w:bCs w:val="0"/>
                <w:color w:val="auto"/>
                <w:sz w:val="24"/>
                <w:szCs w:val="24"/>
                <w:highlight w:val="none"/>
              </w:rPr>
              <w:t>内（</w:t>
            </w:r>
            <w:r>
              <w:rPr>
                <w:rFonts w:hint="eastAsia" w:ascii="仿宋" w:hAnsi="仿宋" w:eastAsia="仿宋" w:cs="仿宋"/>
                <w:b/>
                <w:bCs w:val="0"/>
                <w:color w:val="auto"/>
                <w:sz w:val="24"/>
                <w:szCs w:val="24"/>
                <w:highlight w:val="none"/>
                <w:lang w:eastAsia="zh-CN"/>
              </w:rPr>
              <w:t>2023年9月28日上</w:t>
            </w:r>
            <w:r>
              <w:rPr>
                <w:rFonts w:hint="eastAsia" w:ascii="仿宋" w:hAnsi="仿宋" w:eastAsia="仿宋" w:cs="仿宋"/>
                <w:b/>
                <w:bCs w:val="0"/>
                <w:color w:val="auto"/>
                <w:sz w:val="24"/>
                <w:szCs w:val="24"/>
                <w:highlight w:val="none"/>
              </w:rPr>
              <w:t>午</w:t>
            </w:r>
            <w:r>
              <w:rPr>
                <w:rFonts w:hint="eastAsia" w:ascii="仿宋" w:hAnsi="仿宋" w:eastAsia="仿宋" w:cs="仿宋"/>
                <w:b/>
                <w:bCs w:val="0"/>
                <w:color w:val="auto"/>
                <w:sz w:val="24"/>
                <w:szCs w:val="24"/>
                <w:highlight w:val="none"/>
                <w:lang w:val="en-US" w:eastAsia="zh-CN"/>
              </w:rPr>
              <w:t>11</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00-11：30</w:t>
            </w:r>
            <w:r>
              <w:rPr>
                <w:rFonts w:hint="eastAsia" w:ascii="仿宋" w:hAnsi="仿宋" w:eastAsia="仿宋" w:cs="仿宋"/>
                <w:b/>
                <w:bCs w:val="0"/>
                <w:color w:val="auto"/>
                <w:sz w:val="24"/>
                <w:szCs w:val="24"/>
                <w:highlight w:val="none"/>
              </w:rPr>
              <w:t>前）供应商可以登录“政采云”平台，用“项目采购-开标评标”功能进行解密投标文件。若供应商在规定时间内（</w:t>
            </w:r>
            <w:r>
              <w:rPr>
                <w:rFonts w:hint="eastAsia" w:ascii="仿宋" w:hAnsi="仿宋" w:eastAsia="仿宋" w:cs="仿宋"/>
                <w:b/>
                <w:bCs w:val="0"/>
                <w:color w:val="auto"/>
                <w:sz w:val="24"/>
                <w:szCs w:val="24"/>
                <w:highlight w:val="none"/>
                <w:lang w:eastAsia="zh-CN"/>
              </w:rPr>
              <w:t>202</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lang w:eastAsia="zh-CN"/>
              </w:rPr>
              <w:t xml:space="preserve">年 </w:t>
            </w:r>
            <w:r>
              <w:rPr>
                <w:rFonts w:hint="eastAsia" w:ascii="仿宋" w:hAnsi="仿宋" w:eastAsia="仿宋" w:cs="仿宋"/>
                <w:b/>
                <w:bCs w:val="0"/>
                <w:color w:val="auto"/>
                <w:sz w:val="24"/>
                <w:szCs w:val="24"/>
                <w:highlight w:val="none"/>
                <w:lang w:val="en-US" w:eastAsia="zh-CN"/>
              </w:rPr>
              <w:t>9月28日</w:t>
            </w:r>
            <w:r>
              <w:rPr>
                <w:rFonts w:hint="eastAsia" w:ascii="仿宋" w:hAnsi="仿宋" w:eastAsia="仿宋" w:cs="仿宋"/>
                <w:b/>
                <w:bCs w:val="0"/>
                <w:color w:val="auto"/>
                <w:sz w:val="24"/>
                <w:szCs w:val="24"/>
                <w:highlight w:val="none"/>
                <w:lang w:eastAsia="zh-CN"/>
              </w:rPr>
              <w:t>上</w:t>
            </w:r>
            <w:r>
              <w:rPr>
                <w:rFonts w:hint="eastAsia" w:ascii="仿宋" w:hAnsi="仿宋" w:eastAsia="仿宋" w:cs="仿宋"/>
                <w:b/>
                <w:bCs w:val="0"/>
                <w:color w:val="auto"/>
                <w:sz w:val="24"/>
                <w:szCs w:val="24"/>
                <w:highlight w:val="none"/>
              </w:rPr>
              <w:t>午</w:t>
            </w:r>
            <w:r>
              <w:rPr>
                <w:rFonts w:hint="eastAsia" w:ascii="仿宋" w:hAnsi="仿宋" w:eastAsia="仿宋" w:cs="仿宋"/>
                <w:b/>
                <w:bCs w:val="0"/>
                <w:color w:val="auto"/>
                <w:sz w:val="24"/>
                <w:szCs w:val="24"/>
                <w:highlight w:val="none"/>
                <w:lang w:val="en-US" w:eastAsia="zh-CN"/>
              </w:rPr>
              <w:t>11</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30</w:t>
            </w:r>
            <w:r>
              <w:rPr>
                <w:rFonts w:hint="eastAsia" w:ascii="仿宋" w:hAnsi="仿宋" w:eastAsia="仿宋" w:cs="仿宋"/>
                <w:b/>
                <w:bCs w:val="0"/>
                <w:color w:val="auto"/>
                <w:sz w:val="24"/>
                <w:szCs w:val="24"/>
                <w:highlight w:val="none"/>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723" w:type="dxa"/>
            <w:vAlign w:val="center"/>
          </w:tcPr>
          <w:p>
            <w:pPr>
              <w:keepNext w:val="0"/>
              <w:keepLines w:val="0"/>
              <w:widowControl/>
              <w:suppressLineNumbers w:val="0"/>
              <w:spacing w:line="240" w:lineRule="auto"/>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color w:val="auto"/>
                <w:kern w:val="0"/>
                <w:sz w:val="24"/>
                <w:szCs w:val="24"/>
                <w:highlight w:val="none"/>
                <w:lang w:val="en-US" w:eastAsia="zh-CN" w:bidi="ar"/>
              </w:rPr>
              <w:t>评标委员会的组成</w:t>
            </w:r>
          </w:p>
        </w:tc>
        <w:tc>
          <w:tcPr>
            <w:tcW w:w="7700" w:type="dxa"/>
            <w:vAlign w:val="center"/>
          </w:tcPr>
          <w:p>
            <w:pPr>
              <w:keepNext w:val="0"/>
              <w:keepLines w:val="0"/>
              <w:widowControl/>
              <w:suppressLineNumbers w:val="0"/>
              <w:spacing w:line="240" w:lineRule="auto"/>
              <w:jc w:val="left"/>
              <w:rPr>
                <w:rFonts w:hint="eastAsia" w:ascii="仿宋" w:hAnsi="仿宋" w:eastAsia="仿宋" w:cs="仿宋"/>
                <w:b/>
                <w:bCs w:val="0"/>
                <w:color w:val="auto"/>
                <w:sz w:val="24"/>
                <w:szCs w:val="24"/>
                <w:highlight w:val="none"/>
              </w:rPr>
            </w:pPr>
            <w:r>
              <w:rPr>
                <w:rFonts w:hint="eastAsia" w:ascii="仿宋" w:hAnsi="仿宋" w:eastAsia="仿宋" w:cs="仿宋"/>
                <w:color w:val="auto"/>
                <w:kern w:val="0"/>
                <w:sz w:val="24"/>
                <w:szCs w:val="24"/>
                <w:highlight w:val="none"/>
                <w:lang w:val="en-US" w:eastAsia="zh-CN" w:bidi="ar"/>
              </w:rPr>
              <w:t>评标委员会构成：3人组成，</w:t>
            </w:r>
            <w:r>
              <w:rPr>
                <w:rFonts w:hint="eastAsia" w:ascii="仿宋" w:hAnsi="仿宋" w:eastAsia="仿宋" w:cs="仿宋"/>
                <w:bCs/>
                <w:color w:val="auto"/>
                <w:kern w:val="2"/>
                <w:sz w:val="24"/>
                <w:szCs w:val="24"/>
                <w:highlight w:val="none"/>
                <w:lang w:val="en-US" w:eastAsia="zh-CN" w:bidi="ar-SA"/>
              </w:rPr>
              <w:t>其中采购人代表1人和专家评委2人</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bCs/>
                <w:color w:val="auto"/>
                <w:sz w:val="24"/>
                <w:highlight w:val="none"/>
              </w:rPr>
              <w:t>评标专家确定方式：由招标代理在开标前48小时在政采云专家库中随机抽取此次评标专家。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1723" w:type="dxa"/>
            <w:vAlign w:val="center"/>
          </w:tcPr>
          <w:p>
            <w:pPr>
              <w:keepNext w:val="0"/>
              <w:keepLines w:val="0"/>
              <w:widowControl/>
              <w:suppressLineNumbers w:val="0"/>
              <w:spacing w:line="240" w:lineRule="auto"/>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投标报价</w:t>
            </w:r>
          </w:p>
        </w:tc>
        <w:tc>
          <w:tcPr>
            <w:tcW w:w="7700" w:type="dxa"/>
            <w:vAlign w:val="center"/>
          </w:tcPr>
          <w:p>
            <w:pPr>
              <w:numPr>
                <w:ilvl w:val="0"/>
                <w:numId w:val="0"/>
              </w:numPr>
              <w:tabs>
                <w:tab w:val="left" w:pos="900"/>
              </w:tabs>
              <w:spacing w:before="24" w:beforeLines="10" w:after="24" w:afterLines="10" w:line="240" w:lineRule="auto"/>
              <w:ind w:firstLine="0" w:firstLineChars="0"/>
              <w:jc w:val="left"/>
              <w:rPr>
                <w:rFonts w:hint="eastAsia" w:ascii="仿宋" w:hAnsi="仿宋" w:eastAsia="仿宋" w:cs="仿宋"/>
                <w:color w:val="auto"/>
                <w:kern w:val="0"/>
                <w:sz w:val="24"/>
                <w:highlight w:val="none"/>
                <w:lang w:val="en-US" w:eastAsia="zh-CN"/>
              </w:rPr>
            </w:pPr>
            <w:r>
              <w:rPr>
                <w:rFonts w:hint="eastAsia" w:ascii="仿宋" w:hAnsi="仿宋" w:eastAsia="仿宋" w:cs="仿宋"/>
                <w:sz w:val="24"/>
                <w:highlight w:val="none"/>
              </w:rPr>
              <w:t>本次采购设置</w:t>
            </w:r>
            <w:r>
              <w:rPr>
                <w:rFonts w:hint="eastAsia" w:ascii="仿宋" w:hAnsi="仿宋" w:eastAsia="仿宋" w:cs="仿宋"/>
                <w:sz w:val="24"/>
                <w:highlight w:val="none"/>
                <w:lang w:eastAsia="zh-CN"/>
              </w:rPr>
              <w:t>单价</w:t>
            </w:r>
            <w:r>
              <w:rPr>
                <w:rFonts w:hint="eastAsia" w:ascii="仿宋" w:hAnsi="仿宋" w:eastAsia="仿宋" w:cs="仿宋"/>
                <w:sz w:val="24"/>
                <w:highlight w:val="none"/>
              </w:rPr>
              <w:t>最高限价</w:t>
            </w:r>
            <w:r>
              <w:rPr>
                <w:rFonts w:hint="eastAsia" w:ascii="仿宋" w:hAnsi="仿宋" w:eastAsia="仿宋" w:cs="仿宋"/>
                <w:sz w:val="24"/>
                <w:highlight w:val="none"/>
                <w:lang w:val="en-US" w:eastAsia="zh-CN"/>
              </w:rPr>
              <w:t>859566.00元</w:t>
            </w:r>
            <w:r>
              <w:rPr>
                <w:rFonts w:hint="eastAsia" w:ascii="仿宋" w:hAnsi="仿宋" w:eastAsia="仿宋" w:cs="仿宋"/>
                <w:sz w:val="24"/>
                <w:highlight w:val="none"/>
              </w:rPr>
              <w:t>，各供应商的报价超出此范围将作废标处理。</w:t>
            </w:r>
          </w:p>
          <w:p>
            <w:pPr>
              <w:numPr>
                <w:ilvl w:val="0"/>
                <w:numId w:val="0"/>
              </w:numPr>
              <w:tabs>
                <w:tab w:val="left" w:pos="900"/>
              </w:tabs>
              <w:spacing w:before="24" w:beforeLines="10" w:after="24" w:afterLines="10" w:line="240" w:lineRule="auto"/>
              <w:ind w:leftChars="0"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投标货币：</w:t>
            </w:r>
            <w:r>
              <w:rPr>
                <w:rFonts w:hint="eastAsia" w:ascii="仿宋" w:hAnsi="仿宋" w:eastAsia="仿宋" w:cs="仿宋"/>
                <w:color w:val="auto"/>
                <w:kern w:val="0"/>
                <w:sz w:val="24"/>
                <w:highlight w:val="none"/>
                <w:u w:val="single"/>
              </w:rPr>
              <w:t>人民币；</w:t>
            </w:r>
          </w:p>
          <w:p>
            <w:pPr>
              <w:numPr>
                <w:ilvl w:val="0"/>
                <w:numId w:val="0"/>
              </w:numPr>
              <w:tabs>
                <w:tab w:val="left" w:pos="900"/>
              </w:tabs>
              <w:spacing w:before="24" w:beforeLines="10" w:after="24" w:afterLines="10" w:line="240" w:lineRule="auto"/>
              <w:ind w:firstLine="0" w:firstLineChars="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的报价超过本项目的最高限价，按无效投标处理。</w:t>
            </w:r>
          </w:p>
          <w:p>
            <w:pPr>
              <w:numPr>
                <w:ilvl w:val="0"/>
                <w:numId w:val="0"/>
              </w:numPr>
              <w:tabs>
                <w:tab w:val="left" w:pos="900"/>
              </w:tabs>
              <w:spacing w:before="24" w:beforeLines="10" w:after="24" w:afterLines="10" w:line="240" w:lineRule="auto"/>
              <w:ind w:leftChars="0" w:firstLine="0" w:firstLineChars="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投标报价：</w:t>
            </w:r>
            <w:r>
              <w:rPr>
                <w:rFonts w:hint="eastAsia" w:ascii="仿宋" w:hAnsi="仿宋" w:eastAsia="仿宋" w:cs="仿宋"/>
                <w:color w:val="auto"/>
                <w:kern w:val="0"/>
                <w:sz w:val="24"/>
                <w:highlight w:val="none"/>
                <w:u w:val="single"/>
                <w:lang w:val="en-US" w:eastAsia="zh-CN"/>
              </w:rPr>
              <w:t>货物运输至甲方指定地点及负责运输卸货</w:t>
            </w:r>
            <w:r>
              <w:rPr>
                <w:rFonts w:hint="eastAsia" w:ascii="仿宋" w:hAnsi="仿宋" w:eastAsia="仿宋" w:cs="仿宋"/>
                <w:color w:val="auto"/>
                <w:kern w:val="0"/>
                <w:sz w:val="24"/>
                <w:highlight w:val="none"/>
                <w:u w:val="single"/>
              </w:rPr>
              <w:t>的包干总价</w:t>
            </w:r>
          </w:p>
          <w:p>
            <w:pPr>
              <w:numPr>
                <w:ilvl w:val="0"/>
                <w:numId w:val="0"/>
              </w:numPr>
              <w:tabs>
                <w:tab w:val="left" w:pos="900"/>
              </w:tabs>
              <w:spacing w:before="24" w:beforeLines="10" w:after="24" w:afterLines="10" w:line="240" w:lineRule="auto"/>
              <w:ind w:leftChars="0" w:firstLine="0" w:firstLine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投标报价应包括：</w:t>
            </w:r>
            <w:r>
              <w:rPr>
                <w:rFonts w:hint="eastAsia" w:ascii="仿宋" w:hAnsi="仿宋" w:eastAsia="仿宋" w:cs="仿宋"/>
                <w:color w:val="auto"/>
                <w:kern w:val="0"/>
                <w:sz w:val="24"/>
                <w:highlight w:val="none"/>
                <w:u w:val="single"/>
              </w:rPr>
              <w:t xml:space="preserve">有关本项目所需货物采购、包装费、运输费、 </w:t>
            </w:r>
            <w:r>
              <w:rPr>
                <w:rFonts w:hint="eastAsia" w:ascii="仿宋" w:hAnsi="仿宋" w:eastAsia="仿宋" w:cs="仿宋"/>
                <w:color w:val="auto"/>
                <w:kern w:val="0"/>
                <w:sz w:val="24"/>
                <w:highlight w:val="none"/>
                <w:u w:val="single"/>
                <w:lang w:val="en-US" w:eastAsia="zh-CN"/>
              </w:rPr>
              <w:t>卸货费</w:t>
            </w:r>
            <w:r>
              <w:rPr>
                <w:rFonts w:hint="eastAsia" w:ascii="仿宋" w:hAnsi="仿宋" w:eastAsia="仿宋" w:cs="仿宋"/>
                <w:color w:val="auto"/>
                <w:kern w:val="0"/>
                <w:sz w:val="24"/>
                <w:highlight w:val="none"/>
                <w:u w:val="single"/>
              </w:rPr>
              <w:t>、人员工资、验收、免费期维护费及售后服务、税金等。运输途中风险由中标供应商自行承担；</w:t>
            </w:r>
          </w:p>
          <w:p>
            <w:pPr>
              <w:numPr>
                <w:ilvl w:val="0"/>
                <w:numId w:val="0"/>
              </w:numPr>
              <w:tabs>
                <w:tab w:val="left" w:pos="900"/>
              </w:tabs>
              <w:spacing w:before="24" w:beforeLines="10" w:after="24" w:afterLines="10" w:line="240" w:lineRule="auto"/>
              <w:ind w:leftChars="0" w:firstLine="0" w:firstLine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投标货币：</w:t>
            </w:r>
            <w:r>
              <w:rPr>
                <w:rFonts w:hint="eastAsia" w:ascii="仿宋" w:hAnsi="仿宋" w:eastAsia="仿宋" w:cs="仿宋"/>
                <w:color w:val="auto"/>
                <w:kern w:val="0"/>
                <w:sz w:val="24"/>
                <w:highlight w:val="none"/>
                <w:u w:val="single"/>
              </w:rPr>
              <w:t>人民币；</w:t>
            </w:r>
          </w:p>
          <w:p>
            <w:pPr>
              <w:numPr>
                <w:ilvl w:val="0"/>
                <w:numId w:val="0"/>
              </w:numPr>
              <w:tabs>
                <w:tab w:val="left" w:pos="900"/>
              </w:tabs>
              <w:spacing w:before="24" w:beforeLines="10" w:after="24" w:afterLines="10" w:line="24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的报价超过本项目的最高限价，按无效投标处理。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27</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本项目评标办法</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28</w:t>
            </w:r>
          </w:p>
        </w:tc>
        <w:tc>
          <w:tcPr>
            <w:tcW w:w="1723" w:type="dxa"/>
            <w:vAlign w:val="center"/>
          </w:tcPr>
          <w:p>
            <w:pPr>
              <w:spacing w:line="240" w:lineRule="auto"/>
              <w:ind w:firstLine="0" w:firstLineChars="0"/>
              <w:jc w:val="lef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color w:val="auto"/>
                <w:sz w:val="24"/>
                <w:highlight w:val="none"/>
              </w:rPr>
              <w:t>低于成本价不正当竞争预防措施</w:t>
            </w:r>
          </w:p>
        </w:tc>
        <w:tc>
          <w:tcPr>
            <w:tcW w:w="7700" w:type="dxa"/>
            <w:vAlign w:val="center"/>
          </w:tcPr>
          <w:p>
            <w:pPr>
              <w:spacing w:line="240" w:lineRule="auto"/>
              <w:ind w:firstLine="480" w:firstLineChars="200"/>
              <w:jc w:val="lef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000000"/>
                <w:sz w:val="24"/>
                <w:szCs w:val="24"/>
                <w:highlight w:val="none"/>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 应商企业类型予以区别）、税金及附加、销售费用、管理费用、财务费用等成本构成事项详细陈述。 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 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29</w:t>
            </w:r>
          </w:p>
        </w:tc>
        <w:tc>
          <w:tcPr>
            <w:tcW w:w="1723" w:type="dxa"/>
            <w:vAlign w:val="center"/>
          </w:tcPr>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履约保证金</w:t>
            </w:r>
          </w:p>
        </w:tc>
        <w:tc>
          <w:tcPr>
            <w:tcW w:w="7700" w:type="dxa"/>
            <w:vAlign w:val="center"/>
          </w:tcPr>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《中华人民共和国政府采购法实施条例》第四十八条　履约保证金的数额不得超过政府采购合同金额的</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%。中标人与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签订合同前提交履约保证金，如中标人未按</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规定的工期供货，则扣除履约保证金，且三年内不得参加</w:t>
            </w:r>
            <w:r>
              <w:rPr>
                <w:rFonts w:hint="eastAsia" w:ascii="仿宋" w:hAnsi="仿宋" w:eastAsia="仿宋" w:cs="仿宋"/>
                <w:color w:val="auto"/>
                <w:sz w:val="24"/>
                <w:highlight w:val="none"/>
                <w:lang w:val="en-US" w:eastAsia="zh-CN"/>
              </w:rPr>
              <w:t>和田市</w:t>
            </w:r>
            <w:r>
              <w:rPr>
                <w:rFonts w:hint="eastAsia" w:ascii="仿宋" w:hAnsi="仿宋" w:eastAsia="仿宋" w:cs="仿宋"/>
                <w:color w:val="auto"/>
                <w:sz w:val="24"/>
                <w:highlight w:val="none"/>
              </w:rPr>
              <w:t>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30</w:t>
            </w:r>
          </w:p>
        </w:tc>
        <w:tc>
          <w:tcPr>
            <w:tcW w:w="1723" w:type="dxa"/>
            <w:vAlign w:val="center"/>
          </w:tcPr>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履行合同</w:t>
            </w:r>
          </w:p>
        </w:tc>
        <w:tc>
          <w:tcPr>
            <w:tcW w:w="7700" w:type="dxa"/>
            <w:vAlign w:val="center"/>
          </w:tcPr>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具体以双方合同签订为准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1723" w:type="dxa"/>
            <w:vAlign w:val="center"/>
          </w:tcPr>
          <w:p>
            <w:pPr>
              <w:spacing w:line="240" w:lineRule="auto"/>
              <w:ind w:firstLine="0" w:firstLineChars="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利害关系代理人处理</w:t>
            </w:r>
          </w:p>
        </w:tc>
        <w:tc>
          <w:tcPr>
            <w:tcW w:w="7700" w:type="dxa"/>
            <w:vAlign w:val="center"/>
          </w:tcPr>
          <w:p>
            <w:pPr>
              <w:spacing w:line="240" w:lineRule="auto"/>
              <w:ind w:firstLine="0" w:firstLineChars="0"/>
              <w:jc w:val="both"/>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2家以上的供应商不得在同一合同项下的采购项目中，同时委托同一个自然人、同一家庭的人员、同一单位的人员作为其代理人，否则，其投标文件作为无效处理。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w:t>
            </w:r>
          </w:p>
        </w:tc>
        <w:tc>
          <w:tcPr>
            <w:tcW w:w="1723" w:type="dxa"/>
            <w:vAlign w:val="center"/>
          </w:tcPr>
          <w:p>
            <w:pPr>
              <w:spacing w:line="240" w:lineRule="auto"/>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szCs w:val="22"/>
                <w:highlight w:val="none"/>
              </w:rPr>
              <w:t>政府采购政策支持</w:t>
            </w:r>
          </w:p>
        </w:tc>
        <w:tc>
          <w:tcPr>
            <w:tcW w:w="7700" w:type="dxa"/>
            <w:vAlign w:val="center"/>
          </w:tcPr>
          <w:p>
            <w:pPr>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(1)根据财政部、工业和信息化部关于印发 《政府采购促进中小企业发展暂行办法》的通知(财库[2022]19 号)规定执行； </w:t>
            </w:r>
          </w:p>
          <w:p>
            <w:pPr>
              <w:spacing w:line="240" w:lineRule="auto"/>
              <w:ind w:left="480" w:hanging="480" w:hangingChars="20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(2)1.本项目预留金额100%专门面向中小企业的采购项目。</w:t>
            </w:r>
          </w:p>
          <w:p>
            <w:pPr>
              <w:spacing w:line="240" w:lineRule="auto"/>
              <w:ind w:left="479" w:leftChars="228" w:firstLine="0" w:firstLine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2.本项目中小企业划分标准为：农、林、牧、渔业。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7"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w:t>
            </w:r>
          </w:p>
        </w:tc>
        <w:tc>
          <w:tcPr>
            <w:tcW w:w="1723" w:type="dxa"/>
            <w:vAlign w:val="center"/>
          </w:tcPr>
          <w:p>
            <w:pPr>
              <w:spacing w:line="240" w:lineRule="auto"/>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其他说明</w:t>
            </w:r>
          </w:p>
        </w:tc>
        <w:tc>
          <w:tcPr>
            <w:tcW w:w="7700" w:type="dxa"/>
            <w:vAlign w:val="center"/>
          </w:tcPr>
          <w:p>
            <w:pPr>
              <w:spacing w:line="240" w:lineRule="auto"/>
              <w:ind w:firstLine="0" w:firstLineChars="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特别提醒：</w:t>
            </w:r>
          </w:p>
          <w:p>
            <w:pPr>
              <w:spacing w:line="240" w:lineRule="auto"/>
              <w:ind w:firstLine="0" w:firstLineChars="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1、所有供应商的报价高于采购预算额度视为无效报价（即作否决投标处理）。</w:t>
            </w:r>
          </w:p>
          <w:p>
            <w:pPr>
              <w:spacing w:line="240" w:lineRule="auto"/>
              <w:ind w:firstLine="0" w:firstLineChars="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2、为保证本项目服务质量，良好的售后服务；最低报价不作为中标的唯一依据。</w:t>
            </w:r>
          </w:p>
          <w:p>
            <w:pPr>
              <w:spacing w:line="240" w:lineRule="auto"/>
              <w:ind w:firstLine="0" w:firstLineChars="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相同品牌产品且通过资格审查、符合性审查的不同供应商参加同一合同项下投标的，按一家供应商计算，评审后报价最低的同品牌供应商获得中标人推荐资格；报价相同的，按照随机抽取方式确定一个供应商获得中标人推荐资格，其他同品牌供应商不作为中标候选人。</w:t>
            </w:r>
          </w:p>
          <w:p>
            <w:pPr>
              <w:spacing w:line="240" w:lineRule="auto"/>
              <w:ind w:firstLine="0" w:firstLineChars="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所有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spacing w:line="24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5、更正补充公告请自行登录新疆政府采购网查看下载。</w:t>
            </w:r>
          </w:p>
          <w:p>
            <w:pPr>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6、谈判文件中部分加“*”、“★”、加粗、加下划线为招标的实质性要求和条件，着重提醒各投标人注意，并认真查看谈判文件中的每一个条款及要求，因误读谈判文件而造成的后果，招标人概不负责。</w:t>
            </w:r>
          </w:p>
          <w:p>
            <w:pPr>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投标文件中有弄虚作假的内容，其投标文件作废。（如假证书、假业绩、隐瞒不良行为记录、夸大荣誉、使用非本单位在职员工的相关证件及不符合谈判文件规定的条款等）；在签订合同之前，投标人如发现投标人的投标文件有弄虚作假内容，招标人可拒绝与其签订合同。并将其列入政府采购黑名单库。</w:t>
            </w:r>
          </w:p>
          <w:p>
            <w:pPr>
              <w:pStyle w:val="19"/>
              <w:spacing w:line="240" w:lineRule="auto"/>
              <w:rPr>
                <w:rFonts w:hint="eastAsia" w:ascii="仿宋" w:hAnsi="仿宋" w:eastAsia="仿宋" w:cs="仿宋"/>
                <w:color w:val="auto"/>
                <w:highlight w:val="none"/>
                <w:lang w:val="en-US" w:eastAsia="zh-CN"/>
              </w:rPr>
            </w:pPr>
            <w:r>
              <w:rPr>
                <w:rFonts w:hint="eastAsia" w:ascii="仿宋" w:hAnsi="仿宋" w:eastAsia="仿宋" w:cs="仿宋"/>
                <w:bCs/>
                <w:color w:val="auto"/>
                <w:kern w:val="2"/>
                <w:sz w:val="24"/>
                <w:szCs w:val="24"/>
                <w:highlight w:val="none"/>
                <w:lang w:val="en-US" w:eastAsia="zh-CN" w:bidi="ar-SA"/>
              </w:rPr>
              <w:t>8、</w:t>
            </w:r>
            <w:r>
              <w:rPr>
                <w:rFonts w:hint="eastAsia" w:ascii="仿宋" w:hAnsi="仿宋" w:eastAsia="仿宋" w:cs="仿宋"/>
                <w:b/>
                <w:bCs/>
                <w:color w:val="auto"/>
                <w:sz w:val="24"/>
                <w:szCs w:val="24"/>
                <w:highlight w:val="none"/>
                <w:lang w:val="en-US" w:eastAsia="zh-CN"/>
              </w:rPr>
              <w:t>投标供应商制作投标文件的CA锁必须和开标解密的CA锁为同一把锁，在解密过程中因为CA锁不同而导致解密失败的，由投标供应商自行承担。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w:t>
            </w:r>
          </w:p>
        </w:tc>
        <w:tc>
          <w:tcPr>
            <w:tcW w:w="1723" w:type="dxa"/>
            <w:vAlign w:val="center"/>
          </w:tcPr>
          <w:p>
            <w:pPr>
              <w:spacing w:line="240" w:lineRule="auto"/>
              <w:ind w:firstLine="0" w:firstLineChars="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招标代理服务费</w:t>
            </w:r>
          </w:p>
        </w:tc>
        <w:tc>
          <w:tcPr>
            <w:tcW w:w="7700" w:type="dxa"/>
            <w:vAlign w:val="center"/>
          </w:tcPr>
          <w:p>
            <w:pPr>
              <w:spacing w:line="240" w:lineRule="auto"/>
              <w:ind w:firstLine="0" w:firstLineChars="0"/>
              <w:rPr>
                <w:rFonts w:hint="eastAsia" w:ascii="仿宋" w:hAnsi="仿宋" w:eastAsia="仿宋" w:cs="仿宋"/>
                <w:color w:val="auto"/>
                <w:kern w:val="2"/>
                <w:sz w:val="24"/>
                <w:highlight w:val="none"/>
                <w:lang w:val="en-US" w:eastAsia="zh-CN" w:bidi="ar-SA"/>
              </w:rPr>
            </w:pPr>
            <w:r>
              <w:rPr>
                <w:rFonts w:hint="eastAsia" w:ascii="仿宋" w:hAnsi="仿宋" w:eastAsia="仿宋" w:cs="仿宋"/>
                <w:b/>
                <w:bCs/>
                <w:color w:val="auto"/>
                <w:sz w:val="24"/>
                <w:highlight w:val="none"/>
                <w:lang w:val="zh-CN" w:eastAsia="zh-CN"/>
              </w:rPr>
              <w:t>招标代理服务费由成交供应商支付。成交供应商在收到成交通知书前，须向新疆浩诚致远项目管理咨询有限公司支付采购代理费。收费标准：参考计价格[2002]1980号文件标准（100 万以下按 1.5%计取、100万-500 万按 1.1%）计取。敬请供应商注意！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261" w:type="dxa"/>
            <w:gridSpan w:val="3"/>
            <w:vAlign w:val="center"/>
          </w:tcPr>
          <w:p>
            <w:pPr>
              <w:pStyle w:val="88"/>
              <w:spacing w:line="24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备注：</w:t>
            </w:r>
            <w:r>
              <w:rPr>
                <w:rFonts w:hint="eastAsia" w:ascii="仿宋" w:hAnsi="仿宋" w:eastAsia="仿宋" w:cs="仿宋"/>
                <w:color w:val="auto"/>
                <w:kern w:val="0"/>
                <w:sz w:val="24"/>
                <w:szCs w:val="24"/>
                <w:highlight w:val="none"/>
                <w:lang w:val="en-US" w:eastAsia="zh-CN" w:bidi="ar-SA"/>
              </w:rPr>
              <w:t>（1）如本《投标须知前附表》相关内容与谈判文件中的相关内容如有不一致处，则以本《投标须知前附表》相关内容为准。</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（2）谈判文件中废标、无效标、投标被拒绝字样的条款，为招标的实质性要求和条件，着重提醒各供应商注意，并认真查看谈判文件中的每一个条款及要求，因误读谈判文件而造成的后果，采购人概不负责。</w:t>
            </w:r>
          </w:p>
        </w:tc>
      </w:tr>
    </w:tbl>
    <w:p>
      <w:pPr>
        <w:spacing w:line="360" w:lineRule="auto"/>
        <w:jc w:val="center"/>
        <w:outlineLvl w:val="9"/>
        <w:rPr>
          <w:rFonts w:hint="eastAsia" w:ascii="仿宋" w:hAnsi="仿宋" w:eastAsia="仿宋" w:cs="仿宋"/>
          <w:b/>
          <w:color w:val="auto"/>
          <w:sz w:val="28"/>
          <w:szCs w:val="28"/>
          <w:highlight w:val="none"/>
        </w:rPr>
      </w:pPr>
      <w:bookmarkStart w:id="24" w:name="_Toc3877"/>
    </w:p>
    <w:p>
      <w:pPr>
        <w:rPr>
          <w:rFonts w:hint="eastAsia" w:ascii="仿宋" w:hAnsi="仿宋" w:eastAsia="仿宋" w:cs="仿宋"/>
          <w:color w:val="auto"/>
          <w:highlight w:val="none"/>
        </w:rPr>
      </w:pPr>
      <w:bookmarkStart w:id="25" w:name="_Toc3745"/>
      <w:bookmarkStart w:id="26" w:name="_Toc27167"/>
      <w:bookmarkStart w:id="27" w:name="_Toc31564"/>
      <w:bookmarkStart w:id="28" w:name="_Toc27509"/>
      <w:bookmarkStart w:id="29" w:name="_Toc22081"/>
      <w:bookmarkStart w:id="30" w:name="_Toc32496"/>
      <w:bookmarkStart w:id="31" w:name="_Toc17755"/>
      <w:bookmarkStart w:id="32" w:name="_Toc24863"/>
      <w:r>
        <w:rPr>
          <w:rFonts w:hint="eastAsia" w:ascii="仿宋" w:hAnsi="仿宋" w:eastAsia="仿宋" w:cs="仿宋"/>
          <w:color w:val="auto"/>
          <w:highlight w:val="none"/>
        </w:rPr>
        <w:br w:type="page"/>
      </w:r>
    </w:p>
    <w:bookmarkEnd w:id="24"/>
    <w:bookmarkEnd w:id="25"/>
    <w:bookmarkEnd w:id="26"/>
    <w:bookmarkEnd w:id="27"/>
    <w:bookmarkEnd w:id="28"/>
    <w:bookmarkEnd w:id="29"/>
    <w:bookmarkEnd w:id="30"/>
    <w:bookmarkEnd w:id="31"/>
    <w:bookmarkEnd w:id="32"/>
    <w:p>
      <w:pPr>
        <w:keepNext/>
        <w:keepLines/>
        <w:adjustRightInd w:val="0"/>
        <w:snapToGrid w:val="0"/>
        <w:spacing w:before="100" w:beforeAutospacing="1" w:after="100" w:afterAutospacing="1" w:line="400" w:lineRule="atLeast"/>
        <w:jc w:val="center"/>
        <w:outlineLvl w:val="1"/>
        <w:rPr>
          <w:rFonts w:hint="eastAsia" w:ascii="宋体" w:hAnsi="宋体" w:eastAsia="宋体" w:cs="宋体"/>
          <w:b/>
          <w:bCs/>
          <w:kern w:val="0"/>
          <w:sz w:val="24"/>
          <w:szCs w:val="24"/>
          <w:highlight w:val="none"/>
        </w:rPr>
      </w:pPr>
      <w:bookmarkStart w:id="33" w:name="_Toc13351"/>
      <w:bookmarkStart w:id="34" w:name="_Toc2805"/>
      <w:r>
        <w:rPr>
          <w:rFonts w:hint="eastAsia" w:ascii="宋体" w:hAnsi="宋体" w:eastAsia="宋体" w:cs="宋体"/>
          <w:b/>
          <w:bCs/>
          <w:kern w:val="0"/>
          <w:sz w:val="24"/>
          <w:szCs w:val="24"/>
          <w:highlight w:val="none"/>
        </w:rPr>
        <w:t>A  说　明</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 适用范围</w:t>
      </w:r>
    </w:p>
    <w:p>
      <w:pPr>
        <w:numPr>
          <w:ilvl w:val="1"/>
          <w:numId w:val="4"/>
        </w:num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本采购文件仅适用于本次采购中所叙述项目的货物采购。</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2．定义</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2.1 “采购代理机构”系指</w:t>
      </w:r>
      <w:r>
        <w:rPr>
          <w:rFonts w:hint="eastAsia" w:ascii="宋体" w:hAnsi="宋体" w:eastAsia="宋体" w:cs="宋体"/>
          <w:sz w:val="24"/>
          <w:szCs w:val="24"/>
          <w:highlight w:val="none"/>
          <w:lang w:eastAsia="zh-CN"/>
        </w:rPr>
        <w:t>新疆浩诚致远项目管理咨询有限公司</w:t>
      </w:r>
      <w:r>
        <w:rPr>
          <w:rFonts w:hint="eastAsia" w:ascii="宋体" w:hAnsi="宋体" w:eastAsia="宋体" w:cs="宋体"/>
          <w:sz w:val="24"/>
          <w:szCs w:val="24"/>
          <w:highlight w:val="none"/>
        </w:rPr>
        <w:t>；</w:t>
      </w:r>
    </w:p>
    <w:p>
      <w:pPr>
        <w:spacing w:line="400" w:lineRule="atLeast"/>
        <w:ind w:left="48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2.2 “买方”系指</w:t>
      </w:r>
      <w:r>
        <w:rPr>
          <w:rFonts w:hint="eastAsia" w:ascii="宋体" w:hAnsi="宋体" w:eastAsia="宋体" w:cs="宋体"/>
          <w:kern w:val="0"/>
          <w:sz w:val="24"/>
          <w:szCs w:val="24"/>
          <w:highlight w:val="none"/>
          <w:lang w:eastAsia="zh-CN"/>
        </w:rPr>
        <w:t>和田市林业和草原局</w:t>
      </w:r>
      <w:r>
        <w:rPr>
          <w:rFonts w:hint="eastAsia" w:ascii="宋体" w:hAnsi="宋体" w:eastAsia="宋体" w:cs="宋体"/>
          <w:sz w:val="24"/>
          <w:szCs w:val="24"/>
          <w:highlight w:val="none"/>
        </w:rPr>
        <w:t>；</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2.3 “供应商”系指向采购代理机构提交采购响应文件的服务供应商；</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2.4 “中标方”系指在本次采购中中标，将被授予合同的服务供应商，即成为“中标方”。</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3．合格的供应商</w:t>
      </w:r>
    </w:p>
    <w:p>
      <w:pPr>
        <w:spacing w:line="400" w:lineRule="atLeast"/>
        <w:ind w:left="48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3.1 有能力提供采购文件中所要求的服务、资格审查合格的服务供应商；</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3.2 供应商必须遵守有关的国内法律和规章条例。</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4．供应商资格</w:t>
      </w:r>
    </w:p>
    <w:p>
      <w:pPr>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4.1、符合政府采购法第22条规定；本项目的特定资格要求：</w:t>
      </w:r>
    </w:p>
    <w:p>
      <w:pPr>
        <w:spacing w:line="400" w:lineRule="atLeas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（1）投标单位应提供营业执照、组织机构代码证、税务登记证（原件）(或三证合一营业执照副本)；</w:t>
      </w:r>
    </w:p>
    <w:p>
      <w:pPr>
        <w:spacing w:line="400" w:lineRule="atLeas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（2）法定代表人的需携带法定代表人证明书（原件）及法定代表人身份证（原件），委托代理人需携带法定代表人授权委托书（原件）及委托代理人身份证（原件）；</w:t>
      </w:r>
    </w:p>
    <w:p>
      <w:pPr>
        <w:spacing w:line="400" w:lineRule="atLeas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（3）提供法定代表人或授权委托人（近3个月）的社保缴费凭证（新成立时间少于三个月的公司，按实际发生提供）；</w:t>
      </w:r>
    </w:p>
    <w:p>
      <w:pPr>
        <w:spacing w:line="400" w:lineRule="atLeas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（4）投标单位应提供税务机关出具近期的完税证明原件(附：近三个月的完税证明；新成立不足三个月的，按实际情况发生提供)；</w:t>
      </w:r>
    </w:p>
    <w:p>
      <w:pPr>
        <w:spacing w:line="400" w:lineRule="atLeas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（5）投标单位应提供2021年度或2022年度财务审计报告原件（会计周期不满一年的公司可不提供但需提供银行出具的近三个月的资信证明原件）；</w:t>
      </w:r>
    </w:p>
    <w:p>
      <w:pPr>
        <w:spacing w:line="400" w:lineRule="atLeas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（6）拟参加的供应商需提供林业植物检疫登记证</w:t>
      </w: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林木种子生产经营许可证。</w:t>
      </w:r>
    </w:p>
    <w:p>
      <w:pPr>
        <w:spacing w:line="400" w:lineRule="atLeas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w:t>
      </w:r>
    </w:p>
    <w:p>
      <w:pPr>
        <w:spacing w:line="400" w:lineRule="atLeas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w:t>
      </w:r>
      <w:r>
        <w:rPr>
          <w:rFonts w:hint="eastAsia" w:ascii="宋体" w:hAnsi="宋体" w:cs="宋体"/>
          <w:sz w:val="24"/>
          <w:szCs w:val="24"/>
          <w:highlight w:val="none"/>
          <w:u w:val="none"/>
          <w:lang w:val="en-US" w:eastAsia="zh-CN"/>
        </w:rPr>
        <w:t>8</w:t>
      </w:r>
      <w:r>
        <w:rPr>
          <w:rFonts w:hint="eastAsia" w:ascii="宋体" w:hAnsi="宋体" w:eastAsia="宋体" w:cs="宋体"/>
          <w:sz w:val="24"/>
          <w:szCs w:val="24"/>
          <w:highlight w:val="none"/>
          <w:u w:val="none"/>
          <w:lang w:val="en-US" w:eastAsia="zh-CN"/>
        </w:rPr>
        <w:t>）企业负责人为同一人或者存在直接控股、管理关系的不同投标人，不得参加同一合同项下的政府采购活动。否则，皆取消投标资格；</w:t>
      </w:r>
    </w:p>
    <w:p>
      <w:pPr>
        <w:spacing w:line="400" w:lineRule="atLeas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w:t>
      </w:r>
      <w:r>
        <w:rPr>
          <w:rFonts w:hint="eastAsia" w:ascii="宋体" w:hAnsi="宋体" w:cs="宋体"/>
          <w:sz w:val="24"/>
          <w:szCs w:val="24"/>
          <w:highlight w:val="none"/>
          <w:u w:val="none"/>
          <w:lang w:val="en-US" w:eastAsia="zh-CN"/>
        </w:rPr>
        <w:t>9</w:t>
      </w:r>
      <w:r>
        <w:rPr>
          <w:rFonts w:hint="eastAsia" w:ascii="宋体" w:hAnsi="宋体" w:eastAsia="宋体" w:cs="宋体"/>
          <w:sz w:val="24"/>
          <w:szCs w:val="24"/>
          <w:highlight w:val="none"/>
          <w:u w:val="none"/>
          <w:lang w:val="en-US" w:eastAsia="zh-CN"/>
        </w:rPr>
        <w:t>）本次招标不接受联合体投标。</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5．投标费用</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5.1 无论投标过程中的作法和结果如何，供应商将自行承担所有与参加投标有关的全部费用。</w:t>
      </w:r>
      <w:bookmarkStart w:id="35" w:name="_Toc3513"/>
      <w:bookmarkStart w:id="36" w:name="_Toc349637921"/>
      <w:bookmarkStart w:id="37" w:name="_Toc298240406"/>
      <w:bookmarkStart w:id="38" w:name="_Toc517778390"/>
      <w:bookmarkStart w:id="39" w:name="_Toc349573122"/>
      <w:bookmarkStart w:id="40" w:name="_Toc267301283"/>
    </w:p>
    <w:p>
      <w:pPr>
        <w:spacing w:line="400" w:lineRule="atLeast"/>
        <w:rPr>
          <w:rFonts w:hint="eastAsia" w:ascii="宋体" w:hAnsi="宋体" w:eastAsia="宋体" w:cs="宋体"/>
          <w:sz w:val="24"/>
          <w:szCs w:val="24"/>
          <w:highlight w:val="none"/>
        </w:rPr>
      </w:pPr>
    </w:p>
    <w:p>
      <w:pPr>
        <w:spacing w:line="400" w:lineRule="atLeast"/>
        <w:rPr>
          <w:rFonts w:hint="eastAsia" w:ascii="宋体" w:hAnsi="宋体" w:eastAsia="宋体" w:cs="宋体"/>
          <w:sz w:val="24"/>
          <w:szCs w:val="24"/>
          <w:highlight w:val="none"/>
        </w:rPr>
      </w:pPr>
    </w:p>
    <w:p>
      <w:pPr>
        <w:keepNext/>
        <w:keepLines/>
        <w:adjustRightInd w:val="0"/>
        <w:snapToGrid w:val="0"/>
        <w:spacing w:before="100" w:beforeAutospacing="1" w:after="100" w:afterAutospacing="1" w:line="400" w:lineRule="atLeast"/>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B  采购文件</w:t>
      </w:r>
      <w:bookmarkEnd w:id="35"/>
      <w:bookmarkEnd w:id="36"/>
      <w:bookmarkEnd w:id="37"/>
      <w:bookmarkEnd w:id="38"/>
      <w:bookmarkEnd w:id="39"/>
      <w:bookmarkEnd w:id="40"/>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6．采购文件构成</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6.1采购文件包括：</w:t>
      </w:r>
    </w:p>
    <w:p>
      <w:pPr>
        <w:spacing w:line="400" w:lineRule="atLeast"/>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⑴竞争性谈判公告；</w:t>
      </w:r>
    </w:p>
    <w:p>
      <w:pPr>
        <w:spacing w:line="400" w:lineRule="atLeast"/>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⑵供应商须知；</w:t>
      </w:r>
    </w:p>
    <w:p>
      <w:pPr>
        <w:spacing w:line="400" w:lineRule="atLeast"/>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⑶采购需求一览表及技术规格；</w:t>
      </w:r>
    </w:p>
    <w:p>
      <w:pPr>
        <w:spacing w:line="400" w:lineRule="atLeast"/>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⑷合同一般条款；</w:t>
      </w:r>
    </w:p>
    <w:p>
      <w:pPr>
        <w:spacing w:line="400" w:lineRule="atLeast"/>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⑸合同特殊条款；</w:t>
      </w:r>
    </w:p>
    <w:p>
      <w:pPr>
        <w:spacing w:line="400" w:lineRule="atLeast"/>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⑹范本格式。</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6.2 采购文件以中文编写。</w:t>
      </w:r>
    </w:p>
    <w:p>
      <w:pPr>
        <w:spacing w:line="400" w:lineRule="atLeast"/>
        <w:ind w:left="1"/>
        <w:rPr>
          <w:rFonts w:hint="eastAsia" w:ascii="宋体" w:hAnsi="宋体" w:eastAsia="宋体" w:cs="宋体"/>
          <w:sz w:val="24"/>
          <w:szCs w:val="24"/>
          <w:highlight w:val="none"/>
        </w:rPr>
      </w:pPr>
      <w:r>
        <w:rPr>
          <w:rFonts w:hint="eastAsia" w:ascii="宋体" w:hAnsi="宋体" w:eastAsia="宋体" w:cs="宋体"/>
          <w:sz w:val="24"/>
          <w:szCs w:val="24"/>
          <w:highlight w:val="none"/>
        </w:rPr>
        <w:t>6.3 供应商应认真阅读采购文件中所有的事项、格式、条款和规范等要求，从而对采购文件作出实质性响应。如果没有按照采购文件要求提交全部采购响应文件或资料，没有对采购文件作出实质性响应，其风险应由供应商自行承担。</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7．采购文件澄清</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7.1 供应商对采购文件有疑问的，须在采购响应文件递交截止时间3日以前向采购代理机构提出询问，采购代理机构将及时做出答复；</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7.2 供应商对采购文件有质疑，须在采购响应文件递交截止时间3日以前，以书面形式向招标机构提出质疑；招标机构在收到书面质疑后尽快做出答复，并以书面形式通知质疑供应商。</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8.采购文件的修改</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8.1对采购文件进行必要的修改，采购代理机构将在投标截止时间2日前以书面形式通知所有</w:t>
      </w:r>
      <w:r>
        <w:rPr>
          <w:rFonts w:hint="eastAsia" w:ascii="宋体" w:hAnsi="宋体" w:eastAsia="宋体" w:cs="宋体"/>
          <w:sz w:val="24"/>
          <w:szCs w:val="24"/>
          <w:highlight w:val="none"/>
          <w:lang w:eastAsia="zh-CN"/>
        </w:rPr>
        <w:t>获取</w:t>
      </w:r>
      <w:r>
        <w:rPr>
          <w:rFonts w:hint="eastAsia" w:ascii="宋体" w:hAnsi="宋体" w:eastAsia="宋体" w:cs="宋体"/>
          <w:sz w:val="24"/>
          <w:szCs w:val="24"/>
          <w:highlight w:val="none"/>
        </w:rPr>
        <w:t>采购文件的供应商。该修改的内容为采购文件的组成部分；</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8.2供应商在规定的时间内未对采购文件提出澄清要求的，采购代理机构将视其为同意。</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8.3在投标截止时间前，招标机构可视具体情况延长采购截止时间，并将变更时间书面通知所有</w:t>
      </w:r>
      <w:r>
        <w:rPr>
          <w:rFonts w:hint="eastAsia" w:ascii="宋体" w:hAnsi="宋体" w:eastAsia="宋体" w:cs="宋体"/>
          <w:sz w:val="24"/>
          <w:szCs w:val="24"/>
          <w:highlight w:val="none"/>
          <w:lang w:eastAsia="zh-CN"/>
        </w:rPr>
        <w:t>获取</w:t>
      </w:r>
      <w:r>
        <w:rPr>
          <w:rFonts w:hint="eastAsia" w:ascii="宋体" w:hAnsi="宋体" w:eastAsia="宋体" w:cs="宋体"/>
          <w:sz w:val="24"/>
          <w:szCs w:val="24"/>
          <w:highlight w:val="none"/>
        </w:rPr>
        <w:t>采购文件的供应商。</w:t>
      </w:r>
    </w:p>
    <w:p>
      <w:pPr>
        <w:keepNext/>
        <w:keepLines/>
        <w:adjustRightInd w:val="0"/>
        <w:snapToGrid w:val="0"/>
        <w:spacing w:before="100" w:beforeAutospacing="1" w:after="100" w:afterAutospacing="1" w:line="400" w:lineRule="atLeast"/>
        <w:jc w:val="center"/>
        <w:outlineLvl w:val="1"/>
        <w:rPr>
          <w:rFonts w:hint="eastAsia" w:ascii="宋体" w:hAnsi="宋体" w:eastAsia="宋体" w:cs="宋体"/>
          <w:b/>
          <w:bCs/>
          <w:kern w:val="0"/>
          <w:sz w:val="24"/>
          <w:szCs w:val="24"/>
          <w:highlight w:val="none"/>
        </w:rPr>
      </w:pPr>
      <w:bookmarkStart w:id="41" w:name="_Toc9763"/>
      <w:bookmarkStart w:id="42" w:name="_Toc267301284"/>
      <w:bookmarkStart w:id="43" w:name="_Toc298240407"/>
      <w:bookmarkStart w:id="44" w:name="_Toc517778391"/>
      <w:bookmarkStart w:id="45" w:name="_Toc349573123"/>
      <w:bookmarkStart w:id="46" w:name="_Toc349637922"/>
      <w:r>
        <w:rPr>
          <w:rFonts w:hint="eastAsia" w:ascii="宋体" w:hAnsi="宋体" w:eastAsia="宋体" w:cs="宋体"/>
          <w:b/>
          <w:bCs/>
          <w:kern w:val="0"/>
          <w:sz w:val="24"/>
          <w:szCs w:val="24"/>
          <w:highlight w:val="none"/>
        </w:rPr>
        <w:t>C  采购响应文件的编写</w:t>
      </w:r>
      <w:bookmarkEnd w:id="41"/>
      <w:bookmarkEnd w:id="42"/>
      <w:bookmarkEnd w:id="43"/>
      <w:bookmarkEnd w:id="44"/>
      <w:bookmarkEnd w:id="45"/>
      <w:bookmarkEnd w:id="46"/>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9．要求</w:t>
      </w:r>
    </w:p>
    <w:p>
      <w:pPr>
        <w:spacing w:line="400" w:lineRule="atLeast"/>
        <w:ind w:left="1"/>
        <w:rPr>
          <w:rFonts w:hint="eastAsia" w:ascii="宋体" w:hAnsi="宋体" w:eastAsia="宋体" w:cs="宋体"/>
          <w:sz w:val="24"/>
          <w:szCs w:val="24"/>
          <w:highlight w:val="none"/>
        </w:rPr>
      </w:pPr>
      <w:r>
        <w:rPr>
          <w:rFonts w:hint="eastAsia" w:ascii="宋体" w:hAnsi="宋体" w:eastAsia="宋体" w:cs="宋体"/>
          <w:sz w:val="24"/>
          <w:szCs w:val="24"/>
          <w:highlight w:val="none"/>
        </w:rPr>
        <w:t>9.1 供应商应仔细阅读采购文件的所有内容，按采购文件的要求提供采购响应文件，并保证所提供的全部资料的真实性，以使其采购响应对采购文件作出实质性响应，否则，其采购可能被拒绝。</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10．采购语言</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10.1采购响应文件及供应商与采购代理机构就采购交换的文件和来往信件，应以中文书写（采购供应商提交的支持文件和印刷的文献可以使用别的语言，但其相应内容必须附有中文翻译文本，在解释竞争性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采购响应文件时以翻译文本为主）。</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11．采购响应文件的构成</w:t>
      </w:r>
    </w:p>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11.1 供应商编写的采购响应文件应包括但不限于下列内容：</w:t>
      </w:r>
    </w:p>
    <w:p>
      <w:pPr>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响应文件的组成</w:t>
      </w:r>
    </w:p>
    <w:p>
      <w:pPr>
        <w:tabs>
          <w:tab w:val="left" w:pos="540"/>
          <w:tab w:val="left" w:pos="900"/>
          <w:tab w:val="left" w:pos="1080"/>
        </w:tabs>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（1）采购报价表；</w:t>
      </w:r>
    </w:p>
    <w:p>
      <w:pPr>
        <w:tabs>
          <w:tab w:val="left" w:pos="540"/>
          <w:tab w:val="left" w:pos="900"/>
          <w:tab w:val="left" w:pos="1080"/>
        </w:tabs>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（2）资格证明文件；</w:t>
      </w:r>
    </w:p>
    <w:p>
      <w:pPr>
        <w:tabs>
          <w:tab w:val="left" w:pos="540"/>
          <w:tab w:val="left" w:pos="900"/>
          <w:tab w:val="left" w:pos="1080"/>
        </w:tabs>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（3）采购保证金银行证明材料；</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11.2 供应商应将采购响应文件</w:t>
      </w:r>
      <w:r>
        <w:rPr>
          <w:rFonts w:hint="eastAsia" w:ascii="宋体" w:hAnsi="宋体" w:eastAsia="宋体" w:cs="宋体"/>
          <w:sz w:val="24"/>
          <w:szCs w:val="24"/>
          <w:highlight w:val="none"/>
          <w:lang w:eastAsia="zh-CN"/>
        </w:rPr>
        <w:t>汇编</w:t>
      </w:r>
      <w:r>
        <w:rPr>
          <w:rFonts w:hint="eastAsia" w:ascii="宋体" w:hAnsi="宋体" w:eastAsia="宋体" w:cs="宋体"/>
          <w:sz w:val="24"/>
          <w:szCs w:val="24"/>
          <w:highlight w:val="none"/>
        </w:rPr>
        <w:t>成册，并填写文件资料清单。</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12．采购响应文件格式</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12.1 供应商应按采购文件的范本格式中提供的文件格式填写采购书、采购报价表、采购报价分项表。</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13．投标货币</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13.1人民币报价。</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14．供应商的证明文件：</w:t>
      </w:r>
    </w:p>
    <w:p>
      <w:pPr>
        <w:spacing w:line="400" w:lineRule="atLeast"/>
        <w:ind w:firstLine="523" w:firstLineChars="218"/>
        <w:rPr>
          <w:rFonts w:hint="eastAsia" w:ascii="宋体" w:hAnsi="宋体" w:eastAsia="宋体" w:cs="宋体"/>
          <w:b/>
          <w:spacing w:val="8"/>
          <w:sz w:val="24"/>
          <w:szCs w:val="24"/>
          <w:highlight w:val="none"/>
        </w:rPr>
      </w:pPr>
      <w:r>
        <w:rPr>
          <w:rFonts w:hint="eastAsia" w:ascii="宋体" w:hAnsi="宋体" w:eastAsia="宋体" w:cs="宋体"/>
          <w:sz w:val="24"/>
          <w:szCs w:val="24"/>
          <w:highlight w:val="none"/>
        </w:rPr>
        <w:t>供应商必须提交证明其有资格进行采购和有能力履行合同的文件（范本格式），作为采购响应文件的一部分。</w:t>
      </w:r>
    </w:p>
    <w:p>
      <w:pPr>
        <w:spacing w:line="400" w:lineRule="atLeast"/>
        <w:ind w:left="1"/>
        <w:rPr>
          <w:rFonts w:hint="eastAsia" w:ascii="宋体" w:hAnsi="宋体" w:eastAsia="宋体" w:cs="宋体"/>
          <w:b/>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sz w:val="24"/>
          <w:szCs w:val="24"/>
          <w:highlight w:val="none"/>
        </w:rPr>
        <w:t>所有资格证明文件必须满足采购文件要求。</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16 服务符合采购文件规定的技术响应文件</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16.1供应商须提交证明服务符合采购文件规定的技术响应文件，作为采购响应文件的一部分。</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17．采购的有效期</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17.1</w:t>
      </w:r>
      <w:r>
        <w:rPr>
          <w:rFonts w:hint="eastAsia" w:ascii="宋体" w:hAnsi="宋体" w:eastAsia="宋体" w:cs="宋体"/>
          <w:b/>
          <w:sz w:val="24"/>
          <w:szCs w:val="24"/>
          <w:highlight w:val="none"/>
        </w:rPr>
        <w:t>采购响应文件从采购之日起，投标有效期为</w:t>
      </w:r>
      <w:r>
        <w:rPr>
          <w:rFonts w:hint="eastAsia" w:ascii="宋体" w:hAnsi="宋体" w:eastAsia="宋体" w:cs="宋体"/>
          <w:b/>
          <w:sz w:val="24"/>
          <w:szCs w:val="24"/>
          <w:highlight w:val="none"/>
          <w:lang w:val="en-US" w:eastAsia="zh-CN"/>
        </w:rPr>
        <w:t>90</w:t>
      </w:r>
      <w:r>
        <w:rPr>
          <w:rFonts w:hint="eastAsia" w:ascii="宋体" w:hAnsi="宋体" w:eastAsia="宋体" w:cs="宋体"/>
          <w:b/>
          <w:sz w:val="24"/>
          <w:szCs w:val="24"/>
          <w:highlight w:val="none"/>
        </w:rPr>
        <w:t>天。（如不满足将导致废标）</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17.2 在特殊情况下，采购代理机构可与供应商商量延长采购响应文件的有效期。</w:t>
      </w:r>
    </w:p>
    <w:p>
      <w:pPr>
        <w:spacing w:line="460" w:lineRule="exact"/>
        <w:ind w:left="0" w:leftChars="0" w:firstLine="0" w:firstLineChars="0"/>
        <w:rPr>
          <w:rFonts w:hint="eastAsia" w:ascii="宋体" w:hAnsi="宋体" w:eastAsia="宋体" w:cs="宋体"/>
          <w:b/>
          <w:color w:val="000000"/>
          <w:sz w:val="24"/>
          <w:szCs w:val="24"/>
          <w:highlight w:val="none"/>
        </w:rPr>
      </w:pPr>
      <w:bookmarkStart w:id="47" w:name="_Toc349637923"/>
      <w:bookmarkStart w:id="48" w:name="_Toc349573124"/>
      <w:bookmarkStart w:id="49" w:name="_Toc6187"/>
      <w:bookmarkStart w:id="50" w:name="_Toc517778392"/>
      <w:bookmarkStart w:id="51" w:name="_Toc267301285"/>
      <w:bookmarkStart w:id="52" w:name="_Toc298240408"/>
      <w:r>
        <w:rPr>
          <w:rFonts w:hint="eastAsia" w:ascii="宋体" w:hAnsi="宋体" w:eastAsia="宋体" w:cs="宋体"/>
          <w:b/>
          <w:color w:val="000000"/>
          <w:sz w:val="24"/>
          <w:szCs w:val="24"/>
          <w:highlight w:val="none"/>
        </w:rPr>
        <w:t>1</w:t>
      </w:r>
      <w:r>
        <w:rPr>
          <w:rFonts w:hint="eastAsia" w:ascii="宋体" w:hAnsi="宋体" w:eastAsia="宋体" w:cs="宋体"/>
          <w:b/>
          <w:color w:val="000000"/>
          <w:sz w:val="24"/>
          <w:szCs w:val="24"/>
          <w:highlight w:val="none"/>
          <w:lang w:val="en-US" w:eastAsia="zh-CN"/>
        </w:rPr>
        <w:t>8</w:t>
      </w:r>
      <w:r>
        <w:rPr>
          <w:rFonts w:hint="eastAsia" w:ascii="宋体" w:hAnsi="宋体" w:eastAsia="宋体" w:cs="宋体"/>
          <w:b/>
          <w:color w:val="000000"/>
          <w:sz w:val="24"/>
          <w:szCs w:val="24"/>
          <w:highlight w:val="none"/>
        </w:rPr>
        <w:t>、投标文件的签署、递交、准备和解密时间要求</w:t>
      </w:r>
    </w:p>
    <w:p>
      <w:pPr>
        <w:spacing w:line="460" w:lineRule="exact"/>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.1投标人应按本招标文件规定的格式和顺序编制、装订投标文件并标注页码，投标文件内容不完整、编排混乱导致投标文件被误读、漏读或者查找不到相关内容的，是投标人的责任。</w:t>
      </w: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8</w:t>
      </w:r>
      <w:r>
        <w:rPr>
          <w:rFonts w:hint="eastAsia" w:ascii="宋体" w:hAnsi="宋体" w:eastAsia="宋体" w:cs="宋体"/>
          <w:b/>
          <w:bCs/>
          <w:color w:val="000000"/>
          <w:sz w:val="24"/>
          <w:szCs w:val="24"/>
          <w:highlight w:val="none"/>
        </w:rPr>
        <w:t>.2投标人应于</w:t>
      </w:r>
      <w:r>
        <w:rPr>
          <w:rFonts w:hint="eastAsia" w:ascii="宋体" w:hAnsi="宋体" w:cs="宋体"/>
          <w:b/>
          <w:bCs/>
          <w:color w:val="000000"/>
          <w:sz w:val="24"/>
          <w:szCs w:val="24"/>
          <w:highlight w:val="none"/>
          <w:lang w:eastAsia="zh-CN"/>
        </w:rPr>
        <w:t>2023年9月28日</w:t>
      </w: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00</w:t>
      </w:r>
      <w:r>
        <w:rPr>
          <w:rFonts w:hint="eastAsia" w:ascii="宋体" w:hAnsi="宋体" w:eastAsia="宋体" w:cs="宋体"/>
          <w:b/>
          <w:bCs/>
          <w:color w:val="000000"/>
          <w:sz w:val="24"/>
          <w:szCs w:val="24"/>
          <w:highlight w:val="none"/>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.3投标文件须由投标人在规定位置盖章并由法定代表人或法定代表人的授权委托人签署，投标人应写全称。</w:t>
      </w: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18.5</w:t>
      </w:r>
      <w:r>
        <w:rPr>
          <w:rFonts w:hint="eastAsia" w:ascii="宋体" w:hAnsi="宋体" w:eastAsia="宋体" w:cs="宋体"/>
          <w:b/>
          <w:bCs/>
          <w:color w:val="000000"/>
          <w:sz w:val="24"/>
          <w:szCs w:val="24"/>
          <w:highlight w:val="none"/>
        </w:rPr>
        <w:t xml:space="preserve">、本项目实行网上投标，采用电子投标文件。若供应商参与投标，自行承担投标一切费用。 </w:t>
      </w:r>
    </w:p>
    <w:p>
      <w:pPr>
        <w:spacing w:line="46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18.6</w:t>
      </w:r>
      <w:r>
        <w:rPr>
          <w:rFonts w:hint="eastAsia" w:ascii="宋体" w:hAnsi="宋体" w:eastAsia="宋体" w:cs="宋体"/>
          <w:b/>
          <w:bCs/>
          <w:color w:val="000000"/>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18.7</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18.8</w:t>
      </w:r>
      <w:r>
        <w:rPr>
          <w:rFonts w:hint="eastAsia" w:ascii="宋体" w:hAnsi="宋体" w:eastAsia="宋体" w:cs="宋体"/>
          <w:b/>
          <w:bCs/>
          <w:color w:val="000000"/>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8</w:t>
      </w:r>
      <w:r>
        <w:rPr>
          <w:rFonts w:hint="eastAsia" w:ascii="宋体" w:hAnsi="宋体" w:eastAsia="宋体" w:cs="宋体"/>
          <w:b/>
          <w:bCs/>
          <w:color w:val="000000"/>
          <w:sz w:val="24"/>
          <w:szCs w:val="24"/>
          <w:highlight w:val="none"/>
        </w:rPr>
        <w:t>.9</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开标时间后</w:t>
      </w:r>
      <w:r>
        <w:rPr>
          <w:rFonts w:hint="eastAsia" w:ascii="宋体" w:hAnsi="宋体" w:eastAsia="宋体" w:cs="宋体"/>
          <w:b/>
          <w:bCs/>
          <w:color w:val="000000"/>
          <w:sz w:val="24"/>
          <w:szCs w:val="24"/>
          <w:highlight w:val="none"/>
          <w:lang w:val="en-US" w:eastAsia="zh-CN"/>
        </w:rPr>
        <w:t>60</w:t>
      </w:r>
      <w:r>
        <w:rPr>
          <w:rFonts w:hint="eastAsia" w:ascii="宋体" w:hAnsi="宋体" w:eastAsia="宋体" w:cs="宋体"/>
          <w:b/>
          <w:bCs/>
          <w:color w:val="000000"/>
          <w:sz w:val="24"/>
          <w:szCs w:val="24"/>
          <w:highlight w:val="none"/>
        </w:rPr>
        <w:t>分钟内（</w:t>
      </w:r>
      <w:r>
        <w:rPr>
          <w:rFonts w:hint="eastAsia" w:ascii="宋体" w:hAnsi="宋体" w:cs="宋体"/>
          <w:b/>
          <w:bCs/>
          <w:color w:val="000000"/>
          <w:sz w:val="24"/>
          <w:szCs w:val="24"/>
          <w:highlight w:val="none"/>
          <w:lang w:eastAsia="zh-CN"/>
        </w:rPr>
        <w:t>2023年9月28日</w:t>
      </w:r>
      <w:r>
        <w:rPr>
          <w:rFonts w:hint="eastAsia" w:ascii="宋体" w:hAnsi="宋体" w:eastAsia="宋体" w:cs="宋体"/>
          <w:b/>
          <w:bCs/>
          <w:color w:val="000000"/>
          <w:sz w:val="24"/>
          <w:szCs w:val="24"/>
          <w:highlight w:val="none"/>
          <w:lang w:val="en-US" w:eastAsia="zh-CN"/>
        </w:rPr>
        <w:t>上</w:t>
      </w:r>
      <w:r>
        <w:rPr>
          <w:rFonts w:hint="eastAsia" w:ascii="宋体" w:hAnsi="宋体" w:eastAsia="宋体" w:cs="宋体"/>
          <w:b/>
          <w:bCs/>
          <w:color w:val="000000"/>
          <w:sz w:val="24"/>
          <w:szCs w:val="24"/>
          <w:highlight w:val="none"/>
        </w:rPr>
        <w:t>午</w:t>
      </w: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00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00</w:t>
      </w:r>
      <w:r>
        <w:rPr>
          <w:rFonts w:hint="eastAsia" w:ascii="宋体" w:hAnsi="宋体" w:eastAsia="宋体" w:cs="宋体"/>
          <w:b/>
          <w:bCs/>
          <w:color w:val="000000"/>
          <w:sz w:val="24"/>
          <w:szCs w:val="24"/>
          <w:highlight w:val="none"/>
        </w:rPr>
        <w:t>前）供应商可以登录“政采云”平台，用“项目采购-开标评标”功能进行解密投标文件。若供应商在规定时间内（</w:t>
      </w:r>
      <w:r>
        <w:rPr>
          <w:rFonts w:hint="eastAsia" w:ascii="宋体" w:hAnsi="宋体" w:cs="宋体"/>
          <w:b/>
          <w:bCs/>
          <w:color w:val="000000"/>
          <w:sz w:val="24"/>
          <w:szCs w:val="24"/>
          <w:highlight w:val="none"/>
          <w:lang w:val="en-US" w:eastAsia="zh-CN"/>
        </w:rPr>
        <w:t>2023年9月28日</w:t>
      </w:r>
      <w:r>
        <w:rPr>
          <w:rFonts w:hint="eastAsia" w:ascii="宋体" w:hAnsi="宋体" w:eastAsia="宋体" w:cs="宋体"/>
          <w:b/>
          <w:bCs/>
          <w:color w:val="000000"/>
          <w:sz w:val="24"/>
          <w:szCs w:val="24"/>
          <w:highlight w:val="none"/>
          <w:lang w:val="en-US" w:eastAsia="zh-CN"/>
        </w:rPr>
        <w:t>上</w:t>
      </w:r>
      <w:r>
        <w:rPr>
          <w:rFonts w:hint="eastAsia" w:ascii="宋体" w:hAnsi="宋体" w:eastAsia="宋体" w:cs="宋体"/>
          <w:b/>
          <w:bCs/>
          <w:color w:val="000000"/>
          <w:sz w:val="24"/>
          <w:szCs w:val="24"/>
          <w:highlight w:val="none"/>
        </w:rPr>
        <w:t>午</w:t>
      </w:r>
      <w:r>
        <w:rPr>
          <w:rFonts w:hint="eastAsia" w:ascii="宋体" w:hAnsi="宋体" w:eastAsia="宋体" w:cs="宋体"/>
          <w:b/>
          <w:bCs/>
          <w:color w:val="000000"/>
          <w:sz w:val="24"/>
          <w:szCs w:val="24"/>
          <w:highlight w:val="none"/>
          <w:lang w:val="en-US" w:eastAsia="zh-CN"/>
        </w:rPr>
        <w:t>12</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00</w:t>
      </w:r>
      <w:r>
        <w:rPr>
          <w:rFonts w:hint="eastAsia" w:ascii="宋体" w:hAnsi="宋体" w:eastAsia="宋体" w:cs="宋体"/>
          <w:b/>
          <w:bCs/>
          <w:color w:val="000000"/>
          <w:sz w:val="24"/>
          <w:szCs w:val="24"/>
          <w:highlight w:val="none"/>
        </w:rPr>
        <w:t>前）未按时解密的，视为投标文件撤回。</w:t>
      </w:r>
    </w:p>
    <w:p>
      <w:pPr>
        <w:pStyle w:val="41"/>
        <w:ind w:left="0" w:leftChars="0" w:firstLine="0" w:firstLineChars="0"/>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18.10、开标后所有投标企业必须将新疆政府采购网上传生成的PDF投标文件打印纸质版投标文件，（无需区分正副本，无需加盖公章）纸质版投标文件3份、电子版光盘 2份、U 盘 1 份。送至招标代理公司，若不按照要求提供将不予退还投标保证金。</w:t>
      </w:r>
    </w:p>
    <w:p>
      <w:pPr>
        <w:spacing w:line="46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r>
        <w:rPr>
          <w:rFonts w:hint="eastAsia" w:ascii="宋体" w:hAnsi="宋体" w:eastAsia="宋体" w:cs="宋体"/>
          <w:b/>
          <w:color w:val="000000"/>
          <w:sz w:val="24"/>
          <w:szCs w:val="24"/>
          <w:highlight w:val="none"/>
          <w:lang w:val="en-US" w:eastAsia="zh-CN"/>
        </w:rPr>
        <w:t>9</w:t>
      </w:r>
      <w:r>
        <w:rPr>
          <w:rFonts w:hint="eastAsia" w:ascii="宋体" w:hAnsi="宋体" w:eastAsia="宋体" w:cs="宋体"/>
          <w:b/>
          <w:color w:val="000000"/>
          <w:sz w:val="24"/>
          <w:szCs w:val="24"/>
          <w:highlight w:val="none"/>
        </w:rPr>
        <w:t>、投标保证金</w:t>
      </w: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.1 投标保证金数额</w:t>
      </w:r>
      <w:r>
        <w:rPr>
          <w:rFonts w:hint="eastAsia" w:ascii="宋体" w:hAnsi="宋体" w:eastAsia="宋体" w:cs="宋体"/>
          <w:b/>
          <w:color w:val="000000"/>
          <w:sz w:val="24"/>
          <w:szCs w:val="24"/>
          <w:highlight w:val="none"/>
          <w:u w:val="single"/>
        </w:rPr>
        <w:t>详见投标人须知前附表第</w:t>
      </w:r>
      <w:r>
        <w:rPr>
          <w:rFonts w:hint="eastAsia" w:ascii="宋体" w:hAnsi="宋体" w:cs="宋体"/>
          <w:b/>
          <w:color w:val="000000"/>
          <w:sz w:val="24"/>
          <w:szCs w:val="24"/>
          <w:highlight w:val="none"/>
          <w:u w:val="single"/>
          <w:lang w:val="en-US" w:eastAsia="zh-CN"/>
        </w:rPr>
        <w:t>6</w:t>
      </w:r>
      <w:r>
        <w:rPr>
          <w:rFonts w:hint="eastAsia" w:ascii="宋体" w:hAnsi="宋体" w:eastAsia="宋体" w:cs="宋体"/>
          <w:b/>
          <w:color w:val="000000"/>
          <w:sz w:val="24"/>
          <w:szCs w:val="24"/>
          <w:highlight w:val="none"/>
          <w:u w:val="single"/>
        </w:rPr>
        <w:t>条。</w:t>
      </w: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.2 投标保证金用于应对本次招标因投标人违规、违约而产生的风险。</w:t>
      </w:r>
    </w:p>
    <w:p>
      <w:pPr>
        <w:widowControl/>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.3 投标人必须于投标截止时间之前（</w:t>
      </w:r>
      <w:r>
        <w:rPr>
          <w:rFonts w:hint="eastAsia" w:ascii="宋体" w:hAnsi="宋体" w:eastAsia="宋体" w:cs="宋体"/>
          <w:b/>
          <w:color w:val="000000"/>
          <w:sz w:val="24"/>
          <w:szCs w:val="24"/>
          <w:highlight w:val="none"/>
          <w:u w:val="single"/>
        </w:rPr>
        <w:t>详见投标人须知前附表第</w:t>
      </w:r>
      <w:r>
        <w:rPr>
          <w:rFonts w:hint="eastAsia" w:ascii="宋体" w:hAnsi="宋体" w:cs="宋体"/>
          <w:b/>
          <w:color w:val="000000"/>
          <w:sz w:val="24"/>
          <w:szCs w:val="24"/>
          <w:highlight w:val="none"/>
          <w:u w:val="single"/>
          <w:lang w:val="en-US" w:eastAsia="zh-CN"/>
        </w:rPr>
        <w:t>6</w:t>
      </w:r>
      <w:r>
        <w:rPr>
          <w:rFonts w:hint="eastAsia" w:ascii="宋体" w:hAnsi="宋体" w:eastAsia="宋体" w:cs="宋体"/>
          <w:b/>
          <w:color w:val="000000"/>
          <w:sz w:val="24"/>
          <w:szCs w:val="24"/>
          <w:highlight w:val="none"/>
          <w:u w:val="single"/>
        </w:rPr>
        <w:t>条规定）</w:t>
      </w:r>
      <w:r>
        <w:rPr>
          <w:rFonts w:hint="eastAsia" w:ascii="宋体" w:hAnsi="宋体" w:eastAsia="宋体" w:cs="宋体"/>
          <w:color w:val="000000"/>
          <w:sz w:val="24"/>
          <w:szCs w:val="24"/>
          <w:highlight w:val="none"/>
        </w:rPr>
        <w:t>按将投标保证金交纳至规定的帐号，对未按要求提交投标保证金的投标书，招标机构将视为不响应投标予以拒绝。</w:t>
      </w: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.4 投标保证金应以基本账户对公转账方式提交。本招标不接受银行保函形式的投标保证金。</w:t>
      </w:r>
    </w:p>
    <w:p>
      <w:pPr>
        <w:widowControl/>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.5在招标方规定的投标有效期满之前，招标方将以书面形式 发出《中标通知书》，《中标通知书》一经发出即发生法律效力。</w:t>
      </w: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.6 发生以下情况投标保证金可能被没收：</w:t>
      </w: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.6.1 投标人在投标有效期内撤回投标的；</w:t>
      </w: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.6.2 中标人未能做到：中标后，无正当理由放弃中标资格。</w:t>
      </w: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.6.3 投标人在投标过程中有违反有关法律法规行为的。</w:t>
      </w:r>
    </w:p>
    <w:p>
      <w:pPr>
        <w:numPr>
          <w:ilvl w:val="0"/>
          <w:numId w:val="0"/>
        </w:numPr>
        <w:spacing w:line="460" w:lineRule="exact"/>
        <w:jc w:val="center"/>
        <w:outlineLvl w:val="2"/>
        <w:rPr>
          <w:rFonts w:hint="eastAsia" w:ascii="宋体" w:hAnsi="宋体" w:eastAsia="宋体" w:cs="宋体"/>
          <w:b/>
          <w:sz w:val="24"/>
          <w:szCs w:val="24"/>
          <w:highlight w:val="none"/>
        </w:rPr>
      </w:pPr>
      <w:bookmarkStart w:id="53" w:name="_Toc22171"/>
      <w:bookmarkStart w:id="54" w:name="_Toc22295"/>
      <w:r>
        <w:rPr>
          <w:rFonts w:hint="eastAsia" w:ascii="宋体" w:hAnsi="宋体" w:eastAsia="宋体" w:cs="宋体"/>
          <w:b/>
          <w:sz w:val="24"/>
          <w:szCs w:val="24"/>
          <w:highlight w:val="none"/>
          <w:lang w:val="en-US" w:eastAsia="zh-CN"/>
        </w:rPr>
        <w:t xml:space="preserve">D </w:t>
      </w:r>
      <w:r>
        <w:rPr>
          <w:rFonts w:hint="eastAsia" w:ascii="宋体" w:hAnsi="宋体" w:eastAsia="宋体" w:cs="宋体"/>
          <w:b/>
          <w:sz w:val="24"/>
          <w:szCs w:val="24"/>
          <w:highlight w:val="none"/>
        </w:rPr>
        <w:t>投标文件的递交</w:t>
      </w:r>
      <w:bookmarkEnd w:id="53"/>
      <w:bookmarkEnd w:id="54"/>
    </w:p>
    <w:p>
      <w:pPr>
        <w:widowControl/>
        <w:spacing w:line="340" w:lineRule="exact"/>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20</w:t>
      </w:r>
      <w:r>
        <w:rPr>
          <w:rFonts w:hint="eastAsia" w:ascii="宋体" w:hAnsi="宋体" w:eastAsia="宋体" w:cs="宋体"/>
          <w:b/>
          <w:bCs/>
          <w:kern w:val="0"/>
          <w:sz w:val="24"/>
          <w:szCs w:val="24"/>
          <w:highlight w:val="none"/>
        </w:rPr>
        <w:t>.1.投标文件的准备和解密</w:t>
      </w:r>
    </w:p>
    <w:p>
      <w:pPr>
        <w:widowControl/>
        <w:autoSpaceDE w:val="0"/>
        <w:autoSpaceDN w:val="0"/>
        <w:adjustRightInd w:val="0"/>
        <w:snapToGrid w:val="0"/>
        <w:spacing w:line="34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20.</w:t>
      </w:r>
      <w:r>
        <w:rPr>
          <w:rFonts w:hint="eastAsia" w:ascii="宋体" w:hAnsi="宋体" w:eastAsia="宋体" w:cs="宋体"/>
          <w:b/>
          <w:bCs/>
          <w:kern w:val="0"/>
          <w:sz w:val="24"/>
          <w:szCs w:val="24"/>
          <w:highlight w:val="none"/>
        </w:rPr>
        <w:t xml:space="preserve">1、本项目实行网上投标，采用电子投标文件。若供应商参与投标，自行承担投标一切费用。 </w:t>
      </w:r>
    </w:p>
    <w:p>
      <w:pPr>
        <w:widowControl/>
        <w:autoSpaceDE w:val="0"/>
        <w:autoSpaceDN w:val="0"/>
        <w:adjustRightInd w:val="0"/>
        <w:snapToGrid w:val="0"/>
        <w:spacing w:line="34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20.</w:t>
      </w:r>
      <w:r>
        <w:rPr>
          <w:rFonts w:hint="eastAsia" w:ascii="宋体" w:hAnsi="宋体" w:eastAsia="宋体" w:cs="宋体"/>
          <w:b/>
          <w:bCs/>
          <w:kern w:val="0"/>
          <w:sz w:val="24"/>
          <w:szCs w:val="24"/>
          <w:highlight w:val="none"/>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autoSpaceDE w:val="0"/>
        <w:autoSpaceDN w:val="0"/>
        <w:adjustRightInd w:val="0"/>
        <w:snapToGrid w:val="0"/>
        <w:spacing w:line="340" w:lineRule="exact"/>
        <w:ind w:firstLine="482" w:firstLineChars="2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20.</w:t>
      </w:r>
      <w:r>
        <w:rPr>
          <w:rFonts w:hint="eastAsia" w:ascii="宋体" w:hAnsi="宋体" w:eastAsia="宋体" w:cs="宋体"/>
          <w:b/>
          <w:bCs/>
          <w:kern w:val="0"/>
          <w:sz w:val="24"/>
          <w:szCs w:val="24"/>
          <w:highlight w:val="none"/>
        </w:rPr>
        <w:t>3、</w:t>
      </w:r>
      <w:r>
        <w:rPr>
          <w:rFonts w:hint="eastAsia" w:ascii="宋体" w:hAnsi="宋体" w:eastAsia="宋体" w:cs="宋体"/>
          <w:b/>
          <w:bCs/>
          <w:kern w:val="0"/>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autoSpaceDE w:val="0"/>
        <w:autoSpaceDN w:val="0"/>
        <w:adjustRightInd w:val="0"/>
        <w:snapToGrid w:val="0"/>
        <w:spacing w:line="340" w:lineRule="exac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 </w:t>
      </w:r>
      <w:r>
        <w:rPr>
          <w:rFonts w:hint="eastAsia" w:ascii="宋体" w:hAnsi="宋体" w:eastAsia="宋体" w:cs="宋体"/>
          <w:b/>
          <w:bCs/>
          <w:kern w:val="0"/>
          <w:sz w:val="24"/>
          <w:szCs w:val="24"/>
          <w:highlight w:val="none"/>
          <w:lang w:val="en-US" w:eastAsia="zh-CN"/>
        </w:rPr>
        <w:t xml:space="preserve">  20.</w:t>
      </w:r>
      <w:r>
        <w:rPr>
          <w:rFonts w:hint="eastAsia" w:ascii="宋体" w:hAnsi="宋体" w:eastAsia="宋体" w:cs="宋体"/>
          <w:b/>
          <w:bCs/>
          <w:kern w:val="0"/>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340" w:lineRule="exact"/>
        <w:ind w:firstLine="482" w:firstLineChars="2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20</w:t>
      </w:r>
      <w:r>
        <w:rPr>
          <w:rFonts w:hint="eastAsia" w:ascii="宋体" w:hAnsi="宋体" w:eastAsia="宋体" w:cs="宋体"/>
          <w:b/>
          <w:bCs/>
          <w:kern w:val="0"/>
          <w:sz w:val="24"/>
          <w:szCs w:val="24"/>
          <w:highlight w:val="none"/>
        </w:rPr>
        <w:t>.1.</w:t>
      </w:r>
      <w:r>
        <w:rPr>
          <w:rFonts w:hint="eastAsia" w:ascii="宋体" w:hAnsi="宋体" w:eastAsia="宋体" w:cs="宋体"/>
          <w:b/>
          <w:bCs/>
          <w:kern w:val="0"/>
          <w:sz w:val="24"/>
          <w:szCs w:val="24"/>
          <w:highlight w:val="none"/>
          <w:lang w:val="en-US" w:eastAsia="zh-CN"/>
        </w:rPr>
        <w:t>5开标时间后60分钟内（</w:t>
      </w:r>
      <w:r>
        <w:rPr>
          <w:rFonts w:hint="eastAsia" w:ascii="宋体" w:hAnsi="宋体" w:cs="宋体"/>
          <w:b/>
          <w:bCs/>
          <w:kern w:val="0"/>
          <w:sz w:val="24"/>
          <w:szCs w:val="24"/>
          <w:highlight w:val="none"/>
          <w:lang w:val="en-US" w:eastAsia="zh-CN"/>
        </w:rPr>
        <w:t>2023年9月28日</w:t>
      </w:r>
      <w:r>
        <w:rPr>
          <w:rFonts w:hint="eastAsia" w:ascii="宋体" w:hAnsi="宋体" w:eastAsia="宋体" w:cs="宋体"/>
          <w:b/>
          <w:bCs/>
          <w:kern w:val="0"/>
          <w:sz w:val="24"/>
          <w:szCs w:val="24"/>
          <w:highlight w:val="none"/>
          <w:lang w:val="en-US" w:eastAsia="zh-CN"/>
        </w:rPr>
        <w:t>上午11:00-12：00前）供应商可以登录“政采云”平台，用“项目采购-开标评标”功能进行解密投标文件。若供应商在规定时间内（</w:t>
      </w:r>
      <w:r>
        <w:rPr>
          <w:rFonts w:hint="eastAsia" w:ascii="宋体" w:hAnsi="宋体" w:cs="宋体"/>
          <w:b/>
          <w:bCs/>
          <w:kern w:val="0"/>
          <w:sz w:val="24"/>
          <w:szCs w:val="24"/>
          <w:highlight w:val="none"/>
          <w:lang w:val="en-US" w:eastAsia="zh-CN"/>
        </w:rPr>
        <w:t>2023年9月28日</w:t>
      </w:r>
      <w:r>
        <w:rPr>
          <w:rFonts w:hint="eastAsia" w:ascii="宋体" w:hAnsi="宋体" w:eastAsia="宋体" w:cs="宋体"/>
          <w:b/>
          <w:bCs/>
          <w:kern w:val="0"/>
          <w:sz w:val="24"/>
          <w:szCs w:val="24"/>
          <w:highlight w:val="none"/>
          <w:lang w:val="en-US" w:eastAsia="zh-CN"/>
        </w:rPr>
        <w:t>上午12:00前）未按时解密的，视为投标文件撤回。</w:t>
      </w:r>
    </w:p>
    <w:p>
      <w:pPr>
        <w:widowControl/>
        <w:spacing w:line="340" w:lineRule="exact"/>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20</w:t>
      </w:r>
      <w:r>
        <w:rPr>
          <w:rFonts w:hint="eastAsia" w:ascii="宋体" w:hAnsi="宋体" w:eastAsia="宋体" w:cs="宋体"/>
          <w:b/>
          <w:bCs/>
          <w:kern w:val="0"/>
          <w:sz w:val="24"/>
          <w:szCs w:val="24"/>
          <w:highlight w:val="none"/>
        </w:rPr>
        <w:t>.1.</w:t>
      </w:r>
      <w:r>
        <w:rPr>
          <w:rFonts w:hint="eastAsia" w:ascii="宋体" w:hAnsi="宋体" w:eastAsia="宋体" w:cs="宋体"/>
          <w:b/>
          <w:bCs/>
          <w:kern w:val="0"/>
          <w:sz w:val="24"/>
          <w:szCs w:val="24"/>
          <w:highlight w:val="none"/>
          <w:lang w:val="en-US" w:eastAsia="zh-CN"/>
        </w:rPr>
        <w:t>6</w:t>
      </w:r>
      <w:r>
        <w:rPr>
          <w:rFonts w:hint="eastAsia" w:ascii="宋体" w:hAnsi="宋体" w:eastAsia="宋体" w:cs="宋体"/>
          <w:b/>
          <w:bCs/>
          <w:kern w:val="0"/>
          <w:sz w:val="24"/>
          <w:szCs w:val="24"/>
          <w:highlight w:val="none"/>
        </w:rPr>
        <w:t>因系统（非投标供应商行为）的原因，造成投标供应商未能在规定的解密时限内解密的，请及时与招标代理机构或与新疆政府采购网 投标客户端进行联系。</w:t>
      </w:r>
    </w:p>
    <w:p>
      <w:pPr>
        <w:widowControl/>
        <w:autoSpaceDE w:val="0"/>
        <w:autoSpaceDN w:val="0"/>
        <w:adjustRightInd w:val="0"/>
        <w:snapToGrid w:val="0"/>
        <w:spacing w:line="34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20</w:t>
      </w:r>
      <w:r>
        <w:rPr>
          <w:rFonts w:hint="eastAsia" w:ascii="宋体" w:hAnsi="宋体" w:eastAsia="宋体" w:cs="宋体"/>
          <w:b/>
          <w:bCs/>
          <w:kern w:val="0"/>
          <w:sz w:val="24"/>
          <w:szCs w:val="24"/>
          <w:highlight w:val="none"/>
        </w:rPr>
        <w:t>.1.</w:t>
      </w:r>
      <w:r>
        <w:rPr>
          <w:rFonts w:hint="eastAsia" w:ascii="宋体" w:hAnsi="宋体" w:eastAsia="宋体" w:cs="宋体"/>
          <w:b/>
          <w:bCs/>
          <w:kern w:val="0"/>
          <w:sz w:val="24"/>
          <w:szCs w:val="24"/>
          <w:highlight w:val="none"/>
          <w:lang w:val="en-US" w:eastAsia="zh-CN"/>
        </w:rPr>
        <w:t>7</w:t>
      </w:r>
      <w:r>
        <w:rPr>
          <w:rFonts w:hint="eastAsia" w:ascii="宋体" w:hAnsi="宋体" w:eastAsia="宋体" w:cs="宋体"/>
          <w:b/>
          <w:bCs/>
          <w:kern w:val="0"/>
          <w:sz w:val="24"/>
          <w:szCs w:val="24"/>
          <w:highlight w:val="none"/>
        </w:rPr>
        <w:t>投标文件未按规定上传的，视为其自动放弃投标。</w:t>
      </w:r>
    </w:p>
    <w:p>
      <w:pPr>
        <w:widowControl/>
        <w:shd w:val="clear" w:color="auto" w:fill="FFFFFF"/>
        <w:snapToGrid w:val="0"/>
        <w:spacing w:line="340" w:lineRule="exact"/>
        <w:ind w:firstLine="482" w:firstLineChars="20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20</w:t>
      </w:r>
      <w:r>
        <w:rPr>
          <w:rFonts w:hint="eastAsia" w:ascii="宋体" w:hAnsi="宋体" w:eastAsia="宋体" w:cs="宋体"/>
          <w:b/>
          <w:kern w:val="0"/>
          <w:sz w:val="24"/>
          <w:szCs w:val="24"/>
          <w:highlight w:val="none"/>
        </w:rPr>
        <w:t>.2</w:t>
      </w:r>
      <w:r>
        <w:rPr>
          <w:rFonts w:hint="eastAsia" w:ascii="宋体" w:hAnsi="宋体" w:eastAsia="宋体" w:cs="宋体"/>
          <w:b/>
          <w:bCs/>
          <w:kern w:val="0"/>
          <w:sz w:val="24"/>
          <w:szCs w:val="24"/>
          <w:highlight w:val="none"/>
        </w:rPr>
        <w:t xml:space="preserve">. </w:t>
      </w:r>
      <w:r>
        <w:rPr>
          <w:rFonts w:hint="eastAsia" w:ascii="宋体" w:hAnsi="宋体" w:eastAsia="宋体" w:cs="宋体"/>
          <w:b/>
          <w:kern w:val="0"/>
          <w:sz w:val="24"/>
          <w:szCs w:val="24"/>
          <w:highlight w:val="none"/>
        </w:rPr>
        <w:t>投标文件的修改与撤回</w:t>
      </w:r>
    </w:p>
    <w:p>
      <w:pPr>
        <w:widowControl/>
        <w:spacing w:line="3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.2.1投标人在投标截止时间前，可以对所递交的投标文件进行补充、修改或者撤回，并书面通知采购人或者采购代理机构。补充、修改的内容应当按照招标文件要求签署、盖章</w:t>
      </w:r>
      <w:r>
        <w:rPr>
          <w:rFonts w:hint="eastAsia" w:ascii="宋体" w:hAnsi="宋体" w:eastAsia="宋体" w:cs="宋体"/>
          <w:kern w:val="0"/>
          <w:sz w:val="24"/>
          <w:szCs w:val="24"/>
          <w:highlight w:val="none"/>
          <w:lang w:val="en-US" w:eastAsia="zh-CN"/>
        </w:rPr>
        <w:t>后</w:t>
      </w:r>
      <w:r>
        <w:rPr>
          <w:rFonts w:hint="eastAsia" w:ascii="宋体" w:hAnsi="宋体" w:eastAsia="宋体" w:cs="宋体"/>
          <w:kern w:val="0"/>
          <w:sz w:val="24"/>
          <w:szCs w:val="24"/>
          <w:highlight w:val="none"/>
        </w:rPr>
        <w:t>，作为投标文件的组成部分。</w:t>
      </w:r>
    </w:p>
    <w:p>
      <w:pPr>
        <w:widowControl/>
        <w:spacing w:line="340" w:lineRule="exact"/>
        <w:ind w:firstLine="480" w:firstLineChars="200"/>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.2.2投标人在投标截止期后不得修改、撤回投标文件。</w:t>
      </w:r>
      <w:r>
        <w:rPr>
          <w:rFonts w:hint="eastAsia" w:ascii="宋体" w:hAnsi="宋体" w:eastAsia="宋体" w:cs="宋体"/>
          <w:b/>
          <w:kern w:val="0"/>
          <w:sz w:val="24"/>
          <w:szCs w:val="24"/>
          <w:highlight w:val="none"/>
        </w:rPr>
        <w:t>投标人在投标截止期后修改投标文件的，其投标无效。</w:t>
      </w:r>
    </w:p>
    <w:p>
      <w:pPr>
        <w:widowControl/>
        <w:autoSpaceDE w:val="0"/>
        <w:autoSpaceDN w:val="0"/>
        <w:adjustRightInd w:val="0"/>
        <w:snapToGrid w:val="0"/>
        <w:spacing w:line="34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20</w:t>
      </w:r>
      <w:r>
        <w:rPr>
          <w:rFonts w:hint="eastAsia" w:ascii="宋体" w:hAnsi="宋体" w:eastAsia="宋体" w:cs="宋体"/>
          <w:b/>
          <w:bCs/>
          <w:kern w:val="0"/>
          <w:sz w:val="24"/>
          <w:szCs w:val="24"/>
          <w:highlight w:val="none"/>
        </w:rPr>
        <w:t>.2.3若供应商在规定的时间内（“投标人须知前附表”的中规定）未能解密的，也将被视为供应商对其投标文件的撤回。</w:t>
      </w:r>
    </w:p>
    <w:bookmarkEnd w:id="47"/>
    <w:bookmarkEnd w:id="48"/>
    <w:bookmarkEnd w:id="49"/>
    <w:bookmarkEnd w:id="50"/>
    <w:bookmarkEnd w:id="51"/>
    <w:bookmarkEnd w:id="52"/>
    <w:p>
      <w:pPr>
        <w:spacing w:line="400" w:lineRule="atLeast"/>
        <w:ind w:left="2"/>
        <w:rPr>
          <w:rFonts w:hint="eastAsia" w:ascii="宋体" w:hAnsi="宋体" w:eastAsia="宋体" w:cs="宋体"/>
          <w:sz w:val="24"/>
          <w:szCs w:val="24"/>
          <w:highlight w:val="none"/>
        </w:rPr>
      </w:pPr>
    </w:p>
    <w:p>
      <w:pPr>
        <w:keepNext/>
        <w:keepLines/>
        <w:adjustRightInd w:val="0"/>
        <w:snapToGrid w:val="0"/>
        <w:spacing w:before="100" w:beforeAutospacing="1" w:after="100" w:afterAutospacing="1" w:line="400" w:lineRule="atLeast"/>
        <w:jc w:val="center"/>
        <w:outlineLvl w:val="1"/>
        <w:rPr>
          <w:rFonts w:hint="eastAsia" w:ascii="宋体" w:hAnsi="宋体" w:eastAsia="宋体" w:cs="宋体"/>
          <w:b/>
          <w:bCs/>
          <w:kern w:val="0"/>
          <w:sz w:val="24"/>
          <w:szCs w:val="24"/>
          <w:highlight w:val="none"/>
        </w:rPr>
      </w:pPr>
      <w:bookmarkStart w:id="55" w:name="_Toc267301286"/>
      <w:bookmarkStart w:id="56" w:name="_Toc349573125"/>
      <w:bookmarkStart w:id="57" w:name="_Toc349637924"/>
      <w:bookmarkStart w:id="58" w:name="_Toc517778393"/>
      <w:bookmarkStart w:id="59" w:name="_Toc298240409"/>
      <w:bookmarkStart w:id="60" w:name="_Toc21679"/>
      <w:r>
        <w:rPr>
          <w:rFonts w:hint="eastAsia" w:ascii="宋体" w:hAnsi="宋体" w:eastAsia="宋体" w:cs="宋体"/>
          <w:b/>
          <w:bCs/>
          <w:kern w:val="0"/>
          <w:sz w:val="24"/>
          <w:szCs w:val="24"/>
          <w:highlight w:val="none"/>
        </w:rPr>
        <w:t>E  采购程序</w:t>
      </w:r>
      <w:bookmarkEnd w:id="55"/>
      <w:bookmarkEnd w:id="56"/>
      <w:bookmarkEnd w:id="57"/>
      <w:bookmarkEnd w:id="58"/>
      <w:bookmarkEnd w:id="59"/>
      <w:bookmarkEnd w:id="60"/>
    </w:p>
    <w:p>
      <w:pPr>
        <w:spacing w:line="460" w:lineRule="exact"/>
        <w:rPr>
          <w:rFonts w:hint="eastAsia" w:ascii="宋体" w:hAnsi="宋体" w:eastAsia="宋体" w:cs="宋体"/>
          <w:b/>
          <w:bCs/>
          <w:kern w:val="0"/>
          <w:sz w:val="24"/>
          <w:szCs w:val="24"/>
          <w:highlight w:val="none"/>
        </w:rPr>
      </w:pPr>
      <w:r>
        <w:rPr>
          <w:rFonts w:hint="eastAsia" w:ascii="宋体" w:hAnsi="宋体" w:eastAsia="宋体" w:cs="宋体"/>
          <w:b/>
          <w:bCs/>
          <w:color w:val="000000"/>
          <w:sz w:val="24"/>
          <w:szCs w:val="24"/>
          <w:highlight w:val="none"/>
          <w:lang w:val="en-US" w:eastAsia="zh-CN"/>
        </w:rPr>
        <w:t>21</w:t>
      </w:r>
      <w:r>
        <w:rPr>
          <w:rFonts w:hint="eastAsia" w:ascii="宋体" w:hAnsi="宋体" w:eastAsia="宋体" w:cs="宋体"/>
          <w:b/>
          <w:bCs/>
          <w:kern w:val="0"/>
          <w:sz w:val="24"/>
          <w:szCs w:val="24"/>
          <w:highlight w:val="none"/>
        </w:rPr>
        <w:t>开标</w:t>
      </w:r>
    </w:p>
    <w:p>
      <w:pPr>
        <w:spacing w:line="340" w:lineRule="exact"/>
        <w:rPr>
          <w:rFonts w:hint="eastAsia" w:ascii="宋体" w:hAnsi="宋体" w:eastAsia="宋体" w:cs="宋体"/>
          <w:b/>
          <w:bCs/>
          <w:kern w:val="0"/>
          <w:sz w:val="24"/>
          <w:szCs w:val="24"/>
          <w:highlight w:val="none"/>
        </w:rPr>
      </w:pPr>
      <w:r>
        <w:rPr>
          <w:rFonts w:hint="eastAsia" w:ascii="宋体" w:hAnsi="宋体" w:eastAsia="宋体" w:cs="宋体"/>
          <w:b/>
          <w:bCs/>
          <w:color w:val="000000"/>
          <w:sz w:val="24"/>
          <w:szCs w:val="24"/>
          <w:highlight w:val="none"/>
          <w:lang w:val="en-US" w:eastAsia="zh-CN"/>
        </w:rPr>
        <w:t>21</w:t>
      </w:r>
      <w:r>
        <w:rPr>
          <w:rFonts w:hint="eastAsia" w:ascii="宋体" w:hAnsi="宋体" w:eastAsia="宋体" w:cs="宋体"/>
          <w:b/>
          <w:bCs/>
          <w:kern w:val="0"/>
          <w:sz w:val="24"/>
          <w:szCs w:val="24"/>
          <w:highlight w:val="none"/>
        </w:rPr>
        <w:t>.1. 开标</w:t>
      </w:r>
    </w:p>
    <w:p>
      <w:pPr>
        <w:spacing w:line="340" w:lineRule="exact"/>
        <w:rPr>
          <w:rFonts w:hint="eastAsia" w:ascii="宋体" w:hAnsi="宋体" w:eastAsia="宋体" w:cs="宋体"/>
          <w:b/>
          <w:bCs/>
          <w:kern w:val="0"/>
          <w:sz w:val="24"/>
          <w:szCs w:val="24"/>
          <w:highlight w:val="none"/>
        </w:rPr>
      </w:pPr>
      <w:r>
        <w:rPr>
          <w:rFonts w:hint="eastAsia" w:ascii="宋体" w:hAnsi="宋体" w:eastAsia="宋体" w:cs="宋体"/>
          <w:b/>
          <w:bCs/>
          <w:color w:val="000000"/>
          <w:sz w:val="24"/>
          <w:szCs w:val="24"/>
          <w:highlight w:val="none"/>
          <w:lang w:val="en-US" w:eastAsia="zh-CN"/>
        </w:rPr>
        <w:t>21</w:t>
      </w:r>
      <w:r>
        <w:rPr>
          <w:rFonts w:hint="eastAsia" w:ascii="宋体" w:hAnsi="宋体" w:eastAsia="宋体" w:cs="宋体"/>
          <w:b/>
          <w:bCs/>
          <w:kern w:val="0"/>
          <w:sz w:val="24"/>
          <w:szCs w:val="24"/>
          <w:highlight w:val="none"/>
        </w:rPr>
        <w:t>.1.1 本次采用不见面方式网上开标。</w:t>
      </w:r>
    </w:p>
    <w:p>
      <w:pPr>
        <w:spacing w:line="340" w:lineRule="exact"/>
        <w:rPr>
          <w:rFonts w:hint="eastAsia" w:ascii="宋体" w:hAnsi="宋体" w:eastAsia="宋体" w:cs="宋体"/>
          <w:b/>
          <w:bCs/>
          <w:kern w:val="0"/>
          <w:sz w:val="24"/>
          <w:szCs w:val="24"/>
          <w:highlight w:val="none"/>
        </w:rPr>
      </w:pPr>
      <w:r>
        <w:rPr>
          <w:rFonts w:hint="eastAsia" w:ascii="宋体" w:hAnsi="宋体" w:eastAsia="宋体" w:cs="宋体"/>
          <w:b/>
          <w:bCs/>
          <w:color w:val="000000"/>
          <w:sz w:val="24"/>
          <w:szCs w:val="24"/>
          <w:highlight w:val="none"/>
          <w:lang w:val="en-US" w:eastAsia="zh-CN"/>
        </w:rPr>
        <w:t>21</w:t>
      </w:r>
      <w:r>
        <w:rPr>
          <w:rFonts w:hint="eastAsia" w:ascii="宋体" w:hAnsi="宋体" w:eastAsia="宋体" w:cs="宋体"/>
          <w:b/>
          <w:bCs/>
          <w:kern w:val="0"/>
          <w:sz w:val="24"/>
          <w:szCs w:val="24"/>
          <w:highlight w:val="none"/>
        </w:rPr>
        <w:t>.1.2开标由招标代理机构主持，招标人、投标人和有关方面代表参加。</w:t>
      </w:r>
    </w:p>
    <w:p>
      <w:pPr>
        <w:spacing w:line="340" w:lineRule="exact"/>
        <w:rPr>
          <w:rFonts w:hint="eastAsia" w:ascii="宋体" w:hAnsi="宋体" w:eastAsia="宋体" w:cs="宋体"/>
          <w:b/>
          <w:bCs/>
          <w:kern w:val="0"/>
          <w:sz w:val="24"/>
          <w:szCs w:val="24"/>
          <w:highlight w:val="none"/>
        </w:rPr>
      </w:pPr>
      <w:r>
        <w:rPr>
          <w:rFonts w:hint="eastAsia" w:ascii="宋体" w:hAnsi="宋体" w:eastAsia="宋体" w:cs="宋体"/>
          <w:b/>
          <w:bCs/>
          <w:color w:val="000000"/>
          <w:sz w:val="24"/>
          <w:szCs w:val="24"/>
          <w:highlight w:val="none"/>
          <w:lang w:val="en-US" w:eastAsia="zh-CN"/>
        </w:rPr>
        <w:t>21</w:t>
      </w:r>
      <w:r>
        <w:rPr>
          <w:rFonts w:hint="eastAsia" w:ascii="宋体" w:hAnsi="宋体" w:eastAsia="宋体" w:cs="宋体"/>
          <w:b/>
          <w:bCs/>
          <w:kern w:val="0"/>
          <w:sz w:val="24"/>
          <w:szCs w:val="24"/>
          <w:highlight w:val="none"/>
        </w:rPr>
        <w:t>.1.3开标时，由采购代理机构工作人员当众在不见面开标大厅解密，宣布投标人名称、投标价格和招标文件规定的需要宣布的其他内容。投标人不足3家的，不得开标。</w:t>
      </w:r>
    </w:p>
    <w:p>
      <w:pPr>
        <w:spacing w:line="340" w:lineRule="exact"/>
        <w:rPr>
          <w:rFonts w:hint="eastAsia" w:ascii="宋体" w:hAnsi="宋体" w:eastAsia="宋体" w:cs="宋体"/>
          <w:b/>
          <w:bCs/>
          <w:kern w:val="0"/>
          <w:sz w:val="24"/>
          <w:szCs w:val="24"/>
          <w:highlight w:val="none"/>
        </w:rPr>
      </w:pPr>
      <w:r>
        <w:rPr>
          <w:rFonts w:hint="eastAsia" w:ascii="宋体" w:hAnsi="宋体" w:eastAsia="宋体" w:cs="宋体"/>
          <w:b/>
          <w:bCs/>
          <w:color w:val="000000"/>
          <w:sz w:val="24"/>
          <w:szCs w:val="24"/>
          <w:highlight w:val="none"/>
          <w:lang w:val="en-US" w:eastAsia="zh-CN"/>
        </w:rPr>
        <w:t>21</w:t>
      </w:r>
      <w:r>
        <w:rPr>
          <w:rFonts w:hint="eastAsia" w:ascii="宋体" w:hAnsi="宋体" w:eastAsia="宋体" w:cs="宋体"/>
          <w:b/>
          <w:bCs/>
          <w:kern w:val="0"/>
          <w:sz w:val="24"/>
          <w:szCs w:val="24"/>
          <w:highlight w:val="none"/>
        </w:rPr>
        <w:t xml:space="preserve">.1.4开标时，投标报价以系统显示投标报价为准。 </w:t>
      </w:r>
    </w:p>
    <w:p>
      <w:pPr>
        <w:spacing w:line="340" w:lineRule="exact"/>
        <w:rPr>
          <w:rFonts w:hint="eastAsia" w:ascii="宋体" w:hAnsi="宋体" w:eastAsia="宋体" w:cs="宋体"/>
          <w:b/>
          <w:bCs/>
          <w:kern w:val="0"/>
          <w:sz w:val="24"/>
          <w:szCs w:val="24"/>
          <w:highlight w:val="none"/>
        </w:rPr>
      </w:pPr>
      <w:r>
        <w:rPr>
          <w:rFonts w:hint="eastAsia" w:ascii="宋体" w:hAnsi="宋体" w:eastAsia="宋体" w:cs="宋体"/>
          <w:b/>
          <w:bCs/>
          <w:color w:val="000000"/>
          <w:sz w:val="24"/>
          <w:szCs w:val="24"/>
          <w:highlight w:val="none"/>
          <w:lang w:val="en-US" w:eastAsia="zh-CN"/>
        </w:rPr>
        <w:t>21</w:t>
      </w:r>
      <w:r>
        <w:rPr>
          <w:rFonts w:hint="eastAsia" w:ascii="宋体" w:hAnsi="宋体" w:eastAsia="宋体" w:cs="宋体"/>
          <w:b/>
          <w:bCs/>
          <w:kern w:val="0"/>
          <w:sz w:val="24"/>
          <w:szCs w:val="24"/>
          <w:highlight w:val="none"/>
        </w:rPr>
        <w:t>.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hint="eastAsia" w:ascii="宋体" w:hAnsi="宋体" w:eastAsia="宋体" w:cs="宋体"/>
          <w:b/>
          <w:bCs/>
          <w:kern w:val="0"/>
          <w:sz w:val="24"/>
          <w:szCs w:val="24"/>
          <w:highlight w:val="none"/>
        </w:rPr>
      </w:pPr>
      <w:r>
        <w:rPr>
          <w:rFonts w:hint="eastAsia" w:ascii="宋体" w:hAnsi="宋体" w:eastAsia="宋体" w:cs="宋体"/>
          <w:b/>
          <w:bCs/>
          <w:color w:val="000000"/>
          <w:sz w:val="24"/>
          <w:szCs w:val="24"/>
          <w:highlight w:val="none"/>
          <w:lang w:val="en-US" w:eastAsia="zh-CN"/>
        </w:rPr>
        <w:t>21</w:t>
      </w:r>
      <w:r>
        <w:rPr>
          <w:rFonts w:hint="eastAsia" w:ascii="宋体" w:hAnsi="宋体" w:eastAsia="宋体" w:cs="宋体"/>
          <w:b/>
          <w:bCs/>
          <w:kern w:val="0"/>
          <w:sz w:val="24"/>
          <w:szCs w:val="24"/>
          <w:highlight w:val="none"/>
        </w:rPr>
        <w:t>.1.6投标人代表在开标过程中未提出异议的，视为认可本次开标及开标过程的全部事宜。</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评标</w:t>
      </w:r>
    </w:p>
    <w:p>
      <w:pPr>
        <w:spacing w:line="400" w:lineRule="atLeast"/>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谈判小组成员对各供应商的响应文件进行资格审查，资格审查通过后进行初步评审；</w:t>
      </w:r>
    </w:p>
    <w:p>
      <w:pPr>
        <w:spacing w:line="400" w:lineRule="atLeast"/>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谈判小组成员对通过审查的供应商，按谈判报价由低至高进行顺序推荐，推荐前三名为中标候选人。并由谈判小组成员签名确认。</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对采购方的纪律要求</w:t>
      </w:r>
    </w:p>
    <w:p>
      <w:pPr>
        <w:spacing w:line="400" w:lineRule="atLeast"/>
        <w:ind w:firstLine="597" w:firstLineChars="249"/>
        <w:rPr>
          <w:rFonts w:hint="eastAsia" w:ascii="宋体" w:hAnsi="宋体" w:eastAsia="宋体" w:cs="宋体"/>
          <w:sz w:val="24"/>
          <w:szCs w:val="24"/>
          <w:highlight w:val="none"/>
        </w:rPr>
      </w:pPr>
      <w:r>
        <w:rPr>
          <w:rFonts w:hint="eastAsia" w:ascii="宋体" w:hAnsi="宋体" w:eastAsia="宋体" w:cs="宋体"/>
          <w:sz w:val="24"/>
          <w:szCs w:val="24"/>
          <w:highlight w:val="none"/>
        </w:rPr>
        <w:t>采购方不得泄露采购活动中应当保密的情况和资料，不得与供应商串通损害国家利益、社会公共利益或者他人合法权益。</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对供应商的纪律要求</w:t>
      </w:r>
    </w:p>
    <w:p>
      <w:pPr>
        <w:spacing w:line="400" w:lineRule="atLeast"/>
        <w:ind w:firstLine="597" w:firstLineChars="249"/>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供应商不得互相串通采购或者与采购人串通采购，不得向采购人或者采购小组成员行贿谋取中标，不得以他人名义采购或者以其他方式</w:t>
      </w:r>
    </w:p>
    <w:p>
      <w:pPr>
        <w:spacing w:line="400" w:lineRule="atLeast"/>
        <w:ind w:firstLine="597" w:firstLineChars="249"/>
        <w:rPr>
          <w:rFonts w:hint="eastAsia" w:ascii="宋体" w:hAnsi="宋体" w:eastAsia="宋体" w:cs="宋体"/>
          <w:sz w:val="24"/>
          <w:szCs w:val="24"/>
          <w:highlight w:val="none"/>
        </w:rPr>
      </w:pPr>
      <w:r>
        <w:rPr>
          <w:rFonts w:hint="eastAsia" w:ascii="宋体" w:hAnsi="宋体" w:eastAsia="宋体" w:cs="宋体"/>
          <w:sz w:val="24"/>
          <w:szCs w:val="24"/>
          <w:highlight w:val="none"/>
        </w:rPr>
        <w:t>弄虚作假骗取中标；供应商不得以任何方式干扰、影响采购工作。</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对与采购活动有关的工作人员的纪律要求与采购活动有关的工作人员不得收受他人的财物或者好处，不得向其他人透露对采购响应文件的评审和比较、中标候选人的推荐情况及采购有关其他情况。在采购活动中，与采购活动有关的工作人员不得擅离职守，影响采购程序正常进行。</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对谈判小组成员要求谈判纪律</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.1谈判小组应当依照有关法律法规的规定，按照采购文件确定的采购标准和办法客观、公正的对采购响应文件提出评审意见。采购文件设有规定的采购标准和方法不得作为采购依据。</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.2采购小组成员不得私下接触供应商，不得收受供应商给予的财务或者其他好处，不得向采购方征询确定中标方意向。</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.3不得接受任何单位或个人明示或暗示提出的倾向或排斥特定供应商的要求。</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.4不得有其他不客观，不公正履行职务的行为。</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．采购过程</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 采购的依据为采购文件和采购响应文件。</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.2谈判小组首先对各响应文件进行初步审查，初步审查包括资格性审查和符合性审查，未通过审查的为无效标。</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.2.1资格性检查：谈判小组将根据法律法规和谈判文件的规定，对响应文件的资格证明文件、竞标保证金等进行审查，以确定供应商是否具备竞争性谈判资格。</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2.2符合性检查：依据谈判文件的规定，从响应文件的有效性、完整性和对谈判文件的响应程度进行审查，以确定是否对谈判文件的要求做出了实质性的响应，存在重大偏离的响应文件为无效标。所谓重大偏离是指供应商响应文件中所述货物质量、技术、规格、数量、交货期等和服务明显不能满足谈判文件要求。重大偏离的认定须经竞争性谈判小组三分之二以上组员同意。</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.3谈判小组判断“响应文件”的响应性，仅基于“响应文件”本身而不靠外部证据。对非实质性响应的响应文件，供应商不能通过修正或撤销不符之处，而使其成为实质性响应。</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.4谈判小组根据谈判文件要求，讨论、通过谈判工作流程和谈判要点。</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.5采购人按照签到的顺序通知有效供应商谈判。</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.6围绕谈判要点，谈判小组全体成员集中与各个有效供应商分别进行谈判。逐家谈判一次为一个轮次，谈判轮次原则上为一轮，具体由谈判小组视情况决定。</w:t>
      </w:r>
    </w:p>
    <w:p>
      <w:pPr>
        <w:spacing w:line="400" w:lineRule="atLeast"/>
        <w:ind w:left="2"/>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.7谈判文件有较大变动的，谈判小组将以书面形式通知所有参加谈判的供应商。</w:t>
      </w:r>
    </w:p>
    <w:p>
      <w:pPr>
        <w:spacing w:line="400" w:lineRule="atLeast"/>
        <w:ind w:left="2"/>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.8</w:t>
      </w:r>
      <w:r>
        <w:rPr>
          <w:rFonts w:hint="eastAsia" w:ascii="宋体" w:hAnsi="宋体" w:eastAsia="宋体" w:cs="宋体"/>
          <w:b/>
          <w:sz w:val="24"/>
          <w:szCs w:val="24"/>
          <w:highlight w:val="none"/>
          <w:u w:val="single"/>
        </w:rPr>
        <w:t>供应商未及时参与谈判或多次报价的，视为自动放弃竞标资格。</w:t>
      </w:r>
    </w:p>
    <w:p>
      <w:pPr>
        <w:spacing w:line="400" w:lineRule="atLeast"/>
        <w:rPr>
          <w:rFonts w:hint="eastAsia" w:ascii="宋体" w:hAnsi="宋体" w:eastAsia="宋体" w:cs="宋体"/>
          <w:b/>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．最终报价</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.1谈判结束后，谈判小组将要求所有有效供应商在规定时间内确定最终报价及服务承诺。</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.2参与二次及多次报价及服务承诺的人员须是供应商法定代表人或其授权代表（核对身份证）。</w:t>
      </w:r>
    </w:p>
    <w:p>
      <w:pPr>
        <w:spacing w:line="400" w:lineRule="atLeast"/>
        <w:rPr>
          <w:rFonts w:hint="eastAsia" w:ascii="宋体" w:hAnsi="宋体" w:eastAsia="宋体" w:cs="宋体"/>
          <w:b/>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．确定中标候选人</w:t>
      </w:r>
    </w:p>
    <w:p>
      <w:pPr>
        <w:spacing w:line="400" w:lineRule="atLeast"/>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.1谈判小组</w:t>
      </w:r>
      <w:r>
        <w:rPr>
          <w:rFonts w:hint="eastAsia" w:ascii="宋体" w:hAnsi="宋体" w:eastAsia="宋体" w:cs="宋体"/>
          <w:sz w:val="24"/>
          <w:szCs w:val="24"/>
          <w:highlight w:val="none"/>
          <w:shd w:val="clear" w:color="auto" w:fill="FFFFFF"/>
        </w:rPr>
        <w:t>采用最低评标价法，</w:t>
      </w:r>
      <w:r>
        <w:rPr>
          <w:rFonts w:hint="eastAsia" w:ascii="宋体" w:hAnsi="宋体" w:eastAsia="宋体" w:cs="宋体"/>
          <w:bCs/>
          <w:sz w:val="24"/>
          <w:szCs w:val="24"/>
          <w:highlight w:val="none"/>
        </w:rPr>
        <w:t>按照满足谈判文件实质性需求、质量和服务相等的前提下，以提出最低报价的供应商作为中标供应商。</w:t>
      </w:r>
    </w:p>
    <w:p>
      <w:pPr>
        <w:spacing w:line="400" w:lineRule="atLeast"/>
        <w:ind w:left="566" w:hanging="566" w:hangingChars="236"/>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.2评标方法</w:t>
      </w:r>
    </w:p>
    <w:p>
      <w:pPr>
        <w:tabs>
          <w:tab w:val="left" w:pos="2880"/>
        </w:tabs>
        <w:spacing w:line="460" w:lineRule="atLeas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采用</w:t>
      </w:r>
      <w:r>
        <w:rPr>
          <w:rFonts w:hint="eastAsia" w:ascii="宋体" w:hAnsi="宋体" w:eastAsia="宋体" w:cs="宋体"/>
          <w:b/>
          <w:bCs/>
          <w:sz w:val="24"/>
          <w:szCs w:val="24"/>
          <w:highlight w:val="none"/>
        </w:rPr>
        <w:t>最低评标价法（即在“符合采购 需求、质量和服务相等”的前提下，以提出最低投标的供应商作为中标供应商）。</w:t>
      </w:r>
    </w:p>
    <w:p>
      <w:pPr>
        <w:spacing w:line="400" w:lineRule="atLeast"/>
        <w:ind w:left="1"/>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采购人根据谈判小组的评审报告，采购人应当确定排名前三的中标入围供应商为中标供应商。排名前一的中标入围供应商放弃中标入围、因不可抗力不能履行合同，采购人可以确定排名第二的中标入围供应商为中标单位</w:t>
      </w:r>
      <w:r>
        <w:rPr>
          <w:rFonts w:hint="eastAsia" w:ascii="宋体" w:hAnsi="宋体" w:eastAsia="宋体" w:cs="宋体"/>
          <w:bCs/>
          <w:sz w:val="24"/>
          <w:szCs w:val="24"/>
          <w:highlight w:val="none"/>
        </w:rPr>
        <w:t>，以此类推。</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．采购过程的保密性</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 采购后，直到授予合同为止，凡是属于审查、澄清、评价和比较的有关资料以及授予中标方的建议等采购小组成员或参与采购的有关工作人员均不得向供应商或其他无关的人员透露，违者给予警告、取消担任采购小组成员的资格，不得再参加任何项目的采购。</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 供应商在采购过程中，所进行的力图影响采购结果的，不符合法律规定及本次采购中有关规定的活动，将被取消其采购资格。</w:t>
      </w:r>
    </w:p>
    <w:p>
      <w:pPr>
        <w:keepNext/>
        <w:keepLines/>
        <w:adjustRightInd w:val="0"/>
        <w:snapToGrid w:val="0"/>
        <w:spacing w:before="100" w:beforeAutospacing="1" w:after="100" w:afterAutospacing="1" w:line="400" w:lineRule="atLeast"/>
        <w:jc w:val="center"/>
        <w:outlineLvl w:val="1"/>
        <w:rPr>
          <w:rFonts w:hint="eastAsia" w:ascii="宋体" w:hAnsi="宋体" w:eastAsia="宋体" w:cs="宋体"/>
          <w:b/>
          <w:bCs/>
          <w:kern w:val="0"/>
          <w:sz w:val="24"/>
          <w:szCs w:val="24"/>
          <w:highlight w:val="none"/>
        </w:rPr>
      </w:pPr>
      <w:bookmarkStart w:id="61" w:name="_Toc23036"/>
      <w:bookmarkStart w:id="62" w:name="_Toc267301287"/>
      <w:bookmarkStart w:id="63" w:name="_Toc349573126"/>
      <w:bookmarkStart w:id="64" w:name="_Toc298240410"/>
      <w:bookmarkStart w:id="65" w:name="_Toc517778394"/>
      <w:bookmarkStart w:id="66" w:name="_Toc349637925"/>
      <w:r>
        <w:rPr>
          <w:rFonts w:hint="eastAsia" w:ascii="宋体" w:hAnsi="宋体" w:eastAsia="宋体" w:cs="宋体"/>
          <w:b/>
          <w:bCs/>
          <w:kern w:val="0"/>
          <w:sz w:val="24"/>
          <w:szCs w:val="24"/>
          <w:highlight w:val="none"/>
        </w:rPr>
        <w:t>F  授予合同</w:t>
      </w:r>
      <w:bookmarkEnd w:id="61"/>
      <w:bookmarkEnd w:id="62"/>
      <w:bookmarkEnd w:id="63"/>
      <w:bookmarkEnd w:id="64"/>
      <w:bookmarkEnd w:id="65"/>
      <w:bookmarkEnd w:id="66"/>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．合同授予标准</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r>
        <w:rPr>
          <w:rFonts w:hint="eastAsia" w:ascii="宋体" w:hAnsi="宋体" w:eastAsia="宋体" w:cs="宋体"/>
          <w:bCs/>
          <w:sz w:val="24"/>
          <w:szCs w:val="24"/>
          <w:highlight w:val="none"/>
        </w:rPr>
        <w:t>合同将授予被确定为实质上响应采购文件要求，符合采购需求、质量和服务相等且报价最低的供应商</w:t>
      </w:r>
      <w:r>
        <w:rPr>
          <w:rFonts w:hint="eastAsia" w:ascii="宋体" w:hAnsi="宋体" w:eastAsia="宋体" w:cs="宋体"/>
          <w:sz w:val="24"/>
          <w:szCs w:val="24"/>
          <w:highlight w:val="none"/>
        </w:rPr>
        <w:t>。</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 最低报价不一定</w:t>
      </w:r>
      <w:bookmarkStart w:id="164" w:name="_GoBack"/>
      <w:bookmarkEnd w:id="164"/>
      <w:r>
        <w:rPr>
          <w:rFonts w:hint="eastAsia" w:ascii="宋体" w:hAnsi="宋体" w:eastAsia="宋体" w:cs="宋体"/>
          <w:sz w:val="24"/>
          <w:szCs w:val="24"/>
          <w:highlight w:val="none"/>
        </w:rPr>
        <w:t>是被授予合同的保证。</w:t>
      </w:r>
    </w:p>
    <w:p>
      <w:pPr>
        <w:spacing w:line="400" w:lineRule="atLeast"/>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.3 如果确定该供应商无法圆满履行合同，重新开展采购活动。</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．接受和拒绝任何或所有采购的权力</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.1为维护国家利益，采购人在授予合同之前仍有选择或拒绝任何全部采购的权力，并对所采取的行为不作任何解释。</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．中标通知书</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中标公告期满后，采购代理机构将以书面形式发出《中标通知书》，但发出时间不超过采购有效期，《中标通知书》一经发出即发生法律效力。</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《中标通知书》将作为签订合同的依据。</w:t>
      </w:r>
    </w:p>
    <w:p>
      <w:pPr>
        <w:spacing w:line="400" w:lineRule="atLeast"/>
        <w:ind w:left="2"/>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 采购代理机构将在中标方按规定签订合同并提交履约保证金（如适用）后退还其采购保证金。</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．签订合同</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 供应商收到《中标通知书》后，按《中标通知书》中规定的时间地点与采购人签订合同。采购人和中标方不得再订立背离合同实质性内容的其他协议。</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.2如中标方拒签合同，则按违约处理。采购代理机构没收其采购保证金。</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.3采购文件、中标方的采购响应文件及其澄清文件等，均为签订合同的依据。</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．履约保证金（如适用）</w:t>
      </w:r>
    </w:p>
    <w:p>
      <w:pPr>
        <w:spacing w:line="400" w:lineRule="atLeast"/>
        <w:ind w:left="720" w:hanging="72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.1中标方应按合同规定的方式、时间和金额向采购人提交履约保证金。</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．采购代理服务费</w:t>
      </w:r>
    </w:p>
    <w:p>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34.1中标方须向采购代理机构按如下标准和期限交纳采购代理服务费：</w:t>
      </w:r>
    </w:p>
    <w:p>
      <w:pPr>
        <w:adjustRightInd w:val="0"/>
        <w:spacing w:line="400" w:lineRule="atLeast"/>
        <w:ind w:left="2"/>
        <w:rPr>
          <w:rFonts w:hint="eastAsia" w:ascii="宋体" w:hAnsi="宋体" w:eastAsia="宋体" w:cs="宋体"/>
          <w:sz w:val="24"/>
          <w:szCs w:val="24"/>
          <w:highlight w:val="none"/>
        </w:rPr>
      </w:pPr>
      <w:r>
        <w:rPr>
          <w:rFonts w:hint="eastAsia" w:ascii="宋体" w:hAnsi="宋体" w:eastAsia="宋体" w:cs="宋体"/>
          <w:bCs/>
          <w:sz w:val="24"/>
          <w:szCs w:val="24"/>
          <w:highlight w:val="none"/>
        </w:rPr>
        <w:t>34.1.1按差额累积法计算：100万以下*1.5%，招标代理费应由中标人支付；</w:t>
      </w:r>
    </w:p>
    <w:p>
      <w:pPr>
        <w:adjustRightInd w:val="0"/>
        <w:spacing w:line="400" w:lineRule="atLeast"/>
        <w:ind w:left="2"/>
        <w:rPr>
          <w:rFonts w:hint="eastAsia" w:ascii="宋体" w:hAnsi="宋体" w:eastAsia="宋体" w:cs="宋体"/>
          <w:bCs/>
          <w:sz w:val="24"/>
          <w:szCs w:val="24"/>
          <w:highlight w:val="none"/>
        </w:rPr>
      </w:pPr>
      <w:r>
        <w:rPr>
          <w:rFonts w:hint="eastAsia" w:ascii="宋体" w:hAnsi="宋体" w:eastAsia="宋体" w:cs="宋体"/>
          <w:bCs/>
          <w:sz w:val="24"/>
          <w:szCs w:val="24"/>
          <w:highlight w:val="none"/>
        </w:rPr>
        <w:t>34.1.2 在宣布中标后一周内，中标方须按第33.1.1条规定的标准以银行汇票、转帐支票或电汇的方式一次性向采购代理机构缴纳采购代理服务费。</w:t>
      </w:r>
    </w:p>
    <w:p>
      <w:pPr>
        <w:adjustRightInd w:val="0"/>
        <w:spacing w:line="400" w:lineRule="atLeast"/>
        <w:ind w:left="720" w:hanging="720" w:hangingChars="300"/>
        <w:rPr>
          <w:rFonts w:hint="eastAsia" w:ascii="宋体" w:hAnsi="宋体" w:eastAsia="宋体" w:cs="宋体"/>
          <w:bCs/>
          <w:sz w:val="24"/>
          <w:szCs w:val="24"/>
          <w:highlight w:val="none"/>
        </w:rPr>
      </w:pPr>
    </w:p>
    <w:p>
      <w:pPr>
        <w:keepNext/>
        <w:keepLines/>
        <w:adjustRightInd w:val="0"/>
        <w:snapToGrid w:val="0"/>
        <w:spacing w:before="100" w:beforeAutospacing="1" w:after="100" w:afterAutospacing="1" w:line="400" w:lineRule="atLeast"/>
        <w:jc w:val="center"/>
        <w:outlineLvl w:val="1"/>
        <w:rPr>
          <w:rFonts w:hint="eastAsia" w:ascii="宋体" w:hAnsi="宋体" w:eastAsia="宋体" w:cs="宋体"/>
          <w:b/>
          <w:kern w:val="0"/>
          <w:sz w:val="24"/>
          <w:szCs w:val="24"/>
          <w:highlight w:val="none"/>
        </w:rPr>
      </w:pPr>
      <w:bookmarkStart w:id="67" w:name="_Toc377"/>
      <w:bookmarkStart w:id="68" w:name="_Toc517778395"/>
      <w:r>
        <w:rPr>
          <w:rFonts w:hint="eastAsia" w:ascii="宋体" w:hAnsi="宋体" w:eastAsia="宋体" w:cs="宋体"/>
          <w:b/>
          <w:bCs/>
          <w:kern w:val="0"/>
          <w:sz w:val="24"/>
          <w:szCs w:val="24"/>
          <w:highlight w:val="none"/>
        </w:rPr>
        <w:t>G  采购失败条件</w:t>
      </w:r>
      <w:bookmarkEnd w:id="67"/>
      <w:bookmarkEnd w:id="68"/>
    </w:p>
    <w:p>
      <w:pPr>
        <w:tabs>
          <w:tab w:val="left" w:pos="720"/>
          <w:tab w:val="left" w:pos="900"/>
          <w:tab w:val="left" w:pos="1260"/>
        </w:tabs>
        <w:adjustRightInd w:val="0"/>
        <w:spacing w:line="400" w:lineRule="atLeast"/>
        <w:ind w:left="720" w:hanging="720" w:hanging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35.出现影响采购公正的违法、违规行为的；</w:t>
      </w:r>
    </w:p>
    <w:p>
      <w:pPr>
        <w:tabs>
          <w:tab w:val="left" w:pos="720"/>
          <w:tab w:val="left" w:pos="900"/>
          <w:tab w:val="left" w:pos="1260"/>
        </w:tabs>
        <w:adjustRightInd w:val="0"/>
        <w:spacing w:line="400" w:lineRule="atLeast"/>
        <w:ind w:left="720" w:hanging="720" w:hanging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36.因重大变故，采购任务取消的；</w:t>
      </w:r>
    </w:p>
    <w:p>
      <w:pPr>
        <w:tabs>
          <w:tab w:val="left" w:pos="720"/>
          <w:tab w:val="left" w:pos="900"/>
          <w:tab w:val="left" w:pos="1260"/>
        </w:tabs>
        <w:adjustRightInd w:val="0"/>
        <w:spacing w:line="400" w:lineRule="atLeast"/>
        <w:ind w:left="720" w:hanging="720" w:hanging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37.采购响应文件截止时间后，实际参与的供应商不足法定家数的；</w:t>
      </w:r>
    </w:p>
    <w:p>
      <w:pPr>
        <w:tabs>
          <w:tab w:val="left" w:pos="720"/>
          <w:tab w:val="left" w:pos="900"/>
          <w:tab w:val="left" w:pos="1260"/>
        </w:tabs>
        <w:adjustRightInd w:val="0"/>
        <w:spacing w:line="400" w:lineRule="atLeast"/>
        <w:ind w:left="720" w:hanging="720" w:hanging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38.最终报价均超过采购预算的；</w:t>
      </w:r>
    </w:p>
    <w:p>
      <w:pPr>
        <w:tabs>
          <w:tab w:val="left" w:pos="720"/>
          <w:tab w:val="left" w:pos="900"/>
          <w:tab w:val="left" w:pos="1260"/>
        </w:tabs>
        <w:adjustRightInd w:val="0"/>
        <w:spacing w:line="400" w:lineRule="atLeast"/>
        <w:ind w:left="720" w:hanging="720" w:hanging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39.对采购文件作出实质性响应的供应商不足法定家数的。</w:t>
      </w:r>
    </w:p>
    <w:p>
      <w:pPr>
        <w:rPr>
          <w:rFonts w:hint="eastAsia"/>
          <w:highlight w:val="none"/>
        </w:rPr>
      </w:pPr>
      <w:r>
        <w:rPr>
          <w:rFonts w:hint="eastAsia" w:ascii="宋体" w:hAnsi="宋体" w:eastAsia="宋体" w:cs="宋体"/>
          <w:bCs/>
          <w:sz w:val="24"/>
          <w:szCs w:val="24"/>
          <w:highlight w:val="none"/>
        </w:rPr>
        <w:br w:type="page"/>
      </w:r>
    </w:p>
    <w:p>
      <w:pPr>
        <w:pStyle w:val="21"/>
        <w:rPr>
          <w:rFonts w:hint="eastAsia"/>
          <w:highlight w:val="none"/>
        </w:rPr>
      </w:pPr>
    </w:p>
    <w:p>
      <w:pPr>
        <w:pStyle w:val="3"/>
        <w:numPr>
          <w:ilvl w:val="0"/>
          <w:numId w:val="5"/>
        </w:numPr>
        <w:bidi w:val="0"/>
        <w:rPr>
          <w:rFonts w:hint="eastAsia"/>
          <w:highlight w:val="none"/>
          <w:lang w:val="en-US" w:eastAsia="zh-CN"/>
        </w:rPr>
      </w:pPr>
      <w:bookmarkStart w:id="69" w:name="_Toc1771"/>
      <w:r>
        <w:rPr>
          <w:rFonts w:hint="eastAsia"/>
          <w:highlight w:val="none"/>
          <w:lang w:val="en-US" w:eastAsia="zh-CN"/>
        </w:rPr>
        <w:t>评标办法及标准</w:t>
      </w:r>
      <w:bookmarkEnd w:id="69"/>
    </w:p>
    <w:tbl>
      <w:tblPr>
        <w:tblStyle w:val="43"/>
        <w:tblW w:w="9704"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954"/>
        <w:gridCol w:w="6563"/>
        <w:gridCol w:w="688"/>
        <w:gridCol w:w="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40" w:type="dxa"/>
            <w:vMerge w:val="restart"/>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资格性评审</w:t>
            </w:r>
          </w:p>
        </w:tc>
        <w:tc>
          <w:tcPr>
            <w:tcW w:w="954" w:type="dxa"/>
            <w:vMerge w:val="restart"/>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序号</w:t>
            </w:r>
          </w:p>
        </w:tc>
        <w:tc>
          <w:tcPr>
            <w:tcW w:w="6563" w:type="dxa"/>
            <w:vMerge w:val="restart"/>
          </w:tcPr>
          <w:p>
            <w:pPr>
              <w:pStyle w:val="140"/>
              <w:spacing w:before="138" w:line="240" w:lineRule="auto"/>
              <w:ind w:left="107"/>
              <w:jc w:val="center"/>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评审内容</w:t>
            </w:r>
          </w:p>
        </w:tc>
        <w:tc>
          <w:tcPr>
            <w:tcW w:w="1647" w:type="dxa"/>
            <w:gridSpan w:val="2"/>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6563"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688" w:type="dxa"/>
            <w:vAlign w:val="top"/>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通过</w:t>
            </w:r>
          </w:p>
        </w:tc>
        <w:tc>
          <w:tcPr>
            <w:tcW w:w="959" w:type="dxa"/>
            <w:vAlign w:val="top"/>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tcPr>
          <w:p>
            <w:pPr>
              <w:pStyle w:val="140"/>
              <w:spacing w:before="138" w:line="240" w:lineRule="auto"/>
              <w:ind w:left="107"/>
              <w:jc w:val="center"/>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w:t>
            </w:r>
          </w:p>
        </w:tc>
        <w:tc>
          <w:tcPr>
            <w:tcW w:w="6563" w:type="dxa"/>
            <w:vAlign w:val="top"/>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须具有经年审合格（三证合一）的营业执照</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tcPr>
          <w:p>
            <w:pPr>
              <w:pStyle w:val="140"/>
              <w:spacing w:before="138" w:line="240" w:lineRule="auto"/>
              <w:ind w:left="107"/>
              <w:jc w:val="center"/>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w:t>
            </w:r>
          </w:p>
        </w:tc>
        <w:tc>
          <w:tcPr>
            <w:tcW w:w="6563" w:type="dxa"/>
            <w:vAlign w:val="top"/>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提供法定代表人或授权委托人（近3个月）的社保缴费凭证（新成立时间少于三个月的公司，按实际发生提供）；需提供投标单位应提供税务机关出具近期的完税证明原件(附：近三个月的完税证明；新成立不足三个月的，按实际情况发生提供)，注：以完税证明税款所属日期为准，代缴税的完税证明不作为税务缴费凭证（如社保缴税等）；</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tcPr>
          <w:p>
            <w:pPr>
              <w:pStyle w:val="140"/>
              <w:spacing w:before="138" w:line="240" w:lineRule="auto"/>
              <w:ind w:left="107"/>
              <w:jc w:val="center"/>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3</w:t>
            </w:r>
          </w:p>
        </w:tc>
        <w:tc>
          <w:tcPr>
            <w:tcW w:w="6563" w:type="dxa"/>
            <w:vAlign w:val="top"/>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投标单位应提供2021年度或2022年度财务审计报告原件（会计周期不满一年的公司可不提供但需提供银行出具的近三个月的资信证明原件）；</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tcPr>
          <w:p>
            <w:pPr>
              <w:pStyle w:val="140"/>
              <w:spacing w:before="138" w:line="240" w:lineRule="auto"/>
              <w:ind w:left="107"/>
              <w:jc w:val="center"/>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4</w:t>
            </w:r>
          </w:p>
        </w:tc>
        <w:tc>
          <w:tcPr>
            <w:tcW w:w="6563" w:type="dxa"/>
            <w:vAlign w:val="top"/>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拟参加的供应商需提供林业植物检疫登记证</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林木种子生产经营许可证；</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tcPr>
          <w:p>
            <w:pPr>
              <w:pStyle w:val="140"/>
              <w:spacing w:before="138" w:line="240" w:lineRule="auto"/>
              <w:ind w:left="107"/>
              <w:jc w:val="center"/>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5</w:t>
            </w:r>
          </w:p>
        </w:tc>
        <w:tc>
          <w:tcPr>
            <w:tcW w:w="6563" w:type="dxa"/>
            <w:vAlign w:val="top"/>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凡拟参加本次招标项目的投标人须提供“参加政府采购活动前3年内在经营活动中没有重大违法记录的书面声明”；本项目不接受“信用中国”（www.creditchina.gov.cn）和“中国政府采购网” （www.ccgp.gov.cn）网站等列入失信被执行人、重大税收违法案件当事人名单、政府采购严重违法失信行为记录名单的投标供应商投标；</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tcPr>
          <w:p>
            <w:pPr>
              <w:pStyle w:val="140"/>
              <w:spacing w:before="138" w:line="240" w:lineRule="auto"/>
              <w:ind w:left="107"/>
              <w:jc w:val="center"/>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6</w:t>
            </w:r>
          </w:p>
        </w:tc>
        <w:tc>
          <w:tcPr>
            <w:tcW w:w="6563" w:type="dxa"/>
            <w:vAlign w:val="top"/>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企业负责人为同一人或者存在直接控股、管理关系的不同供应商，不得参加同一合同项下的政府采购活动的声明函；否则，皆取消投标资格；</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tcPr>
          <w:p>
            <w:pPr>
              <w:pStyle w:val="140"/>
              <w:spacing w:before="138" w:line="240" w:lineRule="auto"/>
              <w:ind w:left="107"/>
              <w:jc w:val="center"/>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7</w:t>
            </w:r>
          </w:p>
        </w:tc>
        <w:tc>
          <w:tcPr>
            <w:tcW w:w="6563" w:type="dxa"/>
            <w:vAlign w:val="top"/>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提供有效的中小企业声明函。</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tcPr>
          <w:p>
            <w:pPr>
              <w:pStyle w:val="140"/>
              <w:spacing w:before="138" w:line="240" w:lineRule="auto"/>
              <w:ind w:left="107"/>
              <w:jc w:val="center"/>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8</w:t>
            </w:r>
          </w:p>
        </w:tc>
        <w:tc>
          <w:tcPr>
            <w:tcW w:w="6563" w:type="dxa"/>
            <w:vAlign w:val="top"/>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是否按照采购文件要求足额缴纳保证金</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40" w:type="dxa"/>
            <w:vMerge w:val="restart"/>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符合性评审</w:t>
            </w: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ab/>
            </w:r>
            <w:r>
              <w:rPr>
                <w:rFonts w:hint="eastAsia" w:ascii="宋体" w:hAnsi="宋体" w:eastAsia="宋体" w:cs="宋体"/>
                <w:b w:val="0"/>
                <w:bCs w:val="0"/>
                <w:color w:val="auto"/>
                <w:kern w:val="2"/>
                <w:sz w:val="24"/>
                <w:szCs w:val="24"/>
                <w:highlight w:val="none"/>
                <w:lang w:val="en-US" w:eastAsia="zh-CN" w:bidi="ar-SA"/>
              </w:rPr>
              <w:t>1</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投标文件是否按招标文件要求签署、盖章；</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未按投标文件规定的格式填写，内容不全或关键字迹模糊、无法辨认的；</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改变投标文件提供的清单中的计量单位、数量的；</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以行贿手段谋取中标或者以其他弄虚作假方式投标的；</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投标文件是否不齐全或者内容虚假的；</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投标质保期是否满足招标文件要求的；</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投标有效期是否满足招标文件要求的；</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投标报价是否高于采购预算价；投标报价是否为唯一报价，有多个报价时是否明确有效力的报价；</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投标文件载明的技术规格、技术标准、检验标准和方法等，不符合投标文件要求的；</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投标文件完全满足招标文件的实质性条款无负偏离的（带★号的条款为实质性条款需完全响应）； </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投标文件是否附有招标人不能接受条件的；</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540" w:type="dxa"/>
            <w:vMerge w:val="continue"/>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4"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w:t>
            </w:r>
          </w:p>
        </w:tc>
        <w:tc>
          <w:tcPr>
            <w:tcW w:w="6563"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交货地点是否满足招标文件要求；</w:t>
            </w:r>
          </w:p>
        </w:tc>
        <w:tc>
          <w:tcPr>
            <w:tcW w:w="688"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c>
          <w:tcPr>
            <w:tcW w:w="959" w:type="dxa"/>
          </w:tcPr>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704" w:type="dxa"/>
            <w:gridSpan w:val="5"/>
          </w:tcPr>
          <w:p>
            <w:pPr>
              <w:pStyle w:val="140"/>
              <w:spacing w:before="138" w:line="240" w:lineRule="auto"/>
              <w:ind w:left="107"/>
              <w:rPr>
                <w:rFonts w:hint="eastAsia" w:ascii="宋体" w:hAnsi="宋体" w:eastAsia="宋体" w:cs="宋体"/>
                <w:color w:val="000000"/>
                <w:spacing w:val="-2"/>
                <w:sz w:val="24"/>
                <w:szCs w:val="24"/>
                <w:highlight w:val="none"/>
              </w:rPr>
            </w:pPr>
            <w:r>
              <w:rPr>
                <w:rFonts w:hint="eastAsia" w:ascii="宋体" w:hAnsi="宋体" w:eastAsia="宋体" w:cs="宋体"/>
                <w:color w:val="000000"/>
                <w:spacing w:val="-2"/>
                <w:sz w:val="24"/>
                <w:szCs w:val="24"/>
                <w:highlight w:val="none"/>
              </w:rPr>
              <w:t>结论：通过评审打“√ ”        未通过评审“×”</w:t>
            </w:r>
          </w:p>
          <w:p>
            <w:pPr>
              <w:pStyle w:val="140"/>
              <w:spacing w:before="138" w:line="240" w:lineRule="auto"/>
              <w:ind w:left="107"/>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以上有一项不通过结论为不通过，初步评审通过的投标人进入下阶段评审</w:t>
            </w:r>
          </w:p>
        </w:tc>
      </w:tr>
    </w:tbl>
    <w:p>
      <w:pPr>
        <w:rPr>
          <w:rFonts w:hint="eastAsia" w:ascii="仿宋" w:hAnsi="仿宋" w:eastAsia="仿宋" w:cs="仿宋"/>
          <w:b/>
          <w:bCs/>
          <w:color w:val="auto"/>
          <w:sz w:val="36"/>
          <w:szCs w:val="56"/>
          <w:highlight w:val="none"/>
        </w:rPr>
        <w:sectPr>
          <w:headerReference r:id="rId3" w:type="default"/>
          <w:footerReference r:id="rId4"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bookmarkEnd w:id="33"/>
    <w:bookmarkEnd w:id="34"/>
    <w:p>
      <w:pPr>
        <w:pStyle w:val="3"/>
        <w:numPr>
          <w:ilvl w:val="0"/>
          <w:numId w:val="6"/>
        </w:numPr>
        <w:bidi w:val="0"/>
        <w:rPr>
          <w:rFonts w:hint="eastAsia"/>
          <w:highlight w:val="none"/>
        </w:rPr>
      </w:pPr>
      <w:bookmarkStart w:id="70" w:name="_Toc6417"/>
      <w:bookmarkStart w:id="71" w:name="_Toc29710"/>
      <w:bookmarkStart w:id="72" w:name="_Toc1354"/>
      <w:bookmarkStart w:id="73" w:name="_Toc20110"/>
      <w:bookmarkStart w:id="74" w:name="_Toc23028"/>
      <w:r>
        <w:rPr>
          <w:rFonts w:hint="eastAsia"/>
          <w:highlight w:val="none"/>
          <w:lang w:val="en-US" w:eastAsia="zh-CN"/>
        </w:rPr>
        <w:t xml:space="preserve"> </w:t>
      </w:r>
      <w:bookmarkStart w:id="75" w:name="_Toc27514"/>
      <w:r>
        <w:rPr>
          <w:rFonts w:hint="eastAsia"/>
          <w:highlight w:val="none"/>
        </w:rPr>
        <w:t>采购需求、技术参数、规格</w:t>
      </w:r>
      <w:bookmarkEnd w:id="70"/>
      <w:bookmarkEnd w:id="71"/>
      <w:bookmarkEnd w:id="72"/>
      <w:bookmarkEnd w:id="73"/>
      <w:bookmarkEnd w:id="74"/>
      <w:bookmarkEnd w:id="75"/>
    </w:p>
    <w:tbl>
      <w:tblPr>
        <w:tblStyle w:val="43"/>
        <w:tblpPr w:leftFromText="180" w:rightFromText="180" w:vertAnchor="text" w:horzAnchor="page" w:tblpX="1175" w:tblpY="145"/>
        <w:tblOverlap w:val="never"/>
        <w:tblW w:w="97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1006"/>
        <w:gridCol w:w="4804"/>
        <w:gridCol w:w="1348"/>
        <w:gridCol w:w="968"/>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bookmarkStart w:id="76" w:name="_Toc28817"/>
            <w:bookmarkStart w:id="77" w:name="_Toc26060"/>
            <w:bookmarkStart w:id="78" w:name="_Toc7241"/>
            <w:bookmarkStart w:id="79" w:name="_Toc24194"/>
            <w:bookmarkStart w:id="80" w:name="_Toc19723"/>
            <w:bookmarkStart w:id="81" w:name="_Toc20061"/>
            <w:bookmarkStart w:id="82" w:name="_Toc25254"/>
            <w:bookmarkStart w:id="83" w:name="_Toc18832"/>
            <w:bookmarkStart w:id="84" w:name="_Toc11973"/>
            <w:bookmarkStart w:id="85" w:name="_Toc19312"/>
            <w:bookmarkStart w:id="86" w:name="_Toc700"/>
            <w:bookmarkStart w:id="87" w:name="_Toc32237"/>
            <w:bookmarkStart w:id="88" w:name="_Toc13536"/>
            <w:r>
              <w:rPr>
                <w:rFonts w:hint="eastAsia" w:ascii="宋体" w:hAnsi="宋体" w:eastAsia="宋体" w:cs="宋体"/>
                <w:i w:val="0"/>
                <w:iCs w:val="0"/>
                <w:color w:val="000000"/>
                <w:kern w:val="0"/>
                <w:sz w:val="22"/>
                <w:szCs w:val="22"/>
                <w:highlight w:val="none"/>
                <w:u w:val="none"/>
                <w:lang w:val="en-US" w:eastAsia="zh-CN" w:bidi="ar"/>
              </w:rPr>
              <w:t>序号</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品名</w:t>
            </w:r>
          </w:p>
        </w:tc>
        <w:tc>
          <w:tcPr>
            <w:tcW w:w="4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参数</w:t>
            </w:r>
          </w:p>
        </w:tc>
        <w:tc>
          <w:tcPr>
            <w:tcW w:w="13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5"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pStyle w:val="2"/>
              <w:jc w:val="center"/>
              <w:rPr>
                <w:rFonts w:hint="default"/>
                <w:b w:val="0"/>
                <w:bCs w:val="0"/>
                <w:highlight w:val="none"/>
                <w:lang w:val="en-US" w:eastAsia="zh-CN"/>
              </w:rPr>
            </w:pPr>
            <w:r>
              <w:rPr>
                <w:rFonts w:hint="eastAsia"/>
                <w:b w:val="0"/>
                <w:bCs w:val="0"/>
                <w:highlight w:val="none"/>
                <w:lang w:val="en-US" w:eastAsia="zh-CN"/>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aps w:val="0"/>
                <w:color w:val="333333"/>
                <w:spacing w:val="0"/>
                <w:sz w:val="22"/>
                <w:szCs w:val="22"/>
                <w:highlight w:val="none"/>
                <w:shd w:val="clear" w:color="auto" w:fill="FFFFFF"/>
                <w:lang w:val="en-US" w:eastAsia="zh-CN"/>
              </w:rPr>
              <w:t>密胡杨</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aps w:val="0"/>
                <w:color w:val="333333"/>
                <w:spacing w:val="0"/>
                <w:sz w:val="24"/>
                <w:szCs w:val="24"/>
                <w:highlight w:val="none"/>
                <w:shd w:val="clear" w:color="auto" w:fill="FFFFFF"/>
                <w:lang w:val="en-US" w:eastAsia="zh-CN"/>
              </w:rPr>
              <w:t>扦插苗或播种：苗龄≥2年，胸径3㎝；苗高&gt;100㎝，主根长度≥5㎝</w:t>
            </w:r>
          </w:p>
        </w:tc>
        <w:tc>
          <w:tcPr>
            <w:tcW w:w="13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aps w:val="0"/>
                <w:color w:val="333333"/>
                <w:spacing w:val="0"/>
                <w:sz w:val="22"/>
                <w:szCs w:val="22"/>
                <w:highlight w:val="none"/>
                <w:shd w:val="clear" w:color="auto" w:fill="FFFFFF"/>
                <w:lang w:val="en-US" w:eastAsia="zh-CN"/>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aps w:val="0"/>
                <w:color w:val="333333"/>
                <w:spacing w:val="0"/>
                <w:sz w:val="22"/>
                <w:szCs w:val="22"/>
                <w:highlight w:val="none"/>
                <w:shd w:val="clear" w:color="auto" w:fill="FFFFFF"/>
                <w:lang w:val="en-US" w:eastAsia="zh-CN"/>
              </w:rPr>
              <w:t>65267</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sz w:val="24"/>
                <w:szCs w:val="24"/>
                <w:highlight w:val="none"/>
                <w:lang w:val="en-US" w:eastAsia="zh-CN"/>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sz w:val="24"/>
                <w:szCs w:val="24"/>
                <w:highlight w:val="none"/>
                <w:lang w:val="en-US" w:eastAsia="zh-CN"/>
              </w:rPr>
              <w:t>株</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7"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aps w:val="0"/>
                <w:color w:val="333333"/>
                <w:spacing w:val="0"/>
                <w:sz w:val="24"/>
                <w:szCs w:val="24"/>
                <w:highlight w:val="none"/>
                <w:shd w:val="clear" w:color="auto" w:fill="FFFFFF"/>
                <w:lang w:val="en-US" w:eastAsia="zh-CN"/>
              </w:rPr>
            </w:pPr>
            <w:r>
              <w:rPr>
                <w:rFonts w:hint="eastAsia" w:ascii="宋体" w:hAnsi="宋体" w:eastAsia="宋体" w:cs="宋体"/>
                <w:b w:val="0"/>
                <w:bCs w:val="0"/>
                <w:i w:val="0"/>
                <w:iCs w:val="0"/>
                <w:caps w:val="0"/>
                <w:color w:val="333333"/>
                <w:spacing w:val="0"/>
                <w:sz w:val="24"/>
                <w:szCs w:val="24"/>
                <w:highlight w:val="none"/>
                <w:shd w:val="clear" w:color="auto" w:fill="FFFFFF"/>
                <w:lang w:val="en-US" w:eastAsia="zh-CN"/>
              </w:rPr>
              <w:t>沙枣</w:t>
            </w:r>
          </w:p>
        </w:tc>
        <w:tc>
          <w:tcPr>
            <w:tcW w:w="4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aps w:val="0"/>
                <w:color w:val="333333"/>
                <w:spacing w:val="0"/>
                <w:sz w:val="24"/>
                <w:szCs w:val="24"/>
                <w:highlight w:val="none"/>
                <w:shd w:val="clear" w:color="auto" w:fill="FFFFFF"/>
                <w:lang w:val="en-US" w:eastAsia="zh-CN"/>
              </w:rPr>
            </w:pPr>
            <w:r>
              <w:rPr>
                <w:rFonts w:hint="eastAsia" w:ascii="宋体" w:hAnsi="宋体" w:eastAsia="宋体" w:cs="宋体"/>
                <w:b w:val="0"/>
                <w:bCs w:val="0"/>
                <w:i w:val="0"/>
                <w:iCs w:val="0"/>
                <w:caps w:val="0"/>
                <w:color w:val="333333"/>
                <w:spacing w:val="0"/>
                <w:sz w:val="24"/>
                <w:szCs w:val="24"/>
                <w:highlight w:val="none"/>
                <w:shd w:val="clear" w:color="auto" w:fill="FFFFFF"/>
                <w:lang w:val="en-US" w:eastAsia="zh-CN"/>
              </w:rPr>
              <w:t>扦插苗或播种：苗龄≥2年，地径≥2.0㎝，苗高≥80㎝，主根长度≥5㎝</w:t>
            </w:r>
          </w:p>
        </w:tc>
        <w:tc>
          <w:tcPr>
            <w:tcW w:w="13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aps w:val="0"/>
                <w:color w:val="333333"/>
                <w:spacing w:val="0"/>
                <w:sz w:val="22"/>
                <w:szCs w:val="22"/>
                <w:highlight w:val="none"/>
                <w:shd w:val="clear" w:color="auto" w:fill="FFFFFF"/>
                <w:lang w:val="en-US" w:eastAsia="zh-CN"/>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aps w:val="0"/>
                <w:color w:val="333333"/>
                <w:spacing w:val="0"/>
                <w:sz w:val="22"/>
                <w:szCs w:val="22"/>
                <w:highlight w:val="none"/>
                <w:shd w:val="clear" w:color="auto" w:fill="FFFFFF"/>
                <w:lang w:val="en-US" w:eastAsia="zh-CN"/>
              </w:rPr>
              <w:t>311976</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sz w:val="24"/>
                <w:szCs w:val="24"/>
                <w:highlight w:val="none"/>
                <w:lang w:val="en-US" w:eastAsia="zh-CN"/>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sz w:val="24"/>
                <w:szCs w:val="24"/>
                <w:highlight w:val="none"/>
                <w:lang w:val="en-US" w:eastAsia="zh-CN"/>
              </w:rPr>
              <w:t>株</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2"/>
                <w:szCs w:val="22"/>
                <w:highlight w:val="none"/>
                <w:u w:val="none"/>
              </w:rPr>
            </w:pPr>
          </w:p>
        </w:tc>
      </w:tr>
    </w:tbl>
    <w:p>
      <w:pPr>
        <w:pStyle w:val="2"/>
        <w:rPr>
          <w:rFonts w:hint="default"/>
          <w:highlight w:val="none"/>
          <w:lang w:val="en-US" w:eastAsia="zh-CN"/>
        </w:rPr>
      </w:pPr>
    </w:p>
    <w:p>
      <w:pPr>
        <w:keepNext w:val="0"/>
        <w:keepLines w:val="0"/>
        <w:widowControl/>
        <w:suppressLineNumbers w:val="0"/>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商务要求</w:t>
      </w:r>
      <w:r>
        <w:rPr>
          <w:rFonts w:hint="eastAsia" w:ascii="宋体" w:hAnsi="宋体" w:eastAsia="宋体" w:cs="宋体"/>
          <w:b/>
          <w:bCs/>
          <w:color w:val="auto"/>
          <w:sz w:val="24"/>
          <w:szCs w:val="24"/>
          <w:highlight w:val="none"/>
          <w:lang w:val="en-US" w:eastAsia="zh-CN"/>
        </w:rPr>
        <w:t>：</w:t>
      </w:r>
    </w:p>
    <w:p>
      <w:pPr>
        <w:pStyle w:val="2"/>
        <w:spacing w:line="360" w:lineRule="auto"/>
        <w:rPr>
          <w:rFonts w:hint="eastAsia" w:ascii="宋体" w:hAnsi="宋体" w:eastAsia="宋体" w:cs="Times New Roman"/>
          <w:b w:val="0"/>
          <w:bCs w:val="0"/>
          <w:kern w:val="2"/>
          <w:sz w:val="24"/>
          <w:szCs w:val="24"/>
          <w:highlight w:val="none"/>
          <w:lang w:val="en-US" w:eastAsia="zh-CN" w:bidi="ar-SA"/>
        </w:rPr>
      </w:pPr>
      <w:bookmarkStart w:id="89" w:name="_Toc31988"/>
      <w:r>
        <w:rPr>
          <w:rFonts w:hint="eastAsia" w:ascii="宋体" w:hAnsi="宋体" w:eastAsia="宋体" w:cs="Times New Roman"/>
          <w:b w:val="0"/>
          <w:bCs w:val="0"/>
          <w:kern w:val="2"/>
          <w:sz w:val="24"/>
          <w:szCs w:val="24"/>
          <w:highlight w:val="none"/>
          <w:lang w:val="en-US" w:eastAsia="zh-CN" w:bidi="ar-SA"/>
        </w:rPr>
        <w:t>1、报价要求</w:t>
      </w:r>
      <w:bookmarkEnd w:id="89"/>
    </w:p>
    <w:p>
      <w:pPr>
        <w:pStyle w:val="2"/>
        <w:spacing w:line="360" w:lineRule="auto"/>
        <w:rPr>
          <w:rFonts w:hint="eastAsia" w:ascii="宋体" w:hAnsi="宋体" w:eastAsia="宋体" w:cs="Times New Roman"/>
          <w:b w:val="0"/>
          <w:bCs w:val="0"/>
          <w:kern w:val="2"/>
          <w:sz w:val="24"/>
          <w:szCs w:val="24"/>
          <w:highlight w:val="none"/>
          <w:lang w:val="en-US" w:eastAsia="zh-CN" w:bidi="ar-SA"/>
        </w:rPr>
      </w:pPr>
      <w:bookmarkStart w:id="90" w:name="_Toc28000"/>
      <w:r>
        <w:rPr>
          <w:rFonts w:hint="eastAsia" w:ascii="宋体" w:hAnsi="宋体" w:eastAsia="宋体" w:cs="Times New Roman"/>
          <w:b w:val="0"/>
          <w:bCs w:val="0"/>
          <w:kern w:val="2"/>
          <w:sz w:val="24"/>
          <w:szCs w:val="24"/>
          <w:highlight w:val="none"/>
          <w:lang w:val="en-US" w:eastAsia="zh-CN" w:bidi="ar-SA"/>
        </w:rPr>
        <w:t>投标人投标报价以人民币为单位。投标报价包括但不限于：货物的采购、运输保险、装卸、质保期售后服务、全额含税发票、雇员费用、验收费、合同实施过程中应预见和不可预见费用等。</w:t>
      </w:r>
      <w:bookmarkEnd w:id="90"/>
    </w:p>
    <w:p>
      <w:pPr>
        <w:pStyle w:val="2"/>
        <w:spacing w:line="360" w:lineRule="auto"/>
        <w:rPr>
          <w:rFonts w:hint="eastAsia" w:ascii="宋体" w:hAnsi="宋体" w:eastAsia="宋体" w:cs="Times New Roman"/>
          <w:b w:val="0"/>
          <w:bCs w:val="0"/>
          <w:kern w:val="2"/>
          <w:sz w:val="24"/>
          <w:szCs w:val="24"/>
          <w:highlight w:val="none"/>
          <w:lang w:val="en-US" w:eastAsia="zh-CN" w:bidi="ar-SA"/>
        </w:rPr>
      </w:pPr>
      <w:bookmarkStart w:id="91" w:name="_Toc14642"/>
      <w:r>
        <w:rPr>
          <w:rFonts w:hint="eastAsia" w:ascii="宋体" w:hAnsi="宋体" w:eastAsia="宋体" w:cs="Times New Roman"/>
          <w:b w:val="0"/>
          <w:bCs w:val="0"/>
          <w:kern w:val="2"/>
          <w:sz w:val="24"/>
          <w:szCs w:val="24"/>
          <w:highlight w:val="none"/>
          <w:lang w:val="en-US" w:eastAsia="zh-CN" w:bidi="ar-SA"/>
        </w:rPr>
        <w:t>2、价格要求</w:t>
      </w:r>
      <w:bookmarkEnd w:id="91"/>
    </w:p>
    <w:p>
      <w:pPr>
        <w:pStyle w:val="2"/>
        <w:spacing w:line="360" w:lineRule="auto"/>
        <w:rPr>
          <w:rFonts w:hint="eastAsia" w:ascii="宋体" w:hAnsi="宋体" w:eastAsia="宋体" w:cs="Times New Roman"/>
          <w:b w:val="0"/>
          <w:bCs w:val="0"/>
          <w:kern w:val="2"/>
          <w:sz w:val="24"/>
          <w:szCs w:val="24"/>
          <w:highlight w:val="none"/>
          <w:lang w:val="en-US" w:eastAsia="zh-CN" w:bidi="ar-SA"/>
        </w:rPr>
      </w:pPr>
      <w:bookmarkStart w:id="92" w:name="_Toc11434"/>
      <w:r>
        <w:rPr>
          <w:rFonts w:hint="eastAsia" w:ascii="宋体" w:hAnsi="宋体" w:eastAsia="宋体" w:cs="Times New Roman"/>
          <w:b w:val="0"/>
          <w:bCs w:val="0"/>
          <w:kern w:val="2"/>
          <w:sz w:val="24"/>
          <w:szCs w:val="24"/>
          <w:highlight w:val="none"/>
          <w:lang w:val="en-US" w:eastAsia="zh-CN" w:bidi="ar-SA"/>
        </w:rPr>
        <w:t>1)、中标人提供的货物价格不得高于市场价格。</w:t>
      </w:r>
      <w:bookmarkEnd w:id="92"/>
    </w:p>
    <w:p>
      <w:pPr>
        <w:pStyle w:val="2"/>
        <w:spacing w:line="360" w:lineRule="auto"/>
        <w:rPr>
          <w:rFonts w:hint="eastAsia" w:ascii="宋体" w:hAnsi="宋体" w:eastAsia="宋体" w:cs="Times New Roman"/>
          <w:b w:val="0"/>
          <w:bCs w:val="0"/>
          <w:kern w:val="2"/>
          <w:sz w:val="24"/>
          <w:szCs w:val="24"/>
          <w:highlight w:val="none"/>
          <w:lang w:val="en-US" w:eastAsia="zh-CN" w:bidi="ar-SA"/>
        </w:rPr>
      </w:pPr>
      <w:bookmarkStart w:id="93" w:name="_Toc743"/>
      <w:r>
        <w:rPr>
          <w:rFonts w:hint="eastAsia" w:ascii="宋体" w:hAnsi="宋体" w:eastAsia="宋体" w:cs="Times New Roman"/>
          <w:b w:val="0"/>
          <w:bCs w:val="0"/>
          <w:kern w:val="2"/>
          <w:sz w:val="24"/>
          <w:szCs w:val="24"/>
          <w:highlight w:val="none"/>
          <w:lang w:val="en-US" w:eastAsia="zh-CN" w:bidi="ar-SA"/>
        </w:rPr>
        <w:t>2)、中标人必须负责中标货物的运输、搬运等工作，所产生的费用由中标人负责。</w:t>
      </w:r>
      <w:bookmarkEnd w:id="93"/>
    </w:p>
    <w:p>
      <w:pPr>
        <w:keepNext w:val="0"/>
        <w:keepLines w:val="0"/>
        <w:pageBreakBefore w:val="0"/>
        <w:widowControl w:val="0"/>
        <w:numPr>
          <w:ilvl w:val="0"/>
          <w:numId w:val="0"/>
        </w:numPr>
        <w:kinsoku/>
        <w:wordWrap/>
        <w:overflowPunct/>
        <w:topLinePunct w:val="0"/>
        <w:bidi w:val="0"/>
        <w:adjustRightInd w:val="0"/>
        <w:snapToGrid/>
        <w:spacing w:line="360" w:lineRule="auto"/>
        <w:ind w:leftChars="0" w:right="0" w:rightChars="0"/>
        <w:textAlignment w:val="baseline"/>
        <w:rPr>
          <w:rFonts w:hint="eastAsia" w:ascii="宋体" w:hAnsi="宋体" w:eastAsia="宋体" w:cs="Times New Roman"/>
          <w:b w:val="0"/>
          <w:bCs w:val="0"/>
          <w:kern w:val="2"/>
          <w:sz w:val="24"/>
          <w:szCs w:val="24"/>
          <w:highlight w:val="none"/>
          <w:lang w:val="en-US" w:eastAsia="zh-CN" w:bidi="ar-SA"/>
        </w:rPr>
      </w:pPr>
      <w:bookmarkStart w:id="94" w:name="_Toc3571"/>
      <w:r>
        <w:rPr>
          <w:rFonts w:hint="eastAsia" w:ascii="宋体" w:hAnsi="宋体" w:eastAsia="宋体" w:cs="Times New Roman"/>
          <w:b w:val="0"/>
          <w:bCs w:val="0"/>
          <w:kern w:val="2"/>
          <w:sz w:val="24"/>
          <w:szCs w:val="24"/>
          <w:highlight w:val="none"/>
          <w:lang w:val="en-US" w:eastAsia="zh-CN" w:bidi="ar-SA"/>
        </w:rPr>
        <w:t>3)、★中标人不得擅自变更投标货品（含商标、名称、产地、包装、规格和重量等），并且</w:t>
      </w:r>
      <w:r>
        <w:rPr>
          <w:rFonts w:hint="eastAsia" w:ascii="宋体" w:hAnsi="宋体" w:eastAsia="宋体" w:cs="宋体"/>
          <w:b w:val="0"/>
          <w:bCs w:val="0"/>
          <w:color w:val="auto"/>
          <w:sz w:val="24"/>
          <w:szCs w:val="24"/>
          <w:highlight w:val="none"/>
          <w:lang w:val="en-US" w:eastAsia="zh-CN"/>
        </w:rPr>
        <w:t>货物的采购、包装费、运输费、卸货费、人员工资、验收、免费期维护费及售后服务、税金等。运输途中风险由中标供应商自行承担，</w:t>
      </w:r>
      <w:r>
        <w:rPr>
          <w:rFonts w:hint="eastAsia" w:ascii="宋体" w:hAnsi="宋体" w:eastAsia="宋体" w:cs="Times New Roman"/>
          <w:b w:val="0"/>
          <w:bCs w:val="0"/>
          <w:kern w:val="2"/>
          <w:sz w:val="24"/>
          <w:szCs w:val="24"/>
          <w:highlight w:val="none"/>
          <w:lang w:val="en-US" w:eastAsia="zh-CN" w:bidi="ar-SA"/>
        </w:rPr>
        <w:t>严格按采购人要求供应，否则，采购人有权拒收。</w:t>
      </w:r>
      <w:bookmarkEnd w:id="94"/>
      <w:r>
        <w:rPr>
          <w:rFonts w:hint="eastAsia" w:ascii="宋体" w:hAnsi="宋体" w:eastAsia="宋体" w:cs="宋体"/>
          <w:color w:val="000000"/>
          <w:sz w:val="24"/>
          <w:szCs w:val="24"/>
          <w:highlight w:val="none"/>
          <w:lang w:val="en-US" w:eastAsia="zh-CN" w:bidi="ar-SA"/>
        </w:rPr>
        <w:t>以提供承诺函响应该条款，格式由供应商自拟。）</w:t>
      </w:r>
    </w:p>
    <w:p>
      <w:pPr>
        <w:pStyle w:val="2"/>
        <w:spacing w:line="360" w:lineRule="auto"/>
        <w:rPr>
          <w:rFonts w:hint="eastAsia" w:ascii="宋体" w:hAnsi="宋体" w:eastAsia="宋体" w:cs="Times New Roman"/>
          <w:b w:val="0"/>
          <w:bCs w:val="0"/>
          <w:kern w:val="2"/>
          <w:sz w:val="24"/>
          <w:szCs w:val="24"/>
          <w:highlight w:val="none"/>
          <w:lang w:val="en-US" w:eastAsia="zh-CN" w:bidi="ar-SA"/>
        </w:rPr>
      </w:pPr>
      <w:bookmarkStart w:id="95" w:name="_Toc18409"/>
      <w:bookmarkStart w:id="96" w:name="_Toc13191"/>
      <w:bookmarkStart w:id="97" w:name="_Toc27100"/>
      <w:bookmarkStart w:id="98" w:name="_Toc130697194"/>
      <w:bookmarkStart w:id="99" w:name="_Toc279046879"/>
      <w:bookmarkStart w:id="100" w:name="_Toc191353027"/>
      <w:bookmarkStart w:id="101" w:name="_Toc130695602"/>
      <w:bookmarkStart w:id="102" w:name="_Toc278958172"/>
      <w:bookmarkStart w:id="103" w:name="_Toc185747590"/>
      <w:bookmarkStart w:id="104" w:name="_Toc695"/>
      <w:bookmarkStart w:id="105" w:name="_Toc153615299"/>
      <w:r>
        <w:rPr>
          <w:rFonts w:hint="eastAsia" w:ascii="宋体" w:hAnsi="宋体" w:eastAsia="宋体" w:cs="Times New Roman"/>
          <w:b w:val="0"/>
          <w:bCs w:val="0"/>
          <w:kern w:val="2"/>
          <w:sz w:val="24"/>
          <w:szCs w:val="24"/>
          <w:highlight w:val="none"/>
          <w:lang w:val="en-US" w:eastAsia="zh-CN" w:bidi="ar-SA"/>
        </w:rPr>
        <w:t>3、服务要求</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配送、交货</w:t>
      </w:r>
      <w:r>
        <w:rPr>
          <w:rFonts w:hint="eastAsia" w:ascii="宋体" w:hAnsi="宋体" w:eastAsia="宋体" w:cs="宋体"/>
          <w:color w:val="000000"/>
          <w:sz w:val="24"/>
          <w:szCs w:val="24"/>
          <w:highlight w:val="none"/>
          <w:lang w:val="en-US" w:eastAsia="zh-CN"/>
        </w:rPr>
        <w:t>时间、地点</w:t>
      </w:r>
      <w:r>
        <w:rPr>
          <w:rFonts w:hint="eastAsia" w:ascii="宋体" w:hAnsi="宋体" w:eastAsia="宋体" w:cs="宋体"/>
          <w:color w:val="000000"/>
          <w:sz w:val="24"/>
          <w:szCs w:val="24"/>
          <w:highlight w:val="none"/>
        </w:rPr>
        <w:t>要求</w:t>
      </w:r>
    </w:p>
    <w:p>
      <w:pPr>
        <w:keepNext w:val="0"/>
        <w:keepLines w:val="0"/>
        <w:widowControl/>
        <w:numPr>
          <w:ilvl w:val="0"/>
          <w:numId w:val="0"/>
        </w:numPr>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1）本项目供货时间为2024年3月1日--2024年7月30日</w:t>
      </w:r>
    </w:p>
    <w:p>
      <w:pPr>
        <w:pStyle w:val="13"/>
        <w:rPr>
          <w:rFonts w:hint="eastAsia"/>
          <w:highlight w:val="none"/>
        </w:rPr>
      </w:pPr>
    </w:p>
    <w:p>
      <w:pPr>
        <w:keepNext w:val="0"/>
        <w:keepLines w:val="0"/>
        <w:pageBreakBefore w:val="0"/>
        <w:widowControl w:val="0"/>
        <w:numPr>
          <w:ilvl w:val="0"/>
          <w:numId w:val="7"/>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了保证货物在运输和装卸过程中的安全，货物包装应符合国家或行业标准规定。包装均应有良好的防湿、防锈、防潮、防雨、防腐及防碰撞的措施，并适宜当地的气候条件。凡由于包装不良造成的损失和由此产生的费用均由中标人承担。</w:t>
      </w:r>
    </w:p>
    <w:p>
      <w:pPr>
        <w:keepNext w:val="0"/>
        <w:keepLines w:val="0"/>
        <w:pageBreakBefore w:val="0"/>
        <w:widowControl w:val="0"/>
        <w:numPr>
          <w:ilvl w:val="0"/>
          <w:numId w:val="7"/>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中标人应具有仓储配送能力，具备满足本项目配送需求的运输车辆，保证准时、准点将</w:t>
      </w:r>
      <w:r>
        <w:rPr>
          <w:rFonts w:hint="eastAsia" w:ascii="宋体" w:hAnsi="宋体" w:eastAsia="宋体" w:cs="宋体"/>
          <w:color w:val="000000"/>
          <w:sz w:val="24"/>
          <w:szCs w:val="24"/>
          <w:highlight w:val="none"/>
          <w:lang w:val="en-US" w:eastAsia="zh-CN"/>
        </w:rPr>
        <w:t>货物</w:t>
      </w:r>
      <w:r>
        <w:rPr>
          <w:rFonts w:hint="eastAsia" w:ascii="宋体" w:hAnsi="宋体" w:eastAsia="宋体" w:cs="宋体"/>
          <w:color w:val="000000"/>
          <w:sz w:val="24"/>
          <w:szCs w:val="24"/>
          <w:highlight w:val="none"/>
        </w:rPr>
        <w:t>妥善送达采购人指定交货地点。</w:t>
      </w:r>
    </w:p>
    <w:p>
      <w:pPr>
        <w:keepNext w:val="0"/>
        <w:keepLines w:val="0"/>
        <w:pageBreakBefore w:val="0"/>
        <w:widowControl w:val="0"/>
        <w:numPr>
          <w:ilvl w:val="0"/>
          <w:numId w:val="7"/>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急需的货物应在收到采购人通知 1 小时内送达。</w:t>
      </w:r>
    </w:p>
    <w:p>
      <w:pPr>
        <w:keepNext w:val="0"/>
        <w:keepLines w:val="0"/>
        <w:pageBreakBefore w:val="0"/>
        <w:widowControl w:val="0"/>
        <w:numPr>
          <w:ilvl w:val="0"/>
          <w:numId w:val="7"/>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本项目不得转包他人，如转包采购人有权终止合同，所带来的一切损失由中标人负责。</w:t>
      </w:r>
    </w:p>
    <w:p>
      <w:pPr>
        <w:keepNext w:val="0"/>
        <w:keepLines w:val="0"/>
        <w:pageBreakBefore w:val="0"/>
        <w:widowControl w:val="0"/>
        <w:numPr>
          <w:ilvl w:val="0"/>
          <w:numId w:val="7"/>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因包装问题造成货物的损坏、丢失等损失由中标人承担。</w:t>
      </w:r>
    </w:p>
    <w:p>
      <w:pPr>
        <w:keepNext w:val="0"/>
        <w:keepLines w:val="0"/>
        <w:pageBreakBefore w:val="0"/>
        <w:widowControl w:val="0"/>
        <w:numPr>
          <w:ilvl w:val="0"/>
          <w:numId w:val="7"/>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★交货时间：本次招标货物一次性完成供货,所有货物需根据采购人的需求一次性交货并且提供包括运输、包装、质量检验等服务；具体种类及交货时间由采购人书面通知中标人。中标人</w:t>
      </w:r>
      <w:r>
        <w:rPr>
          <w:rFonts w:hint="eastAsia" w:ascii="宋体" w:hAnsi="宋体" w:eastAsia="宋体" w:cs="宋体"/>
          <w:b w:val="0"/>
          <w:bCs w:val="0"/>
          <w:color w:val="000000"/>
          <w:kern w:val="0"/>
          <w:sz w:val="24"/>
          <w:szCs w:val="24"/>
          <w:highlight w:val="none"/>
          <w:lang w:val="en-US" w:eastAsia="zh-CN" w:bidi="ar"/>
        </w:rPr>
        <w:t>履约验收时间为2024年8月</w:t>
      </w:r>
      <w:r>
        <w:rPr>
          <w:rFonts w:hint="eastAsia" w:ascii="宋体" w:hAnsi="宋体" w:eastAsia="宋体" w:cs="宋体"/>
          <w:color w:val="000000"/>
          <w:sz w:val="24"/>
          <w:szCs w:val="24"/>
          <w:highlight w:val="none"/>
          <w:lang w:val="en-US" w:eastAsia="zh-CN" w:bidi="ar-SA"/>
        </w:rPr>
        <w:t>，格式由供应商自拟。</w:t>
      </w:r>
    </w:p>
    <w:p>
      <w:pPr>
        <w:keepNext w:val="0"/>
        <w:keepLines w:val="0"/>
        <w:pageBreakBefore w:val="0"/>
        <w:widowControl w:val="0"/>
        <w:numPr>
          <w:ilvl w:val="0"/>
          <w:numId w:val="7"/>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中标人自行安排生产，相关仓储费用、原材料价格市场波动等引起的所有费用问题由中标人自行承担，采购人的结算价格不变。</w:t>
      </w:r>
    </w:p>
    <w:p>
      <w:pPr>
        <w:pStyle w:val="19"/>
        <w:rPr>
          <w:rFonts w:hint="default"/>
          <w:highlight w:val="none"/>
          <w:lang w:val="en-US" w:eastAsia="zh-CN"/>
        </w:rPr>
      </w:pPr>
      <w:r>
        <w:rPr>
          <w:rFonts w:hint="eastAsia" w:ascii="宋体" w:hAnsi="宋体" w:eastAsia="宋体" w:cs="宋体"/>
          <w:color w:val="000000"/>
          <w:kern w:val="2"/>
          <w:sz w:val="24"/>
          <w:szCs w:val="24"/>
          <w:highlight w:val="none"/>
          <w:lang w:val="en-US" w:eastAsia="zh-CN" w:bidi="ar-SA"/>
        </w:rPr>
        <w:t>9）</w:t>
      </w:r>
      <w:r>
        <w:rPr>
          <w:rFonts w:hint="eastAsia" w:ascii="宋体" w:hAnsi="宋体" w:eastAsia="宋体" w:cs="宋体"/>
          <w:color w:val="000000"/>
          <w:sz w:val="24"/>
          <w:szCs w:val="24"/>
          <w:highlight w:val="none"/>
          <w:lang w:val="en-US" w:eastAsia="zh-CN"/>
        </w:rPr>
        <w:t>★供应商须提供书面承诺：如中标，将货物配送至采购人指定地址。</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）退换货要求</w:t>
      </w:r>
    </w:p>
    <w:p>
      <w:pPr>
        <w:keepNext w:val="0"/>
        <w:keepLines w:val="0"/>
        <w:pageBreakBefore w:val="0"/>
        <w:widowControl w:val="0"/>
        <w:numPr>
          <w:ilvl w:val="0"/>
          <w:numId w:val="8"/>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如发现中标人所交付的货物有次品、损坏或其他不符合本项目的采购文件要求或不能满足投标文件有关承诺等情况，采购人有权提出退换货处理或按违约处理。</w:t>
      </w:r>
    </w:p>
    <w:p>
      <w:pPr>
        <w:keepNext w:val="0"/>
        <w:keepLines w:val="0"/>
        <w:pageBreakBefore w:val="0"/>
        <w:widowControl w:val="0"/>
        <w:numPr>
          <w:ilvl w:val="0"/>
          <w:numId w:val="8"/>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由中标人负责对需退换货的产品做好相关记录，经中标人、采购人双方签字确认后，方可进行退换货品的工作。</w:t>
      </w:r>
    </w:p>
    <w:p>
      <w:pPr>
        <w:keepNext w:val="0"/>
        <w:keepLines w:val="0"/>
        <w:pageBreakBefore w:val="0"/>
        <w:widowControl w:val="0"/>
        <w:numPr>
          <w:ilvl w:val="0"/>
          <w:numId w:val="8"/>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中标人须在确认当天完成所有的退换货工作，退换货工作包括货品的运输、搬运、堆放等，且由此产生的一切费用由中标人承担。</w:t>
      </w:r>
    </w:p>
    <w:p>
      <w:pPr>
        <w:keepNext w:val="0"/>
        <w:keepLines w:val="0"/>
        <w:pageBreakBefore w:val="0"/>
        <w:widowControl w:val="0"/>
        <w:numPr>
          <w:ilvl w:val="0"/>
          <w:numId w:val="8"/>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在采购人签收之前，货物的所有权和风险属于中标人，货物发生遗失、损坏由中标人负责。</w:t>
      </w:r>
    </w:p>
    <w:p>
      <w:pPr>
        <w:keepNext w:val="0"/>
        <w:keepLines w:val="0"/>
        <w:pageBreakBefore w:val="0"/>
        <w:widowControl w:val="0"/>
        <w:numPr>
          <w:ilvl w:val="0"/>
          <w:numId w:val="8"/>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中标人须严格按照各采购人的指令配送商品的数量，不得随意增减数量，否则，采购人有权拒收。如因市场流通问题确实需要变更的，应事先书面申请，并经采购人同意后方可改变。</w:t>
      </w:r>
    </w:p>
    <w:p>
      <w:pPr>
        <w:keepNext w:val="0"/>
        <w:keepLines w:val="0"/>
        <w:pageBreakBefore w:val="0"/>
        <w:widowControl w:val="0"/>
        <w:numPr>
          <w:ilvl w:val="0"/>
          <w:numId w:val="8"/>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除客观不可抗力外，中标人不得更改送货内容。如确需变更供货内容的，中标人应在得知情况的同时告知采购人并征得采购人同意，经发现中标人有私自更改</w:t>
      </w:r>
      <w:r>
        <w:rPr>
          <w:rFonts w:hint="eastAsia" w:ascii="宋体" w:hAnsi="宋体" w:eastAsia="宋体" w:cs="宋体"/>
          <w:color w:val="000000"/>
          <w:sz w:val="24"/>
          <w:szCs w:val="24"/>
          <w:highlight w:val="none"/>
          <w:lang w:val="en-US" w:eastAsia="zh-CN"/>
        </w:rPr>
        <w:t>清</w:t>
      </w:r>
      <w:r>
        <w:rPr>
          <w:rFonts w:hint="eastAsia" w:ascii="宋体" w:hAnsi="宋体" w:eastAsia="宋体" w:cs="宋体"/>
          <w:color w:val="000000"/>
          <w:sz w:val="24"/>
          <w:szCs w:val="24"/>
          <w:highlight w:val="none"/>
        </w:rPr>
        <w:t>单中货品时以违约论处，由此产生的一切损失和费用由中标人承担。供货期内出现上述情况达 3 次的，则按 500 元/次处以罚款，罚款由供货结算款内扣除；供货期内中标人出现多次上述情况，经采购人书面提出整改通知，但情况没有改善的，采购人有权取消中标人供货资格，终止中标人供货合同和没收履约保证金。</w:t>
      </w:r>
    </w:p>
    <w:p>
      <w:pPr>
        <w:keepNext w:val="0"/>
        <w:keepLines w:val="0"/>
        <w:pageBreakBefore w:val="0"/>
        <w:widowControl w:val="0"/>
        <w:numPr>
          <w:ilvl w:val="0"/>
          <w:numId w:val="8"/>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w:t>
      </w:r>
    </w:p>
    <w:p>
      <w:pPr>
        <w:keepNext w:val="0"/>
        <w:keepLines w:val="0"/>
        <w:pageBreakBefore w:val="0"/>
        <w:widowControl w:val="0"/>
        <w:numPr>
          <w:ilvl w:val="0"/>
          <w:numId w:val="8"/>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①中标人在收到采购人订货要求后，在承诺的供货时间内不能供货的；</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②中标人未能提供承诺的服务的。</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中标商品在保质期出现损坏的，中标人应承诺提供替换服务，因替换货物产生的费用由中标人负责。</w:t>
      </w:r>
    </w:p>
    <w:p>
      <w:pPr>
        <w:keepNext w:val="0"/>
        <w:keepLines w:val="0"/>
        <w:pageBreakBefore w:val="0"/>
        <w:widowControl w:val="0"/>
        <w:numPr>
          <w:ilvl w:val="0"/>
          <w:numId w:val="8"/>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val="0"/>
        <w:numPr>
          <w:ilvl w:val="0"/>
          <w:numId w:val="8"/>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中标人指定的送货专员必须穿着便于辨认的工衣和配戴胸卡，送货专员在采购人单位活动必须严格遵守采购人单位各项规章制度，不得做出有损采购人形象和利益的事情。</w:t>
      </w:r>
    </w:p>
    <w:p>
      <w:pPr>
        <w:keepNext w:val="0"/>
        <w:keepLines w:val="0"/>
        <w:pageBreakBefore w:val="0"/>
        <w:widowControl w:val="0"/>
        <w:numPr>
          <w:ilvl w:val="0"/>
          <w:numId w:val="7"/>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中标人不得泄露采购人的商业秘密。泄密造成采购人损失的，中标人将承担由此产生的一切损失和法律责任。</w:t>
      </w:r>
      <w:r>
        <w:rPr>
          <w:rFonts w:hint="eastAsia" w:ascii="宋体" w:hAnsi="宋体" w:eastAsia="宋体" w:cs="宋体"/>
          <w:color w:val="000000"/>
          <w:sz w:val="24"/>
          <w:szCs w:val="24"/>
          <w:highlight w:val="none"/>
          <w:lang w:val="en-US" w:eastAsia="zh-CN" w:bidi="ar-SA"/>
        </w:rPr>
        <w:t>以提供承诺函响应该条款，格式由供应商自拟。</w:t>
      </w:r>
    </w:p>
    <w:p>
      <w:pPr>
        <w:pStyle w:val="2"/>
        <w:spacing w:line="360" w:lineRule="auto"/>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4、验收要求</w:t>
      </w:r>
    </w:p>
    <w:p>
      <w:pPr>
        <w:keepNext w:val="0"/>
        <w:keepLines w:val="0"/>
        <w:pageBreakBefore w:val="0"/>
        <w:widowControl w:val="0"/>
        <w:numPr>
          <w:ilvl w:val="0"/>
          <w:numId w:val="0"/>
        </w:numPr>
        <w:kinsoku/>
        <w:wordWrap/>
        <w:overflowPunct/>
        <w:topLinePunct w:val="0"/>
        <w:bidi w:val="0"/>
        <w:adjustRightInd w:val="0"/>
        <w:snapToGrid/>
        <w:spacing w:line="360" w:lineRule="auto"/>
        <w:ind w:leftChars="0" w:right="0" w:righ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本项目验收标准：货物进场验收，通过最终验收后交付采购人使用，进入质保期。根据国家颁布的最新检定规程执行。</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采购人组织验收小组按国家有关规定、规范进行验收，</w:t>
      </w:r>
      <w:r>
        <w:rPr>
          <w:rFonts w:hint="eastAsia" w:ascii="宋体" w:hAnsi="宋体" w:eastAsia="宋体" w:cs="宋体"/>
          <w:color w:val="000000"/>
          <w:sz w:val="24"/>
          <w:szCs w:val="24"/>
          <w:highlight w:val="none"/>
          <w:lang w:val="en-US" w:eastAsia="zh-CN"/>
        </w:rPr>
        <w:t>满足</w:t>
      </w:r>
      <w:r>
        <w:rPr>
          <w:rFonts w:hint="eastAsia" w:ascii="宋体" w:hAnsi="宋体" w:eastAsia="宋体" w:cs="宋体"/>
          <w:b w:val="0"/>
          <w:bCs w:val="0"/>
          <w:color w:val="000000"/>
          <w:kern w:val="0"/>
          <w:sz w:val="24"/>
          <w:szCs w:val="24"/>
          <w:highlight w:val="none"/>
          <w:lang w:val="en-US" w:eastAsia="zh-CN" w:bidi="ar"/>
        </w:rPr>
        <w:t>人工造林所需苗木规格与质量严格按照中华人民共和国《主要造林树种苗木质量分级》（GB6000-1999）和新疆维吾尔自治区地方标准《新疆主要造林树种苗木质量分级》（DB65/T2201-2014）执行，选用当地生产的达到Ⅱ级苗标准，主根强健，接口愈合良好，无折断、无劈裂、无机械损伤、无有害生物感染，色泽正常，充分木质化的苗木造林。具备“两证一签”严禁使用不合格苗木和有病虫害的苗木造林。苗木质量的检验和起苗、包装、运输、贮藏等技术，执行GB6000 的规定。</w:t>
      </w:r>
    </w:p>
    <w:p>
      <w:pPr>
        <w:pStyle w:val="19"/>
        <w:keepNext w:val="0"/>
        <w:keepLines w:val="0"/>
        <w:pageBreakBefore w:val="0"/>
        <w:widowControl w:val="0"/>
        <w:numPr>
          <w:ilvl w:val="0"/>
          <w:numId w:val="0"/>
        </w:numPr>
        <w:kinsoku/>
        <w:wordWrap/>
        <w:overflowPunct/>
        <w:topLinePunct w:val="0"/>
        <w:bidi w:val="0"/>
        <w:adjustRightInd w:val="0"/>
        <w:snapToGrid/>
        <w:spacing w:after="0" w:line="360" w:lineRule="auto"/>
        <w:ind w:leftChars="0" w:right="0" w:righ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必要时邀请相关的专业人员或机构参与验收。因货物质量问题发生争议时，由本地质量技术监督部门鉴定。货物符合质量技术标准的，鉴定费由采购人承担；否则鉴定费由中标人承担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供应商针对此点提供书面承诺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bidi="ar-SA"/>
        </w:rPr>
        <w:t>以提供承诺函响应该条款，格式由供应商自拟。</w:t>
      </w:r>
    </w:p>
    <w:p>
      <w:pPr>
        <w:pStyle w:val="19"/>
        <w:keepNext w:val="0"/>
        <w:keepLines w:val="0"/>
        <w:pageBreakBefore w:val="0"/>
        <w:widowControl w:val="0"/>
        <w:numPr>
          <w:ilvl w:val="0"/>
          <w:numId w:val="0"/>
        </w:numPr>
        <w:kinsoku/>
        <w:wordWrap/>
        <w:overflowPunct/>
        <w:topLinePunct w:val="0"/>
        <w:bidi w:val="0"/>
        <w:adjustRightInd w:val="0"/>
        <w:snapToGrid/>
        <w:spacing w:after="0" w:line="360" w:lineRule="auto"/>
        <w:ind w:leftChars="0" w:right="0" w:righ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合同期内，采购人对货物质量进行两次以内的抽查（接到投诉调查而送检不受此次数限制）， 质量检验费用由中标人支付；对抽查发现货物质量（含包装）不合格的，采购人有权责成中标人对该批次产品作出更换、退货、情节严重的解除合同等处理；合同期内两次抽查发现不合格的（可为相同或不同货物），采购人有权对中标人扣除合同总额的 </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%或解除合同。</w:t>
      </w:r>
      <w:r>
        <w:rPr>
          <w:rFonts w:hint="eastAsia" w:ascii="宋体" w:hAnsi="宋体" w:eastAsia="宋体" w:cs="宋体"/>
          <w:color w:val="000000"/>
          <w:sz w:val="24"/>
          <w:szCs w:val="24"/>
          <w:highlight w:val="none"/>
          <w:lang w:val="en-US" w:eastAsia="zh-CN" w:bidi="ar-SA"/>
        </w:rPr>
        <w:t>以提供承诺函响应该条款，格式由供应商自拟。</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5、其它</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项目结案要求：项目结束后中标人须向采购人提供台账、项目决算表、项目总结报告等相关数据资料。</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6、售后服务要求</w:t>
      </w:r>
    </w:p>
    <w:p>
      <w:pPr>
        <w:pStyle w:val="19"/>
        <w:keepNext w:val="0"/>
        <w:keepLines w:val="0"/>
        <w:pageBreakBefore w:val="0"/>
        <w:widowControl w:val="0"/>
        <w:numPr>
          <w:ilvl w:val="0"/>
          <w:numId w:val="9"/>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highlight w:val="none"/>
          <w:lang w:val="en-US" w:eastAsia="zh-CN"/>
        </w:rPr>
      </w:pPr>
      <w:r>
        <w:rPr>
          <w:rFonts w:hint="eastAsia" w:ascii="宋体" w:hAnsi="宋体" w:eastAsia="宋体" w:cs="宋体"/>
          <w:color w:val="000000"/>
          <w:sz w:val="24"/>
          <w:szCs w:val="24"/>
          <w:highlight w:val="none"/>
          <w:lang w:val="en-US" w:eastAsia="zh-CN" w:bidi="ar-SA"/>
        </w:rPr>
        <w:t>除特别标明之外，所有货物保证在最终验收合格并交付用户使用之日起，应按照国家或生产厂家的规定执行。质保期内中标人必须进行质量“三包”。因质量原因损坏，中标人应迅速派员解决，并承担由此发生的费用。</w:t>
      </w:r>
    </w:p>
    <w:p>
      <w:pPr>
        <w:pStyle w:val="19"/>
        <w:keepNext w:val="0"/>
        <w:keepLines w:val="0"/>
        <w:pageBreakBefore w:val="0"/>
        <w:widowControl w:val="0"/>
        <w:numPr>
          <w:ilvl w:val="0"/>
          <w:numId w:val="9"/>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质量保证期内非采购方的人为原因而出现产品质量问题，由中标人负责包换或包退，不能在规定时间内修复，由中标人负责包退或 1 个月内包换服务，并承担因此而产生的一切费用。</w:t>
      </w:r>
    </w:p>
    <w:p>
      <w:pPr>
        <w:pStyle w:val="19"/>
        <w:keepNext w:val="0"/>
        <w:keepLines w:val="0"/>
        <w:pageBreakBefore w:val="0"/>
        <w:widowControl w:val="0"/>
        <w:numPr>
          <w:ilvl w:val="0"/>
          <w:numId w:val="9"/>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对于出现不符合质量标准的产品包退包换；须于接到采购人上述服务通知的 1 个工作日内，派专业人员上门服务，在 3 个工作日内保证按要求完成换货。</w:t>
      </w:r>
    </w:p>
    <w:p>
      <w:pPr>
        <w:pStyle w:val="19"/>
        <w:keepNext w:val="0"/>
        <w:keepLines w:val="0"/>
        <w:pageBreakBefore w:val="0"/>
        <w:widowControl w:val="0"/>
        <w:numPr>
          <w:ilvl w:val="0"/>
          <w:numId w:val="9"/>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bidi="ar-SA"/>
        </w:rPr>
        <w:t>合同期</w:t>
      </w:r>
      <w:r>
        <w:rPr>
          <w:rFonts w:hint="eastAsia" w:ascii="宋体" w:hAnsi="宋体" w:eastAsia="宋体" w:cs="宋体"/>
          <w:color w:val="000000"/>
          <w:sz w:val="24"/>
          <w:szCs w:val="24"/>
          <w:highlight w:val="none"/>
          <w:lang w:val="en-US" w:eastAsia="zh-CN"/>
        </w:rPr>
        <w:t>内发生以下情形，经调查属实的，扣除 3%当批货款：</w:t>
      </w:r>
    </w:p>
    <w:p>
      <w:pPr>
        <w:keepNext w:val="0"/>
        <w:keepLines w:val="0"/>
        <w:pageBreakBefore w:val="0"/>
        <w:widowControl w:val="0"/>
        <w:numPr>
          <w:ilvl w:val="0"/>
          <w:numId w:val="0"/>
        </w:numPr>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1.未按要求随货提供相关票证；</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2.货物质量验收不合格，且不按要求退换的；</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3.未按采购人采购计划的时间供货（提前三天与采购人协商除外）；</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4.供货数量仅为采购人采购计划数量的 80%-90%（不含本数）；</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5.未按采购人指定秩序卸货；</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6.货物出现质量问题，供货商不积极配合查找原因，不及时反馈处理结果；</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7.工作人员不遵守采购人各项管理规定；</w:t>
      </w:r>
    </w:p>
    <w:p>
      <w:pPr>
        <w:pStyle w:val="19"/>
        <w:keepNext w:val="0"/>
        <w:keepLines w:val="0"/>
        <w:pageBreakBefore w:val="0"/>
        <w:widowControl w:val="0"/>
        <w:numPr>
          <w:ilvl w:val="0"/>
          <w:numId w:val="9"/>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合同期内发生以下情形，经调查属实，扣除 5%当批货款：</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1.供应货物品种、品牌、规格或质量等级与合同不符，拒不退换或逾期退换者；</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2.提供虚假检验报告等相关票证；</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3.供货数量低于采购人采购计划数量的 90%（含本数）；</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4.同一品种货物连续两次验收发现质量不合格产品并退货；</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5.把采购人验收不合格退货的货物重新配送给采购人；</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6.在包装、运输、装卸等环节不符合安全要求；</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7.组织机构发生调整，或经营场所、联系人、联系方式变更，未及时通知采购人总务部门，造成无法及时联系；</w:t>
      </w:r>
    </w:p>
    <w:p>
      <w:pPr>
        <w:pStyle w:val="19"/>
        <w:keepNext w:val="0"/>
        <w:keepLines w:val="0"/>
        <w:pageBreakBefore w:val="0"/>
        <w:widowControl w:val="0"/>
        <w:numPr>
          <w:ilvl w:val="0"/>
          <w:numId w:val="9"/>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合同期内发生以下情形，经调查属实的，扣除 5%当批货款：</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1.中标人的工作人员不遵守采购人各项管理规定，或泄露采购人内部情况，造成社会不良影响；</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2.中标人对货物检查把关不严，造成采购人重大损失，影响监管安全的。</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若同时出现上述扣除货款情形，则仅按扣除数额最大的情形执行，不对同时出现的情形累计扣除货款。</w:t>
      </w:r>
    </w:p>
    <w:p>
      <w:pPr>
        <w:pStyle w:val="19"/>
        <w:keepNext w:val="0"/>
        <w:keepLines w:val="0"/>
        <w:pageBreakBefore w:val="0"/>
        <w:widowControl w:val="0"/>
        <w:numPr>
          <w:ilvl w:val="0"/>
          <w:numId w:val="9"/>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如中标人在合同执行过程需终止执行合同的，需提前一个月以书面形式告知采购人，否则采购人有权按单方面终止执行合同处理，不予支付剩余款项。</w:t>
      </w:r>
    </w:p>
    <w:p>
      <w:pPr>
        <w:rPr>
          <w:rFonts w:hint="eastAsia" w:ascii="宋体" w:hAnsi="宋体" w:eastAsia="宋体" w:cs="宋体"/>
          <w:color w:val="000000"/>
          <w:highlight w:val="none"/>
          <w:lang w:val="en-US" w:eastAsia="zh-CN"/>
        </w:rPr>
      </w:pPr>
    </w:p>
    <w:p>
      <w:pPr>
        <w:pStyle w:val="25"/>
        <w:keepNext w:val="0"/>
        <w:keepLines w:val="0"/>
        <w:pageBreakBefore w:val="0"/>
        <w:widowControl w:val="0"/>
        <w:numPr>
          <w:ilvl w:val="0"/>
          <w:numId w:val="10"/>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诚信履约</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评标委员会认为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000000"/>
          <w:sz w:val="24"/>
          <w:szCs w:val="24"/>
          <w:highlight w:val="none"/>
          <w:lang w:val="en-US" w:eastAsia="zh-CN"/>
        </w:rPr>
        <w:t>由</w:t>
      </w:r>
      <w:r>
        <w:rPr>
          <w:rFonts w:hint="eastAsia" w:ascii="宋体" w:hAnsi="宋体" w:eastAsia="宋体" w:cs="宋体"/>
          <w:color w:val="000000"/>
          <w:sz w:val="24"/>
          <w:szCs w:val="24"/>
          <w:highlight w:val="none"/>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ascii="Times New Roman" w:hAnsi="Times New Roman"/>
          <w:b/>
          <w:bCs/>
          <w:highlight w:val="none"/>
        </w:rPr>
      </w:pPr>
      <w:r>
        <w:rPr>
          <w:rFonts w:hint="eastAsia" w:ascii="宋体" w:hAnsi="宋体" w:eastAsia="宋体" w:cs="宋体"/>
          <w:b/>
          <w:bCs/>
          <w:color w:val="000000"/>
          <w:sz w:val="24"/>
          <w:szCs w:val="24"/>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bookmarkEnd w:id="95"/>
      <w:bookmarkEnd w:id="96"/>
      <w:bookmarkEnd w:id="97"/>
      <w:bookmarkEnd w:id="98"/>
      <w:bookmarkEnd w:id="99"/>
      <w:bookmarkEnd w:id="100"/>
      <w:bookmarkEnd w:id="101"/>
      <w:bookmarkEnd w:id="102"/>
      <w:bookmarkEnd w:id="103"/>
      <w:bookmarkEnd w:id="104"/>
      <w:bookmarkEnd w:id="105"/>
    </w:p>
    <w:p>
      <w:pPr>
        <w:pStyle w:val="42"/>
        <w:numPr>
          <w:ilvl w:val="0"/>
          <w:numId w:val="0"/>
        </w:numPr>
        <w:spacing w:line="240" w:lineRule="auto"/>
        <w:ind w:leftChars="0"/>
        <w:rPr>
          <w:rFonts w:hint="eastAsia" w:ascii="宋体" w:hAnsi="宋体" w:eastAsia="宋体" w:cs="宋体"/>
          <w:b/>
          <w:bCs/>
          <w:sz w:val="28"/>
          <w:szCs w:val="28"/>
          <w:highlight w:val="none"/>
          <w:lang w:val="en-US" w:eastAsia="zh-CN"/>
        </w:rPr>
      </w:pPr>
    </w:p>
    <w:p>
      <w:pPr>
        <w:pStyle w:val="13"/>
        <w:rPr>
          <w:rFonts w:hint="eastAsia"/>
          <w:highlight w:val="none"/>
          <w:lang w:val="en-US" w:eastAsia="zh-CN"/>
        </w:rPr>
        <w:sectPr>
          <w:headerReference r:id="rId5" w:type="default"/>
          <w:footerReference r:id="rId6" w:type="default"/>
          <w:pgSz w:w="11906" w:h="16838"/>
          <w:pgMar w:top="1440" w:right="1083" w:bottom="1440" w:left="1083" w:header="737" w:footer="737" w:gutter="0"/>
          <w:pgNumType w:start="23"/>
          <w:cols w:space="720" w:num="1"/>
          <w:rtlGutter w:val="0"/>
          <w:docGrid w:linePitch="312" w:charSpace="0"/>
        </w:sectPr>
      </w:pPr>
    </w:p>
    <w:p>
      <w:pPr>
        <w:spacing w:line="240" w:lineRule="auto"/>
        <w:rPr>
          <w:rFonts w:hint="eastAsia" w:ascii="仿宋" w:hAnsi="仿宋" w:eastAsia="仿宋" w:cs="仿宋"/>
          <w:color w:val="auto"/>
          <w:sz w:val="24"/>
          <w:szCs w:val="24"/>
          <w:highlight w:val="none"/>
          <w:u w:val="single"/>
        </w:rPr>
      </w:pPr>
      <w:r>
        <w:rPr>
          <w:rFonts w:hint="eastAsia" w:ascii="仿宋" w:hAnsi="仿宋" w:eastAsia="仿宋" w:cs="仿宋"/>
          <w:b/>
          <w:bCs/>
          <w:color w:val="auto"/>
          <w:sz w:val="48"/>
          <w:szCs w:val="56"/>
          <w:highlight w:val="none"/>
        </w:rPr>
        <w:t xml:space="preserve">   </w:t>
      </w:r>
      <w:bookmarkEnd w:id="76"/>
      <w:bookmarkEnd w:id="77"/>
      <w:bookmarkEnd w:id="78"/>
      <w:bookmarkEnd w:id="79"/>
      <w:bookmarkEnd w:id="80"/>
      <w:bookmarkEnd w:id="81"/>
      <w:bookmarkEnd w:id="82"/>
      <w:bookmarkEnd w:id="83"/>
      <w:bookmarkEnd w:id="84"/>
      <w:bookmarkEnd w:id="85"/>
      <w:bookmarkEnd w:id="86"/>
      <w:bookmarkEnd w:id="87"/>
      <w:bookmarkEnd w:id="88"/>
      <w:bookmarkStart w:id="106" w:name="_Toc29040"/>
      <w:bookmarkStart w:id="107" w:name="_Toc17546"/>
      <w:bookmarkStart w:id="108" w:name="_Toc25217"/>
      <w:bookmarkStart w:id="109" w:name="_Toc381970843"/>
      <w:r>
        <w:rPr>
          <w:rFonts w:hint="eastAsia" w:ascii="仿宋" w:hAnsi="仿宋" w:eastAsia="仿宋" w:cs="仿宋"/>
          <w:color w:val="auto"/>
          <w:sz w:val="24"/>
          <w:szCs w:val="24"/>
          <w:highlight w:val="none"/>
        </w:rPr>
        <w:t>合同编号：</w:t>
      </w:r>
      <w:r>
        <w:rPr>
          <w:rFonts w:hint="eastAsia" w:ascii="仿宋" w:hAnsi="仿宋" w:eastAsia="仿宋" w:cs="仿宋"/>
          <w:color w:val="auto"/>
          <w:sz w:val="24"/>
          <w:szCs w:val="24"/>
          <w:highlight w:val="none"/>
          <w:u w:val="single"/>
        </w:rPr>
        <w:t xml:space="preserve">           </w:t>
      </w:r>
    </w:p>
    <w:p>
      <w:pPr>
        <w:spacing w:line="480" w:lineRule="auto"/>
        <w:jc w:val="center"/>
        <w:rPr>
          <w:rFonts w:hint="eastAsia" w:ascii="仿宋" w:hAnsi="仿宋" w:eastAsia="仿宋" w:cs="仿宋"/>
          <w:b/>
          <w:color w:val="auto"/>
          <w:sz w:val="40"/>
          <w:szCs w:val="40"/>
          <w:highlight w:val="none"/>
        </w:rPr>
      </w:pPr>
    </w:p>
    <w:p>
      <w:pPr>
        <w:pStyle w:val="3"/>
        <w:bidi w:val="0"/>
        <w:rPr>
          <w:rFonts w:hint="eastAsia"/>
          <w:highlight w:val="none"/>
        </w:rPr>
      </w:pPr>
      <w:bookmarkStart w:id="110" w:name="_Toc29337"/>
      <w:r>
        <w:rPr>
          <w:rFonts w:hint="eastAsia"/>
          <w:highlight w:val="none"/>
        </w:rPr>
        <w:t>第</w:t>
      </w:r>
      <w:r>
        <w:rPr>
          <w:rFonts w:hint="eastAsia"/>
          <w:highlight w:val="none"/>
          <w:lang w:val="en-US" w:eastAsia="zh-CN"/>
        </w:rPr>
        <w:t>五</w:t>
      </w:r>
      <w:r>
        <w:rPr>
          <w:rFonts w:hint="eastAsia"/>
          <w:highlight w:val="none"/>
        </w:rPr>
        <w:t>章政府采购合同参考范本</w:t>
      </w:r>
      <w:bookmarkEnd w:id="110"/>
    </w:p>
    <w:p>
      <w:pPr>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（货物类）</w:t>
      </w:r>
    </w:p>
    <w:p>
      <w:pPr>
        <w:spacing w:line="560" w:lineRule="exact"/>
        <w:ind w:firstLine="480" w:firstLineChars="200"/>
        <w:jc w:val="left"/>
        <w:rPr>
          <w:rFonts w:hint="eastAsia" w:ascii="仿宋" w:hAnsi="仿宋" w:eastAsia="仿宋" w:cs="Times New Roman"/>
          <w:sz w:val="24"/>
          <w:szCs w:val="24"/>
          <w:highlight w:val="none"/>
        </w:rPr>
      </w:pPr>
      <w:bookmarkStart w:id="111" w:name="_Toc331685783"/>
      <w:r>
        <w:rPr>
          <w:rFonts w:hint="eastAsia" w:ascii="仿宋" w:hAnsi="仿宋" w:eastAsia="仿宋" w:cs="Times New Roman"/>
          <w:sz w:val="24"/>
          <w:szCs w:val="24"/>
          <w:highlight w:val="none"/>
          <w:lang w:val="en-US" w:eastAsia="zh-CN"/>
        </w:rPr>
        <w:t>项目名称：和田市2023年和田河流域生态综合治理项目</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根据《中华人民共和国合同法》等相关法律法规的规定，合同双方就甲方向乙方购买</w:t>
      </w:r>
      <w:r>
        <w:rPr>
          <w:rFonts w:hint="eastAsia" w:ascii="仿宋" w:hAnsi="仿宋" w:eastAsia="仿宋" w:cs="Times New Roman"/>
          <w:sz w:val="24"/>
          <w:szCs w:val="24"/>
          <w:highlight w:val="none"/>
          <w:lang w:val="en-US" w:eastAsia="zh-CN"/>
        </w:rPr>
        <w:t>和田市2023年和田河流域生态综合治理项目</w:t>
      </w:r>
      <w:r>
        <w:rPr>
          <w:rFonts w:hint="eastAsia" w:ascii="仿宋" w:hAnsi="仿宋" w:eastAsia="仿宋" w:cs="Times New Roman"/>
          <w:sz w:val="24"/>
          <w:szCs w:val="24"/>
          <w:highlight w:val="none"/>
        </w:rPr>
        <w:t>所需设备事宜协商达成一致，订立本合同。</w:t>
      </w:r>
    </w:p>
    <w:p>
      <w:pPr>
        <w:pStyle w:val="148"/>
        <w:adjustRightInd w:val="0"/>
        <w:snapToGrid w:val="0"/>
        <w:spacing w:line="400" w:lineRule="exact"/>
        <w:ind w:left="0" w:firstLine="0" w:firstLineChars="0"/>
        <w:rPr>
          <w:rFonts w:ascii="宋体" w:hAnsi="宋体"/>
          <w:b/>
          <w:sz w:val="24"/>
          <w:szCs w:val="24"/>
          <w:highlight w:val="none"/>
        </w:rPr>
      </w:pPr>
      <w:r>
        <w:rPr>
          <w:rFonts w:hint="eastAsia" w:ascii="宋体" w:hAnsi="宋体"/>
          <w:b/>
          <w:sz w:val="24"/>
          <w:szCs w:val="24"/>
          <w:highlight w:val="none"/>
        </w:rPr>
        <w:t>一、定义</w:t>
      </w:r>
    </w:p>
    <w:p>
      <w:pPr>
        <w:spacing w:line="560" w:lineRule="exact"/>
        <w:ind w:firstLine="480" w:firstLineChars="200"/>
        <w:jc w:val="left"/>
        <w:rPr>
          <w:rFonts w:hint="eastAsia" w:ascii="仿宋" w:hAnsi="仿宋" w:eastAsia="仿宋" w:cs="Times New Roman"/>
          <w:sz w:val="24"/>
          <w:szCs w:val="24"/>
          <w:highlight w:val="none"/>
        </w:rPr>
      </w:pPr>
      <w:r>
        <w:rPr>
          <w:rFonts w:hint="eastAsia" w:ascii="宋体" w:hAnsi="宋体"/>
          <w:sz w:val="24"/>
          <w:szCs w:val="24"/>
          <w:highlight w:val="none"/>
        </w:rPr>
        <w:t xml:space="preserve">    </w:t>
      </w:r>
      <w:r>
        <w:rPr>
          <w:rFonts w:hint="eastAsia" w:ascii="仿宋" w:hAnsi="仿宋" w:eastAsia="仿宋" w:cs="Times New Roman"/>
          <w:sz w:val="24"/>
          <w:szCs w:val="24"/>
          <w:highlight w:val="none"/>
        </w:rPr>
        <w:t>（一）“合同”指本合同及其附件。</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（二）除有特别说明外，“天”、“日”均指日历日。</w:t>
      </w:r>
    </w:p>
    <w:p>
      <w:pPr>
        <w:pStyle w:val="148"/>
        <w:adjustRightInd w:val="0"/>
        <w:snapToGrid w:val="0"/>
        <w:spacing w:line="400" w:lineRule="exact"/>
        <w:ind w:left="226" w:hanging="226" w:hangingChars="94"/>
        <w:rPr>
          <w:rFonts w:ascii="宋体" w:hAnsi="宋体"/>
          <w:b/>
          <w:sz w:val="24"/>
          <w:szCs w:val="24"/>
          <w:highlight w:val="none"/>
        </w:rPr>
      </w:pPr>
      <w:r>
        <w:rPr>
          <w:rFonts w:hint="eastAsia" w:ascii="宋体" w:hAnsi="宋体"/>
          <w:b/>
          <w:sz w:val="24"/>
          <w:szCs w:val="24"/>
          <w:highlight w:val="none"/>
        </w:rPr>
        <w:t>二、合同的组成</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以下文件是本合同不可分割的组成部分，如果不同文件的条款之间有冲突，文件之间的优先效力顺序如下：</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（一）本合同及其附件；</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（二）中标通知书（含乙方承诺函等）；</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（三）乙方提供的响应文件（采购编号：       ）（含澄清文件、最终报价及承诺等）；</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（四）甲方发出的采购文件（采购编号：  ）（含采购补充文件等）。</w:t>
      </w:r>
    </w:p>
    <w:p>
      <w:pPr>
        <w:pStyle w:val="148"/>
        <w:adjustRightInd w:val="0"/>
        <w:snapToGrid w:val="0"/>
        <w:spacing w:line="400" w:lineRule="exact"/>
        <w:ind w:left="226" w:hanging="226" w:hangingChars="94"/>
        <w:rPr>
          <w:rFonts w:ascii="宋体" w:hAnsi="宋体"/>
          <w:b/>
          <w:sz w:val="24"/>
          <w:szCs w:val="24"/>
          <w:highlight w:val="none"/>
        </w:rPr>
      </w:pPr>
      <w:r>
        <w:rPr>
          <w:rFonts w:hint="eastAsia" w:ascii="宋体" w:hAnsi="宋体"/>
          <w:b/>
          <w:sz w:val="24"/>
          <w:szCs w:val="24"/>
          <w:highlight w:val="none"/>
        </w:rPr>
        <w:t>三、服务范围及要求</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详见采购文件第三部分“</w:t>
      </w:r>
      <w:r>
        <w:rPr>
          <w:rFonts w:hint="eastAsia" w:ascii="仿宋" w:hAnsi="仿宋" w:eastAsia="仿宋" w:cs="Times New Roman"/>
          <w:sz w:val="24"/>
          <w:szCs w:val="24"/>
          <w:highlight w:val="none"/>
          <w:lang w:val="en-US" w:eastAsia="zh-CN"/>
        </w:rPr>
        <w:t>和田市2023年和田河流域生态综合治理项目</w:t>
      </w:r>
      <w:r>
        <w:rPr>
          <w:rFonts w:hint="eastAsia" w:ascii="仿宋" w:hAnsi="仿宋" w:eastAsia="仿宋" w:cs="Times New Roman"/>
          <w:sz w:val="24"/>
          <w:szCs w:val="24"/>
          <w:highlight w:val="none"/>
        </w:rPr>
        <w:t>”（作为合同附件）。</w:t>
      </w:r>
    </w:p>
    <w:p>
      <w:pPr>
        <w:pStyle w:val="148"/>
        <w:adjustRightInd w:val="0"/>
        <w:snapToGrid w:val="0"/>
        <w:spacing w:line="400" w:lineRule="exact"/>
        <w:ind w:left="226" w:hanging="226" w:hangingChars="94"/>
        <w:rPr>
          <w:rFonts w:ascii="宋体" w:hAnsi="宋体"/>
          <w:b/>
          <w:sz w:val="24"/>
          <w:szCs w:val="24"/>
          <w:highlight w:val="none"/>
        </w:rPr>
      </w:pPr>
      <w:r>
        <w:rPr>
          <w:rFonts w:hint="eastAsia" w:ascii="宋体" w:hAnsi="宋体"/>
          <w:b/>
          <w:sz w:val="24"/>
          <w:szCs w:val="24"/>
          <w:highlight w:val="none"/>
        </w:rPr>
        <w:t>四、甲乙双方权利与义务</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（一） 甲方权利与义务</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1、根据乙方采购响应文件中的服务承诺和本合同的服务要求内容，监督乙方的服务质量。</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2、根据乙方提供的项目方案，向乙方提供有关资料和必要的工作配合。</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3、根据本合同的支付条件，及时审核支付服务费用。</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4、甲方发现乙方完成的服务与甲方的要求不相符合时，甲方有权要求乙方进行更正，并有权要求乙方承担相应的赔偿责任。</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5、在本合同有效期内，乙方应保证服务的质量及服务连续性。如乙方出现不符合甲方要求、无正当理由拒绝完成甲方交付的服务工作，甲方有权要求乙方更正其行为，或采取其他补救措施，由此给甲方造成损失的，由乙方承担赔偿责任。</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（二） 乙方权利与义务</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1、乙方应严格遵守执业规则和职业道德，在甲方要求的时间内，保质保量独立完成采购工作，未经甲方书面许可不得以任何形式将任务再委托其他机构。</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5、严格按照采购响应文件中的服务承诺和本合同的采购要求实施采购，并根据本项目要求向甲方提供相应的工作成果和增值服务。</w:t>
      </w:r>
    </w:p>
    <w:p>
      <w:pPr>
        <w:pStyle w:val="148"/>
        <w:adjustRightInd w:val="0"/>
        <w:snapToGrid w:val="0"/>
        <w:spacing w:line="400" w:lineRule="exact"/>
        <w:ind w:left="224" w:leftChars="57" w:hanging="104" w:hangingChars="43"/>
        <w:rPr>
          <w:rFonts w:ascii="宋体" w:hAnsi="宋体"/>
          <w:sz w:val="24"/>
          <w:szCs w:val="24"/>
          <w:highlight w:val="none"/>
        </w:rPr>
      </w:pPr>
      <w:r>
        <w:rPr>
          <w:rFonts w:hint="eastAsia" w:ascii="宋体" w:hAnsi="宋体"/>
          <w:b/>
          <w:sz w:val="24"/>
          <w:szCs w:val="24"/>
          <w:highlight w:val="none"/>
          <w:lang w:val="en-US" w:eastAsia="zh-CN"/>
        </w:rPr>
        <w:t>五</w:t>
      </w:r>
      <w:r>
        <w:rPr>
          <w:rFonts w:hint="eastAsia" w:ascii="宋体" w:hAnsi="宋体"/>
          <w:b/>
          <w:sz w:val="24"/>
          <w:szCs w:val="24"/>
          <w:highlight w:val="none"/>
        </w:rPr>
        <w:t>、支付方式</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1、付款方式：</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（1）</w:t>
      </w:r>
      <w:r>
        <w:rPr>
          <w:rFonts w:hint="eastAsia" w:ascii="仿宋" w:hAnsi="仿宋" w:eastAsia="仿宋" w:cs="Times New Roman"/>
          <w:sz w:val="24"/>
          <w:szCs w:val="24"/>
          <w:highlight w:val="none"/>
          <w:lang w:val="en-US" w:eastAsia="zh-CN"/>
        </w:rPr>
        <w:t>乙方中标并向甲方支付履约保证金后签订合同 。自合同签订后，甲方向乙方支付合同总额的50%；乙方将货物运输至甲方指定地点，乙方负责运输卸货，待甲方检收完成后，甲方向乙方支付合同总金额的47%，经甲方组织的有关部门最终验收确认后，甲方应向乙方支付合同总金额3%。</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（2）本合同中甲乙双方之间发生的一切费用以人民币转账方式进行结算。</w:t>
      </w:r>
    </w:p>
    <w:p>
      <w:pPr>
        <w:spacing w:line="560" w:lineRule="exact"/>
        <w:ind w:firstLine="480" w:firstLineChars="200"/>
        <w:jc w:val="left"/>
        <w:rPr>
          <w:rFonts w:hint="eastAsia"/>
          <w:highlight w:val="none"/>
        </w:rPr>
      </w:pP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lang w:val="en-US" w:eastAsia="zh-CN"/>
        </w:rPr>
        <w:t>3</w:t>
      </w:r>
      <w:r>
        <w:rPr>
          <w:rFonts w:hint="eastAsia" w:ascii="仿宋" w:hAnsi="仿宋" w:eastAsia="仿宋" w:cs="Times New Roman"/>
          <w:sz w:val="24"/>
          <w:szCs w:val="24"/>
          <w:highlight w:val="none"/>
          <w:lang w:eastAsia="zh-CN"/>
        </w:rPr>
        <w:t>）</w:t>
      </w:r>
      <w:r>
        <w:rPr>
          <w:rFonts w:hint="eastAsia" w:ascii="仿宋" w:hAnsi="仿宋" w:eastAsia="仿宋" w:cs="Times New Roman"/>
          <w:b w:val="0"/>
          <w:bCs w:val="0"/>
          <w:kern w:val="2"/>
          <w:sz w:val="24"/>
          <w:szCs w:val="24"/>
          <w:highlight w:val="none"/>
          <w:lang w:val="en-US" w:eastAsia="zh-CN" w:bidi="ar-SA"/>
        </w:rPr>
        <w:t>履约保证金为中标金额的10%，在树苗质量不出问题且不拖欠农民工工资，后续没有违反合同条例的情况下，完工后退还履约保证金。</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2、乙方账户信息</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结算账户开户银行：</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结算账户户名：</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结算账户账号：</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3、特别约定</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在本项目实施过程中，乙方除按双方约定收取服务费用外，不得以任何理由要求甲方增加任何费用，并不得以项目时间延长或费用超出预期等任何其他理由中止、中断提供服务。</w:t>
      </w:r>
    </w:p>
    <w:p>
      <w:pPr>
        <w:pStyle w:val="148"/>
        <w:adjustRightInd w:val="0"/>
        <w:snapToGrid w:val="0"/>
        <w:spacing w:line="400" w:lineRule="exact"/>
        <w:ind w:left="0" w:firstLine="410" w:firstLineChars="170"/>
        <w:rPr>
          <w:rFonts w:ascii="宋体" w:hAnsi="宋体"/>
          <w:b/>
          <w:sz w:val="24"/>
          <w:szCs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rPr>
        <w:t>、合同期限</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本合同自双方法定代表人或授权代理人签字或盖章之日起生效，有效期   年。</w:t>
      </w:r>
    </w:p>
    <w:p>
      <w:pPr>
        <w:pStyle w:val="148"/>
        <w:adjustRightInd w:val="0"/>
        <w:snapToGrid w:val="0"/>
        <w:spacing w:line="400" w:lineRule="exact"/>
        <w:ind w:left="0" w:firstLine="410" w:firstLineChars="170"/>
        <w:rPr>
          <w:rFonts w:ascii="宋体" w:hAnsi="宋体"/>
          <w:b/>
          <w:sz w:val="24"/>
          <w:szCs w:val="24"/>
          <w:highlight w:val="none"/>
        </w:rPr>
      </w:pPr>
      <w:r>
        <w:rPr>
          <w:rFonts w:hint="eastAsia" w:ascii="宋体" w:hAnsi="宋体"/>
          <w:b/>
          <w:sz w:val="24"/>
          <w:szCs w:val="24"/>
          <w:highlight w:val="none"/>
          <w:lang w:val="en-US" w:eastAsia="zh-CN"/>
        </w:rPr>
        <w:t>七</w:t>
      </w:r>
      <w:r>
        <w:rPr>
          <w:rFonts w:hint="eastAsia" w:ascii="宋体" w:hAnsi="宋体"/>
          <w:b/>
          <w:sz w:val="24"/>
          <w:szCs w:val="24"/>
          <w:highlight w:val="none"/>
        </w:rPr>
        <w:t>、知识产权与保密</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一）乙方声明和保证：其向甲方提供本合同项下服务及交付成果不侵犯任何第三方权利；甲方接受乙方服务或使用接受乙方服务所得成果时，不会遭受第三方提出的侵犯其知识产权或其他权益的任何权利主张。如果第三方因乙方服务向甲方提出任何权利主张，由乙方负责处理纠纷的相关事宜，给甲方造成损失的，由乙方负责赔偿。赔偿范围包括但不限于：甲方损失、诉讼费或仲裁费、律师费、与诉讼或仲裁相关的其他费用。</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（二）乙方提供本合同项下服务所得成果及甲方接受乙方服务所得成果的知识产权归甲方所有；未经甲方书面同意，乙方不得为甲方项目之外的目的而使用、转让或以其他任何方式处分上述成果及知识产权。</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三）乙方应对执行业务过程中知悉的甲方保密信息（包括但不限于甲方的员工信息、员工健康信息和其他递交时约定为保密信息的资料等）负有永久保密责任，除履行合同义务的必要或有法律、法规规定应披露的之外，不得以任何方式向第三人披露和不正当使用，否则，应当赔偿因泄露保密信息给对方造成的损失。</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（四）合同因履行完毕、提前解除或其他原因终止后的一定期间内，乙方应归还甲方提供的所有信息和资料，并不得再继续使用或擅自许可任何第三方使用。</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（五）保密条款有效期：本合同的无效、被撤销、解除、变更或终止等均不影响本条的效力，乙方在本合同下的保密义务将永久有效。</w:t>
      </w:r>
    </w:p>
    <w:p>
      <w:pPr>
        <w:pStyle w:val="148"/>
        <w:adjustRightInd w:val="0"/>
        <w:snapToGrid w:val="0"/>
        <w:spacing w:line="400" w:lineRule="exact"/>
        <w:ind w:left="0" w:firstLine="412" w:firstLineChars="171"/>
        <w:rPr>
          <w:rFonts w:ascii="宋体" w:hAnsi="宋体"/>
          <w:b/>
          <w:sz w:val="24"/>
          <w:szCs w:val="24"/>
          <w:highlight w:val="none"/>
        </w:rPr>
      </w:pPr>
      <w:r>
        <w:rPr>
          <w:rFonts w:hint="eastAsia" w:ascii="宋体" w:hAnsi="宋体"/>
          <w:b/>
          <w:sz w:val="24"/>
          <w:szCs w:val="24"/>
          <w:highlight w:val="none"/>
          <w:lang w:val="en-US" w:eastAsia="zh-CN"/>
        </w:rPr>
        <w:t>八</w:t>
      </w:r>
      <w:r>
        <w:rPr>
          <w:rFonts w:hint="eastAsia" w:ascii="宋体" w:hAnsi="宋体"/>
          <w:b/>
          <w:sz w:val="24"/>
          <w:szCs w:val="24"/>
          <w:highlight w:val="none"/>
        </w:rPr>
        <w:t>、违约责任</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 xml:space="preserve"> （一） 因乙方或其代表、代理人、雇员违反乙方在本合同中任何义务、陈述或保证而给甲方造成损失，乙方应赔偿甲方因此承担或遭受的任何损失、权利主张、赔偿金、支出和费用，包括合理的律师费。</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（二）除上述情形外，如因乙方原因或交付的工作经甲方验收不合格造成不能按照合同约定时间完成工作，每延迟一天应向甲方支付相当于年服务费总额0.1%的违约金。</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（三）有下列情形之一者，甲方可以立即以书面通知乙方终止合同，且有权要求乙方承担因此给造成甲方的损失：</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1、乙方出现违反本合同第五条所列义务并且未按甲方要求及时更正的情形；</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5、依据本条第（二）项约定乙方延迟时间达到20天；</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6、乙方违反本合同规定的保密义务；</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7、乙方未经甲方同意，擅自代理与甲方利益存在或可能有冲突的任何其他当事人的事务。</w:t>
      </w:r>
    </w:p>
    <w:p>
      <w:pPr>
        <w:pStyle w:val="148"/>
        <w:spacing w:line="400" w:lineRule="exact"/>
        <w:ind w:left="902" w:leftChars="200" w:hanging="482"/>
        <w:rPr>
          <w:rFonts w:ascii="宋体" w:hAnsi="宋体"/>
          <w:b/>
          <w:sz w:val="24"/>
          <w:szCs w:val="24"/>
          <w:highlight w:val="none"/>
        </w:rPr>
      </w:pPr>
      <w:r>
        <w:rPr>
          <w:rFonts w:hint="eastAsia" w:ascii="宋体" w:hAnsi="宋体"/>
          <w:b/>
          <w:sz w:val="24"/>
          <w:szCs w:val="24"/>
          <w:highlight w:val="none"/>
          <w:lang w:val="en-US" w:eastAsia="zh-CN"/>
        </w:rPr>
        <w:t>九</w:t>
      </w:r>
      <w:r>
        <w:rPr>
          <w:rFonts w:hint="eastAsia" w:ascii="宋体" w:hAnsi="宋体"/>
          <w:b/>
          <w:sz w:val="24"/>
          <w:szCs w:val="24"/>
          <w:highlight w:val="none"/>
        </w:rPr>
        <w:t>、 不可抗力</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一）由于发生不能预见、不能避免并不能克服的不可抗力情形，致使直接影响本合同的履行或不能按照本合同项下之约定履行时，遇有不可抗力的一方应当立即书面通知对方，并在发生不可抗力之日起30天内，提供不可抗力详情及合同不能履行或部分不能履行、或需要延期履行理由的有效书面证明，该项证明文件应当由不可抗力发生地的公证机关出具。</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（二）根据不可抗力对本合同的影响程度，双方应当协商是否解除本合同或部分、全部免除履行本合同的责任，或变更、延期履行本合同。</w:t>
      </w:r>
    </w:p>
    <w:p>
      <w:pPr>
        <w:pStyle w:val="148"/>
        <w:spacing w:line="400" w:lineRule="exact"/>
        <w:ind w:left="420" w:leftChars="200" w:firstLine="0" w:firstLineChars="0"/>
        <w:rPr>
          <w:rFonts w:ascii="宋体" w:hAnsi="宋体"/>
          <w:b/>
          <w:sz w:val="24"/>
          <w:szCs w:val="24"/>
          <w:highlight w:val="none"/>
        </w:rPr>
      </w:pPr>
      <w:r>
        <w:rPr>
          <w:rFonts w:hint="eastAsia" w:ascii="宋体" w:hAnsi="宋体"/>
          <w:b/>
          <w:sz w:val="24"/>
          <w:szCs w:val="24"/>
          <w:highlight w:val="none"/>
        </w:rPr>
        <w:t>十、 合同纠纷的解决</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本合同履行中发生争议，可由双方协商解决，协商不成，可提交仲裁委员会按其仲裁规则进行仲裁。在仲裁期间，本合同不涉及争议的条款仍须履行。</w:t>
      </w:r>
    </w:p>
    <w:p>
      <w:pPr>
        <w:pStyle w:val="148"/>
        <w:spacing w:line="400" w:lineRule="exact"/>
        <w:ind w:left="902" w:leftChars="200" w:hanging="482"/>
        <w:rPr>
          <w:rFonts w:ascii="宋体" w:hAnsi="宋体"/>
          <w:sz w:val="24"/>
          <w:szCs w:val="24"/>
          <w:highlight w:val="none"/>
        </w:rPr>
      </w:pPr>
      <w:r>
        <w:rPr>
          <w:rFonts w:hint="eastAsia" w:ascii="宋体" w:hAnsi="宋体"/>
          <w:b/>
          <w:sz w:val="24"/>
          <w:szCs w:val="24"/>
          <w:highlight w:val="none"/>
        </w:rPr>
        <w:t>十</w:t>
      </w:r>
      <w:r>
        <w:rPr>
          <w:rFonts w:hint="eastAsia" w:ascii="宋体" w:hAnsi="宋体"/>
          <w:b/>
          <w:sz w:val="24"/>
          <w:szCs w:val="24"/>
          <w:highlight w:val="none"/>
          <w:lang w:val="en-US" w:eastAsia="zh-CN"/>
        </w:rPr>
        <w:t>一</w:t>
      </w:r>
      <w:r>
        <w:rPr>
          <w:rFonts w:hint="eastAsia" w:ascii="宋体" w:hAnsi="宋体"/>
          <w:b/>
          <w:sz w:val="24"/>
          <w:szCs w:val="24"/>
          <w:highlight w:val="none"/>
        </w:rPr>
        <w:t>、其他</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一）合同双方都不得单方面修改合同内容。拟修改合同内容的一方应当就修改事项列明拟修改条款以书面形式通知对方。双方经讨论并同意对合同的相关条款进行修改后，应就修改条款签订补充协议。对本合同作任何更改或补充，必须经双方法定代表人或授权代理人签字或加盖公章后方可生效。补充协议为合同的组成部分，一经签署即具有法律效力。</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（二）本合同有效期内，乙方如发生资产重组、并购等情形时，应于工商登记之日起七日内通知甲方。</w:t>
      </w: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（三）本合同一式伍份，甲方执叁份，乙方执贰份。</w:t>
      </w:r>
    </w:p>
    <w:p>
      <w:pPr>
        <w:spacing w:line="560" w:lineRule="exact"/>
        <w:ind w:firstLine="480" w:firstLineChars="200"/>
        <w:jc w:val="left"/>
        <w:rPr>
          <w:rFonts w:hint="eastAsia" w:ascii="仿宋" w:hAnsi="仿宋" w:eastAsia="仿宋" w:cs="Times New Roman"/>
          <w:sz w:val="24"/>
          <w:szCs w:val="24"/>
          <w:highlight w:val="none"/>
        </w:rPr>
      </w:pPr>
    </w:p>
    <w:p>
      <w:pPr>
        <w:spacing w:line="560" w:lineRule="exact"/>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甲方（盖章）：                       乙方（盖章）：</w:t>
      </w:r>
    </w:p>
    <w:p>
      <w:pPr>
        <w:rPr>
          <w:rFonts w:hint="eastAsia" w:ascii="仿宋" w:hAnsi="仿宋" w:eastAsia="仿宋" w:cs="仿宋"/>
          <w:b/>
          <w:bCs/>
          <w:color w:val="auto"/>
          <w:sz w:val="24"/>
          <w:szCs w:val="24"/>
          <w:highlight w:val="none"/>
        </w:rPr>
      </w:pPr>
      <w:r>
        <w:rPr>
          <w:rFonts w:hint="eastAsia" w:ascii="仿宋" w:hAnsi="仿宋" w:eastAsia="仿宋" w:cs="Times New Roman"/>
          <w:sz w:val="24"/>
          <w:szCs w:val="24"/>
          <w:highlight w:val="none"/>
        </w:rPr>
        <w:t xml:space="preserve">甲方授权代理人（签字）：   </w:t>
      </w:r>
      <w:r>
        <w:rPr>
          <w:rFonts w:hint="eastAsia" w:ascii="仿宋" w:hAnsi="仿宋" w:eastAsia="仿宋" w:cs="Times New Roman"/>
          <w:sz w:val="24"/>
          <w:szCs w:val="24"/>
          <w:highlight w:val="none"/>
          <w:lang w:val="en-US" w:eastAsia="zh-CN"/>
        </w:rPr>
        <w:t xml:space="preserve">         </w:t>
      </w:r>
      <w:r>
        <w:rPr>
          <w:rFonts w:hint="eastAsia" w:ascii="仿宋" w:hAnsi="仿宋" w:eastAsia="仿宋" w:cs="Times New Roman"/>
          <w:sz w:val="24"/>
          <w:szCs w:val="24"/>
          <w:highlight w:val="none"/>
        </w:rPr>
        <w:t xml:space="preserve"> 乙方法定代表人或授权代理人（签字）：                      签字日期：                                 签字日期：</w:t>
      </w:r>
      <w:bookmarkEnd w:id="111"/>
      <w:bookmarkStart w:id="112" w:name="_Toc331685784"/>
    </w:p>
    <w:bookmarkEnd w:id="106"/>
    <w:bookmarkEnd w:id="107"/>
    <w:bookmarkEnd w:id="108"/>
    <w:bookmarkEnd w:id="109"/>
    <w:bookmarkEnd w:id="112"/>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pStyle w:val="3"/>
        <w:bidi w:val="0"/>
        <w:rPr>
          <w:rFonts w:hint="eastAsia" w:ascii="仿宋" w:hAnsi="仿宋" w:eastAsia="仿宋" w:cs="仿宋"/>
          <w:color w:val="auto"/>
          <w:highlight w:val="none"/>
        </w:rPr>
      </w:pPr>
      <w:bookmarkStart w:id="113" w:name="_Toc3652"/>
      <w:r>
        <w:rPr>
          <w:rFonts w:hint="eastAsia"/>
          <w:highlight w:val="none"/>
        </w:rPr>
        <w:t>第</w:t>
      </w:r>
      <w:r>
        <w:rPr>
          <w:rFonts w:hint="eastAsia"/>
          <w:highlight w:val="none"/>
          <w:lang w:val="en-US" w:eastAsia="zh-CN"/>
        </w:rPr>
        <w:t>六</w:t>
      </w:r>
      <w:r>
        <w:rPr>
          <w:rFonts w:hint="eastAsia"/>
          <w:highlight w:val="none"/>
          <w:lang w:eastAsia="zh-CN"/>
        </w:rPr>
        <w:t>章</w:t>
      </w:r>
      <w:r>
        <w:rPr>
          <w:rFonts w:hint="eastAsia"/>
          <w:highlight w:val="none"/>
        </w:rPr>
        <w:t xml:space="preserve">  投标文件内容及格式</w:t>
      </w:r>
      <w:bookmarkEnd w:id="113"/>
    </w:p>
    <w:p>
      <w:pPr>
        <w:pStyle w:val="59"/>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pStyle w:val="59"/>
        <w:spacing w:line="240" w:lineRule="auto"/>
        <w:jc w:val="center"/>
        <w:rPr>
          <w:rFonts w:hint="eastAsia" w:ascii="仿宋" w:hAnsi="仿宋" w:eastAsia="仿宋" w:cs="仿宋"/>
          <w:color w:val="auto"/>
          <w:sz w:val="28"/>
          <w:szCs w:val="28"/>
          <w:highlight w:val="none"/>
          <w:bdr w:val="single" w:color="auto" w:sz="4" w:space="0"/>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bdr w:val="single" w:color="auto" w:sz="4" w:space="0"/>
        </w:rPr>
        <w:t xml:space="preserve"> 正本 </w:t>
      </w:r>
    </w:p>
    <w:p>
      <w:pPr>
        <w:pStyle w:val="59"/>
        <w:spacing w:line="240" w:lineRule="auto"/>
        <w:jc w:val="center"/>
        <w:rPr>
          <w:rFonts w:hint="eastAsia" w:ascii="仿宋" w:hAnsi="仿宋" w:eastAsia="仿宋" w:cs="仿宋"/>
          <w:color w:val="auto"/>
          <w:sz w:val="28"/>
          <w:szCs w:val="28"/>
          <w:highlight w:val="none"/>
        </w:rPr>
      </w:pPr>
    </w:p>
    <w:p>
      <w:pPr>
        <w:spacing w:line="240" w:lineRule="auto"/>
        <w:ind w:right="9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（项目名称）</w:t>
      </w:r>
    </w:p>
    <w:p>
      <w:pPr>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0"/>
          <w:highlight w:val="none"/>
        </w:rPr>
        <w:t xml:space="preserve">             </w:t>
      </w:r>
    </w:p>
    <w:p>
      <w:pPr>
        <w:spacing w:line="240" w:lineRule="auto"/>
        <w:ind w:firstLine="280" w:firstLineChars="1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谈判文件</w:t>
      </w:r>
      <w:r>
        <w:rPr>
          <w:rFonts w:hint="eastAsia" w:ascii="仿宋" w:hAnsi="仿宋" w:eastAsia="仿宋" w:cs="仿宋"/>
          <w:color w:val="auto"/>
          <w:sz w:val="28"/>
          <w:szCs w:val="28"/>
          <w:highlight w:val="none"/>
        </w:rPr>
        <w:t xml:space="preserve">编号： </w:t>
      </w:r>
      <w:r>
        <w:rPr>
          <w:rFonts w:hint="eastAsia" w:ascii="仿宋" w:hAnsi="仿宋" w:eastAsia="仿宋" w:cs="仿宋"/>
          <w:color w:val="auto"/>
          <w:sz w:val="28"/>
          <w:szCs w:val="28"/>
          <w:highlight w:val="none"/>
          <w:u w:val="single"/>
        </w:rPr>
        <w:t xml:space="preserve">                      </w:t>
      </w: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jc w:val="center"/>
        <w:rPr>
          <w:rFonts w:hint="eastAsia" w:ascii="仿宋" w:hAnsi="仿宋" w:eastAsia="仿宋" w:cs="仿宋"/>
          <w:b/>
          <w:bCs/>
          <w:color w:val="auto"/>
          <w:sz w:val="44"/>
          <w:szCs w:val="44"/>
          <w:highlight w:val="none"/>
        </w:rPr>
      </w:pPr>
    </w:p>
    <w:p>
      <w:pPr>
        <w:spacing w:line="240" w:lineRule="auto"/>
        <w:jc w:val="center"/>
        <w:outlineLvl w:val="1"/>
        <w:rPr>
          <w:rFonts w:hint="eastAsia" w:ascii="仿宋" w:hAnsi="仿宋" w:eastAsia="仿宋" w:cs="仿宋"/>
          <w:b/>
          <w:bCs/>
          <w:color w:val="auto"/>
          <w:sz w:val="44"/>
          <w:szCs w:val="44"/>
          <w:highlight w:val="none"/>
        </w:rPr>
      </w:pPr>
      <w:bookmarkStart w:id="114" w:name="_Toc21764"/>
      <w:r>
        <w:rPr>
          <w:rFonts w:hint="eastAsia" w:ascii="仿宋" w:hAnsi="仿宋" w:eastAsia="仿宋" w:cs="仿宋"/>
          <w:b/>
          <w:bCs/>
          <w:color w:val="auto"/>
          <w:sz w:val="44"/>
          <w:szCs w:val="44"/>
          <w:highlight w:val="none"/>
          <w:lang w:val="en-US" w:eastAsia="zh-CN"/>
        </w:rPr>
        <w:t>响  应</w:t>
      </w:r>
      <w:r>
        <w:rPr>
          <w:rFonts w:hint="eastAsia" w:ascii="仿宋" w:hAnsi="仿宋" w:eastAsia="仿宋" w:cs="仿宋"/>
          <w:b/>
          <w:bCs/>
          <w:color w:val="auto"/>
          <w:sz w:val="44"/>
          <w:szCs w:val="44"/>
          <w:highlight w:val="none"/>
        </w:rPr>
        <w:t xml:space="preserve">  文  件</w:t>
      </w:r>
      <w:bookmarkEnd w:id="114"/>
    </w:p>
    <w:p>
      <w:pPr>
        <w:spacing w:line="240" w:lineRule="auto"/>
        <w:rPr>
          <w:rFonts w:hint="eastAsia" w:ascii="仿宋" w:hAnsi="仿宋" w:eastAsia="仿宋" w:cs="仿宋"/>
          <w:b/>
          <w:bCs/>
          <w:color w:val="auto"/>
          <w:sz w:val="44"/>
          <w:szCs w:val="44"/>
          <w:highlight w:val="none"/>
        </w:rPr>
      </w:pPr>
    </w:p>
    <w:p>
      <w:pPr>
        <w:spacing w:line="240" w:lineRule="auto"/>
        <w:rPr>
          <w:rFonts w:hint="eastAsia" w:ascii="仿宋" w:hAnsi="仿宋" w:eastAsia="仿宋" w:cs="仿宋"/>
          <w:color w:val="auto"/>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投标人：_____________________________（盖单位章）</w:t>
      </w:r>
    </w:p>
    <w:p>
      <w:pPr>
        <w:pStyle w:val="13"/>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址：_______________________________________</w:t>
      </w:r>
    </w:p>
    <w:p>
      <w:pPr>
        <w:pStyle w:val="13"/>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法定代表人：_______________________（签字或盖章）</w:t>
      </w:r>
    </w:p>
    <w:p>
      <w:pPr>
        <w:pStyle w:val="13"/>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联系人：_______________________________________</w:t>
      </w:r>
    </w:p>
    <w:p>
      <w:pPr>
        <w:pStyle w:val="13"/>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联系电话：_____________________________________</w:t>
      </w:r>
    </w:p>
    <w:p>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240" w:lineRule="auto"/>
        <w:jc w:val="center"/>
        <w:rPr>
          <w:rFonts w:hint="eastAsia" w:ascii="仿宋" w:hAnsi="仿宋" w:eastAsia="仿宋" w:cs="仿宋"/>
          <w:color w:val="auto"/>
          <w:highlight w:val="none"/>
        </w:rPr>
      </w:pPr>
    </w:p>
    <w:p>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spacing w:line="240" w:lineRule="auto"/>
        <w:jc w:val="center"/>
        <w:rPr>
          <w:rFonts w:hint="eastAsia" w:ascii="仿宋" w:hAnsi="仿宋" w:eastAsia="仿宋" w:cs="仿宋"/>
          <w:color w:val="auto"/>
          <w:highlight w:val="none"/>
        </w:rPr>
      </w:pPr>
    </w:p>
    <w:p>
      <w:pPr>
        <w:spacing w:line="240" w:lineRule="auto"/>
        <w:jc w:val="center"/>
        <w:rPr>
          <w:rFonts w:hint="eastAsia" w:ascii="仿宋" w:hAnsi="仿宋" w:eastAsia="仿宋" w:cs="仿宋"/>
          <w:color w:val="auto"/>
          <w:highlight w:val="none"/>
        </w:rPr>
      </w:pPr>
    </w:p>
    <w:p>
      <w:pPr>
        <w:spacing w:line="240" w:lineRule="auto"/>
        <w:jc w:val="center"/>
        <w:rPr>
          <w:rFonts w:hint="eastAsia" w:ascii="仿宋" w:hAnsi="仿宋" w:eastAsia="仿宋" w:cs="仿宋"/>
          <w:color w:val="auto"/>
          <w:highlight w:val="none"/>
        </w:rPr>
      </w:pPr>
    </w:p>
    <w:p>
      <w:pPr>
        <w:spacing w:line="240" w:lineRule="auto"/>
        <w:jc w:val="center"/>
        <w:rPr>
          <w:rFonts w:hint="eastAsia" w:ascii="仿宋" w:hAnsi="仿宋" w:eastAsia="仿宋" w:cs="仿宋"/>
          <w:color w:val="auto"/>
          <w:highlight w:val="none"/>
        </w:rPr>
      </w:pPr>
    </w:p>
    <w:p>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   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一、投 标 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二、投标文件真实性和不存在限制投标情形的声明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四、法定代表人身份证明、法定代表人授权委托书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五、投标保证金（投标保证金银行转账单复印件）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六、技术规格功能要求偏离表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七、商务条款偏离表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八、项目实施人员一览表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九、投标人基本情况表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十、质量保证书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十一、投标人安全事故的应急预案和处置方案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十二、服务承诺书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十三、符合《政府采购法》第二十二条规定的条件</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经年审计的上年度财务审计报告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十五、投标单位（供应商）反商业贿赂承诺书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十六、中小企业声明函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十七、网站截图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十八、投标人认为需要提供的其他资料</w:t>
      </w:r>
    </w:p>
    <w:p>
      <w:pP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注：1、</w:t>
      </w:r>
      <w:r>
        <w:rPr>
          <w:rFonts w:hint="eastAsia" w:ascii="仿宋" w:hAnsi="仿宋" w:eastAsia="仿宋" w:cs="仿宋"/>
          <w:b/>
          <w:bCs/>
          <w:color w:val="auto"/>
          <w:sz w:val="24"/>
          <w:highlight w:val="none"/>
          <w:lang w:val="en-US" w:eastAsia="zh-CN"/>
        </w:rPr>
        <w:t>只接受A4纸张大小的投标文件</w:t>
      </w:r>
    </w:p>
    <w:p>
      <w:pPr>
        <w:numPr>
          <w:ilvl w:val="0"/>
          <w:numId w:val="12"/>
        </w:numPr>
        <w:ind w:left="0" w:leftChars="0" w:firstLine="420" w:firstLineChars="0"/>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投标文件必须制作有目录和页码</w:t>
      </w:r>
    </w:p>
    <w:p>
      <w:pPr>
        <w:numPr>
          <w:ilvl w:val="0"/>
          <w:numId w:val="12"/>
        </w:numPr>
        <w:ind w:left="0" w:leftChars="0" w:firstLine="420" w:firstLineChars="0"/>
        <w:rPr>
          <w:rFonts w:hint="eastAsia" w:ascii="仿宋" w:hAnsi="仿宋" w:eastAsia="仿宋" w:cs="仿宋"/>
          <w:color w:val="auto"/>
          <w:highlight w:val="none"/>
          <w:lang w:val="en-US" w:eastAsia="zh-CN"/>
        </w:rPr>
      </w:pPr>
      <w:r>
        <w:rPr>
          <w:rFonts w:hint="eastAsia" w:ascii="仿宋" w:hAnsi="仿宋" w:eastAsia="仿宋" w:cs="仿宋"/>
          <w:b/>
          <w:bCs/>
          <w:color w:val="auto"/>
          <w:sz w:val="24"/>
          <w:szCs w:val="22"/>
          <w:highlight w:val="none"/>
          <w:lang w:val="en-US" w:eastAsia="zh-CN"/>
        </w:rPr>
        <w:t>投标文件严格按要求制作</w:t>
      </w:r>
    </w:p>
    <w:p>
      <w:pPr>
        <w:pStyle w:val="30"/>
        <w:rPr>
          <w:rFonts w:hint="eastAsia" w:ascii="仿宋" w:hAnsi="仿宋" w:eastAsia="仿宋" w:cs="仿宋"/>
          <w:color w:val="auto"/>
          <w:highlight w:val="none"/>
        </w:rPr>
        <w:sectPr>
          <w:headerReference r:id="rId7" w:type="default"/>
          <w:footerReference r:id="rId8" w:type="default"/>
          <w:pgSz w:w="11906" w:h="16838"/>
          <w:pgMar w:top="851" w:right="1304" w:bottom="1134" w:left="1304" w:header="851" w:footer="680" w:gutter="0"/>
          <w:pgNumType w:fmt="numberInDash"/>
          <w:cols w:space="720" w:num="1"/>
          <w:docGrid w:linePitch="312" w:charSpace="0"/>
        </w:sectPr>
      </w:pPr>
    </w:p>
    <w:p>
      <w:pPr>
        <w:numPr>
          <w:ilvl w:val="0"/>
          <w:numId w:val="0"/>
        </w:numPr>
        <w:jc w:val="center"/>
        <w:rPr>
          <w:rFonts w:hint="eastAsia" w:ascii="仿宋" w:hAnsi="仿宋" w:eastAsia="仿宋" w:cs="仿宋"/>
          <w:b/>
          <w:bCs/>
          <w:color w:val="auto"/>
          <w:highlight w:val="none"/>
          <w:lang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 xml:space="preserve">投 标 </w:t>
      </w:r>
      <w:r>
        <w:rPr>
          <w:rFonts w:hint="eastAsia" w:ascii="仿宋" w:hAnsi="仿宋" w:eastAsia="仿宋" w:cs="仿宋"/>
          <w:b/>
          <w:bCs/>
          <w:color w:val="auto"/>
          <w:sz w:val="28"/>
          <w:szCs w:val="28"/>
          <w:highlight w:val="none"/>
          <w:lang w:val="en-US" w:eastAsia="zh-CN"/>
        </w:rPr>
        <w:t>函</w:t>
      </w:r>
    </w:p>
    <w:p>
      <w:pPr>
        <w:pStyle w:val="19"/>
        <w:spacing w:line="360" w:lineRule="auto"/>
        <w:ind w:left="119" w:firstLine="480"/>
        <w:rPr>
          <w:rFonts w:hint="eastAsia" w:ascii="仿宋" w:hAnsi="仿宋" w:eastAsia="仿宋" w:cs="仿宋"/>
          <w:color w:val="auto"/>
          <w:sz w:val="33"/>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lang w:eastAsia="zh-CN"/>
        </w:rPr>
        <w:t>（采购人）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pPr>
        <w:spacing w:line="440" w:lineRule="exact"/>
        <w:ind w:firstLine="555"/>
        <w:rPr>
          <w:rStyle w:val="145"/>
          <w:rFonts w:hint="eastAsia" w:ascii="仿宋" w:hAnsi="仿宋" w:eastAsia="仿宋" w:cs="仿宋"/>
          <w:color w:val="auto"/>
          <w:sz w:val="24"/>
          <w:szCs w:val="24"/>
          <w:highlight w:val="none"/>
        </w:rPr>
      </w:pPr>
      <w:r>
        <w:rPr>
          <w:rStyle w:val="145"/>
          <w:rFonts w:hint="eastAsia" w:ascii="仿宋" w:hAnsi="仿宋" w:eastAsia="仿宋" w:cs="仿宋"/>
          <w:b/>
          <w:color w:val="auto"/>
          <w:sz w:val="24"/>
          <w:szCs w:val="24"/>
          <w:highlight w:val="none"/>
          <w:lang w:val="en-US" w:eastAsia="zh-CN"/>
        </w:rPr>
        <w:t xml:space="preserve"> </w:t>
      </w:r>
      <w:r>
        <w:rPr>
          <w:rStyle w:val="145"/>
          <w:rFonts w:hint="eastAsia" w:ascii="仿宋" w:hAnsi="仿宋" w:eastAsia="仿宋" w:cs="仿宋"/>
          <w:color w:val="auto"/>
          <w:sz w:val="24"/>
          <w:szCs w:val="24"/>
          <w:highlight w:val="none"/>
        </w:rPr>
        <w:t>根据贵方为项目招标的投标邀请</w:t>
      </w:r>
      <w:r>
        <w:rPr>
          <w:rStyle w:val="145"/>
          <w:rFonts w:hint="eastAsia" w:ascii="仿宋" w:hAnsi="仿宋" w:eastAsia="仿宋" w:cs="仿宋"/>
          <w:color w:val="auto"/>
          <w:sz w:val="24"/>
          <w:szCs w:val="24"/>
          <w:highlight w:val="none"/>
          <w:u w:val="single"/>
        </w:rPr>
        <w:t>项目编号</w:t>
      </w:r>
      <w:r>
        <w:rPr>
          <w:rStyle w:val="145"/>
          <w:rFonts w:hint="eastAsia" w:ascii="仿宋" w:hAnsi="仿宋" w:eastAsia="仿宋" w:cs="仿宋"/>
          <w:color w:val="auto"/>
          <w:sz w:val="24"/>
          <w:szCs w:val="24"/>
          <w:highlight w:val="none"/>
        </w:rPr>
        <w:t>，</w:t>
      </w:r>
      <w:r>
        <w:rPr>
          <w:rStyle w:val="145"/>
          <w:rFonts w:hint="eastAsia" w:ascii="仿宋" w:hAnsi="仿宋" w:eastAsia="仿宋" w:cs="仿宋"/>
          <w:color w:val="auto"/>
          <w:sz w:val="24"/>
          <w:szCs w:val="24"/>
          <w:highlight w:val="none"/>
          <w:lang w:val="en-US" w:eastAsia="zh-CN"/>
        </w:rPr>
        <w:t>授权</w:t>
      </w:r>
      <w:r>
        <w:rPr>
          <w:rStyle w:val="145"/>
          <w:rFonts w:hint="eastAsia" w:ascii="仿宋" w:hAnsi="仿宋" w:eastAsia="仿宋" w:cs="仿宋"/>
          <w:color w:val="auto"/>
          <w:sz w:val="24"/>
          <w:szCs w:val="24"/>
          <w:highlight w:val="none"/>
        </w:rPr>
        <w:t>签字代表</w:t>
      </w:r>
      <w:r>
        <w:rPr>
          <w:rStyle w:val="145"/>
          <w:rFonts w:hint="eastAsia" w:ascii="仿宋" w:hAnsi="仿宋" w:eastAsia="仿宋" w:cs="仿宋"/>
          <w:color w:val="auto"/>
          <w:sz w:val="24"/>
          <w:szCs w:val="24"/>
          <w:highlight w:val="none"/>
          <w:u w:val="single"/>
        </w:rPr>
        <w:t>（姓名、职务）</w:t>
      </w:r>
      <w:r>
        <w:rPr>
          <w:rStyle w:val="145"/>
          <w:rFonts w:hint="eastAsia" w:ascii="仿宋" w:hAnsi="仿宋" w:eastAsia="仿宋" w:cs="仿宋"/>
          <w:color w:val="auto"/>
          <w:sz w:val="24"/>
          <w:szCs w:val="24"/>
          <w:highlight w:val="none"/>
        </w:rPr>
        <w:t>经正式授权并代表</w:t>
      </w:r>
      <w:r>
        <w:rPr>
          <w:rStyle w:val="145"/>
          <w:rFonts w:hint="eastAsia" w:ascii="仿宋" w:hAnsi="仿宋" w:eastAsia="仿宋" w:cs="仿宋"/>
          <w:color w:val="auto"/>
          <w:sz w:val="24"/>
          <w:szCs w:val="24"/>
          <w:highlight w:val="none"/>
          <w:lang w:eastAsia="zh-CN"/>
        </w:rPr>
        <w:t>供应商</w:t>
      </w:r>
      <w:r>
        <w:rPr>
          <w:rStyle w:val="145"/>
          <w:rFonts w:hint="eastAsia" w:ascii="仿宋" w:hAnsi="仿宋" w:eastAsia="仿宋" w:cs="仿宋"/>
          <w:color w:val="auto"/>
          <w:sz w:val="24"/>
          <w:szCs w:val="24"/>
          <w:highlight w:val="none"/>
          <w:u w:val="single"/>
        </w:rPr>
        <w:t>（</w:t>
      </w:r>
      <w:r>
        <w:rPr>
          <w:rStyle w:val="145"/>
          <w:rFonts w:hint="eastAsia" w:ascii="仿宋" w:hAnsi="仿宋" w:eastAsia="仿宋" w:cs="仿宋"/>
          <w:color w:val="auto"/>
          <w:sz w:val="24"/>
          <w:szCs w:val="24"/>
          <w:highlight w:val="none"/>
          <w:u w:val="single"/>
          <w:lang w:eastAsia="zh-CN"/>
        </w:rPr>
        <w:t>供应商</w:t>
      </w:r>
      <w:r>
        <w:rPr>
          <w:rStyle w:val="145"/>
          <w:rFonts w:hint="eastAsia" w:ascii="仿宋" w:hAnsi="仿宋" w:eastAsia="仿宋" w:cs="仿宋"/>
          <w:color w:val="auto"/>
          <w:sz w:val="24"/>
          <w:szCs w:val="24"/>
          <w:highlight w:val="none"/>
          <w:u w:val="single"/>
        </w:rPr>
        <w:t>名称、地址）</w:t>
      </w:r>
      <w:r>
        <w:rPr>
          <w:rStyle w:val="145"/>
          <w:rFonts w:hint="eastAsia" w:ascii="仿宋" w:hAnsi="仿宋" w:eastAsia="仿宋" w:cs="仿宋"/>
          <w:color w:val="auto"/>
          <w:sz w:val="24"/>
          <w:szCs w:val="24"/>
          <w:highlight w:val="none"/>
        </w:rPr>
        <w:t>对此项目进行投标。据此函，签字代表宣布并同意如下：</w:t>
      </w:r>
    </w:p>
    <w:p>
      <w:pPr>
        <w:spacing w:line="440" w:lineRule="exact"/>
        <w:ind w:firstLine="480" w:firstLineChars="200"/>
        <w:rPr>
          <w:rStyle w:val="145"/>
          <w:rFonts w:hint="eastAsia" w:ascii="仿宋" w:hAnsi="仿宋" w:eastAsia="仿宋" w:cs="仿宋"/>
          <w:color w:val="auto"/>
          <w:sz w:val="24"/>
          <w:szCs w:val="24"/>
          <w:highlight w:val="none"/>
          <w:u w:val="single"/>
        </w:rPr>
      </w:pPr>
      <w:r>
        <w:rPr>
          <w:rStyle w:val="145"/>
          <w:rFonts w:hint="eastAsia" w:ascii="仿宋" w:hAnsi="仿宋" w:eastAsia="仿宋" w:cs="仿宋"/>
          <w:color w:val="auto"/>
          <w:sz w:val="24"/>
          <w:szCs w:val="24"/>
          <w:highlight w:val="none"/>
        </w:rPr>
        <w:t>1、所附明细报价表中规定的应提交和交付的货物和服务投标总价为</w:t>
      </w:r>
      <w:r>
        <w:rPr>
          <w:rStyle w:val="145"/>
          <w:rFonts w:hint="eastAsia" w:ascii="仿宋" w:hAnsi="仿宋" w:eastAsia="仿宋" w:cs="仿宋"/>
          <w:color w:val="auto"/>
          <w:sz w:val="24"/>
          <w:szCs w:val="24"/>
          <w:highlight w:val="none"/>
          <w:u w:val="single"/>
        </w:rPr>
        <w:t>（注明币种，并用文字和数字表示的投标总价）。</w:t>
      </w:r>
    </w:p>
    <w:p>
      <w:pPr>
        <w:snapToGrid w:val="0"/>
        <w:spacing w:line="440" w:lineRule="exact"/>
        <w:ind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2、我方同意在本项目谈判文件中规定的开标日起</w:t>
      </w:r>
      <w:r>
        <w:rPr>
          <w:rStyle w:val="145"/>
          <w:rFonts w:hint="eastAsia" w:ascii="仿宋" w:hAnsi="仿宋" w:eastAsia="仿宋" w:cs="仿宋"/>
          <w:color w:val="auto"/>
          <w:sz w:val="24"/>
          <w:szCs w:val="24"/>
          <w:highlight w:val="none"/>
          <w:u w:val="single"/>
          <w:lang w:val="en-US" w:eastAsia="zh-CN"/>
        </w:rPr>
        <w:t xml:space="preserve">   </w:t>
      </w:r>
      <w:r>
        <w:rPr>
          <w:rStyle w:val="145"/>
          <w:rFonts w:hint="eastAsia" w:ascii="仿宋" w:hAnsi="仿宋" w:eastAsia="仿宋" w:cs="仿宋"/>
          <w:color w:val="auto"/>
          <w:sz w:val="24"/>
          <w:szCs w:val="24"/>
          <w:highlight w:val="none"/>
        </w:rPr>
        <w:t>遵守本投标文件中的承诺且在此期限期满之前均具有约束力。</w:t>
      </w:r>
    </w:p>
    <w:p>
      <w:pPr>
        <w:pStyle w:val="146"/>
        <w:snapToGrid w:val="0"/>
        <w:spacing w:line="440" w:lineRule="exact"/>
        <w:ind w:firstLine="480" w:firstLineChars="200"/>
        <w:rPr>
          <w:rStyle w:val="145"/>
          <w:rFonts w:hint="eastAsia" w:ascii="仿宋" w:hAnsi="仿宋" w:eastAsia="仿宋" w:cs="仿宋"/>
          <w:color w:val="auto"/>
          <w:kern w:val="2"/>
          <w:sz w:val="24"/>
          <w:szCs w:val="24"/>
          <w:highlight w:val="none"/>
        </w:rPr>
      </w:pPr>
      <w:r>
        <w:rPr>
          <w:rStyle w:val="145"/>
          <w:rFonts w:hint="eastAsia" w:ascii="仿宋" w:hAnsi="仿宋" w:eastAsia="仿宋" w:cs="仿宋"/>
          <w:color w:val="auto"/>
          <w:kern w:val="2"/>
          <w:sz w:val="24"/>
          <w:szCs w:val="24"/>
          <w:highlight w:val="none"/>
        </w:rPr>
        <w:t>3、我方承诺已经具备《中华人民共和国政府采购法》中规定的参加政府采购活动的供应商应当具备的条件：</w:t>
      </w:r>
    </w:p>
    <w:p>
      <w:pPr>
        <w:numPr>
          <w:ilvl w:val="0"/>
          <w:numId w:val="13"/>
        </w:numPr>
        <w:snapToGrid w:val="0"/>
        <w:spacing w:line="440" w:lineRule="exact"/>
        <w:ind w:left="0"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具有独立承担民事责任的能力；</w:t>
      </w:r>
    </w:p>
    <w:p>
      <w:pPr>
        <w:numPr>
          <w:ilvl w:val="0"/>
          <w:numId w:val="13"/>
        </w:numPr>
        <w:snapToGrid w:val="0"/>
        <w:spacing w:line="440" w:lineRule="exact"/>
        <w:ind w:left="0"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具有良好的商业信誉和健全的财务会计制度；</w:t>
      </w:r>
    </w:p>
    <w:p>
      <w:pPr>
        <w:numPr>
          <w:ilvl w:val="0"/>
          <w:numId w:val="13"/>
        </w:numPr>
        <w:snapToGrid w:val="0"/>
        <w:spacing w:line="440" w:lineRule="exact"/>
        <w:ind w:left="0"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具有履行合同所必需的设备和专业技术能力；</w:t>
      </w:r>
    </w:p>
    <w:p>
      <w:pPr>
        <w:numPr>
          <w:ilvl w:val="0"/>
          <w:numId w:val="13"/>
        </w:numPr>
        <w:snapToGrid w:val="0"/>
        <w:spacing w:line="440" w:lineRule="exact"/>
        <w:ind w:left="0"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有依法缴纳税收和社会保障资金的良好记录；</w:t>
      </w:r>
    </w:p>
    <w:p>
      <w:pPr>
        <w:numPr>
          <w:ilvl w:val="0"/>
          <w:numId w:val="13"/>
        </w:numPr>
        <w:snapToGrid w:val="0"/>
        <w:spacing w:line="440" w:lineRule="exact"/>
        <w:ind w:left="0"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参加此项采购活动前三年内，在经营活动中没有重大违法记录。</w:t>
      </w:r>
    </w:p>
    <w:p>
      <w:pPr>
        <w:snapToGrid w:val="0"/>
        <w:spacing w:line="440" w:lineRule="exact"/>
        <w:ind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4、提供投标须知规定的全部投标文件，包括投标文件正本一份，副本叁份。</w:t>
      </w:r>
    </w:p>
    <w:p>
      <w:pPr>
        <w:snapToGrid w:val="0"/>
        <w:spacing w:line="440" w:lineRule="exact"/>
        <w:ind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5、按谈判文件要求提供和交付的货物和服务的投标报价详见投标报价表。</w:t>
      </w:r>
    </w:p>
    <w:p>
      <w:pPr>
        <w:snapToGrid w:val="0"/>
        <w:spacing w:line="440" w:lineRule="exact"/>
        <w:ind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6、保证忠实地执行双方所签订的合同，并承担合同规定的责任和义务。</w:t>
      </w:r>
    </w:p>
    <w:p>
      <w:pPr>
        <w:snapToGrid w:val="0"/>
        <w:spacing w:line="440" w:lineRule="exact"/>
        <w:ind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7、遵守谈判文件的规定，对交付的货物数量、规格、技术参数、服务等保证做到响应性的一一对应。否则，愿意承担违约的处罚。</w:t>
      </w:r>
    </w:p>
    <w:p>
      <w:pPr>
        <w:snapToGrid w:val="0"/>
        <w:spacing w:line="440" w:lineRule="exact"/>
        <w:ind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8、如果在开标后规定的投标有效期内撤回投标，我方的投标保证金可被贵方没收。</w:t>
      </w:r>
    </w:p>
    <w:p>
      <w:pPr>
        <w:snapToGrid w:val="0"/>
        <w:spacing w:line="440" w:lineRule="exact"/>
        <w:ind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9、我方完全理解贵方不一定接受最低价的投标或收到的任何投标。</w:t>
      </w:r>
    </w:p>
    <w:p>
      <w:pPr>
        <w:snapToGrid w:val="0"/>
        <w:spacing w:line="440" w:lineRule="exact"/>
        <w:ind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10、我方愿意向贵方提供任何与本项投标有关的数据、情况和技术资料。若贵方需要，我方愿意提供我方作出的一切承诺的证明材料。</w:t>
      </w:r>
    </w:p>
    <w:p>
      <w:pPr>
        <w:snapToGrid w:val="0"/>
        <w:spacing w:line="440" w:lineRule="exact"/>
        <w:ind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11、我方已详细审核全部投标文件，包括“修改投标文件”（如有的话）、参考资料及有关附件，确认无误。</w:t>
      </w:r>
    </w:p>
    <w:p>
      <w:pPr>
        <w:snapToGrid w:val="0"/>
        <w:spacing w:line="440" w:lineRule="exact"/>
        <w:ind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12、我方承诺接受谈判文件中合同部分的全部条款且无任何异议。</w:t>
      </w:r>
    </w:p>
    <w:p>
      <w:pPr>
        <w:snapToGrid w:val="0"/>
        <w:spacing w:line="440" w:lineRule="exact"/>
        <w:ind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4"/>
        </w:numPr>
        <w:snapToGrid w:val="0"/>
        <w:spacing w:line="440" w:lineRule="exact"/>
        <w:ind w:left="0"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提供虚假材料谋取中标、成交的；</w:t>
      </w:r>
    </w:p>
    <w:p>
      <w:pPr>
        <w:numPr>
          <w:ilvl w:val="0"/>
          <w:numId w:val="14"/>
        </w:numPr>
        <w:snapToGrid w:val="0"/>
        <w:spacing w:line="440" w:lineRule="exact"/>
        <w:ind w:left="0"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采取不正当手段诋毁、排挤其他供应商的；</w:t>
      </w:r>
    </w:p>
    <w:p>
      <w:pPr>
        <w:numPr>
          <w:ilvl w:val="0"/>
          <w:numId w:val="14"/>
        </w:numPr>
        <w:snapToGrid w:val="0"/>
        <w:spacing w:line="440" w:lineRule="exact"/>
        <w:ind w:left="0"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与采购人、其它供应商或者采购代理机构恶意串通的；</w:t>
      </w:r>
    </w:p>
    <w:p>
      <w:pPr>
        <w:numPr>
          <w:ilvl w:val="0"/>
          <w:numId w:val="14"/>
        </w:numPr>
        <w:snapToGrid w:val="0"/>
        <w:spacing w:line="440" w:lineRule="exact"/>
        <w:ind w:left="0"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向采购人、采购代理机构行贿或者提供其他不正当利益的；</w:t>
      </w:r>
    </w:p>
    <w:p>
      <w:pPr>
        <w:numPr>
          <w:ilvl w:val="0"/>
          <w:numId w:val="14"/>
        </w:numPr>
        <w:snapToGrid w:val="0"/>
        <w:spacing w:line="440" w:lineRule="exact"/>
        <w:ind w:left="0"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未经采购代理机构同意，在采购过程中与采购人进行协商谈判的；</w:t>
      </w:r>
    </w:p>
    <w:p>
      <w:pPr>
        <w:numPr>
          <w:ilvl w:val="0"/>
          <w:numId w:val="14"/>
        </w:numPr>
        <w:snapToGrid w:val="0"/>
        <w:spacing w:line="440" w:lineRule="exact"/>
        <w:ind w:left="0" w:firstLine="480" w:firstLineChars="2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拒绝有关部门监督检查或提供虚假情况的。</w:t>
      </w:r>
    </w:p>
    <w:p>
      <w:pPr>
        <w:snapToGrid w:val="0"/>
        <w:spacing w:line="440" w:lineRule="exact"/>
        <w:rPr>
          <w:rStyle w:val="145"/>
          <w:rFonts w:hint="eastAsia" w:ascii="仿宋" w:hAnsi="仿宋" w:eastAsia="仿宋" w:cs="仿宋"/>
          <w:color w:val="auto"/>
          <w:sz w:val="24"/>
          <w:szCs w:val="24"/>
          <w:highlight w:val="none"/>
          <w:lang w:val="en-US" w:eastAsia="zh-CN"/>
        </w:rPr>
      </w:pPr>
      <w:r>
        <w:rPr>
          <w:rStyle w:val="145"/>
          <w:rFonts w:hint="eastAsia" w:ascii="仿宋" w:hAnsi="仿宋" w:eastAsia="仿宋" w:cs="仿宋"/>
          <w:color w:val="auto"/>
          <w:sz w:val="24"/>
          <w:szCs w:val="24"/>
          <w:highlight w:val="none"/>
          <w:lang w:val="en-US" w:eastAsia="zh-CN"/>
        </w:rPr>
        <w:t>14.其他</w:t>
      </w:r>
      <w:r>
        <w:rPr>
          <w:rStyle w:val="145"/>
          <w:rFonts w:hint="eastAsia" w:ascii="仿宋" w:hAnsi="仿宋" w:eastAsia="仿宋" w:cs="仿宋"/>
          <w:color w:val="auto"/>
          <w:sz w:val="24"/>
          <w:szCs w:val="24"/>
          <w:highlight w:val="none"/>
          <w:u w:val="single"/>
          <w:lang w:val="en-US" w:eastAsia="zh-CN"/>
        </w:rPr>
        <w:t xml:space="preserve">                          </w:t>
      </w:r>
    </w:p>
    <w:p>
      <w:pPr>
        <w:spacing w:line="440" w:lineRule="exact"/>
        <w:ind w:firstLine="240" w:firstLineChars="100"/>
        <w:rPr>
          <w:rStyle w:val="145"/>
          <w:rFonts w:hint="eastAsia" w:ascii="仿宋" w:hAnsi="仿宋" w:eastAsia="仿宋" w:cs="仿宋"/>
          <w:color w:val="auto"/>
          <w:sz w:val="24"/>
          <w:szCs w:val="24"/>
          <w:highlight w:val="none"/>
        </w:rPr>
      </w:pPr>
    </w:p>
    <w:p>
      <w:pPr>
        <w:spacing w:line="440" w:lineRule="exact"/>
        <w:ind w:firstLine="240" w:firstLineChars="100"/>
        <w:rPr>
          <w:rStyle w:val="145"/>
          <w:rFonts w:hint="eastAsia" w:ascii="仿宋" w:hAnsi="仿宋" w:eastAsia="仿宋" w:cs="仿宋"/>
          <w:color w:val="auto"/>
          <w:sz w:val="24"/>
          <w:szCs w:val="24"/>
          <w:highlight w:val="none"/>
        </w:rPr>
      </w:pPr>
    </w:p>
    <w:p>
      <w:pPr>
        <w:spacing w:line="440" w:lineRule="exact"/>
        <w:ind w:firstLine="240" w:firstLineChars="1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与本投标有关的一切正式往来信函请寄：</w:t>
      </w:r>
    </w:p>
    <w:p>
      <w:pPr>
        <w:spacing w:line="440" w:lineRule="exact"/>
        <w:ind w:firstLine="240" w:firstLineChars="100"/>
        <w:rPr>
          <w:rStyle w:val="145"/>
          <w:rFonts w:hint="eastAsia" w:ascii="仿宋" w:hAnsi="仿宋" w:eastAsia="仿宋" w:cs="仿宋"/>
          <w:color w:val="auto"/>
          <w:sz w:val="24"/>
          <w:szCs w:val="24"/>
          <w:highlight w:val="none"/>
          <w:u w:val="single"/>
        </w:rPr>
      </w:pPr>
      <w:r>
        <w:rPr>
          <w:rStyle w:val="145"/>
          <w:rFonts w:hint="eastAsia" w:ascii="仿宋" w:hAnsi="仿宋" w:eastAsia="仿宋" w:cs="仿宋"/>
          <w:color w:val="auto"/>
          <w:sz w:val="24"/>
          <w:szCs w:val="24"/>
          <w:highlight w:val="none"/>
        </w:rPr>
        <w:t>地　　　　　址：</w:t>
      </w:r>
      <w:r>
        <w:rPr>
          <w:rStyle w:val="145"/>
          <w:rFonts w:hint="eastAsia" w:ascii="仿宋" w:hAnsi="仿宋" w:eastAsia="仿宋" w:cs="仿宋"/>
          <w:color w:val="auto"/>
          <w:sz w:val="24"/>
          <w:szCs w:val="24"/>
          <w:highlight w:val="none"/>
          <w:u w:val="single"/>
        </w:rPr>
        <w:t>　　　　　　　　　　</w:t>
      </w:r>
      <w:r>
        <w:rPr>
          <w:rStyle w:val="145"/>
          <w:rFonts w:hint="eastAsia" w:ascii="仿宋" w:hAnsi="仿宋" w:eastAsia="仿宋" w:cs="仿宋"/>
          <w:color w:val="auto"/>
          <w:sz w:val="24"/>
          <w:szCs w:val="24"/>
          <w:highlight w:val="none"/>
        </w:rPr>
        <w:t>邮编：</w:t>
      </w:r>
      <w:r>
        <w:rPr>
          <w:rStyle w:val="145"/>
          <w:rFonts w:hint="eastAsia" w:ascii="仿宋" w:hAnsi="仿宋" w:eastAsia="仿宋" w:cs="仿宋"/>
          <w:color w:val="auto"/>
          <w:sz w:val="24"/>
          <w:szCs w:val="24"/>
          <w:highlight w:val="none"/>
          <w:u w:val="single"/>
        </w:rPr>
        <w:t>　　　　　　　　　</w:t>
      </w:r>
    </w:p>
    <w:p>
      <w:pPr>
        <w:spacing w:line="440" w:lineRule="exact"/>
        <w:ind w:left="0" w:leftChars="0" w:firstLine="240" w:firstLineChars="1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rPr>
        <w:t>电　　　　　话：</w:t>
      </w:r>
      <w:r>
        <w:rPr>
          <w:rStyle w:val="145"/>
          <w:rFonts w:hint="eastAsia" w:ascii="仿宋" w:hAnsi="仿宋" w:eastAsia="仿宋" w:cs="仿宋"/>
          <w:color w:val="auto"/>
          <w:sz w:val="24"/>
          <w:szCs w:val="24"/>
          <w:highlight w:val="none"/>
          <w:u w:val="single"/>
        </w:rPr>
        <w:t>　　　　　　　　　　</w:t>
      </w:r>
      <w:r>
        <w:rPr>
          <w:rStyle w:val="145"/>
          <w:rFonts w:hint="eastAsia" w:ascii="仿宋" w:hAnsi="仿宋" w:eastAsia="仿宋" w:cs="仿宋"/>
          <w:color w:val="auto"/>
          <w:sz w:val="24"/>
          <w:szCs w:val="24"/>
          <w:highlight w:val="none"/>
        </w:rPr>
        <w:t>传真：</w:t>
      </w:r>
      <w:r>
        <w:rPr>
          <w:rStyle w:val="145"/>
          <w:rFonts w:hint="eastAsia" w:ascii="仿宋" w:hAnsi="仿宋" w:eastAsia="仿宋" w:cs="仿宋"/>
          <w:color w:val="auto"/>
          <w:sz w:val="24"/>
          <w:szCs w:val="24"/>
          <w:highlight w:val="none"/>
          <w:u w:val="single"/>
        </w:rPr>
        <w:t>　　　　　　　　　</w:t>
      </w:r>
    </w:p>
    <w:p>
      <w:pPr>
        <w:spacing w:line="440" w:lineRule="exact"/>
        <w:ind w:left="0" w:leftChars="0" w:firstLine="240" w:firstLineChars="100"/>
        <w:rPr>
          <w:rStyle w:val="145"/>
          <w:rFonts w:hint="eastAsia" w:ascii="仿宋" w:hAnsi="仿宋" w:eastAsia="仿宋" w:cs="仿宋"/>
          <w:color w:val="auto"/>
          <w:sz w:val="24"/>
          <w:szCs w:val="24"/>
          <w:highlight w:val="none"/>
          <w:lang w:eastAsia="zh-CN"/>
        </w:rPr>
      </w:pPr>
    </w:p>
    <w:p>
      <w:pPr>
        <w:spacing w:line="440" w:lineRule="exact"/>
        <w:ind w:left="0" w:leftChars="0" w:firstLine="240" w:firstLineChars="100"/>
        <w:rPr>
          <w:rStyle w:val="145"/>
          <w:rFonts w:hint="eastAsia" w:ascii="仿宋" w:hAnsi="仿宋" w:eastAsia="仿宋" w:cs="仿宋"/>
          <w:color w:val="auto"/>
          <w:sz w:val="24"/>
          <w:szCs w:val="24"/>
          <w:highlight w:val="none"/>
          <w:lang w:eastAsia="zh-CN"/>
        </w:rPr>
      </w:pPr>
    </w:p>
    <w:p>
      <w:pPr>
        <w:spacing w:line="440" w:lineRule="exact"/>
        <w:ind w:left="0" w:leftChars="0" w:firstLine="240" w:firstLineChars="100"/>
        <w:rPr>
          <w:rStyle w:val="145"/>
          <w:rFonts w:hint="eastAsia" w:ascii="仿宋" w:hAnsi="仿宋" w:eastAsia="仿宋" w:cs="仿宋"/>
          <w:color w:val="auto"/>
          <w:sz w:val="24"/>
          <w:szCs w:val="24"/>
          <w:highlight w:val="none"/>
          <w:u w:val="single"/>
        </w:rPr>
      </w:pPr>
      <w:r>
        <w:rPr>
          <w:rStyle w:val="145"/>
          <w:rFonts w:hint="eastAsia" w:ascii="仿宋" w:hAnsi="仿宋" w:eastAsia="仿宋" w:cs="仿宋"/>
          <w:color w:val="auto"/>
          <w:sz w:val="24"/>
          <w:szCs w:val="24"/>
          <w:highlight w:val="none"/>
          <w:lang w:eastAsia="zh-CN"/>
        </w:rPr>
        <w:t>供应商</w:t>
      </w:r>
      <w:r>
        <w:rPr>
          <w:rStyle w:val="145"/>
          <w:rFonts w:hint="eastAsia" w:ascii="仿宋" w:hAnsi="仿宋" w:eastAsia="仿宋" w:cs="仿宋"/>
          <w:color w:val="auto"/>
          <w:sz w:val="24"/>
          <w:szCs w:val="24"/>
          <w:highlight w:val="none"/>
        </w:rPr>
        <w:t>名称（单位公章）：</w:t>
      </w:r>
      <w:r>
        <w:rPr>
          <w:rStyle w:val="145"/>
          <w:rFonts w:hint="eastAsia" w:ascii="仿宋" w:hAnsi="仿宋" w:eastAsia="仿宋" w:cs="仿宋"/>
          <w:color w:val="auto"/>
          <w:sz w:val="24"/>
          <w:szCs w:val="24"/>
          <w:highlight w:val="none"/>
          <w:u w:val="single"/>
        </w:rPr>
        <w:t>　　　　　　　　　　</w:t>
      </w:r>
    </w:p>
    <w:p>
      <w:pPr>
        <w:spacing w:line="440" w:lineRule="exact"/>
        <w:ind w:left="0" w:leftChars="0" w:firstLine="240" w:firstLineChars="100"/>
        <w:rPr>
          <w:rStyle w:val="145"/>
          <w:rFonts w:hint="eastAsia" w:ascii="仿宋" w:hAnsi="仿宋" w:eastAsia="仿宋" w:cs="仿宋"/>
          <w:color w:val="auto"/>
          <w:sz w:val="24"/>
          <w:szCs w:val="24"/>
          <w:highlight w:val="none"/>
        </w:rPr>
      </w:pPr>
      <w:r>
        <w:rPr>
          <w:rStyle w:val="145"/>
          <w:rFonts w:hint="eastAsia" w:ascii="仿宋" w:hAnsi="仿宋" w:eastAsia="仿宋" w:cs="仿宋"/>
          <w:color w:val="auto"/>
          <w:sz w:val="24"/>
          <w:szCs w:val="24"/>
          <w:highlight w:val="none"/>
          <w:lang w:eastAsia="zh-CN"/>
        </w:rPr>
        <w:t>供应商</w:t>
      </w:r>
      <w:r>
        <w:rPr>
          <w:rStyle w:val="145"/>
          <w:rFonts w:hint="eastAsia" w:ascii="仿宋" w:hAnsi="仿宋" w:eastAsia="仿宋" w:cs="仿宋"/>
          <w:color w:val="auto"/>
          <w:sz w:val="24"/>
          <w:szCs w:val="24"/>
          <w:highlight w:val="none"/>
        </w:rPr>
        <w:t>代表签字：</w:t>
      </w:r>
      <w:r>
        <w:rPr>
          <w:rStyle w:val="145"/>
          <w:rFonts w:hint="eastAsia" w:ascii="仿宋" w:hAnsi="仿宋" w:eastAsia="仿宋" w:cs="仿宋"/>
          <w:color w:val="auto"/>
          <w:sz w:val="24"/>
          <w:szCs w:val="24"/>
          <w:highlight w:val="none"/>
          <w:u w:val="single"/>
        </w:rPr>
        <w:t>　　　　　　　　　　　　　</w:t>
      </w:r>
    </w:p>
    <w:p>
      <w:pPr>
        <w:spacing w:line="440" w:lineRule="exact"/>
        <w:ind w:left="0" w:leftChars="0" w:firstLine="240" w:firstLineChars="100"/>
        <w:jc w:val="left"/>
        <w:rPr>
          <w:rStyle w:val="145"/>
          <w:rFonts w:hint="eastAsia" w:ascii="仿宋" w:hAnsi="仿宋" w:eastAsia="仿宋" w:cs="仿宋"/>
          <w:color w:val="auto"/>
          <w:sz w:val="24"/>
          <w:szCs w:val="24"/>
          <w:highlight w:val="none"/>
        </w:rPr>
      </w:pPr>
    </w:p>
    <w:p>
      <w:pPr>
        <w:snapToGrid w:val="0"/>
        <w:spacing w:line="440" w:lineRule="exact"/>
        <w:ind w:firstLine="482" w:firstLineChars="200"/>
        <w:rPr>
          <w:rStyle w:val="145"/>
          <w:rFonts w:hint="eastAsia" w:ascii="仿宋" w:hAnsi="仿宋" w:eastAsia="仿宋" w:cs="仿宋"/>
          <w:b/>
          <w:color w:val="auto"/>
          <w:sz w:val="24"/>
          <w:szCs w:val="24"/>
          <w:highlight w:val="none"/>
        </w:rPr>
      </w:pPr>
    </w:p>
    <w:p>
      <w:pPr>
        <w:pStyle w:val="13"/>
        <w:rPr>
          <w:rStyle w:val="145"/>
          <w:rFonts w:hint="eastAsia" w:ascii="仿宋" w:hAnsi="仿宋" w:eastAsia="仿宋" w:cs="仿宋"/>
          <w:b/>
          <w:color w:val="auto"/>
          <w:sz w:val="24"/>
          <w:szCs w:val="24"/>
          <w:highlight w:val="none"/>
        </w:rPr>
      </w:pPr>
    </w:p>
    <w:p>
      <w:pPr>
        <w:rPr>
          <w:rFonts w:hint="eastAsia" w:ascii="仿宋" w:hAnsi="仿宋" w:eastAsia="仿宋" w:cs="仿宋"/>
          <w:color w:val="auto"/>
          <w:highlight w:val="none"/>
        </w:rPr>
      </w:pPr>
    </w:p>
    <w:p>
      <w:pPr>
        <w:snapToGrid w:val="0"/>
        <w:spacing w:line="440" w:lineRule="exact"/>
        <w:ind w:firstLine="482" w:firstLineChars="200"/>
        <w:rPr>
          <w:rStyle w:val="145"/>
          <w:rFonts w:hint="eastAsia" w:ascii="仿宋" w:hAnsi="仿宋" w:eastAsia="仿宋" w:cs="仿宋"/>
          <w:b/>
          <w:color w:val="auto"/>
          <w:sz w:val="24"/>
          <w:szCs w:val="24"/>
          <w:highlight w:val="none"/>
        </w:rPr>
      </w:pPr>
    </w:p>
    <w:p>
      <w:pPr>
        <w:snapToGrid w:val="0"/>
        <w:spacing w:line="440" w:lineRule="exact"/>
        <w:ind w:firstLine="482" w:firstLineChars="200"/>
        <w:rPr>
          <w:rStyle w:val="145"/>
          <w:rFonts w:hint="eastAsia" w:ascii="仿宋" w:hAnsi="仿宋" w:eastAsia="仿宋" w:cs="仿宋"/>
          <w:b/>
          <w:color w:val="auto"/>
          <w:sz w:val="24"/>
          <w:szCs w:val="24"/>
          <w:highlight w:val="none"/>
        </w:rPr>
      </w:pPr>
    </w:p>
    <w:p>
      <w:pPr>
        <w:snapToGrid w:val="0"/>
        <w:spacing w:line="440" w:lineRule="exact"/>
        <w:ind w:firstLine="482" w:firstLineChars="200"/>
        <w:rPr>
          <w:rStyle w:val="145"/>
          <w:rFonts w:hint="eastAsia" w:ascii="仿宋" w:hAnsi="仿宋" w:eastAsia="仿宋" w:cs="仿宋"/>
          <w:b/>
          <w:color w:val="auto"/>
          <w:sz w:val="24"/>
          <w:szCs w:val="24"/>
          <w:highlight w:val="none"/>
        </w:rPr>
      </w:pPr>
    </w:p>
    <w:p>
      <w:pPr>
        <w:snapToGrid w:val="0"/>
        <w:spacing w:line="440" w:lineRule="exact"/>
        <w:ind w:firstLine="482" w:firstLineChars="200"/>
        <w:rPr>
          <w:rStyle w:val="145"/>
          <w:rFonts w:hint="eastAsia" w:ascii="仿宋" w:hAnsi="仿宋" w:eastAsia="仿宋" w:cs="仿宋"/>
          <w:b/>
          <w:color w:val="auto"/>
          <w:sz w:val="24"/>
          <w:szCs w:val="24"/>
          <w:highlight w:val="none"/>
        </w:rPr>
      </w:pPr>
      <w:r>
        <w:rPr>
          <w:rStyle w:val="145"/>
          <w:rFonts w:hint="eastAsia" w:ascii="仿宋" w:hAnsi="仿宋" w:eastAsia="仿宋" w:cs="仿宋"/>
          <w:b/>
          <w:color w:val="auto"/>
          <w:sz w:val="24"/>
          <w:szCs w:val="24"/>
          <w:highlight w:val="none"/>
        </w:rPr>
        <w:t>注：除可填报项目外，对本投标函的任何修改将被视为非实质性响应投标，从而导致该投标被拒绝。</w:t>
      </w:r>
    </w:p>
    <w:p>
      <w:pPr>
        <w:spacing w:line="440" w:lineRule="exact"/>
        <w:ind w:firstLine="480"/>
        <w:rPr>
          <w:rFonts w:hint="eastAsia" w:ascii="仿宋" w:hAnsi="仿宋" w:eastAsia="仿宋" w:cs="仿宋"/>
          <w:color w:val="auto"/>
          <w:sz w:val="24"/>
          <w:szCs w:val="22"/>
          <w:highlight w:val="none"/>
        </w:rPr>
      </w:pPr>
    </w:p>
    <w:p>
      <w:pPr>
        <w:spacing w:line="440" w:lineRule="exact"/>
        <w:ind w:firstLine="480"/>
        <w:rPr>
          <w:rFonts w:hint="eastAsia" w:ascii="仿宋" w:hAnsi="仿宋" w:eastAsia="仿宋" w:cs="仿宋"/>
          <w:color w:val="auto"/>
          <w:sz w:val="24"/>
          <w:szCs w:val="22"/>
          <w:highlight w:val="none"/>
        </w:rPr>
      </w:pPr>
    </w:p>
    <w:p>
      <w:pPr>
        <w:spacing w:line="440" w:lineRule="exact"/>
        <w:ind w:firstLine="480"/>
        <w:rPr>
          <w:rFonts w:hint="eastAsia" w:ascii="仿宋" w:hAnsi="仿宋" w:eastAsia="仿宋" w:cs="仿宋"/>
          <w:color w:val="auto"/>
          <w:sz w:val="24"/>
          <w:szCs w:val="22"/>
          <w:highlight w:val="none"/>
        </w:rPr>
      </w:pPr>
    </w:p>
    <w:p>
      <w:pPr>
        <w:spacing w:line="440" w:lineRule="exact"/>
        <w:ind w:firstLine="480"/>
        <w:rPr>
          <w:rFonts w:hint="eastAsia" w:ascii="仿宋" w:hAnsi="仿宋" w:eastAsia="仿宋" w:cs="仿宋"/>
          <w:color w:val="auto"/>
          <w:sz w:val="24"/>
          <w:szCs w:val="22"/>
          <w:highlight w:val="none"/>
        </w:rPr>
      </w:pPr>
    </w:p>
    <w:p>
      <w:pPr>
        <w:spacing w:line="440" w:lineRule="exact"/>
        <w:ind w:firstLine="48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年     月     日</w:t>
      </w:r>
    </w:p>
    <w:p>
      <w:pPr>
        <w:spacing w:line="440" w:lineRule="exact"/>
        <w:rPr>
          <w:rFonts w:hint="eastAsia" w:ascii="仿宋" w:hAnsi="仿宋" w:eastAsia="仿宋" w:cs="仿宋"/>
          <w:b/>
          <w:bCs/>
          <w:color w:val="auto"/>
          <w:sz w:val="30"/>
          <w:szCs w:val="30"/>
          <w:highlight w:val="none"/>
        </w:rPr>
      </w:pPr>
    </w:p>
    <w:p>
      <w:pPr>
        <w:spacing w:line="440" w:lineRule="exact"/>
        <w:ind w:firstLine="480"/>
        <w:jc w:val="center"/>
        <w:rPr>
          <w:rFonts w:hint="eastAsia" w:ascii="仿宋" w:hAnsi="仿宋" w:eastAsia="仿宋" w:cs="仿宋"/>
          <w:b/>
          <w:bCs/>
          <w:color w:val="auto"/>
          <w:sz w:val="30"/>
          <w:szCs w:val="30"/>
          <w:highlight w:val="none"/>
          <w:lang w:val="en-US" w:eastAsia="zh-CN"/>
        </w:rPr>
      </w:pPr>
    </w:p>
    <w:p>
      <w:pPr>
        <w:spacing w:line="440" w:lineRule="exact"/>
        <w:jc w:val="both"/>
        <w:rPr>
          <w:rFonts w:hint="eastAsia" w:ascii="仿宋" w:hAnsi="仿宋" w:eastAsia="仿宋" w:cs="仿宋"/>
          <w:b/>
          <w:bCs/>
          <w:color w:val="auto"/>
          <w:sz w:val="30"/>
          <w:szCs w:val="30"/>
          <w:highlight w:val="none"/>
          <w:lang w:val="en-US" w:eastAsia="zh-CN"/>
        </w:rPr>
      </w:pPr>
    </w:p>
    <w:p>
      <w:pPr>
        <w:spacing w:line="440" w:lineRule="exact"/>
        <w:ind w:firstLine="48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二、</w:t>
      </w:r>
      <w:r>
        <w:rPr>
          <w:rFonts w:hint="eastAsia" w:ascii="仿宋" w:hAnsi="仿宋" w:eastAsia="仿宋" w:cs="仿宋"/>
          <w:b/>
          <w:bCs/>
          <w:color w:val="auto"/>
          <w:sz w:val="30"/>
          <w:szCs w:val="30"/>
          <w:highlight w:val="none"/>
        </w:rPr>
        <w:t>投标文件真实性和不存在限制投标情形的声明</w:t>
      </w:r>
    </w:p>
    <w:p>
      <w:pPr>
        <w:spacing w:line="200" w:lineRule="exact"/>
        <w:rPr>
          <w:rFonts w:hint="eastAsia" w:ascii="仿宋" w:hAnsi="仿宋" w:eastAsia="仿宋" w:cs="仿宋"/>
          <w:color w:val="auto"/>
          <w:highlight w:val="none"/>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和田市林业和草原局</w:t>
      </w:r>
      <w:r>
        <w:rPr>
          <w:rFonts w:hint="eastAsia" w:ascii="仿宋" w:hAnsi="仿宋" w:eastAsia="仿宋" w:cs="仿宋"/>
          <w:color w:val="auto"/>
          <w:sz w:val="24"/>
          <w:szCs w:val="24"/>
          <w:highlight w:val="none"/>
        </w:rPr>
        <w:t>：</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我方在此声明，所递交的（项目名称）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的投标文件（包括有关资料、澄清）真实可信，不存在虚假（包括隐瞒）。我方近三年来在经营活动中没有重大违法记录。</w:t>
      </w:r>
    </w:p>
    <w:p>
      <w:pPr>
        <w:spacing w:line="48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我方承诺，如存在虚假投标行为，我方自愿承担</w:t>
      </w:r>
      <w:r>
        <w:rPr>
          <w:rFonts w:hint="eastAsia" w:ascii="仿宋" w:hAnsi="仿宋" w:eastAsia="仿宋" w:cs="仿宋"/>
          <w:color w:val="auto"/>
          <w:sz w:val="24"/>
          <w:szCs w:val="24"/>
          <w:highlight w:val="none"/>
          <w:lang w:val="en-US" w:eastAsia="zh-CN"/>
        </w:rPr>
        <w:t>一切法律</w:t>
      </w:r>
      <w:r>
        <w:rPr>
          <w:rFonts w:hint="eastAsia" w:ascii="仿宋" w:hAnsi="仿宋" w:eastAsia="仿宋" w:cs="仿宋"/>
          <w:color w:val="auto"/>
          <w:sz w:val="24"/>
          <w:szCs w:val="24"/>
          <w:highlight w:val="none"/>
        </w:rPr>
        <w:t>责任。</w:t>
      </w:r>
    </w:p>
    <w:p>
      <w:pPr>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pPr>
        <w:spacing w:line="360" w:lineRule="auto"/>
        <w:rPr>
          <w:rFonts w:hint="eastAsia" w:ascii="仿宋" w:hAnsi="仿宋" w:eastAsia="仿宋" w:cs="仿宋"/>
          <w:color w:val="auto"/>
          <w:sz w:val="24"/>
          <w:szCs w:val="24"/>
          <w:highlight w:val="none"/>
        </w:rPr>
      </w:pP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投标单位法定代表人或其授权委托人（签字或盖章）：</w:t>
      </w:r>
    </w:p>
    <w:p>
      <w:pPr>
        <w:spacing w:line="360" w:lineRule="auto"/>
        <w:ind w:firstLine="3360" w:firstLineChars="14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bookmarkStart w:id="115" w:name="_Toc7164"/>
      <w:bookmarkStart w:id="116" w:name="_Toc21652"/>
      <w:bookmarkStart w:id="117" w:name="_Toc2775"/>
      <w:bookmarkStart w:id="118" w:name="_Toc22822"/>
      <w:bookmarkStart w:id="119" w:name="_Toc21183"/>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rPr>
          <w:rFonts w:hint="eastAsia" w:ascii="仿宋" w:hAnsi="仿宋" w:eastAsia="仿宋" w:cs="仿宋"/>
          <w:color w:val="auto"/>
          <w:highlight w:val="none"/>
        </w:rPr>
      </w:pPr>
    </w:p>
    <w:p>
      <w:pPr>
        <w:spacing w:line="360" w:lineRule="auto"/>
        <w:rPr>
          <w:rFonts w:hint="eastAsia" w:ascii="仿宋" w:hAnsi="仿宋" w:eastAsia="仿宋" w:cs="仿宋"/>
          <w:color w:val="auto"/>
          <w:sz w:val="24"/>
          <w:highlight w:val="none"/>
        </w:rPr>
      </w:pPr>
    </w:p>
    <w:p>
      <w:pPr>
        <w:spacing w:line="440" w:lineRule="exact"/>
        <w:ind w:firstLine="480"/>
        <w:jc w:val="center"/>
        <w:rPr>
          <w:rFonts w:hint="eastAsia" w:ascii="仿宋" w:hAnsi="仿宋" w:eastAsia="仿宋" w:cs="仿宋"/>
          <w:b/>
          <w:bCs/>
          <w:color w:val="auto"/>
          <w:sz w:val="30"/>
          <w:szCs w:val="30"/>
          <w:highlight w:val="none"/>
          <w:lang w:val="en-US" w:eastAsia="zh-CN"/>
        </w:rPr>
      </w:pPr>
    </w:p>
    <w:p>
      <w:pPr>
        <w:spacing w:line="440" w:lineRule="exact"/>
        <w:ind w:firstLine="480"/>
        <w:jc w:val="center"/>
        <w:rPr>
          <w:rFonts w:hint="eastAsia" w:ascii="仿宋" w:hAnsi="仿宋" w:eastAsia="仿宋" w:cs="仿宋"/>
          <w:b/>
          <w:bCs/>
          <w:color w:val="auto"/>
          <w:sz w:val="30"/>
          <w:szCs w:val="30"/>
          <w:highlight w:val="none"/>
          <w:lang w:val="en-US" w:eastAsia="zh-CN"/>
        </w:rPr>
      </w:pPr>
    </w:p>
    <w:p>
      <w:pPr>
        <w:spacing w:line="440" w:lineRule="exact"/>
        <w:ind w:firstLine="480"/>
        <w:jc w:val="center"/>
        <w:rPr>
          <w:rFonts w:hint="eastAsia" w:ascii="仿宋" w:hAnsi="仿宋" w:eastAsia="仿宋" w:cs="仿宋"/>
          <w:b/>
          <w:bCs/>
          <w:color w:val="auto"/>
          <w:sz w:val="30"/>
          <w:szCs w:val="30"/>
          <w:highlight w:val="none"/>
          <w:lang w:val="en-US" w:eastAsia="zh-CN"/>
        </w:rPr>
      </w:pPr>
    </w:p>
    <w:p>
      <w:pPr>
        <w:spacing w:line="440" w:lineRule="exact"/>
        <w:ind w:firstLine="48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三、开标</w:t>
      </w:r>
      <w:r>
        <w:rPr>
          <w:rFonts w:hint="eastAsia" w:ascii="仿宋" w:hAnsi="仿宋" w:eastAsia="仿宋" w:cs="仿宋"/>
          <w:b/>
          <w:bCs/>
          <w:color w:val="auto"/>
          <w:sz w:val="30"/>
          <w:szCs w:val="30"/>
          <w:highlight w:val="none"/>
        </w:rPr>
        <w:t>一览表</w:t>
      </w:r>
      <w:bookmarkEnd w:id="115"/>
      <w:bookmarkEnd w:id="116"/>
      <w:bookmarkEnd w:id="117"/>
      <w:bookmarkEnd w:id="118"/>
      <w:bookmarkEnd w:id="119"/>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highlight w:val="none"/>
        </w:rPr>
        <w:t xml:space="preserve">项目编号：           </w:t>
      </w:r>
    </w:p>
    <w:tbl>
      <w:tblPr>
        <w:tblStyle w:val="43"/>
        <w:tblpPr w:leftFromText="180" w:rightFromText="180" w:vertAnchor="text" w:horzAnchor="page" w:tblpXSpec="center" w:tblpY="381"/>
        <w:tblOverlap w:val="never"/>
        <w:tblW w:w="88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588"/>
        <w:gridCol w:w="972"/>
        <w:gridCol w:w="1762"/>
        <w:gridCol w:w="2471"/>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4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w:t>
            </w:r>
          </w:p>
        </w:tc>
        <w:tc>
          <w:tcPr>
            <w:tcW w:w="1588" w:type="dxa"/>
            <w:noWrap w:val="0"/>
            <w:vAlign w:val="center"/>
          </w:tcPr>
          <w:p>
            <w:pPr>
              <w:tabs>
                <w:tab w:val="left" w:pos="9135"/>
              </w:tabs>
              <w:spacing w:line="400" w:lineRule="atLeast"/>
              <w:jc w:val="cente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商品</w:t>
            </w:r>
            <w:r>
              <w:rPr>
                <w:rFonts w:hint="eastAsia" w:ascii="仿宋" w:hAnsi="仿宋" w:eastAsia="仿宋" w:cs="仿宋"/>
                <w:color w:val="auto"/>
                <w:sz w:val="24"/>
                <w:highlight w:val="none"/>
                <w:u w:val="none"/>
              </w:rPr>
              <w:t>名称</w:t>
            </w:r>
          </w:p>
        </w:tc>
        <w:tc>
          <w:tcPr>
            <w:tcW w:w="97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数量</w:t>
            </w:r>
          </w:p>
        </w:tc>
        <w:tc>
          <w:tcPr>
            <w:tcW w:w="1762" w:type="dxa"/>
            <w:noWrap w:val="0"/>
            <w:vAlign w:val="center"/>
          </w:tcPr>
          <w:p>
            <w:pPr>
              <w:tabs>
                <w:tab w:val="left" w:pos="9135"/>
              </w:tabs>
              <w:spacing w:line="400" w:lineRule="atLeast"/>
              <w:jc w:val="center"/>
              <w:rPr>
                <w:rFonts w:hint="eastAsia" w:ascii="仿宋" w:hAnsi="仿宋" w:eastAsia="仿宋" w:cs="仿宋"/>
                <w:color w:val="auto"/>
                <w:sz w:val="24"/>
                <w:highlight w:val="none"/>
                <w:u w:val="none"/>
              </w:rPr>
            </w:pPr>
            <w:r>
              <w:rPr>
                <w:rFonts w:hint="eastAsia" w:ascii="仿宋" w:hAnsi="仿宋" w:eastAsia="仿宋" w:cs="仿宋"/>
                <w:color w:val="auto"/>
                <w:kern w:val="2"/>
                <w:sz w:val="24"/>
                <w:highlight w:val="none"/>
                <w:u w:val="none"/>
                <w:lang w:val="en-US" w:eastAsia="zh-CN" w:bidi="ar-SA"/>
              </w:rPr>
              <w:t>单价（元）</w:t>
            </w:r>
          </w:p>
        </w:tc>
        <w:tc>
          <w:tcPr>
            <w:tcW w:w="2471" w:type="dxa"/>
            <w:noWrap w:val="0"/>
            <w:vAlign w:val="center"/>
          </w:tcPr>
          <w:p>
            <w:pPr>
              <w:tabs>
                <w:tab w:val="left" w:pos="9135"/>
              </w:tabs>
              <w:spacing w:line="400" w:lineRule="atLeast"/>
              <w:jc w:val="center"/>
              <w:rPr>
                <w:rFonts w:hint="eastAsia" w:ascii="仿宋" w:hAnsi="仿宋" w:eastAsia="仿宋" w:cs="仿宋"/>
                <w:color w:val="auto"/>
                <w:kern w:val="2"/>
                <w:sz w:val="24"/>
                <w:highlight w:val="none"/>
                <w:u w:val="none"/>
                <w:lang w:val="en-US" w:eastAsia="zh-CN" w:bidi="ar-SA"/>
              </w:rPr>
            </w:pPr>
            <w:r>
              <w:rPr>
                <w:rFonts w:hint="eastAsia" w:ascii="仿宋" w:hAnsi="仿宋" w:eastAsia="仿宋" w:cs="仿宋"/>
                <w:color w:val="auto"/>
                <w:kern w:val="2"/>
                <w:sz w:val="24"/>
                <w:highlight w:val="none"/>
                <w:u w:val="none"/>
                <w:lang w:val="en-US" w:eastAsia="zh-CN" w:bidi="ar-SA"/>
              </w:rPr>
              <w:t>合计（元）</w:t>
            </w:r>
          </w:p>
        </w:tc>
        <w:tc>
          <w:tcPr>
            <w:tcW w:w="1235" w:type="dxa"/>
            <w:noWrap w:val="0"/>
            <w:vAlign w:val="center"/>
          </w:tcPr>
          <w:p>
            <w:pPr>
              <w:tabs>
                <w:tab w:val="left" w:pos="9135"/>
              </w:tabs>
              <w:spacing w:line="400" w:lineRule="atLeast"/>
              <w:jc w:val="center"/>
              <w:rPr>
                <w:rFonts w:hint="eastAsia" w:ascii="仿宋" w:hAnsi="仿宋" w:eastAsia="仿宋" w:cs="仿宋"/>
                <w:color w:val="auto"/>
                <w:kern w:val="2"/>
                <w:sz w:val="24"/>
                <w:highlight w:val="none"/>
                <w:u w:val="none"/>
                <w:lang w:val="en-US" w:eastAsia="zh-CN" w:bidi="ar-SA"/>
              </w:rPr>
            </w:pPr>
            <w:r>
              <w:rPr>
                <w:rFonts w:hint="eastAsia" w:ascii="仿宋" w:hAnsi="仿宋" w:eastAsia="仿宋" w:cs="仿宋"/>
                <w:color w:val="auto"/>
                <w:sz w:val="24"/>
                <w:highlight w:val="none"/>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58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62"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2471"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1235"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58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62"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2471"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1235"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58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62"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2471"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1235"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58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62"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2471"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1235"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1588"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972"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1762"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2471"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c>
          <w:tcPr>
            <w:tcW w:w="1235" w:type="dxa"/>
            <w:noWrap w:val="0"/>
            <w:vAlign w:val="top"/>
          </w:tcPr>
          <w:p>
            <w:pPr>
              <w:tabs>
                <w:tab w:val="left" w:pos="9135"/>
              </w:tabs>
              <w:spacing w:line="400" w:lineRule="atLeast"/>
              <w:rPr>
                <w:rFonts w:hint="eastAsia" w:ascii="仿宋" w:hAnsi="仿宋" w:eastAsia="仿宋" w:cs="仿宋"/>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876" w:type="dxa"/>
            <w:gridSpan w:val="6"/>
            <w:noWrap w:val="0"/>
            <w:vAlign w:val="top"/>
          </w:tcPr>
          <w:p>
            <w:pPr>
              <w:tabs>
                <w:tab w:val="left" w:pos="9135"/>
              </w:tabs>
              <w:spacing w:line="400" w:lineRule="atLeast"/>
              <w:rPr>
                <w:rFonts w:hint="eastAsia" w:ascii="仿宋" w:hAnsi="仿宋" w:eastAsia="仿宋" w:cs="仿宋"/>
                <w:color w:val="auto"/>
                <w:sz w:val="24"/>
                <w:highlight w:val="none"/>
                <w:u w:val="none"/>
              </w:rPr>
            </w:pPr>
            <w:r>
              <w:rPr>
                <w:rFonts w:hint="eastAsia" w:ascii="仿宋" w:hAnsi="仿宋" w:eastAsia="仿宋" w:cs="仿宋"/>
                <w:color w:val="auto"/>
                <w:kern w:val="2"/>
                <w:sz w:val="24"/>
                <w:highlight w:val="none"/>
                <w:u w:val="none"/>
                <w:lang w:val="en-US" w:eastAsia="zh-CN" w:bidi="ar-SA"/>
              </w:rPr>
              <w:t>合同履约期限：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vMerge w:val="restart"/>
            <w:noWrap w:val="0"/>
            <w:vAlign w:val="center"/>
          </w:tcPr>
          <w:p>
            <w:pPr>
              <w:tabs>
                <w:tab w:val="left" w:pos="9135"/>
              </w:tabs>
              <w:spacing w:line="400" w:lineRule="atLeast"/>
              <w:jc w:val="cente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投标</w:t>
            </w:r>
            <w:r>
              <w:rPr>
                <w:rFonts w:hint="eastAsia" w:ascii="仿宋" w:hAnsi="仿宋" w:eastAsia="仿宋" w:cs="仿宋"/>
                <w:color w:val="auto"/>
                <w:sz w:val="24"/>
                <w:highlight w:val="none"/>
                <w:u w:val="none"/>
              </w:rPr>
              <w:t>总价</w:t>
            </w:r>
          </w:p>
        </w:tc>
        <w:tc>
          <w:tcPr>
            <w:tcW w:w="8028" w:type="dxa"/>
            <w:gridSpan w:val="5"/>
            <w:noWrap w:val="0"/>
            <w:vAlign w:val="center"/>
          </w:tcPr>
          <w:p>
            <w:pPr>
              <w:tabs>
                <w:tab w:val="left" w:pos="9135"/>
              </w:tabs>
              <w:spacing w:line="400" w:lineRule="atLeas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（人民币小写）</w:t>
            </w:r>
            <w:r>
              <w:rPr>
                <w:rFonts w:hint="eastAsia" w:ascii="仿宋" w:hAnsi="仿宋" w:eastAsia="仿宋" w:cs="仿宋"/>
                <w:color w:val="auto"/>
                <w:sz w:val="24"/>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8" w:type="dxa"/>
            <w:vMerge w:val="continue"/>
            <w:noWrap w:val="0"/>
            <w:vAlign w:val="center"/>
          </w:tcPr>
          <w:p>
            <w:pPr>
              <w:tabs>
                <w:tab w:val="left" w:pos="9135"/>
              </w:tabs>
              <w:spacing w:line="400" w:lineRule="atLeast"/>
              <w:rPr>
                <w:rFonts w:hint="eastAsia" w:ascii="仿宋" w:hAnsi="仿宋" w:eastAsia="仿宋" w:cs="仿宋"/>
                <w:color w:val="auto"/>
                <w:sz w:val="24"/>
                <w:highlight w:val="none"/>
                <w:u w:val="none"/>
              </w:rPr>
            </w:pPr>
          </w:p>
        </w:tc>
        <w:tc>
          <w:tcPr>
            <w:tcW w:w="8028" w:type="dxa"/>
            <w:gridSpan w:val="5"/>
            <w:noWrap w:val="0"/>
            <w:vAlign w:val="center"/>
          </w:tcPr>
          <w:p>
            <w:pPr>
              <w:tabs>
                <w:tab w:val="left" w:pos="9135"/>
              </w:tabs>
              <w:spacing w:line="400" w:lineRule="atLeas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（人民币大写）</w:t>
            </w:r>
            <w:r>
              <w:rPr>
                <w:rFonts w:hint="eastAsia" w:ascii="仿宋" w:hAnsi="仿宋" w:eastAsia="仿宋" w:cs="仿宋"/>
                <w:color w:val="auto"/>
                <w:sz w:val="24"/>
                <w:highlight w:val="none"/>
                <w:u w:val="none"/>
                <w:lang w:eastAsia="zh-CN"/>
              </w:rPr>
              <w:t>：</w:t>
            </w:r>
          </w:p>
        </w:tc>
      </w:tr>
    </w:tbl>
    <w:p>
      <w:pPr>
        <w:rPr>
          <w:rFonts w:hint="eastAsia" w:ascii="仿宋" w:hAnsi="仿宋" w:eastAsia="仿宋" w:cs="仿宋"/>
          <w:b w:val="0"/>
          <w:bCs/>
          <w:color w:val="auto"/>
          <w:sz w:val="24"/>
          <w:szCs w:val="24"/>
          <w:highlight w:val="none"/>
          <w:lang w:val="en-US" w:eastAsia="zh-CN"/>
        </w:rPr>
      </w:pPr>
    </w:p>
    <w:p>
      <w:pPr>
        <w:spacing w:line="360" w:lineRule="auto"/>
        <w:ind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注：1、报价货币为人民币。</w:t>
      </w:r>
    </w:p>
    <w:p>
      <w:pPr>
        <w:spacing w:line="360" w:lineRule="auto"/>
        <w:ind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2、投标一览表中投标总报价大小应写一致，如不一致以大写为准。</w:t>
      </w:r>
    </w:p>
    <w:p>
      <w:pPr>
        <w:spacing w:line="360" w:lineRule="auto"/>
        <w:ind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3、以上报价含一切费用,是指货物经验收交付采购人使用的价格。</w:t>
      </w:r>
    </w:p>
    <w:p>
      <w:pPr>
        <w:spacing w:line="360" w:lineRule="auto"/>
        <w:ind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4、各投标企业每个分项不得超过每个分项的招标控制价，超过本项目分项招标控制价的视为无效报价，作否决投标处理。</w:t>
      </w:r>
    </w:p>
    <w:p>
      <w:pPr>
        <w:spacing w:line="360" w:lineRule="auto"/>
        <w:ind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5、各投标企业总投标报价不得高于本项目招标控制价，超过本项目招标控制价的视为无效报价，作否决投标处理。</w:t>
      </w:r>
    </w:p>
    <w:p>
      <w:pPr>
        <w:spacing w:line="360" w:lineRule="auto"/>
        <w:rPr>
          <w:rFonts w:hint="eastAsia" w:ascii="仿宋" w:hAnsi="仿宋" w:eastAsia="仿宋" w:cs="仿宋"/>
          <w:color w:val="auto"/>
          <w:sz w:val="24"/>
          <w:highlight w:val="none"/>
        </w:rPr>
      </w:pPr>
    </w:p>
    <w:p>
      <w:pPr>
        <w:spacing w:line="360" w:lineRule="auto"/>
        <w:ind w:left="48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41"/>
        <w:ind w:left="0" w:leftChars="0" w:firstLine="0" w:firstLineChars="0"/>
        <w:rPr>
          <w:rFonts w:hint="eastAsia" w:ascii="仿宋" w:hAnsi="仿宋" w:eastAsia="仿宋" w:cs="仿宋"/>
          <w:color w:val="auto"/>
          <w:sz w:val="24"/>
          <w:highlight w:val="none"/>
        </w:rPr>
      </w:pPr>
    </w:p>
    <w:p>
      <w:pPr>
        <w:pStyle w:val="41"/>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投标单位：（单位公章）</w:t>
      </w:r>
    </w:p>
    <w:p>
      <w:pPr>
        <w:spacing w:line="360" w:lineRule="auto"/>
        <w:rPr>
          <w:rFonts w:hint="eastAsia" w:ascii="仿宋" w:hAnsi="仿宋" w:eastAsia="仿宋" w:cs="仿宋"/>
          <w:color w:val="auto"/>
          <w:sz w:val="24"/>
          <w:highlight w:val="none"/>
        </w:rPr>
      </w:pP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pPr>
        <w:spacing w:line="360" w:lineRule="auto"/>
        <w:ind w:firstLine="3360" w:firstLineChars="14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bookmarkStart w:id="120" w:name="_Toc4683"/>
      <w:bookmarkStart w:id="121" w:name="_Toc4570"/>
      <w:bookmarkStart w:id="122" w:name="_Toc32601"/>
      <w:bookmarkStart w:id="123" w:name="_Toc12987"/>
      <w:bookmarkStart w:id="124" w:name="_Toc21935"/>
    </w:p>
    <w:p>
      <w:pPr>
        <w:spacing w:line="360" w:lineRule="auto"/>
        <w:rPr>
          <w:rFonts w:hint="eastAsia" w:ascii="仿宋" w:hAnsi="仿宋" w:eastAsia="仿宋" w:cs="仿宋"/>
          <w:color w:val="auto"/>
          <w:sz w:val="24"/>
          <w:highlight w:val="none"/>
        </w:rPr>
      </w:pPr>
    </w:p>
    <w:p>
      <w:pPr>
        <w:pStyle w:val="4"/>
        <w:jc w:val="center"/>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投标报价明细表</w:t>
      </w:r>
      <w:bookmarkEnd w:id="120"/>
      <w:bookmarkEnd w:id="121"/>
      <w:bookmarkEnd w:id="122"/>
      <w:bookmarkEnd w:id="123"/>
      <w:bookmarkEnd w:id="124"/>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pStyle w:val="13"/>
        <w:ind w:left="0" w:leftChars="0" w:firstLine="0" w:firstLineChars="0"/>
        <w:rPr>
          <w:rFonts w:hint="eastAsia" w:ascii="仿宋" w:hAnsi="仿宋" w:eastAsia="仿宋" w:cs="仿宋"/>
          <w:color w:val="auto"/>
          <w:highlight w:val="none"/>
        </w:rPr>
      </w:pPr>
      <w:r>
        <w:rPr>
          <w:rFonts w:hint="eastAsia" w:ascii="仿宋" w:hAnsi="仿宋" w:eastAsia="仿宋" w:cs="仿宋"/>
          <w:color w:val="auto"/>
          <w:kern w:val="2"/>
          <w:sz w:val="24"/>
          <w:szCs w:val="22"/>
          <w:highlight w:val="none"/>
          <w:lang w:val="en-US" w:eastAsia="zh-CN" w:bidi="ar-SA"/>
        </w:rPr>
        <w:t xml:space="preserve">项目编号： </w:t>
      </w:r>
      <w:r>
        <w:rPr>
          <w:rFonts w:hint="eastAsia" w:ascii="仿宋" w:hAnsi="仿宋" w:eastAsia="仿宋" w:cs="仿宋"/>
          <w:color w:val="auto"/>
          <w:sz w:val="24"/>
          <w:highlight w:val="non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92"/>
        <w:gridCol w:w="2059"/>
        <w:gridCol w:w="1356"/>
        <w:gridCol w:w="1020"/>
        <w:gridCol w:w="930"/>
        <w:gridCol w:w="91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ind w:left="0" w:leftChars="0" w:firstLine="0" w:firstLineChars="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序号</w:t>
            </w:r>
          </w:p>
        </w:tc>
        <w:tc>
          <w:tcPr>
            <w:tcW w:w="1392" w:type="dxa"/>
            <w:noWrap w:val="0"/>
            <w:vAlign w:val="center"/>
          </w:tcPr>
          <w:p>
            <w:pPr>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color w:val="auto"/>
                <w:spacing w:val="4"/>
                <w:sz w:val="28"/>
                <w:szCs w:val="28"/>
                <w:highlight w:val="none"/>
                <w:lang w:eastAsia="zh-CN"/>
              </w:rPr>
              <w:t>名称</w:t>
            </w:r>
          </w:p>
        </w:tc>
        <w:tc>
          <w:tcPr>
            <w:tcW w:w="2059" w:type="dxa"/>
            <w:noWrap w:val="0"/>
            <w:vAlign w:val="center"/>
          </w:tcPr>
          <w:p>
            <w:pPr>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规格</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产地</w:t>
            </w:r>
          </w:p>
          <w:p>
            <w:pPr>
              <w:ind w:left="0" w:leftChars="0" w:firstLine="0" w:firstLineChars="0"/>
              <w:jc w:val="center"/>
              <w:rPr>
                <w:rFonts w:hint="eastAsia" w:ascii="仿宋" w:hAnsi="仿宋" w:eastAsia="仿宋" w:cs="仿宋"/>
                <w:b w:val="0"/>
                <w:bCs/>
                <w:color w:val="auto"/>
                <w:sz w:val="24"/>
                <w:szCs w:val="24"/>
                <w:highlight w:val="none"/>
              </w:rPr>
            </w:pPr>
          </w:p>
        </w:tc>
        <w:tc>
          <w:tcPr>
            <w:tcW w:w="1356" w:type="dxa"/>
            <w:noWrap w:val="0"/>
            <w:vAlign w:val="center"/>
          </w:tcPr>
          <w:p>
            <w:pPr>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w:t>
            </w:r>
          </w:p>
        </w:tc>
        <w:tc>
          <w:tcPr>
            <w:tcW w:w="1020" w:type="dxa"/>
            <w:noWrap w:val="0"/>
            <w:vAlign w:val="center"/>
          </w:tcPr>
          <w:p>
            <w:pPr>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数量</w:t>
            </w:r>
          </w:p>
        </w:tc>
        <w:tc>
          <w:tcPr>
            <w:tcW w:w="930" w:type="dxa"/>
            <w:noWrap w:val="0"/>
            <w:vAlign w:val="center"/>
          </w:tcPr>
          <w:p>
            <w:pPr>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单价</w:t>
            </w:r>
          </w:p>
          <w:p>
            <w:pPr>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（元）</w:t>
            </w:r>
          </w:p>
        </w:tc>
        <w:tc>
          <w:tcPr>
            <w:tcW w:w="915" w:type="dxa"/>
            <w:noWrap w:val="0"/>
            <w:vAlign w:val="center"/>
          </w:tcPr>
          <w:p>
            <w:pPr>
              <w:ind w:left="0" w:leftChars="0" w:firstLine="0" w:firstLineChars="0"/>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总价（元）</w:t>
            </w:r>
          </w:p>
        </w:tc>
        <w:tc>
          <w:tcPr>
            <w:tcW w:w="1078" w:type="dxa"/>
            <w:noWrap w:val="0"/>
            <w:vAlign w:val="center"/>
          </w:tcPr>
          <w:p>
            <w:pPr>
              <w:ind w:left="0" w:lef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仿宋" w:hAnsi="仿宋" w:eastAsia="仿宋" w:cs="仿宋"/>
                <w:b w:val="0"/>
                <w:bCs/>
                <w:color w:val="auto"/>
                <w:sz w:val="24"/>
                <w:szCs w:val="24"/>
                <w:highlight w:val="none"/>
              </w:rPr>
            </w:pPr>
          </w:p>
        </w:tc>
        <w:tc>
          <w:tcPr>
            <w:tcW w:w="1392" w:type="dxa"/>
            <w:noWrap w:val="0"/>
            <w:vAlign w:val="center"/>
          </w:tcPr>
          <w:p>
            <w:pPr>
              <w:jc w:val="center"/>
              <w:rPr>
                <w:rFonts w:hint="eastAsia" w:ascii="仿宋" w:hAnsi="仿宋" w:eastAsia="仿宋" w:cs="仿宋"/>
                <w:b w:val="0"/>
                <w:bCs/>
                <w:color w:val="auto"/>
                <w:sz w:val="24"/>
                <w:szCs w:val="24"/>
                <w:highlight w:val="none"/>
              </w:rPr>
            </w:pPr>
          </w:p>
        </w:tc>
        <w:tc>
          <w:tcPr>
            <w:tcW w:w="2059" w:type="dxa"/>
            <w:noWrap w:val="0"/>
            <w:vAlign w:val="center"/>
          </w:tcPr>
          <w:p>
            <w:pPr>
              <w:jc w:val="center"/>
              <w:rPr>
                <w:rFonts w:hint="eastAsia" w:ascii="仿宋" w:hAnsi="仿宋" w:eastAsia="仿宋" w:cs="仿宋"/>
                <w:b w:val="0"/>
                <w:bCs/>
                <w:color w:val="auto"/>
                <w:sz w:val="24"/>
                <w:szCs w:val="24"/>
                <w:highlight w:val="none"/>
              </w:rPr>
            </w:pPr>
          </w:p>
        </w:tc>
        <w:tc>
          <w:tcPr>
            <w:tcW w:w="1356" w:type="dxa"/>
            <w:noWrap w:val="0"/>
            <w:vAlign w:val="center"/>
          </w:tcPr>
          <w:p>
            <w:pPr>
              <w:jc w:val="center"/>
              <w:rPr>
                <w:rFonts w:hint="eastAsia" w:ascii="仿宋" w:hAnsi="仿宋" w:eastAsia="仿宋" w:cs="仿宋"/>
                <w:b w:val="0"/>
                <w:bCs/>
                <w:color w:val="auto"/>
                <w:sz w:val="24"/>
                <w:szCs w:val="24"/>
                <w:highlight w:val="none"/>
              </w:rPr>
            </w:pPr>
          </w:p>
        </w:tc>
        <w:tc>
          <w:tcPr>
            <w:tcW w:w="1020" w:type="dxa"/>
            <w:noWrap w:val="0"/>
            <w:vAlign w:val="center"/>
          </w:tcPr>
          <w:p>
            <w:pPr>
              <w:jc w:val="center"/>
              <w:rPr>
                <w:rFonts w:hint="eastAsia" w:ascii="仿宋" w:hAnsi="仿宋" w:eastAsia="仿宋" w:cs="仿宋"/>
                <w:b w:val="0"/>
                <w:bCs/>
                <w:color w:val="auto"/>
                <w:sz w:val="24"/>
                <w:szCs w:val="24"/>
                <w:highlight w:val="none"/>
              </w:rPr>
            </w:pPr>
          </w:p>
        </w:tc>
        <w:tc>
          <w:tcPr>
            <w:tcW w:w="930" w:type="dxa"/>
            <w:noWrap w:val="0"/>
            <w:vAlign w:val="center"/>
          </w:tcPr>
          <w:p>
            <w:pPr>
              <w:jc w:val="center"/>
              <w:rPr>
                <w:rFonts w:hint="eastAsia" w:ascii="仿宋" w:hAnsi="仿宋" w:eastAsia="仿宋" w:cs="仿宋"/>
                <w:b w:val="0"/>
                <w:bCs/>
                <w:color w:val="auto"/>
                <w:sz w:val="24"/>
                <w:szCs w:val="24"/>
                <w:highlight w:val="none"/>
              </w:rPr>
            </w:pPr>
          </w:p>
        </w:tc>
        <w:tc>
          <w:tcPr>
            <w:tcW w:w="915" w:type="dxa"/>
            <w:noWrap w:val="0"/>
            <w:vAlign w:val="center"/>
          </w:tcPr>
          <w:p>
            <w:pPr>
              <w:jc w:val="center"/>
              <w:rPr>
                <w:rFonts w:hint="eastAsia" w:ascii="仿宋" w:hAnsi="仿宋" w:eastAsia="仿宋" w:cs="仿宋"/>
                <w:b w:val="0"/>
                <w:bCs/>
                <w:color w:val="auto"/>
                <w:sz w:val="24"/>
                <w:szCs w:val="24"/>
                <w:highlight w:val="none"/>
              </w:rPr>
            </w:pPr>
          </w:p>
        </w:tc>
        <w:tc>
          <w:tcPr>
            <w:tcW w:w="1078" w:type="dxa"/>
            <w:noWrap w:val="0"/>
            <w:vAlign w:val="center"/>
          </w:tcPr>
          <w:p>
            <w:pPr>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仿宋" w:hAnsi="仿宋" w:eastAsia="仿宋" w:cs="仿宋"/>
                <w:b w:val="0"/>
                <w:bCs/>
                <w:color w:val="auto"/>
                <w:sz w:val="24"/>
                <w:szCs w:val="24"/>
                <w:highlight w:val="none"/>
              </w:rPr>
            </w:pPr>
          </w:p>
        </w:tc>
        <w:tc>
          <w:tcPr>
            <w:tcW w:w="1392" w:type="dxa"/>
            <w:noWrap w:val="0"/>
            <w:vAlign w:val="center"/>
          </w:tcPr>
          <w:p>
            <w:pPr>
              <w:jc w:val="center"/>
              <w:rPr>
                <w:rFonts w:hint="eastAsia" w:ascii="仿宋" w:hAnsi="仿宋" w:eastAsia="仿宋" w:cs="仿宋"/>
                <w:b w:val="0"/>
                <w:bCs/>
                <w:color w:val="auto"/>
                <w:sz w:val="24"/>
                <w:szCs w:val="24"/>
                <w:highlight w:val="none"/>
              </w:rPr>
            </w:pPr>
          </w:p>
        </w:tc>
        <w:tc>
          <w:tcPr>
            <w:tcW w:w="2059" w:type="dxa"/>
            <w:noWrap w:val="0"/>
            <w:vAlign w:val="center"/>
          </w:tcPr>
          <w:p>
            <w:pPr>
              <w:jc w:val="center"/>
              <w:rPr>
                <w:rFonts w:hint="eastAsia" w:ascii="仿宋" w:hAnsi="仿宋" w:eastAsia="仿宋" w:cs="仿宋"/>
                <w:b w:val="0"/>
                <w:bCs/>
                <w:color w:val="auto"/>
                <w:sz w:val="24"/>
                <w:szCs w:val="24"/>
                <w:highlight w:val="none"/>
              </w:rPr>
            </w:pPr>
          </w:p>
        </w:tc>
        <w:tc>
          <w:tcPr>
            <w:tcW w:w="1356" w:type="dxa"/>
            <w:noWrap w:val="0"/>
            <w:vAlign w:val="center"/>
          </w:tcPr>
          <w:p>
            <w:pPr>
              <w:jc w:val="center"/>
              <w:rPr>
                <w:rFonts w:hint="eastAsia" w:ascii="仿宋" w:hAnsi="仿宋" w:eastAsia="仿宋" w:cs="仿宋"/>
                <w:b w:val="0"/>
                <w:bCs/>
                <w:color w:val="auto"/>
                <w:sz w:val="24"/>
                <w:szCs w:val="24"/>
                <w:highlight w:val="none"/>
              </w:rPr>
            </w:pPr>
          </w:p>
        </w:tc>
        <w:tc>
          <w:tcPr>
            <w:tcW w:w="1020" w:type="dxa"/>
            <w:noWrap w:val="0"/>
            <w:vAlign w:val="center"/>
          </w:tcPr>
          <w:p>
            <w:pPr>
              <w:jc w:val="center"/>
              <w:rPr>
                <w:rFonts w:hint="eastAsia" w:ascii="仿宋" w:hAnsi="仿宋" w:eastAsia="仿宋" w:cs="仿宋"/>
                <w:b w:val="0"/>
                <w:bCs/>
                <w:color w:val="auto"/>
                <w:sz w:val="24"/>
                <w:szCs w:val="24"/>
                <w:highlight w:val="none"/>
              </w:rPr>
            </w:pPr>
          </w:p>
        </w:tc>
        <w:tc>
          <w:tcPr>
            <w:tcW w:w="930" w:type="dxa"/>
            <w:noWrap w:val="0"/>
            <w:vAlign w:val="center"/>
          </w:tcPr>
          <w:p>
            <w:pPr>
              <w:jc w:val="center"/>
              <w:rPr>
                <w:rFonts w:hint="eastAsia" w:ascii="仿宋" w:hAnsi="仿宋" w:eastAsia="仿宋" w:cs="仿宋"/>
                <w:b w:val="0"/>
                <w:bCs/>
                <w:color w:val="auto"/>
                <w:sz w:val="24"/>
                <w:szCs w:val="24"/>
                <w:highlight w:val="none"/>
              </w:rPr>
            </w:pPr>
          </w:p>
        </w:tc>
        <w:tc>
          <w:tcPr>
            <w:tcW w:w="915" w:type="dxa"/>
            <w:noWrap w:val="0"/>
            <w:vAlign w:val="center"/>
          </w:tcPr>
          <w:p>
            <w:pPr>
              <w:jc w:val="center"/>
              <w:rPr>
                <w:rFonts w:hint="eastAsia" w:ascii="仿宋" w:hAnsi="仿宋" w:eastAsia="仿宋" w:cs="仿宋"/>
                <w:b w:val="0"/>
                <w:bCs/>
                <w:color w:val="auto"/>
                <w:sz w:val="24"/>
                <w:szCs w:val="24"/>
                <w:highlight w:val="none"/>
              </w:rPr>
            </w:pPr>
          </w:p>
        </w:tc>
        <w:tc>
          <w:tcPr>
            <w:tcW w:w="1078" w:type="dxa"/>
            <w:noWrap w:val="0"/>
            <w:vAlign w:val="center"/>
          </w:tcPr>
          <w:p>
            <w:pPr>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仿宋" w:hAnsi="仿宋" w:eastAsia="仿宋" w:cs="仿宋"/>
                <w:b w:val="0"/>
                <w:bCs/>
                <w:color w:val="auto"/>
                <w:sz w:val="24"/>
                <w:szCs w:val="24"/>
                <w:highlight w:val="none"/>
              </w:rPr>
            </w:pPr>
          </w:p>
        </w:tc>
        <w:tc>
          <w:tcPr>
            <w:tcW w:w="1392" w:type="dxa"/>
            <w:noWrap w:val="0"/>
            <w:vAlign w:val="center"/>
          </w:tcPr>
          <w:p>
            <w:pPr>
              <w:jc w:val="center"/>
              <w:rPr>
                <w:rFonts w:hint="eastAsia" w:ascii="仿宋" w:hAnsi="仿宋" w:eastAsia="仿宋" w:cs="仿宋"/>
                <w:b w:val="0"/>
                <w:bCs/>
                <w:color w:val="auto"/>
                <w:sz w:val="24"/>
                <w:szCs w:val="24"/>
                <w:highlight w:val="none"/>
              </w:rPr>
            </w:pPr>
          </w:p>
        </w:tc>
        <w:tc>
          <w:tcPr>
            <w:tcW w:w="2059" w:type="dxa"/>
            <w:noWrap w:val="0"/>
            <w:vAlign w:val="center"/>
          </w:tcPr>
          <w:p>
            <w:pPr>
              <w:jc w:val="center"/>
              <w:rPr>
                <w:rFonts w:hint="eastAsia" w:ascii="仿宋" w:hAnsi="仿宋" w:eastAsia="仿宋" w:cs="仿宋"/>
                <w:b w:val="0"/>
                <w:bCs/>
                <w:color w:val="auto"/>
                <w:sz w:val="24"/>
                <w:szCs w:val="24"/>
                <w:highlight w:val="none"/>
              </w:rPr>
            </w:pPr>
          </w:p>
        </w:tc>
        <w:tc>
          <w:tcPr>
            <w:tcW w:w="1356" w:type="dxa"/>
            <w:noWrap w:val="0"/>
            <w:vAlign w:val="center"/>
          </w:tcPr>
          <w:p>
            <w:pPr>
              <w:jc w:val="center"/>
              <w:rPr>
                <w:rFonts w:hint="eastAsia" w:ascii="仿宋" w:hAnsi="仿宋" w:eastAsia="仿宋" w:cs="仿宋"/>
                <w:b w:val="0"/>
                <w:bCs/>
                <w:color w:val="auto"/>
                <w:sz w:val="24"/>
                <w:szCs w:val="24"/>
                <w:highlight w:val="none"/>
              </w:rPr>
            </w:pPr>
          </w:p>
        </w:tc>
        <w:tc>
          <w:tcPr>
            <w:tcW w:w="1020" w:type="dxa"/>
            <w:noWrap w:val="0"/>
            <w:vAlign w:val="center"/>
          </w:tcPr>
          <w:p>
            <w:pPr>
              <w:jc w:val="center"/>
              <w:rPr>
                <w:rFonts w:hint="eastAsia" w:ascii="仿宋" w:hAnsi="仿宋" w:eastAsia="仿宋" w:cs="仿宋"/>
                <w:b w:val="0"/>
                <w:bCs/>
                <w:color w:val="auto"/>
                <w:sz w:val="24"/>
                <w:szCs w:val="24"/>
                <w:highlight w:val="none"/>
              </w:rPr>
            </w:pPr>
          </w:p>
        </w:tc>
        <w:tc>
          <w:tcPr>
            <w:tcW w:w="930" w:type="dxa"/>
            <w:noWrap w:val="0"/>
            <w:vAlign w:val="center"/>
          </w:tcPr>
          <w:p>
            <w:pPr>
              <w:jc w:val="center"/>
              <w:rPr>
                <w:rFonts w:hint="eastAsia" w:ascii="仿宋" w:hAnsi="仿宋" w:eastAsia="仿宋" w:cs="仿宋"/>
                <w:b w:val="0"/>
                <w:bCs/>
                <w:color w:val="auto"/>
                <w:sz w:val="24"/>
                <w:szCs w:val="24"/>
                <w:highlight w:val="none"/>
              </w:rPr>
            </w:pPr>
          </w:p>
        </w:tc>
        <w:tc>
          <w:tcPr>
            <w:tcW w:w="915" w:type="dxa"/>
            <w:noWrap w:val="0"/>
            <w:vAlign w:val="center"/>
          </w:tcPr>
          <w:p>
            <w:pPr>
              <w:jc w:val="center"/>
              <w:rPr>
                <w:rFonts w:hint="eastAsia" w:ascii="仿宋" w:hAnsi="仿宋" w:eastAsia="仿宋" w:cs="仿宋"/>
                <w:b w:val="0"/>
                <w:bCs/>
                <w:color w:val="auto"/>
                <w:sz w:val="24"/>
                <w:szCs w:val="24"/>
                <w:highlight w:val="none"/>
              </w:rPr>
            </w:pPr>
          </w:p>
        </w:tc>
        <w:tc>
          <w:tcPr>
            <w:tcW w:w="1078" w:type="dxa"/>
            <w:noWrap w:val="0"/>
            <w:vAlign w:val="center"/>
          </w:tcPr>
          <w:p>
            <w:pPr>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仿宋" w:hAnsi="仿宋" w:eastAsia="仿宋" w:cs="仿宋"/>
                <w:b w:val="0"/>
                <w:bCs/>
                <w:color w:val="auto"/>
                <w:sz w:val="24"/>
                <w:szCs w:val="24"/>
                <w:highlight w:val="none"/>
              </w:rPr>
            </w:pPr>
          </w:p>
        </w:tc>
        <w:tc>
          <w:tcPr>
            <w:tcW w:w="1392" w:type="dxa"/>
            <w:noWrap w:val="0"/>
            <w:vAlign w:val="center"/>
          </w:tcPr>
          <w:p>
            <w:pPr>
              <w:jc w:val="center"/>
              <w:rPr>
                <w:rFonts w:hint="eastAsia" w:ascii="仿宋" w:hAnsi="仿宋" w:eastAsia="仿宋" w:cs="仿宋"/>
                <w:b w:val="0"/>
                <w:bCs/>
                <w:color w:val="auto"/>
                <w:sz w:val="24"/>
                <w:szCs w:val="24"/>
                <w:highlight w:val="none"/>
              </w:rPr>
            </w:pPr>
          </w:p>
        </w:tc>
        <w:tc>
          <w:tcPr>
            <w:tcW w:w="2059" w:type="dxa"/>
            <w:noWrap w:val="0"/>
            <w:vAlign w:val="center"/>
          </w:tcPr>
          <w:p>
            <w:pPr>
              <w:jc w:val="center"/>
              <w:rPr>
                <w:rFonts w:hint="eastAsia" w:ascii="仿宋" w:hAnsi="仿宋" w:eastAsia="仿宋" w:cs="仿宋"/>
                <w:b w:val="0"/>
                <w:bCs/>
                <w:color w:val="auto"/>
                <w:sz w:val="24"/>
                <w:szCs w:val="24"/>
                <w:highlight w:val="none"/>
              </w:rPr>
            </w:pPr>
          </w:p>
        </w:tc>
        <w:tc>
          <w:tcPr>
            <w:tcW w:w="1356" w:type="dxa"/>
            <w:noWrap w:val="0"/>
            <w:vAlign w:val="center"/>
          </w:tcPr>
          <w:p>
            <w:pPr>
              <w:jc w:val="center"/>
              <w:rPr>
                <w:rFonts w:hint="eastAsia" w:ascii="仿宋" w:hAnsi="仿宋" w:eastAsia="仿宋" w:cs="仿宋"/>
                <w:b w:val="0"/>
                <w:bCs/>
                <w:color w:val="auto"/>
                <w:sz w:val="24"/>
                <w:szCs w:val="24"/>
                <w:highlight w:val="none"/>
              </w:rPr>
            </w:pPr>
          </w:p>
        </w:tc>
        <w:tc>
          <w:tcPr>
            <w:tcW w:w="1020" w:type="dxa"/>
            <w:noWrap w:val="0"/>
            <w:vAlign w:val="center"/>
          </w:tcPr>
          <w:p>
            <w:pPr>
              <w:jc w:val="center"/>
              <w:rPr>
                <w:rFonts w:hint="eastAsia" w:ascii="仿宋" w:hAnsi="仿宋" w:eastAsia="仿宋" w:cs="仿宋"/>
                <w:b w:val="0"/>
                <w:bCs/>
                <w:color w:val="auto"/>
                <w:sz w:val="24"/>
                <w:szCs w:val="24"/>
                <w:highlight w:val="none"/>
              </w:rPr>
            </w:pPr>
          </w:p>
        </w:tc>
        <w:tc>
          <w:tcPr>
            <w:tcW w:w="930" w:type="dxa"/>
            <w:noWrap w:val="0"/>
            <w:vAlign w:val="center"/>
          </w:tcPr>
          <w:p>
            <w:pPr>
              <w:jc w:val="center"/>
              <w:rPr>
                <w:rFonts w:hint="eastAsia" w:ascii="仿宋" w:hAnsi="仿宋" w:eastAsia="仿宋" w:cs="仿宋"/>
                <w:b w:val="0"/>
                <w:bCs/>
                <w:color w:val="auto"/>
                <w:sz w:val="24"/>
                <w:szCs w:val="24"/>
                <w:highlight w:val="none"/>
              </w:rPr>
            </w:pPr>
          </w:p>
        </w:tc>
        <w:tc>
          <w:tcPr>
            <w:tcW w:w="915" w:type="dxa"/>
            <w:noWrap w:val="0"/>
            <w:vAlign w:val="center"/>
          </w:tcPr>
          <w:p>
            <w:pPr>
              <w:jc w:val="center"/>
              <w:rPr>
                <w:rFonts w:hint="eastAsia" w:ascii="仿宋" w:hAnsi="仿宋" w:eastAsia="仿宋" w:cs="仿宋"/>
                <w:b w:val="0"/>
                <w:bCs/>
                <w:color w:val="auto"/>
                <w:sz w:val="24"/>
                <w:szCs w:val="24"/>
                <w:highlight w:val="none"/>
              </w:rPr>
            </w:pPr>
          </w:p>
        </w:tc>
        <w:tc>
          <w:tcPr>
            <w:tcW w:w="1078" w:type="dxa"/>
            <w:noWrap w:val="0"/>
            <w:vAlign w:val="center"/>
          </w:tcPr>
          <w:p>
            <w:pPr>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仿宋" w:hAnsi="仿宋" w:eastAsia="仿宋" w:cs="仿宋"/>
                <w:b w:val="0"/>
                <w:bCs/>
                <w:color w:val="auto"/>
                <w:sz w:val="24"/>
                <w:szCs w:val="24"/>
                <w:highlight w:val="none"/>
              </w:rPr>
            </w:pPr>
          </w:p>
        </w:tc>
        <w:tc>
          <w:tcPr>
            <w:tcW w:w="1392" w:type="dxa"/>
            <w:noWrap w:val="0"/>
            <w:vAlign w:val="center"/>
          </w:tcPr>
          <w:p>
            <w:pPr>
              <w:jc w:val="center"/>
              <w:rPr>
                <w:rFonts w:hint="eastAsia" w:ascii="仿宋" w:hAnsi="仿宋" w:eastAsia="仿宋" w:cs="仿宋"/>
                <w:b w:val="0"/>
                <w:bCs/>
                <w:color w:val="auto"/>
                <w:sz w:val="24"/>
                <w:szCs w:val="24"/>
                <w:highlight w:val="none"/>
              </w:rPr>
            </w:pPr>
          </w:p>
        </w:tc>
        <w:tc>
          <w:tcPr>
            <w:tcW w:w="2059" w:type="dxa"/>
            <w:noWrap w:val="0"/>
            <w:vAlign w:val="center"/>
          </w:tcPr>
          <w:p>
            <w:pPr>
              <w:jc w:val="center"/>
              <w:rPr>
                <w:rFonts w:hint="eastAsia" w:ascii="仿宋" w:hAnsi="仿宋" w:eastAsia="仿宋" w:cs="仿宋"/>
                <w:b w:val="0"/>
                <w:bCs/>
                <w:color w:val="auto"/>
                <w:sz w:val="24"/>
                <w:szCs w:val="24"/>
                <w:highlight w:val="none"/>
              </w:rPr>
            </w:pPr>
          </w:p>
        </w:tc>
        <w:tc>
          <w:tcPr>
            <w:tcW w:w="1356" w:type="dxa"/>
            <w:noWrap w:val="0"/>
            <w:vAlign w:val="center"/>
          </w:tcPr>
          <w:p>
            <w:pPr>
              <w:jc w:val="center"/>
              <w:rPr>
                <w:rFonts w:hint="eastAsia" w:ascii="仿宋" w:hAnsi="仿宋" w:eastAsia="仿宋" w:cs="仿宋"/>
                <w:b w:val="0"/>
                <w:bCs/>
                <w:color w:val="auto"/>
                <w:sz w:val="24"/>
                <w:szCs w:val="24"/>
                <w:highlight w:val="none"/>
              </w:rPr>
            </w:pPr>
          </w:p>
        </w:tc>
        <w:tc>
          <w:tcPr>
            <w:tcW w:w="1020" w:type="dxa"/>
            <w:noWrap w:val="0"/>
            <w:vAlign w:val="center"/>
          </w:tcPr>
          <w:p>
            <w:pPr>
              <w:jc w:val="center"/>
              <w:rPr>
                <w:rFonts w:hint="eastAsia" w:ascii="仿宋" w:hAnsi="仿宋" w:eastAsia="仿宋" w:cs="仿宋"/>
                <w:b w:val="0"/>
                <w:bCs/>
                <w:color w:val="auto"/>
                <w:sz w:val="24"/>
                <w:szCs w:val="24"/>
                <w:highlight w:val="none"/>
              </w:rPr>
            </w:pPr>
          </w:p>
        </w:tc>
        <w:tc>
          <w:tcPr>
            <w:tcW w:w="930" w:type="dxa"/>
            <w:noWrap w:val="0"/>
            <w:vAlign w:val="center"/>
          </w:tcPr>
          <w:p>
            <w:pPr>
              <w:jc w:val="center"/>
              <w:rPr>
                <w:rFonts w:hint="eastAsia" w:ascii="仿宋" w:hAnsi="仿宋" w:eastAsia="仿宋" w:cs="仿宋"/>
                <w:b w:val="0"/>
                <w:bCs/>
                <w:color w:val="auto"/>
                <w:sz w:val="24"/>
                <w:szCs w:val="24"/>
                <w:highlight w:val="none"/>
              </w:rPr>
            </w:pPr>
          </w:p>
        </w:tc>
        <w:tc>
          <w:tcPr>
            <w:tcW w:w="915" w:type="dxa"/>
            <w:noWrap w:val="0"/>
            <w:vAlign w:val="center"/>
          </w:tcPr>
          <w:p>
            <w:pPr>
              <w:jc w:val="center"/>
              <w:rPr>
                <w:rFonts w:hint="eastAsia" w:ascii="仿宋" w:hAnsi="仿宋" w:eastAsia="仿宋" w:cs="仿宋"/>
                <w:b w:val="0"/>
                <w:bCs/>
                <w:color w:val="auto"/>
                <w:sz w:val="24"/>
                <w:szCs w:val="24"/>
                <w:highlight w:val="none"/>
              </w:rPr>
            </w:pPr>
          </w:p>
        </w:tc>
        <w:tc>
          <w:tcPr>
            <w:tcW w:w="1078" w:type="dxa"/>
            <w:noWrap w:val="0"/>
            <w:vAlign w:val="center"/>
          </w:tcPr>
          <w:p>
            <w:pPr>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仿宋" w:hAnsi="仿宋" w:eastAsia="仿宋" w:cs="仿宋"/>
                <w:b w:val="0"/>
                <w:bCs/>
                <w:color w:val="auto"/>
                <w:sz w:val="24"/>
                <w:szCs w:val="24"/>
                <w:highlight w:val="none"/>
              </w:rPr>
            </w:pPr>
          </w:p>
        </w:tc>
        <w:tc>
          <w:tcPr>
            <w:tcW w:w="1392" w:type="dxa"/>
            <w:noWrap w:val="0"/>
            <w:vAlign w:val="center"/>
          </w:tcPr>
          <w:p>
            <w:pPr>
              <w:jc w:val="center"/>
              <w:rPr>
                <w:rFonts w:hint="eastAsia" w:ascii="仿宋" w:hAnsi="仿宋" w:eastAsia="仿宋" w:cs="仿宋"/>
                <w:b w:val="0"/>
                <w:bCs/>
                <w:color w:val="auto"/>
                <w:sz w:val="24"/>
                <w:szCs w:val="24"/>
                <w:highlight w:val="none"/>
              </w:rPr>
            </w:pPr>
          </w:p>
        </w:tc>
        <w:tc>
          <w:tcPr>
            <w:tcW w:w="2059" w:type="dxa"/>
            <w:noWrap w:val="0"/>
            <w:vAlign w:val="center"/>
          </w:tcPr>
          <w:p>
            <w:pPr>
              <w:jc w:val="center"/>
              <w:rPr>
                <w:rFonts w:hint="eastAsia" w:ascii="仿宋" w:hAnsi="仿宋" w:eastAsia="仿宋" w:cs="仿宋"/>
                <w:b w:val="0"/>
                <w:bCs/>
                <w:color w:val="auto"/>
                <w:sz w:val="24"/>
                <w:szCs w:val="24"/>
                <w:highlight w:val="none"/>
              </w:rPr>
            </w:pPr>
          </w:p>
        </w:tc>
        <w:tc>
          <w:tcPr>
            <w:tcW w:w="1356" w:type="dxa"/>
            <w:noWrap w:val="0"/>
            <w:vAlign w:val="center"/>
          </w:tcPr>
          <w:p>
            <w:pPr>
              <w:jc w:val="center"/>
              <w:rPr>
                <w:rFonts w:hint="eastAsia" w:ascii="仿宋" w:hAnsi="仿宋" w:eastAsia="仿宋" w:cs="仿宋"/>
                <w:b w:val="0"/>
                <w:bCs/>
                <w:color w:val="auto"/>
                <w:sz w:val="24"/>
                <w:szCs w:val="24"/>
                <w:highlight w:val="none"/>
              </w:rPr>
            </w:pPr>
          </w:p>
        </w:tc>
        <w:tc>
          <w:tcPr>
            <w:tcW w:w="1020" w:type="dxa"/>
            <w:noWrap w:val="0"/>
            <w:vAlign w:val="center"/>
          </w:tcPr>
          <w:p>
            <w:pPr>
              <w:jc w:val="center"/>
              <w:rPr>
                <w:rFonts w:hint="eastAsia" w:ascii="仿宋" w:hAnsi="仿宋" w:eastAsia="仿宋" w:cs="仿宋"/>
                <w:b w:val="0"/>
                <w:bCs/>
                <w:color w:val="auto"/>
                <w:sz w:val="24"/>
                <w:szCs w:val="24"/>
                <w:highlight w:val="none"/>
              </w:rPr>
            </w:pPr>
          </w:p>
        </w:tc>
        <w:tc>
          <w:tcPr>
            <w:tcW w:w="930" w:type="dxa"/>
            <w:noWrap w:val="0"/>
            <w:vAlign w:val="center"/>
          </w:tcPr>
          <w:p>
            <w:pPr>
              <w:jc w:val="center"/>
              <w:rPr>
                <w:rFonts w:hint="eastAsia" w:ascii="仿宋" w:hAnsi="仿宋" w:eastAsia="仿宋" w:cs="仿宋"/>
                <w:b w:val="0"/>
                <w:bCs/>
                <w:color w:val="auto"/>
                <w:sz w:val="24"/>
                <w:szCs w:val="24"/>
                <w:highlight w:val="none"/>
              </w:rPr>
            </w:pPr>
          </w:p>
        </w:tc>
        <w:tc>
          <w:tcPr>
            <w:tcW w:w="915" w:type="dxa"/>
            <w:noWrap w:val="0"/>
            <w:vAlign w:val="center"/>
          </w:tcPr>
          <w:p>
            <w:pPr>
              <w:jc w:val="center"/>
              <w:rPr>
                <w:rFonts w:hint="eastAsia" w:ascii="仿宋" w:hAnsi="仿宋" w:eastAsia="仿宋" w:cs="仿宋"/>
                <w:b w:val="0"/>
                <w:bCs/>
                <w:color w:val="auto"/>
                <w:sz w:val="24"/>
                <w:szCs w:val="24"/>
                <w:highlight w:val="none"/>
              </w:rPr>
            </w:pPr>
          </w:p>
        </w:tc>
        <w:tc>
          <w:tcPr>
            <w:tcW w:w="1078" w:type="dxa"/>
            <w:noWrap w:val="0"/>
            <w:vAlign w:val="center"/>
          </w:tcPr>
          <w:p>
            <w:pPr>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仿宋" w:hAnsi="仿宋" w:eastAsia="仿宋" w:cs="仿宋"/>
                <w:b w:val="0"/>
                <w:bCs/>
                <w:color w:val="auto"/>
                <w:sz w:val="24"/>
                <w:szCs w:val="24"/>
                <w:highlight w:val="none"/>
              </w:rPr>
            </w:pPr>
          </w:p>
        </w:tc>
        <w:tc>
          <w:tcPr>
            <w:tcW w:w="1392" w:type="dxa"/>
            <w:noWrap w:val="0"/>
            <w:vAlign w:val="center"/>
          </w:tcPr>
          <w:p>
            <w:pPr>
              <w:jc w:val="center"/>
              <w:rPr>
                <w:rFonts w:hint="eastAsia" w:ascii="仿宋" w:hAnsi="仿宋" w:eastAsia="仿宋" w:cs="仿宋"/>
                <w:b w:val="0"/>
                <w:bCs/>
                <w:color w:val="auto"/>
                <w:sz w:val="24"/>
                <w:szCs w:val="24"/>
                <w:highlight w:val="none"/>
              </w:rPr>
            </w:pPr>
          </w:p>
        </w:tc>
        <w:tc>
          <w:tcPr>
            <w:tcW w:w="2059" w:type="dxa"/>
            <w:noWrap w:val="0"/>
            <w:vAlign w:val="center"/>
          </w:tcPr>
          <w:p>
            <w:pPr>
              <w:jc w:val="center"/>
              <w:rPr>
                <w:rFonts w:hint="eastAsia" w:ascii="仿宋" w:hAnsi="仿宋" w:eastAsia="仿宋" w:cs="仿宋"/>
                <w:b w:val="0"/>
                <w:bCs/>
                <w:color w:val="auto"/>
                <w:sz w:val="24"/>
                <w:szCs w:val="24"/>
                <w:highlight w:val="none"/>
              </w:rPr>
            </w:pPr>
          </w:p>
        </w:tc>
        <w:tc>
          <w:tcPr>
            <w:tcW w:w="1356" w:type="dxa"/>
            <w:noWrap w:val="0"/>
            <w:vAlign w:val="center"/>
          </w:tcPr>
          <w:p>
            <w:pPr>
              <w:jc w:val="center"/>
              <w:rPr>
                <w:rFonts w:hint="eastAsia" w:ascii="仿宋" w:hAnsi="仿宋" w:eastAsia="仿宋" w:cs="仿宋"/>
                <w:b w:val="0"/>
                <w:bCs/>
                <w:color w:val="auto"/>
                <w:sz w:val="24"/>
                <w:szCs w:val="24"/>
                <w:highlight w:val="none"/>
              </w:rPr>
            </w:pPr>
          </w:p>
        </w:tc>
        <w:tc>
          <w:tcPr>
            <w:tcW w:w="1020" w:type="dxa"/>
            <w:noWrap w:val="0"/>
            <w:vAlign w:val="center"/>
          </w:tcPr>
          <w:p>
            <w:pPr>
              <w:jc w:val="center"/>
              <w:rPr>
                <w:rFonts w:hint="eastAsia" w:ascii="仿宋" w:hAnsi="仿宋" w:eastAsia="仿宋" w:cs="仿宋"/>
                <w:b w:val="0"/>
                <w:bCs/>
                <w:color w:val="auto"/>
                <w:sz w:val="24"/>
                <w:szCs w:val="24"/>
                <w:highlight w:val="none"/>
              </w:rPr>
            </w:pPr>
          </w:p>
        </w:tc>
        <w:tc>
          <w:tcPr>
            <w:tcW w:w="930" w:type="dxa"/>
            <w:noWrap w:val="0"/>
            <w:vAlign w:val="center"/>
          </w:tcPr>
          <w:p>
            <w:pPr>
              <w:jc w:val="center"/>
              <w:rPr>
                <w:rFonts w:hint="eastAsia" w:ascii="仿宋" w:hAnsi="仿宋" w:eastAsia="仿宋" w:cs="仿宋"/>
                <w:b w:val="0"/>
                <w:bCs/>
                <w:color w:val="auto"/>
                <w:sz w:val="24"/>
                <w:szCs w:val="24"/>
                <w:highlight w:val="none"/>
              </w:rPr>
            </w:pPr>
          </w:p>
        </w:tc>
        <w:tc>
          <w:tcPr>
            <w:tcW w:w="915" w:type="dxa"/>
            <w:noWrap w:val="0"/>
            <w:vAlign w:val="center"/>
          </w:tcPr>
          <w:p>
            <w:pPr>
              <w:jc w:val="center"/>
              <w:rPr>
                <w:rFonts w:hint="eastAsia" w:ascii="仿宋" w:hAnsi="仿宋" w:eastAsia="仿宋" w:cs="仿宋"/>
                <w:b w:val="0"/>
                <w:bCs/>
                <w:color w:val="auto"/>
                <w:sz w:val="24"/>
                <w:szCs w:val="24"/>
                <w:highlight w:val="none"/>
              </w:rPr>
            </w:pPr>
          </w:p>
        </w:tc>
        <w:tc>
          <w:tcPr>
            <w:tcW w:w="1078" w:type="dxa"/>
            <w:noWrap w:val="0"/>
            <w:vAlign w:val="center"/>
          </w:tcPr>
          <w:p>
            <w:pPr>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仿宋" w:hAnsi="仿宋" w:eastAsia="仿宋" w:cs="仿宋"/>
                <w:b w:val="0"/>
                <w:bCs/>
                <w:color w:val="auto"/>
                <w:sz w:val="24"/>
                <w:szCs w:val="24"/>
                <w:highlight w:val="none"/>
              </w:rPr>
            </w:pPr>
          </w:p>
        </w:tc>
        <w:tc>
          <w:tcPr>
            <w:tcW w:w="1392" w:type="dxa"/>
            <w:noWrap w:val="0"/>
            <w:vAlign w:val="center"/>
          </w:tcPr>
          <w:p>
            <w:pPr>
              <w:jc w:val="center"/>
              <w:rPr>
                <w:rFonts w:hint="eastAsia" w:ascii="仿宋" w:hAnsi="仿宋" w:eastAsia="仿宋" w:cs="仿宋"/>
                <w:b w:val="0"/>
                <w:bCs/>
                <w:color w:val="auto"/>
                <w:sz w:val="24"/>
                <w:szCs w:val="24"/>
                <w:highlight w:val="none"/>
              </w:rPr>
            </w:pPr>
          </w:p>
        </w:tc>
        <w:tc>
          <w:tcPr>
            <w:tcW w:w="2059" w:type="dxa"/>
            <w:noWrap w:val="0"/>
            <w:vAlign w:val="center"/>
          </w:tcPr>
          <w:p>
            <w:pPr>
              <w:jc w:val="center"/>
              <w:rPr>
                <w:rFonts w:hint="eastAsia" w:ascii="仿宋" w:hAnsi="仿宋" w:eastAsia="仿宋" w:cs="仿宋"/>
                <w:b w:val="0"/>
                <w:bCs/>
                <w:color w:val="auto"/>
                <w:sz w:val="24"/>
                <w:szCs w:val="24"/>
                <w:highlight w:val="none"/>
              </w:rPr>
            </w:pPr>
          </w:p>
        </w:tc>
        <w:tc>
          <w:tcPr>
            <w:tcW w:w="1356" w:type="dxa"/>
            <w:noWrap w:val="0"/>
            <w:vAlign w:val="center"/>
          </w:tcPr>
          <w:p>
            <w:pPr>
              <w:jc w:val="center"/>
              <w:rPr>
                <w:rFonts w:hint="eastAsia" w:ascii="仿宋" w:hAnsi="仿宋" w:eastAsia="仿宋" w:cs="仿宋"/>
                <w:b w:val="0"/>
                <w:bCs/>
                <w:color w:val="auto"/>
                <w:sz w:val="24"/>
                <w:szCs w:val="24"/>
                <w:highlight w:val="none"/>
              </w:rPr>
            </w:pPr>
          </w:p>
        </w:tc>
        <w:tc>
          <w:tcPr>
            <w:tcW w:w="1020" w:type="dxa"/>
            <w:noWrap w:val="0"/>
            <w:vAlign w:val="center"/>
          </w:tcPr>
          <w:p>
            <w:pPr>
              <w:jc w:val="center"/>
              <w:rPr>
                <w:rFonts w:hint="eastAsia" w:ascii="仿宋" w:hAnsi="仿宋" w:eastAsia="仿宋" w:cs="仿宋"/>
                <w:b w:val="0"/>
                <w:bCs/>
                <w:color w:val="auto"/>
                <w:sz w:val="24"/>
                <w:szCs w:val="24"/>
                <w:highlight w:val="none"/>
              </w:rPr>
            </w:pPr>
          </w:p>
        </w:tc>
        <w:tc>
          <w:tcPr>
            <w:tcW w:w="930" w:type="dxa"/>
            <w:noWrap w:val="0"/>
            <w:vAlign w:val="center"/>
          </w:tcPr>
          <w:p>
            <w:pPr>
              <w:jc w:val="center"/>
              <w:rPr>
                <w:rFonts w:hint="eastAsia" w:ascii="仿宋" w:hAnsi="仿宋" w:eastAsia="仿宋" w:cs="仿宋"/>
                <w:b w:val="0"/>
                <w:bCs/>
                <w:color w:val="auto"/>
                <w:sz w:val="24"/>
                <w:szCs w:val="24"/>
                <w:highlight w:val="none"/>
              </w:rPr>
            </w:pPr>
          </w:p>
        </w:tc>
        <w:tc>
          <w:tcPr>
            <w:tcW w:w="915" w:type="dxa"/>
            <w:noWrap w:val="0"/>
            <w:vAlign w:val="center"/>
          </w:tcPr>
          <w:p>
            <w:pPr>
              <w:jc w:val="center"/>
              <w:rPr>
                <w:rFonts w:hint="eastAsia" w:ascii="仿宋" w:hAnsi="仿宋" w:eastAsia="仿宋" w:cs="仿宋"/>
                <w:b w:val="0"/>
                <w:bCs/>
                <w:color w:val="auto"/>
                <w:sz w:val="24"/>
                <w:szCs w:val="24"/>
                <w:highlight w:val="none"/>
              </w:rPr>
            </w:pPr>
          </w:p>
        </w:tc>
        <w:tc>
          <w:tcPr>
            <w:tcW w:w="1078" w:type="dxa"/>
            <w:noWrap w:val="0"/>
            <w:vAlign w:val="center"/>
          </w:tcPr>
          <w:p>
            <w:pPr>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仿宋" w:hAnsi="仿宋" w:eastAsia="仿宋" w:cs="仿宋"/>
                <w:b w:val="0"/>
                <w:bCs/>
                <w:color w:val="auto"/>
                <w:sz w:val="24"/>
                <w:szCs w:val="24"/>
                <w:highlight w:val="none"/>
              </w:rPr>
            </w:pPr>
          </w:p>
        </w:tc>
        <w:tc>
          <w:tcPr>
            <w:tcW w:w="1392" w:type="dxa"/>
            <w:noWrap w:val="0"/>
            <w:vAlign w:val="center"/>
          </w:tcPr>
          <w:p>
            <w:pPr>
              <w:jc w:val="center"/>
              <w:rPr>
                <w:rFonts w:hint="eastAsia" w:ascii="仿宋" w:hAnsi="仿宋" w:eastAsia="仿宋" w:cs="仿宋"/>
                <w:b w:val="0"/>
                <w:bCs/>
                <w:color w:val="auto"/>
                <w:sz w:val="24"/>
                <w:szCs w:val="24"/>
                <w:highlight w:val="none"/>
              </w:rPr>
            </w:pPr>
          </w:p>
        </w:tc>
        <w:tc>
          <w:tcPr>
            <w:tcW w:w="2059" w:type="dxa"/>
            <w:noWrap w:val="0"/>
            <w:vAlign w:val="center"/>
          </w:tcPr>
          <w:p>
            <w:pPr>
              <w:jc w:val="center"/>
              <w:rPr>
                <w:rFonts w:hint="eastAsia" w:ascii="仿宋" w:hAnsi="仿宋" w:eastAsia="仿宋" w:cs="仿宋"/>
                <w:b w:val="0"/>
                <w:bCs/>
                <w:color w:val="auto"/>
                <w:sz w:val="24"/>
                <w:szCs w:val="24"/>
                <w:highlight w:val="none"/>
              </w:rPr>
            </w:pPr>
          </w:p>
        </w:tc>
        <w:tc>
          <w:tcPr>
            <w:tcW w:w="1356" w:type="dxa"/>
            <w:noWrap w:val="0"/>
            <w:vAlign w:val="center"/>
          </w:tcPr>
          <w:p>
            <w:pPr>
              <w:jc w:val="center"/>
              <w:rPr>
                <w:rFonts w:hint="eastAsia" w:ascii="仿宋" w:hAnsi="仿宋" w:eastAsia="仿宋" w:cs="仿宋"/>
                <w:b w:val="0"/>
                <w:bCs/>
                <w:color w:val="auto"/>
                <w:sz w:val="24"/>
                <w:szCs w:val="24"/>
                <w:highlight w:val="none"/>
              </w:rPr>
            </w:pPr>
          </w:p>
        </w:tc>
        <w:tc>
          <w:tcPr>
            <w:tcW w:w="1020" w:type="dxa"/>
            <w:noWrap w:val="0"/>
            <w:vAlign w:val="center"/>
          </w:tcPr>
          <w:p>
            <w:pPr>
              <w:jc w:val="center"/>
              <w:rPr>
                <w:rFonts w:hint="eastAsia" w:ascii="仿宋" w:hAnsi="仿宋" w:eastAsia="仿宋" w:cs="仿宋"/>
                <w:b w:val="0"/>
                <w:bCs/>
                <w:color w:val="auto"/>
                <w:sz w:val="24"/>
                <w:szCs w:val="24"/>
                <w:highlight w:val="none"/>
              </w:rPr>
            </w:pPr>
          </w:p>
        </w:tc>
        <w:tc>
          <w:tcPr>
            <w:tcW w:w="930" w:type="dxa"/>
            <w:noWrap w:val="0"/>
            <w:vAlign w:val="center"/>
          </w:tcPr>
          <w:p>
            <w:pPr>
              <w:jc w:val="center"/>
              <w:rPr>
                <w:rFonts w:hint="eastAsia" w:ascii="仿宋" w:hAnsi="仿宋" w:eastAsia="仿宋" w:cs="仿宋"/>
                <w:b w:val="0"/>
                <w:bCs/>
                <w:color w:val="auto"/>
                <w:sz w:val="24"/>
                <w:szCs w:val="24"/>
                <w:highlight w:val="none"/>
              </w:rPr>
            </w:pPr>
          </w:p>
        </w:tc>
        <w:tc>
          <w:tcPr>
            <w:tcW w:w="915" w:type="dxa"/>
            <w:noWrap w:val="0"/>
            <w:vAlign w:val="center"/>
          </w:tcPr>
          <w:p>
            <w:pPr>
              <w:jc w:val="center"/>
              <w:rPr>
                <w:rFonts w:hint="eastAsia" w:ascii="仿宋" w:hAnsi="仿宋" w:eastAsia="仿宋" w:cs="仿宋"/>
                <w:b w:val="0"/>
                <w:bCs/>
                <w:color w:val="auto"/>
                <w:sz w:val="24"/>
                <w:szCs w:val="24"/>
                <w:highlight w:val="none"/>
              </w:rPr>
            </w:pPr>
          </w:p>
        </w:tc>
        <w:tc>
          <w:tcPr>
            <w:tcW w:w="1078" w:type="dxa"/>
            <w:noWrap w:val="0"/>
            <w:vAlign w:val="center"/>
          </w:tcPr>
          <w:p>
            <w:pPr>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90" w:type="dxa"/>
            <w:gridSpan w:val="2"/>
            <w:noWrap w:val="0"/>
            <w:vAlign w:val="center"/>
          </w:tcPr>
          <w:p>
            <w:pPr>
              <w:ind w:left="0" w:leftChars="0" w:firstLine="480" w:firstLineChars="200"/>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总</w:t>
            </w:r>
            <w:r>
              <w:rPr>
                <w:rFonts w:hint="eastAsia" w:ascii="仿宋" w:hAnsi="仿宋" w:eastAsia="仿宋" w:cs="仿宋"/>
                <w:b w:val="0"/>
                <w:bCs/>
                <w:color w:val="auto"/>
                <w:sz w:val="24"/>
                <w:szCs w:val="24"/>
                <w:highlight w:val="none"/>
              </w:rPr>
              <w:t>合计</w:t>
            </w:r>
          </w:p>
        </w:tc>
        <w:tc>
          <w:tcPr>
            <w:tcW w:w="7358" w:type="dxa"/>
            <w:gridSpan w:val="6"/>
            <w:noWrap w:val="0"/>
            <w:vAlign w:val="center"/>
          </w:tcPr>
          <w:p>
            <w:pPr>
              <w:jc w:val="center"/>
              <w:rPr>
                <w:rFonts w:hint="eastAsia" w:ascii="仿宋" w:hAnsi="仿宋" w:eastAsia="仿宋" w:cs="仿宋"/>
                <w:b w:val="0"/>
                <w:bCs/>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（此表可延长）</w:t>
      </w:r>
    </w:p>
    <w:p>
      <w:pPr>
        <w:spacing w:line="360" w:lineRule="auto"/>
        <w:ind w:firstLine="964" w:firstLineChars="40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注：1</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若获得中标资格并与采购人签署供货合同，由于报价遗漏面造成在供货、等工作中出现费用的增加，均由中标供应商自行承担，采购人将不再支付任何额外费用。</w:t>
      </w:r>
    </w:p>
    <w:p>
      <w:pPr>
        <w:spacing w:line="360" w:lineRule="auto"/>
        <w:rPr>
          <w:rFonts w:hint="eastAsia" w:ascii="仿宋" w:hAnsi="仿宋" w:eastAsia="仿宋" w:cs="仿宋"/>
          <w:color w:val="auto"/>
          <w:sz w:val="24"/>
          <w:highlight w:val="none"/>
        </w:rPr>
      </w:pPr>
    </w:p>
    <w:p>
      <w:pPr>
        <w:spacing w:line="360" w:lineRule="auto"/>
        <w:ind w:firstLine="4080" w:firstLineChars="17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投标单位（公章）：</w:t>
      </w:r>
    </w:p>
    <w:p>
      <w:pPr>
        <w:spacing w:line="360" w:lineRule="auto"/>
        <w:ind w:firstLine="4080" w:firstLineChars="1700"/>
        <w:rPr>
          <w:rFonts w:hint="eastAsia" w:ascii="仿宋" w:hAnsi="仿宋" w:eastAsia="仿宋" w:cs="仿宋"/>
          <w:color w:val="auto"/>
          <w:sz w:val="24"/>
          <w:highlight w:val="none"/>
        </w:rPr>
      </w:pP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kern w:val="0"/>
          <w:sz w:val="28"/>
          <w:highlight w:val="none"/>
        </w:rPr>
      </w:pPr>
      <w:r>
        <w:rPr>
          <w:rFonts w:hint="eastAsia" w:ascii="仿宋" w:hAnsi="仿宋" w:eastAsia="仿宋" w:cs="仿宋"/>
          <w:color w:val="auto"/>
          <w:sz w:val="24"/>
          <w:highlight w:val="none"/>
        </w:rPr>
        <w:t>年   月   日</w:t>
      </w:r>
      <w:bookmarkStart w:id="125" w:name="_Toc6647"/>
      <w:bookmarkStart w:id="126" w:name="_Toc19324"/>
      <w:bookmarkStart w:id="127" w:name="_Toc22433"/>
      <w:bookmarkStart w:id="128" w:name="_Toc25282"/>
    </w:p>
    <w:p>
      <w:pPr>
        <w:rPr>
          <w:rFonts w:hint="eastAsia" w:ascii="仿宋" w:hAnsi="仿宋" w:eastAsia="仿宋" w:cs="仿宋"/>
          <w:color w:val="auto"/>
          <w:highlight w:val="none"/>
        </w:rPr>
      </w:pPr>
      <w:bookmarkStart w:id="129" w:name="_Toc329785083"/>
      <w:bookmarkStart w:id="130" w:name="_Toc248313661"/>
    </w:p>
    <w:p>
      <w:pPr>
        <w:rPr>
          <w:rFonts w:hint="eastAsia" w:ascii="仿宋" w:hAnsi="仿宋" w:eastAsia="仿宋" w:cs="仿宋"/>
          <w:color w:val="auto"/>
          <w:highlight w:val="none"/>
        </w:rPr>
      </w:pPr>
    </w:p>
    <w:p>
      <w:pPr>
        <w:jc w:val="center"/>
        <w:rPr>
          <w:rFonts w:hint="eastAsia" w:ascii="仿宋" w:hAnsi="仿宋" w:eastAsia="仿宋" w:cs="仿宋"/>
          <w:b/>
          <w:bCs/>
          <w:color w:val="auto"/>
          <w:kern w:val="0"/>
          <w:sz w:val="30"/>
          <w:szCs w:val="30"/>
          <w:highlight w:val="none"/>
          <w:lang w:val="en-US" w:eastAsia="zh-CN"/>
        </w:rPr>
      </w:pPr>
    </w:p>
    <w:p>
      <w:pPr>
        <w:jc w:val="center"/>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30"/>
          <w:szCs w:val="30"/>
          <w:highlight w:val="none"/>
          <w:lang w:val="en-US" w:eastAsia="zh-CN"/>
        </w:rPr>
        <w:t>四</w:t>
      </w:r>
      <w:r>
        <w:rPr>
          <w:rFonts w:hint="eastAsia" w:ascii="仿宋" w:hAnsi="仿宋" w:eastAsia="仿宋" w:cs="仿宋"/>
          <w:b/>
          <w:bCs/>
          <w:color w:val="auto"/>
          <w:kern w:val="0"/>
          <w:sz w:val="30"/>
          <w:szCs w:val="30"/>
          <w:highlight w:val="none"/>
        </w:rPr>
        <w:t>、法定代表人身份证明、法定代表人授权委托书</w:t>
      </w:r>
    </w:p>
    <w:p>
      <w:pPr>
        <w:tabs>
          <w:tab w:val="left" w:pos="1813"/>
        </w:tabs>
        <w:autoSpaceDE w:val="0"/>
        <w:autoSpaceDN w:val="0"/>
        <w:adjustRightInd w:val="0"/>
        <w:spacing w:line="6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（一）法定代表人身份证明</w:t>
      </w:r>
    </w:p>
    <w:p>
      <w:pPr>
        <w:tabs>
          <w:tab w:val="left" w:pos="1813"/>
        </w:tabs>
        <w:autoSpaceDE w:val="0"/>
        <w:autoSpaceDN w:val="0"/>
        <w:adjustRightInd w:val="0"/>
        <w:spacing w:line="200" w:lineRule="exact"/>
        <w:rPr>
          <w:rFonts w:hint="eastAsia" w:ascii="仿宋" w:hAnsi="仿宋" w:eastAsia="仿宋" w:cs="仿宋"/>
          <w:color w:val="auto"/>
          <w:kern w:val="0"/>
          <w:highlight w:val="none"/>
        </w:rPr>
      </w:pP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投标单位</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投标单位</w:t>
      </w:r>
      <w:r>
        <w:rPr>
          <w:rFonts w:hint="eastAsia" w:ascii="仿宋" w:hAnsi="仿宋" w:eastAsia="仿宋" w:cs="仿宋"/>
          <w:color w:val="auto"/>
          <w:kern w:val="0"/>
          <w:sz w:val="24"/>
          <w:szCs w:val="24"/>
          <w:highlight w:val="none"/>
          <w:u w:val="single"/>
        </w:rPr>
        <w:t xml:space="preserve">名称）        </w:t>
      </w:r>
      <w:r>
        <w:rPr>
          <w:rFonts w:hint="eastAsia" w:ascii="仿宋" w:hAnsi="仿宋" w:eastAsia="仿宋" w:cs="仿宋"/>
          <w:color w:val="auto"/>
          <w:kern w:val="0"/>
          <w:sz w:val="24"/>
          <w:szCs w:val="24"/>
          <w:highlight w:val="none"/>
        </w:rPr>
        <w:t>的法定代表人。</w:t>
      </w:r>
    </w:p>
    <w:p>
      <w:pPr>
        <w:shd w:val="clear" w:color="auto" w:fill="FFFFFF"/>
        <w:snapToGrid w:val="0"/>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0288;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xbn+dgAAAAKAQAADwAAAAAAAAABACAAAAAi&#10;AAAAZHJzL2Rvd25yZXYueG1sUEsBAhQAFAAAAAgAh07iQLhPXr4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59264;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5Zl9tgAAAAJAQAADwAAAAAAAAABACAAAAAi&#10;AAAAZHJzL2Rvd25yZXYueG1sUEsBAhQAFAAAAAgAh07iQCxB32o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投标单位名称（单位公章）：                         </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highlight w:val="none"/>
        </w:rPr>
      </w:pP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highlight w:val="none"/>
        </w:rPr>
      </w:pP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highlight w:val="none"/>
        </w:rPr>
      </w:pP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p>
    <w:bookmarkEnd w:id="129"/>
    <w:bookmarkEnd w:id="130"/>
    <w:p>
      <w:pPr>
        <w:tabs>
          <w:tab w:val="left" w:pos="1813"/>
        </w:tabs>
        <w:autoSpaceDE w:val="0"/>
        <w:autoSpaceDN w:val="0"/>
        <w:adjustRightInd w:val="0"/>
        <w:spacing w:line="480" w:lineRule="auto"/>
        <w:jc w:val="both"/>
        <w:rPr>
          <w:rFonts w:hint="eastAsia" w:ascii="仿宋" w:hAnsi="仿宋" w:eastAsia="仿宋" w:cs="仿宋"/>
          <w:color w:val="auto"/>
          <w:kern w:val="0"/>
          <w:sz w:val="28"/>
          <w:szCs w:val="28"/>
          <w:highlight w:val="none"/>
        </w:rPr>
      </w:pPr>
    </w:p>
    <w:p>
      <w:pPr>
        <w:numPr>
          <w:ilvl w:val="0"/>
          <w:numId w:val="15"/>
        </w:numPr>
        <w:tabs>
          <w:tab w:val="left" w:pos="1813"/>
        </w:tabs>
        <w:autoSpaceDE w:val="0"/>
        <w:autoSpaceDN w:val="0"/>
        <w:adjustRightInd w:val="0"/>
        <w:spacing w:line="48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法定代表人授权委托书</w:t>
      </w:r>
    </w:p>
    <w:p>
      <w:pPr>
        <w:pStyle w:val="19"/>
        <w:numPr>
          <w:ilvl w:val="0"/>
          <w:numId w:val="0"/>
        </w:numPr>
        <w:tabs>
          <w:tab w:val="left" w:pos="9214"/>
        </w:tabs>
        <w:ind w:right="-58" w:rightChars="0"/>
        <w:rPr>
          <w:rFonts w:hint="eastAsia" w:ascii="仿宋" w:hAnsi="仿宋" w:eastAsia="仿宋" w:cs="仿宋"/>
          <w:color w:val="auto"/>
          <w:highlight w:val="none"/>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致：         发包人名称        ：</w:t>
      </w:r>
    </w:p>
    <w:p>
      <w:pPr>
        <w:pStyle w:val="25"/>
        <w:snapToGrid w:val="0"/>
        <w:spacing w:line="400" w:lineRule="exact"/>
        <w:ind w:firstLine="480" w:firstLineChars="200"/>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投标单位</w:t>
      </w:r>
      <w:r>
        <w:rPr>
          <w:rFonts w:hint="eastAsia" w:ascii="仿宋" w:hAnsi="仿宋" w:eastAsia="仿宋" w:cs="仿宋"/>
          <w:color w:val="auto"/>
          <w:sz w:val="24"/>
          <w:szCs w:val="24"/>
          <w:highlight w:val="none"/>
          <w:u w:val="single"/>
        </w:rPr>
        <w:t xml:space="preserve">全称）        </w:t>
      </w:r>
      <w:r>
        <w:rPr>
          <w:rFonts w:hint="eastAsia" w:ascii="仿宋" w:hAnsi="仿宋" w:eastAsia="仿宋" w:cs="仿宋"/>
          <w:color w:val="auto"/>
          <w:sz w:val="24"/>
          <w:szCs w:val="24"/>
          <w:highlight w:val="none"/>
          <w:u w:val="none"/>
        </w:rPr>
        <w:t xml:space="preserve">的法定代表人授权我公司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投标单位</w:t>
      </w:r>
      <w:r>
        <w:rPr>
          <w:rFonts w:hint="eastAsia" w:ascii="仿宋" w:hAnsi="仿宋" w:eastAsia="仿宋" w:cs="仿宋"/>
          <w:color w:val="auto"/>
          <w:sz w:val="24"/>
          <w:szCs w:val="24"/>
          <w:highlight w:val="none"/>
          <w:u w:val="single"/>
        </w:rPr>
        <w:t xml:space="preserve">代表姓名）  </w:t>
      </w:r>
      <w:r>
        <w:rPr>
          <w:rFonts w:hint="eastAsia" w:ascii="仿宋" w:hAnsi="仿宋" w:eastAsia="仿宋" w:cs="仿宋"/>
          <w:color w:val="auto"/>
          <w:sz w:val="24"/>
          <w:szCs w:val="24"/>
          <w:highlight w:val="none"/>
          <w:u w:val="none"/>
        </w:rPr>
        <w:t>为</w:t>
      </w:r>
      <w:r>
        <w:rPr>
          <w:rFonts w:hint="eastAsia" w:ascii="仿宋" w:hAnsi="仿宋" w:eastAsia="仿宋" w:cs="仿宋"/>
          <w:color w:val="auto"/>
          <w:sz w:val="24"/>
          <w:szCs w:val="24"/>
          <w:highlight w:val="none"/>
          <w:u w:val="none"/>
          <w:lang w:val="en-US" w:eastAsia="zh-CN"/>
        </w:rPr>
        <w:t>投标单位</w:t>
      </w:r>
      <w:r>
        <w:rPr>
          <w:rFonts w:hint="eastAsia" w:ascii="仿宋" w:hAnsi="仿宋" w:eastAsia="仿宋" w:cs="仿宋"/>
          <w:color w:val="auto"/>
          <w:sz w:val="24"/>
          <w:szCs w:val="24"/>
          <w:highlight w:val="none"/>
          <w:u w:val="none"/>
        </w:rPr>
        <w:t>代表，代表本公司参加贵司组织的</w:t>
      </w:r>
      <w:r>
        <w:rPr>
          <w:rFonts w:hint="eastAsia" w:ascii="仿宋" w:hAnsi="仿宋" w:eastAsia="仿宋" w:cs="仿宋"/>
          <w:color w:val="auto"/>
          <w:sz w:val="24"/>
          <w:szCs w:val="24"/>
          <w:highlight w:val="none"/>
          <w:u w:val="single"/>
        </w:rPr>
        <w:t xml:space="preserve">    项目名称、招标编号    ）</w:t>
      </w:r>
      <w:r>
        <w:rPr>
          <w:rFonts w:hint="eastAsia" w:ascii="仿宋" w:hAnsi="仿宋" w:eastAsia="仿宋" w:cs="仿宋"/>
          <w:color w:val="auto"/>
          <w:sz w:val="24"/>
          <w:szCs w:val="24"/>
          <w:highlight w:val="none"/>
          <w:u w:val="none"/>
          <w:lang w:val="en-US" w:eastAsia="zh-CN"/>
        </w:rPr>
        <w:t>招标</w:t>
      </w:r>
      <w:r>
        <w:rPr>
          <w:rFonts w:hint="eastAsia" w:ascii="仿宋" w:hAnsi="仿宋" w:eastAsia="仿宋" w:cs="仿宋"/>
          <w:color w:val="auto"/>
          <w:sz w:val="24"/>
          <w:szCs w:val="24"/>
          <w:highlight w:val="none"/>
          <w:u w:val="none"/>
        </w:rPr>
        <w:t>活动，全权代表本公司处理</w:t>
      </w:r>
      <w:r>
        <w:rPr>
          <w:rFonts w:hint="eastAsia" w:ascii="仿宋" w:hAnsi="仿宋" w:eastAsia="仿宋" w:cs="仿宋"/>
          <w:color w:val="auto"/>
          <w:sz w:val="24"/>
          <w:szCs w:val="24"/>
          <w:highlight w:val="none"/>
          <w:u w:val="none"/>
          <w:lang w:val="en-US" w:eastAsia="zh-CN"/>
        </w:rPr>
        <w:t>招标</w:t>
      </w:r>
      <w:r>
        <w:rPr>
          <w:rFonts w:hint="eastAsia" w:ascii="仿宋" w:hAnsi="仿宋" w:eastAsia="仿宋" w:cs="仿宋"/>
          <w:color w:val="auto"/>
          <w:sz w:val="24"/>
          <w:szCs w:val="24"/>
          <w:highlight w:val="none"/>
          <w:u w:val="none"/>
        </w:rPr>
        <w:t>的一切事宜，包括但不限于：投标、参与开标、谈判、签约等。</w:t>
      </w:r>
      <w:r>
        <w:rPr>
          <w:rFonts w:hint="eastAsia" w:ascii="仿宋" w:hAnsi="仿宋" w:eastAsia="仿宋" w:cs="仿宋"/>
          <w:color w:val="auto"/>
          <w:sz w:val="24"/>
          <w:szCs w:val="24"/>
          <w:highlight w:val="none"/>
          <w:u w:val="none"/>
          <w:lang w:val="en-US" w:eastAsia="zh-CN"/>
        </w:rPr>
        <w:t>投标单位</w:t>
      </w:r>
      <w:r>
        <w:rPr>
          <w:rFonts w:hint="eastAsia" w:ascii="仿宋" w:hAnsi="仿宋" w:eastAsia="仿宋" w:cs="仿宋"/>
          <w:color w:val="auto"/>
          <w:sz w:val="24"/>
          <w:szCs w:val="24"/>
          <w:highlight w:val="none"/>
          <w:u w:val="none"/>
        </w:rPr>
        <w:t>代表在</w:t>
      </w:r>
      <w:r>
        <w:rPr>
          <w:rFonts w:hint="eastAsia" w:ascii="仿宋" w:hAnsi="仿宋" w:eastAsia="仿宋" w:cs="仿宋"/>
          <w:color w:val="auto"/>
          <w:sz w:val="24"/>
          <w:szCs w:val="24"/>
          <w:highlight w:val="none"/>
          <w:u w:val="none"/>
          <w:lang w:val="en-US" w:eastAsia="zh-CN"/>
        </w:rPr>
        <w:t>投标</w:t>
      </w:r>
      <w:r>
        <w:rPr>
          <w:rFonts w:hint="eastAsia" w:ascii="仿宋" w:hAnsi="仿宋" w:eastAsia="仿宋" w:cs="仿宋"/>
          <w:color w:val="auto"/>
          <w:sz w:val="24"/>
          <w:szCs w:val="24"/>
          <w:highlight w:val="none"/>
          <w:u w:val="none"/>
        </w:rPr>
        <w:t>过程中所签署的一切文件和处理与之有关的一切事务，本公司均予以认可并对此承担责任。供应商代表无转委托权。特此授权。</w:t>
      </w:r>
    </w:p>
    <w:p>
      <w:pPr>
        <w:spacing w:line="400" w:lineRule="exact"/>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本授权书自出具之日起生效。</w:t>
      </w:r>
    </w:p>
    <w:p>
      <w:pPr>
        <w:ind w:left="1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2336;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4eAf2AAAAAkBAAAPAAAAAAAAAAEAIAAAACIA&#10;AABkcnMvZG93bnJldi54bWxQSwECFAAUAAAACACHTuJAlPJz7wkCAAA6BAAADgAAAAAAAAABACAA&#10;AAAnAQAAZHJzL2Uyb0RvYy54bWxQSwUGAAAAAAYABgBZAQAAog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1312;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nXAttUAAAAHAQAADwAAAAAAAAABACAAAAAiAAAA&#10;ZHJzL2Rvd25yZXYueG1sUEsBAhQAFAAAAAgAh07iQNxYsTcKAgAAOgQAAA4AAAAAAAAAAQAgAAAA&#10;JAEAAGRycy9lMm9Eb2MueG1sUEsFBgAAAAAGAAYAWQEAAKAFA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6" name="矩形 1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3360;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MQITnWAAAACAEAAA8AAAAAAAAAAQAgAAAAIgAA&#10;AGRycy9kb3ducmV2LnhtbFBLAQIUABQAAAAIAIdO4kC51V3SCgIAADoEAAAOAAAAAAAAAAEAIAAA&#10;ACUBAABkcnMvZTJvRG9jLnhtbFBLBQYAAAAABgAGAFkBAAChBQ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8" name="矩形 18"/>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4384;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Y8hfdgAAAAKAQAADwAAAAAAAAABACAAAAAi&#10;AAAAZHJzL2Rvd25yZXYueG1sUEsBAhQAFAAAAAgAh07iQPaUROEKAgAAOgQAAA4AAAAAAAAAAQAg&#10;AAAAJwEAAGRycy9lMm9Eb2MueG1sUEsFBgAAAAAGAAYAWQEAAKMFA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代理人：</w:t>
      </w:r>
      <w:r>
        <w:rPr>
          <w:rFonts w:hint="eastAsia" w:ascii="仿宋" w:hAnsi="仿宋" w:eastAsia="仿宋" w:cs="仿宋"/>
          <w:color w:val="auto"/>
          <w:sz w:val="24"/>
          <w:szCs w:val="24"/>
          <w:highlight w:val="none"/>
          <w:u w:val="single"/>
        </w:rPr>
        <w:t xml:space="preserve">   （签字）   </w:t>
      </w:r>
      <w:r>
        <w:rPr>
          <w:rFonts w:hint="eastAsia" w:ascii="仿宋" w:hAnsi="仿宋" w:eastAsia="仿宋" w:cs="仿宋"/>
          <w:color w:val="auto"/>
          <w:sz w:val="24"/>
          <w:szCs w:val="24"/>
          <w:highlight w:val="none"/>
        </w:rPr>
        <w:t>性别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年龄：_______</w:t>
      </w: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投标单位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（盖章）                    </w:t>
      </w: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（签字或盖章）               </w:t>
      </w:r>
    </w:p>
    <w:p>
      <w:pPr>
        <w:ind w:firstLine="2760" w:firstLineChars="115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142"/>
        <w:jc w:val="center"/>
        <w:outlineLvl w:val="9"/>
        <w:rPr>
          <w:rFonts w:hint="eastAsia" w:ascii="仿宋" w:hAnsi="仿宋" w:eastAsia="仿宋" w:cs="仿宋"/>
          <w:b/>
          <w:color w:val="auto"/>
          <w:sz w:val="24"/>
          <w:szCs w:val="24"/>
          <w:highlight w:val="none"/>
        </w:rPr>
      </w:pPr>
    </w:p>
    <w:p>
      <w:pPr>
        <w:spacing w:line="4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注意：被委托人必须是投标单位正式员工，需提供社保部门出具最少提供</w:t>
      </w:r>
      <w:r>
        <w:rPr>
          <w:rFonts w:hint="eastAsia" w:ascii="仿宋" w:hAnsi="仿宋" w:eastAsia="仿宋" w:cs="仿宋"/>
          <w:b/>
          <w:bCs/>
          <w:color w:val="auto"/>
          <w:sz w:val="24"/>
          <w:szCs w:val="24"/>
          <w:highlight w:val="none"/>
          <w:lang w:eastAsia="zh-CN"/>
        </w:rPr>
        <w:t>近</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CN"/>
        </w:rPr>
        <w:t>个月的缴纳社保证明</w:t>
      </w:r>
      <w:r>
        <w:rPr>
          <w:rFonts w:hint="eastAsia" w:ascii="仿宋" w:hAnsi="仿宋" w:eastAsia="仿宋" w:cs="仿宋"/>
          <w:b/>
          <w:bCs/>
          <w:color w:val="auto"/>
          <w:sz w:val="24"/>
          <w:szCs w:val="24"/>
          <w:highlight w:val="none"/>
        </w:rPr>
        <w:t>（社保缴费凭证及个人明细表）</w:t>
      </w:r>
      <w:r>
        <w:rPr>
          <w:rFonts w:hint="eastAsia" w:ascii="仿宋" w:hAnsi="仿宋" w:eastAsia="仿宋" w:cs="仿宋"/>
          <w:color w:val="auto"/>
          <w:sz w:val="24"/>
          <w:szCs w:val="24"/>
          <w:highlight w:val="none"/>
        </w:rPr>
        <w:t xml:space="preserve"> </w:t>
      </w:r>
    </w:p>
    <w:p>
      <w:pPr>
        <w:spacing w:line="400" w:lineRule="exact"/>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color w:val="auto"/>
          <w:highlight w:val="none"/>
        </w:rPr>
        <w:t xml:space="preserve"> </w:t>
      </w:r>
    </w:p>
    <w:p>
      <w:pPr>
        <w:spacing w:line="440" w:lineRule="exact"/>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五、投标保证金（投标保证金银行转账单复印件）</w:t>
      </w: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pStyle w:val="19"/>
        <w:tabs>
          <w:tab w:val="left" w:pos="9214"/>
        </w:tabs>
        <w:rPr>
          <w:rFonts w:hint="eastAsia" w:ascii="仿宋" w:hAnsi="仿宋" w:eastAsia="仿宋" w:cs="仿宋"/>
          <w:color w:val="auto"/>
          <w:highlight w:val="none"/>
          <w:lang w:val="en-US" w:eastAsia="zh-CN"/>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pStyle w:val="2"/>
        <w:outlineLvl w:val="9"/>
        <w:rPr>
          <w:rFonts w:hint="eastAsia" w:ascii="仿宋" w:hAnsi="仿宋" w:eastAsia="仿宋" w:cs="仿宋"/>
          <w:color w:val="auto"/>
          <w:highlight w:val="none"/>
          <w:lang w:val="en-US" w:eastAsia="zh-CN"/>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六、技术规格功能要求偏离表</w:t>
      </w:r>
      <w:bookmarkEnd w:id="125"/>
      <w:bookmarkEnd w:id="126"/>
      <w:bookmarkEnd w:id="127"/>
      <w:bookmarkEnd w:id="128"/>
    </w:p>
    <w:p>
      <w:pPr>
        <w:rPr>
          <w:rFonts w:hint="eastAsia" w:ascii="仿宋" w:hAnsi="仿宋" w:eastAsia="仿宋" w:cs="仿宋"/>
          <w:color w:val="auto"/>
          <w:highlight w:val="none"/>
        </w:rPr>
      </w:pP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tbl>
      <w:tblPr>
        <w:tblStyle w:val="43"/>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23"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规格功能要求条目号</w:t>
            </w:r>
          </w:p>
        </w:tc>
        <w:tc>
          <w:tcPr>
            <w:tcW w:w="1655" w:type="dxa"/>
            <w:noWrap w:val="0"/>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谈判文件</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要求规格</w:t>
            </w:r>
          </w:p>
        </w:tc>
        <w:tc>
          <w:tcPr>
            <w:tcW w:w="147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功能</w:t>
            </w:r>
          </w:p>
        </w:tc>
        <w:tc>
          <w:tcPr>
            <w:tcW w:w="1839"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28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bl>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：1、应与</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要求逐条对应填写。</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2、本表如填写不完，可以续页。</w:t>
      </w:r>
    </w:p>
    <w:p>
      <w:pPr>
        <w:spacing w:line="360" w:lineRule="auto"/>
        <w:rPr>
          <w:rFonts w:hint="eastAsia" w:ascii="仿宋" w:hAnsi="仿宋" w:eastAsia="仿宋" w:cs="仿宋"/>
          <w:color w:val="auto"/>
          <w:sz w:val="24"/>
          <w:highlight w:val="none"/>
        </w:rPr>
      </w:pPr>
    </w:p>
    <w:p>
      <w:pPr>
        <w:spacing w:line="360" w:lineRule="auto"/>
        <w:ind w:firstLine="3960" w:firstLineChars="1650"/>
        <w:rPr>
          <w:rFonts w:hint="eastAsia" w:ascii="仿宋" w:hAnsi="仿宋" w:eastAsia="仿宋" w:cs="仿宋"/>
          <w:color w:val="auto"/>
          <w:sz w:val="24"/>
          <w:highlight w:val="none"/>
        </w:rPr>
      </w:pPr>
    </w:p>
    <w:p>
      <w:pPr>
        <w:spacing w:line="360" w:lineRule="auto"/>
        <w:ind w:firstLine="3960" w:firstLineChars="165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投标单位（公章）：</w:t>
      </w:r>
    </w:p>
    <w:p>
      <w:pPr>
        <w:spacing w:line="360" w:lineRule="auto"/>
        <w:ind w:firstLine="4080" w:firstLineChars="1700"/>
        <w:rPr>
          <w:rFonts w:hint="eastAsia" w:ascii="仿宋" w:hAnsi="仿宋" w:eastAsia="仿宋" w:cs="仿宋"/>
          <w:color w:val="auto"/>
          <w:sz w:val="24"/>
          <w:highlight w:val="none"/>
        </w:rPr>
      </w:pP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pPr>
        <w:spacing w:line="360" w:lineRule="auto"/>
        <w:ind w:firstLine="4080" w:firstLineChars="17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pPr>
        <w:spacing w:line="360" w:lineRule="auto"/>
        <w:rPr>
          <w:rFonts w:hint="eastAsia" w:ascii="仿宋" w:hAnsi="仿宋" w:eastAsia="仿宋" w:cs="仿宋"/>
          <w:color w:val="auto"/>
          <w:sz w:val="28"/>
          <w:szCs w:val="28"/>
          <w:highlight w:val="none"/>
        </w:rPr>
      </w:pPr>
    </w:p>
    <w:p>
      <w:pPr>
        <w:pStyle w:val="4"/>
        <w:jc w:val="center"/>
        <w:rPr>
          <w:rFonts w:hint="eastAsia" w:ascii="仿宋" w:hAnsi="仿宋" w:eastAsia="仿宋" w:cs="仿宋"/>
          <w:color w:val="auto"/>
          <w:sz w:val="28"/>
          <w:highlight w:val="none"/>
        </w:rPr>
      </w:pPr>
      <w:bookmarkStart w:id="131" w:name="_Toc13218"/>
      <w:bookmarkStart w:id="132" w:name="_Toc23139"/>
      <w:bookmarkStart w:id="133" w:name="_Toc23111"/>
      <w:bookmarkStart w:id="134" w:name="_Toc14367"/>
      <w:bookmarkStart w:id="135" w:name="_Toc27405"/>
      <w:r>
        <w:rPr>
          <w:rFonts w:hint="eastAsia" w:ascii="仿宋" w:hAnsi="仿宋" w:eastAsia="仿宋" w:cs="仿宋"/>
          <w:color w:val="auto"/>
          <w:sz w:val="28"/>
          <w:highlight w:val="none"/>
          <w:lang w:val="en-US" w:eastAsia="zh-CN"/>
        </w:rPr>
        <w:t>七、</w:t>
      </w:r>
      <w:r>
        <w:rPr>
          <w:rFonts w:hint="eastAsia" w:ascii="仿宋" w:hAnsi="仿宋" w:eastAsia="仿宋" w:cs="仿宋"/>
          <w:color w:val="auto"/>
          <w:sz w:val="28"/>
          <w:highlight w:val="none"/>
        </w:rPr>
        <w:t>商务条款偏离表</w:t>
      </w:r>
      <w:bookmarkEnd w:id="131"/>
      <w:bookmarkEnd w:id="132"/>
      <w:bookmarkEnd w:id="133"/>
      <w:bookmarkEnd w:id="134"/>
      <w:bookmarkEnd w:id="135"/>
    </w:p>
    <w:p>
      <w:pPr>
        <w:spacing w:line="40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ind w:firstLine="240" w:firstLineChars="10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tbl>
      <w:tblPr>
        <w:tblStyle w:val="43"/>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05" w:type="dxa"/>
            <w:noWrap w:val="0"/>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谈判文件</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条目号</w:t>
            </w:r>
          </w:p>
        </w:tc>
        <w:tc>
          <w:tcPr>
            <w:tcW w:w="217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的</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商务条款</w:t>
            </w:r>
          </w:p>
        </w:tc>
        <w:tc>
          <w:tcPr>
            <w:tcW w:w="2215"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商务条款</w:t>
            </w:r>
          </w:p>
        </w:tc>
        <w:tc>
          <w:tcPr>
            <w:tcW w:w="170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05" w:type="dxa"/>
            <w:noWrap w:val="0"/>
            <w:vAlign w:val="center"/>
          </w:tcPr>
          <w:p>
            <w:pPr>
              <w:spacing w:line="360" w:lineRule="auto"/>
              <w:jc w:val="center"/>
              <w:rPr>
                <w:rFonts w:hint="eastAsia" w:ascii="仿宋" w:hAnsi="仿宋" w:eastAsia="仿宋" w:cs="仿宋"/>
                <w:color w:val="auto"/>
                <w:sz w:val="24"/>
                <w:highlight w:val="none"/>
              </w:rPr>
            </w:pPr>
          </w:p>
        </w:tc>
        <w:tc>
          <w:tcPr>
            <w:tcW w:w="2177" w:type="dxa"/>
            <w:noWrap w:val="0"/>
            <w:vAlign w:val="center"/>
          </w:tcPr>
          <w:p>
            <w:pPr>
              <w:spacing w:line="360" w:lineRule="auto"/>
              <w:jc w:val="center"/>
              <w:rPr>
                <w:rFonts w:hint="eastAsia" w:ascii="仿宋" w:hAnsi="仿宋" w:eastAsia="仿宋" w:cs="仿宋"/>
                <w:color w:val="auto"/>
                <w:sz w:val="24"/>
                <w:highlight w:val="none"/>
              </w:rPr>
            </w:pPr>
          </w:p>
        </w:tc>
        <w:tc>
          <w:tcPr>
            <w:tcW w:w="2215" w:type="dxa"/>
            <w:noWrap w:val="0"/>
            <w:vAlign w:val="center"/>
          </w:tcPr>
          <w:p>
            <w:pPr>
              <w:spacing w:line="360" w:lineRule="auto"/>
              <w:jc w:val="center"/>
              <w:rPr>
                <w:rFonts w:hint="eastAsia" w:ascii="仿宋" w:hAnsi="仿宋" w:eastAsia="仿宋" w:cs="仿宋"/>
                <w:color w:val="auto"/>
                <w:sz w:val="24"/>
                <w:highlight w:val="none"/>
              </w:rPr>
            </w:pPr>
          </w:p>
        </w:tc>
        <w:tc>
          <w:tcPr>
            <w:tcW w:w="1706" w:type="dxa"/>
            <w:noWrap w:val="0"/>
            <w:vAlign w:val="center"/>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705" w:type="dxa"/>
            <w:noWrap w:val="0"/>
            <w:vAlign w:val="center"/>
          </w:tcPr>
          <w:p>
            <w:pPr>
              <w:spacing w:line="360" w:lineRule="auto"/>
              <w:jc w:val="center"/>
              <w:rPr>
                <w:rFonts w:hint="eastAsia" w:ascii="仿宋" w:hAnsi="仿宋" w:eastAsia="仿宋" w:cs="仿宋"/>
                <w:color w:val="auto"/>
                <w:sz w:val="24"/>
                <w:highlight w:val="none"/>
              </w:rPr>
            </w:pPr>
          </w:p>
        </w:tc>
        <w:tc>
          <w:tcPr>
            <w:tcW w:w="2177" w:type="dxa"/>
            <w:noWrap w:val="0"/>
            <w:vAlign w:val="center"/>
          </w:tcPr>
          <w:p>
            <w:pPr>
              <w:spacing w:line="360" w:lineRule="auto"/>
              <w:jc w:val="center"/>
              <w:rPr>
                <w:rFonts w:hint="eastAsia" w:ascii="仿宋" w:hAnsi="仿宋" w:eastAsia="仿宋" w:cs="仿宋"/>
                <w:color w:val="auto"/>
                <w:sz w:val="24"/>
                <w:highlight w:val="none"/>
              </w:rPr>
            </w:pPr>
          </w:p>
        </w:tc>
        <w:tc>
          <w:tcPr>
            <w:tcW w:w="2215" w:type="dxa"/>
            <w:noWrap w:val="0"/>
            <w:vAlign w:val="center"/>
          </w:tcPr>
          <w:p>
            <w:pPr>
              <w:spacing w:line="360" w:lineRule="auto"/>
              <w:jc w:val="center"/>
              <w:rPr>
                <w:rFonts w:hint="eastAsia" w:ascii="仿宋" w:hAnsi="仿宋" w:eastAsia="仿宋" w:cs="仿宋"/>
                <w:color w:val="auto"/>
                <w:sz w:val="24"/>
                <w:highlight w:val="none"/>
              </w:rPr>
            </w:pPr>
          </w:p>
        </w:tc>
        <w:tc>
          <w:tcPr>
            <w:tcW w:w="1706" w:type="dxa"/>
            <w:noWrap w:val="0"/>
            <w:vAlign w:val="center"/>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705" w:type="dxa"/>
            <w:noWrap w:val="0"/>
            <w:vAlign w:val="center"/>
          </w:tcPr>
          <w:p>
            <w:pPr>
              <w:spacing w:line="360" w:lineRule="auto"/>
              <w:jc w:val="center"/>
              <w:rPr>
                <w:rFonts w:hint="eastAsia" w:ascii="仿宋" w:hAnsi="仿宋" w:eastAsia="仿宋" w:cs="仿宋"/>
                <w:color w:val="auto"/>
                <w:sz w:val="24"/>
                <w:highlight w:val="none"/>
              </w:rPr>
            </w:pPr>
          </w:p>
        </w:tc>
        <w:tc>
          <w:tcPr>
            <w:tcW w:w="2177" w:type="dxa"/>
            <w:noWrap w:val="0"/>
            <w:vAlign w:val="center"/>
          </w:tcPr>
          <w:p>
            <w:pPr>
              <w:spacing w:line="360" w:lineRule="auto"/>
              <w:jc w:val="center"/>
              <w:rPr>
                <w:rFonts w:hint="eastAsia" w:ascii="仿宋" w:hAnsi="仿宋" w:eastAsia="仿宋" w:cs="仿宋"/>
                <w:color w:val="auto"/>
                <w:sz w:val="24"/>
                <w:highlight w:val="none"/>
              </w:rPr>
            </w:pPr>
          </w:p>
        </w:tc>
        <w:tc>
          <w:tcPr>
            <w:tcW w:w="2215" w:type="dxa"/>
            <w:noWrap w:val="0"/>
            <w:vAlign w:val="center"/>
          </w:tcPr>
          <w:p>
            <w:pPr>
              <w:spacing w:line="360" w:lineRule="auto"/>
              <w:jc w:val="center"/>
              <w:rPr>
                <w:rFonts w:hint="eastAsia" w:ascii="仿宋" w:hAnsi="仿宋" w:eastAsia="仿宋" w:cs="仿宋"/>
                <w:color w:val="auto"/>
                <w:sz w:val="24"/>
                <w:highlight w:val="none"/>
              </w:rPr>
            </w:pPr>
          </w:p>
        </w:tc>
        <w:tc>
          <w:tcPr>
            <w:tcW w:w="1706" w:type="dxa"/>
            <w:noWrap w:val="0"/>
            <w:vAlign w:val="center"/>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705" w:type="dxa"/>
            <w:noWrap w:val="0"/>
            <w:vAlign w:val="center"/>
          </w:tcPr>
          <w:p>
            <w:pPr>
              <w:spacing w:line="360" w:lineRule="auto"/>
              <w:jc w:val="center"/>
              <w:rPr>
                <w:rFonts w:hint="eastAsia" w:ascii="仿宋" w:hAnsi="仿宋" w:eastAsia="仿宋" w:cs="仿宋"/>
                <w:color w:val="auto"/>
                <w:sz w:val="24"/>
                <w:highlight w:val="none"/>
              </w:rPr>
            </w:pPr>
          </w:p>
        </w:tc>
        <w:tc>
          <w:tcPr>
            <w:tcW w:w="2177" w:type="dxa"/>
            <w:noWrap w:val="0"/>
            <w:vAlign w:val="center"/>
          </w:tcPr>
          <w:p>
            <w:pPr>
              <w:spacing w:line="360" w:lineRule="auto"/>
              <w:jc w:val="center"/>
              <w:rPr>
                <w:rFonts w:hint="eastAsia" w:ascii="仿宋" w:hAnsi="仿宋" w:eastAsia="仿宋" w:cs="仿宋"/>
                <w:color w:val="auto"/>
                <w:sz w:val="24"/>
                <w:highlight w:val="none"/>
              </w:rPr>
            </w:pPr>
          </w:p>
        </w:tc>
        <w:tc>
          <w:tcPr>
            <w:tcW w:w="2215" w:type="dxa"/>
            <w:noWrap w:val="0"/>
            <w:vAlign w:val="center"/>
          </w:tcPr>
          <w:p>
            <w:pPr>
              <w:spacing w:line="360" w:lineRule="auto"/>
              <w:jc w:val="center"/>
              <w:rPr>
                <w:rFonts w:hint="eastAsia" w:ascii="仿宋" w:hAnsi="仿宋" w:eastAsia="仿宋" w:cs="仿宋"/>
                <w:color w:val="auto"/>
                <w:sz w:val="24"/>
                <w:highlight w:val="none"/>
              </w:rPr>
            </w:pPr>
          </w:p>
        </w:tc>
        <w:tc>
          <w:tcPr>
            <w:tcW w:w="1706" w:type="dxa"/>
            <w:noWrap w:val="0"/>
            <w:vAlign w:val="center"/>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highlight w:val="none"/>
              </w:rPr>
            </w:pPr>
          </w:p>
        </w:tc>
        <w:tc>
          <w:tcPr>
            <w:tcW w:w="1705" w:type="dxa"/>
            <w:noWrap w:val="0"/>
            <w:vAlign w:val="center"/>
          </w:tcPr>
          <w:p>
            <w:pPr>
              <w:spacing w:line="360" w:lineRule="auto"/>
              <w:jc w:val="center"/>
              <w:rPr>
                <w:rFonts w:hint="eastAsia" w:ascii="仿宋" w:hAnsi="仿宋" w:eastAsia="仿宋" w:cs="仿宋"/>
                <w:color w:val="auto"/>
                <w:sz w:val="24"/>
                <w:highlight w:val="none"/>
              </w:rPr>
            </w:pPr>
          </w:p>
        </w:tc>
        <w:tc>
          <w:tcPr>
            <w:tcW w:w="2177" w:type="dxa"/>
            <w:noWrap w:val="0"/>
            <w:vAlign w:val="center"/>
          </w:tcPr>
          <w:p>
            <w:pPr>
              <w:spacing w:line="360" w:lineRule="auto"/>
              <w:jc w:val="center"/>
              <w:rPr>
                <w:rFonts w:hint="eastAsia" w:ascii="仿宋" w:hAnsi="仿宋" w:eastAsia="仿宋" w:cs="仿宋"/>
                <w:color w:val="auto"/>
                <w:sz w:val="24"/>
                <w:highlight w:val="none"/>
              </w:rPr>
            </w:pPr>
          </w:p>
        </w:tc>
        <w:tc>
          <w:tcPr>
            <w:tcW w:w="2215" w:type="dxa"/>
            <w:noWrap w:val="0"/>
            <w:vAlign w:val="center"/>
          </w:tcPr>
          <w:p>
            <w:pPr>
              <w:spacing w:line="360" w:lineRule="auto"/>
              <w:jc w:val="center"/>
              <w:rPr>
                <w:rFonts w:hint="eastAsia" w:ascii="仿宋" w:hAnsi="仿宋" w:eastAsia="仿宋" w:cs="仿宋"/>
                <w:color w:val="auto"/>
                <w:sz w:val="24"/>
                <w:highlight w:val="none"/>
              </w:rPr>
            </w:pPr>
          </w:p>
        </w:tc>
        <w:tc>
          <w:tcPr>
            <w:tcW w:w="1706" w:type="dxa"/>
            <w:noWrap w:val="0"/>
            <w:vAlign w:val="center"/>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highlight w:val="none"/>
              </w:rPr>
            </w:pPr>
          </w:p>
        </w:tc>
        <w:tc>
          <w:tcPr>
            <w:tcW w:w="1705" w:type="dxa"/>
            <w:noWrap w:val="0"/>
            <w:vAlign w:val="center"/>
          </w:tcPr>
          <w:p>
            <w:pPr>
              <w:spacing w:line="360" w:lineRule="auto"/>
              <w:jc w:val="center"/>
              <w:rPr>
                <w:rFonts w:hint="eastAsia" w:ascii="仿宋" w:hAnsi="仿宋" w:eastAsia="仿宋" w:cs="仿宋"/>
                <w:color w:val="auto"/>
                <w:sz w:val="24"/>
                <w:highlight w:val="none"/>
              </w:rPr>
            </w:pPr>
          </w:p>
        </w:tc>
        <w:tc>
          <w:tcPr>
            <w:tcW w:w="2177" w:type="dxa"/>
            <w:noWrap w:val="0"/>
            <w:vAlign w:val="center"/>
          </w:tcPr>
          <w:p>
            <w:pPr>
              <w:spacing w:line="360" w:lineRule="auto"/>
              <w:jc w:val="center"/>
              <w:rPr>
                <w:rFonts w:hint="eastAsia" w:ascii="仿宋" w:hAnsi="仿宋" w:eastAsia="仿宋" w:cs="仿宋"/>
                <w:color w:val="auto"/>
                <w:sz w:val="24"/>
                <w:highlight w:val="none"/>
              </w:rPr>
            </w:pPr>
          </w:p>
        </w:tc>
        <w:tc>
          <w:tcPr>
            <w:tcW w:w="2215" w:type="dxa"/>
            <w:noWrap w:val="0"/>
            <w:vAlign w:val="center"/>
          </w:tcPr>
          <w:p>
            <w:pPr>
              <w:spacing w:line="360" w:lineRule="auto"/>
              <w:jc w:val="center"/>
              <w:rPr>
                <w:rFonts w:hint="eastAsia" w:ascii="仿宋" w:hAnsi="仿宋" w:eastAsia="仿宋" w:cs="仿宋"/>
                <w:color w:val="auto"/>
                <w:sz w:val="24"/>
                <w:highlight w:val="none"/>
              </w:rPr>
            </w:pPr>
          </w:p>
        </w:tc>
        <w:tc>
          <w:tcPr>
            <w:tcW w:w="1706" w:type="dxa"/>
            <w:noWrap w:val="0"/>
            <w:vAlign w:val="center"/>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highlight w:val="none"/>
              </w:rPr>
            </w:pPr>
          </w:p>
        </w:tc>
        <w:tc>
          <w:tcPr>
            <w:tcW w:w="1705" w:type="dxa"/>
            <w:noWrap w:val="0"/>
            <w:vAlign w:val="center"/>
          </w:tcPr>
          <w:p>
            <w:pPr>
              <w:spacing w:line="360" w:lineRule="auto"/>
              <w:jc w:val="center"/>
              <w:rPr>
                <w:rFonts w:hint="eastAsia" w:ascii="仿宋" w:hAnsi="仿宋" w:eastAsia="仿宋" w:cs="仿宋"/>
                <w:color w:val="auto"/>
                <w:sz w:val="24"/>
                <w:highlight w:val="none"/>
              </w:rPr>
            </w:pPr>
          </w:p>
        </w:tc>
        <w:tc>
          <w:tcPr>
            <w:tcW w:w="2177" w:type="dxa"/>
            <w:noWrap w:val="0"/>
            <w:vAlign w:val="center"/>
          </w:tcPr>
          <w:p>
            <w:pPr>
              <w:spacing w:line="360" w:lineRule="auto"/>
              <w:jc w:val="center"/>
              <w:rPr>
                <w:rFonts w:hint="eastAsia" w:ascii="仿宋" w:hAnsi="仿宋" w:eastAsia="仿宋" w:cs="仿宋"/>
                <w:color w:val="auto"/>
                <w:sz w:val="24"/>
                <w:highlight w:val="none"/>
              </w:rPr>
            </w:pPr>
          </w:p>
        </w:tc>
        <w:tc>
          <w:tcPr>
            <w:tcW w:w="2215" w:type="dxa"/>
            <w:noWrap w:val="0"/>
            <w:vAlign w:val="center"/>
          </w:tcPr>
          <w:p>
            <w:pPr>
              <w:spacing w:line="360" w:lineRule="auto"/>
              <w:jc w:val="center"/>
              <w:rPr>
                <w:rFonts w:hint="eastAsia" w:ascii="仿宋" w:hAnsi="仿宋" w:eastAsia="仿宋" w:cs="仿宋"/>
                <w:color w:val="auto"/>
                <w:sz w:val="24"/>
                <w:highlight w:val="none"/>
              </w:rPr>
            </w:pPr>
          </w:p>
        </w:tc>
        <w:tc>
          <w:tcPr>
            <w:tcW w:w="1706" w:type="dxa"/>
            <w:noWrap w:val="0"/>
            <w:vAlign w:val="center"/>
          </w:tcPr>
          <w:p>
            <w:pPr>
              <w:spacing w:line="360" w:lineRule="auto"/>
              <w:jc w:val="center"/>
              <w:rPr>
                <w:rFonts w:hint="eastAsia" w:ascii="仿宋" w:hAnsi="仿宋" w:eastAsia="仿宋" w:cs="仿宋"/>
                <w:color w:val="auto"/>
                <w:sz w:val="24"/>
                <w:highlight w:val="none"/>
              </w:rPr>
            </w:pPr>
          </w:p>
        </w:tc>
      </w:tr>
    </w:tbl>
    <w:p>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：1、应与</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要求的实质性条款对应填写，如投标企业填写无偏离或此表空白，则视为完全响应</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2、本表如填写不完，可以续页。</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投标单位（公章）：</w:t>
      </w:r>
    </w:p>
    <w:p>
      <w:pPr>
        <w:spacing w:line="360" w:lineRule="auto"/>
        <w:ind w:firstLine="4080" w:firstLineChars="1700"/>
        <w:rPr>
          <w:rFonts w:hint="eastAsia" w:ascii="仿宋" w:hAnsi="仿宋" w:eastAsia="仿宋" w:cs="仿宋"/>
          <w:color w:val="auto"/>
          <w:sz w:val="24"/>
          <w:highlight w:val="none"/>
        </w:rPr>
      </w:pP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pPr>
        <w:pStyle w:val="19"/>
        <w:tabs>
          <w:tab w:val="left" w:pos="9214"/>
        </w:tabs>
        <w:rPr>
          <w:rFonts w:hint="eastAsia" w:ascii="仿宋" w:hAnsi="仿宋" w:eastAsia="仿宋" w:cs="仿宋"/>
          <w:color w:val="auto"/>
          <w:highlight w:val="none"/>
        </w:rPr>
      </w:pPr>
    </w:p>
    <w:p>
      <w:pPr>
        <w:pStyle w:val="143"/>
        <w:spacing w:line="240" w:lineRule="auto"/>
        <w:jc w:val="both"/>
        <w:rPr>
          <w:rFonts w:hint="eastAsia" w:ascii="仿宋" w:hAnsi="仿宋" w:eastAsia="仿宋" w:cs="仿宋"/>
          <w:color w:val="auto"/>
          <w:kern w:val="2"/>
          <w:sz w:val="32"/>
          <w:szCs w:val="28"/>
          <w:highlight w:val="none"/>
        </w:rPr>
      </w:pPr>
    </w:p>
    <w:p>
      <w:pPr>
        <w:pStyle w:val="25"/>
        <w:adjustRightInd w:val="0"/>
        <w:jc w:val="center"/>
        <w:textAlignment w:val="baseline"/>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八、</w:t>
      </w:r>
      <w:r>
        <w:rPr>
          <w:rFonts w:hint="eastAsia" w:ascii="仿宋" w:hAnsi="仿宋" w:eastAsia="仿宋" w:cs="仿宋"/>
          <w:b/>
          <w:color w:val="auto"/>
          <w:sz w:val="28"/>
          <w:szCs w:val="28"/>
          <w:highlight w:val="none"/>
        </w:rPr>
        <w:t>项目实施人员一览表</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9"/>
        <w:gridCol w:w="1354"/>
        <w:gridCol w:w="923"/>
        <w:gridCol w:w="936"/>
        <w:gridCol w:w="1144"/>
        <w:gridCol w:w="1144"/>
        <w:gridCol w:w="984"/>
        <w:gridCol w:w="17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项目组所任职务</w:t>
            </w: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姓名</w:t>
            </w:r>
          </w:p>
        </w:tc>
        <w:tc>
          <w:tcPr>
            <w:tcW w:w="9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 历</w:t>
            </w:r>
          </w:p>
        </w:tc>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从事本工作时间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8"/>
              <w:jc w:val="center"/>
              <w:rPr>
                <w:rFonts w:hint="eastAsia" w:ascii="仿宋" w:hAnsi="仿宋" w:eastAsia="仿宋" w:cs="仿宋"/>
                <w:color w:val="auto"/>
                <w:sz w:val="24"/>
                <w:szCs w:val="24"/>
                <w:highlight w:val="none"/>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8"/>
              <w:jc w:val="center"/>
              <w:rPr>
                <w:rFonts w:hint="eastAsia" w:ascii="仿宋" w:hAnsi="仿宋" w:eastAsia="仿宋" w:cs="仿宋"/>
                <w:color w:val="auto"/>
                <w:sz w:val="24"/>
                <w:szCs w:val="24"/>
                <w:highlight w:val="none"/>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8"/>
              <w:jc w:val="center"/>
              <w:rPr>
                <w:rFonts w:hint="eastAsia" w:ascii="仿宋" w:hAnsi="仿宋" w:eastAsia="仿宋" w:cs="仿宋"/>
                <w:color w:val="auto"/>
                <w:sz w:val="24"/>
                <w:szCs w:val="24"/>
                <w:highlight w:val="none"/>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8"/>
              <w:jc w:val="center"/>
              <w:rPr>
                <w:rFonts w:hint="eastAsia" w:ascii="仿宋" w:hAnsi="仿宋" w:eastAsia="仿宋" w:cs="仿宋"/>
                <w:color w:val="auto"/>
                <w:sz w:val="24"/>
                <w:szCs w:val="24"/>
                <w:highlight w:val="none"/>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8"/>
              <w:jc w:val="center"/>
              <w:rPr>
                <w:rFonts w:hint="eastAsia" w:ascii="仿宋" w:hAnsi="仿宋" w:eastAsia="仿宋" w:cs="仿宋"/>
                <w:color w:val="auto"/>
                <w:sz w:val="24"/>
                <w:szCs w:val="24"/>
                <w:highlight w:val="none"/>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8"/>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4"/>
                <w:szCs w:val="24"/>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bl>
    <w:p>
      <w:pPr>
        <w:ind w:firstLine="422" w:firstLineChars="200"/>
        <w:rPr>
          <w:rFonts w:hint="eastAsia" w:ascii="仿宋" w:hAnsi="仿宋" w:eastAsia="仿宋" w:cs="仿宋"/>
          <w:b/>
          <w:color w:val="auto"/>
          <w:szCs w:val="21"/>
          <w:highlight w:val="none"/>
        </w:rPr>
      </w:pPr>
    </w:p>
    <w:p>
      <w:pPr>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注：1、“项目实施人员”指投标单位针对该项目实施所配备的人员。</w:t>
      </w:r>
    </w:p>
    <w:p>
      <w:pPr>
        <w:ind w:firstLine="843" w:firstLineChars="4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2、后附各专业人员</w:t>
      </w:r>
      <w:r>
        <w:rPr>
          <w:rFonts w:hint="eastAsia" w:ascii="仿宋" w:hAnsi="仿宋" w:eastAsia="仿宋" w:cs="仿宋"/>
          <w:b/>
          <w:color w:val="auto"/>
          <w:highlight w:val="none"/>
        </w:rPr>
        <w:t>相关证明材料</w:t>
      </w:r>
      <w:r>
        <w:rPr>
          <w:rFonts w:hint="eastAsia" w:ascii="仿宋" w:hAnsi="仿宋" w:eastAsia="仿宋" w:cs="仿宋"/>
          <w:b/>
          <w:color w:val="auto"/>
          <w:szCs w:val="21"/>
          <w:highlight w:val="none"/>
        </w:rPr>
        <w:t>复印件；项目负责人须填写简历表。</w:t>
      </w:r>
    </w:p>
    <w:p>
      <w:pPr>
        <w:ind w:firstLine="843" w:firstLineChars="4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3、表格不够填写可添加。如本表格不适合投标人的实际情况，可自行制表填写。</w:t>
      </w:r>
    </w:p>
    <w:p>
      <w:pPr>
        <w:spacing w:line="360" w:lineRule="auto"/>
        <w:ind w:firstLine="562" w:firstLineChars="200"/>
        <w:jc w:val="center"/>
        <w:rPr>
          <w:rFonts w:hint="eastAsia" w:ascii="仿宋" w:hAnsi="仿宋" w:eastAsia="仿宋" w:cs="仿宋"/>
          <w:b/>
          <w:bCs/>
          <w:color w:val="auto"/>
          <w:kern w:val="2"/>
          <w:sz w:val="28"/>
          <w:szCs w:val="32"/>
          <w:highlight w:val="none"/>
          <w:lang w:val="en-US" w:eastAsia="zh-CN" w:bidi="ar-SA"/>
        </w:rPr>
        <w:sectPr>
          <w:headerReference r:id="rId9" w:type="default"/>
          <w:footerReference r:id="rId10"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spacing w:before="156" w:beforeLines="50" w:after="312" w:afterLines="100" w:line="440" w:lineRule="exact"/>
        <w:jc w:val="center"/>
        <w:rPr>
          <w:rFonts w:hint="eastAsia" w:ascii="仿宋" w:hAnsi="仿宋" w:eastAsia="仿宋" w:cs="仿宋"/>
          <w:b/>
          <w:color w:val="auto"/>
          <w:sz w:val="32"/>
          <w:szCs w:val="30"/>
          <w:highlight w:val="none"/>
        </w:rPr>
      </w:pPr>
      <w:r>
        <w:rPr>
          <w:rFonts w:hint="eastAsia" w:ascii="仿宋" w:hAnsi="仿宋" w:eastAsia="仿宋" w:cs="仿宋"/>
          <w:b/>
          <w:color w:val="auto"/>
          <w:sz w:val="32"/>
          <w:szCs w:val="30"/>
          <w:highlight w:val="none"/>
          <w:lang w:val="en-US" w:eastAsia="zh-CN"/>
        </w:rPr>
        <w:t>九、</w:t>
      </w:r>
      <w:r>
        <w:rPr>
          <w:rFonts w:hint="eastAsia" w:ascii="仿宋" w:hAnsi="仿宋" w:eastAsia="仿宋" w:cs="仿宋"/>
          <w:b/>
          <w:color w:val="auto"/>
          <w:sz w:val="32"/>
          <w:szCs w:val="30"/>
          <w:highlight w:val="none"/>
        </w:rPr>
        <w:t>投标人基本情况表</w:t>
      </w:r>
    </w:p>
    <w:tbl>
      <w:tblPr>
        <w:tblStyle w:val="4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53"/>
        <w:gridCol w:w="2063"/>
        <w:gridCol w:w="187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8" w:type="dxa"/>
            <w:vMerge w:val="restart"/>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w:t>
            </w:r>
          </w:p>
          <w:p>
            <w:pPr>
              <w:spacing w:after="60" w:afterLines="25" w:line="360" w:lineRule="exact"/>
              <w:jc w:val="center"/>
              <w:rPr>
                <w:rFonts w:hint="eastAsia" w:ascii="仿宋" w:hAnsi="仿宋" w:eastAsia="仿宋" w:cs="仿宋"/>
                <w:color w:val="auto"/>
                <w:sz w:val="24"/>
                <w:szCs w:val="24"/>
                <w:highlight w:val="none"/>
              </w:rPr>
            </w:pPr>
          </w:p>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pacing w:after="60" w:afterLines="25" w:line="360" w:lineRule="exact"/>
              <w:jc w:val="center"/>
              <w:rPr>
                <w:rFonts w:hint="eastAsia" w:ascii="仿宋" w:hAnsi="仿宋" w:eastAsia="仿宋" w:cs="仿宋"/>
                <w:color w:val="auto"/>
                <w:sz w:val="24"/>
                <w:szCs w:val="24"/>
                <w:highlight w:val="none"/>
              </w:rPr>
            </w:pPr>
          </w:p>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p>
            <w:pPr>
              <w:spacing w:after="60" w:afterLines="25" w:line="360" w:lineRule="exact"/>
              <w:jc w:val="center"/>
              <w:rPr>
                <w:rFonts w:hint="eastAsia" w:ascii="仿宋" w:hAnsi="仿宋" w:eastAsia="仿宋" w:cs="仿宋"/>
                <w:color w:val="auto"/>
                <w:sz w:val="24"/>
                <w:szCs w:val="24"/>
                <w:highlight w:val="none"/>
              </w:rPr>
            </w:pPr>
          </w:p>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概</w:t>
            </w:r>
          </w:p>
          <w:p>
            <w:pPr>
              <w:spacing w:after="60" w:afterLines="25" w:line="360" w:lineRule="exact"/>
              <w:jc w:val="center"/>
              <w:rPr>
                <w:rFonts w:hint="eastAsia" w:ascii="仿宋" w:hAnsi="仿宋" w:eastAsia="仿宋" w:cs="仿宋"/>
                <w:color w:val="auto"/>
                <w:sz w:val="24"/>
                <w:szCs w:val="24"/>
                <w:highlight w:val="none"/>
              </w:rPr>
            </w:pPr>
          </w:p>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况</w:t>
            </w:r>
          </w:p>
        </w:tc>
        <w:tc>
          <w:tcPr>
            <w:tcW w:w="1753"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公司名称</w:t>
            </w:r>
          </w:p>
        </w:tc>
        <w:tc>
          <w:tcPr>
            <w:tcW w:w="6618" w:type="dxa"/>
            <w:gridSpan w:val="3"/>
            <w:noWrap w:val="0"/>
            <w:vAlign w:val="center"/>
          </w:tcPr>
          <w:p>
            <w:pPr>
              <w:spacing w:after="60" w:afterLines="25"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6618" w:type="dxa"/>
            <w:gridSpan w:val="3"/>
            <w:noWrap w:val="0"/>
            <w:vAlign w:val="center"/>
          </w:tcPr>
          <w:p>
            <w:pPr>
              <w:spacing w:after="60" w:afterLines="25"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6618" w:type="dxa"/>
            <w:gridSpan w:val="3"/>
            <w:noWrap w:val="0"/>
            <w:vAlign w:val="center"/>
          </w:tcPr>
          <w:p>
            <w:pPr>
              <w:spacing w:after="60" w:afterLines="25"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经济性质</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技术人员数</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资产总额</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净资产</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工商登记号</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税务登记号</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是否依法纳税</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是否参加社保</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近三年公司</w:t>
            </w:r>
          </w:p>
          <w:p>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业绩、信誉</w:t>
            </w:r>
          </w:p>
        </w:tc>
        <w:tc>
          <w:tcPr>
            <w:tcW w:w="6618" w:type="dxa"/>
            <w:gridSpan w:val="3"/>
            <w:noWrap w:val="0"/>
            <w:vAlign w:val="center"/>
          </w:tcPr>
          <w:p>
            <w:pPr>
              <w:spacing w:after="60" w:afterLines="25"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合同总额：     万元，合同履行情况：</w:t>
            </w:r>
          </w:p>
          <w:p>
            <w:pPr>
              <w:spacing w:after="60" w:afterLines="25" w:line="360" w:lineRule="exact"/>
              <w:jc w:val="center"/>
              <w:rPr>
                <w:rFonts w:hint="eastAsia" w:ascii="仿宋" w:hAnsi="仿宋" w:eastAsia="仿宋" w:cs="仿宋"/>
                <w:color w:val="auto"/>
                <w:sz w:val="24"/>
                <w:szCs w:val="24"/>
                <w:highlight w:val="none"/>
              </w:rPr>
            </w:pPr>
          </w:p>
          <w:p>
            <w:pPr>
              <w:spacing w:after="60" w:afterLines="25" w:line="36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9"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highlight w:val="none"/>
              </w:rPr>
            </w:pPr>
          </w:p>
        </w:tc>
        <w:tc>
          <w:tcPr>
            <w:tcW w:w="8371" w:type="dxa"/>
            <w:gridSpan w:val="4"/>
            <w:noWrap w:val="0"/>
            <w:vAlign w:val="top"/>
          </w:tcPr>
          <w:p>
            <w:pPr>
              <w:spacing w:after="60" w:afterLines="25"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单位优势及特点：</w:t>
            </w:r>
          </w:p>
        </w:tc>
      </w:tr>
    </w:tbl>
    <w:p>
      <w:pPr>
        <w:pStyle w:val="38"/>
        <w:spacing w:before="0" w:beforeAutospacing="0" w:after="0" w:afterAutospacing="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说明：本表后应附有</w:t>
      </w:r>
      <w:r>
        <w:rPr>
          <w:rFonts w:hint="eastAsia" w:ascii="仿宋" w:hAnsi="仿宋" w:eastAsia="仿宋" w:cs="仿宋"/>
          <w:snapToGrid w:val="0"/>
          <w:color w:val="auto"/>
          <w:highlight w:val="none"/>
          <w:lang w:val="en-US" w:eastAsia="zh-CN"/>
        </w:rPr>
        <w:t>供应商营业执照、</w:t>
      </w:r>
      <w:r>
        <w:rPr>
          <w:rFonts w:hint="eastAsia" w:ascii="仿宋" w:hAnsi="仿宋" w:eastAsia="仿宋" w:cs="仿宋"/>
          <w:snapToGrid w:val="0"/>
          <w:color w:val="auto"/>
          <w:highlight w:val="none"/>
        </w:rPr>
        <w:t>单位简介。</w:t>
      </w:r>
    </w:p>
    <w:p>
      <w:pPr>
        <w:snapToGrid w:val="0"/>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投标单位名称（单位公章）：                         </w:t>
      </w:r>
    </w:p>
    <w:p>
      <w:pPr>
        <w:spacing w:line="360" w:lineRule="auto"/>
        <w:ind w:firstLine="480"/>
        <w:rPr>
          <w:rFonts w:hint="eastAsia" w:ascii="仿宋" w:hAnsi="仿宋" w:eastAsia="仿宋" w:cs="仿宋"/>
          <w:color w:val="auto"/>
          <w:sz w:val="24"/>
          <w:highlight w:val="none"/>
        </w:rPr>
      </w:pP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法定代表人或其授权委托人（签字或盖章）：</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pacing w:line="440" w:lineRule="exact"/>
        <w:ind w:firstLine="562" w:firstLineChars="200"/>
        <w:rPr>
          <w:rFonts w:hint="eastAsia" w:ascii="仿宋" w:hAnsi="仿宋" w:eastAsia="仿宋" w:cs="仿宋"/>
          <w:b/>
          <w:bCs/>
          <w:color w:val="auto"/>
          <w:kern w:val="2"/>
          <w:sz w:val="28"/>
          <w:szCs w:val="32"/>
          <w:highlight w:val="none"/>
          <w:lang w:val="en-US" w:eastAsia="zh-CN" w:bidi="ar-SA"/>
        </w:rPr>
      </w:pPr>
    </w:p>
    <w:p>
      <w:pPr>
        <w:spacing w:line="360" w:lineRule="auto"/>
        <w:rPr>
          <w:rFonts w:hint="eastAsia" w:ascii="仿宋" w:hAnsi="仿宋" w:eastAsia="仿宋" w:cs="仿宋"/>
          <w:color w:val="auto"/>
          <w:sz w:val="24"/>
          <w:highlight w:val="none"/>
        </w:rPr>
      </w:pPr>
    </w:p>
    <w:p>
      <w:pPr>
        <w:spacing w:line="360" w:lineRule="auto"/>
        <w:ind w:firstLine="562" w:firstLineChars="200"/>
        <w:jc w:val="center"/>
        <w:rPr>
          <w:rFonts w:hint="eastAsia" w:ascii="仿宋" w:hAnsi="仿宋" w:eastAsia="仿宋" w:cs="仿宋"/>
          <w:b/>
          <w:bCs/>
          <w:color w:val="auto"/>
          <w:kern w:val="2"/>
          <w:sz w:val="28"/>
          <w:szCs w:val="32"/>
          <w:highlight w:val="none"/>
          <w:lang w:val="en-US" w:eastAsia="zh-CN" w:bidi="ar-SA"/>
        </w:rPr>
        <w:sectPr>
          <w:headerReference r:id="rId11" w:type="default"/>
          <w:footerReference r:id="rId12"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pStyle w:val="59"/>
        <w:numPr>
          <w:ilvl w:val="0"/>
          <w:numId w:val="0"/>
        </w:numPr>
        <w:tabs>
          <w:tab w:val="left" w:pos="540"/>
          <w:tab w:val="left" w:pos="1080"/>
        </w:tabs>
        <w:jc w:val="center"/>
        <w:rPr>
          <w:rFonts w:hint="eastAsia" w:ascii="仿宋" w:hAnsi="仿宋" w:eastAsia="仿宋" w:cs="仿宋"/>
          <w:b/>
          <w:color w:val="auto"/>
          <w:kern w:val="2"/>
          <w:sz w:val="30"/>
          <w:szCs w:val="30"/>
          <w:highlight w:val="none"/>
          <w:lang w:val="en-US" w:eastAsia="zh-CN" w:bidi="ar-SA"/>
        </w:rPr>
      </w:pPr>
      <w:r>
        <w:rPr>
          <w:rFonts w:hint="eastAsia" w:ascii="仿宋" w:hAnsi="仿宋" w:eastAsia="仿宋" w:cs="仿宋"/>
          <w:b/>
          <w:color w:val="auto"/>
          <w:kern w:val="2"/>
          <w:sz w:val="30"/>
          <w:szCs w:val="30"/>
          <w:highlight w:val="none"/>
          <w:lang w:val="en-US" w:eastAsia="zh-CN" w:bidi="ar-SA"/>
        </w:rPr>
        <w:t>十、质量保证书</w:t>
      </w:r>
    </w:p>
    <w:p>
      <w:pPr>
        <w:pStyle w:val="59"/>
        <w:numPr>
          <w:ilvl w:val="0"/>
          <w:numId w:val="0"/>
        </w:numPr>
        <w:tabs>
          <w:tab w:val="left" w:pos="540"/>
          <w:tab w:val="left" w:pos="1080"/>
        </w:tabs>
        <w:jc w:val="both"/>
        <w:rPr>
          <w:rFonts w:hint="eastAsia" w:ascii="仿宋" w:hAnsi="仿宋" w:eastAsia="仿宋" w:cs="仿宋"/>
          <w:b/>
          <w:bCs/>
          <w:color w:val="auto"/>
          <w:sz w:val="28"/>
          <w:szCs w:val="28"/>
          <w:highlight w:val="none"/>
        </w:rPr>
      </w:pPr>
    </w:p>
    <w:p>
      <w:pPr>
        <w:pStyle w:val="59"/>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要求：</w:t>
      </w:r>
    </w:p>
    <w:p>
      <w:pPr>
        <w:pStyle w:val="59"/>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1、未发生产品质量事故和用户使用的事故;</w:t>
      </w:r>
    </w:p>
    <w:p>
      <w:pPr>
        <w:pStyle w:val="59"/>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2、保证产品各项指数符合谈判文件要求，不发生质量问题等。</w:t>
      </w:r>
    </w:p>
    <w:p>
      <w:pPr>
        <w:pStyle w:val="59"/>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p>
    <w:p>
      <w:pPr>
        <w:numPr>
          <w:ilvl w:val="0"/>
          <w:numId w:val="0"/>
        </w:numPr>
        <w:adjustRightInd w:val="0"/>
        <w:spacing w:line="360" w:lineRule="auto"/>
        <w:ind w:leftChars="0"/>
        <w:jc w:val="center"/>
        <w:rPr>
          <w:rFonts w:hint="eastAsia" w:ascii="仿宋" w:hAnsi="仿宋" w:eastAsia="仿宋" w:cs="仿宋"/>
          <w:b/>
          <w:color w:val="auto"/>
          <w:sz w:val="30"/>
          <w:szCs w:val="30"/>
          <w:highlight w:val="none"/>
          <w:lang w:val="en-US" w:eastAsia="zh-CN"/>
        </w:rPr>
      </w:pPr>
    </w:p>
    <w:p>
      <w:pPr>
        <w:pStyle w:val="2"/>
        <w:rPr>
          <w:rFonts w:hint="eastAsia" w:ascii="仿宋" w:hAnsi="仿宋" w:eastAsia="仿宋" w:cs="仿宋"/>
          <w:b/>
          <w:color w:val="auto"/>
          <w:sz w:val="30"/>
          <w:szCs w:val="30"/>
          <w:highlight w:val="none"/>
          <w:lang w:val="en-US" w:eastAsia="zh-CN"/>
        </w:rPr>
      </w:pPr>
    </w:p>
    <w:p>
      <w:pPr>
        <w:rPr>
          <w:rFonts w:hint="eastAsia" w:ascii="仿宋" w:hAnsi="仿宋" w:eastAsia="仿宋" w:cs="仿宋"/>
          <w:b/>
          <w:color w:val="auto"/>
          <w:sz w:val="30"/>
          <w:szCs w:val="30"/>
          <w:highlight w:val="none"/>
          <w:lang w:val="en-US" w:eastAsia="zh-CN"/>
        </w:rPr>
      </w:pPr>
    </w:p>
    <w:p>
      <w:pPr>
        <w:pStyle w:val="2"/>
        <w:rPr>
          <w:rFonts w:hint="eastAsia" w:ascii="仿宋" w:hAnsi="仿宋" w:eastAsia="仿宋" w:cs="仿宋"/>
          <w:b/>
          <w:color w:val="auto"/>
          <w:sz w:val="30"/>
          <w:szCs w:val="30"/>
          <w:highlight w:val="none"/>
          <w:lang w:val="en-US" w:eastAsia="zh-CN"/>
        </w:rPr>
      </w:pPr>
    </w:p>
    <w:p>
      <w:pPr>
        <w:rPr>
          <w:rFonts w:hint="eastAsia" w:ascii="仿宋" w:hAnsi="仿宋" w:eastAsia="仿宋" w:cs="仿宋"/>
          <w:b/>
          <w:color w:val="auto"/>
          <w:sz w:val="30"/>
          <w:szCs w:val="30"/>
          <w:highlight w:val="none"/>
          <w:lang w:val="en-US" w:eastAsia="zh-CN"/>
        </w:rPr>
      </w:pPr>
    </w:p>
    <w:p>
      <w:pPr>
        <w:pStyle w:val="2"/>
        <w:rPr>
          <w:rFonts w:hint="eastAsia" w:ascii="仿宋" w:hAnsi="仿宋" w:eastAsia="仿宋" w:cs="仿宋"/>
          <w:b/>
          <w:color w:val="auto"/>
          <w:sz w:val="30"/>
          <w:szCs w:val="30"/>
          <w:highlight w:val="none"/>
          <w:lang w:val="en-US" w:eastAsia="zh-CN"/>
        </w:rPr>
      </w:pPr>
    </w:p>
    <w:p>
      <w:pPr>
        <w:rPr>
          <w:rFonts w:hint="eastAsia" w:ascii="仿宋" w:hAnsi="仿宋" w:eastAsia="仿宋" w:cs="仿宋"/>
          <w:b/>
          <w:color w:val="auto"/>
          <w:sz w:val="30"/>
          <w:szCs w:val="30"/>
          <w:highlight w:val="none"/>
          <w:lang w:val="en-US" w:eastAsia="zh-CN"/>
        </w:rPr>
      </w:pPr>
    </w:p>
    <w:p>
      <w:pPr>
        <w:pStyle w:val="2"/>
        <w:rPr>
          <w:rFonts w:hint="eastAsia" w:ascii="仿宋" w:hAnsi="仿宋" w:eastAsia="仿宋" w:cs="仿宋"/>
          <w:b/>
          <w:color w:val="auto"/>
          <w:sz w:val="30"/>
          <w:szCs w:val="30"/>
          <w:highlight w:val="none"/>
          <w:lang w:val="en-US" w:eastAsia="zh-CN"/>
        </w:rPr>
      </w:pPr>
    </w:p>
    <w:p>
      <w:pPr>
        <w:rPr>
          <w:rFonts w:hint="eastAsia" w:ascii="仿宋" w:hAnsi="仿宋" w:eastAsia="仿宋" w:cs="仿宋"/>
          <w:b/>
          <w:color w:val="auto"/>
          <w:sz w:val="30"/>
          <w:szCs w:val="30"/>
          <w:highlight w:val="none"/>
          <w:lang w:val="en-US" w:eastAsia="zh-CN"/>
        </w:rPr>
      </w:pPr>
    </w:p>
    <w:p>
      <w:pPr>
        <w:pStyle w:val="2"/>
        <w:rPr>
          <w:rFonts w:hint="eastAsia"/>
          <w:highlight w:val="none"/>
          <w:lang w:val="en-US" w:eastAsia="zh-CN"/>
        </w:rPr>
      </w:pPr>
    </w:p>
    <w:p>
      <w:pPr>
        <w:rPr>
          <w:rFonts w:hint="eastAsia" w:ascii="仿宋" w:hAnsi="仿宋" w:eastAsia="仿宋" w:cs="仿宋"/>
          <w:b/>
          <w:color w:val="auto"/>
          <w:sz w:val="30"/>
          <w:szCs w:val="30"/>
          <w:highlight w:val="none"/>
          <w:lang w:val="en-US" w:eastAsia="zh-CN"/>
        </w:rPr>
      </w:pPr>
    </w:p>
    <w:p>
      <w:pPr>
        <w:pStyle w:val="2"/>
        <w:rPr>
          <w:rFonts w:hint="eastAsia" w:ascii="仿宋" w:hAnsi="仿宋" w:eastAsia="仿宋" w:cs="仿宋"/>
          <w:b/>
          <w:color w:val="auto"/>
          <w:sz w:val="30"/>
          <w:szCs w:val="30"/>
          <w:highlight w:val="none"/>
          <w:lang w:val="en-US" w:eastAsia="zh-CN"/>
        </w:rPr>
      </w:pPr>
    </w:p>
    <w:p>
      <w:pPr>
        <w:rPr>
          <w:rFonts w:hint="eastAsia" w:ascii="仿宋" w:hAnsi="仿宋" w:eastAsia="仿宋" w:cs="仿宋"/>
          <w:b/>
          <w:color w:val="auto"/>
          <w:sz w:val="30"/>
          <w:szCs w:val="30"/>
          <w:highlight w:val="none"/>
          <w:lang w:val="en-US" w:eastAsia="zh-CN"/>
        </w:rPr>
      </w:pPr>
    </w:p>
    <w:p>
      <w:pPr>
        <w:pStyle w:val="2"/>
        <w:rPr>
          <w:rFonts w:hint="eastAsia"/>
          <w:highlight w:val="none"/>
          <w:lang w:val="en-US" w:eastAsia="zh-CN"/>
        </w:rPr>
      </w:pPr>
    </w:p>
    <w:p>
      <w:pPr>
        <w:numPr>
          <w:ilvl w:val="0"/>
          <w:numId w:val="0"/>
        </w:numPr>
        <w:adjustRightInd w:val="0"/>
        <w:spacing w:line="360" w:lineRule="auto"/>
        <w:ind w:leftChars="0"/>
        <w:jc w:val="center"/>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十一、投标人应急预案和处置方案</w:t>
      </w:r>
    </w:p>
    <w:p>
      <w:pPr>
        <w:pStyle w:val="21"/>
        <w:widowControl w:val="0"/>
        <w:numPr>
          <w:ilvl w:val="0"/>
          <w:numId w:val="0"/>
        </w:numPr>
        <w:autoSpaceDE w:val="0"/>
        <w:autoSpaceDN w:val="0"/>
        <w:adjustRightInd w:val="0"/>
        <w:rPr>
          <w:rFonts w:hint="eastAsia" w:ascii="仿宋" w:hAnsi="仿宋" w:eastAsia="仿宋" w:cs="仿宋"/>
          <w:color w:val="auto"/>
          <w:highlight w:val="none"/>
          <w:lang w:val="en-US" w:eastAsia="zh-CN"/>
        </w:rPr>
      </w:pPr>
    </w:p>
    <w:p>
      <w:pPr>
        <w:pStyle w:val="21"/>
        <w:widowControl w:val="0"/>
        <w:numPr>
          <w:ilvl w:val="0"/>
          <w:numId w:val="0"/>
        </w:numPr>
        <w:autoSpaceDE w:val="0"/>
        <w:autoSpaceDN w:val="0"/>
        <w:adjustRightInd w:val="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格式自拟</w:t>
      </w:r>
    </w:p>
    <w:p>
      <w:pPr>
        <w:spacing w:line="360" w:lineRule="auto"/>
        <w:jc w:val="center"/>
        <w:rPr>
          <w:rFonts w:hint="eastAsia" w:ascii="仿宋" w:hAnsi="仿宋" w:eastAsia="仿宋" w:cs="仿宋"/>
          <w:color w:val="auto"/>
          <w:sz w:val="24"/>
          <w:highlight w:val="none"/>
        </w:rPr>
      </w:pPr>
    </w:p>
    <w:p>
      <w:pPr>
        <w:spacing w:line="360" w:lineRule="auto"/>
        <w:ind w:firstLine="3840" w:firstLineChars="1600"/>
        <w:jc w:val="both"/>
        <w:rPr>
          <w:rFonts w:hint="eastAsia" w:ascii="仿宋" w:hAnsi="仿宋" w:eastAsia="仿宋" w:cs="仿宋"/>
          <w:color w:val="auto"/>
          <w:sz w:val="24"/>
          <w:highlight w:val="none"/>
        </w:rPr>
      </w:pPr>
    </w:p>
    <w:p>
      <w:pPr>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投标单位（公章）：</w:t>
      </w:r>
    </w:p>
    <w:p>
      <w:pPr>
        <w:spacing w:line="360" w:lineRule="auto"/>
        <w:ind w:firstLine="4080" w:firstLineChars="1700"/>
        <w:jc w:val="right"/>
        <w:rPr>
          <w:rFonts w:hint="eastAsia" w:ascii="仿宋" w:hAnsi="仿宋" w:eastAsia="仿宋" w:cs="仿宋"/>
          <w:color w:val="auto"/>
          <w:sz w:val="24"/>
          <w:highlight w:val="none"/>
        </w:rPr>
      </w:pPr>
    </w:p>
    <w:p>
      <w:pPr>
        <w:spacing w:line="440" w:lineRule="exact"/>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pPr>
        <w:spacing w:line="360" w:lineRule="auto"/>
        <w:jc w:val="right"/>
        <w:rPr>
          <w:rFonts w:hint="eastAsia" w:ascii="仿宋" w:hAnsi="仿宋" w:eastAsia="仿宋" w:cs="仿宋"/>
          <w:color w:val="auto"/>
          <w:sz w:val="24"/>
          <w:highlight w:val="none"/>
        </w:rPr>
      </w:pPr>
    </w:p>
    <w:p>
      <w:pPr>
        <w:spacing w:line="360" w:lineRule="auto"/>
        <w:ind w:firstLine="480" w:firstLineChars="200"/>
        <w:jc w:val="right"/>
        <w:rPr>
          <w:rFonts w:hint="eastAsia" w:ascii="仿宋" w:hAnsi="仿宋" w:eastAsia="仿宋" w:cs="仿宋"/>
          <w:color w:val="auto"/>
          <w:kern w:val="0"/>
          <w:sz w:val="28"/>
          <w:highlight w:val="none"/>
        </w:rPr>
      </w:pPr>
      <w:r>
        <w:rPr>
          <w:rFonts w:hint="eastAsia" w:ascii="仿宋" w:hAnsi="仿宋" w:eastAsia="仿宋" w:cs="仿宋"/>
          <w:color w:val="auto"/>
          <w:sz w:val="24"/>
          <w:highlight w:val="none"/>
        </w:rPr>
        <w:t>年   月   日</w:t>
      </w:r>
    </w:p>
    <w:p>
      <w:pPr>
        <w:pStyle w:val="21"/>
        <w:widowControl w:val="0"/>
        <w:numPr>
          <w:ilvl w:val="0"/>
          <w:numId w:val="0"/>
        </w:numPr>
        <w:autoSpaceDE w:val="0"/>
        <w:autoSpaceDN w:val="0"/>
        <w:adjustRightInd w:val="0"/>
        <w:jc w:val="right"/>
        <w:rPr>
          <w:rFonts w:hint="eastAsia" w:ascii="仿宋" w:hAnsi="仿宋" w:eastAsia="仿宋" w:cs="仿宋"/>
          <w:color w:val="auto"/>
          <w:highlight w:val="none"/>
          <w:lang w:val="en-US" w:eastAsia="zh-CN"/>
        </w:rPr>
      </w:pPr>
    </w:p>
    <w:p>
      <w:pPr>
        <w:numPr>
          <w:ilvl w:val="0"/>
          <w:numId w:val="0"/>
        </w:numPr>
        <w:adjustRightInd w:val="0"/>
        <w:spacing w:line="360" w:lineRule="auto"/>
        <w:jc w:val="center"/>
        <w:rPr>
          <w:rFonts w:hint="eastAsia" w:ascii="仿宋" w:hAnsi="仿宋" w:eastAsia="仿宋" w:cs="仿宋"/>
          <w:b/>
          <w:color w:val="auto"/>
          <w:sz w:val="30"/>
          <w:szCs w:val="30"/>
          <w:highlight w:val="none"/>
          <w:lang w:val="en-US" w:eastAsia="zh-CN"/>
        </w:rPr>
      </w:pPr>
    </w:p>
    <w:p>
      <w:pPr>
        <w:numPr>
          <w:ilvl w:val="0"/>
          <w:numId w:val="0"/>
        </w:numPr>
        <w:adjustRightInd w:val="0"/>
        <w:spacing w:line="360" w:lineRule="auto"/>
        <w:jc w:val="center"/>
        <w:rPr>
          <w:rFonts w:hint="eastAsia" w:ascii="仿宋" w:hAnsi="仿宋" w:eastAsia="仿宋" w:cs="仿宋"/>
          <w:b/>
          <w:color w:val="auto"/>
          <w:sz w:val="30"/>
          <w:szCs w:val="30"/>
          <w:highlight w:val="none"/>
          <w:lang w:val="en-US" w:eastAsia="zh-CN"/>
        </w:rPr>
      </w:pPr>
    </w:p>
    <w:p>
      <w:pPr>
        <w:numPr>
          <w:ilvl w:val="0"/>
          <w:numId w:val="0"/>
        </w:numPr>
        <w:adjustRightInd w:val="0"/>
        <w:spacing w:line="360" w:lineRule="auto"/>
        <w:jc w:val="center"/>
        <w:rPr>
          <w:rFonts w:hint="eastAsia" w:ascii="仿宋" w:hAnsi="仿宋" w:eastAsia="仿宋" w:cs="仿宋"/>
          <w:b/>
          <w:color w:val="auto"/>
          <w:sz w:val="30"/>
          <w:szCs w:val="30"/>
          <w:highlight w:val="none"/>
          <w:lang w:val="en-US" w:eastAsia="zh-CN"/>
        </w:rPr>
      </w:pPr>
    </w:p>
    <w:p>
      <w:pPr>
        <w:pStyle w:val="2"/>
        <w:outlineLvl w:val="9"/>
        <w:rPr>
          <w:rFonts w:hint="eastAsia" w:ascii="仿宋" w:hAnsi="仿宋" w:eastAsia="仿宋" w:cs="仿宋"/>
          <w:b/>
          <w:color w:val="auto"/>
          <w:sz w:val="30"/>
          <w:szCs w:val="30"/>
          <w:highlight w:val="none"/>
          <w:lang w:val="en-US" w:eastAsia="zh-CN"/>
        </w:rPr>
      </w:pPr>
    </w:p>
    <w:p>
      <w:pPr>
        <w:rPr>
          <w:rFonts w:hint="eastAsia" w:ascii="仿宋" w:hAnsi="仿宋" w:eastAsia="仿宋" w:cs="仿宋"/>
          <w:b/>
          <w:color w:val="auto"/>
          <w:sz w:val="30"/>
          <w:szCs w:val="30"/>
          <w:highlight w:val="none"/>
          <w:lang w:val="en-US" w:eastAsia="zh-CN"/>
        </w:rPr>
      </w:pPr>
    </w:p>
    <w:p>
      <w:pPr>
        <w:pStyle w:val="2"/>
        <w:outlineLvl w:val="9"/>
        <w:rPr>
          <w:rFonts w:hint="eastAsia" w:ascii="仿宋" w:hAnsi="仿宋" w:eastAsia="仿宋" w:cs="仿宋"/>
          <w:b/>
          <w:color w:val="auto"/>
          <w:sz w:val="30"/>
          <w:szCs w:val="30"/>
          <w:highlight w:val="none"/>
          <w:lang w:val="en-US" w:eastAsia="zh-CN"/>
        </w:rPr>
      </w:pPr>
    </w:p>
    <w:p>
      <w:pPr>
        <w:rPr>
          <w:rFonts w:hint="eastAsia" w:ascii="仿宋" w:hAnsi="仿宋" w:eastAsia="仿宋" w:cs="仿宋"/>
          <w:b/>
          <w:color w:val="auto"/>
          <w:sz w:val="30"/>
          <w:szCs w:val="30"/>
          <w:highlight w:val="none"/>
          <w:lang w:val="en-US" w:eastAsia="zh-CN"/>
        </w:rPr>
      </w:pPr>
    </w:p>
    <w:p>
      <w:pPr>
        <w:pStyle w:val="2"/>
        <w:rPr>
          <w:rFonts w:hint="eastAsia" w:ascii="仿宋" w:hAnsi="仿宋" w:eastAsia="仿宋" w:cs="仿宋"/>
          <w:b/>
          <w:color w:val="auto"/>
          <w:sz w:val="30"/>
          <w:szCs w:val="30"/>
          <w:highlight w:val="none"/>
          <w:lang w:val="en-US" w:eastAsia="zh-CN"/>
        </w:rPr>
      </w:pPr>
    </w:p>
    <w:p>
      <w:pPr>
        <w:rPr>
          <w:rFonts w:hint="eastAsia" w:ascii="仿宋" w:hAnsi="仿宋" w:eastAsia="仿宋" w:cs="仿宋"/>
          <w:b/>
          <w:color w:val="auto"/>
          <w:sz w:val="30"/>
          <w:szCs w:val="30"/>
          <w:highlight w:val="none"/>
          <w:lang w:val="en-US" w:eastAsia="zh-CN"/>
        </w:rPr>
      </w:pPr>
    </w:p>
    <w:p>
      <w:pPr>
        <w:pStyle w:val="2"/>
        <w:rPr>
          <w:rFonts w:hint="eastAsia"/>
          <w:highlight w:val="none"/>
          <w:lang w:val="en-US" w:eastAsia="zh-CN"/>
        </w:rPr>
      </w:pPr>
    </w:p>
    <w:p>
      <w:pPr>
        <w:pStyle w:val="13"/>
        <w:overflowPunct w:val="0"/>
        <w:ind w:left="0" w:leftChars="0" w:firstLine="0" w:firstLineChars="0"/>
        <w:jc w:val="both"/>
        <w:rPr>
          <w:rFonts w:hint="eastAsia" w:ascii="仿宋" w:hAnsi="仿宋" w:eastAsia="仿宋" w:cs="仿宋"/>
          <w:b/>
          <w:color w:val="auto"/>
          <w:kern w:val="2"/>
          <w:sz w:val="30"/>
          <w:szCs w:val="30"/>
          <w:highlight w:val="none"/>
          <w:lang w:val="en-US" w:eastAsia="zh-CN" w:bidi="ar-SA"/>
        </w:rPr>
      </w:pPr>
    </w:p>
    <w:p>
      <w:pPr>
        <w:pStyle w:val="13"/>
        <w:overflowPunct w:val="0"/>
        <w:ind w:firstLine="0"/>
        <w:jc w:val="center"/>
        <w:rPr>
          <w:rFonts w:hint="eastAsia" w:ascii="仿宋" w:hAnsi="仿宋" w:eastAsia="仿宋" w:cs="仿宋"/>
          <w:b/>
          <w:color w:val="auto"/>
          <w:kern w:val="2"/>
          <w:sz w:val="30"/>
          <w:szCs w:val="30"/>
          <w:highlight w:val="none"/>
          <w:lang w:val="en-US" w:eastAsia="zh-CN" w:bidi="ar-SA"/>
        </w:rPr>
      </w:pPr>
      <w:r>
        <w:rPr>
          <w:rFonts w:hint="eastAsia" w:ascii="仿宋" w:hAnsi="仿宋" w:eastAsia="仿宋" w:cs="仿宋"/>
          <w:b/>
          <w:color w:val="auto"/>
          <w:kern w:val="2"/>
          <w:sz w:val="30"/>
          <w:szCs w:val="30"/>
          <w:highlight w:val="none"/>
          <w:lang w:val="en-US" w:eastAsia="zh-CN" w:bidi="ar-SA"/>
        </w:rPr>
        <w:t>十二、服务承诺书</w:t>
      </w:r>
    </w:p>
    <w:p>
      <w:pPr>
        <w:rPr>
          <w:rFonts w:hint="eastAsia" w:ascii="仿宋" w:hAnsi="仿宋" w:eastAsia="仿宋" w:cs="仿宋"/>
          <w:color w:val="auto"/>
          <w:highlight w:val="none"/>
        </w:rPr>
      </w:pPr>
    </w:p>
    <w:p>
      <w:pPr>
        <w:pStyle w:val="21"/>
        <w:widowControl w:val="0"/>
        <w:numPr>
          <w:ilvl w:val="0"/>
          <w:numId w:val="0"/>
        </w:numPr>
        <w:autoSpaceDE w:val="0"/>
        <w:autoSpaceDN w:val="0"/>
        <w:adjustRightInd w:val="0"/>
        <w:ind w:firstLine="4176" w:firstLineChars="1300"/>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格式自拟</w:t>
      </w:r>
    </w:p>
    <w:p>
      <w:pPr>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ind w:firstLine="3840" w:firstLineChars="16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投标单位（公章）：</w:t>
      </w:r>
    </w:p>
    <w:p>
      <w:pPr>
        <w:spacing w:line="360" w:lineRule="auto"/>
        <w:ind w:firstLine="4080" w:firstLineChars="1700"/>
        <w:jc w:val="right"/>
        <w:rPr>
          <w:rFonts w:hint="eastAsia" w:ascii="仿宋" w:hAnsi="仿宋" w:eastAsia="仿宋" w:cs="仿宋"/>
          <w:color w:val="auto"/>
          <w:sz w:val="24"/>
          <w:highlight w:val="none"/>
        </w:rPr>
      </w:pPr>
    </w:p>
    <w:p>
      <w:pPr>
        <w:spacing w:line="44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pPr>
        <w:spacing w:line="360" w:lineRule="auto"/>
        <w:ind w:firstLine="4080" w:firstLineChars="17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pPr>
        <w:pStyle w:val="19"/>
        <w:tabs>
          <w:tab w:val="left" w:pos="9214"/>
        </w:tabs>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2"/>
        <w:numPr>
          <w:ilvl w:val="0"/>
          <w:numId w:val="0"/>
        </w:numPr>
        <w:rPr>
          <w:rFonts w:hint="eastAsia"/>
          <w:highlight w:val="none"/>
        </w:rPr>
      </w:pPr>
    </w:p>
    <w:p>
      <w:pPr>
        <w:pStyle w:val="5"/>
        <w:numPr>
          <w:ilvl w:val="3"/>
          <w:numId w:val="0"/>
        </w:numPr>
        <w:rPr>
          <w:rFonts w:hint="eastAsia"/>
          <w:highlight w:val="none"/>
        </w:rPr>
      </w:pPr>
    </w:p>
    <w:p>
      <w:pPr>
        <w:rPr>
          <w:rFonts w:hint="eastAsia" w:ascii="仿宋" w:hAnsi="仿宋" w:eastAsia="仿宋" w:cs="仿宋"/>
          <w:color w:val="auto"/>
          <w:highlight w:val="none"/>
        </w:rPr>
      </w:pPr>
    </w:p>
    <w:p>
      <w:pPr>
        <w:pStyle w:val="2"/>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十三、</w:t>
      </w:r>
      <w:r>
        <w:rPr>
          <w:rFonts w:hint="eastAsia" w:ascii="仿宋" w:hAnsi="仿宋" w:eastAsia="仿宋" w:cs="仿宋"/>
          <w:b/>
          <w:bCs/>
          <w:color w:val="auto"/>
          <w:sz w:val="30"/>
          <w:szCs w:val="30"/>
          <w:highlight w:val="none"/>
        </w:rPr>
        <w:t>符合《政府采购法》第二十二条规定的条件</w:t>
      </w:r>
    </w:p>
    <w:p>
      <w:pPr>
        <w:pStyle w:val="34"/>
        <w:spacing w:before="120" w:line="360" w:lineRule="auto"/>
        <w:jc w:val="both"/>
        <w:outlineLvl w:val="9"/>
        <w:rPr>
          <w:rFonts w:hint="eastAsia" w:ascii="仿宋" w:hAnsi="仿宋" w:eastAsia="仿宋" w:cs="仿宋"/>
          <w:b/>
          <w:bCs/>
          <w:color w:val="auto"/>
          <w:sz w:val="24"/>
          <w:szCs w:val="32"/>
          <w:highlight w:val="none"/>
          <w:lang w:eastAsia="zh-CN"/>
        </w:rPr>
      </w:pPr>
      <w:r>
        <w:rPr>
          <w:rFonts w:hint="eastAsia" w:ascii="仿宋" w:hAnsi="仿宋" w:eastAsia="仿宋" w:cs="仿宋"/>
          <w:color w:val="auto"/>
          <w:sz w:val="24"/>
          <w:szCs w:val="32"/>
          <w:highlight w:val="none"/>
          <w:lang w:val="en-US" w:eastAsia="zh-CN"/>
        </w:rPr>
        <w:t xml:space="preserve"> </w:t>
      </w:r>
    </w:p>
    <w:p>
      <w:pPr>
        <w:pStyle w:val="34"/>
        <w:spacing w:before="120" w:line="360" w:lineRule="auto"/>
        <w:jc w:val="both"/>
        <w:outlineLvl w:val="9"/>
        <w:rPr>
          <w:rFonts w:hint="eastAsia" w:ascii="仿宋" w:hAnsi="仿宋" w:eastAsia="仿宋" w:cs="仿宋"/>
          <w:b/>
          <w:bCs/>
          <w:color w:val="auto"/>
          <w:sz w:val="24"/>
          <w:szCs w:val="32"/>
          <w:highlight w:val="none"/>
          <w:lang w:eastAsia="zh-CN"/>
        </w:rPr>
      </w:pPr>
    </w:p>
    <w:p>
      <w:pPr>
        <w:pStyle w:val="34"/>
        <w:spacing w:before="120" w:line="360" w:lineRule="auto"/>
        <w:jc w:val="both"/>
        <w:outlineLvl w:val="9"/>
        <w:rPr>
          <w:rFonts w:hint="eastAsia" w:ascii="仿宋" w:hAnsi="仿宋" w:eastAsia="仿宋" w:cs="仿宋"/>
          <w:b/>
          <w:bCs/>
          <w:color w:val="auto"/>
          <w:sz w:val="24"/>
          <w:szCs w:val="32"/>
          <w:highlight w:val="none"/>
          <w:lang w:eastAsia="zh-CN"/>
        </w:rPr>
      </w:pPr>
    </w:p>
    <w:p>
      <w:pPr>
        <w:pStyle w:val="34"/>
        <w:spacing w:before="120" w:line="360" w:lineRule="auto"/>
        <w:jc w:val="both"/>
        <w:outlineLvl w:val="9"/>
        <w:rPr>
          <w:rFonts w:hint="eastAsia" w:ascii="仿宋" w:hAnsi="仿宋" w:eastAsia="仿宋" w:cs="仿宋"/>
          <w:b/>
          <w:bCs/>
          <w:color w:val="auto"/>
          <w:sz w:val="24"/>
          <w:szCs w:val="32"/>
          <w:highlight w:val="none"/>
          <w:lang w:eastAsia="zh-CN"/>
        </w:rPr>
      </w:pPr>
    </w:p>
    <w:p>
      <w:pPr>
        <w:pStyle w:val="34"/>
        <w:spacing w:before="120" w:line="360" w:lineRule="auto"/>
        <w:jc w:val="both"/>
        <w:outlineLvl w:val="9"/>
        <w:rPr>
          <w:rFonts w:hint="eastAsia" w:ascii="仿宋" w:hAnsi="仿宋" w:eastAsia="仿宋" w:cs="仿宋"/>
          <w:b/>
          <w:bCs/>
          <w:color w:val="auto"/>
          <w:sz w:val="24"/>
          <w:szCs w:val="32"/>
          <w:highlight w:val="none"/>
          <w:lang w:eastAsia="zh-CN"/>
        </w:rPr>
      </w:pPr>
    </w:p>
    <w:p>
      <w:pPr>
        <w:pStyle w:val="34"/>
        <w:spacing w:before="120" w:line="360" w:lineRule="auto"/>
        <w:jc w:val="both"/>
        <w:outlineLvl w:val="9"/>
        <w:rPr>
          <w:rFonts w:hint="eastAsia" w:ascii="仿宋" w:hAnsi="仿宋" w:eastAsia="仿宋" w:cs="仿宋"/>
          <w:b/>
          <w:bCs/>
          <w:color w:val="auto"/>
          <w:sz w:val="24"/>
          <w:szCs w:val="32"/>
          <w:highlight w:val="none"/>
          <w:lang w:eastAsia="zh-CN"/>
        </w:rPr>
      </w:pPr>
    </w:p>
    <w:p>
      <w:pPr>
        <w:pStyle w:val="34"/>
        <w:spacing w:before="120" w:line="360" w:lineRule="auto"/>
        <w:jc w:val="both"/>
        <w:outlineLvl w:val="9"/>
        <w:rPr>
          <w:rFonts w:hint="eastAsia" w:ascii="仿宋" w:hAnsi="仿宋" w:eastAsia="仿宋" w:cs="仿宋"/>
          <w:b/>
          <w:bCs/>
          <w:color w:val="auto"/>
          <w:sz w:val="24"/>
          <w:szCs w:val="32"/>
          <w:lang w:eastAsia="zh-CN"/>
        </w:rPr>
      </w:pPr>
    </w:p>
    <w:p>
      <w:pPr>
        <w:pStyle w:val="34"/>
        <w:spacing w:before="120" w:line="360" w:lineRule="auto"/>
        <w:jc w:val="both"/>
        <w:outlineLvl w:val="9"/>
        <w:rPr>
          <w:rFonts w:hint="eastAsia" w:ascii="仿宋" w:hAnsi="仿宋" w:eastAsia="仿宋" w:cs="仿宋"/>
          <w:b/>
          <w:bCs/>
          <w:color w:val="auto"/>
          <w:sz w:val="24"/>
          <w:szCs w:val="32"/>
          <w:lang w:eastAsia="zh-CN"/>
        </w:rPr>
      </w:pPr>
    </w:p>
    <w:p>
      <w:pPr>
        <w:pStyle w:val="34"/>
        <w:spacing w:before="120" w:line="360" w:lineRule="auto"/>
        <w:jc w:val="both"/>
        <w:outlineLvl w:val="9"/>
        <w:rPr>
          <w:rFonts w:hint="eastAsia" w:ascii="仿宋" w:hAnsi="仿宋" w:eastAsia="仿宋" w:cs="仿宋"/>
          <w:b/>
          <w:bCs/>
          <w:color w:val="auto"/>
          <w:sz w:val="24"/>
          <w:szCs w:val="32"/>
          <w:lang w:eastAsia="zh-CN"/>
        </w:rPr>
      </w:pPr>
    </w:p>
    <w:p>
      <w:pPr>
        <w:pStyle w:val="34"/>
        <w:spacing w:before="120" w:line="360" w:lineRule="auto"/>
        <w:jc w:val="both"/>
        <w:outlineLvl w:val="9"/>
        <w:rPr>
          <w:rFonts w:hint="eastAsia" w:ascii="仿宋" w:hAnsi="仿宋" w:eastAsia="仿宋" w:cs="仿宋"/>
          <w:b/>
          <w:bCs/>
          <w:color w:val="auto"/>
          <w:sz w:val="24"/>
          <w:szCs w:val="32"/>
          <w:lang w:eastAsia="zh-CN"/>
        </w:rPr>
      </w:pPr>
    </w:p>
    <w:p>
      <w:pPr>
        <w:pStyle w:val="34"/>
        <w:numPr>
          <w:ilvl w:val="0"/>
          <w:numId w:val="0"/>
        </w:numPr>
        <w:spacing w:before="120" w:line="360" w:lineRule="auto"/>
        <w:jc w:val="center"/>
        <w:outlineLvl w:val="0"/>
        <w:rPr>
          <w:rFonts w:hint="eastAsia" w:ascii="仿宋" w:hAnsi="仿宋" w:eastAsia="仿宋" w:cs="仿宋"/>
          <w:b/>
          <w:bCs/>
          <w:color w:val="auto"/>
          <w:sz w:val="28"/>
          <w:szCs w:val="28"/>
        </w:rPr>
      </w:pPr>
      <w:bookmarkStart w:id="136" w:name="_Toc5144"/>
      <w:bookmarkStart w:id="137" w:name="_Toc3862"/>
      <w:bookmarkStart w:id="138" w:name="_Toc26467"/>
      <w:bookmarkStart w:id="139" w:name="_Toc6014"/>
      <w:bookmarkStart w:id="140" w:name="_Toc31195"/>
      <w:bookmarkStart w:id="141" w:name="_Toc7330"/>
      <w:r>
        <w:rPr>
          <w:rFonts w:hint="eastAsia" w:ascii="仿宋" w:hAnsi="仿宋" w:eastAsia="仿宋" w:cs="仿宋"/>
          <w:b/>
          <w:bCs/>
          <w:color w:val="auto"/>
          <w:sz w:val="28"/>
          <w:szCs w:val="28"/>
          <w:lang w:val="en-US" w:eastAsia="zh-CN"/>
        </w:rPr>
        <w:t>十四、</w:t>
      </w:r>
      <w:r>
        <w:rPr>
          <w:rFonts w:hint="eastAsia" w:ascii="仿宋" w:hAnsi="仿宋" w:eastAsia="仿宋" w:cs="仿宋"/>
          <w:b/>
          <w:bCs/>
          <w:color w:val="auto"/>
          <w:sz w:val="28"/>
          <w:szCs w:val="28"/>
        </w:rPr>
        <w:t>经年审计的上年度</w:t>
      </w:r>
      <w:bookmarkEnd w:id="136"/>
      <w:r>
        <w:rPr>
          <w:rFonts w:hint="eastAsia" w:ascii="仿宋" w:hAnsi="仿宋" w:eastAsia="仿宋" w:cs="仿宋"/>
          <w:b/>
          <w:bCs/>
          <w:color w:val="auto"/>
          <w:sz w:val="28"/>
          <w:szCs w:val="28"/>
        </w:rPr>
        <w:t>财务审计报告</w:t>
      </w:r>
      <w:bookmarkEnd w:id="137"/>
      <w:bookmarkEnd w:id="138"/>
      <w:bookmarkEnd w:id="139"/>
      <w:bookmarkEnd w:id="140"/>
      <w:bookmarkEnd w:id="141"/>
    </w:p>
    <w:p>
      <w:pPr>
        <w:pStyle w:val="34"/>
        <w:numPr>
          <w:ilvl w:val="0"/>
          <w:numId w:val="0"/>
        </w:numPr>
        <w:spacing w:before="120" w:line="360" w:lineRule="auto"/>
        <w:jc w:val="both"/>
        <w:outlineLvl w:val="9"/>
        <w:rPr>
          <w:rFonts w:hint="eastAsia" w:ascii="仿宋" w:hAnsi="仿宋" w:eastAsia="仿宋" w:cs="仿宋"/>
          <w:b/>
          <w:bCs/>
          <w:color w:val="auto"/>
          <w:sz w:val="28"/>
          <w:szCs w:val="28"/>
        </w:rPr>
      </w:pPr>
    </w:p>
    <w:p>
      <w:pPr>
        <w:pStyle w:val="34"/>
        <w:spacing w:before="120" w:line="360" w:lineRule="auto"/>
        <w:ind w:firstLine="405"/>
        <w:jc w:val="center"/>
        <w:outlineLvl w:val="0"/>
        <w:rPr>
          <w:rFonts w:hint="eastAsia" w:ascii="仿宋" w:hAnsi="仿宋" w:eastAsia="仿宋" w:cs="仿宋"/>
          <w:b/>
          <w:bCs/>
          <w:color w:val="auto"/>
          <w:sz w:val="28"/>
          <w:szCs w:val="28"/>
        </w:rPr>
      </w:pPr>
      <w:bookmarkStart w:id="142" w:name="_Toc17988"/>
      <w:bookmarkStart w:id="143" w:name="_Toc18555"/>
      <w:r>
        <w:rPr>
          <w:rFonts w:hint="eastAsia" w:ascii="仿宋" w:hAnsi="仿宋" w:eastAsia="仿宋" w:cs="仿宋"/>
          <w:b/>
          <w:bCs/>
          <w:color w:val="auto"/>
          <w:sz w:val="28"/>
          <w:szCs w:val="28"/>
          <w:lang w:eastAsia="zh-CN"/>
        </w:rPr>
        <w:t>投标单位应提供2021年度或2022年度财务审计报告原件（会计周期不满一年的公司可不提供但需提供银行出具的近三个月的资信证明原件）。</w:t>
      </w:r>
      <w:bookmarkEnd w:id="142"/>
      <w:bookmarkEnd w:id="143"/>
    </w:p>
    <w:p>
      <w:pPr>
        <w:pStyle w:val="41"/>
        <w:rPr>
          <w:rFonts w:hint="eastAsia" w:ascii="仿宋" w:hAnsi="仿宋" w:eastAsia="仿宋" w:cs="仿宋"/>
          <w:color w:val="auto"/>
          <w:sz w:val="24"/>
        </w:rPr>
      </w:pPr>
    </w:p>
    <w:p>
      <w:pPr>
        <w:pStyle w:val="41"/>
        <w:rPr>
          <w:rFonts w:hint="eastAsia" w:ascii="仿宋" w:hAnsi="仿宋" w:eastAsia="仿宋" w:cs="仿宋"/>
          <w:color w:val="auto"/>
          <w:sz w:val="24"/>
        </w:rPr>
      </w:pPr>
    </w:p>
    <w:p>
      <w:pPr>
        <w:pStyle w:val="41"/>
        <w:rPr>
          <w:rFonts w:hint="eastAsia" w:ascii="仿宋" w:hAnsi="仿宋" w:eastAsia="仿宋" w:cs="仿宋"/>
          <w:color w:val="auto"/>
          <w:sz w:val="24"/>
        </w:rPr>
      </w:pPr>
    </w:p>
    <w:p>
      <w:pPr>
        <w:pStyle w:val="41"/>
        <w:rPr>
          <w:rFonts w:hint="eastAsia" w:ascii="仿宋" w:hAnsi="仿宋" w:eastAsia="仿宋" w:cs="仿宋"/>
          <w:color w:val="auto"/>
          <w:sz w:val="24"/>
        </w:rPr>
      </w:pPr>
    </w:p>
    <w:p>
      <w:pPr>
        <w:pStyle w:val="41"/>
        <w:ind w:left="0" w:leftChars="0" w:firstLine="0" w:firstLineChars="0"/>
        <w:rPr>
          <w:rFonts w:hint="eastAsia" w:ascii="仿宋" w:hAnsi="仿宋" w:eastAsia="仿宋" w:cs="仿宋"/>
          <w:color w:val="auto"/>
          <w:sz w:val="24"/>
        </w:rPr>
      </w:pPr>
    </w:p>
    <w:p>
      <w:pPr>
        <w:pStyle w:val="41"/>
        <w:rPr>
          <w:rFonts w:hint="eastAsia" w:ascii="仿宋" w:hAnsi="仿宋" w:eastAsia="仿宋" w:cs="仿宋"/>
          <w:color w:val="auto"/>
          <w:sz w:val="24"/>
        </w:rPr>
      </w:pPr>
      <w:r>
        <w:rPr>
          <w:rFonts w:hint="eastAsia" w:ascii="仿宋" w:hAnsi="仿宋" w:eastAsia="仿宋" w:cs="仿宋"/>
          <w:b/>
          <w:bCs/>
          <w:color w:val="auto"/>
          <w:kern w:val="0"/>
          <w:sz w:val="28"/>
          <w:szCs w:val="28"/>
          <w:lang w:val="en-US" w:eastAsia="zh-CN" w:bidi="ar-SA"/>
        </w:rPr>
        <w:t xml:space="preserve"> </w:t>
      </w:r>
    </w:p>
    <w:p>
      <w:pPr>
        <w:pStyle w:val="41"/>
        <w:rPr>
          <w:rFonts w:hint="eastAsia" w:ascii="仿宋" w:hAnsi="仿宋" w:eastAsia="仿宋" w:cs="仿宋"/>
          <w:color w:val="auto"/>
          <w:sz w:val="24"/>
        </w:rPr>
      </w:pPr>
    </w:p>
    <w:p>
      <w:pPr>
        <w:pStyle w:val="41"/>
        <w:rPr>
          <w:rFonts w:hint="eastAsia" w:ascii="仿宋" w:hAnsi="仿宋" w:eastAsia="仿宋" w:cs="仿宋"/>
          <w:color w:val="auto"/>
          <w:sz w:val="24"/>
        </w:rPr>
      </w:pPr>
    </w:p>
    <w:p>
      <w:pPr>
        <w:pStyle w:val="41"/>
        <w:rPr>
          <w:rFonts w:hint="eastAsia" w:ascii="仿宋" w:hAnsi="仿宋" w:eastAsia="仿宋" w:cs="仿宋"/>
          <w:color w:val="auto"/>
          <w:sz w:val="24"/>
        </w:rPr>
      </w:pPr>
    </w:p>
    <w:p>
      <w:pPr>
        <w:rPr>
          <w:rStyle w:val="144"/>
          <w:rFonts w:hint="eastAsia" w:ascii="仿宋" w:hAnsi="仿宋" w:eastAsia="仿宋" w:cs="仿宋"/>
          <w:bCs w:val="0"/>
          <w:color w:val="auto"/>
          <w:sz w:val="28"/>
          <w:szCs w:val="28"/>
        </w:rPr>
      </w:pPr>
    </w:p>
    <w:p>
      <w:pPr>
        <w:pStyle w:val="2"/>
        <w:rPr>
          <w:rFonts w:hint="eastAsia" w:ascii="仿宋" w:hAnsi="仿宋" w:eastAsia="仿宋" w:cs="仿宋"/>
          <w:b/>
          <w:bCs/>
          <w:color w:val="auto"/>
          <w:kern w:val="2"/>
          <w:sz w:val="28"/>
          <w:szCs w:val="28"/>
          <w:lang w:val="en-US" w:eastAsia="zh-CN" w:bidi="ar-SA"/>
        </w:rPr>
        <w:sectPr>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spacing w:line="360" w:lineRule="auto"/>
        <w:jc w:val="center"/>
        <w:outlineLvl w:val="0"/>
        <w:rPr>
          <w:rFonts w:hint="eastAsia" w:ascii="仿宋" w:hAnsi="仿宋" w:eastAsia="仿宋" w:cs="仿宋"/>
          <w:color w:val="auto"/>
          <w:sz w:val="24"/>
          <w:szCs w:val="24"/>
        </w:rPr>
      </w:pPr>
      <w:bookmarkStart w:id="144" w:name="_Toc6232"/>
      <w:bookmarkStart w:id="145" w:name="_Toc4782"/>
      <w:bookmarkStart w:id="146" w:name="_Toc3132"/>
      <w:bookmarkStart w:id="147" w:name="_Toc1350"/>
      <w:bookmarkStart w:id="148" w:name="_Toc26849"/>
      <w:bookmarkStart w:id="149" w:name="_Toc11866"/>
      <w:r>
        <w:rPr>
          <w:rStyle w:val="144"/>
          <w:rFonts w:hint="eastAsia" w:ascii="仿宋" w:hAnsi="仿宋" w:eastAsia="仿宋" w:cs="仿宋"/>
          <w:bCs w:val="0"/>
          <w:color w:val="auto"/>
          <w:sz w:val="28"/>
          <w:szCs w:val="28"/>
          <w:lang w:val="en-US" w:eastAsia="zh-CN"/>
        </w:rPr>
        <w:t>十五</w:t>
      </w:r>
      <w:r>
        <w:rPr>
          <w:rStyle w:val="144"/>
          <w:rFonts w:hint="eastAsia" w:ascii="仿宋" w:hAnsi="仿宋" w:eastAsia="仿宋" w:cs="仿宋"/>
          <w:bCs w:val="0"/>
          <w:color w:val="auto"/>
          <w:sz w:val="28"/>
          <w:szCs w:val="28"/>
          <w:lang w:eastAsia="zh-CN"/>
        </w:rPr>
        <w:t>、</w:t>
      </w:r>
      <w:r>
        <w:rPr>
          <w:rStyle w:val="144"/>
          <w:rFonts w:hint="eastAsia" w:ascii="仿宋" w:hAnsi="仿宋" w:eastAsia="仿宋" w:cs="仿宋"/>
          <w:bCs w:val="0"/>
          <w:color w:val="auto"/>
          <w:sz w:val="28"/>
          <w:szCs w:val="28"/>
        </w:rPr>
        <w:t>投标单位（供应商）反商业贿赂承诺书</w:t>
      </w:r>
      <w:bookmarkEnd w:id="144"/>
      <w:bookmarkEnd w:id="145"/>
      <w:bookmarkEnd w:id="146"/>
      <w:bookmarkEnd w:id="147"/>
      <w:bookmarkEnd w:id="148"/>
      <w:bookmarkEnd w:id="149"/>
    </w:p>
    <w:p>
      <w:pPr>
        <w:pStyle w:val="34"/>
        <w:spacing w:before="120" w:line="360" w:lineRule="auto"/>
        <w:ind w:left="120" w:leftChars="57" w:firstLine="280" w:firstLineChars="117"/>
        <w:rPr>
          <w:rFonts w:hint="eastAsia" w:ascii="仿宋" w:hAnsi="仿宋" w:eastAsia="仿宋" w:cs="仿宋"/>
          <w:color w:val="auto"/>
          <w:sz w:val="24"/>
          <w:szCs w:val="24"/>
        </w:rPr>
      </w:pPr>
      <w:r>
        <w:rPr>
          <w:rFonts w:hint="eastAsia" w:ascii="仿宋" w:hAnsi="仿宋" w:eastAsia="仿宋" w:cs="仿宋"/>
          <w:color w:val="auto"/>
          <w:sz w:val="24"/>
          <w:szCs w:val="24"/>
        </w:rPr>
        <w:t>我单位承诺在</w:t>
      </w:r>
      <w:r>
        <w:rPr>
          <w:rFonts w:hint="eastAsia" w:ascii="仿宋" w:hAnsi="仿宋" w:eastAsia="仿宋" w:cs="仿宋"/>
          <w:color w:val="auto"/>
          <w:sz w:val="24"/>
          <w:szCs w:val="24"/>
          <w:u w:val="single"/>
        </w:rPr>
        <w:t xml:space="preserve">                                                （项目名称）</w:t>
      </w:r>
      <w:r>
        <w:rPr>
          <w:rFonts w:hint="eastAsia" w:ascii="仿宋" w:hAnsi="仿宋" w:eastAsia="仿宋" w:cs="仿宋"/>
          <w:color w:val="auto"/>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单位名称：（盖章）</w:t>
      </w:r>
    </w:p>
    <w:p>
      <w:pPr>
        <w:pStyle w:val="34"/>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法定代表人：（签字盖章）</w:t>
      </w:r>
    </w:p>
    <w:p>
      <w:pPr>
        <w:pStyle w:val="34"/>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项目经办人：</w:t>
      </w:r>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  期：   年   月   日</w:t>
      </w:r>
      <w:bookmarkStart w:id="150" w:name="_Toc8968"/>
      <w:bookmarkStart w:id="151" w:name="_Toc29266"/>
      <w:bookmarkStart w:id="152" w:name="_Toc15248"/>
      <w:bookmarkStart w:id="153" w:name="_Toc5662"/>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rPr>
          <w:rFonts w:hint="eastAsia" w:ascii="仿宋" w:hAnsi="仿宋" w:eastAsia="仿宋" w:cs="仿宋"/>
          <w:color w:val="auto"/>
          <w:sz w:val="24"/>
          <w:szCs w:val="24"/>
        </w:rPr>
      </w:pPr>
    </w:p>
    <w:p>
      <w:pPr>
        <w:pStyle w:val="34"/>
        <w:spacing w:before="120" w:line="360" w:lineRule="auto"/>
        <w:ind w:firstLine="405"/>
        <w:jc w:val="center"/>
        <w:rPr>
          <w:rStyle w:val="144"/>
          <w:rFonts w:hint="eastAsia" w:ascii="仿宋" w:hAnsi="仿宋" w:eastAsia="仿宋" w:cs="仿宋"/>
          <w:bCs w:val="0"/>
          <w:color w:val="auto"/>
          <w:kern w:val="2"/>
          <w:sz w:val="28"/>
          <w:szCs w:val="28"/>
          <w:lang w:val="en-US" w:eastAsia="zh-CN" w:bidi="ar-SA"/>
        </w:rPr>
      </w:pPr>
    </w:p>
    <w:p>
      <w:pPr>
        <w:pStyle w:val="41"/>
        <w:spacing w:line="360" w:lineRule="auto"/>
        <w:jc w:val="center"/>
        <w:rPr>
          <w:rStyle w:val="144"/>
          <w:rFonts w:hint="eastAsia" w:ascii="仿宋" w:hAnsi="仿宋" w:eastAsia="仿宋" w:cs="仿宋"/>
          <w:bCs w:val="0"/>
          <w:color w:val="auto"/>
          <w:kern w:val="2"/>
          <w:sz w:val="28"/>
          <w:szCs w:val="28"/>
          <w:lang w:val="en-US" w:eastAsia="zh-CN" w:bidi="ar-SA"/>
        </w:rPr>
      </w:pPr>
    </w:p>
    <w:p>
      <w:pPr>
        <w:pStyle w:val="41"/>
        <w:spacing w:line="360" w:lineRule="auto"/>
        <w:jc w:val="center"/>
        <w:rPr>
          <w:rFonts w:hint="eastAsia" w:ascii="仿宋" w:hAnsi="仿宋" w:eastAsia="仿宋" w:cs="仿宋"/>
          <w:color w:val="auto"/>
          <w:sz w:val="24"/>
          <w:szCs w:val="24"/>
        </w:rPr>
      </w:pPr>
      <w:r>
        <w:rPr>
          <w:rStyle w:val="144"/>
          <w:rFonts w:hint="eastAsia" w:ascii="仿宋" w:hAnsi="仿宋" w:eastAsia="仿宋" w:cs="仿宋"/>
          <w:bCs w:val="0"/>
          <w:color w:val="auto"/>
          <w:kern w:val="2"/>
          <w:sz w:val="28"/>
          <w:szCs w:val="28"/>
          <w:lang w:val="en-US" w:eastAsia="zh-CN" w:bidi="ar-SA"/>
        </w:rPr>
        <w:t>十六、</w:t>
      </w:r>
      <w:bookmarkEnd w:id="150"/>
      <w:bookmarkEnd w:id="151"/>
      <w:bookmarkEnd w:id="152"/>
      <w:bookmarkEnd w:id="153"/>
      <w:r>
        <w:rPr>
          <w:rFonts w:hint="eastAsia" w:ascii="仿宋" w:hAnsi="仿宋" w:eastAsia="仿宋" w:cs="仿宋"/>
          <w:color w:val="auto"/>
          <w:sz w:val="24"/>
          <w:szCs w:val="24"/>
        </w:rPr>
        <w:t>中小企业声明函(货物)</w:t>
      </w:r>
    </w:p>
    <w:p>
      <w:pPr>
        <w:pStyle w:val="41"/>
        <w:rPr>
          <w:rFonts w:hint="eastAsia" w:ascii="仿宋" w:hAnsi="仿宋" w:eastAsia="仿宋" w:cs="仿宋"/>
          <w:color w:val="auto"/>
          <w:sz w:val="24"/>
          <w:szCs w:val="24"/>
        </w:rPr>
      </w:pPr>
      <w:r>
        <w:rPr>
          <w:rFonts w:hint="eastAsia" w:ascii="仿宋" w:hAnsi="仿宋" w:eastAsia="仿宋" w:cs="仿宋"/>
          <w:color w:val="auto"/>
          <w:sz w:val="24"/>
          <w:szCs w:val="24"/>
        </w:rPr>
        <w:t> </w:t>
      </w:r>
    </w:p>
    <w:p>
      <w:pPr>
        <w:pStyle w:val="41"/>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41"/>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1.（标的名称），属于（采购文件中明确的所属行业）；制造商为（企业名称），从业人员  人，营业收入为  万元，资产总额为  万元，属于（中型企业、小型企业、微型企业）；</w:t>
      </w:r>
    </w:p>
    <w:p>
      <w:pPr>
        <w:pStyle w:val="41"/>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2. （标的名称），属于（采购文件中明确的所属行业）；制造商为（企业名称），从业人员  人，营业收入为  万元，资产总额为  万元，属于（中型企业、小型企业、微型企业）；</w:t>
      </w:r>
    </w:p>
    <w:p>
      <w:pPr>
        <w:pStyle w:val="41"/>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41"/>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pStyle w:val="41"/>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pStyle w:val="41"/>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w:t>
      </w:r>
    </w:p>
    <w:p>
      <w:pPr>
        <w:pStyle w:val="41"/>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企业名称（盖章）：</w:t>
      </w:r>
    </w:p>
    <w:p>
      <w:pPr>
        <w:pStyle w:val="41"/>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kern w:val="2"/>
          <w:sz w:val="24"/>
          <w:szCs w:val="24"/>
          <w:highlight w:val="none"/>
          <w:lang w:val="en-US" w:eastAsia="zh-CN" w:bidi="ar-SA"/>
        </w:rPr>
        <w:t> </w:t>
      </w:r>
      <w:r>
        <w:rPr>
          <w:rFonts w:hint="eastAsia" w:ascii="仿宋" w:hAnsi="仿宋" w:eastAsia="仿宋" w:cs="仿宋"/>
          <w:color w:val="auto"/>
          <w:sz w:val="24"/>
          <w:szCs w:val="24"/>
        </w:rPr>
        <w:t>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日期：                    </w:t>
      </w: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rPr>
      </w:pPr>
    </w:p>
    <w:p>
      <w:pPr>
        <w:pStyle w:val="19"/>
        <w:keepNext w:val="0"/>
        <w:keepLines w:val="0"/>
        <w:pageBreakBefore w:val="0"/>
        <w:widowControl w:val="0"/>
        <w:tabs>
          <w:tab w:val="left" w:pos="9214"/>
        </w:tabs>
        <w:kinsoku/>
        <w:wordWrap/>
        <w:overflowPunct/>
        <w:topLinePunct w:val="0"/>
        <w:autoSpaceDE/>
        <w:autoSpaceDN/>
        <w:bidi w:val="0"/>
        <w:adjustRightInd/>
        <w:snapToGrid/>
        <w:ind w:firstLine="586" w:firstLineChars="200"/>
        <w:textAlignment w:val="auto"/>
        <w:rPr>
          <w:rFonts w:hint="eastAsia" w:ascii="仿宋" w:hAnsi="仿宋" w:eastAsia="仿宋" w:cs="仿宋"/>
          <w:b/>
          <w:color w:val="auto"/>
          <w:spacing w:val="6"/>
          <w:kern w:val="2"/>
          <w:sz w:val="28"/>
          <w:szCs w:val="28"/>
          <w:lang w:val="en-US" w:eastAsia="zh-CN" w:bidi="ar-SA"/>
        </w:rPr>
      </w:pPr>
      <w:r>
        <w:rPr>
          <w:rFonts w:hint="eastAsia" w:ascii="仿宋" w:hAnsi="仿宋" w:eastAsia="仿宋" w:cs="仿宋"/>
          <w:b/>
          <w:color w:val="auto"/>
          <w:spacing w:val="6"/>
          <w:kern w:val="2"/>
          <w:sz w:val="28"/>
          <w:szCs w:val="28"/>
          <w:lang w:val="en-US" w:eastAsia="zh-CN" w:bidi="ar-SA"/>
        </w:rPr>
        <w:t>十七、如在①“信用中国”网站（www.creditchina.gov.cn）；②中国政府采购网（www.ccgp.gov.cn）；③国家企业信用信息公示系统（http://www.gsxt.gov.cn）中被列入失信被执行人、重大税收违法案件当事人名单、政府采购严重违法失信行为记录名单的（尚在处罚期内的）、经营异常名录的，将拒绝其参加本次政府采购活动；加盖单位鲜红公章；</w:t>
      </w:r>
    </w:p>
    <w:p>
      <w:pPr>
        <w:pStyle w:val="19"/>
        <w:keepNext w:val="0"/>
        <w:keepLines w:val="0"/>
        <w:pageBreakBefore w:val="0"/>
        <w:widowControl w:val="0"/>
        <w:tabs>
          <w:tab w:val="left" w:pos="9214"/>
        </w:tabs>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rPr>
          <w:rFonts w:hint="eastAsia" w:ascii="仿宋" w:hAnsi="仿宋" w:eastAsia="仿宋" w:cs="仿宋"/>
          <w:color w:val="auto"/>
          <w:sz w:val="24"/>
          <w:szCs w:val="24"/>
        </w:rPr>
      </w:pPr>
    </w:p>
    <w:p>
      <w:pPr>
        <w:pStyle w:val="41"/>
        <w:ind w:left="0" w:leftChars="0" w:firstLine="0" w:firstLineChars="0"/>
        <w:jc w:val="both"/>
        <w:rPr>
          <w:rFonts w:hint="eastAsia" w:ascii="仿宋" w:hAnsi="仿宋" w:eastAsia="仿宋" w:cs="仿宋"/>
          <w:b/>
          <w:color w:val="auto"/>
          <w:spacing w:val="6"/>
          <w:kern w:val="2"/>
          <w:sz w:val="28"/>
          <w:szCs w:val="28"/>
          <w:lang w:val="en-US" w:eastAsia="zh-CN" w:bidi="ar-SA"/>
        </w:rPr>
      </w:pPr>
    </w:p>
    <w:p>
      <w:pPr>
        <w:pStyle w:val="41"/>
        <w:jc w:val="center"/>
        <w:rPr>
          <w:rFonts w:hint="eastAsia" w:ascii="仿宋" w:hAnsi="仿宋" w:eastAsia="仿宋" w:cs="仿宋"/>
          <w:b/>
          <w:color w:val="auto"/>
          <w:spacing w:val="6"/>
          <w:kern w:val="2"/>
          <w:sz w:val="28"/>
          <w:szCs w:val="28"/>
          <w:lang w:val="en-US" w:eastAsia="zh-CN" w:bidi="ar-SA"/>
        </w:rPr>
      </w:pPr>
    </w:p>
    <w:p>
      <w:pPr>
        <w:pStyle w:val="41"/>
        <w:ind w:left="0" w:leftChars="0" w:firstLine="0" w:firstLineChars="0"/>
        <w:jc w:val="center"/>
        <w:rPr>
          <w:rFonts w:hint="eastAsia" w:ascii="仿宋" w:hAnsi="仿宋" w:eastAsia="仿宋" w:cs="仿宋"/>
          <w:b/>
          <w:color w:val="auto"/>
          <w:spacing w:val="6"/>
          <w:kern w:val="2"/>
          <w:sz w:val="28"/>
          <w:szCs w:val="28"/>
          <w:lang w:val="en-US" w:eastAsia="zh-CN" w:bidi="ar-SA"/>
        </w:rPr>
      </w:pPr>
      <w:r>
        <w:rPr>
          <w:rFonts w:hint="eastAsia" w:ascii="仿宋" w:hAnsi="仿宋" w:eastAsia="仿宋" w:cs="仿宋"/>
          <w:b/>
          <w:color w:val="auto"/>
          <w:spacing w:val="6"/>
          <w:kern w:val="2"/>
          <w:sz w:val="28"/>
          <w:szCs w:val="28"/>
          <w:lang w:val="en-US" w:eastAsia="zh-CN" w:bidi="ar-SA"/>
        </w:rPr>
        <w:t>十八、投标人认为需要提供的其他资料</w:t>
      </w:r>
    </w:p>
    <w:p>
      <w:pPr>
        <w:rPr>
          <w:rFonts w:hint="eastAsia" w:ascii="仿宋" w:hAnsi="仿宋" w:eastAsia="仿宋" w:cs="仿宋"/>
          <w:color w:val="auto"/>
          <w:kern w:val="0"/>
          <w:sz w:val="28"/>
        </w:rPr>
      </w:pPr>
    </w:p>
    <w:p>
      <w:pPr>
        <w:pStyle w:val="2"/>
        <w:outlineLvl w:val="9"/>
        <w:rPr>
          <w:rFonts w:hint="eastAsia" w:ascii="仿宋" w:hAnsi="仿宋" w:eastAsia="仿宋" w:cs="仿宋"/>
          <w:color w:val="auto"/>
          <w:kern w:val="0"/>
          <w:sz w:val="28"/>
        </w:rPr>
      </w:pPr>
    </w:p>
    <w:p>
      <w:pPr>
        <w:pStyle w:val="4"/>
        <w:jc w:val="center"/>
        <w:outlineLvl w:val="9"/>
        <w:rPr>
          <w:rFonts w:hint="eastAsia" w:ascii="仿宋" w:hAnsi="仿宋" w:eastAsia="仿宋" w:cs="仿宋"/>
          <w:color w:val="auto"/>
          <w:kern w:val="0"/>
          <w:sz w:val="28"/>
        </w:rPr>
      </w:pPr>
      <w:bookmarkStart w:id="154" w:name="_Toc3556"/>
      <w:bookmarkStart w:id="155" w:name="_Toc27985"/>
      <w:bookmarkStart w:id="156" w:name="_Toc19600"/>
      <w:bookmarkStart w:id="157" w:name="_Toc1589"/>
    </w:p>
    <w:p>
      <w:pPr>
        <w:pStyle w:val="2"/>
        <w:rPr>
          <w:rFonts w:hint="eastAsia" w:ascii="仿宋" w:hAnsi="仿宋" w:eastAsia="仿宋" w:cs="仿宋"/>
          <w:color w:val="auto"/>
          <w:kern w:val="0"/>
          <w:sz w:val="28"/>
        </w:rPr>
      </w:pPr>
    </w:p>
    <w:p>
      <w:pPr>
        <w:rPr>
          <w:rFonts w:hint="eastAsia" w:ascii="仿宋" w:hAnsi="仿宋" w:eastAsia="仿宋" w:cs="仿宋"/>
          <w:color w:val="auto"/>
          <w:kern w:val="0"/>
          <w:sz w:val="28"/>
        </w:rPr>
      </w:pPr>
    </w:p>
    <w:p>
      <w:pPr>
        <w:pStyle w:val="13"/>
        <w:rPr>
          <w:rFonts w:hint="eastAsia" w:ascii="仿宋" w:hAnsi="仿宋" w:eastAsia="仿宋" w:cs="仿宋"/>
          <w:color w:val="auto"/>
          <w:kern w:val="0"/>
          <w:sz w:val="28"/>
        </w:rPr>
      </w:pPr>
    </w:p>
    <w:p>
      <w:pPr>
        <w:rPr>
          <w:rFonts w:hint="eastAsia" w:ascii="仿宋" w:hAnsi="仿宋" w:eastAsia="仿宋" w:cs="仿宋"/>
          <w:color w:val="auto"/>
          <w:kern w:val="0"/>
          <w:sz w:val="28"/>
        </w:rPr>
      </w:pPr>
    </w:p>
    <w:p>
      <w:pPr>
        <w:pStyle w:val="13"/>
        <w:rPr>
          <w:rFonts w:hint="eastAsia" w:ascii="仿宋" w:hAnsi="仿宋" w:eastAsia="仿宋" w:cs="仿宋"/>
          <w:color w:val="auto"/>
          <w:kern w:val="0"/>
          <w:sz w:val="28"/>
        </w:rPr>
      </w:pPr>
    </w:p>
    <w:p>
      <w:pPr>
        <w:rPr>
          <w:rFonts w:hint="eastAsia" w:ascii="仿宋" w:hAnsi="仿宋" w:eastAsia="仿宋" w:cs="仿宋"/>
          <w:color w:val="auto"/>
        </w:rPr>
      </w:pPr>
    </w:p>
    <w:p>
      <w:pPr>
        <w:pStyle w:val="2"/>
        <w:outlineLvl w:val="9"/>
        <w:rPr>
          <w:rFonts w:hint="eastAsia" w:ascii="仿宋" w:hAnsi="仿宋" w:eastAsia="仿宋" w:cs="仿宋"/>
          <w:color w:val="auto"/>
        </w:rPr>
      </w:pPr>
    </w:p>
    <w:p>
      <w:pPr>
        <w:rPr>
          <w:rFonts w:hint="eastAsia" w:ascii="仿宋" w:hAnsi="仿宋" w:eastAsia="仿宋" w:cs="仿宋"/>
          <w:color w:val="auto"/>
          <w:kern w:val="0"/>
          <w:sz w:val="28"/>
        </w:rPr>
      </w:pPr>
    </w:p>
    <w:p>
      <w:pPr>
        <w:pStyle w:val="19"/>
        <w:tabs>
          <w:tab w:val="left" w:pos="9214"/>
        </w:tabs>
        <w:rPr>
          <w:rFonts w:hint="eastAsia" w:ascii="仿宋" w:hAnsi="仿宋" w:eastAsia="仿宋" w:cs="仿宋"/>
          <w:color w:val="auto"/>
        </w:rPr>
      </w:pPr>
    </w:p>
    <w:bookmarkEnd w:id="154"/>
    <w:bookmarkEnd w:id="155"/>
    <w:bookmarkEnd w:id="156"/>
    <w:bookmarkEnd w:id="157"/>
    <w:p>
      <w:pPr>
        <w:spacing w:line="360" w:lineRule="auto"/>
        <w:jc w:val="both"/>
        <w:rPr>
          <w:rFonts w:hint="eastAsia" w:ascii="仿宋" w:hAnsi="仿宋" w:eastAsia="仿宋" w:cs="仿宋"/>
          <w:b/>
          <w:bCs/>
          <w:color w:val="auto"/>
          <w:spacing w:val="60"/>
          <w:sz w:val="32"/>
          <w:szCs w:val="32"/>
        </w:rPr>
      </w:pPr>
      <w:bookmarkStart w:id="158" w:name="_Toc20918"/>
      <w:bookmarkStart w:id="159" w:name="_Toc16687"/>
      <w:bookmarkStart w:id="160" w:name="_Toc23806"/>
      <w:bookmarkStart w:id="161" w:name="_Toc31830"/>
      <w:bookmarkStart w:id="162" w:name="_Toc24887"/>
      <w:bookmarkStart w:id="163" w:name="_Toc12999"/>
    </w:p>
    <w:p>
      <w:pPr>
        <w:spacing w:line="360" w:lineRule="auto"/>
        <w:jc w:val="center"/>
        <w:rPr>
          <w:rFonts w:hint="eastAsia" w:ascii="仿宋" w:hAnsi="仿宋" w:eastAsia="仿宋" w:cs="仿宋"/>
          <w:color w:val="auto"/>
          <w:sz w:val="32"/>
          <w:szCs w:val="32"/>
        </w:rPr>
      </w:pPr>
      <w:r>
        <w:rPr>
          <w:rFonts w:hint="eastAsia" w:ascii="仿宋" w:hAnsi="仿宋" w:eastAsia="仿宋" w:cs="仿宋"/>
          <w:b/>
          <w:bCs/>
          <w:color w:val="auto"/>
          <w:spacing w:val="60"/>
          <w:sz w:val="32"/>
          <w:szCs w:val="32"/>
        </w:rPr>
        <w:t>注意事项</w:t>
      </w:r>
      <w:bookmarkEnd w:id="158"/>
      <w:bookmarkEnd w:id="159"/>
      <w:bookmarkEnd w:id="160"/>
      <w:bookmarkEnd w:id="161"/>
      <w:bookmarkEnd w:id="162"/>
      <w:bookmarkEnd w:id="163"/>
    </w:p>
    <w:p>
      <w:pPr>
        <w:rPr>
          <w:rFonts w:hint="eastAsia" w:ascii="仿宋" w:hAnsi="仿宋" w:eastAsia="仿宋" w:cs="仿宋"/>
          <w:color w:val="auto"/>
          <w:sz w:val="24"/>
        </w:rPr>
      </w:pPr>
      <w:r>
        <w:rPr>
          <w:rFonts w:hint="eastAsia" w:ascii="仿宋" w:hAnsi="仿宋" w:eastAsia="仿宋" w:cs="仿宋"/>
          <w:color w:val="auto"/>
          <w:sz w:val="28"/>
        </w:rPr>
        <w:t>1、</w:t>
      </w:r>
      <w:r>
        <w:rPr>
          <w:rFonts w:hint="eastAsia" w:ascii="仿宋" w:hAnsi="仿宋" w:eastAsia="仿宋" w:cs="仿宋"/>
          <w:color w:val="auto"/>
          <w:sz w:val="24"/>
        </w:rPr>
        <w:t>投标人对所附表格中要求的资料和询问应做出肯定的回答。</w:t>
      </w:r>
    </w:p>
    <w:p>
      <w:pPr>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eastAsia="zh-CN"/>
        </w:rPr>
        <w:t>谈判文件</w:t>
      </w:r>
      <w:r>
        <w:rPr>
          <w:rFonts w:hint="eastAsia" w:ascii="仿宋" w:hAnsi="仿宋" w:eastAsia="仿宋" w:cs="仿宋"/>
          <w:color w:val="auto"/>
          <w:sz w:val="24"/>
        </w:rPr>
        <w:t>的签字人应保证他所做的声明及对一切问题的回答的真实性和准确。</w:t>
      </w:r>
    </w:p>
    <w:p>
      <w:pPr>
        <w:rPr>
          <w:rFonts w:hint="eastAsia" w:ascii="仿宋" w:hAnsi="仿宋" w:eastAsia="仿宋" w:cs="仿宋"/>
          <w:color w:val="auto"/>
          <w:sz w:val="24"/>
        </w:rPr>
      </w:pPr>
      <w:r>
        <w:rPr>
          <w:rFonts w:hint="eastAsia" w:ascii="仿宋" w:hAnsi="仿宋" w:eastAsia="仿宋" w:cs="仿宋"/>
          <w:color w:val="auto"/>
          <w:sz w:val="24"/>
        </w:rPr>
        <w:t>3、投标人提供的</w:t>
      </w:r>
      <w:r>
        <w:rPr>
          <w:rFonts w:hint="eastAsia" w:ascii="仿宋" w:hAnsi="仿宋" w:eastAsia="仿宋" w:cs="仿宋"/>
          <w:color w:val="auto"/>
          <w:sz w:val="24"/>
          <w:lang w:eastAsia="zh-CN"/>
        </w:rPr>
        <w:t>谈判文件</w:t>
      </w:r>
      <w:r>
        <w:rPr>
          <w:rFonts w:hint="eastAsia" w:ascii="仿宋" w:hAnsi="仿宋" w:eastAsia="仿宋" w:cs="仿宋"/>
          <w:color w:val="auto"/>
          <w:sz w:val="24"/>
        </w:rPr>
        <w:t>将由招标人使用，并据此进行评价和判断，确定投标人的能力。</w:t>
      </w:r>
    </w:p>
    <w:p>
      <w:pPr>
        <w:rPr>
          <w:rFonts w:hint="eastAsia" w:ascii="仿宋" w:hAnsi="仿宋" w:eastAsia="仿宋" w:cs="仿宋"/>
          <w:color w:val="auto"/>
          <w:sz w:val="24"/>
        </w:rPr>
      </w:pPr>
      <w:r>
        <w:rPr>
          <w:rFonts w:hint="eastAsia" w:ascii="仿宋" w:hAnsi="仿宋" w:eastAsia="仿宋" w:cs="仿宋"/>
          <w:color w:val="auto"/>
          <w:sz w:val="24"/>
        </w:rPr>
        <w:t>4、投标人提交的文件将给予保密，但不退还。</w:t>
      </w:r>
    </w:p>
    <w:p>
      <w:pPr>
        <w:spacing w:line="380" w:lineRule="exact"/>
        <w:rPr>
          <w:rFonts w:hint="eastAsia" w:ascii="仿宋" w:hAnsi="仿宋" w:eastAsia="仿宋" w:cs="仿宋"/>
          <w:color w:val="auto"/>
          <w:sz w:val="28"/>
          <w:szCs w:val="28"/>
        </w:rPr>
      </w:pPr>
    </w:p>
    <w:sectPr>
      <w:headerReference r:id="rId13" w:type="default"/>
      <w:footerReference r:id="rId14"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egLNd4AEAALoDAAAO&#10;AAAAAAAAAAEAIAAAACIBAABkcnMvZTJvRG9jLnhtbFBLBQYAAAAABgAGAFkBAAB0BQAAAAA=&#10;">
              <v:fill on="f" focussize="0,0"/>
              <v:stroke on="f" weight="1.25pt"/>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p>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MrzQH+EBAAC6AwAA&#10;DgAAAAAAAAABACAAAAAiAQAAZHJzL2Uyb0RvYy54bWxQSwUGAAAAAAYABgBZAQAAdQUAAAAA&#10;">
              <v:fill on="f" focussize="0,0"/>
              <v:stroke on="f" weight="1.25pt"/>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p>
    <w:pPr>
      <w:pStyle w:val="2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GYnUDTAQAApQMAAA4AAAAAAAAAAQAgAAAA&#10;IgEAAGRycy9lMm9Eb2MueG1sUEsFBgAAAAAGAAYAWQEAAGcFAAAAAA==&#10;">
              <v:fill on="f" focussize="0,0"/>
              <v:stroke on="f" weight="1.2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Lv3NE9IBAAClAwAADgAAAAAAAAABACAAAAAi&#10;AQAAZHJzL2Uyb0RvYy54bWxQSwUGAAAAAAYABgBZAQAAZgUAAAAA&#10;">
              <v:fill on="f" focussize="0,0"/>
              <v:stroke on="f" weight="1.2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cente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NpGRx+EBAAC8AwAA&#10;DgAAAAAAAAABACAAAAAiAQAAZHJzL2Uyb0RvYy54bWxQSwUGAAAAAAYABgBZAQAAdQUAAAAA&#10;">
              <v:fill on="f" focussize="0,0"/>
              <v:stroke on="f" weight="1.25pt"/>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spacing w:line="380" w:lineRule="exact"/>
      <w:jc w:val="both"/>
      <w:rPr>
        <w:rFonts w:hint="eastAsia"/>
        <w:sz w:val="24"/>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73A53"/>
    <w:multiLevelType w:val="singleLevel"/>
    <w:tmpl w:val="8CA73A53"/>
    <w:lvl w:ilvl="0" w:tentative="0">
      <w:start w:val="1"/>
      <w:numFmt w:val="decimal"/>
      <w:lvlText w:val="%1)"/>
      <w:lvlJc w:val="left"/>
      <w:pPr>
        <w:ind w:left="425" w:hanging="425"/>
      </w:pPr>
      <w:rPr>
        <w:rFonts w:hint="default"/>
        <w:sz w:val="24"/>
        <w:szCs w:val="24"/>
      </w:rPr>
    </w:lvl>
  </w:abstractNum>
  <w:abstractNum w:abstractNumId="1">
    <w:nsid w:val="99B19BFF"/>
    <w:multiLevelType w:val="singleLevel"/>
    <w:tmpl w:val="99B19BFF"/>
    <w:lvl w:ilvl="0" w:tentative="0">
      <w:start w:val="4"/>
      <w:numFmt w:val="chineseCounting"/>
      <w:suff w:val="space"/>
      <w:lvlText w:val="第%1章"/>
      <w:lvlJc w:val="left"/>
      <w:rPr>
        <w:rFonts w:hint="eastAsia"/>
      </w:rPr>
    </w:lvl>
  </w:abstractNum>
  <w:abstractNum w:abstractNumId="2">
    <w:nsid w:val="9C6EACCF"/>
    <w:multiLevelType w:val="singleLevel"/>
    <w:tmpl w:val="9C6EACCF"/>
    <w:lvl w:ilvl="0" w:tentative="0">
      <w:start w:val="3"/>
      <w:numFmt w:val="chineseCounting"/>
      <w:suff w:val="space"/>
      <w:lvlText w:val="第%1部分"/>
      <w:lvlJc w:val="left"/>
      <w:rPr>
        <w:rFonts w:hint="eastAsia"/>
      </w:rPr>
    </w:lvl>
  </w:abstractNum>
  <w:abstractNum w:abstractNumId="3">
    <w:nsid w:val="BD96CC2A"/>
    <w:multiLevelType w:val="singleLevel"/>
    <w:tmpl w:val="BD96CC2A"/>
    <w:lvl w:ilvl="0" w:tentative="0">
      <w:start w:val="2"/>
      <w:numFmt w:val="chineseCounting"/>
      <w:suff w:val="nothing"/>
      <w:lvlText w:val="（%1）"/>
      <w:lvlJc w:val="left"/>
      <w:rPr>
        <w:rFonts w:hint="eastAsia"/>
      </w:rPr>
    </w:lvl>
  </w:abstractNum>
  <w:abstractNum w:abstractNumId="4">
    <w:nsid w:val="CE48D951"/>
    <w:multiLevelType w:val="singleLevel"/>
    <w:tmpl w:val="CE48D951"/>
    <w:lvl w:ilvl="0" w:tentative="0">
      <w:start w:val="1"/>
      <w:numFmt w:val="decimal"/>
      <w:pStyle w:val="76"/>
      <w:suff w:val="nothing"/>
      <w:lvlText w:val="%1、"/>
      <w:lvlJc w:val="left"/>
    </w:lvl>
  </w:abstractNum>
  <w:abstractNum w:abstractNumId="5">
    <w:nsid w:val="0000000C"/>
    <w:multiLevelType w:val="multilevel"/>
    <w:tmpl w:val="0000000C"/>
    <w:lvl w:ilvl="0" w:tentative="0">
      <w:start w:val="2"/>
      <w:numFmt w:val="decimal"/>
      <w:pStyle w:val="52"/>
      <w:suff w:val="nothing"/>
      <w:lvlText w:val="%1、"/>
      <w:lvlJc w:val="left"/>
    </w:lvl>
    <w:lvl w:ilvl="1" w:tentative="0">
      <w:start w:val="1"/>
      <w:numFmt w:val="decimal"/>
      <w:pStyle w:val="75"/>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5"/>
      <w:lvlText w:val="%4)"/>
      <w:lvlJc w:val="left"/>
      <w:pPr>
        <w:tabs>
          <w:tab w:val="left" w:pos="1680"/>
        </w:tabs>
        <w:ind w:left="1680" w:hanging="420"/>
      </w:pPr>
      <w:rPr>
        <w:rFonts w:hint="default"/>
      </w:rPr>
    </w:lvl>
    <w:lvl w:ilvl="4" w:tentative="0">
      <w:start w:val="1"/>
      <w:numFmt w:val="lowerLetter"/>
      <w:pStyle w:val="6"/>
      <w:lvlText w:val="%5."/>
      <w:lvlJc w:val="left"/>
      <w:pPr>
        <w:tabs>
          <w:tab w:val="left" w:pos="2100"/>
        </w:tabs>
        <w:ind w:left="2100" w:hanging="420"/>
      </w:pPr>
      <w:rPr>
        <w:rFonts w:hint="default"/>
      </w:rPr>
    </w:lvl>
    <w:lvl w:ilvl="5" w:tentative="0">
      <w:start w:val="1"/>
      <w:numFmt w:val="lowerLetter"/>
      <w:pStyle w:val="7"/>
      <w:lvlText w:val="%6)"/>
      <w:lvlJc w:val="left"/>
      <w:pPr>
        <w:tabs>
          <w:tab w:val="left" w:pos="2520"/>
        </w:tabs>
        <w:ind w:left="2520" w:hanging="420"/>
      </w:pPr>
      <w:rPr>
        <w:rFonts w:hint="default"/>
      </w:rPr>
    </w:lvl>
    <w:lvl w:ilvl="6" w:tentative="0">
      <w:start w:val="1"/>
      <w:numFmt w:val="lowerRoman"/>
      <w:pStyle w:val="8"/>
      <w:lvlText w:val="%7."/>
      <w:lvlJc w:val="left"/>
      <w:pPr>
        <w:tabs>
          <w:tab w:val="left" w:pos="2940"/>
        </w:tabs>
        <w:ind w:left="2940" w:hanging="420"/>
      </w:pPr>
      <w:rPr>
        <w:rFonts w:hint="default"/>
      </w:rPr>
    </w:lvl>
    <w:lvl w:ilvl="7" w:tentative="0">
      <w:start w:val="1"/>
      <w:numFmt w:val="lowerRoman"/>
      <w:pStyle w:val="9"/>
      <w:lvlText w:val="%8)"/>
      <w:lvlJc w:val="left"/>
      <w:pPr>
        <w:tabs>
          <w:tab w:val="left" w:pos="3360"/>
        </w:tabs>
        <w:ind w:left="3360" w:hanging="420"/>
      </w:pPr>
      <w:rPr>
        <w:rFonts w:hint="default"/>
      </w:rPr>
    </w:lvl>
    <w:lvl w:ilvl="8" w:tentative="0">
      <w:start w:val="1"/>
      <w:numFmt w:val="lowerLetter"/>
      <w:pStyle w:val="10"/>
      <w:lvlText w:val="%9."/>
      <w:lvlJc w:val="left"/>
      <w:pPr>
        <w:tabs>
          <w:tab w:val="left" w:pos="3780"/>
        </w:tabs>
        <w:ind w:left="3780" w:hanging="420"/>
      </w:pPr>
      <w:rPr>
        <w:rFonts w:hint="default"/>
      </w:rPr>
    </w:lvl>
  </w:abstractNum>
  <w:abstractNum w:abstractNumId="6">
    <w:nsid w:val="053D9097"/>
    <w:multiLevelType w:val="singleLevel"/>
    <w:tmpl w:val="053D9097"/>
    <w:lvl w:ilvl="0" w:tentative="0">
      <w:start w:val="1"/>
      <w:numFmt w:val="decimal"/>
      <w:lvlText w:val="%1)"/>
      <w:lvlJc w:val="left"/>
      <w:pPr>
        <w:ind w:left="425" w:hanging="425"/>
      </w:pPr>
      <w:rPr>
        <w:rFonts w:hint="default"/>
      </w:rPr>
    </w:lvl>
  </w:abstractNum>
  <w:abstractNum w:abstractNumId="7">
    <w:nsid w:val="07BB68B4"/>
    <w:multiLevelType w:val="singleLevel"/>
    <w:tmpl w:val="07BB68B4"/>
    <w:lvl w:ilvl="0" w:tentative="0">
      <w:start w:val="14"/>
      <w:numFmt w:val="chineseCounting"/>
      <w:suff w:val="nothing"/>
      <w:lvlText w:val="%1、"/>
      <w:lvlJc w:val="left"/>
      <w:rPr>
        <w:rFonts w:hint="eastAsia"/>
      </w:rPr>
    </w:lvl>
  </w:abstractNum>
  <w:abstractNum w:abstractNumId="8">
    <w:nsid w:val="19C5E42D"/>
    <w:multiLevelType w:val="singleLevel"/>
    <w:tmpl w:val="19C5E42D"/>
    <w:lvl w:ilvl="0" w:tentative="0">
      <w:start w:val="1"/>
      <w:numFmt w:val="decimal"/>
      <w:pStyle w:val="12"/>
      <w:lvlText w:val="%1."/>
      <w:lvlJc w:val="left"/>
      <w:pPr>
        <w:tabs>
          <w:tab w:val="left" w:pos="360"/>
        </w:tabs>
        <w:ind w:left="360" w:hanging="360"/>
      </w:pPr>
    </w:lvl>
  </w:abstractNum>
  <w:abstractNum w:abstractNumId="9">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6F707B4"/>
    <w:multiLevelType w:val="multilevel"/>
    <w:tmpl w:val="26F707B4"/>
    <w:lvl w:ilvl="0" w:tentative="0">
      <w:start w:val="1"/>
      <w:numFmt w:val="decimal"/>
      <w:lvlText w:val="（%1）"/>
      <w:lvlJc w:val="left"/>
      <w:pPr>
        <w:tabs>
          <w:tab w:val="left" w:pos="1260"/>
        </w:tabs>
        <w:ind w:left="1260" w:hanging="720"/>
        <w:textAlignment w:val="baseline"/>
      </w:pPr>
    </w:lvl>
    <w:lvl w:ilvl="1" w:tentative="0">
      <w:start w:val="1"/>
      <w:numFmt w:val="lowerLetter"/>
      <w:lvlText w:val="%1)"/>
      <w:lvlJc w:val="left"/>
      <w:pPr>
        <w:tabs>
          <w:tab w:val="left" w:pos="900"/>
        </w:tabs>
        <w:ind w:left="900" w:hanging="420"/>
        <w:textAlignment w:val="baseline"/>
      </w:pPr>
    </w:lvl>
    <w:lvl w:ilvl="2" w:tentative="0">
      <w:start w:val="1"/>
      <w:numFmt w:val="lowerRoman"/>
      <w:lvlText w:val="%1."/>
      <w:lvlJc w:val="right"/>
      <w:pPr>
        <w:tabs>
          <w:tab w:val="left" w:pos="1320"/>
        </w:tabs>
        <w:ind w:left="1320" w:hanging="420"/>
        <w:textAlignment w:val="baseline"/>
      </w:pPr>
    </w:lvl>
    <w:lvl w:ilvl="3" w:tentative="0">
      <w:start w:val="1"/>
      <w:numFmt w:val="decimal"/>
      <w:lvlText w:val="%1."/>
      <w:lvlJc w:val="left"/>
      <w:pPr>
        <w:tabs>
          <w:tab w:val="left" w:pos="1740"/>
        </w:tabs>
        <w:ind w:left="1740" w:hanging="420"/>
        <w:textAlignment w:val="baseline"/>
      </w:pPr>
    </w:lvl>
    <w:lvl w:ilvl="4" w:tentative="0">
      <w:start w:val="1"/>
      <w:numFmt w:val="lowerLetter"/>
      <w:lvlText w:val="%1)"/>
      <w:lvlJc w:val="left"/>
      <w:pPr>
        <w:tabs>
          <w:tab w:val="left" w:pos="2160"/>
        </w:tabs>
        <w:ind w:left="2160" w:hanging="420"/>
        <w:textAlignment w:val="baseline"/>
      </w:pPr>
    </w:lvl>
    <w:lvl w:ilvl="5" w:tentative="0">
      <w:start w:val="1"/>
      <w:numFmt w:val="lowerRoman"/>
      <w:lvlText w:val="%1."/>
      <w:lvlJc w:val="right"/>
      <w:pPr>
        <w:tabs>
          <w:tab w:val="left" w:pos="2580"/>
        </w:tabs>
        <w:ind w:left="2580" w:hanging="420"/>
        <w:textAlignment w:val="baseline"/>
      </w:pPr>
    </w:lvl>
    <w:lvl w:ilvl="6" w:tentative="0">
      <w:start w:val="1"/>
      <w:numFmt w:val="decimal"/>
      <w:lvlText w:val="%1."/>
      <w:lvlJc w:val="left"/>
      <w:pPr>
        <w:tabs>
          <w:tab w:val="left" w:pos="3000"/>
        </w:tabs>
        <w:ind w:left="3000" w:hanging="420"/>
        <w:textAlignment w:val="baseline"/>
      </w:pPr>
    </w:lvl>
    <w:lvl w:ilvl="7" w:tentative="0">
      <w:start w:val="1"/>
      <w:numFmt w:val="lowerLetter"/>
      <w:lvlText w:val="%1)"/>
      <w:lvlJc w:val="left"/>
      <w:pPr>
        <w:tabs>
          <w:tab w:val="left" w:pos="3420"/>
        </w:tabs>
        <w:ind w:left="3420" w:hanging="420"/>
        <w:textAlignment w:val="baseline"/>
      </w:pPr>
    </w:lvl>
    <w:lvl w:ilvl="8" w:tentative="0">
      <w:start w:val="1"/>
      <w:numFmt w:val="lowerRoman"/>
      <w:lvlText w:val="%1."/>
      <w:lvlJc w:val="right"/>
      <w:pPr>
        <w:tabs>
          <w:tab w:val="left" w:pos="3840"/>
        </w:tabs>
        <w:ind w:left="3840" w:hanging="420"/>
        <w:textAlignment w:val="baseline"/>
      </w:pPr>
    </w:lvl>
  </w:abstractNum>
  <w:abstractNum w:abstractNumId="11">
    <w:nsid w:val="2FB186BF"/>
    <w:multiLevelType w:val="singleLevel"/>
    <w:tmpl w:val="2FB186BF"/>
    <w:lvl w:ilvl="0" w:tentative="0">
      <w:start w:val="1"/>
      <w:numFmt w:val="decimal"/>
      <w:lvlText w:val="%1)"/>
      <w:lvlJc w:val="left"/>
      <w:pPr>
        <w:ind w:left="425" w:hanging="425"/>
      </w:pPr>
      <w:rPr>
        <w:rFonts w:hint="default"/>
      </w:rPr>
    </w:lvl>
  </w:abstractNum>
  <w:abstractNum w:abstractNumId="12">
    <w:nsid w:val="38E72660"/>
    <w:multiLevelType w:val="multilevel"/>
    <w:tmpl w:val="38E72660"/>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13">
    <w:nsid w:val="4B8F68CF"/>
    <w:multiLevelType w:val="multilevel"/>
    <w:tmpl w:val="4B8F68CF"/>
    <w:lvl w:ilvl="0" w:tentative="0">
      <w:start w:val="1"/>
      <w:numFmt w:val="decimal"/>
      <w:lvlText w:val="（%1）"/>
      <w:lvlJc w:val="left"/>
      <w:pPr>
        <w:tabs>
          <w:tab w:val="left" w:pos="1200"/>
        </w:tabs>
        <w:ind w:left="1200" w:hanging="7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14">
    <w:nsid w:val="63A190A5"/>
    <w:multiLevelType w:val="singleLevel"/>
    <w:tmpl w:val="63A190A5"/>
    <w:lvl w:ilvl="0" w:tentative="0">
      <w:start w:val="1"/>
      <w:numFmt w:val="decimal"/>
      <w:suff w:val="nothing"/>
      <w:lvlText w:val="%1、"/>
      <w:lvlJc w:val="left"/>
    </w:lvl>
  </w:abstractNum>
  <w:num w:numId="1">
    <w:abstractNumId w:val="5"/>
  </w:num>
  <w:num w:numId="2">
    <w:abstractNumId w:val="8"/>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1"/>
  </w:num>
  <w:num w:numId="8">
    <w:abstractNumId w:val="6"/>
  </w:num>
  <w:num w:numId="9">
    <w:abstractNumId w:val="0"/>
  </w:num>
  <w:num w:numId="10">
    <w:abstractNumId w:val="9"/>
  </w:num>
  <w:num w:numId="11">
    <w:abstractNumId w:val="7"/>
  </w:num>
  <w:num w:numId="12">
    <w:abstractNumId w:val="14"/>
  </w:num>
  <w:num w:numId="13">
    <w:abstractNumId w:val="1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M2I3ZWEzZWViNGJlM2M5OTdjNTQzZjllOThlMzUifQ=="/>
  </w:docVars>
  <w:rsids>
    <w:rsidRoot w:val="00172A27"/>
    <w:rsid w:val="000F78F8"/>
    <w:rsid w:val="00164C33"/>
    <w:rsid w:val="002F5EFC"/>
    <w:rsid w:val="002F6D43"/>
    <w:rsid w:val="004852A3"/>
    <w:rsid w:val="006843FA"/>
    <w:rsid w:val="006A7838"/>
    <w:rsid w:val="00735ACC"/>
    <w:rsid w:val="0078578F"/>
    <w:rsid w:val="009D1D6B"/>
    <w:rsid w:val="00A54779"/>
    <w:rsid w:val="00B42D9D"/>
    <w:rsid w:val="00B71FBF"/>
    <w:rsid w:val="00C56DFF"/>
    <w:rsid w:val="00D41950"/>
    <w:rsid w:val="00D4336C"/>
    <w:rsid w:val="00D70EA7"/>
    <w:rsid w:val="00E77F2B"/>
    <w:rsid w:val="00E83F8F"/>
    <w:rsid w:val="00EF1595"/>
    <w:rsid w:val="00FD7FED"/>
    <w:rsid w:val="017753C6"/>
    <w:rsid w:val="017F5739"/>
    <w:rsid w:val="01882F2E"/>
    <w:rsid w:val="01916D9E"/>
    <w:rsid w:val="01D10442"/>
    <w:rsid w:val="01D12494"/>
    <w:rsid w:val="022A7A8C"/>
    <w:rsid w:val="024A0BA6"/>
    <w:rsid w:val="025678F5"/>
    <w:rsid w:val="02647AD4"/>
    <w:rsid w:val="02A14C7A"/>
    <w:rsid w:val="02D15580"/>
    <w:rsid w:val="02EB4148"/>
    <w:rsid w:val="03164A81"/>
    <w:rsid w:val="03793B97"/>
    <w:rsid w:val="03895ADE"/>
    <w:rsid w:val="03CA7259"/>
    <w:rsid w:val="03D604BB"/>
    <w:rsid w:val="04257B1C"/>
    <w:rsid w:val="048C2C9E"/>
    <w:rsid w:val="04B213C1"/>
    <w:rsid w:val="04B54A0D"/>
    <w:rsid w:val="04EE6171"/>
    <w:rsid w:val="04FD70C7"/>
    <w:rsid w:val="0510448D"/>
    <w:rsid w:val="054933A7"/>
    <w:rsid w:val="05536562"/>
    <w:rsid w:val="055920B6"/>
    <w:rsid w:val="05621F2C"/>
    <w:rsid w:val="05692D56"/>
    <w:rsid w:val="05DC228D"/>
    <w:rsid w:val="060D148A"/>
    <w:rsid w:val="062B7991"/>
    <w:rsid w:val="06717375"/>
    <w:rsid w:val="06AF013D"/>
    <w:rsid w:val="06F9464B"/>
    <w:rsid w:val="07436C5F"/>
    <w:rsid w:val="07B25F62"/>
    <w:rsid w:val="07BA1167"/>
    <w:rsid w:val="07E15CC2"/>
    <w:rsid w:val="082F3FD3"/>
    <w:rsid w:val="08A33098"/>
    <w:rsid w:val="08F655F4"/>
    <w:rsid w:val="095C4021"/>
    <w:rsid w:val="097A4F8F"/>
    <w:rsid w:val="099A5D5B"/>
    <w:rsid w:val="0A035572"/>
    <w:rsid w:val="0A124C34"/>
    <w:rsid w:val="0A3379CB"/>
    <w:rsid w:val="0A8214DE"/>
    <w:rsid w:val="0A932CCA"/>
    <w:rsid w:val="0AD1579D"/>
    <w:rsid w:val="0B306B9A"/>
    <w:rsid w:val="0B410F8B"/>
    <w:rsid w:val="0B58238F"/>
    <w:rsid w:val="0B7E012E"/>
    <w:rsid w:val="0B8C1F3D"/>
    <w:rsid w:val="0BBA6113"/>
    <w:rsid w:val="0BD81D82"/>
    <w:rsid w:val="0C70367A"/>
    <w:rsid w:val="0C871385"/>
    <w:rsid w:val="0C9B30E4"/>
    <w:rsid w:val="0CBE1BE2"/>
    <w:rsid w:val="0CC54204"/>
    <w:rsid w:val="0D3851A2"/>
    <w:rsid w:val="0D410B01"/>
    <w:rsid w:val="0DC54E21"/>
    <w:rsid w:val="0E1025E9"/>
    <w:rsid w:val="0E187EE3"/>
    <w:rsid w:val="0E395338"/>
    <w:rsid w:val="0E4F198B"/>
    <w:rsid w:val="0E572FD9"/>
    <w:rsid w:val="0EAC48BD"/>
    <w:rsid w:val="0EBF3FBE"/>
    <w:rsid w:val="0F3B0774"/>
    <w:rsid w:val="0F597EC1"/>
    <w:rsid w:val="0F6D24C6"/>
    <w:rsid w:val="104135F9"/>
    <w:rsid w:val="105D6BCF"/>
    <w:rsid w:val="10824ED0"/>
    <w:rsid w:val="108B08F2"/>
    <w:rsid w:val="10907D37"/>
    <w:rsid w:val="10A9611E"/>
    <w:rsid w:val="10E332F1"/>
    <w:rsid w:val="11114205"/>
    <w:rsid w:val="1120496E"/>
    <w:rsid w:val="11693E13"/>
    <w:rsid w:val="119B0672"/>
    <w:rsid w:val="11D9089D"/>
    <w:rsid w:val="11E93B5E"/>
    <w:rsid w:val="12723C85"/>
    <w:rsid w:val="12A003E8"/>
    <w:rsid w:val="12C246A7"/>
    <w:rsid w:val="12EE7E64"/>
    <w:rsid w:val="13063E3E"/>
    <w:rsid w:val="131655CE"/>
    <w:rsid w:val="134C2C02"/>
    <w:rsid w:val="134F3193"/>
    <w:rsid w:val="13EA53A0"/>
    <w:rsid w:val="142F202D"/>
    <w:rsid w:val="14710DC1"/>
    <w:rsid w:val="14754F4B"/>
    <w:rsid w:val="147F687F"/>
    <w:rsid w:val="14C82A75"/>
    <w:rsid w:val="14D868FD"/>
    <w:rsid w:val="153F193C"/>
    <w:rsid w:val="15524BE4"/>
    <w:rsid w:val="15DB6150"/>
    <w:rsid w:val="16290DB7"/>
    <w:rsid w:val="162D6097"/>
    <w:rsid w:val="165E2C35"/>
    <w:rsid w:val="16866FA7"/>
    <w:rsid w:val="175B1B2C"/>
    <w:rsid w:val="178253FE"/>
    <w:rsid w:val="17A0586A"/>
    <w:rsid w:val="17C77F6D"/>
    <w:rsid w:val="17EC02EE"/>
    <w:rsid w:val="1867248F"/>
    <w:rsid w:val="18725D99"/>
    <w:rsid w:val="189E2620"/>
    <w:rsid w:val="18D46954"/>
    <w:rsid w:val="18F173E8"/>
    <w:rsid w:val="190268FE"/>
    <w:rsid w:val="197163E1"/>
    <w:rsid w:val="19A253D3"/>
    <w:rsid w:val="19D40F30"/>
    <w:rsid w:val="1A415875"/>
    <w:rsid w:val="1AF23E6D"/>
    <w:rsid w:val="1AF37BE5"/>
    <w:rsid w:val="1B2158C7"/>
    <w:rsid w:val="1C006EAF"/>
    <w:rsid w:val="1C190A99"/>
    <w:rsid w:val="1C206580"/>
    <w:rsid w:val="1C3D63ED"/>
    <w:rsid w:val="1C6B037B"/>
    <w:rsid w:val="1C8E5E18"/>
    <w:rsid w:val="1CBB4922"/>
    <w:rsid w:val="1CCB2A5A"/>
    <w:rsid w:val="1CE2284F"/>
    <w:rsid w:val="1CE27665"/>
    <w:rsid w:val="1D1F7314"/>
    <w:rsid w:val="1D985169"/>
    <w:rsid w:val="1DAA1CFA"/>
    <w:rsid w:val="1DF47391"/>
    <w:rsid w:val="1E0B6D0F"/>
    <w:rsid w:val="1E436CBC"/>
    <w:rsid w:val="1E4F29BA"/>
    <w:rsid w:val="1E4F50EF"/>
    <w:rsid w:val="1E9637FD"/>
    <w:rsid w:val="1EBB7EAA"/>
    <w:rsid w:val="1ECB747F"/>
    <w:rsid w:val="1F026509"/>
    <w:rsid w:val="1F771A4D"/>
    <w:rsid w:val="20451F26"/>
    <w:rsid w:val="206705CC"/>
    <w:rsid w:val="207C716F"/>
    <w:rsid w:val="20A6633B"/>
    <w:rsid w:val="20F011EF"/>
    <w:rsid w:val="21310218"/>
    <w:rsid w:val="21A16738"/>
    <w:rsid w:val="21BB1762"/>
    <w:rsid w:val="21DC0A70"/>
    <w:rsid w:val="21E620E9"/>
    <w:rsid w:val="220215B6"/>
    <w:rsid w:val="23915BF2"/>
    <w:rsid w:val="23AE6F3A"/>
    <w:rsid w:val="23F9781D"/>
    <w:rsid w:val="24635540"/>
    <w:rsid w:val="24740FED"/>
    <w:rsid w:val="247B615F"/>
    <w:rsid w:val="248701F4"/>
    <w:rsid w:val="248E4857"/>
    <w:rsid w:val="24E53A07"/>
    <w:rsid w:val="24ED1F1B"/>
    <w:rsid w:val="24EF6BB0"/>
    <w:rsid w:val="2500187D"/>
    <w:rsid w:val="25495698"/>
    <w:rsid w:val="25550F0F"/>
    <w:rsid w:val="2567077F"/>
    <w:rsid w:val="2593449F"/>
    <w:rsid w:val="259B4ADE"/>
    <w:rsid w:val="25C46060"/>
    <w:rsid w:val="25C91C6F"/>
    <w:rsid w:val="260E4A99"/>
    <w:rsid w:val="262D4932"/>
    <w:rsid w:val="26360BC2"/>
    <w:rsid w:val="263B7010"/>
    <w:rsid w:val="26527375"/>
    <w:rsid w:val="26705CF5"/>
    <w:rsid w:val="26845B90"/>
    <w:rsid w:val="26955E2C"/>
    <w:rsid w:val="26A15028"/>
    <w:rsid w:val="26F70735"/>
    <w:rsid w:val="27585507"/>
    <w:rsid w:val="275E310C"/>
    <w:rsid w:val="27AB234F"/>
    <w:rsid w:val="27C54C43"/>
    <w:rsid w:val="27CB1478"/>
    <w:rsid w:val="27D677D0"/>
    <w:rsid w:val="27FE496D"/>
    <w:rsid w:val="281015F1"/>
    <w:rsid w:val="28727659"/>
    <w:rsid w:val="28845CC2"/>
    <w:rsid w:val="28887BBF"/>
    <w:rsid w:val="28A702B9"/>
    <w:rsid w:val="28BE3623"/>
    <w:rsid w:val="28C96735"/>
    <w:rsid w:val="28DB6EAA"/>
    <w:rsid w:val="290556B4"/>
    <w:rsid w:val="2920429C"/>
    <w:rsid w:val="29223A0C"/>
    <w:rsid w:val="293715E5"/>
    <w:rsid w:val="294D2BB7"/>
    <w:rsid w:val="296C4096"/>
    <w:rsid w:val="29B80F87"/>
    <w:rsid w:val="2A3558B4"/>
    <w:rsid w:val="2A613DB9"/>
    <w:rsid w:val="2A7B5F07"/>
    <w:rsid w:val="2A871192"/>
    <w:rsid w:val="2AA8758A"/>
    <w:rsid w:val="2AAE6BCF"/>
    <w:rsid w:val="2AE06085"/>
    <w:rsid w:val="2B433BE2"/>
    <w:rsid w:val="2C0078D2"/>
    <w:rsid w:val="2C2C721C"/>
    <w:rsid w:val="2CD54B39"/>
    <w:rsid w:val="2CDA0972"/>
    <w:rsid w:val="2D3F156A"/>
    <w:rsid w:val="2D4F7387"/>
    <w:rsid w:val="2D913ECB"/>
    <w:rsid w:val="2DC16D9B"/>
    <w:rsid w:val="2E0C1292"/>
    <w:rsid w:val="2E0C5E9C"/>
    <w:rsid w:val="2E231423"/>
    <w:rsid w:val="2E4B76EC"/>
    <w:rsid w:val="2EC51780"/>
    <w:rsid w:val="2EEC1136"/>
    <w:rsid w:val="2EF56EA2"/>
    <w:rsid w:val="2F1D1D8E"/>
    <w:rsid w:val="2F2A04CA"/>
    <w:rsid w:val="2F2B74F6"/>
    <w:rsid w:val="2F391C13"/>
    <w:rsid w:val="2F4C12F7"/>
    <w:rsid w:val="2F52087C"/>
    <w:rsid w:val="2F570AD7"/>
    <w:rsid w:val="2F84708E"/>
    <w:rsid w:val="2F9D1627"/>
    <w:rsid w:val="2FB9063A"/>
    <w:rsid w:val="2FD76221"/>
    <w:rsid w:val="2FEA776D"/>
    <w:rsid w:val="300A4BE4"/>
    <w:rsid w:val="302225B6"/>
    <w:rsid w:val="302945C4"/>
    <w:rsid w:val="30384235"/>
    <w:rsid w:val="30B240A1"/>
    <w:rsid w:val="30BA5D83"/>
    <w:rsid w:val="30F465F9"/>
    <w:rsid w:val="31025BFE"/>
    <w:rsid w:val="310B5295"/>
    <w:rsid w:val="312E12F0"/>
    <w:rsid w:val="31665252"/>
    <w:rsid w:val="31CB168D"/>
    <w:rsid w:val="31EB38F9"/>
    <w:rsid w:val="31F877A0"/>
    <w:rsid w:val="320B3E33"/>
    <w:rsid w:val="327021AB"/>
    <w:rsid w:val="32731930"/>
    <w:rsid w:val="329218B6"/>
    <w:rsid w:val="32B05762"/>
    <w:rsid w:val="332E6D2C"/>
    <w:rsid w:val="33501C21"/>
    <w:rsid w:val="33650BC1"/>
    <w:rsid w:val="337D01A8"/>
    <w:rsid w:val="33A9307D"/>
    <w:rsid w:val="33AD37C7"/>
    <w:rsid w:val="33F64849"/>
    <w:rsid w:val="3405793E"/>
    <w:rsid w:val="342601B1"/>
    <w:rsid w:val="347C79C5"/>
    <w:rsid w:val="34966C87"/>
    <w:rsid w:val="34D23D8F"/>
    <w:rsid w:val="34E17CC1"/>
    <w:rsid w:val="351C3972"/>
    <w:rsid w:val="351E257D"/>
    <w:rsid w:val="35535DF9"/>
    <w:rsid w:val="357830FD"/>
    <w:rsid w:val="358A639D"/>
    <w:rsid w:val="36101977"/>
    <w:rsid w:val="363A12E4"/>
    <w:rsid w:val="365517B7"/>
    <w:rsid w:val="36722E94"/>
    <w:rsid w:val="3681127D"/>
    <w:rsid w:val="368C74AA"/>
    <w:rsid w:val="369A4AAB"/>
    <w:rsid w:val="36B63A76"/>
    <w:rsid w:val="36D16E9F"/>
    <w:rsid w:val="37180D0B"/>
    <w:rsid w:val="37352257"/>
    <w:rsid w:val="374C7D9F"/>
    <w:rsid w:val="374E0226"/>
    <w:rsid w:val="374F4745"/>
    <w:rsid w:val="375A3AF3"/>
    <w:rsid w:val="37622048"/>
    <w:rsid w:val="38B65BDD"/>
    <w:rsid w:val="38C5252E"/>
    <w:rsid w:val="38C60AB9"/>
    <w:rsid w:val="38EE5DE8"/>
    <w:rsid w:val="38FA6EBF"/>
    <w:rsid w:val="39083B56"/>
    <w:rsid w:val="39575489"/>
    <w:rsid w:val="395E28CA"/>
    <w:rsid w:val="39663F4D"/>
    <w:rsid w:val="39DD53FD"/>
    <w:rsid w:val="3A05640B"/>
    <w:rsid w:val="3A34505A"/>
    <w:rsid w:val="3A442FE9"/>
    <w:rsid w:val="3A5969B4"/>
    <w:rsid w:val="3B547DD5"/>
    <w:rsid w:val="3B674DD1"/>
    <w:rsid w:val="3B7F4C3A"/>
    <w:rsid w:val="3B887742"/>
    <w:rsid w:val="3B9628EE"/>
    <w:rsid w:val="3B9B23CA"/>
    <w:rsid w:val="3BBD597A"/>
    <w:rsid w:val="3C3A012D"/>
    <w:rsid w:val="3C457305"/>
    <w:rsid w:val="3C5B7C42"/>
    <w:rsid w:val="3C621722"/>
    <w:rsid w:val="3C9D78A5"/>
    <w:rsid w:val="3CB31014"/>
    <w:rsid w:val="3CE17E80"/>
    <w:rsid w:val="3CF83553"/>
    <w:rsid w:val="3D2F72C4"/>
    <w:rsid w:val="3DE758F0"/>
    <w:rsid w:val="3DF46EE2"/>
    <w:rsid w:val="3E012500"/>
    <w:rsid w:val="3E5F0393"/>
    <w:rsid w:val="3E987FAB"/>
    <w:rsid w:val="3E9B3456"/>
    <w:rsid w:val="3EDA5274"/>
    <w:rsid w:val="3EF26442"/>
    <w:rsid w:val="3F1D60A0"/>
    <w:rsid w:val="3FA13A7E"/>
    <w:rsid w:val="3FB90913"/>
    <w:rsid w:val="3FC94073"/>
    <w:rsid w:val="406946E9"/>
    <w:rsid w:val="40A7791E"/>
    <w:rsid w:val="41661607"/>
    <w:rsid w:val="41B164B6"/>
    <w:rsid w:val="41CB6494"/>
    <w:rsid w:val="41CF588A"/>
    <w:rsid w:val="41D628A7"/>
    <w:rsid w:val="41E24788"/>
    <w:rsid w:val="41EC0D67"/>
    <w:rsid w:val="41EE08A5"/>
    <w:rsid w:val="420C2C04"/>
    <w:rsid w:val="427325F4"/>
    <w:rsid w:val="42882165"/>
    <w:rsid w:val="42B31885"/>
    <w:rsid w:val="430B642E"/>
    <w:rsid w:val="430C2C22"/>
    <w:rsid w:val="4377495C"/>
    <w:rsid w:val="43DF5027"/>
    <w:rsid w:val="44213529"/>
    <w:rsid w:val="442549A0"/>
    <w:rsid w:val="44BD7C24"/>
    <w:rsid w:val="44DD2EE3"/>
    <w:rsid w:val="4504461A"/>
    <w:rsid w:val="450D65D4"/>
    <w:rsid w:val="455E4BA2"/>
    <w:rsid w:val="456071E7"/>
    <w:rsid w:val="45863910"/>
    <w:rsid w:val="45920B15"/>
    <w:rsid w:val="459D123E"/>
    <w:rsid w:val="45EB3DD6"/>
    <w:rsid w:val="4610213A"/>
    <w:rsid w:val="461C6256"/>
    <w:rsid w:val="462D5C7F"/>
    <w:rsid w:val="46325C58"/>
    <w:rsid w:val="46466F77"/>
    <w:rsid w:val="467008B0"/>
    <w:rsid w:val="469519CD"/>
    <w:rsid w:val="46A74B88"/>
    <w:rsid w:val="46BA07E8"/>
    <w:rsid w:val="46E4489A"/>
    <w:rsid w:val="46F04E55"/>
    <w:rsid w:val="47304E59"/>
    <w:rsid w:val="47B944D6"/>
    <w:rsid w:val="48313978"/>
    <w:rsid w:val="485633DE"/>
    <w:rsid w:val="486D481D"/>
    <w:rsid w:val="48793F29"/>
    <w:rsid w:val="48AC1460"/>
    <w:rsid w:val="48B03117"/>
    <w:rsid w:val="48BE55D6"/>
    <w:rsid w:val="48C87B66"/>
    <w:rsid w:val="48E716FF"/>
    <w:rsid w:val="49154F13"/>
    <w:rsid w:val="496E2020"/>
    <w:rsid w:val="4971269F"/>
    <w:rsid w:val="49791ACC"/>
    <w:rsid w:val="498B2FA1"/>
    <w:rsid w:val="49947F4E"/>
    <w:rsid w:val="49C71CCA"/>
    <w:rsid w:val="49E13B64"/>
    <w:rsid w:val="4A2951D7"/>
    <w:rsid w:val="4A4D0245"/>
    <w:rsid w:val="4A9D7E98"/>
    <w:rsid w:val="4AE772C5"/>
    <w:rsid w:val="4AED40DB"/>
    <w:rsid w:val="4AF53986"/>
    <w:rsid w:val="4B037A9E"/>
    <w:rsid w:val="4B0C247A"/>
    <w:rsid w:val="4B2E23F0"/>
    <w:rsid w:val="4B9F73FC"/>
    <w:rsid w:val="4BA708E2"/>
    <w:rsid w:val="4BBC79FC"/>
    <w:rsid w:val="4C202322"/>
    <w:rsid w:val="4C272F70"/>
    <w:rsid w:val="4C770388"/>
    <w:rsid w:val="4C8046A5"/>
    <w:rsid w:val="4C83676C"/>
    <w:rsid w:val="4C863258"/>
    <w:rsid w:val="4CA014AC"/>
    <w:rsid w:val="4CD34A28"/>
    <w:rsid w:val="4CD7475C"/>
    <w:rsid w:val="4D3105D5"/>
    <w:rsid w:val="4D896AD4"/>
    <w:rsid w:val="4D8E6CD3"/>
    <w:rsid w:val="4DBA61BD"/>
    <w:rsid w:val="4DF32B56"/>
    <w:rsid w:val="4DF5104E"/>
    <w:rsid w:val="4E37382D"/>
    <w:rsid w:val="4E984E43"/>
    <w:rsid w:val="4EAD1C03"/>
    <w:rsid w:val="4EDE7C89"/>
    <w:rsid w:val="4F59232C"/>
    <w:rsid w:val="4FAD7AC0"/>
    <w:rsid w:val="4FBF0985"/>
    <w:rsid w:val="4FD25A40"/>
    <w:rsid w:val="4FF2658A"/>
    <w:rsid w:val="506C4329"/>
    <w:rsid w:val="50B45146"/>
    <w:rsid w:val="512F2209"/>
    <w:rsid w:val="5144471C"/>
    <w:rsid w:val="51681AE8"/>
    <w:rsid w:val="519F6E1A"/>
    <w:rsid w:val="51A60DC3"/>
    <w:rsid w:val="52103A14"/>
    <w:rsid w:val="521C76E1"/>
    <w:rsid w:val="5297601B"/>
    <w:rsid w:val="52BB5599"/>
    <w:rsid w:val="52DD1D7B"/>
    <w:rsid w:val="52E2398A"/>
    <w:rsid w:val="52EF4B5B"/>
    <w:rsid w:val="530E61AC"/>
    <w:rsid w:val="53151A46"/>
    <w:rsid w:val="53395CCF"/>
    <w:rsid w:val="53AD5812"/>
    <w:rsid w:val="53EC2E48"/>
    <w:rsid w:val="545413CC"/>
    <w:rsid w:val="54AF6350"/>
    <w:rsid w:val="54B47EFB"/>
    <w:rsid w:val="54DB0F18"/>
    <w:rsid w:val="55011C7A"/>
    <w:rsid w:val="55391D69"/>
    <w:rsid w:val="55543AF1"/>
    <w:rsid w:val="5564406D"/>
    <w:rsid w:val="55706241"/>
    <w:rsid w:val="559C6CBA"/>
    <w:rsid w:val="55B94875"/>
    <w:rsid w:val="55CC2F32"/>
    <w:rsid w:val="55D51B93"/>
    <w:rsid w:val="56031500"/>
    <w:rsid w:val="56F72230"/>
    <w:rsid w:val="5719502F"/>
    <w:rsid w:val="578339E3"/>
    <w:rsid w:val="57CD61F5"/>
    <w:rsid w:val="57E53B64"/>
    <w:rsid w:val="57FA3D86"/>
    <w:rsid w:val="57FD5624"/>
    <w:rsid w:val="581E4D42"/>
    <w:rsid w:val="583409BB"/>
    <w:rsid w:val="588F48D4"/>
    <w:rsid w:val="58AB7BD9"/>
    <w:rsid w:val="58AF759C"/>
    <w:rsid w:val="58D929FA"/>
    <w:rsid w:val="58E66A6D"/>
    <w:rsid w:val="59262959"/>
    <w:rsid w:val="59725E2B"/>
    <w:rsid w:val="597328A2"/>
    <w:rsid w:val="59DB079F"/>
    <w:rsid w:val="59FA4317"/>
    <w:rsid w:val="5A100581"/>
    <w:rsid w:val="5A3306E9"/>
    <w:rsid w:val="5A630FB9"/>
    <w:rsid w:val="5A6539D1"/>
    <w:rsid w:val="5A6A3F7A"/>
    <w:rsid w:val="5A88315D"/>
    <w:rsid w:val="5AA2162F"/>
    <w:rsid w:val="5ADD5E18"/>
    <w:rsid w:val="5B0B2D3B"/>
    <w:rsid w:val="5B1E4CF9"/>
    <w:rsid w:val="5B212785"/>
    <w:rsid w:val="5B80374A"/>
    <w:rsid w:val="5BB500C9"/>
    <w:rsid w:val="5BD64486"/>
    <w:rsid w:val="5C514CA0"/>
    <w:rsid w:val="5CA57B86"/>
    <w:rsid w:val="5CC77C96"/>
    <w:rsid w:val="5CF557A7"/>
    <w:rsid w:val="5D2327C3"/>
    <w:rsid w:val="5D523508"/>
    <w:rsid w:val="5D546753"/>
    <w:rsid w:val="5D6D7EF5"/>
    <w:rsid w:val="5D9500AD"/>
    <w:rsid w:val="5DA930C5"/>
    <w:rsid w:val="5DDA3A31"/>
    <w:rsid w:val="5DF23751"/>
    <w:rsid w:val="5E0A1538"/>
    <w:rsid w:val="5E2A239D"/>
    <w:rsid w:val="5E9465B6"/>
    <w:rsid w:val="5ED859B9"/>
    <w:rsid w:val="5F0415E1"/>
    <w:rsid w:val="5F480A20"/>
    <w:rsid w:val="5F541A66"/>
    <w:rsid w:val="5F6A29B1"/>
    <w:rsid w:val="5FDF599A"/>
    <w:rsid w:val="5FE56811"/>
    <w:rsid w:val="5FF37A81"/>
    <w:rsid w:val="5FF53085"/>
    <w:rsid w:val="602C45FD"/>
    <w:rsid w:val="60795CBD"/>
    <w:rsid w:val="60824919"/>
    <w:rsid w:val="60F47BEC"/>
    <w:rsid w:val="614222FA"/>
    <w:rsid w:val="61592CEA"/>
    <w:rsid w:val="617701F5"/>
    <w:rsid w:val="61816125"/>
    <w:rsid w:val="622D2FAA"/>
    <w:rsid w:val="624806F1"/>
    <w:rsid w:val="624C7057"/>
    <w:rsid w:val="625078DE"/>
    <w:rsid w:val="629D0895"/>
    <w:rsid w:val="629D1EDE"/>
    <w:rsid w:val="62C0222F"/>
    <w:rsid w:val="62C75F18"/>
    <w:rsid w:val="62FB09B2"/>
    <w:rsid w:val="63443247"/>
    <w:rsid w:val="63EA5A54"/>
    <w:rsid w:val="6415508D"/>
    <w:rsid w:val="64267CB1"/>
    <w:rsid w:val="64746C6E"/>
    <w:rsid w:val="64FE216F"/>
    <w:rsid w:val="65363F24"/>
    <w:rsid w:val="65C01B55"/>
    <w:rsid w:val="65EB6652"/>
    <w:rsid w:val="66212F88"/>
    <w:rsid w:val="66574FE9"/>
    <w:rsid w:val="669727FD"/>
    <w:rsid w:val="669F28F3"/>
    <w:rsid w:val="66D76292"/>
    <w:rsid w:val="66F629D6"/>
    <w:rsid w:val="6744454D"/>
    <w:rsid w:val="67754838"/>
    <w:rsid w:val="67762C3A"/>
    <w:rsid w:val="677A4210"/>
    <w:rsid w:val="679B13E4"/>
    <w:rsid w:val="67B0620F"/>
    <w:rsid w:val="67C27CF0"/>
    <w:rsid w:val="67F264CF"/>
    <w:rsid w:val="67FF6CD4"/>
    <w:rsid w:val="68AE4433"/>
    <w:rsid w:val="691E5105"/>
    <w:rsid w:val="69431085"/>
    <w:rsid w:val="694F1A58"/>
    <w:rsid w:val="696B5AAD"/>
    <w:rsid w:val="69803202"/>
    <w:rsid w:val="69F60484"/>
    <w:rsid w:val="6A354541"/>
    <w:rsid w:val="6B177B82"/>
    <w:rsid w:val="6B453FD7"/>
    <w:rsid w:val="6B707A3D"/>
    <w:rsid w:val="6B7770FD"/>
    <w:rsid w:val="6B7B1A68"/>
    <w:rsid w:val="6BA537D6"/>
    <w:rsid w:val="6BB1273B"/>
    <w:rsid w:val="6BB85D17"/>
    <w:rsid w:val="6BC82C73"/>
    <w:rsid w:val="6BDC44C7"/>
    <w:rsid w:val="6C2B781D"/>
    <w:rsid w:val="6C2C7FB1"/>
    <w:rsid w:val="6C474B12"/>
    <w:rsid w:val="6C5B4CE2"/>
    <w:rsid w:val="6D302529"/>
    <w:rsid w:val="6D535911"/>
    <w:rsid w:val="6D7878FB"/>
    <w:rsid w:val="6DC64D96"/>
    <w:rsid w:val="6E7D3EAA"/>
    <w:rsid w:val="6EBB207A"/>
    <w:rsid w:val="6EC47B07"/>
    <w:rsid w:val="6EEE1ED2"/>
    <w:rsid w:val="6EF9070E"/>
    <w:rsid w:val="6EFC7DC4"/>
    <w:rsid w:val="6FBC32DD"/>
    <w:rsid w:val="6FE0442A"/>
    <w:rsid w:val="6FEB70E8"/>
    <w:rsid w:val="70017D21"/>
    <w:rsid w:val="702678A4"/>
    <w:rsid w:val="704A6337"/>
    <w:rsid w:val="707B75D6"/>
    <w:rsid w:val="70957B36"/>
    <w:rsid w:val="709F5ADF"/>
    <w:rsid w:val="70AC03D4"/>
    <w:rsid w:val="70BA2FFA"/>
    <w:rsid w:val="713A744C"/>
    <w:rsid w:val="7141561C"/>
    <w:rsid w:val="71465DA4"/>
    <w:rsid w:val="715A74D5"/>
    <w:rsid w:val="718E0763"/>
    <w:rsid w:val="71D37FA9"/>
    <w:rsid w:val="723E5522"/>
    <w:rsid w:val="72AA61C2"/>
    <w:rsid w:val="72C2773E"/>
    <w:rsid w:val="73050C51"/>
    <w:rsid w:val="7352233B"/>
    <w:rsid w:val="7358775B"/>
    <w:rsid w:val="73870838"/>
    <w:rsid w:val="739871D5"/>
    <w:rsid w:val="739C16A8"/>
    <w:rsid w:val="73F23F7B"/>
    <w:rsid w:val="74067081"/>
    <w:rsid w:val="741C1C19"/>
    <w:rsid w:val="745E05AD"/>
    <w:rsid w:val="74835184"/>
    <w:rsid w:val="74A4132C"/>
    <w:rsid w:val="74D476E4"/>
    <w:rsid w:val="74FD680C"/>
    <w:rsid w:val="75787206"/>
    <w:rsid w:val="758E6836"/>
    <w:rsid w:val="75A512B8"/>
    <w:rsid w:val="75BF77EE"/>
    <w:rsid w:val="75D70FF2"/>
    <w:rsid w:val="75FA1E0C"/>
    <w:rsid w:val="75FB3FF3"/>
    <w:rsid w:val="7610390D"/>
    <w:rsid w:val="76186A30"/>
    <w:rsid w:val="762C31BE"/>
    <w:rsid w:val="7653467E"/>
    <w:rsid w:val="76637BC6"/>
    <w:rsid w:val="76DA2C69"/>
    <w:rsid w:val="772B4ED2"/>
    <w:rsid w:val="77777E50"/>
    <w:rsid w:val="779D6681"/>
    <w:rsid w:val="77E652C6"/>
    <w:rsid w:val="77E97927"/>
    <w:rsid w:val="77EC0645"/>
    <w:rsid w:val="782563F5"/>
    <w:rsid w:val="78485FF0"/>
    <w:rsid w:val="78880F29"/>
    <w:rsid w:val="788C2381"/>
    <w:rsid w:val="78E51A91"/>
    <w:rsid w:val="794723D1"/>
    <w:rsid w:val="7977267E"/>
    <w:rsid w:val="7A8A1906"/>
    <w:rsid w:val="7AB67AD9"/>
    <w:rsid w:val="7ACA6A91"/>
    <w:rsid w:val="7ACE1913"/>
    <w:rsid w:val="7B0E23F7"/>
    <w:rsid w:val="7B515EAC"/>
    <w:rsid w:val="7B9128FA"/>
    <w:rsid w:val="7BAA251B"/>
    <w:rsid w:val="7C06770E"/>
    <w:rsid w:val="7C8C0805"/>
    <w:rsid w:val="7C90112B"/>
    <w:rsid w:val="7C946125"/>
    <w:rsid w:val="7CAE256B"/>
    <w:rsid w:val="7CC32006"/>
    <w:rsid w:val="7CD35C4B"/>
    <w:rsid w:val="7CD67A48"/>
    <w:rsid w:val="7CE335DB"/>
    <w:rsid w:val="7D0664BA"/>
    <w:rsid w:val="7D2324BD"/>
    <w:rsid w:val="7D376D46"/>
    <w:rsid w:val="7D853013"/>
    <w:rsid w:val="7DCA74A7"/>
    <w:rsid w:val="7DE61A14"/>
    <w:rsid w:val="7E0D5970"/>
    <w:rsid w:val="7E1B0636"/>
    <w:rsid w:val="7E367B16"/>
    <w:rsid w:val="7E3937A2"/>
    <w:rsid w:val="7E5A6E32"/>
    <w:rsid w:val="7E604E32"/>
    <w:rsid w:val="7E702E8C"/>
    <w:rsid w:val="7EC34539"/>
    <w:rsid w:val="7F2B0A14"/>
    <w:rsid w:val="7F3103EC"/>
    <w:rsid w:val="7F5176FB"/>
    <w:rsid w:val="7FD650F3"/>
    <w:rsid w:val="7FF767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4"/>
    <w:qFormat/>
    <w:uiPriority w:val="0"/>
    <w:pPr>
      <w:keepNext/>
      <w:keepLines/>
      <w:spacing w:before="340" w:beforeLines="0" w:after="330" w:afterLines="0" w:line="578" w:lineRule="auto"/>
      <w:jc w:val="center"/>
      <w:outlineLvl w:val="0"/>
    </w:pPr>
    <w:rPr>
      <w:rFonts w:ascii="Times New Roman" w:hAnsi="Times New Roman" w:eastAsia="宋体"/>
      <w:b/>
      <w:bCs/>
      <w:kern w:val="44"/>
      <w:sz w:val="32"/>
      <w:szCs w:val="44"/>
    </w:rPr>
  </w:style>
  <w:style w:type="paragraph" w:styleId="4">
    <w:name w:val="heading 2"/>
    <w:basedOn w:val="1"/>
    <w:next w:val="1"/>
    <w:link w:val="131"/>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2">
    <w:name w:val="heading 3"/>
    <w:basedOn w:val="1"/>
    <w:next w:val="1"/>
    <w:link w:val="144"/>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5">
    <w:name w:val="heading 4"/>
    <w:basedOn w:val="1"/>
    <w:next w:val="1"/>
    <w:link w:val="1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32"/>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0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8">
    <w:name w:val="heading 7"/>
    <w:basedOn w:val="1"/>
    <w:next w:val="1"/>
    <w:link w:val="133"/>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9">
    <w:name w:val="heading 8"/>
    <w:basedOn w:val="1"/>
    <w:next w:val="1"/>
    <w:link w:val="11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0">
    <w:name w:val="heading 9"/>
    <w:basedOn w:val="1"/>
    <w:next w:val="1"/>
    <w:link w:val="137"/>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link w:val="46"/>
    <w:qFormat/>
    <w:uiPriority w:val="0"/>
    <w:rPr>
      <w:szCs w:val="21"/>
    </w:rPr>
  </w:style>
  <w:style w:type="table" w:default="1" w:styleId="43">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List Number"/>
    <w:basedOn w:val="1"/>
    <w:qFormat/>
    <w:uiPriority w:val="0"/>
    <w:pPr>
      <w:numPr>
        <w:ilvl w:val="0"/>
        <w:numId w:val="2"/>
      </w:numPr>
    </w:pPr>
  </w:style>
  <w:style w:type="paragraph" w:styleId="13">
    <w:name w:val="Normal Indent"/>
    <w:basedOn w:val="1"/>
    <w:next w:val="1"/>
    <w:qFormat/>
    <w:uiPriority w:val="0"/>
    <w:pPr>
      <w:adjustRightInd w:val="0"/>
      <w:ind w:firstLine="420"/>
    </w:pPr>
    <w:rPr>
      <w:rFonts w:eastAsia="楷体_GB2312"/>
      <w:sz w:val="24"/>
      <w:lang w:val="en-US" w:eastAsia="zh-CN" w:bidi="ar-SA"/>
    </w:rPr>
  </w:style>
  <w:style w:type="paragraph" w:styleId="14">
    <w:name w:val="caption"/>
    <w:basedOn w:val="1"/>
    <w:next w:val="1"/>
    <w:qFormat/>
    <w:uiPriority w:val="0"/>
    <w:pPr>
      <w:spacing w:before="152" w:after="160"/>
    </w:pPr>
    <w:rPr>
      <w:rFonts w:ascii="Arial" w:hAnsi="Arial" w:eastAsia="黑体" w:cs="Arial"/>
      <w:sz w:val="20"/>
    </w:rPr>
  </w:style>
  <w:style w:type="paragraph" w:styleId="15">
    <w:name w:val="Document Map"/>
    <w:basedOn w:val="1"/>
    <w:link w:val="111"/>
    <w:qFormat/>
    <w:uiPriority w:val="0"/>
    <w:pPr>
      <w:shd w:val="clear" w:color="auto" w:fill="000080"/>
    </w:pPr>
    <w:rPr>
      <w:szCs w:val="24"/>
    </w:rPr>
  </w:style>
  <w:style w:type="paragraph" w:styleId="16">
    <w:name w:val="toa heading"/>
    <w:basedOn w:val="1"/>
    <w:next w:val="1"/>
    <w:qFormat/>
    <w:uiPriority w:val="99"/>
    <w:pPr>
      <w:spacing w:before="120"/>
    </w:pPr>
    <w:rPr>
      <w:rFonts w:ascii="Arial" w:hAnsi="Arial" w:eastAsia="仿宋"/>
      <w:sz w:val="24"/>
      <w:szCs w:val="20"/>
    </w:rPr>
  </w:style>
  <w:style w:type="paragraph" w:styleId="17">
    <w:name w:val="annotation text"/>
    <w:basedOn w:val="1"/>
    <w:link w:val="94"/>
    <w:qFormat/>
    <w:uiPriority w:val="0"/>
    <w:pPr>
      <w:jc w:val="left"/>
    </w:pPr>
  </w:style>
  <w:style w:type="paragraph" w:styleId="18">
    <w:name w:val="Body Text 3"/>
    <w:basedOn w:val="1"/>
    <w:link w:val="134"/>
    <w:qFormat/>
    <w:uiPriority w:val="0"/>
    <w:pPr>
      <w:spacing w:after="120"/>
    </w:pPr>
    <w:rPr>
      <w:sz w:val="16"/>
      <w:szCs w:val="16"/>
    </w:rPr>
  </w:style>
  <w:style w:type="paragraph" w:styleId="19">
    <w:name w:val="Body Text"/>
    <w:basedOn w:val="1"/>
    <w:next w:val="1"/>
    <w:link w:val="125"/>
    <w:qFormat/>
    <w:uiPriority w:val="0"/>
    <w:pPr>
      <w:spacing w:after="120"/>
    </w:pPr>
    <w:rPr>
      <w:szCs w:val="24"/>
    </w:rPr>
  </w:style>
  <w:style w:type="paragraph" w:styleId="20">
    <w:name w:val="Body Text Indent"/>
    <w:basedOn w:val="1"/>
    <w:next w:val="21"/>
    <w:link w:val="118"/>
    <w:qFormat/>
    <w:uiPriority w:val="0"/>
    <w:pPr>
      <w:spacing w:line="360" w:lineRule="auto"/>
      <w:ind w:firstLine="560" w:firstLineChars="200"/>
    </w:pPr>
    <w:rPr>
      <w:sz w:val="28"/>
    </w:rPr>
  </w:style>
  <w:style w:type="paragraph" w:customStyle="1" w:styleId="21">
    <w:name w:val="Default"/>
    <w:next w:val="2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index 7"/>
    <w:basedOn w:val="1"/>
    <w:next w:val="1"/>
    <w:qFormat/>
    <w:uiPriority w:val="0"/>
    <w:pPr>
      <w:ind w:left="2520"/>
    </w:pPr>
    <w:rPr>
      <w:szCs w:val="22"/>
    </w:rPr>
  </w:style>
  <w:style w:type="paragraph" w:styleId="23">
    <w:name w:val="List 2"/>
    <w:basedOn w:val="1"/>
    <w:qFormat/>
    <w:uiPriority w:val="0"/>
    <w:pPr>
      <w:ind w:left="100" w:leftChars="200" w:hanging="200" w:hangingChars="200"/>
    </w:pPr>
    <w:rPr>
      <w:szCs w:val="24"/>
    </w:rPr>
  </w:style>
  <w:style w:type="paragraph" w:styleId="24">
    <w:name w:val="toc 3"/>
    <w:basedOn w:val="1"/>
    <w:next w:val="1"/>
    <w:qFormat/>
    <w:uiPriority w:val="39"/>
    <w:pPr>
      <w:ind w:left="840" w:leftChars="400"/>
    </w:pPr>
    <w:rPr>
      <w:szCs w:val="24"/>
    </w:rPr>
  </w:style>
  <w:style w:type="paragraph" w:styleId="25">
    <w:name w:val="Plain Text"/>
    <w:basedOn w:val="1"/>
    <w:next w:val="1"/>
    <w:link w:val="114"/>
    <w:qFormat/>
    <w:uiPriority w:val="0"/>
    <w:rPr>
      <w:rFonts w:ascii="宋体" w:hAnsi="Courier New"/>
    </w:rPr>
  </w:style>
  <w:style w:type="paragraph" w:styleId="26">
    <w:name w:val="Date"/>
    <w:basedOn w:val="1"/>
    <w:next w:val="1"/>
    <w:link w:val="128"/>
    <w:qFormat/>
    <w:uiPriority w:val="0"/>
    <w:pPr>
      <w:ind w:left="100" w:leftChars="2500"/>
    </w:pPr>
    <w:rPr>
      <w:szCs w:val="24"/>
    </w:rPr>
  </w:style>
  <w:style w:type="paragraph" w:styleId="27">
    <w:name w:val="Body Text Indent 2"/>
    <w:basedOn w:val="1"/>
    <w:link w:val="136"/>
    <w:qFormat/>
    <w:uiPriority w:val="0"/>
    <w:pPr>
      <w:spacing w:after="120" w:line="480" w:lineRule="auto"/>
      <w:ind w:left="420" w:leftChars="200"/>
    </w:pPr>
    <w:rPr>
      <w:szCs w:val="24"/>
    </w:rPr>
  </w:style>
  <w:style w:type="paragraph" w:styleId="28">
    <w:name w:val="Balloon Text"/>
    <w:basedOn w:val="1"/>
    <w:link w:val="135"/>
    <w:qFormat/>
    <w:uiPriority w:val="0"/>
    <w:rPr>
      <w:sz w:val="18"/>
      <w:szCs w:val="18"/>
    </w:rPr>
  </w:style>
  <w:style w:type="paragraph" w:styleId="29">
    <w:name w:val="footer"/>
    <w:basedOn w:val="1"/>
    <w:next w:val="1"/>
    <w:link w:val="112"/>
    <w:qFormat/>
    <w:uiPriority w:val="99"/>
    <w:pPr>
      <w:tabs>
        <w:tab w:val="center" w:pos="4153"/>
        <w:tab w:val="right" w:pos="8306"/>
      </w:tabs>
      <w:snapToGrid w:val="0"/>
      <w:jc w:val="left"/>
    </w:pPr>
    <w:rPr>
      <w:sz w:val="18"/>
      <w:szCs w:val="18"/>
    </w:rPr>
  </w:style>
  <w:style w:type="paragraph" w:styleId="30">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rPr>
      <w:szCs w:val="24"/>
    </w:rPr>
  </w:style>
  <w:style w:type="paragraph" w:styleId="32">
    <w:name w:val="Subtitle"/>
    <w:basedOn w:val="1"/>
    <w:next w:val="1"/>
    <w:link w:val="123"/>
    <w:qFormat/>
    <w:uiPriority w:val="0"/>
    <w:pPr>
      <w:spacing w:before="240" w:beforeLines="0" w:after="60" w:afterLines="0" w:line="312" w:lineRule="auto"/>
      <w:jc w:val="center"/>
      <w:outlineLvl w:val="1"/>
    </w:pPr>
    <w:rPr>
      <w:rFonts w:ascii="Cambria" w:hAnsi="Cambria"/>
      <w:b/>
      <w:bCs/>
      <w:kern w:val="28"/>
      <w:sz w:val="32"/>
      <w:szCs w:val="32"/>
    </w:rPr>
  </w:style>
  <w:style w:type="paragraph" w:styleId="33">
    <w:name w:val="List"/>
    <w:basedOn w:val="1"/>
    <w:qFormat/>
    <w:uiPriority w:val="0"/>
    <w:pPr>
      <w:spacing w:before="312" w:beforeLines="100" w:line="360" w:lineRule="auto"/>
      <w:jc w:val="center"/>
    </w:pPr>
    <w:rPr>
      <w:rFonts w:ascii="宋体" w:hAnsi="宋体"/>
      <w:b/>
      <w:sz w:val="28"/>
      <w:szCs w:val="24"/>
    </w:rPr>
  </w:style>
  <w:style w:type="paragraph" w:styleId="34">
    <w:name w:val="footnote text"/>
    <w:basedOn w:val="1"/>
    <w:link w:val="122"/>
    <w:qFormat/>
    <w:uiPriority w:val="0"/>
    <w:pPr>
      <w:adjustRightInd w:val="0"/>
      <w:spacing w:line="312" w:lineRule="atLeast"/>
      <w:textAlignment w:val="baseline"/>
    </w:pPr>
    <w:rPr>
      <w:kern w:val="0"/>
      <w:sz w:val="18"/>
    </w:rPr>
  </w:style>
  <w:style w:type="paragraph" w:styleId="35">
    <w:name w:val="Body Text Indent 3"/>
    <w:basedOn w:val="1"/>
    <w:link w:val="99"/>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6">
    <w:name w:val="toc 2"/>
    <w:basedOn w:val="1"/>
    <w:next w:val="1"/>
    <w:qFormat/>
    <w:uiPriority w:val="39"/>
    <w:pPr>
      <w:ind w:left="420" w:leftChars="200"/>
    </w:pPr>
    <w:rPr>
      <w:szCs w:val="24"/>
    </w:rPr>
  </w:style>
  <w:style w:type="paragraph" w:styleId="37">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8">
    <w:name w:val="Normal (Web)"/>
    <w:basedOn w:val="1"/>
    <w:qFormat/>
    <w:uiPriority w:val="0"/>
    <w:pPr>
      <w:spacing w:before="100" w:beforeLines="0" w:beforeAutospacing="1" w:after="100" w:afterLines="0" w:afterAutospacing="1"/>
      <w:jc w:val="left"/>
    </w:pPr>
    <w:rPr>
      <w:rFonts w:ascii="Calibri" w:hAnsi="Calibri"/>
      <w:kern w:val="0"/>
      <w:sz w:val="24"/>
      <w:szCs w:val="24"/>
    </w:rPr>
  </w:style>
  <w:style w:type="paragraph" w:styleId="39">
    <w:name w:val="Title"/>
    <w:basedOn w:val="1"/>
    <w:next w:val="1"/>
    <w:link w:val="127"/>
    <w:qFormat/>
    <w:uiPriority w:val="0"/>
    <w:pPr>
      <w:spacing w:before="240" w:after="60"/>
      <w:jc w:val="center"/>
      <w:outlineLvl w:val="0"/>
    </w:pPr>
    <w:rPr>
      <w:rFonts w:ascii="Cambria" w:hAnsi="Cambria"/>
      <w:b/>
      <w:bCs/>
      <w:sz w:val="32"/>
      <w:szCs w:val="32"/>
    </w:rPr>
  </w:style>
  <w:style w:type="paragraph" w:styleId="40">
    <w:name w:val="annotation subject"/>
    <w:basedOn w:val="17"/>
    <w:next w:val="17"/>
    <w:link w:val="107"/>
    <w:qFormat/>
    <w:uiPriority w:val="0"/>
    <w:rPr>
      <w:b/>
      <w:bCs/>
      <w:szCs w:val="24"/>
    </w:rPr>
  </w:style>
  <w:style w:type="paragraph" w:styleId="41">
    <w:name w:val="Body Text First Indent"/>
    <w:basedOn w:val="19"/>
    <w:qFormat/>
    <w:uiPriority w:val="0"/>
    <w:pPr>
      <w:tabs>
        <w:tab w:val="left" w:pos="9214"/>
      </w:tabs>
      <w:spacing w:after="0"/>
      <w:ind w:firstLine="200" w:firstLineChars="200"/>
    </w:pPr>
  </w:style>
  <w:style w:type="paragraph" w:styleId="42">
    <w:name w:val="Body Text First Indent 2"/>
    <w:basedOn w:val="20"/>
    <w:link w:val="117"/>
    <w:qFormat/>
    <w:uiPriority w:val="0"/>
    <w:pPr>
      <w:ind w:left="1588" w:leftChars="832" w:firstLine="433"/>
    </w:pPr>
    <w:rPr>
      <w:rFonts w:eastAsia="仿宋_GB2312"/>
      <w:spacing w:val="15"/>
      <w:kern w:val="10"/>
      <w:sz w:val="24"/>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Char Char Char Char"/>
    <w:basedOn w:val="1"/>
    <w:link w:val="45"/>
    <w:qFormat/>
    <w:uiPriority w:val="0"/>
    <w:rPr>
      <w:szCs w:val="21"/>
    </w:rPr>
  </w:style>
  <w:style w:type="character" w:styleId="47">
    <w:name w:val="Strong"/>
    <w:basedOn w:val="45"/>
    <w:qFormat/>
    <w:uiPriority w:val="0"/>
    <w:rPr>
      <w:b/>
      <w:bCs/>
    </w:rPr>
  </w:style>
  <w:style w:type="character" w:styleId="48">
    <w:name w:val="page number"/>
    <w:basedOn w:val="45"/>
    <w:qFormat/>
    <w:uiPriority w:val="0"/>
  </w:style>
  <w:style w:type="character" w:styleId="49">
    <w:name w:val="Emphasis"/>
    <w:basedOn w:val="45"/>
    <w:qFormat/>
    <w:uiPriority w:val="0"/>
    <w:rPr>
      <w:i/>
    </w:rPr>
  </w:style>
  <w:style w:type="character" w:styleId="50">
    <w:name w:val="Hyperlink"/>
    <w:basedOn w:val="45"/>
    <w:qFormat/>
    <w:uiPriority w:val="99"/>
    <w:rPr>
      <w:color w:val="0000FF"/>
      <w:u w:val="single"/>
    </w:rPr>
  </w:style>
  <w:style w:type="character" w:styleId="51">
    <w:name w:val="annotation reference"/>
    <w:qFormat/>
    <w:uiPriority w:val="0"/>
    <w:rPr>
      <w:sz w:val="21"/>
      <w:szCs w:val="21"/>
    </w:rPr>
  </w:style>
  <w:style w:type="paragraph" w:customStyle="1" w:styleId="52">
    <w:name w:val="样式1"/>
    <w:basedOn w:val="16"/>
    <w:next w:val="5"/>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53">
    <w:name w:val="文本正文"/>
    <w:basedOn w:val="1"/>
    <w:qFormat/>
    <w:uiPriority w:val="0"/>
    <w:pPr>
      <w:spacing w:afterLines="50"/>
      <w:ind w:firstLine="200" w:firstLineChars="200"/>
      <w:jc w:val="left"/>
    </w:pPr>
    <w:rPr>
      <w:rFonts w:ascii="Calibri" w:hAnsi="Calibri"/>
      <w:szCs w:val="22"/>
      <w:lang w:bidi="en-US"/>
    </w:rPr>
  </w:style>
  <w:style w:type="character" w:customStyle="1" w:styleId="54">
    <w:name w:val="标题 1 Char"/>
    <w:link w:val="3"/>
    <w:qFormat/>
    <w:uiPriority w:val="0"/>
    <w:rPr>
      <w:rFonts w:ascii="Times New Roman" w:hAnsi="Times New Roman" w:eastAsia="宋体"/>
      <w:b/>
      <w:bCs/>
      <w:kern w:val="44"/>
      <w:sz w:val="32"/>
      <w:szCs w:val="44"/>
    </w:rPr>
  </w:style>
  <w:style w:type="paragraph" w:customStyle="1" w:styleId="55">
    <w:name w:val="_Style 5"/>
    <w:basedOn w:val="1"/>
    <w:qFormat/>
    <w:uiPriority w:val="0"/>
    <w:pPr>
      <w:tabs>
        <w:tab w:val="left" w:pos="360"/>
      </w:tabs>
      <w:ind w:firstLine="420" w:firstLineChars="150"/>
    </w:pPr>
    <w:rPr>
      <w:rFonts w:ascii="Arial" w:hAnsi="Arial" w:cs="Arial"/>
      <w:sz w:val="20"/>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58">
    <w:name w:val="Char Char Char Char Char Char"/>
    <w:basedOn w:val="15"/>
    <w:qFormat/>
    <w:uiPriority w:val="0"/>
    <w:rPr>
      <w:rFonts w:ascii="Tahoma" w:hAnsi="Tahoma"/>
      <w:sz w:val="24"/>
    </w:rPr>
  </w:style>
  <w:style w:type="paragraph" w:customStyle="1" w:styleId="59">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0">
    <w:name w:val="p16"/>
    <w:basedOn w:val="1"/>
    <w:qFormat/>
    <w:uiPriority w:val="0"/>
    <w:pPr>
      <w:widowControl/>
    </w:pPr>
    <w:rPr>
      <w:kern w:val="0"/>
      <w:szCs w:val="21"/>
    </w:rPr>
  </w:style>
  <w:style w:type="paragraph" w:customStyle="1" w:styleId="61">
    <w:name w:val="WPSOffice手动目录 2"/>
    <w:qFormat/>
    <w:uiPriority w:val="0"/>
    <w:pPr>
      <w:ind w:leftChars="200"/>
    </w:pPr>
    <w:rPr>
      <w:rFonts w:ascii="Times New Roman" w:hAnsi="Times New Roman" w:eastAsia="宋体" w:cs="Times New Roman"/>
      <w:sz w:val="20"/>
      <w:szCs w:val="20"/>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3">
    <w:name w:val=" Char Char Char Char"/>
    <w:basedOn w:val="1"/>
    <w:qFormat/>
    <w:uiPriority w:val="0"/>
    <w:pPr>
      <w:tabs>
        <w:tab w:val="left" w:pos="360"/>
      </w:tabs>
      <w:ind w:firstLine="420" w:firstLineChars="150"/>
    </w:pPr>
    <w:rPr>
      <w:rFonts w:ascii="Arial" w:hAnsi="Arial" w:cs="Arial"/>
      <w:sz w:val="20"/>
    </w:rPr>
  </w:style>
  <w:style w:type="paragraph" w:customStyle="1" w:styleId="64">
    <w:name w:val="Plain Text1"/>
    <w:basedOn w:val="1"/>
    <w:qFormat/>
    <w:uiPriority w:val="99"/>
    <w:rPr>
      <w:rFonts w:ascii="宋体" w:hAnsi="Courier New"/>
    </w:rPr>
  </w:style>
  <w:style w:type="paragraph" w:customStyle="1" w:styleId="65">
    <w:name w:val="Char Char Char"/>
    <w:basedOn w:val="1"/>
    <w:qFormat/>
    <w:uiPriority w:val="0"/>
    <w:pPr>
      <w:widowControl/>
      <w:spacing w:after="160" w:line="240" w:lineRule="exact"/>
      <w:jc w:val="left"/>
    </w:pPr>
    <w:rPr>
      <w:szCs w:val="24"/>
    </w:rPr>
  </w:style>
  <w:style w:type="paragraph" w:customStyle="1" w:styleId="66">
    <w:name w:val="正文缩进1"/>
    <w:basedOn w:val="1"/>
    <w:qFormat/>
    <w:uiPriority w:val="0"/>
    <w:pPr>
      <w:autoSpaceDE w:val="0"/>
      <w:autoSpaceDN w:val="0"/>
      <w:adjustRightInd w:val="0"/>
      <w:ind w:firstLine="420"/>
    </w:pPr>
    <w:rPr>
      <w:rFonts w:ascii="宋体" w:hAnsi="Calibri"/>
      <w:szCs w:val="22"/>
    </w:rPr>
  </w:style>
  <w:style w:type="paragraph" w:customStyle="1" w:styleId="67">
    <w:name w:val="Normal"/>
    <w:qFormat/>
    <w:uiPriority w:val="0"/>
    <w:rPr>
      <w:rFonts w:ascii="Times New Roman" w:hAnsi="Times New Roman" w:eastAsia="Times New Roman" w:cs="Times New Roman"/>
      <w:sz w:val="24"/>
      <w:szCs w:val="24"/>
      <w:lang w:val="en-US" w:eastAsia="zh-CN" w:bidi="ar-SA"/>
    </w:rPr>
  </w:style>
  <w:style w:type="paragraph" w:customStyle="1" w:styleId="68">
    <w:name w:val="List 2"/>
    <w:basedOn w:val="1"/>
    <w:qFormat/>
    <w:uiPriority w:val="0"/>
    <w:pPr>
      <w:spacing w:beforeAutospacing="1" w:afterAutospacing="1" w:line="360" w:lineRule="auto"/>
      <w:ind w:left="100" w:leftChars="200" w:hanging="200" w:hangingChars="200"/>
      <w:contextualSpacing/>
    </w:pPr>
    <w:rPr>
      <w:sz w:val="24"/>
    </w:rPr>
  </w:style>
  <w:style w:type="paragraph" w:customStyle="1" w:styleId="69">
    <w:name w:val="_Style 6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0">
    <w:name w:val="_Style 7"/>
    <w:basedOn w:val="1"/>
    <w:qFormat/>
    <w:uiPriority w:val="0"/>
    <w:pPr>
      <w:tabs>
        <w:tab w:val="left" w:pos="360"/>
      </w:tabs>
      <w:ind w:firstLine="420" w:firstLineChars="150"/>
    </w:pPr>
    <w:rPr>
      <w:rFonts w:ascii="Arial" w:hAnsi="Arial" w:cs="Arial"/>
      <w:sz w:val="20"/>
    </w:rPr>
  </w:style>
  <w:style w:type="paragraph" w:customStyle="1" w:styleId="71">
    <w:name w:val="_Style 11"/>
    <w:basedOn w:val="1"/>
    <w:qFormat/>
    <w:uiPriority w:val="0"/>
    <w:pPr>
      <w:tabs>
        <w:tab w:val="left" w:pos="360"/>
      </w:tabs>
      <w:ind w:firstLine="420" w:firstLineChars="150"/>
    </w:pPr>
    <w:rPr>
      <w:rFonts w:ascii="Arial" w:hAnsi="Arial" w:cs="Arial"/>
      <w:sz w:val="20"/>
    </w:rPr>
  </w:style>
  <w:style w:type="paragraph" w:customStyle="1" w:styleId="72">
    <w:name w:val="p15"/>
    <w:basedOn w:val="1"/>
    <w:qFormat/>
    <w:uiPriority w:val="0"/>
    <w:pPr>
      <w:widowControl/>
    </w:pPr>
    <w:rPr>
      <w:rFonts w:ascii="宋体" w:hAnsi="宋体" w:cs="宋体"/>
      <w:kern w:val="0"/>
      <w:szCs w:val="21"/>
    </w:rPr>
  </w:style>
  <w:style w:type="paragraph" w:customStyle="1" w:styleId="73">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4">
    <w:name w:val="正文1"/>
    <w:basedOn w:val="1"/>
    <w:qFormat/>
    <w:uiPriority w:val="0"/>
    <w:pPr>
      <w:spacing w:before="156" w:beforeLines="50" w:line="360" w:lineRule="auto"/>
      <w:ind w:firstLine="420" w:firstLineChars="200"/>
    </w:pPr>
    <w:rPr>
      <w:rFonts w:ascii="宋体" w:hAnsi="宋体"/>
      <w:iCs/>
      <w:szCs w:val="21"/>
    </w:rPr>
  </w:style>
  <w:style w:type="paragraph" w:customStyle="1" w:styleId="75">
    <w:name w:val="样式 标题 2 + 宋体 五号 非加粗 黑色"/>
    <w:basedOn w:val="4"/>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6">
    <w:name w:val="正文序号 1"/>
    <w:basedOn w:val="1"/>
    <w:qFormat/>
    <w:uiPriority w:val="0"/>
    <w:pPr>
      <w:numPr>
        <w:ilvl w:val="0"/>
        <w:numId w:val="3"/>
      </w:numPr>
      <w:tabs>
        <w:tab w:val="left" w:pos="502"/>
        <w:tab w:val="left" w:pos="839"/>
      </w:tabs>
      <w:spacing w:before="60"/>
    </w:pPr>
    <w:rPr>
      <w:szCs w:val="24"/>
    </w:rPr>
  </w:style>
  <w:style w:type="paragraph" w:customStyle="1" w:styleId="77">
    <w:name w:val="p0"/>
    <w:basedOn w:val="1"/>
    <w:qFormat/>
    <w:uiPriority w:val="0"/>
    <w:pPr>
      <w:widowControl/>
      <w:jc w:val="left"/>
    </w:pPr>
    <w:rPr>
      <w:kern w:val="0"/>
      <w:szCs w:val="21"/>
    </w:rPr>
  </w:style>
  <w:style w:type="paragraph" w:customStyle="1" w:styleId="78">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79">
    <w:name w:val="样式 标题 4 + 段前: 5 磅 段后: 5 磅 行距: 单倍行距"/>
    <w:basedOn w:val="5"/>
    <w:qFormat/>
    <w:uiPriority w:val="0"/>
    <w:pPr>
      <w:spacing w:before="100" w:after="100" w:line="240" w:lineRule="auto"/>
    </w:pPr>
    <w:rPr>
      <w:rFonts w:cs="宋体"/>
      <w:szCs w:val="20"/>
    </w:rPr>
  </w:style>
  <w:style w:type="paragraph" w:customStyle="1" w:styleId="80">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81">
    <w:name w:val="列出段落1"/>
    <w:basedOn w:val="1"/>
    <w:qFormat/>
    <w:uiPriority w:val="34"/>
    <w:pPr>
      <w:ind w:firstLine="420" w:firstLineChars="200"/>
    </w:pPr>
  </w:style>
  <w:style w:type="paragraph" w:customStyle="1" w:styleId="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Char"/>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4">
    <w:name w:val="表头文本"/>
    <w:basedOn w:val="1"/>
    <w:qFormat/>
    <w:uiPriority w:val="0"/>
    <w:pPr>
      <w:autoSpaceDE w:val="0"/>
      <w:autoSpaceDN w:val="0"/>
      <w:adjustRightInd w:val="0"/>
      <w:jc w:val="center"/>
    </w:pPr>
    <w:rPr>
      <w:b/>
      <w:kern w:val="0"/>
      <w:sz w:val="24"/>
    </w:rPr>
  </w:style>
  <w:style w:type="paragraph" w:customStyle="1" w:styleId="85">
    <w:name w:val="默认段落字体 Para Char Char Char Char Char Char Char Char Char Char Char Char Char Char Char Char"/>
    <w:basedOn w:val="1"/>
    <w:qFormat/>
    <w:uiPriority w:val="0"/>
    <w:rPr>
      <w:rFonts w:ascii="Tahoma" w:hAnsi="Tahoma"/>
      <w:sz w:val="24"/>
    </w:rPr>
  </w:style>
  <w:style w:type="paragraph" w:customStyle="1" w:styleId="8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样式2"/>
    <w:basedOn w:val="1"/>
    <w:qFormat/>
    <w:uiPriority w:val="0"/>
    <w:pPr>
      <w:spacing w:line="560" w:lineRule="exact"/>
      <w:ind w:firstLine="601"/>
    </w:pPr>
    <w:rPr>
      <w:rFonts w:eastAsia="宋体"/>
      <w:kern w:val="2"/>
      <w:sz w:val="28"/>
      <w:lang w:val="en-US" w:eastAsia="zh-CN" w:bidi="ar-SA"/>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标题 3_0"/>
    <w:basedOn w:val="73"/>
    <w:next w:val="73"/>
    <w:link w:val="120"/>
    <w:qFormat/>
    <w:uiPriority w:val="0"/>
    <w:pPr>
      <w:autoSpaceDE w:val="0"/>
      <w:autoSpaceDN w:val="0"/>
      <w:adjustRightInd w:val="0"/>
      <w:spacing w:line="500" w:lineRule="exact"/>
      <w:jc w:val="center"/>
      <w:outlineLvl w:val="2"/>
    </w:pPr>
    <w:rPr>
      <w:rFonts w:ascii="宋体" w:hAnsi="宋体"/>
      <w:b/>
      <w:szCs w:val="28"/>
    </w:rPr>
  </w:style>
  <w:style w:type="paragraph" w:customStyle="1" w:styleId="90">
    <w:name w:val="附件正文"/>
    <w:basedOn w:val="1"/>
    <w:qFormat/>
    <w:uiPriority w:val="0"/>
    <w:pPr>
      <w:snapToGrid w:val="0"/>
      <w:spacing w:line="500" w:lineRule="exact"/>
      <w:ind w:firstLine="540" w:firstLineChars="225"/>
    </w:pPr>
    <w:rPr>
      <w:kern w:val="0"/>
      <w:sz w:val="24"/>
      <w:szCs w:val="24"/>
    </w:rPr>
  </w:style>
  <w:style w:type="paragraph" w:styleId="91">
    <w:name w:val="List Paragraph"/>
    <w:basedOn w:val="1"/>
    <w:qFormat/>
    <w:uiPriority w:val="0"/>
    <w:pPr>
      <w:ind w:firstLine="420" w:firstLineChars="200"/>
    </w:pPr>
    <w:rPr>
      <w:rFonts w:ascii="Calibri" w:hAnsi="Calibri"/>
      <w:szCs w:val="22"/>
    </w:rPr>
  </w:style>
  <w:style w:type="paragraph" w:customStyle="1" w:styleId="92">
    <w:name w:val="正文文字"/>
    <w:basedOn w:val="1"/>
    <w:link w:val="119"/>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93">
    <w:name w:val="WPSOffice手动目录 3"/>
    <w:qFormat/>
    <w:uiPriority w:val="0"/>
    <w:pPr>
      <w:ind w:leftChars="400"/>
    </w:pPr>
    <w:rPr>
      <w:rFonts w:ascii="Times New Roman" w:hAnsi="Times New Roman" w:eastAsia="宋体" w:cs="Times New Roman"/>
      <w:sz w:val="20"/>
      <w:szCs w:val="20"/>
    </w:rPr>
  </w:style>
  <w:style w:type="character" w:customStyle="1" w:styleId="94">
    <w:name w:val="批注文字 Char1"/>
    <w:basedOn w:val="45"/>
    <w:link w:val="17"/>
    <w:qFormat/>
    <w:uiPriority w:val="0"/>
    <w:rPr>
      <w:kern w:val="2"/>
      <w:sz w:val="21"/>
    </w:rPr>
  </w:style>
  <w:style w:type="character" w:customStyle="1" w:styleId="95">
    <w:name w:val="批注文字 Char"/>
    <w:qFormat/>
    <w:uiPriority w:val="0"/>
    <w:rPr>
      <w:rFonts w:eastAsia="宋体"/>
      <w:kern w:val="2"/>
      <w:sz w:val="21"/>
      <w:szCs w:val="24"/>
      <w:lang w:val="en-US" w:eastAsia="zh-CN" w:bidi="ar-SA"/>
    </w:rPr>
  </w:style>
  <w:style w:type="character" w:customStyle="1" w:styleId="96">
    <w:name w:val="font41"/>
    <w:basedOn w:val="45"/>
    <w:qFormat/>
    <w:uiPriority w:val="0"/>
    <w:rPr>
      <w:rFonts w:hint="eastAsia" w:ascii="宋体" w:hAnsi="宋体" w:eastAsia="宋体" w:cs="宋体"/>
      <w:color w:val="000000"/>
      <w:sz w:val="20"/>
      <w:szCs w:val="20"/>
      <w:u w:val="none"/>
    </w:rPr>
  </w:style>
  <w:style w:type="character" w:customStyle="1" w:styleId="97">
    <w:name w:val="font141"/>
    <w:basedOn w:val="45"/>
    <w:qFormat/>
    <w:uiPriority w:val="0"/>
    <w:rPr>
      <w:rFonts w:hint="eastAsia" w:ascii="宋体" w:hAnsi="宋体" w:eastAsia="宋体" w:cs="宋体"/>
      <w:color w:val="000000"/>
      <w:sz w:val="24"/>
      <w:szCs w:val="24"/>
      <w:u w:val="none"/>
    </w:rPr>
  </w:style>
  <w:style w:type="character" w:customStyle="1" w:styleId="98">
    <w:name w:val="font51"/>
    <w:basedOn w:val="45"/>
    <w:qFormat/>
    <w:uiPriority w:val="0"/>
    <w:rPr>
      <w:rFonts w:hint="eastAsia" w:ascii="宋体" w:hAnsi="宋体" w:eastAsia="宋体" w:cs="宋体"/>
      <w:color w:val="FF0000"/>
      <w:sz w:val="20"/>
      <w:szCs w:val="20"/>
      <w:u w:val="none"/>
    </w:rPr>
  </w:style>
  <w:style w:type="character" w:customStyle="1" w:styleId="99">
    <w:name w:val="正文文本缩进 3 Char"/>
    <w:basedOn w:val="45"/>
    <w:link w:val="35"/>
    <w:qFormat/>
    <w:uiPriority w:val="0"/>
    <w:rPr>
      <w:rFonts w:eastAsia="黑体"/>
      <w:b/>
      <w:bCs/>
      <w:kern w:val="2"/>
      <w:sz w:val="72"/>
      <w:szCs w:val="24"/>
    </w:rPr>
  </w:style>
  <w:style w:type="character" w:customStyle="1" w:styleId="100">
    <w:name w:val="HTML 预设格式 Char"/>
    <w:basedOn w:val="45"/>
    <w:link w:val="37"/>
    <w:qFormat/>
    <w:uiPriority w:val="0"/>
    <w:rPr>
      <w:rFonts w:ascii="宋体" w:hAnsi="宋体"/>
      <w:sz w:val="24"/>
      <w:szCs w:val="24"/>
    </w:rPr>
  </w:style>
  <w:style w:type="character" w:customStyle="1" w:styleId="101">
    <w:name w:val="font31"/>
    <w:basedOn w:val="45"/>
    <w:qFormat/>
    <w:uiPriority w:val="0"/>
    <w:rPr>
      <w:rFonts w:hint="eastAsia" w:ascii="宋体" w:hAnsi="宋体" w:eastAsia="宋体" w:cs="宋体"/>
      <w:color w:val="000000"/>
      <w:sz w:val="16"/>
      <w:szCs w:val="16"/>
      <w:u w:val="none"/>
    </w:rPr>
  </w:style>
  <w:style w:type="character" w:customStyle="1" w:styleId="102">
    <w:name w:val="标题 3 Char"/>
    <w:basedOn w:val="45"/>
    <w:link w:val="2"/>
    <w:qFormat/>
    <w:uiPriority w:val="0"/>
    <w:rPr>
      <w:b/>
      <w:bCs/>
      <w:kern w:val="2"/>
      <w:sz w:val="32"/>
      <w:szCs w:val="32"/>
    </w:rPr>
  </w:style>
  <w:style w:type="character" w:customStyle="1" w:styleId="103">
    <w:name w:val="正文文本缩进 Char"/>
    <w:qFormat/>
    <w:uiPriority w:val="0"/>
    <w:rPr>
      <w:rFonts w:eastAsia="宋体"/>
      <w:kern w:val="2"/>
      <w:sz w:val="24"/>
      <w:szCs w:val="24"/>
      <w:lang w:val="en-US" w:eastAsia="zh-CN" w:bidi="ar-SA"/>
    </w:rPr>
  </w:style>
  <w:style w:type="character" w:customStyle="1" w:styleId="104">
    <w:name w:val="font11"/>
    <w:basedOn w:val="45"/>
    <w:qFormat/>
    <w:uiPriority w:val="0"/>
    <w:rPr>
      <w:rFonts w:hint="eastAsia" w:ascii="宋体" w:hAnsi="宋体" w:eastAsia="宋体" w:cs="宋体"/>
      <w:color w:val="000000"/>
      <w:sz w:val="16"/>
      <w:szCs w:val="16"/>
      <w:u w:val="none"/>
    </w:rPr>
  </w:style>
  <w:style w:type="character" w:customStyle="1" w:styleId="105">
    <w:name w:val="font01"/>
    <w:basedOn w:val="45"/>
    <w:qFormat/>
    <w:uiPriority w:val="0"/>
    <w:rPr>
      <w:rFonts w:hint="eastAsia" w:ascii="宋体" w:hAnsi="宋体" w:eastAsia="宋体" w:cs="宋体"/>
      <w:color w:val="000000"/>
      <w:sz w:val="24"/>
      <w:szCs w:val="24"/>
      <w:u w:val="none"/>
    </w:rPr>
  </w:style>
  <w:style w:type="character" w:customStyle="1" w:styleId="106">
    <w:name w:val="正文文本 Char1"/>
    <w:basedOn w:val="45"/>
    <w:link w:val="19"/>
    <w:qFormat/>
    <w:uiPriority w:val="0"/>
    <w:rPr>
      <w:kern w:val="2"/>
      <w:sz w:val="21"/>
    </w:rPr>
  </w:style>
  <w:style w:type="character" w:customStyle="1" w:styleId="107">
    <w:name w:val="批注主题 Char"/>
    <w:basedOn w:val="94"/>
    <w:link w:val="40"/>
    <w:qFormat/>
    <w:uiPriority w:val="0"/>
  </w:style>
  <w:style w:type="character" w:customStyle="1" w:styleId="108">
    <w:name w:val="标题 6 Char"/>
    <w:basedOn w:val="45"/>
    <w:link w:val="7"/>
    <w:qFormat/>
    <w:uiPriority w:val="0"/>
    <w:rPr>
      <w:rFonts w:eastAsia="黑体"/>
      <w:b/>
      <w:bCs/>
      <w:sz w:val="24"/>
      <w:szCs w:val="24"/>
    </w:rPr>
  </w:style>
  <w:style w:type="character" w:customStyle="1" w:styleId="109">
    <w:name w:val="font151"/>
    <w:basedOn w:val="45"/>
    <w:qFormat/>
    <w:uiPriority w:val="0"/>
    <w:rPr>
      <w:rFonts w:hint="default" w:ascii="Times New Roman" w:hAnsi="Times New Roman" w:cs="Times New Roman"/>
      <w:color w:val="000000"/>
      <w:sz w:val="20"/>
      <w:szCs w:val="20"/>
      <w:u w:val="none"/>
    </w:rPr>
  </w:style>
  <w:style w:type="character" w:customStyle="1" w:styleId="110">
    <w:name w:val="font61"/>
    <w:basedOn w:val="45"/>
    <w:qFormat/>
    <w:uiPriority w:val="0"/>
    <w:rPr>
      <w:rFonts w:hint="eastAsia" w:ascii="微软雅黑" w:hAnsi="微软雅黑" w:eastAsia="微软雅黑" w:cs="微软雅黑"/>
      <w:color w:val="000000"/>
      <w:sz w:val="16"/>
      <w:szCs w:val="16"/>
      <w:u w:val="none"/>
    </w:rPr>
  </w:style>
  <w:style w:type="character" w:customStyle="1" w:styleId="111">
    <w:name w:val="文档结构图 Char"/>
    <w:basedOn w:val="45"/>
    <w:link w:val="15"/>
    <w:qFormat/>
    <w:uiPriority w:val="0"/>
    <w:rPr>
      <w:kern w:val="2"/>
      <w:sz w:val="21"/>
      <w:szCs w:val="24"/>
      <w:shd w:val="clear" w:color="auto" w:fill="000080"/>
    </w:rPr>
  </w:style>
  <w:style w:type="character" w:customStyle="1" w:styleId="112">
    <w:name w:val="页脚 Char"/>
    <w:link w:val="29"/>
    <w:qFormat/>
    <w:uiPriority w:val="99"/>
    <w:rPr>
      <w:kern w:val="2"/>
      <w:sz w:val="18"/>
      <w:szCs w:val="18"/>
    </w:rPr>
  </w:style>
  <w:style w:type="character" w:customStyle="1" w:styleId="113">
    <w:name w:val="标题 8 Char"/>
    <w:basedOn w:val="45"/>
    <w:link w:val="9"/>
    <w:qFormat/>
    <w:uiPriority w:val="0"/>
    <w:rPr>
      <w:rFonts w:eastAsia="黑体"/>
      <w:sz w:val="24"/>
      <w:szCs w:val="24"/>
    </w:rPr>
  </w:style>
  <w:style w:type="character" w:customStyle="1" w:styleId="114">
    <w:name w:val="纯文本 Char"/>
    <w:link w:val="25"/>
    <w:qFormat/>
    <w:uiPriority w:val="0"/>
    <w:rPr>
      <w:rFonts w:ascii="宋体" w:hAnsi="Courier New"/>
      <w:kern w:val="2"/>
      <w:sz w:val="21"/>
    </w:rPr>
  </w:style>
  <w:style w:type="character" w:customStyle="1" w:styleId="115">
    <w:name w:val="font112"/>
    <w:basedOn w:val="45"/>
    <w:qFormat/>
    <w:uiPriority w:val="0"/>
    <w:rPr>
      <w:rFonts w:hint="eastAsia" w:ascii="宋体" w:hAnsi="宋体" w:eastAsia="宋体" w:cs="宋体"/>
      <w:color w:val="000000"/>
      <w:sz w:val="16"/>
      <w:szCs w:val="16"/>
      <w:u w:val="none"/>
    </w:rPr>
  </w:style>
  <w:style w:type="character" w:customStyle="1" w:styleId="116">
    <w:name w:val="纯文本 Char1"/>
    <w:basedOn w:val="45"/>
    <w:qFormat/>
    <w:uiPriority w:val="0"/>
    <w:rPr>
      <w:rFonts w:eastAsia="宋体"/>
      <w:kern w:val="2"/>
      <w:sz w:val="24"/>
      <w:lang w:val="en-US" w:eastAsia="zh-CN" w:bidi="ar-SA"/>
    </w:rPr>
  </w:style>
  <w:style w:type="character" w:customStyle="1" w:styleId="117">
    <w:name w:val="正文首行缩进 2 Char"/>
    <w:basedOn w:val="118"/>
    <w:link w:val="42"/>
    <w:qFormat/>
    <w:uiPriority w:val="0"/>
  </w:style>
  <w:style w:type="character" w:customStyle="1" w:styleId="118">
    <w:name w:val="正文文本缩进 Char1"/>
    <w:basedOn w:val="45"/>
    <w:link w:val="20"/>
    <w:qFormat/>
    <w:uiPriority w:val="0"/>
    <w:rPr>
      <w:kern w:val="2"/>
      <w:sz w:val="28"/>
    </w:rPr>
  </w:style>
  <w:style w:type="character" w:customStyle="1" w:styleId="119">
    <w:name w:val="正文文字 Char1"/>
    <w:basedOn w:val="45"/>
    <w:link w:val="92"/>
    <w:qFormat/>
    <w:uiPriority w:val="0"/>
    <w:rPr>
      <w:rFonts w:ascii="宋体"/>
      <w:color w:val="000000"/>
      <w:kern w:val="0"/>
      <w:sz w:val="28"/>
      <w:u w:val="none" w:color="000000"/>
    </w:rPr>
  </w:style>
  <w:style w:type="character" w:customStyle="1" w:styleId="120">
    <w:name w:val="标题 3 Char_0"/>
    <w:link w:val="89"/>
    <w:qFormat/>
    <w:uiPriority w:val="0"/>
    <w:rPr>
      <w:rFonts w:ascii="宋体" w:hAnsi="宋体"/>
      <w:b/>
      <w:kern w:val="2"/>
      <w:sz w:val="28"/>
      <w:szCs w:val="28"/>
    </w:rPr>
  </w:style>
  <w:style w:type="character" w:customStyle="1" w:styleId="121">
    <w:name w:val="font21"/>
    <w:basedOn w:val="45"/>
    <w:qFormat/>
    <w:uiPriority w:val="0"/>
    <w:rPr>
      <w:rFonts w:hint="eastAsia" w:ascii="宋体" w:hAnsi="宋体" w:eastAsia="宋体" w:cs="宋体"/>
      <w:color w:val="000000"/>
      <w:sz w:val="22"/>
      <w:szCs w:val="22"/>
      <w:u w:val="none"/>
    </w:rPr>
  </w:style>
  <w:style w:type="character" w:customStyle="1" w:styleId="122">
    <w:name w:val="脚注文本 Char"/>
    <w:basedOn w:val="45"/>
    <w:link w:val="34"/>
    <w:qFormat/>
    <w:uiPriority w:val="0"/>
    <w:rPr>
      <w:sz w:val="18"/>
    </w:rPr>
  </w:style>
  <w:style w:type="character" w:customStyle="1" w:styleId="123">
    <w:name w:val="副标题 Char"/>
    <w:link w:val="32"/>
    <w:qFormat/>
    <w:uiPriority w:val="0"/>
    <w:rPr>
      <w:rFonts w:ascii="Cambria" w:hAnsi="Cambria" w:eastAsia="宋体"/>
      <w:b/>
      <w:bCs/>
      <w:kern w:val="28"/>
      <w:sz w:val="32"/>
      <w:szCs w:val="32"/>
      <w:lang w:val="en-US" w:eastAsia="zh-CN" w:bidi="ar-SA"/>
    </w:rPr>
  </w:style>
  <w:style w:type="character" w:customStyle="1" w:styleId="124">
    <w:name w:val=" Char Char3"/>
    <w:qFormat/>
    <w:uiPriority w:val="0"/>
    <w:rPr>
      <w:rFonts w:eastAsia="宋体"/>
      <w:kern w:val="2"/>
      <w:sz w:val="21"/>
      <w:szCs w:val="24"/>
      <w:lang w:val="en-US" w:eastAsia="zh-CN" w:bidi="ar-SA"/>
    </w:rPr>
  </w:style>
  <w:style w:type="character" w:customStyle="1" w:styleId="125">
    <w:name w:val="正文文本 Char"/>
    <w:link w:val="19"/>
    <w:qFormat/>
    <w:uiPriority w:val="0"/>
    <w:rPr>
      <w:kern w:val="2"/>
      <w:sz w:val="21"/>
      <w:szCs w:val="24"/>
    </w:rPr>
  </w:style>
  <w:style w:type="character" w:customStyle="1" w:styleId="126">
    <w:name w:val=" Char Char6"/>
    <w:qFormat/>
    <w:uiPriority w:val="0"/>
    <w:rPr>
      <w:rFonts w:eastAsia="宋体"/>
      <w:kern w:val="2"/>
      <w:sz w:val="21"/>
      <w:szCs w:val="24"/>
      <w:lang w:val="en-US" w:eastAsia="zh-CN" w:bidi="ar-SA"/>
    </w:rPr>
  </w:style>
  <w:style w:type="character" w:customStyle="1" w:styleId="127">
    <w:name w:val="标题 Char"/>
    <w:basedOn w:val="45"/>
    <w:link w:val="39"/>
    <w:qFormat/>
    <w:uiPriority w:val="0"/>
    <w:rPr>
      <w:rFonts w:ascii="Cambria" w:hAnsi="Cambria"/>
      <w:b/>
      <w:bCs/>
      <w:kern w:val="2"/>
      <w:sz w:val="32"/>
      <w:szCs w:val="32"/>
    </w:rPr>
  </w:style>
  <w:style w:type="character" w:customStyle="1" w:styleId="128">
    <w:name w:val="日期 Char"/>
    <w:basedOn w:val="45"/>
    <w:link w:val="26"/>
    <w:qFormat/>
    <w:uiPriority w:val="0"/>
    <w:rPr>
      <w:kern w:val="2"/>
      <w:sz w:val="21"/>
      <w:szCs w:val="24"/>
    </w:rPr>
  </w:style>
  <w:style w:type="character" w:customStyle="1" w:styleId="129">
    <w:name w:val="ca-1"/>
    <w:basedOn w:val="45"/>
    <w:qFormat/>
    <w:uiPriority w:val="0"/>
  </w:style>
  <w:style w:type="character" w:customStyle="1" w:styleId="130">
    <w:name w:val="font101"/>
    <w:basedOn w:val="45"/>
    <w:qFormat/>
    <w:uiPriority w:val="0"/>
    <w:rPr>
      <w:rFonts w:ascii="Arial Unicode MS" w:hAnsi="Arial Unicode MS" w:eastAsia="Arial Unicode MS" w:cs="Arial Unicode MS"/>
      <w:color w:val="000000"/>
      <w:sz w:val="16"/>
      <w:szCs w:val="16"/>
      <w:u w:val="none"/>
    </w:rPr>
  </w:style>
  <w:style w:type="character" w:customStyle="1" w:styleId="131">
    <w:name w:val="标题 2 Char"/>
    <w:link w:val="4"/>
    <w:qFormat/>
    <w:uiPriority w:val="0"/>
    <w:rPr>
      <w:rFonts w:ascii="Arial Black" w:hAnsi="Arial Black" w:eastAsia="黑体"/>
      <w:b/>
      <w:bCs/>
      <w:kern w:val="2"/>
      <w:sz w:val="32"/>
      <w:szCs w:val="32"/>
      <w:lang w:val="en-US" w:eastAsia="zh-CN" w:bidi="ar-SA"/>
    </w:rPr>
  </w:style>
  <w:style w:type="character" w:customStyle="1" w:styleId="132">
    <w:name w:val="标题 5 Char"/>
    <w:basedOn w:val="45"/>
    <w:link w:val="6"/>
    <w:qFormat/>
    <w:uiPriority w:val="0"/>
    <w:rPr>
      <w:b/>
      <w:bCs/>
      <w:sz w:val="28"/>
      <w:szCs w:val="28"/>
    </w:rPr>
  </w:style>
  <w:style w:type="character" w:customStyle="1" w:styleId="133">
    <w:name w:val="标题 7 Char"/>
    <w:basedOn w:val="45"/>
    <w:link w:val="8"/>
    <w:qFormat/>
    <w:uiPriority w:val="0"/>
    <w:rPr>
      <w:b/>
      <w:bCs/>
      <w:sz w:val="24"/>
      <w:szCs w:val="24"/>
    </w:rPr>
  </w:style>
  <w:style w:type="character" w:customStyle="1" w:styleId="134">
    <w:name w:val="正文文本 3 Char"/>
    <w:basedOn w:val="45"/>
    <w:link w:val="18"/>
    <w:qFormat/>
    <w:uiPriority w:val="0"/>
    <w:rPr>
      <w:kern w:val="2"/>
      <w:sz w:val="16"/>
      <w:szCs w:val="16"/>
    </w:rPr>
  </w:style>
  <w:style w:type="character" w:customStyle="1" w:styleId="135">
    <w:name w:val="批注框文本 Char"/>
    <w:basedOn w:val="45"/>
    <w:link w:val="28"/>
    <w:qFormat/>
    <w:uiPriority w:val="0"/>
    <w:rPr>
      <w:kern w:val="2"/>
      <w:sz w:val="18"/>
      <w:szCs w:val="18"/>
    </w:rPr>
  </w:style>
  <w:style w:type="character" w:customStyle="1" w:styleId="136">
    <w:name w:val="正文文本缩进 2 Char"/>
    <w:basedOn w:val="45"/>
    <w:link w:val="27"/>
    <w:qFormat/>
    <w:uiPriority w:val="0"/>
    <w:rPr>
      <w:kern w:val="2"/>
      <w:sz w:val="21"/>
      <w:szCs w:val="24"/>
    </w:rPr>
  </w:style>
  <w:style w:type="character" w:customStyle="1" w:styleId="137">
    <w:name w:val="标题 9 Char"/>
    <w:basedOn w:val="45"/>
    <w:link w:val="10"/>
    <w:qFormat/>
    <w:uiPriority w:val="0"/>
    <w:rPr>
      <w:rFonts w:eastAsia="黑体"/>
      <w:sz w:val="21"/>
      <w:szCs w:val="21"/>
    </w:rPr>
  </w:style>
  <w:style w:type="character" w:customStyle="1" w:styleId="138">
    <w:name w:val="标题 4 Char"/>
    <w:basedOn w:val="45"/>
    <w:link w:val="5"/>
    <w:qFormat/>
    <w:uiPriority w:val="0"/>
    <w:rPr>
      <w:rFonts w:eastAsia="黑体"/>
      <w:b/>
      <w:bCs/>
      <w:sz w:val="28"/>
      <w:szCs w:val="28"/>
    </w:rPr>
  </w:style>
  <w:style w:type="character" w:customStyle="1" w:styleId="139">
    <w:name w:val="font91"/>
    <w:basedOn w:val="45"/>
    <w:qFormat/>
    <w:uiPriority w:val="0"/>
    <w:rPr>
      <w:rFonts w:hint="eastAsia" w:ascii="宋体" w:hAnsi="宋体" w:eastAsia="宋体" w:cs="宋体"/>
      <w:b/>
      <w:color w:val="FF0000"/>
      <w:sz w:val="20"/>
      <w:szCs w:val="20"/>
      <w:u w:val="none"/>
    </w:rPr>
  </w:style>
  <w:style w:type="paragraph" w:customStyle="1" w:styleId="140">
    <w:name w:val="Table Paragraph"/>
    <w:basedOn w:val="1"/>
    <w:qFormat/>
    <w:uiPriority w:val="1"/>
    <w:rPr>
      <w:rFonts w:ascii="宋体" w:hAnsi="宋体" w:eastAsia="宋体" w:cs="宋体"/>
      <w:lang w:val="zh-CN" w:eastAsia="zh-CN" w:bidi="zh-CN"/>
    </w:rPr>
  </w:style>
  <w:style w:type="paragraph" w:customStyle="1" w:styleId="14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42">
    <w:name w:val="样式3"/>
    <w:basedOn w:val="25"/>
    <w:qFormat/>
    <w:uiPriority w:val="0"/>
    <w:pPr>
      <w:spacing w:line="0" w:lineRule="atLeast"/>
      <w:outlineLvl w:val="0"/>
    </w:pPr>
    <w:rPr>
      <w:sz w:val="28"/>
    </w:rPr>
  </w:style>
  <w:style w:type="paragraph" w:customStyle="1" w:styleId="143">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144">
    <w:name w:val="标题 3 字符"/>
    <w:basedOn w:val="45"/>
    <w:link w:val="2"/>
    <w:semiHidden/>
    <w:qFormat/>
    <w:locked/>
    <w:uiPriority w:val="99"/>
    <w:rPr>
      <w:rFonts w:cs="Times New Roman"/>
      <w:b/>
      <w:bCs/>
      <w:sz w:val="32"/>
      <w:szCs w:val="32"/>
    </w:rPr>
  </w:style>
  <w:style w:type="character" w:customStyle="1" w:styleId="145">
    <w:name w:val="NormalCharacter"/>
    <w:qFormat/>
    <w:uiPriority w:val="0"/>
    <w:rPr>
      <w:rFonts w:ascii="Times New Roman" w:hAnsi="Times New Roman" w:eastAsia="宋体"/>
      <w:kern w:val="2"/>
      <w:sz w:val="21"/>
      <w:lang w:val="en-US" w:eastAsia="zh-CN" w:bidi="ar-SA"/>
    </w:rPr>
  </w:style>
  <w:style w:type="paragraph" w:customStyle="1" w:styleId="146">
    <w:name w:val="UserStyle_10"/>
    <w:basedOn w:val="1"/>
    <w:qFormat/>
    <w:uiPriority w:val="0"/>
    <w:pPr>
      <w:jc w:val="left"/>
    </w:pPr>
    <w:rPr>
      <w:rFonts w:ascii="宋体" w:hAnsi="宋体"/>
      <w:kern w:val="0"/>
    </w:rPr>
  </w:style>
  <w:style w:type="paragraph" w:customStyle="1" w:styleId="147">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148">
    <w:name w:val="样式 左侧:  0.74 厘米"/>
    <w:basedOn w:val="1"/>
    <w:qFormat/>
    <w:uiPriority w:val="0"/>
    <w:pPr>
      <w:spacing w:line="360" w:lineRule="auto"/>
      <w:ind w:left="620" w:hanging="200" w:hangingChars="20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56</Pages>
  <Words>26476</Words>
  <Characters>28541</Characters>
  <Lines>227</Lines>
  <Paragraphs>64</Paragraphs>
  <TotalTime>167</TotalTime>
  <ScaleCrop>false</ScaleCrop>
  <LinksUpToDate>false</LinksUpToDate>
  <CharactersWithSpaces>30098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猪大帅</cp:lastModifiedBy>
  <cp:lastPrinted>2022-12-27T09:19:00Z</cp:lastPrinted>
  <dcterms:modified xsi:type="dcterms:W3CDTF">2023-09-21T11:31:39Z</dcterms:modified>
  <dc:title>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44B67455D40649E4864A02E6D367F85C_13</vt:lpwstr>
  </property>
</Properties>
</file>