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lang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sz w:val="72"/>
        </w:rPr>
      </w:pPr>
      <w:r>
        <w:rPr>
          <w:rFonts w:hint="eastAsia" w:ascii="宋体" w:hAnsi="宋体" w:eastAsia="宋体" w:cs="宋体"/>
          <w:b/>
          <w:color w:val="auto"/>
          <w:sz w:val="72"/>
          <w:szCs w:val="24"/>
        </w:rPr>
        <w:t>政府采购项目</w:t>
      </w:r>
      <w:r>
        <w:rPr>
          <w:rFonts w:hint="eastAsia" w:ascii="宋体" w:hAnsi="宋体" w:eastAsia="宋体" w:cs="宋体"/>
          <w:b/>
          <w:color w:val="auto"/>
          <w:sz w:val="72"/>
          <w:szCs w:val="24"/>
          <w:lang w:val="en-US" w:eastAsia="zh-CN"/>
        </w:rPr>
        <w:t>竞争性谈判</w:t>
      </w:r>
      <w:r>
        <w:rPr>
          <w:rFonts w:hint="eastAsia" w:ascii="宋体" w:hAnsi="宋体" w:eastAsia="宋体" w:cs="宋体"/>
          <w:b/>
          <w:color w:val="auto"/>
          <w:sz w:val="72"/>
          <w:szCs w:val="24"/>
        </w:rPr>
        <w:t>文件</w:t>
      </w: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采购编号：</w:t>
      </w:r>
      <w:r>
        <w:rPr>
          <w:rFonts w:hint="eastAsia" w:ascii="宋体" w:hAnsi="宋体" w:eastAsia="宋体" w:cs="宋体"/>
          <w:b w:val="0"/>
          <w:bCs w:val="0"/>
          <w:color w:val="auto"/>
          <w:sz w:val="28"/>
          <w:szCs w:val="28"/>
          <w:highlight w:val="none"/>
        </w:rPr>
        <w:t>JT2023-002</w:t>
      </w:r>
    </w:p>
    <w:p>
      <w:pPr>
        <w:pStyle w:val="36"/>
        <w:rPr>
          <w:rFonts w:hint="eastAsia" w:ascii="宋体" w:hAnsi="宋体" w:eastAsia="宋体" w:cs="宋体"/>
          <w:color w:val="auto"/>
        </w:rPr>
      </w:pPr>
    </w:p>
    <w:p>
      <w:pPr>
        <w:pStyle w:val="36"/>
        <w:rPr>
          <w:rFonts w:hint="eastAsia" w:ascii="宋体" w:hAnsi="宋体" w:eastAsia="宋体" w:cs="宋体"/>
          <w:color w:val="auto"/>
          <w:lang w:eastAsia="zh-CN"/>
        </w:rPr>
      </w:pPr>
    </w:p>
    <w:p>
      <w:pPr>
        <w:pStyle w:val="36"/>
        <w:rPr>
          <w:rFonts w:hint="eastAsia" w:ascii="宋体" w:hAnsi="宋体" w:eastAsia="宋体" w:cs="宋体"/>
          <w:color w:val="auto"/>
          <w:lang w:eastAsia="zh-CN"/>
        </w:rPr>
      </w:pPr>
    </w:p>
    <w:p>
      <w:pPr>
        <w:pStyle w:val="36"/>
        <w:rPr>
          <w:rFonts w:hint="default" w:ascii="宋体" w:hAnsi="宋体" w:eastAsia="宋体" w:cs="宋体"/>
          <w:color w:val="auto"/>
          <w:lang w:val="en-US" w:eastAsia="zh-CN"/>
        </w:rPr>
      </w:pPr>
      <w:r>
        <w:rPr>
          <w:rFonts w:hint="eastAsia" w:ascii="宋体" w:hAnsi="宋体" w:eastAsia="宋体" w:cs="宋体"/>
          <w:color w:val="auto"/>
          <w:lang w:val="en-US" w:eastAsia="zh-CN"/>
        </w:rPr>
        <w:t xml:space="preserve"> </w:t>
      </w:r>
    </w:p>
    <w:p>
      <w:pPr>
        <w:pStyle w:val="36"/>
        <w:rPr>
          <w:rFonts w:hint="eastAsia" w:ascii="宋体" w:hAnsi="宋体" w:eastAsia="宋体" w:cs="宋体"/>
          <w:color w:val="auto"/>
          <w:lang w:eastAsia="zh-CN"/>
        </w:rPr>
      </w:pPr>
    </w:p>
    <w:p>
      <w:pPr>
        <w:pStyle w:val="63"/>
        <w:rPr>
          <w:rFonts w:hint="eastAsia" w:ascii="宋体" w:hAnsi="宋体" w:eastAsia="宋体" w:cs="宋体"/>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3980" w:leftChars="200" w:hanging="3500" w:hangingChars="125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项目</w:t>
      </w:r>
      <w:r>
        <w:rPr>
          <w:rFonts w:hint="eastAsia" w:ascii="宋体" w:hAnsi="宋体" w:eastAsia="宋体" w:cs="宋体"/>
          <w:bCs/>
          <w:color w:val="auto"/>
          <w:sz w:val="28"/>
          <w:szCs w:val="28"/>
          <w:lang w:val="zh-CN"/>
        </w:rPr>
        <w:t>名称：</w:t>
      </w:r>
      <w:r>
        <w:rPr>
          <w:rFonts w:hint="eastAsia" w:ascii="宋体" w:hAnsi="宋体" w:cs="宋体"/>
          <w:bCs/>
          <w:color w:val="auto"/>
          <w:sz w:val="28"/>
          <w:szCs w:val="28"/>
          <w:lang w:val="en-US" w:eastAsia="zh-CN"/>
        </w:rPr>
        <w:t>吐鲁番传媒中心工程项目-传媒中心监控安防设施系统项目设备采购</w:t>
      </w:r>
      <w:bookmarkStart w:id="350" w:name="_GoBack"/>
      <w:bookmarkEnd w:id="350"/>
    </w:p>
    <w:p>
      <w:pPr>
        <w:pStyle w:val="2"/>
        <w:rPr>
          <w:rFonts w:hint="eastAsia" w:ascii="宋体" w:hAnsi="宋体" w:eastAsia="宋体" w:cs="宋体"/>
          <w:bCs/>
          <w:color w:val="auto"/>
          <w:sz w:val="28"/>
          <w:szCs w:val="28"/>
          <w:lang w:val="en-US" w:eastAsia="zh-CN"/>
        </w:rPr>
      </w:pPr>
    </w:p>
    <w:p>
      <w:pPr>
        <w:rPr>
          <w:rFonts w:hint="eastAsia"/>
          <w:lang w:val="zh-CN"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3980" w:leftChars="200"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采</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购</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人（盖章）：</w:t>
      </w:r>
      <w:r>
        <w:rPr>
          <w:rFonts w:hint="eastAsia" w:ascii="宋体" w:hAnsi="宋体" w:eastAsia="宋体" w:cs="宋体"/>
          <w:bCs/>
          <w:color w:val="auto"/>
          <w:sz w:val="28"/>
          <w:szCs w:val="28"/>
          <w:lang w:val="en-US" w:eastAsia="zh-CN"/>
        </w:rPr>
        <w:t>吐鲁番市广播电视局</w:t>
      </w:r>
    </w:p>
    <w:p>
      <w:pPr>
        <w:keepNext w:val="0"/>
        <w:keepLines w:val="0"/>
        <w:pageBreakBefore w:val="0"/>
        <w:widowControl w:val="0"/>
        <w:kinsoku/>
        <w:wordWrap/>
        <w:overflowPunct/>
        <w:topLinePunct w:val="0"/>
        <w:autoSpaceDE w:val="0"/>
        <w:autoSpaceDN w:val="0"/>
        <w:bidi w:val="0"/>
        <w:adjustRightInd w:val="0"/>
        <w:snapToGrid/>
        <w:spacing w:line="560" w:lineRule="exact"/>
        <w:ind w:left="3980" w:leftChars="200"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eastAsia="zh-CN"/>
        </w:rPr>
        <w:t>联 系 人：</w:t>
      </w:r>
      <w:r>
        <w:rPr>
          <w:rFonts w:hint="eastAsia" w:ascii="宋体" w:hAnsi="宋体" w:eastAsia="宋体" w:cs="宋体"/>
          <w:bCs/>
          <w:color w:val="auto"/>
          <w:sz w:val="28"/>
          <w:szCs w:val="28"/>
          <w:lang w:val="en-US" w:eastAsia="zh-CN"/>
        </w:rPr>
        <w:t>孙新平</w:t>
      </w:r>
    </w:p>
    <w:p>
      <w:pPr>
        <w:keepNext w:val="0"/>
        <w:keepLines w:val="0"/>
        <w:pageBreakBefore w:val="0"/>
        <w:widowControl w:val="0"/>
        <w:kinsoku/>
        <w:wordWrap/>
        <w:overflowPunct/>
        <w:topLinePunct w:val="0"/>
        <w:autoSpaceDE w:val="0"/>
        <w:autoSpaceDN w:val="0"/>
        <w:bidi w:val="0"/>
        <w:adjustRightInd w:val="0"/>
        <w:snapToGrid/>
        <w:spacing w:line="560" w:lineRule="exact"/>
        <w:ind w:left="3980" w:leftChars="200"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eastAsia="zh-CN"/>
        </w:rPr>
        <w:t>电    话：</w:t>
      </w:r>
      <w:r>
        <w:rPr>
          <w:rFonts w:hint="eastAsia" w:ascii="宋体" w:hAnsi="宋体" w:eastAsia="宋体" w:cs="宋体"/>
          <w:bCs/>
          <w:color w:val="auto"/>
          <w:sz w:val="28"/>
          <w:szCs w:val="28"/>
          <w:lang w:val="en-US" w:eastAsia="zh-CN"/>
        </w:rPr>
        <w:t>13579542516</w:t>
      </w:r>
    </w:p>
    <w:p>
      <w:pPr>
        <w:keepNext w:val="0"/>
        <w:keepLines w:val="0"/>
        <w:pageBreakBefore w:val="0"/>
        <w:widowControl w:val="0"/>
        <w:kinsoku/>
        <w:wordWrap/>
        <w:overflowPunct/>
        <w:topLinePunct w:val="0"/>
        <w:autoSpaceDE w:val="0"/>
        <w:autoSpaceDN w:val="0"/>
        <w:bidi w:val="0"/>
        <w:adjustRightInd w:val="0"/>
        <w:snapToGrid/>
        <w:spacing w:line="560" w:lineRule="exact"/>
        <w:ind w:left="3980" w:leftChars="200"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eastAsia="zh-CN"/>
        </w:rPr>
        <w:t>详细地址：</w:t>
      </w:r>
      <w:r>
        <w:rPr>
          <w:rFonts w:hint="eastAsia" w:ascii="宋体" w:hAnsi="宋体" w:eastAsia="宋体" w:cs="宋体"/>
          <w:bCs/>
          <w:color w:val="auto"/>
          <w:sz w:val="28"/>
          <w:szCs w:val="28"/>
          <w:lang w:val="en-US" w:eastAsia="zh-CN"/>
        </w:rPr>
        <w:t>吐鲁番市示范区艾丁湖路60号（吐鲁番市融媒体中心）</w:t>
      </w:r>
    </w:p>
    <w:p>
      <w:pPr>
        <w:keepNext w:val="0"/>
        <w:keepLines w:val="0"/>
        <w:pageBreakBefore w:val="0"/>
        <w:widowControl w:val="0"/>
        <w:kinsoku/>
        <w:wordWrap/>
        <w:overflowPunct/>
        <w:topLinePunct w:val="0"/>
        <w:autoSpaceDE w:val="0"/>
        <w:autoSpaceDN w:val="0"/>
        <w:bidi w:val="0"/>
        <w:adjustRightInd w:val="0"/>
        <w:snapToGrid/>
        <w:spacing w:line="560" w:lineRule="exact"/>
        <w:ind w:left="3980" w:leftChars="200"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招标代理机构</w:t>
      </w:r>
      <w:r>
        <w:rPr>
          <w:rFonts w:hint="eastAsia" w:ascii="宋体" w:hAnsi="宋体" w:eastAsia="宋体" w:cs="宋体"/>
          <w:color w:val="auto"/>
          <w:sz w:val="28"/>
          <w:szCs w:val="28"/>
          <w:lang w:val="zh-CN"/>
        </w:rPr>
        <w:t>（盖章</w:t>
      </w:r>
      <w:r>
        <w:rPr>
          <w:rFonts w:hint="eastAsia" w:ascii="宋体" w:hAnsi="宋体" w:eastAsia="宋体" w:cs="宋体"/>
          <w:bCs/>
          <w:color w:val="auto"/>
          <w:sz w:val="28"/>
          <w:szCs w:val="28"/>
          <w:lang w:val="zh-CN" w:eastAsia="zh-CN"/>
        </w:rPr>
        <w:t>）：吐鲁番市行政服务中心（市公共资源交易中心）</w:t>
      </w: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宋体" w:cs="宋体"/>
          <w:b/>
          <w:bCs/>
          <w:color w:val="auto"/>
          <w:sz w:val="40"/>
          <w:szCs w:val="40"/>
        </w:rPr>
      </w:pPr>
    </w:p>
    <w:p>
      <w:pPr>
        <w:pStyle w:val="2"/>
        <w:rPr>
          <w:rFonts w:hint="eastAsia" w:ascii="宋体" w:hAnsi="宋体" w:eastAsia="宋体" w:cs="宋体"/>
          <w:b/>
          <w:bCs/>
          <w:color w:val="auto"/>
          <w:sz w:val="40"/>
          <w:szCs w:val="40"/>
        </w:rPr>
      </w:pPr>
    </w:p>
    <w:p>
      <w:pPr>
        <w:rPr>
          <w:rFonts w:hint="eastAsia" w:ascii="宋体" w:hAnsi="宋体" w:eastAsia="宋体" w:cs="宋体"/>
          <w:b/>
          <w:bCs/>
          <w:color w:val="auto"/>
          <w:sz w:val="40"/>
          <w:szCs w:val="4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宋体" w:cs="宋体"/>
          <w:b/>
          <w:bCs/>
          <w:color w:val="auto"/>
          <w:sz w:val="40"/>
          <w:szCs w:val="40"/>
        </w:rPr>
      </w:pP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rPr>
        <w:t>目</w:t>
      </w:r>
      <w:r>
        <w:rPr>
          <w:rFonts w:hint="eastAsia" w:ascii="宋体" w:hAnsi="宋体" w:eastAsia="宋体" w:cs="宋体"/>
          <w:b/>
          <w:bCs/>
          <w:color w:val="auto"/>
          <w:sz w:val="40"/>
          <w:szCs w:val="40"/>
        </w:rPr>
        <w:tab/>
      </w:r>
      <w:r>
        <w:rPr>
          <w:rFonts w:hint="eastAsia" w:ascii="宋体" w:hAnsi="宋体" w:eastAsia="宋体" w:cs="宋体"/>
          <w:b/>
          <w:bCs/>
          <w:color w:val="auto"/>
          <w:sz w:val="40"/>
          <w:szCs w:val="40"/>
        </w:rPr>
        <w:t xml:space="preserve">  录</w:t>
      </w: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第一</w:t>
      </w:r>
      <w:r>
        <w:rPr>
          <w:rFonts w:hint="eastAsia" w:ascii="宋体" w:hAnsi="宋体" w:eastAsia="宋体" w:cs="宋体"/>
          <w:color w:val="auto"/>
          <w:sz w:val="28"/>
          <w:szCs w:val="28"/>
          <w:lang w:val="en-US" w:eastAsia="zh-CN"/>
        </w:rPr>
        <w:t>部分 竞争性谈判</w:t>
      </w:r>
      <w:r>
        <w:rPr>
          <w:rFonts w:hint="eastAsia" w:ascii="宋体" w:hAnsi="宋体" w:eastAsia="宋体" w:cs="宋体"/>
          <w:color w:val="auto"/>
          <w:sz w:val="28"/>
          <w:szCs w:val="28"/>
        </w:rPr>
        <w:t>公告</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p>
    <w:p>
      <w:pPr>
        <w:ind w:firstLine="600"/>
        <w:rPr>
          <w:rFonts w:hint="eastAsia" w:ascii="宋体" w:hAnsi="宋体" w:eastAsia="宋体" w:cs="宋体"/>
          <w:color w:val="auto"/>
          <w:sz w:val="28"/>
          <w:szCs w:val="28"/>
        </w:rPr>
      </w:pPr>
    </w:p>
    <w:p>
      <w:pPr>
        <w:tabs>
          <w:tab w:val="left" w:pos="1740"/>
          <w:tab w:val="left" w:leader="dot" w:pos="9060"/>
        </w:tabs>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第二</w:t>
      </w:r>
      <w:r>
        <w:rPr>
          <w:rFonts w:hint="eastAsia" w:ascii="宋体" w:hAnsi="宋体" w:eastAsia="宋体" w:cs="宋体"/>
          <w:color w:val="auto"/>
          <w:sz w:val="28"/>
          <w:szCs w:val="28"/>
          <w:lang w:val="en-US" w:eastAsia="zh-CN"/>
        </w:rPr>
        <w:t>部分 谈判</w:t>
      </w:r>
      <w:r>
        <w:rPr>
          <w:rFonts w:hint="eastAsia" w:ascii="宋体" w:hAnsi="宋体" w:eastAsia="宋体" w:cs="宋体"/>
          <w:color w:val="auto"/>
          <w:sz w:val="28"/>
          <w:szCs w:val="28"/>
        </w:rPr>
        <w:t>须知</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5</w:t>
      </w:r>
    </w:p>
    <w:p>
      <w:pPr>
        <w:ind w:firstLine="600"/>
        <w:rPr>
          <w:rFonts w:hint="eastAsia" w:ascii="宋体" w:hAnsi="宋体" w:eastAsia="宋体" w:cs="宋体"/>
          <w:color w:val="auto"/>
          <w:sz w:val="28"/>
          <w:szCs w:val="28"/>
        </w:rPr>
      </w:pPr>
    </w:p>
    <w:p>
      <w:pPr>
        <w:tabs>
          <w:tab w:val="left" w:pos="1740"/>
          <w:tab w:val="left" w:leader="dot" w:pos="9060"/>
        </w:tabs>
        <w:ind w:firstLine="0" w:firstLine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第三</w:t>
      </w:r>
      <w:r>
        <w:rPr>
          <w:rFonts w:hint="eastAsia" w:ascii="宋体" w:hAnsi="宋体" w:eastAsia="宋体" w:cs="宋体"/>
          <w:color w:val="auto"/>
          <w:sz w:val="28"/>
          <w:szCs w:val="28"/>
          <w:lang w:val="en-US" w:eastAsia="zh-CN"/>
        </w:rPr>
        <w:t xml:space="preserve">部分 </w:t>
      </w:r>
      <w:r>
        <w:rPr>
          <w:rFonts w:hint="eastAsia" w:ascii="宋体" w:hAnsi="宋体" w:eastAsia="宋体" w:cs="宋体"/>
          <w:color w:val="auto"/>
          <w:sz w:val="28"/>
          <w:szCs w:val="28"/>
        </w:rPr>
        <w:t>采购需求及技术规格要求</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p>
    <w:p>
      <w:pPr>
        <w:ind w:firstLine="600"/>
        <w:rPr>
          <w:rFonts w:hint="eastAsia" w:ascii="宋体" w:hAnsi="宋体" w:eastAsia="宋体" w:cs="宋体"/>
          <w:color w:val="auto"/>
          <w:sz w:val="28"/>
          <w:szCs w:val="28"/>
        </w:rPr>
      </w:pPr>
    </w:p>
    <w:p>
      <w:pPr>
        <w:tabs>
          <w:tab w:val="left" w:pos="1740"/>
          <w:tab w:val="left" w:leader="dot" w:pos="9045"/>
        </w:tabs>
        <w:ind w:firstLine="0" w:firstLine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第四</w:t>
      </w:r>
      <w:r>
        <w:rPr>
          <w:rFonts w:hint="eastAsia" w:ascii="宋体" w:hAnsi="宋体" w:eastAsia="宋体" w:cs="宋体"/>
          <w:color w:val="auto"/>
          <w:sz w:val="28"/>
          <w:szCs w:val="28"/>
          <w:lang w:val="en-US" w:eastAsia="zh-CN"/>
        </w:rPr>
        <w:t>部分 政府采购合同（样本）</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33</w:t>
      </w:r>
    </w:p>
    <w:p>
      <w:pPr>
        <w:tabs>
          <w:tab w:val="left" w:pos="1740"/>
          <w:tab w:val="left" w:leader="dot" w:pos="9060"/>
        </w:tabs>
        <w:ind w:firstLine="0" w:firstLineChars="0"/>
        <w:rPr>
          <w:rFonts w:hint="eastAsia" w:ascii="宋体" w:hAnsi="宋体" w:eastAsia="宋体" w:cs="宋体"/>
          <w:color w:val="auto"/>
          <w:sz w:val="28"/>
          <w:szCs w:val="28"/>
          <w:lang w:val="en-US" w:eastAsia="zh-CN"/>
        </w:rPr>
      </w:pPr>
    </w:p>
    <w:p>
      <w:pPr>
        <w:tabs>
          <w:tab w:val="left" w:pos="1740"/>
          <w:tab w:val="left" w:leader="dot" w:pos="9060"/>
        </w:tabs>
        <w:ind w:firstLine="0" w:firstLine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第五部分 评审方法</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4</w:t>
      </w:r>
    </w:p>
    <w:p>
      <w:pPr>
        <w:tabs>
          <w:tab w:val="left" w:pos="1740"/>
          <w:tab w:val="left" w:leader="dot" w:pos="9060"/>
        </w:tabs>
        <w:ind w:firstLine="0" w:firstLineChars="0"/>
        <w:rPr>
          <w:rFonts w:hint="eastAsia" w:ascii="宋体" w:hAnsi="宋体" w:eastAsia="宋体" w:cs="宋体"/>
          <w:color w:val="auto"/>
          <w:sz w:val="28"/>
          <w:szCs w:val="28"/>
          <w:lang w:val="en-US" w:eastAsia="zh-CN"/>
        </w:rPr>
      </w:pPr>
    </w:p>
    <w:p>
      <w:pPr>
        <w:tabs>
          <w:tab w:val="left" w:pos="1740"/>
          <w:tab w:val="left" w:leader="dot" w:pos="9060"/>
        </w:tabs>
        <w:ind w:firstLine="0" w:firstLine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第六部分 竞争性谈判响应文件格式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7</w:t>
      </w:r>
    </w:p>
    <w:p>
      <w:pPr>
        <w:pStyle w:val="15"/>
        <w:rPr>
          <w:rFonts w:hint="eastAsia" w:ascii="宋体" w:hAnsi="宋体" w:eastAsia="宋体" w:cs="宋体"/>
          <w:color w:val="auto"/>
          <w:lang w:val="en-US" w:eastAsia="zh-CN"/>
        </w:rPr>
      </w:pPr>
    </w:p>
    <w:p>
      <w:pPr>
        <w:tabs>
          <w:tab w:val="left" w:pos="1740"/>
          <w:tab w:val="left" w:leader="dot" w:pos="9060"/>
        </w:tabs>
        <w:ind w:firstLine="0" w:firstLineChars="0"/>
        <w:rPr>
          <w:rFonts w:hint="eastAsia" w:ascii="宋体" w:hAnsi="宋体" w:eastAsia="宋体" w:cs="宋体"/>
          <w:color w:val="auto"/>
          <w:sz w:val="30"/>
          <w:szCs w:val="30"/>
        </w:rPr>
      </w:pPr>
    </w:p>
    <w:p>
      <w:pPr>
        <w:tabs>
          <w:tab w:val="left" w:pos="1740"/>
          <w:tab w:val="left" w:leader="dot" w:pos="9060"/>
        </w:tabs>
        <w:ind w:firstLine="0" w:firstLineChars="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480"/>
        <w:rPr>
          <w:rFonts w:hint="eastAsia" w:ascii="宋体" w:hAnsi="宋体" w:eastAsia="宋体" w:cs="宋体"/>
          <w:color w:val="auto"/>
        </w:rPr>
      </w:pPr>
    </w:p>
    <w:p>
      <w:pPr>
        <w:ind w:firstLine="480"/>
        <w:rPr>
          <w:rFonts w:hint="eastAsia" w:ascii="宋体" w:hAnsi="宋体" w:eastAsia="宋体" w:cs="宋体"/>
          <w:color w:val="auto"/>
        </w:rPr>
      </w:pPr>
    </w:p>
    <w:p>
      <w:pPr>
        <w:pStyle w:val="15"/>
        <w:rPr>
          <w:rFonts w:hint="eastAsia"/>
          <w:color w:val="auto"/>
        </w:rPr>
      </w:pPr>
    </w:p>
    <w:p>
      <w:pPr>
        <w:ind w:firstLine="480"/>
        <w:rPr>
          <w:rFonts w:hint="eastAsia" w:ascii="宋体" w:hAnsi="宋体" w:eastAsia="宋体" w:cs="宋体"/>
          <w:color w:val="auto"/>
        </w:rPr>
      </w:pPr>
    </w:p>
    <w:p>
      <w:pPr>
        <w:ind w:firstLine="480"/>
        <w:rPr>
          <w:rFonts w:hint="eastAsia" w:ascii="宋体" w:hAnsi="宋体" w:eastAsia="宋体" w:cs="宋体"/>
          <w:color w:val="auto"/>
        </w:rPr>
      </w:pPr>
    </w:p>
    <w:p>
      <w:pPr>
        <w:ind w:firstLine="0" w:firstLineChars="0"/>
        <w:rPr>
          <w:rFonts w:hint="eastAsia" w:ascii="宋体" w:hAnsi="宋体" w:eastAsia="宋体" w:cs="宋体"/>
          <w:color w:val="auto"/>
        </w:rPr>
      </w:pPr>
    </w:p>
    <w:p>
      <w:pPr>
        <w:ind w:firstLine="480"/>
        <w:rPr>
          <w:rFonts w:hint="eastAsia" w:ascii="宋体" w:hAnsi="宋体" w:eastAsia="宋体" w:cs="宋体"/>
          <w:color w:val="auto"/>
        </w:rPr>
      </w:pP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val="0"/>
        <w:spacing w:before="0" w:after="0" w:line="360" w:lineRule="auto"/>
        <w:jc w:val="center"/>
        <w:textAlignment w:val="auto"/>
        <w:rPr>
          <w:rFonts w:hint="eastAsia" w:ascii="宋体" w:hAnsi="宋体" w:eastAsia="宋体" w:cs="宋体"/>
          <w:b/>
          <w:color w:val="auto"/>
          <w:kern w:val="2"/>
          <w:sz w:val="36"/>
          <w:szCs w:val="36"/>
          <w:shd w:val="clear" w:color="auto" w:fill="FFFFFF"/>
          <w:lang w:val="en-US" w:eastAsia="zh-CN"/>
        </w:rPr>
      </w:pP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val="0"/>
        <w:spacing w:before="0" w:after="0" w:line="360" w:lineRule="auto"/>
        <w:jc w:val="both"/>
        <w:textAlignment w:val="auto"/>
        <w:rPr>
          <w:rFonts w:hint="eastAsia" w:ascii="宋体" w:hAnsi="宋体" w:eastAsia="宋体" w:cs="宋体"/>
          <w:b/>
          <w:color w:val="auto"/>
          <w:kern w:val="2"/>
          <w:sz w:val="36"/>
          <w:szCs w:val="36"/>
          <w:shd w:val="clear" w:color="auto" w:fill="FFFFFF"/>
          <w:lang w:val="en-US" w:eastAsia="zh-CN"/>
        </w:rPr>
        <w:sectPr>
          <w:headerReference r:id="rId5" w:type="default"/>
          <w:footerReference r:id="rId6" w:type="default"/>
          <w:pgSz w:w="11907" w:h="16840"/>
          <w:pgMar w:top="1440" w:right="1080" w:bottom="1440" w:left="1080" w:header="851" w:footer="850" w:gutter="0"/>
          <w:pgBorders>
            <w:top w:val="none" w:sz="0" w:space="0"/>
            <w:left w:val="none" w:sz="0" w:space="0"/>
            <w:bottom w:val="none" w:sz="0" w:space="0"/>
            <w:right w:val="none" w:sz="0" w:space="0"/>
          </w:pgBorders>
          <w:pgNumType w:fmt="decimal" w:start="1"/>
          <w:cols w:space="720" w:num="1"/>
          <w:rtlGutter w:val="0"/>
          <w:docGrid w:linePitch="462" w:charSpace="0"/>
        </w:sectPr>
      </w:pP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val="0"/>
        <w:spacing w:before="0" w:after="0" w:line="360" w:lineRule="auto"/>
        <w:jc w:val="center"/>
        <w:textAlignment w:val="auto"/>
        <w:rPr>
          <w:rFonts w:hint="eastAsia" w:ascii="宋体" w:hAnsi="宋体" w:eastAsia="宋体" w:cs="宋体"/>
          <w:b/>
          <w:color w:val="auto"/>
          <w:kern w:val="2"/>
          <w:sz w:val="36"/>
          <w:szCs w:val="36"/>
          <w:shd w:val="clear" w:color="auto" w:fill="FFFFFF"/>
          <w:lang w:val="en-US" w:eastAsia="zh-CN"/>
        </w:rPr>
      </w:pPr>
      <w:r>
        <w:rPr>
          <w:rFonts w:hint="eastAsia" w:ascii="宋体" w:hAnsi="宋体" w:eastAsia="宋体" w:cs="宋体"/>
          <w:b/>
          <w:color w:val="auto"/>
          <w:kern w:val="2"/>
          <w:sz w:val="36"/>
          <w:szCs w:val="36"/>
          <w:shd w:val="clear" w:color="auto" w:fill="FFFFFF"/>
          <w:lang w:val="en-US" w:eastAsia="zh-CN"/>
        </w:rPr>
        <w:t>第一部分 竞争性谈判公告</w:t>
      </w:r>
    </w:p>
    <w:p>
      <w:pPr>
        <w:spacing w:line="440" w:lineRule="exact"/>
        <w:ind w:firstLine="723" w:firstLineChars="200"/>
        <w:jc w:val="center"/>
        <w:rPr>
          <w:rFonts w:hint="eastAsia" w:ascii="黑体" w:hAnsi="黑体" w:eastAsia="黑体" w:cs="黑体"/>
          <w:b/>
          <w:bCs/>
          <w:kern w:val="44"/>
          <w:sz w:val="36"/>
          <w:szCs w:val="36"/>
          <w:lang w:val="en-US" w:eastAsia="zh-CN"/>
        </w:rPr>
      </w:pPr>
      <w:bookmarkStart w:id="0" w:name="_Toc28359079"/>
      <w:bookmarkStart w:id="1" w:name="_Toc35393621"/>
      <w:bookmarkStart w:id="2" w:name="_Hlk24379207"/>
      <w:bookmarkStart w:id="3" w:name="_Toc35393790"/>
      <w:bookmarkStart w:id="4" w:name="_Toc28359002"/>
      <w:r>
        <w:rPr>
          <w:rFonts w:hint="eastAsia" w:ascii="黑体" w:hAnsi="黑体" w:eastAsia="黑体" w:cs="黑体"/>
          <w:b/>
          <w:bCs/>
          <w:color w:val="000000"/>
          <w:sz w:val="36"/>
          <w:szCs w:val="36"/>
          <w:u w:val="none"/>
          <w:lang w:val="en-US" w:eastAsia="zh-CN"/>
        </w:rPr>
        <w:t>吐鲁番传媒中心工程项目-传媒中心监控安防设施系统项目设备采购</w:t>
      </w:r>
      <w:r>
        <w:rPr>
          <w:rFonts w:hint="eastAsia" w:ascii="黑体" w:hAnsi="黑体" w:eastAsia="黑体" w:cs="黑体"/>
          <w:b/>
          <w:bCs/>
          <w:kern w:val="44"/>
          <w:sz w:val="36"/>
          <w:szCs w:val="36"/>
        </w:rPr>
        <w:t>竞争性谈判</w:t>
      </w:r>
      <w:r>
        <w:rPr>
          <w:rFonts w:hint="eastAsia" w:ascii="黑体" w:hAnsi="黑体" w:eastAsia="黑体" w:cs="黑体"/>
          <w:b/>
          <w:bCs/>
          <w:kern w:val="44"/>
          <w:sz w:val="36"/>
          <w:szCs w:val="36"/>
          <w:lang w:val="en-US" w:eastAsia="zh-CN"/>
        </w:rPr>
        <w:t>公告</w:t>
      </w:r>
    </w:p>
    <w:p>
      <w:pPr>
        <w:pStyle w:val="15"/>
        <w:rPr>
          <w:rFonts w:hint="eastAsia"/>
          <w:lang w:val="en-US" w:eastAsia="zh-CN"/>
        </w:rPr>
      </w:pPr>
    </w:p>
    <w:p>
      <w:pPr>
        <w:widowControl/>
        <w:pBdr>
          <w:top w:val="single" w:color="auto" w:sz="4" w:space="0"/>
          <w:left w:val="single" w:color="auto" w:sz="4" w:space="0"/>
          <w:bottom w:val="single" w:color="auto" w:sz="4" w:space="0"/>
          <w:right w:val="single" w:color="auto" w:sz="4" w:space="0"/>
        </w:pBdr>
        <w:spacing w:line="4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项目概况</w:t>
      </w:r>
    </w:p>
    <w:p>
      <w:pPr>
        <w:widowControl/>
        <w:pBdr>
          <w:top w:val="single" w:color="auto" w:sz="4" w:space="0"/>
          <w:left w:val="single" w:color="auto" w:sz="4" w:space="0"/>
          <w:bottom w:val="single" w:color="auto" w:sz="4" w:space="0"/>
          <w:right w:val="single" w:color="auto" w:sz="4" w:space="0"/>
        </w:pBdr>
        <w:spacing w:line="400" w:lineRule="exact"/>
        <w:ind w:firstLine="560" w:firstLineChars="200"/>
        <w:jc w:val="left"/>
        <w:rPr>
          <w:rFonts w:hint="eastAsia" w:ascii="仿宋" w:hAnsi="仿宋" w:eastAsia="仿宋" w:cs="仿宋"/>
          <w:kern w:val="0"/>
          <w:sz w:val="28"/>
          <w:szCs w:val="28"/>
        </w:rPr>
      </w:pPr>
      <w:r>
        <w:rPr>
          <w:rFonts w:hint="eastAsia" w:ascii="仿宋" w:hAnsi="仿宋" w:eastAsia="仿宋" w:cs="仿宋"/>
          <w:b w:val="0"/>
          <w:bCs w:val="0"/>
          <w:color w:val="auto"/>
          <w:kern w:val="0"/>
          <w:sz w:val="28"/>
          <w:szCs w:val="28"/>
          <w:highlight w:val="none"/>
          <w:lang w:eastAsia="zh-CN" w:bidi="ar"/>
        </w:rPr>
        <w:t>吐鲁番传媒中心工程项目-传媒中心监控安防设施系统项目设备采购</w:t>
      </w:r>
      <w:r>
        <w:rPr>
          <w:rFonts w:hint="eastAsia" w:ascii="仿宋" w:hAnsi="仿宋" w:eastAsia="仿宋" w:cs="仿宋"/>
          <w:b w:val="0"/>
          <w:bCs w:val="0"/>
          <w:color w:val="auto"/>
          <w:kern w:val="0"/>
          <w:sz w:val="28"/>
          <w:szCs w:val="28"/>
          <w:highlight w:val="none"/>
          <w:lang w:bidi="ar"/>
        </w:rPr>
        <w:t>的潜在</w:t>
      </w:r>
      <w:r>
        <w:rPr>
          <w:rFonts w:hint="eastAsia" w:ascii="仿宋" w:hAnsi="仿宋" w:eastAsia="仿宋" w:cs="仿宋"/>
          <w:b w:val="0"/>
          <w:bCs w:val="0"/>
          <w:color w:val="auto"/>
          <w:kern w:val="0"/>
          <w:sz w:val="28"/>
          <w:szCs w:val="28"/>
          <w:highlight w:val="none"/>
          <w:lang w:eastAsia="zh-CN" w:bidi="ar"/>
        </w:rPr>
        <w:t>供应商</w:t>
      </w:r>
      <w:r>
        <w:rPr>
          <w:rFonts w:hint="eastAsia" w:ascii="仿宋" w:hAnsi="仿宋" w:eastAsia="仿宋" w:cs="仿宋"/>
          <w:b w:val="0"/>
          <w:bCs w:val="0"/>
          <w:color w:val="auto"/>
          <w:kern w:val="0"/>
          <w:sz w:val="28"/>
          <w:szCs w:val="28"/>
          <w:highlight w:val="none"/>
          <w:lang w:bidi="ar"/>
        </w:rPr>
        <w:t>应在政采云平台线上获取获取</w:t>
      </w:r>
      <w:r>
        <w:rPr>
          <w:rFonts w:hint="eastAsia" w:ascii="仿宋" w:hAnsi="仿宋" w:eastAsia="仿宋" w:cs="仿宋"/>
          <w:b w:val="0"/>
          <w:bCs w:val="0"/>
          <w:color w:val="auto"/>
          <w:kern w:val="0"/>
          <w:sz w:val="28"/>
          <w:szCs w:val="28"/>
          <w:highlight w:val="none"/>
          <w:lang w:eastAsia="zh-CN" w:bidi="ar"/>
        </w:rPr>
        <w:t>采购文件</w:t>
      </w:r>
      <w:r>
        <w:rPr>
          <w:rFonts w:hint="eastAsia" w:ascii="仿宋" w:hAnsi="仿宋" w:eastAsia="仿宋" w:cs="仿宋"/>
          <w:b w:val="0"/>
          <w:bCs w:val="0"/>
          <w:color w:val="auto"/>
          <w:kern w:val="0"/>
          <w:sz w:val="28"/>
          <w:szCs w:val="28"/>
          <w:highlight w:val="none"/>
          <w:lang w:bidi="ar"/>
        </w:rPr>
        <w:t>，并于2023年</w:t>
      </w:r>
      <w:r>
        <w:rPr>
          <w:rFonts w:hint="eastAsia" w:ascii="仿宋" w:hAnsi="仿宋" w:eastAsia="仿宋" w:cs="仿宋"/>
          <w:b w:val="0"/>
          <w:bCs w:val="0"/>
          <w:color w:val="auto"/>
          <w:kern w:val="0"/>
          <w:sz w:val="28"/>
          <w:szCs w:val="28"/>
          <w:highlight w:val="none"/>
          <w:lang w:val="en-US" w:eastAsia="zh-CN" w:bidi="ar"/>
        </w:rPr>
        <w:t>10</w:t>
      </w:r>
      <w:r>
        <w:rPr>
          <w:rFonts w:hint="eastAsia" w:ascii="仿宋" w:hAnsi="仿宋" w:eastAsia="仿宋" w:cs="仿宋"/>
          <w:b w:val="0"/>
          <w:bCs w:val="0"/>
          <w:color w:val="auto"/>
          <w:kern w:val="0"/>
          <w:sz w:val="28"/>
          <w:szCs w:val="28"/>
          <w:highlight w:val="none"/>
          <w:lang w:bidi="ar"/>
        </w:rPr>
        <w:t>月</w:t>
      </w:r>
      <w:r>
        <w:rPr>
          <w:rFonts w:hint="eastAsia" w:ascii="仿宋" w:hAnsi="仿宋" w:eastAsia="仿宋" w:cs="仿宋"/>
          <w:b w:val="0"/>
          <w:bCs w:val="0"/>
          <w:color w:val="auto"/>
          <w:kern w:val="0"/>
          <w:sz w:val="28"/>
          <w:szCs w:val="28"/>
          <w:highlight w:val="none"/>
          <w:lang w:val="en-US" w:eastAsia="zh-CN" w:bidi="ar"/>
        </w:rPr>
        <w:t>10</w:t>
      </w:r>
      <w:r>
        <w:rPr>
          <w:rFonts w:hint="eastAsia" w:ascii="仿宋" w:hAnsi="仿宋" w:eastAsia="仿宋" w:cs="仿宋"/>
          <w:b w:val="0"/>
          <w:bCs w:val="0"/>
          <w:color w:val="auto"/>
          <w:kern w:val="0"/>
          <w:sz w:val="28"/>
          <w:szCs w:val="28"/>
          <w:highlight w:val="none"/>
          <w:lang w:bidi="ar"/>
        </w:rPr>
        <w:t>日</w:t>
      </w:r>
      <w:r>
        <w:rPr>
          <w:rFonts w:hint="eastAsia" w:ascii="仿宋" w:hAnsi="仿宋" w:eastAsia="仿宋" w:cs="仿宋"/>
          <w:b w:val="0"/>
          <w:bCs w:val="0"/>
          <w:color w:val="auto"/>
          <w:kern w:val="0"/>
          <w:sz w:val="28"/>
          <w:szCs w:val="28"/>
          <w:highlight w:val="none"/>
          <w:lang w:val="en-US" w:eastAsia="zh-CN" w:bidi="ar"/>
        </w:rPr>
        <w:t>11</w:t>
      </w:r>
      <w:r>
        <w:rPr>
          <w:rFonts w:hint="eastAsia" w:ascii="仿宋" w:hAnsi="仿宋" w:eastAsia="仿宋" w:cs="仿宋"/>
          <w:b w:val="0"/>
          <w:bCs w:val="0"/>
          <w:color w:val="auto"/>
          <w:kern w:val="0"/>
          <w:sz w:val="28"/>
          <w:szCs w:val="28"/>
          <w:highlight w:val="none"/>
          <w:lang w:bidi="ar"/>
        </w:rPr>
        <w:t>:</w:t>
      </w:r>
      <w:r>
        <w:rPr>
          <w:rFonts w:hint="eastAsia" w:ascii="仿宋" w:hAnsi="仿宋" w:eastAsia="仿宋" w:cs="仿宋"/>
          <w:b w:val="0"/>
          <w:bCs w:val="0"/>
          <w:color w:val="auto"/>
          <w:kern w:val="0"/>
          <w:sz w:val="28"/>
          <w:szCs w:val="28"/>
          <w:highlight w:val="none"/>
          <w:lang w:val="en-US" w:eastAsia="zh-CN" w:bidi="ar"/>
        </w:rPr>
        <w:t>00</w:t>
      </w:r>
      <w:r>
        <w:rPr>
          <w:rFonts w:hint="eastAsia" w:ascii="仿宋" w:hAnsi="仿宋" w:eastAsia="仿宋" w:cs="仿宋"/>
          <w:b w:val="0"/>
          <w:bCs w:val="0"/>
          <w:color w:val="auto"/>
          <w:kern w:val="0"/>
          <w:sz w:val="28"/>
          <w:szCs w:val="28"/>
          <w:highlight w:val="none"/>
          <w:lang w:bidi="ar"/>
        </w:rPr>
        <w:t>（北京时间）前递交</w:t>
      </w:r>
      <w:r>
        <w:rPr>
          <w:rFonts w:hint="eastAsia" w:ascii="仿宋" w:hAnsi="仿宋" w:eastAsia="仿宋" w:cs="仿宋"/>
          <w:b w:val="0"/>
          <w:bCs w:val="0"/>
          <w:color w:val="auto"/>
          <w:kern w:val="0"/>
          <w:sz w:val="28"/>
          <w:szCs w:val="28"/>
          <w:highlight w:val="none"/>
          <w:lang w:val="en-US" w:eastAsia="zh-CN" w:bidi="ar"/>
        </w:rPr>
        <w:t>响应</w:t>
      </w:r>
      <w:r>
        <w:rPr>
          <w:rFonts w:hint="eastAsia" w:ascii="仿宋" w:hAnsi="仿宋" w:eastAsia="仿宋" w:cs="仿宋"/>
          <w:b w:val="0"/>
          <w:bCs w:val="0"/>
          <w:color w:val="auto"/>
          <w:kern w:val="0"/>
          <w:sz w:val="28"/>
          <w:szCs w:val="28"/>
          <w:highlight w:val="none"/>
          <w:lang w:bidi="ar"/>
        </w:rPr>
        <w:t>文件。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rPr>
        <w:t>项目编号：</w:t>
      </w:r>
      <w:r>
        <w:rPr>
          <w:rFonts w:hint="eastAsia" w:ascii="仿宋" w:hAnsi="仿宋" w:eastAsia="仿宋" w:cs="仿宋"/>
          <w:kern w:val="0"/>
          <w:sz w:val="28"/>
          <w:szCs w:val="28"/>
          <w:highlight w:val="none"/>
          <w:lang w:val="en-US" w:eastAsia="zh-CN" w:bidi="ar-SA"/>
        </w:rPr>
        <w:t>JT2023-002</w:t>
      </w:r>
    </w:p>
    <w:p>
      <w:pPr>
        <w:spacing w:line="440" w:lineRule="exact"/>
        <w:ind w:firstLine="562" w:firstLineChars="200"/>
        <w:rPr>
          <w:rFonts w:hint="eastAsia" w:ascii="仿宋" w:hAnsi="仿宋" w:eastAsia="仿宋" w:cs="仿宋"/>
          <w:kern w:val="0"/>
          <w:sz w:val="28"/>
          <w:szCs w:val="28"/>
          <w:highlight w:val="none"/>
          <w:lang w:val="en-US" w:eastAsia="zh-CN"/>
        </w:rPr>
      </w:pPr>
      <w:r>
        <w:rPr>
          <w:rFonts w:hint="eastAsia" w:ascii="仿宋" w:hAnsi="仿宋" w:eastAsia="仿宋" w:cs="仿宋"/>
          <w:b/>
          <w:bCs/>
          <w:kern w:val="0"/>
          <w:sz w:val="28"/>
          <w:szCs w:val="28"/>
        </w:rPr>
        <w:t>项目名称：</w:t>
      </w:r>
      <w:r>
        <w:rPr>
          <w:rFonts w:hint="eastAsia" w:ascii="仿宋" w:hAnsi="仿宋" w:eastAsia="仿宋" w:cs="仿宋"/>
          <w:color w:val="000000"/>
          <w:sz w:val="30"/>
          <w:szCs w:val="30"/>
          <w:u w:val="none"/>
          <w:lang w:val="en-US" w:eastAsia="zh-CN"/>
        </w:rPr>
        <w:t>吐鲁番传媒中心工程项目-传媒中心监控安防设施系统项目设备采购</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采购方式：</w:t>
      </w:r>
      <w:r>
        <w:rPr>
          <w:rFonts w:hint="eastAsia" w:ascii="仿宋" w:hAnsi="仿宋" w:eastAsia="仿宋" w:cs="仿宋"/>
          <w:kern w:val="0"/>
          <w:sz w:val="28"/>
          <w:szCs w:val="28"/>
        </w:rPr>
        <w:t>竞争性谈判</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b/>
          <w:bCs/>
          <w:kern w:val="0"/>
          <w:sz w:val="28"/>
          <w:szCs w:val="28"/>
        </w:rPr>
        <w:t>预算金额：</w:t>
      </w:r>
      <w:r>
        <w:rPr>
          <w:rFonts w:hint="eastAsia" w:ascii="仿宋" w:hAnsi="仿宋" w:eastAsia="仿宋" w:cs="仿宋"/>
          <w:color w:val="auto"/>
          <w:kern w:val="0"/>
          <w:sz w:val="28"/>
          <w:szCs w:val="28"/>
          <w:highlight w:val="none"/>
          <w:lang w:val="en-US" w:eastAsia="zh-CN"/>
        </w:rPr>
        <w:t>738865</w:t>
      </w:r>
      <w:r>
        <w:rPr>
          <w:rFonts w:hint="eastAsia" w:ascii="仿宋" w:hAnsi="仿宋" w:eastAsia="仿宋" w:cs="仿宋"/>
          <w:kern w:val="0"/>
          <w:sz w:val="28"/>
          <w:szCs w:val="28"/>
          <w:highlight w:val="none"/>
        </w:rPr>
        <w:t>元</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最高限价：</w:t>
      </w:r>
      <w:r>
        <w:rPr>
          <w:rFonts w:hint="eastAsia" w:ascii="仿宋" w:hAnsi="仿宋" w:eastAsia="仿宋" w:cs="仿宋"/>
          <w:color w:val="auto"/>
          <w:kern w:val="0"/>
          <w:sz w:val="28"/>
          <w:szCs w:val="28"/>
          <w:highlight w:val="none"/>
          <w:lang w:val="en-US" w:eastAsia="zh-CN"/>
        </w:rPr>
        <w:t>738865</w:t>
      </w:r>
      <w:r>
        <w:rPr>
          <w:rFonts w:hint="eastAsia" w:ascii="仿宋" w:hAnsi="仿宋" w:eastAsia="仿宋" w:cs="仿宋"/>
          <w:kern w:val="0"/>
          <w:sz w:val="28"/>
          <w:szCs w:val="28"/>
          <w:highlight w:val="none"/>
        </w:rPr>
        <w:t>元</w:t>
      </w:r>
    </w:p>
    <w:p>
      <w:pPr>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标项名称:</w:t>
      </w:r>
      <w:r>
        <w:rPr>
          <w:rFonts w:hint="eastAsia" w:ascii="仿宋" w:hAnsi="仿宋" w:eastAsia="仿宋" w:cs="仿宋"/>
          <w:color w:val="000000"/>
          <w:sz w:val="30"/>
          <w:szCs w:val="30"/>
          <w:highlight w:val="none"/>
          <w:u w:val="none"/>
          <w:lang w:val="en-US" w:eastAsia="zh-CN"/>
        </w:rPr>
        <w:t>吐鲁番传媒中心工程项目-传媒中心监控安防设施系统项目设备采购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数量:</w:t>
      </w:r>
      <w:r>
        <w:rPr>
          <w:rFonts w:hint="eastAsia" w:ascii="仿宋" w:hAnsi="仿宋" w:eastAsia="仿宋" w:cs="仿宋"/>
          <w:kern w:val="0"/>
          <w:sz w:val="28"/>
          <w:szCs w:val="28"/>
          <w:highlight w:val="none"/>
          <w:lang w:val="en-US" w:eastAsia="zh-CN"/>
        </w:rPr>
        <w:t>一批</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预算金额（元）:</w:t>
      </w:r>
      <w:r>
        <w:rPr>
          <w:rFonts w:hint="eastAsia" w:ascii="仿宋" w:hAnsi="仿宋" w:eastAsia="仿宋" w:cs="仿宋"/>
          <w:color w:val="auto"/>
          <w:kern w:val="0"/>
          <w:sz w:val="28"/>
          <w:szCs w:val="28"/>
          <w:highlight w:val="none"/>
          <w:lang w:val="en-US" w:eastAsia="zh-CN"/>
        </w:rPr>
        <w:t>738865</w:t>
      </w:r>
      <w:r>
        <w:rPr>
          <w:rFonts w:hint="eastAsia" w:ascii="仿宋" w:hAnsi="仿宋" w:eastAsia="仿宋" w:cs="仿宋"/>
          <w:kern w:val="0"/>
          <w:sz w:val="28"/>
          <w:szCs w:val="28"/>
          <w:highlight w:val="none"/>
        </w:rPr>
        <w:t>元</w:t>
      </w:r>
    </w:p>
    <w:p>
      <w:pPr>
        <w:spacing w:before="123" w:line="387" w:lineRule="exact"/>
        <w:ind w:left="26" w:firstLine="560" w:firstLineChars="200"/>
        <w:outlineLvl w:val="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简要规格描述或项目基本概况介绍、用途：为保证吐鲁番传媒中心工程项目-传媒中心监控安防设施系统项目整体安全防范的高效性，结合吐鲁番传媒中心楼宇结构，使用功能，系统架构，数据流分析等综合因素，特制定了一套完整的监控防范体系，在安全防范基础上对人员，环境，动力等进行智能化综合管控</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（具体内容详见</w:t>
      </w:r>
      <w:r>
        <w:rPr>
          <w:rFonts w:hint="eastAsia" w:ascii="仿宋" w:hAnsi="仿宋" w:eastAsia="仿宋" w:cs="仿宋"/>
          <w:kern w:val="0"/>
          <w:sz w:val="28"/>
          <w:szCs w:val="28"/>
          <w:highlight w:val="none"/>
          <w:lang w:val="en-US" w:eastAsia="zh-CN"/>
        </w:rPr>
        <w:t>谈判</w:t>
      </w:r>
      <w:r>
        <w:rPr>
          <w:rFonts w:hint="eastAsia" w:ascii="仿宋" w:hAnsi="仿宋" w:eastAsia="仿宋" w:cs="仿宋"/>
          <w:kern w:val="0"/>
          <w:sz w:val="28"/>
          <w:szCs w:val="28"/>
          <w:highlight w:val="none"/>
        </w:rPr>
        <w:t>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t>合同履行期限：</w:t>
      </w:r>
      <w:r>
        <w:rPr>
          <w:rFonts w:hint="eastAsia" w:ascii="仿宋" w:hAnsi="仿宋" w:eastAsia="仿宋" w:cs="仿宋"/>
          <w:b w:val="0"/>
          <w:bCs w:val="0"/>
          <w:color w:val="auto"/>
          <w:kern w:val="0"/>
          <w:sz w:val="28"/>
          <w:szCs w:val="28"/>
          <w:highlight w:val="none"/>
          <w:lang w:val="en-US" w:eastAsia="zh-CN"/>
        </w:rPr>
        <w:t>30天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本项目</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是/否）</w:t>
      </w:r>
      <w:r>
        <w:rPr>
          <w:rFonts w:hint="eastAsia" w:ascii="仿宋" w:hAnsi="仿宋" w:eastAsia="仿宋" w:cs="仿宋"/>
          <w:kern w:val="0"/>
          <w:sz w:val="28"/>
          <w:szCs w:val="28"/>
          <w:highlight w:val="none"/>
        </w:rPr>
        <w:t>接受联合体投标</w:t>
      </w:r>
      <w:r>
        <w:rPr>
          <w:rFonts w:hint="eastAsia" w:ascii="仿宋" w:hAnsi="仿宋" w:eastAsia="仿宋" w:cs="仿宋"/>
          <w:kern w:val="0"/>
          <w:sz w:val="28"/>
          <w:szCs w:val="28"/>
          <w:highlight w:val="none"/>
          <w:lang w:val="en-US" w:eastAsia="zh-CN"/>
        </w:rPr>
        <w:t>:否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Cs/>
          <w:kern w:val="2"/>
          <w:sz w:val="28"/>
          <w:szCs w:val="28"/>
          <w:highlight w:val="none"/>
        </w:rPr>
      </w:pPr>
      <w:r>
        <w:rPr>
          <w:rFonts w:hint="eastAsia" w:ascii="仿宋" w:hAnsi="仿宋" w:eastAsia="仿宋" w:cs="仿宋"/>
          <w:bCs/>
          <w:kern w:val="2"/>
          <w:sz w:val="28"/>
          <w:szCs w:val="28"/>
          <w:highlight w:val="none"/>
        </w:rPr>
        <w:t>二、申请人的资格要求</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0"/>
          <w:sz w:val="28"/>
          <w:szCs w:val="28"/>
          <w:highlight w:val="none"/>
        </w:rPr>
      </w:pPr>
      <w:bookmarkStart w:id="5" w:name="_Toc28359081"/>
      <w:bookmarkStart w:id="6" w:name="_Toc28359004"/>
      <w:bookmarkStart w:id="7" w:name="_Toc35393792"/>
      <w:bookmarkStart w:id="8" w:name="_Toc35393623"/>
      <w:r>
        <w:rPr>
          <w:rFonts w:hint="eastAsia" w:ascii="仿宋" w:hAnsi="仿宋" w:eastAsia="仿宋" w:cs="仿宋"/>
          <w:kern w:val="0"/>
          <w:sz w:val="28"/>
          <w:szCs w:val="28"/>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0"/>
          <w:sz w:val="28"/>
          <w:szCs w:val="28"/>
          <w:highlight w:val="yellow"/>
          <w:lang w:val="en-US" w:eastAsia="zh-CN"/>
        </w:rPr>
      </w:pPr>
      <w:r>
        <w:rPr>
          <w:rFonts w:hint="eastAsia" w:ascii="仿宋" w:hAnsi="仿宋" w:eastAsia="仿宋" w:cs="仿宋"/>
          <w:kern w:val="0"/>
          <w:sz w:val="28"/>
          <w:szCs w:val="28"/>
          <w:highlight w:val="none"/>
        </w:rPr>
        <w:t>2.落实政府采购政策需满足的资格要求</w:t>
      </w:r>
      <w:bookmarkEnd w:id="5"/>
      <w:bookmarkEnd w:id="6"/>
      <w:bookmarkEnd w:id="7"/>
      <w:bookmarkEnd w:id="8"/>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供应商为小微企业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red"/>
          <w:lang w:bidi="ar"/>
        </w:rPr>
      </w:pPr>
      <w:r>
        <w:rPr>
          <w:rFonts w:hint="eastAsia" w:ascii="仿宋" w:hAnsi="仿宋" w:eastAsia="仿宋" w:cs="仿宋"/>
          <w:color w:val="auto"/>
          <w:kern w:val="0"/>
          <w:sz w:val="28"/>
          <w:szCs w:val="28"/>
          <w:highlight w:val="none"/>
          <w:lang w:bidi="ar"/>
        </w:rPr>
        <w:t>3.本项目的特定资格要求：</w:t>
      </w:r>
      <w:r>
        <w:rPr>
          <w:rFonts w:hint="eastAsia" w:ascii="仿宋" w:hAnsi="仿宋" w:eastAsia="仿宋" w:cs="仿宋"/>
          <w:color w:val="auto"/>
          <w:kern w:val="0"/>
          <w:sz w:val="28"/>
          <w:szCs w:val="28"/>
          <w:highlight w:val="none"/>
          <w:lang w:val="en-US" w:eastAsia="zh-CN" w:bidi="ar"/>
        </w:rPr>
        <w:t>无</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eastAsia="zh-CN" w:bidi="ar"/>
        </w:rPr>
      </w:pPr>
      <w:r>
        <w:rPr>
          <w:rFonts w:hint="eastAsia" w:ascii="仿宋" w:hAnsi="仿宋" w:eastAsia="仿宋" w:cs="仿宋"/>
          <w:b/>
          <w:color w:val="auto"/>
          <w:kern w:val="0"/>
          <w:sz w:val="28"/>
          <w:szCs w:val="28"/>
          <w:highlight w:val="none"/>
          <w:lang w:bidi="ar"/>
        </w:rPr>
        <w:t>三、获取</w:t>
      </w:r>
      <w:r>
        <w:rPr>
          <w:rFonts w:hint="eastAsia" w:ascii="仿宋" w:hAnsi="仿宋" w:eastAsia="仿宋" w:cs="仿宋"/>
          <w:b/>
          <w:color w:val="auto"/>
          <w:kern w:val="0"/>
          <w:sz w:val="28"/>
          <w:szCs w:val="28"/>
          <w:highlight w:val="none"/>
          <w:lang w:eastAsia="zh-CN" w:bidi="ar"/>
        </w:rPr>
        <w:t>采购文件</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时间：</w:t>
      </w:r>
      <w:r>
        <w:rPr>
          <w:rFonts w:hint="eastAsia" w:ascii="仿宋" w:hAnsi="仿宋" w:eastAsia="仿宋" w:cs="仿宋"/>
          <w:color w:val="auto"/>
          <w:kern w:val="0"/>
          <w:sz w:val="28"/>
          <w:szCs w:val="28"/>
          <w:highlight w:val="none"/>
          <w:lang w:bidi="ar"/>
        </w:rPr>
        <w:t>2023年</w:t>
      </w:r>
      <w:r>
        <w:rPr>
          <w:rFonts w:hint="eastAsia" w:ascii="仿宋" w:hAnsi="仿宋" w:eastAsia="仿宋" w:cs="仿宋"/>
          <w:color w:val="auto"/>
          <w:kern w:val="0"/>
          <w:sz w:val="28"/>
          <w:szCs w:val="28"/>
          <w:highlight w:val="none"/>
          <w:lang w:val="en-US" w:eastAsia="zh-CN" w:bidi="ar"/>
        </w:rPr>
        <w:t>9</w:t>
      </w:r>
      <w:r>
        <w:rPr>
          <w:rFonts w:hint="eastAsia" w:ascii="仿宋" w:hAnsi="仿宋" w:eastAsia="仿宋" w:cs="仿宋"/>
          <w:color w:val="auto"/>
          <w:kern w:val="0"/>
          <w:sz w:val="28"/>
          <w:szCs w:val="28"/>
          <w:highlight w:val="none"/>
          <w:lang w:bidi="ar"/>
        </w:rPr>
        <w:t>月</w:t>
      </w:r>
      <w:r>
        <w:rPr>
          <w:rFonts w:hint="eastAsia" w:ascii="仿宋" w:hAnsi="仿宋" w:eastAsia="仿宋" w:cs="仿宋"/>
          <w:color w:val="auto"/>
          <w:kern w:val="0"/>
          <w:sz w:val="28"/>
          <w:szCs w:val="28"/>
          <w:highlight w:val="none"/>
          <w:lang w:val="en-US" w:eastAsia="zh-CN" w:bidi="ar"/>
        </w:rPr>
        <w:t>26</w:t>
      </w:r>
      <w:r>
        <w:rPr>
          <w:rFonts w:hint="eastAsia" w:ascii="仿宋" w:hAnsi="仿宋" w:eastAsia="仿宋" w:cs="仿宋"/>
          <w:color w:val="auto"/>
          <w:kern w:val="0"/>
          <w:sz w:val="28"/>
          <w:szCs w:val="28"/>
          <w:highlight w:val="none"/>
          <w:lang w:bidi="ar"/>
        </w:rPr>
        <w:t>日至2023年</w:t>
      </w:r>
      <w:r>
        <w:rPr>
          <w:rFonts w:hint="eastAsia" w:ascii="仿宋" w:hAnsi="仿宋" w:eastAsia="仿宋" w:cs="仿宋"/>
          <w:color w:val="auto"/>
          <w:kern w:val="0"/>
          <w:sz w:val="28"/>
          <w:szCs w:val="28"/>
          <w:highlight w:val="none"/>
          <w:lang w:val="en-US" w:eastAsia="zh-CN" w:bidi="ar"/>
        </w:rPr>
        <w:t>10月08日</w:t>
      </w:r>
      <w:r>
        <w:rPr>
          <w:rFonts w:hint="eastAsia" w:ascii="仿宋" w:hAnsi="仿宋" w:eastAsia="仿宋" w:cs="仿宋"/>
          <w:color w:val="auto"/>
          <w:kern w:val="0"/>
          <w:sz w:val="28"/>
          <w:szCs w:val="28"/>
          <w:highlight w:val="none"/>
          <w:lang w:bidi="ar"/>
        </w:rPr>
        <w:t>，每天上午</w:t>
      </w:r>
      <w:r>
        <w:rPr>
          <w:rFonts w:hint="eastAsia" w:ascii="仿宋" w:hAnsi="仿宋" w:eastAsia="仿宋" w:cs="仿宋"/>
          <w:color w:val="auto"/>
          <w:kern w:val="0"/>
          <w:sz w:val="28"/>
          <w:szCs w:val="28"/>
          <w:highlight w:val="none"/>
          <w:lang w:val="en-US" w:eastAsia="zh-CN" w:bidi="ar"/>
        </w:rPr>
        <w:t>9</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bidi="ar"/>
        </w:rPr>
        <w:t>0至1</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bidi="ar"/>
        </w:rPr>
        <w:t>0，下午1</w:t>
      </w:r>
      <w:r>
        <w:rPr>
          <w:rFonts w:hint="eastAsia" w:ascii="仿宋" w:hAnsi="仿宋" w:eastAsia="仿宋" w:cs="仿宋"/>
          <w:color w:val="auto"/>
          <w:kern w:val="0"/>
          <w:sz w:val="28"/>
          <w:szCs w:val="28"/>
          <w:highlight w:val="none"/>
          <w:lang w:val="en-US" w:eastAsia="zh-CN" w:bidi="ar"/>
        </w:rPr>
        <w:t>6</w:t>
      </w:r>
      <w:r>
        <w:rPr>
          <w:rFonts w:hint="eastAsia" w:ascii="仿宋" w:hAnsi="仿宋" w:eastAsia="仿宋" w:cs="仿宋"/>
          <w:color w:val="auto"/>
          <w:kern w:val="0"/>
          <w:sz w:val="28"/>
          <w:szCs w:val="28"/>
          <w:highlight w:val="none"/>
          <w:lang w:bidi="ar"/>
        </w:rPr>
        <w:t>:30至</w:t>
      </w:r>
      <w:r>
        <w:rPr>
          <w:rFonts w:hint="eastAsia" w:ascii="仿宋" w:hAnsi="仿宋" w:eastAsia="仿宋" w:cs="仿宋"/>
          <w:color w:val="auto"/>
          <w:kern w:val="0"/>
          <w:sz w:val="28"/>
          <w:szCs w:val="28"/>
          <w:highlight w:val="none"/>
          <w:lang w:val="en-US" w:eastAsia="zh-CN" w:bidi="ar"/>
        </w:rPr>
        <w:t>20</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val="en-US" w:eastAsia="zh-CN" w:bidi="ar"/>
        </w:rPr>
        <w:t>0</w:t>
      </w:r>
      <w:r>
        <w:rPr>
          <w:rFonts w:hint="eastAsia" w:ascii="仿宋" w:hAnsi="仿宋" w:eastAsia="仿宋" w:cs="仿宋"/>
          <w:color w:val="auto"/>
          <w:kern w:val="0"/>
          <w:sz w:val="28"/>
          <w:szCs w:val="28"/>
          <w:highlight w:val="none"/>
          <w:lang w:bidi="ar"/>
        </w:rPr>
        <w:t>0（北京时间，法定节假日除外）</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bidi="ar"/>
        </w:rPr>
        <w:t>地点：</w:t>
      </w:r>
      <w:r>
        <w:rPr>
          <w:rFonts w:hint="eastAsia" w:ascii="仿宋" w:hAnsi="仿宋" w:eastAsia="仿宋" w:cs="仿宋"/>
          <w:color w:val="auto"/>
          <w:kern w:val="0"/>
          <w:sz w:val="28"/>
          <w:szCs w:val="28"/>
          <w:highlight w:val="none"/>
          <w:lang w:bidi="ar"/>
        </w:rPr>
        <w:t>政采云平台线上获取</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方式：</w:t>
      </w:r>
      <w:r>
        <w:rPr>
          <w:rFonts w:hint="eastAsia" w:ascii="仿宋" w:hAnsi="仿宋" w:eastAsia="仿宋" w:cs="仿宋"/>
          <w:color w:val="auto"/>
          <w:kern w:val="0"/>
          <w:sz w:val="28"/>
          <w:szCs w:val="28"/>
          <w:highlight w:val="none"/>
        </w:rPr>
        <w:t>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售价（元）：0</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color w:val="auto"/>
          <w:kern w:val="0"/>
          <w:sz w:val="28"/>
          <w:szCs w:val="28"/>
          <w:highlight w:val="none"/>
          <w:lang w:bidi="ar"/>
        </w:rPr>
        <w:t>四、提交</w:t>
      </w:r>
      <w:r>
        <w:rPr>
          <w:rFonts w:hint="eastAsia" w:ascii="仿宋" w:hAnsi="仿宋" w:eastAsia="仿宋" w:cs="仿宋"/>
          <w:b/>
          <w:color w:val="auto"/>
          <w:kern w:val="0"/>
          <w:sz w:val="28"/>
          <w:szCs w:val="28"/>
          <w:highlight w:val="none"/>
          <w:lang w:val="en-US" w:eastAsia="zh-CN" w:bidi="ar"/>
        </w:rPr>
        <w:t>响应</w:t>
      </w:r>
      <w:r>
        <w:rPr>
          <w:rFonts w:hint="eastAsia" w:ascii="仿宋" w:hAnsi="仿宋" w:eastAsia="仿宋" w:cs="仿宋"/>
          <w:b/>
          <w:color w:val="auto"/>
          <w:kern w:val="0"/>
          <w:sz w:val="28"/>
          <w:szCs w:val="28"/>
          <w:highlight w:val="none"/>
          <w:lang w:bidi="ar"/>
        </w:rPr>
        <w:t>文件截止时间、开标时间和地点</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提交</w:t>
      </w:r>
      <w:r>
        <w:rPr>
          <w:rFonts w:hint="eastAsia" w:ascii="仿宋" w:hAnsi="仿宋" w:eastAsia="仿宋" w:cs="仿宋"/>
          <w:b/>
          <w:bCs/>
          <w:color w:val="auto"/>
          <w:kern w:val="0"/>
          <w:sz w:val="28"/>
          <w:szCs w:val="28"/>
          <w:highlight w:val="none"/>
          <w:lang w:val="en-US" w:eastAsia="zh-CN" w:bidi="ar"/>
        </w:rPr>
        <w:t>响应</w:t>
      </w:r>
      <w:r>
        <w:rPr>
          <w:rFonts w:hint="eastAsia" w:ascii="仿宋" w:hAnsi="仿宋" w:eastAsia="仿宋" w:cs="仿宋"/>
          <w:b/>
          <w:bCs/>
          <w:color w:val="auto"/>
          <w:kern w:val="0"/>
          <w:sz w:val="28"/>
          <w:szCs w:val="28"/>
          <w:highlight w:val="none"/>
          <w:lang w:bidi="ar"/>
        </w:rPr>
        <w:t>文件截止时间：</w:t>
      </w:r>
      <w:r>
        <w:rPr>
          <w:rFonts w:hint="eastAsia" w:ascii="仿宋" w:hAnsi="仿宋" w:eastAsia="仿宋" w:cs="仿宋"/>
          <w:color w:val="auto"/>
          <w:kern w:val="0"/>
          <w:sz w:val="28"/>
          <w:szCs w:val="28"/>
          <w:highlight w:val="none"/>
          <w:lang w:bidi="ar"/>
        </w:rPr>
        <w:t>2023年</w:t>
      </w:r>
      <w:r>
        <w:rPr>
          <w:rFonts w:hint="eastAsia" w:ascii="仿宋" w:hAnsi="仿宋" w:eastAsia="仿宋" w:cs="仿宋"/>
          <w:color w:val="auto"/>
          <w:kern w:val="0"/>
          <w:sz w:val="28"/>
          <w:szCs w:val="28"/>
          <w:highlight w:val="none"/>
          <w:lang w:val="en-US" w:eastAsia="zh-CN" w:bidi="ar"/>
        </w:rPr>
        <w:t>10</w:t>
      </w:r>
      <w:r>
        <w:rPr>
          <w:rFonts w:hint="eastAsia" w:ascii="仿宋" w:hAnsi="仿宋" w:eastAsia="仿宋" w:cs="仿宋"/>
          <w:color w:val="auto"/>
          <w:kern w:val="0"/>
          <w:sz w:val="28"/>
          <w:szCs w:val="28"/>
          <w:highlight w:val="none"/>
          <w:lang w:bidi="ar"/>
        </w:rPr>
        <w:t>月</w:t>
      </w:r>
      <w:r>
        <w:rPr>
          <w:rFonts w:hint="eastAsia" w:ascii="仿宋" w:hAnsi="仿宋" w:eastAsia="仿宋" w:cs="仿宋"/>
          <w:color w:val="auto"/>
          <w:kern w:val="0"/>
          <w:sz w:val="28"/>
          <w:szCs w:val="28"/>
          <w:highlight w:val="none"/>
          <w:lang w:val="en-US" w:eastAsia="zh-CN" w:bidi="ar"/>
        </w:rPr>
        <w:t>10</w:t>
      </w:r>
      <w:r>
        <w:rPr>
          <w:rFonts w:hint="eastAsia" w:ascii="仿宋" w:hAnsi="仿宋" w:eastAsia="仿宋" w:cs="仿宋"/>
          <w:color w:val="auto"/>
          <w:kern w:val="0"/>
          <w:sz w:val="28"/>
          <w:szCs w:val="28"/>
          <w:highlight w:val="none"/>
          <w:lang w:bidi="ar"/>
        </w:rPr>
        <w:t>日</w:t>
      </w:r>
      <w:r>
        <w:rPr>
          <w:rFonts w:hint="eastAsia" w:ascii="仿宋" w:hAnsi="仿宋" w:eastAsia="仿宋" w:cs="仿宋"/>
          <w:color w:val="auto"/>
          <w:kern w:val="0"/>
          <w:sz w:val="28"/>
          <w:szCs w:val="28"/>
          <w:highlight w:val="none"/>
          <w:lang w:val="en-US" w:eastAsia="zh-CN" w:bidi="ar"/>
        </w:rPr>
        <w:t>11：00</w:t>
      </w:r>
      <w:r>
        <w:rPr>
          <w:rFonts w:hint="eastAsia" w:ascii="仿宋" w:hAnsi="仿宋" w:eastAsia="仿宋" w:cs="仿宋"/>
          <w:color w:val="auto"/>
          <w:kern w:val="0"/>
          <w:sz w:val="28"/>
          <w:szCs w:val="28"/>
          <w:highlight w:val="none"/>
          <w:lang w:bidi="ar"/>
        </w:rPr>
        <w:t>（北京时间）</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谈判</w:t>
      </w:r>
      <w:r>
        <w:rPr>
          <w:rFonts w:hint="eastAsia" w:ascii="仿宋" w:hAnsi="仿宋" w:eastAsia="仿宋" w:cs="仿宋"/>
          <w:b/>
          <w:bCs/>
          <w:color w:val="auto"/>
          <w:kern w:val="0"/>
          <w:sz w:val="28"/>
          <w:szCs w:val="28"/>
          <w:highlight w:val="none"/>
          <w:lang w:bidi="ar"/>
        </w:rPr>
        <w:t>地点：</w:t>
      </w:r>
      <w:r>
        <w:rPr>
          <w:rFonts w:hint="eastAsia" w:ascii="仿宋" w:hAnsi="仿宋" w:eastAsia="仿宋" w:cs="仿宋"/>
          <w:color w:val="auto"/>
          <w:kern w:val="0"/>
          <w:sz w:val="28"/>
          <w:szCs w:val="28"/>
          <w:highlight w:val="none"/>
          <w:lang w:bidi="ar"/>
        </w:rPr>
        <w:t>请登录政采云投标客户端投标</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五、</w:t>
      </w:r>
      <w:r>
        <w:rPr>
          <w:rFonts w:hint="eastAsia" w:ascii="仿宋" w:hAnsi="仿宋" w:eastAsia="仿宋" w:cs="仿宋"/>
          <w:b/>
          <w:bCs/>
          <w:color w:val="auto"/>
          <w:kern w:val="0"/>
          <w:sz w:val="28"/>
          <w:szCs w:val="28"/>
          <w:highlight w:val="none"/>
          <w:lang w:bidi="ar"/>
        </w:rPr>
        <w:t>开标时间：</w:t>
      </w:r>
      <w:r>
        <w:rPr>
          <w:rFonts w:hint="eastAsia" w:ascii="仿宋" w:hAnsi="仿宋" w:eastAsia="仿宋" w:cs="仿宋"/>
          <w:color w:val="auto"/>
          <w:kern w:val="0"/>
          <w:sz w:val="28"/>
          <w:szCs w:val="28"/>
          <w:highlight w:val="none"/>
          <w:lang w:bidi="ar"/>
        </w:rPr>
        <w:t>2023年</w:t>
      </w:r>
      <w:r>
        <w:rPr>
          <w:rFonts w:hint="eastAsia" w:ascii="仿宋" w:hAnsi="仿宋" w:eastAsia="仿宋" w:cs="仿宋"/>
          <w:color w:val="auto"/>
          <w:kern w:val="0"/>
          <w:sz w:val="28"/>
          <w:szCs w:val="28"/>
          <w:highlight w:val="none"/>
          <w:lang w:val="en-US" w:eastAsia="zh-CN" w:bidi="ar"/>
        </w:rPr>
        <w:t>10</w:t>
      </w:r>
      <w:r>
        <w:rPr>
          <w:rFonts w:hint="eastAsia" w:ascii="仿宋" w:hAnsi="仿宋" w:eastAsia="仿宋" w:cs="仿宋"/>
          <w:color w:val="auto"/>
          <w:kern w:val="0"/>
          <w:sz w:val="28"/>
          <w:szCs w:val="28"/>
          <w:highlight w:val="none"/>
          <w:lang w:bidi="ar"/>
        </w:rPr>
        <w:t>月</w:t>
      </w:r>
      <w:r>
        <w:rPr>
          <w:rFonts w:hint="eastAsia" w:ascii="仿宋" w:hAnsi="仿宋" w:eastAsia="仿宋" w:cs="仿宋"/>
          <w:color w:val="auto"/>
          <w:kern w:val="0"/>
          <w:sz w:val="28"/>
          <w:szCs w:val="28"/>
          <w:highlight w:val="none"/>
          <w:lang w:val="en-US" w:eastAsia="zh-CN" w:bidi="ar"/>
        </w:rPr>
        <w:t>10</w:t>
      </w:r>
      <w:r>
        <w:rPr>
          <w:rFonts w:hint="eastAsia" w:ascii="仿宋" w:hAnsi="仿宋" w:eastAsia="仿宋" w:cs="仿宋"/>
          <w:color w:val="auto"/>
          <w:kern w:val="0"/>
          <w:sz w:val="28"/>
          <w:szCs w:val="28"/>
          <w:highlight w:val="none"/>
          <w:lang w:bidi="ar"/>
        </w:rPr>
        <w:t>日</w:t>
      </w:r>
      <w:r>
        <w:rPr>
          <w:rFonts w:hint="eastAsia" w:ascii="仿宋" w:hAnsi="仿宋" w:eastAsia="仿宋" w:cs="仿宋"/>
          <w:color w:val="auto"/>
          <w:kern w:val="0"/>
          <w:sz w:val="28"/>
          <w:szCs w:val="28"/>
          <w:highlight w:val="none"/>
          <w:lang w:val="en-US" w:eastAsia="zh-CN" w:bidi="ar"/>
        </w:rPr>
        <w:t>11：00</w:t>
      </w:r>
      <w:r>
        <w:rPr>
          <w:rFonts w:hint="eastAsia" w:ascii="仿宋" w:hAnsi="仿宋" w:eastAsia="仿宋" w:cs="仿宋"/>
          <w:color w:val="auto"/>
          <w:kern w:val="0"/>
          <w:sz w:val="28"/>
          <w:szCs w:val="28"/>
          <w:highlight w:val="none"/>
          <w:lang w:bidi="ar"/>
        </w:rPr>
        <w:t>（北京时间）</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开标地点：</w:t>
      </w:r>
      <w:r>
        <w:rPr>
          <w:rFonts w:hint="eastAsia" w:ascii="仿宋" w:hAnsi="仿宋" w:eastAsia="仿宋" w:cs="仿宋"/>
          <w:color w:val="auto"/>
          <w:kern w:val="0"/>
          <w:sz w:val="28"/>
          <w:szCs w:val="28"/>
          <w:highlight w:val="none"/>
          <w:lang w:bidi="ar"/>
        </w:rPr>
        <w:t>政采云平台</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color w:val="auto"/>
          <w:kern w:val="0"/>
          <w:sz w:val="28"/>
          <w:szCs w:val="28"/>
          <w:highlight w:val="none"/>
          <w:lang w:val="en-US" w:eastAsia="zh-CN" w:bidi="ar"/>
        </w:rPr>
        <w:t>六</w:t>
      </w:r>
      <w:r>
        <w:rPr>
          <w:rFonts w:hint="eastAsia" w:ascii="仿宋" w:hAnsi="仿宋" w:eastAsia="仿宋" w:cs="仿宋"/>
          <w:b/>
          <w:color w:val="auto"/>
          <w:kern w:val="0"/>
          <w:sz w:val="28"/>
          <w:szCs w:val="28"/>
          <w:highlight w:val="none"/>
          <w:lang w:bidi="ar"/>
        </w:rPr>
        <w:t>、公告期限</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自本公告发布之日起</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bidi="ar"/>
        </w:rPr>
        <w:t>个工作日。</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color w:val="auto"/>
          <w:kern w:val="0"/>
          <w:sz w:val="28"/>
          <w:szCs w:val="28"/>
          <w:highlight w:val="none"/>
          <w:lang w:val="en-US" w:eastAsia="zh-CN" w:bidi="ar"/>
        </w:rPr>
        <w:t>七</w:t>
      </w:r>
      <w:r>
        <w:rPr>
          <w:rFonts w:hint="eastAsia" w:ascii="仿宋" w:hAnsi="仿宋" w:eastAsia="仿宋" w:cs="仿宋"/>
          <w:b/>
          <w:color w:val="auto"/>
          <w:kern w:val="0"/>
          <w:sz w:val="28"/>
          <w:szCs w:val="28"/>
          <w:highlight w:val="none"/>
          <w:lang w:bidi="ar"/>
        </w:rPr>
        <w:t>、其他补充事宜</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1.本项目实行网上投标，采用电子</w:t>
      </w:r>
      <w:r>
        <w:rPr>
          <w:rFonts w:hint="eastAsia" w:ascii="仿宋" w:hAnsi="仿宋" w:eastAsia="仿宋" w:cs="仿宋"/>
          <w:color w:val="auto"/>
          <w:kern w:val="0"/>
          <w:sz w:val="28"/>
          <w:szCs w:val="28"/>
          <w:highlight w:val="none"/>
          <w:lang w:val="en-US" w:eastAsia="zh-CN" w:bidi="ar"/>
        </w:rPr>
        <w:t>响应</w:t>
      </w:r>
      <w:r>
        <w:rPr>
          <w:rFonts w:hint="eastAsia" w:ascii="仿宋" w:hAnsi="仿宋" w:eastAsia="仿宋" w:cs="仿宋"/>
          <w:color w:val="auto"/>
          <w:kern w:val="0"/>
          <w:sz w:val="28"/>
          <w:szCs w:val="28"/>
          <w:highlight w:val="none"/>
          <w:lang w:bidi="ar"/>
        </w:rPr>
        <w:t>文件;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2.各供应商在开标前应确保成为新疆政府采购网正式注册入库供应商，并完成CA数字证书(符合国密标准) 申领。因未注册入库、未办理CA数字证书等原因造成无法投标或投标失败等后果由供应商自行承担。有意向参与电子开评标的供应商，可访问新疆数字证书认证中心官方网站(https://www.xjca.comcn/) 或下载“新疆政务通”APP自行申领。如需咨询，请联系新疆CA服务热线0991-2819290;</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3.供应商在完成政采云电子交易客户端下载、安装后，可通过账号密码或CA登录客户端进行</w:t>
      </w:r>
      <w:r>
        <w:rPr>
          <w:rFonts w:hint="eastAsia" w:ascii="仿宋" w:hAnsi="仿宋" w:eastAsia="仿宋" w:cs="仿宋"/>
          <w:color w:val="auto"/>
          <w:kern w:val="0"/>
          <w:sz w:val="28"/>
          <w:szCs w:val="28"/>
          <w:highlight w:val="none"/>
          <w:lang w:val="en-US" w:eastAsia="zh-CN" w:bidi="ar"/>
        </w:rPr>
        <w:t>响应</w:t>
      </w:r>
      <w:r>
        <w:rPr>
          <w:rFonts w:hint="eastAsia" w:ascii="仿宋" w:hAnsi="仿宋" w:eastAsia="仿宋" w:cs="仿宋"/>
          <w:color w:val="auto"/>
          <w:kern w:val="0"/>
          <w:sz w:val="28"/>
          <w:szCs w:val="28"/>
          <w:highlight w:val="none"/>
          <w:lang w:bidi="ar"/>
        </w:rPr>
        <w:t>文件的制作。在使用政采云投标客户端时，建议使用WIN7及以上操作系统。客户端请至新政府采购(http://www.ccgp-xinjiang.gov.cn/) 下载专区查看，如遇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4.供应商应当在</w:t>
      </w:r>
      <w:r>
        <w:rPr>
          <w:rFonts w:hint="eastAsia" w:ascii="仿宋" w:hAnsi="仿宋" w:eastAsia="仿宋" w:cs="仿宋"/>
          <w:color w:val="auto"/>
          <w:kern w:val="0"/>
          <w:sz w:val="28"/>
          <w:szCs w:val="28"/>
          <w:highlight w:val="none"/>
          <w:lang w:eastAsia="zh-CN" w:bidi="ar"/>
        </w:rPr>
        <w:t>谈判</w:t>
      </w:r>
      <w:r>
        <w:rPr>
          <w:rFonts w:hint="eastAsia" w:ascii="仿宋" w:hAnsi="仿宋" w:eastAsia="仿宋" w:cs="仿宋"/>
          <w:color w:val="auto"/>
          <w:kern w:val="0"/>
          <w:sz w:val="28"/>
          <w:szCs w:val="28"/>
          <w:highlight w:val="none"/>
          <w:lang w:bidi="ar"/>
        </w:rPr>
        <w:t>截止时间前,将生成的“电子加密</w:t>
      </w:r>
      <w:r>
        <w:rPr>
          <w:rFonts w:hint="eastAsia" w:ascii="仿宋" w:hAnsi="仿宋" w:eastAsia="仿宋" w:cs="仿宋"/>
          <w:color w:val="auto"/>
          <w:kern w:val="0"/>
          <w:sz w:val="28"/>
          <w:szCs w:val="28"/>
          <w:highlight w:val="none"/>
          <w:lang w:eastAsia="zh-CN" w:bidi="ar"/>
        </w:rPr>
        <w:t>响应文件</w:t>
      </w:r>
      <w:r>
        <w:rPr>
          <w:rFonts w:hint="eastAsia" w:ascii="仿宋" w:hAnsi="仿宋" w:eastAsia="仿宋" w:cs="仿宋"/>
          <w:color w:val="auto"/>
          <w:kern w:val="0"/>
          <w:sz w:val="28"/>
          <w:szCs w:val="28"/>
          <w:highlight w:val="none"/>
          <w:lang w:bidi="ar"/>
        </w:rPr>
        <w:t>”上传递交至“政府采购云平台”,</w:t>
      </w:r>
      <w:r>
        <w:rPr>
          <w:rFonts w:hint="eastAsia" w:ascii="仿宋" w:hAnsi="仿宋" w:eastAsia="仿宋" w:cs="仿宋"/>
          <w:color w:val="auto"/>
          <w:kern w:val="0"/>
          <w:sz w:val="28"/>
          <w:szCs w:val="28"/>
          <w:highlight w:val="none"/>
          <w:lang w:eastAsia="zh-CN" w:bidi="ar"/>
        </w:rPr>
        <w:t>谈判</w:t>
      </w:r>
      <w:r>
        <w:rPr>
          <w:rFonts w:hint="eastAsia" w:ascii="仿宋" w:hAnsi="仿宋" w:eastAsia="仿宋" w:cs="仿宋"/>
          <w:color w:val="auto"/>
          <w:kern w:val="0"/>
          <w:sz w:val="28"/>
          <w:szCs w:val="28"/>
          <w:highlight w:val="none"/>
          <w:lang w:bidi="ar"/>
        </w:rPr>
        <w:t>截止时间以后上传递交的</w:t>
      </w:r>
      <w:r>
        <w:rPr>
          <w:rFonts w:hint="eastAsia" w:ascii="仿宋" w:hAnsi="仿宋" w:eastAsia="仿宋" w:cs="仿宋"/>
          <w:color w:val="auto"/>
          <w:kern w:val="0"/>
          <w:sz w:val="28"/>
          <w:szCs w:val="28"/>
          <w:highlight w:val="none"/>
          <w:lang w:val="en-US" w:eastAsia="zh-CN" w:bidi="ar"/>
        </w:rPr>
        <w:t>响应</w:t>
      </w:r>
      <w:r>
        <w:rPr>
          <w:rFonts w:hint="eastAsia" w:ascii="仿宋" w:hAnsi="仿宋" w:eastAsia="仿宋" w:cs="仿宋"/>
          <w:color w:val="auto"/>
          <w:kern w:val="0"/>
          <w:sz w:val="28"/>
          <w:szCs w:val="28"/>
          <w:highlight w:val="none"/>
          <w:lang w:bidi="ar"/>
        </w:rPr>
        <w:t>文件将被“政府采购云平台”拒收;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5.供应商在开标前须提前配置好电脑浏览器 (建议使用360浏览器或谷歌浏览器),开标时登录政采云平台，在“项目采购-开标评标”功能中，使用制作加密电子</w:t>
      </w:r>
      <w:r>
        <w:rPr>
          <w:rFonts w:hint="eastAsia" w:ascii="仿宋" w:hAnsi="仿宋" w:eastAsia="仿宋" w:cs="仿宋"/>
          <w:color w:val="auto"/>
          <w:kern w:val="0"/>
          <w:sz w:val="28"/>
          <w:szCs w:val="28"/>
          <w:highlight w:val="none"/>
          <w:lang w:val="en-US" w:eastAsia="zh-CN" w:bidi="ar"/>
        </w:rPr>
        <w:t>响应</w:t>
      </w:r>
      <w:r>
        <w:rPr>
          <w:rFonts w:hint="eastAsia" w:ascii="仿宋" w:hAnsi="仿宋" w:eastAsia="仿宋" w:cs="仿宋"/>
          <w:color w:val="auto"/>
          <w:kern w:val="0"/>
          <w:sz w:val="28"/>
          <w:szCs w:val="28"/>
          <w:highlight w:val="none"/>
          <w:lang w:bidi="ar"/>
        </w:rPr>
        <w:t>文件的CA锁进行解密及报价确认。本项目</w:t>
      </w:r>
      <w:r>
        <w:rPr>
          <w:rFonts w:hint="eastAsia" w:ascii="仿宋" w:hAnsi="仿宋" w:eastAsia="仿宋" w:cs="仿宋"/>
          <w:color w:val="auto"/>
          <w:kern w:val="0"/>
          <w:sz w:val="28"/>
          <w:szCs w:val="28"/>
          <w:highlight w:val="none"/>
          <w:lang w:eastAsia="zh-CN" w:bidi="ar"/>
        </w:rPr>
        <w:t>响应文件</w:t>
      </w:r>
      <w:r>
        <w:rPr>
          <w:rFonts w:hint="eastAsia" w:ascii="仿宋" w:hAnsi="仿宋" w:eastAsia="仿宋" w:cs="仿宋"/>
          <w:color w:val="auto"/>
          <w:kern w:val="0"/>
          <w:sz w:val="28"/>
          <w:szCs w:val="28"/>
          <w:highlight w:val="none"/>
          <w:lang w:bidi="ar"/>
        </w:rPr>
        <w:t>的解密时间定为30分钟内,若供应商在规定时间内因自身原因导致无法正常解密,后果由供应商自行承担;</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6.供应商登录政采云平台，在开标时间后30分钟内用“项目采购-开标评标”功能进行解密</w:t>
      </w:r>
      <w:r>
        <w:rPr>
          <w:rFonts w:hint="eastAsia" w:ascii="仿宋" w:hAnsi="仿宋" w:eastAsia="仿宋" w:cs="仿宋"/>
          <w:color w:val="auto"/>
          <w:kern w:val="0"/>
          <w:sz w:val="28"/>
          <w:szCs w:val="28"/>
          <w:highlight w:val="none"/>
          <w:lang w:eastAsia="zh-CN" w:bidi="ar"/>
        </w:rPr>
        <w:t>响应文件</w:t>
      </w:r>
      <w:r>
        <w:rPr>
          <w:rFonts w:hint="eastAsia" w:ascii="仿宋" w:hAnsi="仿宋" w:eastAsia="仿宋" w:cs="仿宋"/>
          <w:color w:val="auto"/>
          <w:kern w:val="0"/>
          <w:sz w:val="28"/>
          <w:szCs w:val="28"/>
          <w:highlight w:val="none"/>
          <w:lang w:bidi="ar"/>
        </w:rPr>
        <w:t>。若供应商在规定时间内未按时解密的，视为无效投标。解密与加密</w:t>
      </w:r>
      <w:r>
        <w:rPr>
          <w:rFonts w:hint="eastAsia" w:ascii="仿宋" w:hAnsi="仿宋" w:eastAsia="仿宋" w:cs="仿宋"/>
          <w:color w:val="auto"/>
          <w:kern w:val="0"/>
          <w:sz w:val="28"/>
          <w:szCs w:val="28"/>
          <w:highlight w:val="none"/>
          <w:lang w:eastAsia="zh-CN" w:bidi="ar"/>
        </w:rPr>
        <w:t>响应文件</w:t>
      </w:r>
      <w:r>
        <w:rPr>
          <w:rFonts w:hint="eastAsia" w:ascii="仿宋" w:hAnsi="仿宋" w:eastAsia="仿宋" w:cs="仿宋"/>
          <w:color w:val="auto"/>
          <w:kern w:val="0"/>
          <w:sz w:val="28"/>
          <w:szCs w:val="28"/>
          <w:highlight w:val="none"/>
          <w:lang w:bidi="ar"/>
        </w:rPr>
        <w:t>须使用同一个CA。</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特别提示：</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1、采购限额标准以上，200万元以下的货物和服务采购项目、400万元以下的工程采购项目，适宜由中小企业提供的，采购人应当专门面向中小企业采购。</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color w:val="auto"/>
          <w:kern w:val="0"/>
          <w:sz w:val="28"/>
          <w:szCs w:val="28"/>
          <w:highlight w:val="none"/>
          <w:lang w:val="en-US" w:eastAsia="zh-CN" w:bidi="ar"/>
        </w:rPr>
        <w:t>八</w:t>
      </w:r>
      <w:r>
        <w:rPr>
          <w:rFonts w:hint="eastAsia" w:ascii="仿宋" w:hAnsi="仿宋" w:eastAsia="仿宋" w:cs="仿宋"/>
          <w:b/>
          <w:color w:val="auto"/>
          <w:kern w:val="0"/>
          <w:sz w:val="28"/>
          <w:szCs w:val="28"/>
          <w:highlight w:val="none"/>
          <w:lang w:bidi="ar"/>
        </w:rPr>
        <w:t>、对本次采购提出询问，请按以下方式联系</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1.采购人信息</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w w:val="102"/>
          <w:kern w:val="0"/>
          <w:sz w:val="28"/>
          <w:szCs w:val="28"/>
          <w:highlight w:val="none"/>
          <w:u w:val="single"/>
        </w:rPr>
      </w:pPr>
      <w:r>
        <w:rPr>
          <w:rFonts w:hint="eastAsia" w:ascii="仿宋" w:hAnsi="仿宋" w:eastAsia="仿宋" w:cs="仿宋"/>
          <w:b/>
          <w:bCs/>
          <w:color w:val="auto"/>
          <w:kern w:val="0"/>
          <w:sz w:val="28"/>
          <w:szCs w:val="28"/>
          <w:highlight w:val="none"/>
          <w:lang w:bidi="ar"/>
        </w:rPr>
        <w:t>名 称：</w:t>
      </w:r>
      <w:r>
        <w:rPr>
          <w:rFonts w:hint="eastAsia" w:ascii="仿宋" w:hAnsi="仿宋" w:eastAsia="仿宋" w:cs="仿宋"/>
          <w:b w:val="0"/>
          <w:bCs w:val="0"/>
          <w:color w:val="auto"/>
          <w:kern w:val="0"/>
          <w:sz w:val="28"/>
          <w:szCs w:val="28"/>
          <w:highlight w:val="none"/>
          <w:lang w:val="en-US" w:eastAsia="zh-CN"/>
        </w:rPr>
        <w:t>吐鲁番市广播电视局</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bidi="ar"/>
        </w:rPr>
        <w:t>地 址：</w:t>
      </w:r>
      <w:r>
        <w:rPr>
          <w:rFonts w:hint="eastAsia" w:ascii="仿宋" w:hAnsi="仿宋" w:eastAsia="仿宋" w:cs="仿宋"/>
          <w:b w:val="0"/>
          <w:bCs w:val="0"/>
          <w:color w:val="auto"/>
          <w:kern w:val="0"/>
          <w:sz w:val="28"/>
          <w:szCs w:val="28"/>
          <w:highlight w:val="none"/>
          <w:lang w:val="en-US" w:eastAsia="zh-CN"/>
        </w:rPr>
        <w:t>吐鲁番市示范区艾丁湖路60号（吐鲁番市融媒体中心）</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bidi="ar"/>
        </w:rPr>
        <w:t>联系方式：</w:t>
      </w:r>
      <w:r>
        <w:rPr>
          <w:rFonts w:hint="eastAsia" w:ascii="仿宋" w:hAnsi="仿宋" w:eastAsia="仿宋" w:cs="仿宋"/>
          <w:color w:val="auto"/>
          <w:kern w:val="0"/>
          <w:sz w:val="28"/>
          <w:szCs w:val="28"/>
          <w:highlight w:val="none"/>
          <w:lang w:val="en-US" w:eastAsia="zh-CN" w:bidi="ar"/>
        </w:rPr>
        <w:t>1</w:t>
      </w:r>
      <w:r>
        <w:rPr>
          <w:rFonts w:hint="eastAsia" w:ascii="仿宋" w:hAnsi="仿宋" w:eastAsia="仿宋" w:cs="仿宋"/>
          <w:b w:val="0"/>
          <w:bCs w:val="0"/>
          <w:color w:val="auto"/>
          <w:kern w:val="0"/>
          <w:sz w:val="28"/>
          <w:szCs w:val="28"/>
          <w:highlight w:val="none"/>
          <w:lang w:val="en-US" w:eastAsia="zh-CN"/>
        </w:rPr>
        <w:t>3576542516</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2.采购代理机构信息</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名 称：</w:t>
      </w:r>
      <w:r>
        <w:rPr>
          <w:rFonts w:hint="eastAsia" w:ascii="仿宋" w:hAnsi="仿宋" w:eastAsia="仿宋" w:cs="仿宋"/>
          <w:b w:val="0"/>
          <w:bCs w:val="0"/>
          <w:color w:val="auto"/>
          <w:kern w:val="0"/>
          <w:sz w:val="28"/>
          <w:szCs w:val="28"/>
          <w:highlight w:val="none"/>
          <w:lang w:val="en-US" w:eastAsia="zh-CN"/>
        </w:rPr>
        <w:t>吐鲁番市行政服务中心（市公共资源交易中心）</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地 址：</w:t>
      </w:r>
      <w:r>
        <w:rPr>
          <w:rFonts w:hint="eastAsia" w:ascii="仿宋" w:hAnsi="仿宋" w:eastAsia="仿宋" w:cs="仿宋"/>
          <w:color w:val="auto"/>
          <w:kern w:val="0"/>
          <w:sz w:val="28"/>
          <w:szCs w:val="28"/>
          <w:highlight w:val="none"/>
          <w:lang w:bidi="ar"/>
        </w:rPr>
        <w:t>吐鲁番市丝绸大道4100号</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联系方式：</w:t>
      </w:r>
      <w:r>
        <w:rPr>
          <w:rFonts w:hint="eastAsia" w:ascii="仿宋" w:hAnsi="仿宋" w:eastAsia="仿宋" w:cs="仿宋"/>
          <w:b w:val="0"/>
          <w:bCs w:val="0"/>
          <w:color w:val="auto"/>
          <w:kern w:val="0"/>
          <w:sz w:val="28"/>
          <w:szCs w:val="28"/>
          <w:highlight w:val="none"/>
          <w:lang w:val="en-US" w:eastAsia="zh-CN"/>
        </w:rPr>
        <w:t>0995-8520797</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3.项目联系方式</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项目联系人：</w:t>
      </w:r>
      <w:r>
        <w:rPr>
          <w:rFonts w:hint="eastAsia" w:ascii="仿宋" w:hAnsi="仿宋" w:eastAsia="仿宋" w:cs="仿宋"/>
          <w:color w:val="auto"/>
          <w:kern w:val="0"/>
          <w:sz w:val="28"/>
          <w:szCs w:val="28"/>
          <w:highlight w:val="none"/>
          <w:lang w:bidi="ar"/>
        </w:rPr>
        <w:t>肉克彦</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电 话：</w:t>
      </w:r>
      <w:r>
        <w:rPr>
          <w:rFonts w:hint="eastAsia" w:ascii="仿宋" w:hAnsi="仿宋" w:eastAsia="仿宋" w:cs="仿宋"/>
          <w:color w:val="auto"/>
          <w:kern w:val="0"/>
          <w:sz w:val="28"/>
          <w:szCs w:val="28"/>
          <w:highlight w:val="none"/>
          <w:lang w:bidi="ar"/>
        </w:rPr>
        <w:t>0995-8520797</w:t>
      </w:r>
    </w:p>
    <w:p>
      <w:pPr>
        <w:widowControl/>
        <w:ind w:firstLine="0" w:firstLineChars="0"/>
        <w:jc w:val="left"/>
        <w:rPr>
          <w:rFonts w:hint="eastAsia" w:ascii="仿宋" w:hAnsi="仿宋" w:eastAsia="仿宋" w:cs="仿宋"/>
          <w:color w:val="auto"/>
          <w:kern w:val="0"/>
          <w:sz w:val="24"/>
          <w:highlight w:val="none"/>
        </w:rPr>
      </w:pPr>
    </w:p>
    <w:p>
      <w:pPr>
        <w:widowControl/>
        <w:ind w:firstLine="0" w:firstLineChars="0"/>
        <w:jc w:val="left"/>
        <w:rPr>
          <w:rFonts w:hint="eastAsia" w:ascii="仿宋" w:hAnsi="仿宋" w:eastAsia="仿宋" w:cs="仿宋"/>
          <w:color w:val="auto"/>
          <w:kern w:val="0"/>
          <w:sz w:val="24"/>
          <w:highlight w:val="none"/>
        </w:rPr>
      </w:pPr>
    </w:p>
    <w:p>
      <w:pPr>
        <w:widowControl/>
        <w:ind w:firstLine="0" w:firstLineChars="0"/>
        <w:jc w:val="left"/>
        <w:rPr>
          <w:rFonts w:hint="eastAsia" w:ascii="仿宋" w:hAnsi="仿宋" w:eastAsia="仿宋" w:cs="仿宋"/>
          <w:color w:val="auto"/>
          <w:kern w:val="0"/>
          <w:sz w:val="24"/>
          <w:highlight w:val="none"/>
        </w:rPr>
      </w:pPr>
    </w:p>
    <w:p>
      <w:pPr>
        <w:widowControl/>
        <w:ind w:firstLine="0" w:firstLineChars="0"/>
        <w:jc w:val="left"/>
        <w:rPr>
          <w:rFonts w:hint="eastAsia" w:ascii="仿宋" w:hAnsi="仿宋" w:eastAsia="仿宋" w:cs="仿宋"/>
          <w:color w:val="auto"/>
          <w:kern w:val="0"/>
          <w:sz w:val="24"/>
          <w:highlight w:val="none"/>
        </w:rPr>
      </w:pPr>
    </w:p>
    <w:p>
      <w:pPr>
        <w:widowControl/>
        <w:spacing w:line="400" w:lineRule="exact"/>
        <w:ind w:firstLine="480" w:firstLineChars="200"/>
        <w:jc w:val="center"/>
        <w:rPr>
          <w:rStyle w:val="143"/>
          <w:rFonts w:ascii="宋体" w:hAnsi="宋体" w:eastAsia="宋体" w:cs="宋体"/>
          <w:color w:val="auto"/>
          <w:kern w:val="0"/>
          <w:highlight w:val="none"/>
        </w:rPr>
      </w:pPr>
      <w:r>
        <w:rPr>
          <w:rFonts w:hint="eastAsia" w:ascii="仿宋" w:hAnsi="仿宋" w:eastAsia="仿宋" w:cs="仿宋"/>
          <w:color w:val="auto"/>
          <w:kern w:val="0"/>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Times New Roman" w:hAnsi="Times New Roman" w:eastAsia="宋体" w:cs="宋体"/>
          <w:color w:val="auto"/>
          <w:sz w:val="21"/>
          <w:szCs w:val="21"/>
          <w:highlight w:val="none"/>
        </w:rPr>
      </w:pPr>
    </w:p>
    <w:bookmarkEnd w:id="0"/>
    <w:bookmarkEnd w:id="1"/>
    <w:bookmarkEnd w:id="2"/>
    <w:bookmarkEnd w:id="3"/>
    <w:bookmarkEnd w:id="4"/>
    <w:p>
      <w:pPr>
        <w:pageBreakBefore/>
        <w:shd w:val="clear" w:color="auto" w:fill="FFFFFF"/>
        <w:spacing w:line="360" w:lineRule="auto"/>
        <w:ind w:left="0" w:leftChars="0" w:firstLine="0" w:firstLineChars="0"/>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lang w:val="en-US" w:eastAsia="zh-CN"/>
        </w:rPr>
        <w:t>第二部分 供应商须</w:t>
      </w:r>
      <w:r>
        <w:rPr>
          <w:rFonts w:hint="eastAsia" w:ascii="宋体" w:hAnsi="宋体" w:eastAsia="宋体" w:cs="宋体"/>
          <w:b/>
          <w:bCs/>
          <w:color w:val="auto"/>
          <w:sz w:val="32"/>
          <w:highlight w:val="none"/>
        </w:rPr>
        <w:t>知</w:t>
      </w:r>
      <w:r>
        <w:rPr>
          <w:rFonts w:hint="eastAsia" w:ascii="宋体" w:hAnsi="宋体" w:eastAsia="宋体" w:cs="宋体"/>
          <w:b/>
          <w:bCs/>
          <w:color w:val="auto"/>
          <w:sz w:val="32"/>
          <w:highlight w:val="none"/>
          <w:lang w:val="en-US" w:eastAsia="zh-CN"/>
        </w:rPr>
        <w:t>前附</w:t>
      </w:r>
      <w:r>
        <w:rPr>
          <w:rFonts w:hint="eastAsia" w:ascii="宋体" w:hAnsi="宋体" w:eastAsia="宋体" w:cs="宋体"/>
          <w:b/>
          <w:bCs/>
          <w:color w:val="auto"/>
          <w:sz w:val="32"/>
          <w:highlight w:val="none"/>
        </w:rPr>
        <w:t>表</w:t>
      </w:r>
    </w:p>
    <w:tbl>
      <w:tblPr>
        <w:tblStyle w:val="45"/>
        <w:tblW w:w="10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1"/>
        <w:gridCol w:w="1661"/>
        <w:gridCol w:w="7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621" w:type="dxa"/>
            <w:tcBorders>
              <w:top w:val="single" w:color="EC6881" w:sz="12" w:space="0"/>
              <w:left w:val="single" w:color="FFFFFF" w:sz="12" w:space="0"/>
              <w:bottom w:val="single" w:color="EC6881"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661" w:type="dxa"/>
            <w:tcBorders>
              <w:top w:val="single" w:color="EC6881" w:sz="12" w:space="0"/>
              <w:left w:val="single" w:color="FFFFFF" w:sz="6" w:space="0"/>
              <w:bottom w:val="single" w:color="EC6881"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797" w:type="dxa"/>
            <w:tcBorders>
              <w:top w:val="single" w:color="EC6881" w:sz="12" w:space="0"/>
              <w:left w:val="single" w:color="FBDFE4" w:sz="4" w:space="0"/>
              <w:bottom w:val="single" w:color="EC6881"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92" w:hRule="atLeast"/>
          <w:jc w:val="center"/>
        </w:trPr>
        <w:tc>
          <w:tcPr>
            <w:tcW w:w="621" w:type="dxa"/>
            <w:tcBorders>
              <w:top w:val="single" w:color="EC6881"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1661" w:type="dxa"/>
            <w:tcBorders>
              <w:top w:val="single" w:color="EC6881"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采购人</w:t>
            </w:r>
          </w:p>
        </w:tc>
        <w:tc>
          <w:tcPr>
            <w:tcW w:w="7797" w:type="dxa"/>
            <w:tcBorders>
              <w:top w:val="single" w:color="EC6881"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名  称：</w:t>
            </w:r>
            <w:r>
              <w:rPr>
                <w:rFonts w:hint="eastAsia" w:ascii="宋体" w:hAnsi="宋体" w:eastAsia="宋体" w:cs="宋体"/>
                <w:color w:val="auto"/>
                <w:sz w:val="24"/>
                <w:highlight w:val="none"/>
                <w:shd w:val="clear" w:color="auto" w:fill="auto"/>
                <w:lang w:val="en-US" w:eastAsia="zh-CN"/>
              </w:rPr>
              <w:t>吐鲁番市广播电视局</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联系人：</w:t>
            </w:r>
            <w:r>
              <w:rPr>
                <w:rFonts w:hint="eastAsia" w:ascii="宋体" w:hAnsi="宋体" w:eastAsia="宋体" w:cs="宋体"/>
                <w:color w:val="auto"/>
                <w:sz w:val="24"/>
                <w:highlight w:val="none"/>
                <w:shd w:val="clear" w:color="auto" w:fill="auto"/>
                <w:lang w:val="en-US" w:eastAsia="zh-CN"/>
              </w:rPr>
              <w:t>孙新平</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地址：吐鲁番市示范区艾丁湖路60号（吐鲁番市融媒体中心）</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电  话：</w:t>
            </w:r>
            <w:r>
              <w:rPr>
                <w:rFonts w:hint="eastAsia" w:ascii="宋体" w:hAnsi="宋体" w:eastAsia="宋体" w:cs="宋体"/>
                <w:color w:val="auto"/>
                <w:sz w:val="24"/>
                <w:highlight w:val="none"/>
                <w:shd w:val="clear" w:color="auto" w:fill="auto"/>
                <w:lang w:val="en-US" w:eastAsia="zh-CN"/>
              </w:rPr>
              <w:t>1357</w:t>
            </w:r>
            <w:r>
              <w:rPr>
                <w:rFonts w:hint="eastAsia" w:ascii="宋体" w:hAnsi="宋体" w:cs="宋体"/>
                <w:color w:val="auto"/>
                <w:sz w:val="24"/>
                <w:highlight w:val="none"/>
                <w:shd w:val="clear" w:color="auto" w:fill="auto"/>
                <w:lang w:val="en-US" w:eastAsia="zh-CN"/>
              </w:rPr>
              <w:t>9</w:t>
            </w:r>
            <w:r>
              <w:rPr>
                <w:rFonts w:hint="eastAsia" w:ascii="宋体" w:hAnsi="宋体" w:eastAsia="宋体" w:cs="宋体"/>
                <w:color w:val="auto"/>
                <w:sz w:val="24"/>
                <w:highlight w:val="none"/>
                <w:shd w:val="clear" w:color="auto" w:fill="auto"/>
                <w:lang w:val="en-US" w:eastAsia="zh-CN"/>
              </w:rPr>
              <w:t>542516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代理机构</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 xml:space="preserve">名  称: </w:t>
            </w:r>
            <w:r>
              <w:rPr>
                <w:rFonts w:hint="eastAsia" w:ascii="宋体" w:hAnsi="宋体" w:eastAsia="宋体" w:cs="宋体"/>
                <w:color w:val="auto"/>
                <w:sz w:val="24"/>
                <w:highlight w:val="none"/>
                <w:shd w:val="clear" w:color="auto" w:fill="auto"/>
                <w:lang w:val="en-US" w:eastAsia="zh-CN"/>
              </w:rPr>
              <w:t>吐鲁番市行政服务中心（市公共资源交易中心）</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 xml:space="preserve">地  址: </w:t>
            </w:r>
            <w:r>
              <w:rPr>
                <w:rFonts w:hint="eastAsia" w:ascii="宋体" w:hAnsi="宋体" w:eastAsia="宋体" w:cs="宋体"/>
                <w:color w:val="auto"/>
                <w:sz w:val="24"/>
                <w:highlight w:val="none"/>
                <w:shd w:val="clear" w:color="auto" w:fill="auto"/>
                <w:lang w:eastAsia="zh-CN"/>
              </w:rPr>
              <w:t>吐鲁番市丝绸大道4100号</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 xml:space="preserve">联系人: </w:t>
            </w:r>
            <w:r>
              <w:rPr>
                <w:rFonts w:hint="eastAsia" w:ascii="宋体" w:hAnsi="宋体" w:eastAsia="宋体" w:cs="宋体"/>
                <w:color w:val="auto"/>
                <w:sz w:val="24"/>
                <w:highlight w:val="none"/>
                <w:shd w:val="clear" w:color="auto" w:fill="auto"/>
                <w:lang w:val="en-US" w:eastAsia="zh-CN"/>
              </w:rPr>
              <w:t>肉克彦</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电  话:</w:t>
            </w:r>
            <w:r>
              <w:rPr>
                <w:rFonts w:hint="eastAsia" w:ascii="宋体" w:hAnsi="宋体" w:eastAsia="宋体" w:cs="宋体"/>
                <w:color w:val="auto"/>
                <w:sz w:val="24"/>
                <w:highlight w:val="none"/>
                <w:shd w:val="clear" w:color="auto" w:fill="auto"/>
                <w:lang w:val="en-US" w:eastAsia="zh-CN"/>
              </w:rPr>
              <w:t xml:space="preserve"> 0995-8520797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leftChars="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采购项目名称</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吐鲁番传媒中心工程项目—传媒中心安防设施系统设备采购项目</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leftChars="0" w:right="0" w:firstLine="0" w:firstLineChars="0"/>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采购需求</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监控安防设备一批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leftChars="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5</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资金来源</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24" w:beforeLines="10" w:beforeAutospacing="0" w:after="24" w:afterLines="10" w:afterAutospacing="0" w:line="360" w:lineRule="exact"/>
              <w:ind w:left="0" w:right="0" w:firstLine="0" w:firstLineChars="0"/>
              <w:jc w:val="lef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6</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kern w:val="0"/>
                <w:sz w:val="24"/>
                <w:highlight w:val="none"/>
                <w:shd w:val="clear" w:color="auto" w:fill="auto"/>
              </w:rPr>
              <w:t>采购方式</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lef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7</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评标方法</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最低评标</w:t>
            </w:r>
            <w:r>
              <w:rPr>
                <w:rFonts w:hint="eastAsia" w:ascii="宋体" w:hAnsi="宋体" w:eastAsia="宋体" w:cs="宋体"/>
                <w:color w:val="auto"/>
                <w:kern w:val="0"/>
                <w:sz w:val="24"/>
                <w:highlight w:val="none"/>
                <w:shd w:val="clear" w:color="auto" w:fill="auto"/>
                <w:lang w:val="en-US" w:eastAsia="zh-CN"/>
              </w:rPr>
              <w:t>价</w:t>
            </w:r>
            <w:r>
              <w:rPr>
                <w:rFonts w:hint="eastAsia" w:ascii="宋体" w:hAnsi="宋体" w:eastAsia="宋体" w:cs="宋体"/>
                <w:color w:val="auto"/>
                <w:kern w:val="0"/>
                <w:sz w:val="24"/>
                <w:highlight w:val="none"/>
                <w:shd w:val="clear" w:color="auto" w:fill="auto"/>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8</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lang w:val="en-US" w:eastAsia="zh-CN"/>
              </w:rPr>
              <w:t>供货</w:t>
            </w:r>
            <w:r>
              <w:rPr>
                <w:rFonts w:hint="eastAsia" w:ascii="宋体" w:hAnsi="宋体" w:eastAsia="宋体" w:cs="宋体"/>
                <w:color w:val="auto"/>
                <w:sz w:val="24"/>
                <w:highlight w:val="none"/>
                <w:shd w:val="clear" w:color="auto" w:fill="auto"/>
              </w:rPr>
              <w:t>地点</w:t>
            </w:r>
            <w:r>
              <w:rPr>
                <w:rFonts w:hint="eastAsia" w:ascii="宋体" w:hAnsi="宋体" w:eastAsia="宋体" w:cs="宋体"/>
                <w:color w:val="auto"/>
                <w:sz w:val="24"/>
                <w:highlight w:val="none"/>
                <w:shd w:val="clear" w:color="auto" w:fill="auto"/>
                <w:lang w:val="en-US" w:eastAsia="zh-CN"/>
              </w:rPr>
              <w:t>及时间</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widowControl/>
              <w:suppressLineNumbers w:val="0"/>
              <w:shd w:val="clear" w:color="auto" w:fill="FFFFFF"/>
              <w:spacing w:before="0" w:beforeAutospacing="0" w:after="0" w:afterAutospacing="0"/>
              <w:ind w:left="0" w:right="0" w:firstLine="0" w:firstLineChars="0"/>
              <w:jc w:val="left"/>
              <w:rPr>
                <w:rFonts w:hint="default"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时间：签订合同后30天内完成供货</w:t>
            </w:r>
            <w:r>
              <w:rPr>
                <w:rFonts w:hint="eastAsia" w:ascii="宋体" w:hAnsi="宋体" w:cs="宋体"/>
                <w:color w:val="auto"/>
                <w:kern w:val="0"/>
                <w:sz w:val="24"/>
                <w:szCs w:val="24"/>
                <w:highlight w:val="none"/>
                <w:shd w:val="clear" w:color="auto" w:fill="auto"/>
                <w:lang w:val="en-US" w:eastAsia="zh-CN" w:bidi="ar"/>
              </w:rPr>
              <w:t>并安装调试。</w:t>
            </w:r>
          </w:p>
          <w:p>
            <w:pPr>
              <w:keepNext w:val="0"/>
              <w:keepLines w:val="0"/>
              <w:widowControl/>
              <w:suppressLineNumbers w:val="0"/>
              <w:shd w:val="clear" w:color="auto" w:fill="FFFFFF"/>
              <w:spacing w:before="0" w:beforeAutospacing="0" w:after="0" w:afterAutospacing="0"/>
              <w:ind w:left="0" w:right="0" w:firstLine="0" w:firstLineChars="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9</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服务质量</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left"/>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达到国家质量标准、行业质量标准要求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10</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联合体投标</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left"/>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highlight w:val="none"/>
                <w:shd w:val="clear" w:color="auto" w:fill="auto"/>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11</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kern w:val="0"/>
                <w:sz w:val="24"/>
                <w:highlight w:val="none"/>
                <w:shd w:val="clear" w:color="auto" w:fill="auto"/>
              </w:rPr>
              <w:t>采购概算价</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right="0" w:firstLine="0" w:firstLineChars="0"/>
              <w:rPr>
                <w:rFonts w:hint="eastAsia" w:ascii="宋体" w:hAnsi="宋体" w:eastAsia="宋体" w:cs="宋体"/>
                <w:b/>
                <w:bCs/>
                <w:color w:val="auto"/>
                <w:kern w:val="0"/>
                <w:sz w:val="24"/>
                <w:highlight w:val="none"/>
                <w:shd w:val="clear" w:color="auto" w:fill="auto"/>
              </w:rPr>
            </w:pPr>
            <w:r>
              <w:rPr>
                <w:rFonts w:hint="eastAsia" w:ascii="宋体" w:hAnsi="宋体" w:eastAsia="宋体" w:cs="宋体"/>
                <w:b/>
                <w:bCs/>
                <w:color w:val="auto"/>
                <w:kern w:val="0"/>
                <w:sz w:val="24"/>
                <w:highlight w:val="none"/>
                <w:shd w:val="clear" w:color="auto" w:fill="auto"/>
              </w:rPr>
              <w:t>本标段预算金额为</w:t>
            </w:r>
            <w:r>
              <w:rPr>
                <w:rFonts w:hint="eastAsia" w:ascii="仿宋" w:hAnsi="仿宋" w:eastAsia="仿宋" w:cs="仿宋"/>
                <w:b/>
                <w:bCs/>
                <w:color w:val="auto"/>
                <w:kern w:val="0"/>
                <w:sz w:val="28"/>
                <w:szCs w:val="28"/>
                <w:highlight w:val="none"/>
                <w:lang w:val="en-US" w:eastAsia="zh-CN"/>
              </w:rPr>
              <w:t>738865</w:t>
            </w:r>
            <w:r>
              <w:rPr>
                <w:rFonts w:hint="eastAsia" w:ascii="宋体" w:hAnsi="宋体" w:eastAsia="宋体" w:cs="宋体"/>
                <w:b/>
                <w:bCs/>
                <w:color w:val="auto"/>
                <w:kern w:val="0"/>
                <w:sz w:val="24"/>
                <w:highlight w:val="none"/>
                <w:shd w:val="clear" w:color="auto" w:fill="auto"/>
              </w:rPr>
              <w:t>元</w:t>
            </w:r>
          </w:p>
          <w:p>
            <w:pPr>
              <w:keepNext w:val="0"/>
              <w:keepLines w:val="0"/>
              <w:suppressLineNumbers w:val="0"/>
              <w:shd w:val="clear" w:color="auto" w:fill="FFFFFF"/>
              <w:tabs>
                <w:tab w:val="left" w:pos="900"/>
              </w:tabs>
              <w:spacing w:before="24" w:beforeLines="10" w:beforeAutospacing="0" w:after="24" w:afterLines="10" w:afterAutospacing="0" w:line="360" w:lineRule="exact"/>
              <w:ind w:left="0" w:right="0" w:firstLine="0" w:firstLineChars="0"/>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b/>
                <w:bCs/>
                <w:color w:val="auto"/>
                <w:kern w:val="0"/>
                <w:sz w:val="24"/>
                <w:highlight w:val="none"/>
                <w:shd w:val="clear" w:color="auto" w:fill="auto"/>
                <w:lang w:eastAsia="zh-CN"/>
              </w:rPr>
              <w:t>谈判</w:t>
            </w:r>
            <w:r>
              <w:rPr>
                <w:rFonts w:hint="eastAsia" w:ascii="宋体" w:hAnsi="宋体" w:eastAsia="宋体" w:cs="宋体"/>
                <w:b/>
                <w:bCs/>
                <w:color w:val="auto"/>
                <w:kern w:val="0"/>
                <w:sz w:val="24"/>
                <w:highlight w:val="none"/>
                <w:shd w:val="clear" w:color="auto" w:fill="auto"/>
              </w:rPr>
              <w:t>报价高于</w:t>
            </w:r>
            <w:r>
              <w:rPr>
                <w:rFonts w:hint="eastAsia" w:ascii="宋体" w:hAnsi="宋体" w:eastAsia="宋体" w:cs="宋体"/>
                <w:b/>
                <w:bCs/>
                <w:color w:val="auto"/>
                <w:kern w:val="0"/>
                <w:sz w:val="24"/>
                <w:highlight w:val="none"/>
                <w:shd w:val="clear" w:color="auto" w:fill="auto"/>
                <w:lang w:val="en-US" w:eastAsia="zh-CN"/>
              </w:rPr>
              <w:t>最高</w:t>
            </w:r>
            <w:r>
              <w:rPr>
                <w:rFonts w:hint="eastAsia" w:ascii="宋体" w:hAnsi="宋体" w:eastAsia="宋体" w:cs="宋体"/>
                <w:b/>
                <w:bCs/>
                <w:color w:val="auto"/>
                <w:kern w:val="0"/>
                <w:sz w:val="24"/>
                <w:highlight w:val="none"/>
                <w:shd w:val="clear" w:color="auto" w:fill="auto"/>
              </w:rPr>
              <w:t>限价</w:t>
            </w:r>
            <w:r>
              <w:rPr>
                <w:rFonts w:hint="eastAsia" w:ascii="宋体" w:hAnsi="宋体" w:eastAsia="宋体" w:cs="宋体"/>
                <w:b/>
                <w:bCs/>
                <w:color w:val="auto"/>
                <w:kern w:val="0"/>
                <w:sz w:val="24"/>
                <w:highlight w:val="none"/>
                <w:shd w:val="clear" w:color="auto" w:fill="auto"/>
                <w:lang w:eastAsia="zh-CN"/>
              </w:rPr>
              <w:t>或低于成本价均</w:t>
            </w:r>
            <w:r>
              <w:rPr>
                <w:rFonts w:hint="eastAsia" w:ascii="宋体" w:hAnsi="宋体" w:eastAsia="宋体" w:cs="宋体"/>
                <w:b/>
                <w:bCs/>
                <w:color w:val="auto"/>
                <w:kern w:val="0"/>
                <w:sz w:val="24"/>
                <w:highlight w:val="none"/>
                <w:shd w:val="clear" w:color="auto" w:fill="auto"/>
              </w:rPr>
              <w:t>按</w:t>
            </w:r>
            <w:r>
              <w:rPr>
                <w:rFonts w:hint="eastAsia" w:ascii="宋体" w:hAnsi="宋体" w:eastAsia="宋体" w:cs="宋体"/>
                <w:b/>
                <w:bCs/>
                <w:color w:val="auto"/>
                <w:kern w:val="0"/>
                <w:sz w:val="24"/>
                <w:highlight w:val="none"/>
                <w:shd w:val="clear" w:color="auto" w:fill="auto"/>
                <w:lang w:val="en-US" w:eastAsia="zh-CN"/>
              </w:rPr>
              <w:t>无效报价</w:t>
            </w:r>
            <w:r>
              <w:rPr>
                <w:rFonts w:hint="eastAsia" w:ascii="宋体" w:hAnsi="宋体" w:eastAsia="宋体" w:cs="宋体"/>
                <w:b/>
                <w:bCs/>
                <w:color w:val="auto"/>
                <w:kern w:val="0"/>
                <w:sz w:val="24"/>
                <w:highlight w:val="none"/>
                <w:shd w:val="clear" w:color="auto" w:fill="auto"/>
              </w:rPr>
              <w:t>处理，敬请</w:t>
            </w:r>
            <w:r>
              <w:rPr>
                <w:rFonts w:hint="eastAsia" w:ascii="宋体" w:hAnsi="宋体" w:eastAsia="宋体" w:cs="宋体"/>
                <w:b/>
                <w:bCs/>
                <w:color w:val="auto"/>
                <w:kern w:val="0"/>
                <w:sz w:val="24"/>
                <w:highlight w:val="none"/>
                <w:shd w:val="clear" w:color="auto" w:fill="auto"/>
                <w:lang w:eastAsia="zh-CN"/>
              </w:rPr>
              <w:t>供应商</w:t>
            </w:r>
            <w:r>
              <w:rPr>
                <w:rFonts w:hint="eastAsia" w:ascii="宋体" w:hAnsi="宋体" w:eastAsia="宋体" w:cs="宋体"/>
                <w:b/>
                <w:bCs/>
                <w:color w:val="auto"/>
                <w:kern w:val="0"/>
                <w:sz w:val="24"/>
                <w:highlight w:val="none"/>
                <w:shd w:val="clear" w:color="auto" w:fill="auto"/>
              </w:rPr>
              <w:t>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12</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付款方式</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both"/>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具体付款方式：合同签订后预付款合同款40%，货到现场后支付合同款50%，验收完成后支付合同款10%。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13</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质保期</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保证金</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谈判</w:t>
            </w:r>
            <w:r>
              <w:rPr>
                <w:rFonts w:hint="eastAsia" w:ascii="Times New Roman" w:hAnsi="Times New Roman" w:cs="Times New Roman"/>
                <w:color w:val="auto"/>
                <w:highlight w:val="none"/>
              </w:rPr>
              <w:t>保证金的金额：</w:t>
            </w:r>
            <w:r>
              <w:rPr>
                <w:rFonts w:hint="eastAsia" w:ascii="Times New Roman" w:hAnsi="Times New Roman" w:cs="Times New Roman"/>
                <w:color w:val="auto"/>
                <w:highlight w:val="none"/>
                <w:lang w:val="en-US" w:eastAsia="zh-CN"/>
              </w:rPr>
              <w:t>10000</w:t>
            </w:r>
            <w:r>
              <w:rPr>
                <w:rFonts w:hint="eastAsia" w:ascii="Times New Roman" w:hAnsi="Times New Roman" w:cs="Times New Roman"/>
                <w:color w:val="auto"/>
                <w:highlight w:val="none"/>
              </w:rPr>
              <w:t>元整（大写：</w:t>
            </w:r>
            <w:r>
              <w:rPr>
                <w:rFonts w:hint="eastAsia" w:ascii="Times New Roman" w:hAnsi="Times New Roman" w:cs="Times New Roman"/>
                <w:color w:val="auto"/>
                <w:highlight w:val="none"/>
                <w:lang w:val="en-US" w:eastAsia="zh-CN"/>
              </w:rPr>
              <w:t>壹万元整</w:t>
            </w:r>
            <w:r>
              <w:rPr>
                <w:rFonts w:hint="eastAsia" w:ascii="Times New Roman" w:hAnsi="Times New Roman" w:cs="Times New Roman"/>
                <w:color w:val="auto"/>
                <w:highlight w:val="none"/>
              </w:rPr>
              <w:t>)</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递交方式：电电汇、转账，保函（银行、保险、担保公司）</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由供应商对公账户转入如下账户</w:t>
            </w:r>
            <w:r>
              <w:rPr>
                <w:rFonts w:hint="eastAsia" w:ascii="Times New Roman" w:hAnsi="Times New Roman" w:cs="Times New Roman"/>
                <w:color w:val="auto"/>
                <w:highlight w:val="none"/>
                <w:lang w:eastAsia="zh-CN"/>
              </w:rPr>
              <w:t>：</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开户名称：</w:t>
            </w:r>
            <w:r>
              <w:rPr>
                <w:rFonts w:hint="eastAsia" w:ascii="Times New Roman" w:hAnsi="Times New Roman" w:cs="Times New Roman"/>
                <w:color w:val="auto"/>
                <w:highlight w:val="none"/>
                <w:lang w:eastAsia="zh-CN"/>
              </w:rPr>
              <w:t>吐鲁番市行政服务中心（市公共资源交易中心）</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开户银行：中国工商银行股份有限公司吐鲁番地区分行</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rPr>
              <w:t>账  号：9558833005000013276</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行  号：102883000022  </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1、以电汇或网银转账式缴纳保证金的</w:t>
            </w:r>
            <w:r>
              <w:rPr>
                <w:rFonts w:hint="eastAsia" w:ascii="Times New Roman" w:hAnsi="Times New Roman" w:cs="Times New Roman"/>
                <w:color w:val="auto"/>
                <w:highlight w:val="none"/>
                <w:lang w:eastAsia="zh-CN"/>
              </w:rPr>
              <w:t>供应商</w:t>
            </w:r>
            <w:r>
              <w:rPr>
                <w:rFonts w:hint="eastAsia" w:ascii="Times New Roman" w:hAnsi="Times New Roman" w:cs="Times New Roman"/>
                <w:color w:val="auto"/>
                <w:highlight w:val="none"/>
              </w:rPr>
              <w:t>在</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截止时间前（因考虑异地、跨行、公休日等因素造成的保证金到账延迟风险）必须交纳</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保证金，以确保保证金在</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截止时间前到账。未按此时限要求办理保证金交纳事宜，致使</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保证金未能在</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截止时间前到账，不能正常获取保证金收据的责任由</w:t>
            </w:r>
            <w:r>
              <w:rPr>
                <w:rFonts w:hint="eastAsia" w:ascii="Times New Roman" w:hAnsi="Times New Roman" w:cs="Times New Roman"/>
                <w:color w:val="auto"/>
                <w:highlight w:val="none"/>
                <w:lang w:eastAsia="zh-CN"/>
              </w:rPr>
              <w:t>供应商</w:t>
            </w:r>
            <w:r>
              <w:rPr>
                <w:rFonts w:hint="eastAsia" w:ascii="Times New Roman" w:hAnsi="Times New Roman" w:cs="Times New Roman"/>
                <w:color w:val="auto"/>
                <w:highlight w:val="none"/>
              </w:rPr>
              <w:t>自负。</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供应商</w:t>
            </w:r>
            <w:r>
              <w:rPr>
                <w:rFonts w:hint="eastAsia" w:ascii="Times New Roman" w:hAnsi="Times New Roman" w:cs="Times New Roman"/>
                <w:color w:val="auto"/>
                <w:highlight w:val="none"/>
              </w:rPr>
              <w:t>未</w:t>
            </w:r>
            <w:r>
              <w:rPr>
                <w:rFonts w:hint="eastAsia" w:ascii="Times New Roman" w:hAnsi="Times New Roman" w:cs="Times New Roman"/>
                <w:color w:val="auto"/>
                <w:highlight w:val="none"/>
                <w:lang w:eastAsia="zh-CN"/>
              </w:rPr>
              <w:t>缴纳谈判</w:t>
            </w:r>
            <w:r>
              <w:rPr>
                <w:rFonts w:hint="eastAsia" w:ascii="Times New Roman" w:hAnsi="Times New Roman" w:cs="Times New Roman"/>
                <w:color w:val="auto"/>
                <w:highlight w:val="none"/>
              </w:rPr>
              <w:t>保证金的，将被</w:t>
            </w:r>
            <w:r>
              <w:rPr>
                <w:rFonts w:hint="eastAsia" w:ascii="Times New Roman" w:hAnsi="Times New Roman" w:cs="Times New Roman"/>
                <w:color w:val="auto"/>
                <w:highlight w:val="none"/>
                <w:lang w:val="en-US" w:eastAsia="zh-CN"/>
              </w:rPr>
              <w:t>定为无效投标</w:t>
            </w:r>
            <w:r>
              <w:rPr>
                <w:rFonts w:hint="eastAsia" w:ascii="Times New Roman" w:hAnsi="Times New Roman" w:cs="Times New Roman"/>
                <w:color w:val="auto"/>
                <w:highlight w:val="none"/>
              </w:rPr>
              <w:t>。</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eastAsia="宋体"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保证金</w:t>
            </w:r>
            <w:r>
              <w:rPr>
                <w:rFonts w:hint="eastAsia" w:ascii="Times New Roman" w:hAnsi="Times New Roman" w:cs="Times New Roman"/>
                <w:color w:val="auto"/>
                <w:highlight w:val="none"/>
                <w:lang w:eastAsia="zh-CN"/>
              </w:rPr>
              <w:t>缴纳</w:t>
            </w:r>
            <w:r>
              <w:rPr>
                <w:rFonts w:hint="eastAsia" w:ascii="Times New Roman" w:hAnsi="Times New Roman" w:cs="Times New Roman"/>
                <w:color w:val="auto"/>
                <w:highlight w:val="none"/>
              </w:rPr>
              <w:t>及确认方式：</w:t>
            </w:r>
            <w:r>
              <w:rPr>
                <w:rFonts w:hint="eastAsia" w:ascii="Times New Roman" w:hAnsi="Times New Roman" w:cs="Times New Roman"/>
                <w:color w:val="auto"/>
                <w:highlight w:val="none"/>
                <w:lang w:eastAsia="zh-CN"/>
              </w:rPr>
              <w:t>谈判</w:t>
            </w:r>
            <w:r>
              <w:rPr>
                <w:rFonts w:hint="eastAsia" w:ascii="Times New Roman" w:hAnsi="Times New Roman" w:cs="Times New Roman"/>
                <w:color w:val="auto"/>
                <w:highlight w:val="none"/>
              </w:rPr>
              <w:t>保证金提交方式为银行电汇或银行转账方式交纳，并从</w:t>
            </w:r>
            <w:r>
              <w:rPr>
                <w:rFonts w:hint="eastAsia" w:ascii="Times New Roman" w:hAnsi="Times New Roman" w:cs="Times New Roman"/>
                <w:color w:val="auto"/>
                <w:highlight w:val="none"/>
                <w:lang w:eastAsia="zh-CN"/>
              </w:rPr>
              <w:t>供应商</w:t>
            </w:r>
            <w:r>
              <w:rPr>
                <w:rFonts w:hint="eastAsia" w:ascii="Times New Roman" w:hAnsi="Times New Roman" w:cs="Times New Roman"/>
                <w:color w:val="auto"/>
                <w:highlight w:val="none"/>
              </w:rPr>
              <w:t>的基本账户转出，并在汇款单或现金交款</w:t>
            </w:r>
            <w:r>
              <w:rPr>
                <w:rFonts w:hint="eastAsia" w:ascii="Times New Roman" w:hAnsi="Times New Roman" w:eastAsia="宋体" w:cs="Times New Roman"/>
                <w:color w:val="auto"/>
                <w:highlight w:val="none"/>
              </w:rPr>
              <w:t>单上注明</w:t>
            </w:r>
            <w:r>
              <w:rPr>
                <w:rFonts w:hint="eastAsia" w:ascii="Times New Roman" w:hAnsi="Times New Roman" w:eastAsia="宋体" w:cs="Times New Roman"/>
                <w:color w:val="auto"/>
                <w:highlight w:val="none"/>
                <w:lang w:eastAsia="zh-CN"/>
              </w:rPr>
              <w:t>谈判</w:t>
            </w:r>
            <w:r>
              <w:rPr>
                <w:rFonts w:hint="eastAsia" w:ascii="Times New Roman" w:hAnsi="Times New Roman" w:eastAsia="宋体" w:cs="Times New Roman"/>
                <w:color w:val="auto"/>
                <w:highlight w:val="none"/>
              </w:rPr>
              <w:t>项目名称。</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val="zh-CN"/>
              </w:rPr>
              <w:t>谈判保证金还可以采用电子保函形式按以下要求办理：</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（1）电子保函按照“一标项一保函”的原则。</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（2）电子保函须在谈判截止时间前办理完成。</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（3）保函的有效期不得少于本项目谈判有效期。</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（4）供应商以电子保函形式缴纳谈判保证金的，应通过“新疆政府采购网电子保函”的模块申请购买。</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Times New Roman" w:hAnsi="Times New Roman" w:cs="Times New Roman"/>
                <w:color w:val="auto"/>
                <w:highlight w:val="none"/>
              </w:rPr>
            </w:pPr>
            <w:r>
              <w:rPr>
                <w:rFonts w:hint="eastAsia" w:ascii="Times New Roman" w:hAnsi="Times New Roman" w:eastAsia="宋体" w:cs="Times New Roman"/>
                <w:color w:val="auto"/>
                <w:highlight w:val="none"/>
                <w:lang w:val="zh-CN"/>
              </w:rPr>
              <w:t>电子担保凭证需作为电子响应文件组成部分在递交响应文件时一并提交。（备注：如采用电子保函形式缴纳的，可在谈判截止之日前通过“供应商工作台金融服务”中在线查看电子保函是否生效。若有任何问题，可以联系政采云金融服务专属客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6"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供应商资格要求</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资格要求：</w:t>
            </w:r>
          </w:p>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1、满足《中华人民共和国政府采购法》第二十二条规定；</w:t>
            </w:r>
          </w:p>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2.落实政府采购政策需满足的资格要求：供应商须为小微企业</w:t>
            </w:r>
          </w:p>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3.本项目的特定资格要求：无</w:t>
            </w:r>
          </w:p>
          <w:p>
            <w:pPr>
              <w:keepNext w:val="0"/>
              <w:keepLines w:val="0"/>
              <w:suppressLineNumbers w:val="0"/>
              <w:spacing w:before="0" w:beforeAutospacing="0" w:after="0" w:afterAutospacing="0"/>
              <w:ind w:left="0" w:leftChars="0" w:right="0" w:firstLine="0" w:firstLineChars="0"/>
              <w:rPr>
                <w:rFonts w:hint="eastAsia" w:ascii="Times New Roman" w:hAnsi="Times New Roman" w:cs="Times New Roman"/>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3"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widowControl/>
              <w:suppressLineNumbers w:val="0"/>
              <w:shd w:val="clear" w:color="auto" w:fill="FFFFFF"/>
              <w:spacing w:before="0" w:beforeAutospacing="0" w:after="0" w:afterAutospacing="0"/>
              <w:ind w:left="0" w:right="0"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谈判报价</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numPr>
                <w:ilvl w:val="0"/>
                <w:numId w:val="0"/>
              </w:numPr>
              <w:suppressLineNumbers w:val="0"/>
              <w:shd w:val="clear" w:color="auto" w:fill="FFFFFF"/>
              <w:tabs>
                <w:tab w:val="left" w:pos="900"/>
              </w:tabs>
              <w:spacing w:before="24" w:beforeLines="10" w:beforeAutospacing="0" w:after="24" w:afterLines="10" w:afterAutospacing="0" w:line="360" w:lineRule="exact"/>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谈判报价：</w:t>
            </w:r>
            <w:r>
              <w:rPr>
                <w:rFonts w:hint="eastAsia" w:ascii="Times New Roman" w:hAnsi="Times New Roman" w:eastAsia="宋体" w:cs="Times New Roman"/>
                <w:color w:val="auto"/>
                <w:highlight w:val="none"/>
                <w:lang w:val="en-US" w:eastAsia="zh-CN"/>
              </w:rPr>
              <w:t>本项目为竞争性谈判，最终报价两轮或两轮以上；</w:t>
            </w:r>
          </w:p>
          <w:p>
            <w:pPr>
              <w:keepNext w:val="0"/>
              <w:keepLines w:val="0"/>
              <w:numPr>
                <w:ilvl w:val="0"/>
                <w:numId w:val="0"/>
              </w:numPr>
              <w:suppressLineNumbers w:val="0"/>
              <w:shd w:val="clear" w:color="auto" w:fill="FFFFFF"/>
              <w:tabs>
                <w:tab w:val="left" w:pos="900"/>
              </w:tabs>
              <w:spacing w:before="24" w:beforeLines="10" w:beforeAutospacing="0" w:after="24" w:afterLines="10" w:afterAutospacing="0" w:line="360" w:lineRule="exact"/>
              <w:ind w:left="0" w:right="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谈判货币：人民币；</w:t>
            </w:r>
          </w:p>
          <w:p>
            <w:pPr>
              <w:keepNext w:val="0"/>
              <w:keepLines w:val="0"/>
              <w:numPr>
                <w:ilvl w:val="0"/>
                <w:numId w:val="0"/>
              </w:numPr>
              <w:suppressLineNumbers w:val="0"/>
              <w:shd w:val="clear" w:color="auto" w:fill="FFFFFF"/>
              <w:tabs>
                <w:tab w:val="left" w:pos="900"/>
              </w:tabs>
              <w:spacing w:before="24" w:beforeLines="10" w:beforeAutospacing="0" w:after="24" w:afterLines="10" w:afterAutospacing="0" w:line="360" w:lineRule="exact"/>
              <w:ind w:left="0" w:right="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、供应商的报价超过本项目的最高限价，按无效谈判处理。</w:t>
            </w:r>
          </w:p>
          <w:p>
            <w:pPr>
              <w:keepNext w:val="0"/>
              <w:keepLines w:val="0"/>
              <w:numPr>
                <w:ilvl w:val="0"/>
                <w:numId w:val="0"/>
              </w:numPr>
              <w:suppressLineNumbers w:val="0"/>
              <w:shd w:val="clear" w:color="auto" w:fill="FFFFFF"/>
              <w:tabs>
                <w:tab w:val="left" w:pos="900"/>
              </w:tabs>
              <w:spacing w:before="24" w:beforeLines="10" w:beforeAutospacing="0" w:after="24" w:afterLines="10" w:afterAutospacing="0" w:line="360" w:lineRule="exact"/>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供应商的报价低于本项目的成本价，按无效谈判处理。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考察现场、标前答疑会</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2"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文件提出质疑的时间</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leftChars="0" w:righ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rPr>
              <w:t>各潜在供应商如有质疑，请于规定的日期内提出，以书面形式提出质疑</w:t>
            </w:r>
            <w:r>
              <w:rPr>
                <w:rFonts w:hint="eastAsia" w:ascii="宋体" w:hAnsi="宋体" w:cs="宋体"/>
                <w:color w:val="auto"/>
                <w:kern w:val="0"/>
                <w:sz w:val="24"/>
                <w:highlight w:val="none"/>
                <w:lang w:val="en-US" w:eastAsia="zh-CN"/>
              </w:rPr>
              <w:t>。</w:t>
            </w:r>
            <w:r>
              <w:rPr>
                <w:rFonts w:hint="eastAsia" w:ascii="宋体" w:hAnsi="宋体" w:eastAsia="宋体" w:cs="宋体"/>
                <w:color w:val="auto"/>
                <w:highlight w:val="none"/>
              </w:rPr>
              <w:t>接受质疑的单位：</w:t>
            </w:r>
            <w:r>
              <w:rPr>
                <w:rFonts w:hint="eastAsia" w:ascii="宋体" w:hAnsi="宋体" w:eastAsia="宋体" w:cs="宋体"/>
                <w:color w:val="auto"/>
                <w:highlight w:val="none"/>
                <w:lang w:val="en-US" w:eastAsia="zh-CN"/>
              </w:rPr>
              <w:t>吐鲁番市行政服务中心（市公共资源交易中心）</w:t>
            </w:r>
          </w:p>
          <w:p>
            <w:pPr>
              <w:keepNext w:val="0"/>
              <w:keepLines w:val="0"/>
              <w:suppressLineNumbers w:val="0"/>
              <w:shd w:val="clear" w:color="auto" w:fill="FFFFFF"/>
              <w:spacing w:before="24" w:beforeLines="10" w:beforeAutospacing="0" w:after="24" w:afterLines="10" w:afterAutospacing="0" w:line="360" w:lineRule="exact"/>
              <w:ind w:left="0" w:right="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lang w:val="en-US" w:eastAsia="zh-CN"/>
              </w:rPr>
              <w:t>地  址: 吐鲁番市丝绸大道4100号</w:t>
            </w:r>
          </w:p>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val="en-US" w:eastAsia="zh-CN"/>
              </w:rPr>
              <w:t xml:space="preserve"> 0995-8520797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的其他文件</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谈判文件的澄清、修改书及有关补充通知为谈判文件的有效组成部分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20</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谈判</w:t>
            </w:r>
            <w:r>
              <w:rPr>
                <w:rFonts w:hint="eastAsia" w:ascii="宋体" w:hAnsi="宋体" w:eastAsia="宋体" w:cs="宋体"/>
                <w:bCs/>
                <w:color w:val="auto"/>
                <w:sz w:val="24"/>
                <w:highlight w:val="none"/>
              </w:rPr>
              <w:t>截止时间</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2023年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lang w:val="en-US" w:eastAsia="zh-CN"/>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lang w:val="en-US" w:eastAsia="zh-CN"/>
              </w:rPr>
              <w:t>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有效期</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90日历天（从谈判截止之日算起）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备选</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方案和报价</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tabs>
                <w:tab w:val="left" w:pos="900"/>
              </w:tabs>
              <w:spacing w:before="24" w:beforeLines="10" w:beforeAutospacing="0" w:after="24" w:afterLines="10" w:afterAutospacing="0" w:line="360" w:lineRule="exact"/>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不接受备选谈判方案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4"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color w:val="auto"/>
                <w:sz w:val="24"/>
                <w:highlight w:val="none"/>
                <w:lang w:eastAsia="zh-CN"/>
              </w:rPr>
            </w:pPr>
            <w:r>
              <w:rPr>
                <w:rFonts w:hint="eastAsia" w:ascii="宋体" w:hAnsi="宋体" w:cs="Times New Roman"/>
                <w:b w:val="0"/>
                <w:i w:val="0"/>
                <w:caps w:val="0"/>
                <w:color w:val="auto"/>
                <w:spacing w:val="0"/>
                <w:w w:val="100"/>
                <w:sz w:val="24"/>
                <w:highlight w:val="none"/>
              </w:rPr>
              <w:t>标前准备</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napToGrid w:val="0"/>
              <w:spacing w:before="0" w:beforeAutospacing="0" w:after="0" w:afterAutospacing="0" w:line="240" w:lineRule="auto"/>
              <w:ind w:left="0" w:leftChars="0" w:right="0" w:firstLine="0" w:firstLineChars="0"/>
              <w:jc w:val="both"/>
              <w:textAlignment w:val="baseline"/>
              <w:rPr>
                <w:rFonts w:hint="eastAsia" w:ascii="宋体" w:hAnsi="宋体" w:cs="宋体"/>
                <w:b w:val="0"/>
                <w:bCs/>
                <w:i w:val="0"/>
                <w:caps w:val="0"/>
                <w:color w:val="auto"/>
                <w:spacing w:val="0"/>
                <w:w w:val="100"/>
                <w:kern w:val="2"/>
                <w:sz w:val="24"/>
                <w:szCs w:val="24"/>
                <w:highlight w:val="none"/>
                <w:lang w:val="en-US" w:eastAsia="zh-CN" w:bidi="ar-SA"/>
              </w:rPr>
            </w:pPr>
            <w:r>
              <w:rPr>
                <w:rFonts w:hint="eastAsia" w:ascii="宋体" w:hAnsi="宋体" w:cs="宋体"/>
                <w:b w:val="0"/>
                <w:bCs/>
                <w:i w:val="0"/>
                <w:caps w:val="0"/>
                <w:color w:val="auto"/>
                <w:spacing w:val="0"/>
                <w:w w:val="100"/>
                <w:kern w:val="2"/>
                <w:sz w:val="24"/>
                <w:szCs w:val="24"/>
                <w:highlight w:val="none"/>
                <w:lang w:val="en-US" w:eastAsia="zh-CN" w:bidi="ar-SA"/>
              </w:rPr>
              <w:t>1、本项目实行网上谈判，采用电子谈判响应文件。若供应商参与谈判，自行承担谈判一切费用。</w:t>
            </w:r>
          </w:p>
          <w:p>
            <w:pPr>
              <w:keepNext w:val="0"/>
              <w:keepLines w:val="0"/>
              <w:suppressLineNumbers w:val="0"/>
              <w:shd w:val="clear" w:color="auto" w:fill="FFFFFF"/>
              <w:snapToGrid w:val="0"/>
              <w:spacing w:before="0" w:beforeAutospacing="0" w:after="0" w:afterAutospacing="0" w:line="240" w:lineRule="auto"/>
              <w:ind w:left="0" w:leftChars="0" w:right="0" w:firstLine="0" w:firstLineChars="0"/>
              <w:jc w:val="both"/>
              <w:textAlignment w:val="baseline"/>
              <w:rPr>
                <w:rFonts w:hint="eastAsia" w:ascii="宋体" w:hAnsi="宋体" w:cs="宋体"/>
                <w:b w:val="0"/>
                <w:bCs/>
                <w:i w:val="0"/>
                <w:caps w:val="0"/>
                <w:color w:val="auto"/>
                <w:spacing w:val="0"/>
                <w:w w:val="100"/>
                <w:kern w:val="2"/>
                <w:sz w:val="24"/>
                <w:szCs w:val="24"/>
                <w:highlight w:val="none"/>
                <w:lang w:val="en-US" w:eastAsia="zh-CN" w:bidi="ar-SA"/>
              </w:rPr>
            </w:pPr>
            <w:r>
              <w:rPr>
                <w:rFonts w:hint="eastAsia" w:ascii="宋体" w:hAnsi="宋体" w:cs="宋体"/>
                <w:b w:val="0"/>
                <w:bCs/>
                <w:i w:val="0"/>
                <w:caps w:val="0"/>
                <w:color w:val="auto"/>
                <w:spacing w:val="0"/>
                <w:w w:val="100"/>
                <w:kern w:val="2"/>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2、各供应商应在开标前应确保成为新疆维吾尔自治区政府采购网正式注册入库供应商，并完成CA数字证书申领。因未注册入库、未办理CA数字证书等原因造成无法谈判或谈判失败等后果由供应商自行承担。</w:t>
            </w:r>
          </w:p>
          <w:p>
            <w:pPr>
              <w:keepNext w:val="0"/>
              <w:keepLines w:val="0"/>
              <w:suppressLineNumbers w:val="0"/>
              <w:shd w:val="clear" w:color="auto" w:fill="FFFFFF"/>
              <w:snapToGrid w:val="0"/>
              <w:spacing w:before="0" w:beforeAutospacing="0" w:after="0" w:afterAutospacing="0" w:line="240" w:lineRule="auto"/>
              <w:ind w:left="0" w:leftChars="0" w:right="0" w:firstLine="0" w:firstLineChars="0"/>
              <w:jc w:val="both"/>
              <w:textAlignment w:val="baseline"/>
              <w:rPr>
                <w:rFonts w:hint="eastAsia" w:ascii="宋体" w:hAnsi="宋体" w:cs="宋体"/>
                <w:b w:val="0"/>
                <w:bCs/>
                <w:i w:val="0"/>
                <w:caps w:val="0"/>
                <w:color w:val="auto"/>
                <w:spacing w:val="0"/>
                <w:w w:val="100"/>
                <w:kern w:val="2"/>
                <w:sz w:val="24"/>
                <w:szCs w:val="24"/>
                <w:highlight w:val="none"/>
                <w:lang w:val="en-US" w:eastAsia="zh-CN" w:bidi="ar-SA"/>
              </w:rPr>
            </w:pPr>
            <w:r>
              <w:rPr>
                <w:rFonts w:hint="eastAsia" w:ascii="宋体" w:hAnsi="宋体" w:cs="宋体"/>
                <w:b w:val="0"/>
                <w:bCs/>
                <w:i w:val="0"/>
                <w:caps w:val="0"/>
                <w:color w:val="auto"/>
                <w:spacing w:val="0"/>
                <w:w w:val="100"/>
                <w:kern w:val="2"/>
                <w:sz w:val="24"/>
                <w:szCs w:val="24"/>
                <w:highlight w:val="none"/>
                <w:lang w:val="en-US" w:eastAsia="zh-CN" w:bidi="ar-SA"/>
              </w:rPr>
              <w:t>3、供应商将政采云电子交易客户端下载、安装完成后，可通过账号密码或CA登录客户端进行谈判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suppressLineNumbers w:val="0"/>
              <w:shd w:val="clear" w:color="auto" w:fill="FFFFFF"/>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color w:val="auto"/>
                <w:kern w:val="0"/>
                <w:sz w:val="24"/>
                <w:highlight w:val="none"/>
                <w:lang w:val="en-US" w:eastAsia="zh-CN"/>
              </w:rPr>
            </w:pPr>
            <w:r>
              <w:rPr>
                <w:rFonts w:hint="eastAsia" w:ascii="宋体" w:hAnsi="宋体" w:cs="宋体"/>
                <w:b w:val="0"/>
                <w:bCs/>
                <w:i w:val="0"/>
                <w:caps w:val="0"/>
                <w:color w:val="auto"/>
                <w:spacing w:val="0"/>
                <w:w w:val="100"/>
                <w:kern w:val="2"/>
                <w:sz w:val="24"/>
                <w:szCs w:val="24"/>
                <w:highlight w:val="none"/>
                <w:lang w:val="en-US" w:eastAsia="zh-CN" w:bidi="ar-SA"/>
              </w:rPr>
              <w:t>4、有意向参与新疆区域电子开评标的供应商，可访问新疆数字证书认证中心官方网站（https://www.xjca.com.cn/）或下载“新疆政务通”APP自行进行申领。如需咨询，请联系新疆CA服务热线0991-2819290。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递交</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的地点</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sz w:val="24"/>
                <w:highlight w:val="none"/>
                <w:lang w:eastAsia="zh-CN"/>
              </w:rPr>
              <w:t>供应商应于</w:t>
            </w:r>
            <w:r>
              <w:rPr>
                <w:rFonts w:hint="eastAsia" w:ascii="宋体" w:hAnsi="宋体" w:eastAsia="宋体" w:cs="宋体"/>
                <w:b w:val="0"/>
                <w:bCs/>
                <w:i w:val="0"/>
                <w:caps w:val="0"/>
                <w:color w:val="auto"/>
                <w:spacing w:val="0"/>
                <w:sz w:val="24"/>
                <w:szCs w:val="24"/>
                <w:highlight w:val="none"/>
                <w:shd w:val="clear" w:color="auto" w:fill="auto"/>
                <w:lang w:val="en-US" w:eastAsia="zh-CN"/>
              </w:rPr>
              <w:t>2023年</w:t>
            </w:r>
            <w:r>
              <w:rPr>
                <w:rFonts w:hint="eastAsia" w:ascii="宋体" w:hAnsi="宋体" w:cs="宋体"/>
                <w:b w:val="0"/>
                <w:bCs/>
                <w:i w:val="0"/>
                <w:caps w:val="0"/>
                <w:color w:val="auto"/>
                <w:spacing w:val="0"/>
                <w:sz w:val="24"/>
                <w:szCs w:val="24"/>
                <w:highlight w:val="none"/>
                <w:shd w:val="clear" w:color="auto" w:fill="auto"/>
                <w:lang w:val="en-US" w:eastAsia="zh-CN"/>
              </w:rPr>
              <w:t>10</w:t>
            </w:r>
            <w:r>
              <w:rPr>
                <w:rFonts w:hint="eastAsia" w:ascii="宋体" w:hAnsi="宋体" w:eastAsia="宋体" w:cs="宋体"/>
                <w:b w:val="0"/>
                <w:bCs/>
                <w:i w:val="0"/>
                <w:caps w:val="0"/>
                <w:color w:val="auto"/>
                <w:spacing w:val="0"/>
                <w:sz w:val="24"/>
                <w:szCs w:val="24"/>
                <w:highlight w:val="none"/>
                <w:shd w:val="clear" w:color="auto" w:fill="auto"/>
                <w:lang w:val="en-US" w:eastAsia="zh-CN"/>
              </w:rPr>
              <w:t>月</w:t>
            </w:r>
            <w:r>
              <w:rPr>
                <w:rFonts w:hint="eastAsia" w:ascii="宋体" w:hAnsi="宋体" w:cs="宋体"/>
                <w:b w:val="0"/>
                <w:bCs/>
                <w:i w:val="0"/>
                <w:caps w:val="0"/>
                <w:color w:val="auto"/>
                <w:spacing w:val="0"/>
                <w:sz w:val="24"/>
                <w:szCs w:val="24"/>
                <w:highlight w:val="none"/>
                <w:shd w:val="clear" w:color="auto" w:fill="auto"/>
                <w:lang w:val="en-US" w:eastAsia="zh-CN"/>
              </w:rPr>
              <w:t>10</w:t>
            </w:r>
            <w:r>
              <w:rPr>
                <w:rFonts w:hint="eastAsia" w:ascii="宋体" w:hAnsi="宋体" w:eastAsia="宋体" w:cs="宋体"/>
                <w:b w:val="0"/>
                <w:bCs/>
                <w:i w:val="0"/>
                <w:caps w:val="0"/>
                <w:color w:val="auto"/>
                <w:spacing w:val="0"/>
                <w:sz w:val="24"/>
                <w:szCs w:val="24"/>
                <w:highlight w:val="none"/>
                <w:shd w:val="clear" w:color="auto" w:fill="auto"/>
                <w:lang w:val="en-US" w:eastAsia="zh-CN"/>
              </w:rPr>
              <w:t>日</w:t>
            </w:r>
            <w:r>
              <w:rPr>
                <w:rFonts w:hint="eastAsia" w:ascii="宋体" w:hAnsi="宋体" w:eastAsia="宋体" w:cs="宋体"/>
                <w:bCs/>
                <w:color w:val="auto"/>
                <w:sz w:val="24"/>
                <w:highlight w:val="none"/>
                <w:shd w:val="clear" w:color="auto" w:fill="auto"/>
                <w:lang w:val="en-US" w:eastAsia="zh-CN"/>
              </w:rPr>
              <w:t>1</w:t>
            </w:r>
            <w:r>
              <w:rPr>
                <w:rFonts w:hint="eastAsia" w:ascii="宋体" w:hAnsi="宋体" w:cs="宋体"/>
                <w:bCs/>
                <w:color w:val="auto"/>
                <w:sz w:val="24"/>
                <w:highlight w:val="none"/>
                <w:shd w:val="clear" w:color="auto" w:fill="auto"/>
                <w:lang w:val="en-US" w:eastAsia="zh-CN"/>
              </w:rPr>
              <w:t>1：</w:t>
            </w:r>
            <w:r>
              <w:rPr>
                <w:rFonts w:hint="eastAsia" w:ascii="宋体" w:hAnsi="宋体" w:eastAsia="宋体" w:cs="宋体"/>
                <w:bCs/>
                <w:color w:val="auto"/>
                <w:sz w:val="24"/>
                <w:highlight w:val="none"/>
                <w:shd w:val="clear" w:color="auto" w:fill="auto"/>
                <w:lang w:val="en-US" w:eastAsia="zh-CN"/>
              </w:rPr>
              <w:t>00</w:t>
            </w:r>
            <w:r>
              <w:rPr>
                <w:rFonts w:hint="eastAsia" w:ascii="宋体" w:hAnsi="宋体" w:eastAsia="宋体" w:cs="宋体"/>
                <w:bCs/>
                <w:color w:val="auto"/>
                <w:sz w:val="24"/>
                <w:highlight w:val="none"/>
                <w:shd w:val="clear" w:color="auto" w:fill="auto"/>
                <w:lang w:eastAsia="zh-CN"/>
              </w:rPr>
              <w:t>时</w:t>
            </w:r>
            <w:r>
              <w:rPr>
                <w:rFonts w:hint="eastAsia" w:ascii="宋体" w:hAnsi="宋体" w:eastAsia="宋体" w:cs="宋体"/>
                <w:bCs/>
                <w:color w:val="auto"/>
                <w:sz w:val="24"/>
                <w:highlight w:val="none"/>
                <w:lang w:eastAsia="zh-CN"/>
              </w:rPr>
              <w:t>整之前将电子谈判响应文件上传到“政采云”平台。应按照本项目谈判文件和政采云平台的要求编制、加密传输谈判响应文件。供应商在使用系统进行谈判的过程中遇到涉及平台使用的任何问题，可致电政采云平台技术支持热线咨询，联系方式：95763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bCs w:val="0"/>
                <w:color w:val="auto"/>
                <w:sz w:val="24"/>
                <w:szCs w:val="24"/>
                <w:highlight w:val="none"/>
                <w:lang w:eastAsia="zh-CN"/>
              </w:rPr>
              <w:t>谈判响应文件解密时间</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bCs w:val="0"/>
                <w:color w:val="auto"/>
                <w:sz w:val="24"/>
                <w:szCs w:val="24"/>
                <w:highlight w:val="none"/>
              </w:rPr>
              <w:t>开标时间后</w:t>
            </w:r>
            <w:r>
              <w:rPr>
                <w:rFonts w:hint="eastAsia" w:ascii="宋体" w:hAnsi="宋体" w:eastAsia="宋体" w:cs="宋体"/>
                <w:b/>
                <w:bCs w:val="0"/>
                <w:color w:val="auto"/>
                <w:sz w:val="24"/>
                <w:szCs w:val="24"/>
                <w:highlight w:val="none"/>
                <w:lang w:val="en-US" w:eastAsia="zh-CN"/>
              </w:rPr>
              <w:t>30分钟</w:t>
            </w:r>
            <w:r>
              <w:rPr>
                <w:rFonts w:hint="eastAsia" w:ascii="宋体" w:hAnsi="宋体" w:eastAsia="宋体" w:cs="宋体"/>
                <w:b/>
                <w:bCs w:val="0"/>
                <w:color w:val="auto"/>
                <w:sz w:val="24"/>
                <w:szCs w:val="24"/>
                <w:highlight w:val="none"/>
              </w:rPr>
              <w:t>内（</w:t>
            </w:r>
            <w:r>
              <w:rPr>
                <w:rFonts w:hint="eastAsia" w:ascii="宋体" w:hAnsi="宋体" w:eastAsia="宋体" w:cs="宋体"/>
                <w:b/>
                <w:bCs w:val="0"/>
                <w:color w:val="auto"/>
                <w:sz w:val="24"/>
                <w:szCs w:val="24"/>
                <w:highlight w:val="none"/>
                <w:lang w:val="en-US" w:eastAsia="zh-CN"/>
              </w:rPr>
              <w:t>2023年</w:t>
            </w:r>
            <w:r>
              <w:rPr>
                <w:rFonts w:hint="eastAsia" w:ascii="宋体" w:hAnsi="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lang w:val="en-US" w:eastAsia="zh-CN"/>
              </w:rPr>
              <w:t>月</w:t>
            </w:r>
            <w:r>
              <w:rPr>
                <w:rFonts w:hint="eastAsia" w:ascii="宋体" w:hAnsi="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lang w:val="en-US" w:eastAsia="zh-CN"/>
              </w:rPr>
              <w:t>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00-1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：30</w:t>
            </w:r>
            <w:r>
              <w:rPr>
                <w:rFonts w:hint="eastAsia" w:ascii="宋体" w:hAnsi="宋体" w:eastAsia="宋体" w:cs="宋体"/>
                <w:b/>
                <w:bCs w:val="0"/>
                <w:color w:val="auto"/>
                <w:sz w:val="24"/>
                <w:szCs w:val="24"/>
                <w:highlight w:val="none"/>
              </w:rPr>
              <w:t>前）供应商可以登录“政采云”平台，用“项目采购-开标评标”功能进行解密</w:t>
            </w:r>
            <w:r>
              <w:rPr>
                <w:rFonts w:hint="eastAsia" w:ascii="宋体" w:hAnsi="宋体" w:eastAsia="宋体" w:cs="宋体"/>
                <w:b/>
                <w:bCs w:val="0"/>
                <w:color w:val="auto"/>
                <w:sz w:val="24"/>
                <w:szCs w:val="24"/>
                <w:highlight w:val="none"/>
                <w:lang w:eastAsia="zh-CN"/>
              </w:rPr>
              <w:t>谈判响应文件</w:t>
            </w:r>
            <w:r>
              <w:rPr>
                <w:rFonts w:hint="eastAsia" w:ascii="宋体" w:hAnsi="宋体" w:eastAsia="宋体" w:cs="宋体"/>
                <w:b/>
                <w:bCs w:val="0"/>
                <w:color w:val="auto"/>
                <w:sz w:val="24"/>
                <w:szCs w:val="24"/>
                <w:highlight w:val="none"/>
              </w:rPr>
              <w:t>。若供应商在规定时间内（</w:t>
            </w:r>
            <w:r>
              <w:rPr>
                <w:rFonts w:hint="eastAsia" w:ascii="宋体" w:hAnsi="宋体" w:eastAsia="宋体" w:cs="宋体"/>
                <w:b/>
                <w:bCs w:val="0"/>
                <w:color w:val="auto"/>
                <w:sz w:val="24"/>
                <w:szCs w:val="24"/>
                <w:highlight w:val="none"/>
                <w:lang w:val="en-US" w:eastAsia="zh-CN"/>
              </w:rPr>
              <w:t>2023年</w:t>
            </w:r>
            <w:r>
              <w:rPr>
                <w:rFonts w:hint="eastAsia" w:ascii="宋体" w:hAnsi="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lang w:val="en-US" w:eastAsia="zh-CN"/>
              </w:rPr>
              <w:t>月</w:t>
            </w:r>
            <w:r>
              <w:rPr>
                <w:rFonts w:hint="eastAsia" w:ascii="宋体" w:hAnsi="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lang w:val="en-US" w:eastAsia="zh-CN"/>
              </w:rPr>
              <w:t>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30</w:t>
            </w:r>
            <w:r>
              <w:rPr>
                <w:rFonts w:hint="eastAsia" w:ascii="宋体" w:hAnsi="宋体" w:eastAsia="宋体" w:cs="宋体"/>
                <w:b/>
                <w:bCs w:val="0"/>
                <w:color w:val="auto"/>
                <w:sz w:val="24"/>
                <w:szCs w:val="24"/>
                <w:highlight w:val="none"/>
              </w:rPr>
              <w:t>前）未按时解密的，视为</w:t>
            </w:r>
            <w:r>
              <w:rPr>
                <w:rFonts w:hint="eastAsia" w:ascii="宋体" w:hAnsi="宋体" w:eastAsia="宋体" w:cs="宋体"/>
                <w:b/>
                <w:bCs w:val="0"/>
                <w:color w:val="auto"/>
                <w:sz w:val="24"/>
                <w:szCs w:val="24"/>
                <w:highlight w:val="none"/>
                <w:lang w:eastAsia="zh-CN"/>
              </w:rPr>
              <w:t>谈判响应文件</w:t>
            </w:r>
            <w:r>
              <w:rPr>
                <w:rFonts w:hint="eastAsia" w:ascii="宋体" w:hAnsi="宋体" w:eastAsia="宋体" w:cs="宋体"/>
                <w:b/>
                <w:bCs w:val="0"/>
                <w:color w:val="auto"/>
                <w:sz w:val="24"/>
                <w:szCs w:val="24"/>
                <w:highlight w:val="none"/>
              </w:rPr>
              <w:t>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评标委员的组建</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240" w:lineRule="auto"/>
              <w:ind w:left="0" w:leftChars="0" w:right="0" w:firstLine="0" w:firstLineChars="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招标采购单位依法组建谈判小组共3人组成，其中采购人代表1人和专家评委2人。</w:t>
            </w:r>
          </w:p>
          <w:p>
            <w:pPr>
              <w:keepNext w:val="0"/>
              <w:keepLines w:val="0"/>
              <w:suppressLineNumbers w:val="0"/>
              <w:shd w:val="clear" w:color="auto" w:fill="FFFFFF"/>
              <w:spacing w:before="0" w:beforeAutospacing="0" w:after="0" w:afterAutospacing="0" w:line="240" w:lineRule="auto"/>
              <w:ind w:left="0" w:leftChars="0" w:right="0" w:firstLine="0" w:firstLineChars="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谈判小组确定方式：</w:t>
            </w:r>
          </w:p>
          <w:p>
            <w:pPr>
              <w:keepNext w:val="0"/>
              <w:keepLines w:val="0"/>
              <w:suppressLineNumbers w:val="0"/>
              <w:shd w:val="clear" w:color="auto" w:fill="FFFFFF"/>
              <w:spacing w:before="0" w:beforeAutospacing="0" w:after="0" w:afterAutospacing="0" w:line="240" w:lineRule="auto"/>
              <w:ind w:left="0" w:leftChars="0" w:right="0" w:firstLine="0" w:firstLineChars="0"/>
              <w:jc w:val="left"/>
              <w:rPr>
                <w:rFonts w:hint="eastAsia" w:ascii="宋体" w:hAnsi="宋体" w:eastAsia="宋体" w:cs="宋体"/>
                <w:color w:val="auto"/>
                <w:kern w:val="0"/>
                <w:sz w:val="24"/>
                <w:highlight w:val="none"/>
                <w:lang w:val="en-US" w:eastAsia="zh-CN"/>
              </w:rPr>
            </w:pPr>
            <w:bookmarkStart w:id="9" w:name="EB183e1b7eab344fbb9e2b6f98661b802c"/>
            <w:r>
              <w:rPr>
                <w:rFonts w:hint="eastAsia" w:ascii="宋体" w:hAnsi="宋体" w:eastAsia="宋体" w:cs="宋体"/>
                <w:color w:val="auto"/>
                <w:kern w:val="0"/>
                <w:sz w:val="24"/>
                <w:highlight w:val="none"/>
                <w:lang w:val="en-US" w:eastAsia="zh-CN"/>
              </w:rPr>
              <w:t>☑政采云采购专家库中随机抽取</w:t>
            </w:r>
          </w:p>
          <w:p>
            <w:pPr>
              <w:keepNext w:val="0"/>
              <w:keepLines w:val="0"/>
              <w:suppressLineNumbers w:val="0"/>
              <w:shd w:val="clear" w:color="auto" w:fill="FFFFFF"/>
              <w:spacing w:before="0" w:beforeAutospacing="0" w:after="0" w:afterAutospacing="0" w:line="240" w:lineRule="auto"/>
              <w:ind w:left="0" w:leftChars="0" w:right="0" w:firstLine="0" w:firstLineChars="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□其他方式：</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240" w:lineRule="auto"/>
              <w:ind w:left="714" w:leftChars="1" w:right="0" w:hanging="712" w:hangingChars="297"/>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sz w:val="24"/>
                <w:highlight w:val="none"/>
              </w:rPr>
              <w:t>开标时间：</w:t>
            </w:r>
            <w:r>
              <w:rPr>
                <w:rFonts w:hint="eastAsia" w:ascii="宋体" w:hAnsi="宋体" w:eastAsia="宋体" w:cs="宋体"/>
                <w:bCs/>
                <w:color w:val="auto"/>
                <w:sz w:val="24"/>
                <w:highlight w:val="none"/>
                <w:lang w:val="en-US" w:eastAsia="zh-CN"/>
              </w:rPr>
              <w:t>2023年</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日1</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：00</w:t>
            </w:r>
            <w:r>
              <w:rPr>
                <w:rFonts w:hint="eastAsia" w:ascii="宋体" w:hAnsi="宋体" w:eastAsia="宋体" w:cs="宋体"/>
                <w:bCs/>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关于运距补充说明</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line="240" w:lineRule="auto"/>
              <w:ind w:left="714" w:leftChars="1" w:right="0" w:hanging="712" w:hangingChars="297"/>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履约保证金金额：合同总价的</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w:t>
            </w:r>
          </w:p>
          <w:p>
            <w:pPr>
              <w:keepNext w:val="0"/>
              <w:keepLines w:val="0"/>
              <w:suppressLineNumbers w:val="0"/>
              <w:shd w:val="clear" w:color="auto" w:fill="FFFFFF"/>
              <w:spacing w:before="0" w:beforeAutospacing="0" w:after="0" w:afterAutospacing="0" w:line="240" w:lineRule="auto"/>
              <w:ind w:left="714" w:leftChars="1" w:right="0" w:hanging="712" w:hangingChars="297"/>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履约保证金形式：电汇、转账</w:t>
            </w:r>
          </w:p>
          <w:p>
            <w:pPr>
              <w:keepNext w:val="0"/>
              <w:keepLines w:val="0"/>
              <w:suppressLineNumbers w:val="0"/>
              <w:shd w:val="clear" w:color="auto" w:fill="FFFFFF"/>
              <w:spacing w:before="0" w:beforeAutospacing="0" w:after="0" w:afterAutospacing="0" w:line="240" w:lineRule="auto"/>
              <w:ind w:left="714" w:leftChars="1" w:right="0" w:hanging="712" w:hangingChars="297"/>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sz w:val="24"/>
                <w:highlight w:val="none"/>
              </w:rPr>
              <w:t>提交履约保证金的时间：签订合同后</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3"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低价认定</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pageBreakBefore w:val="0"/>
              <w:widowControl/>
              <w:suppressLineNumbers w:val="0"/>
              <w:shd w:val="clear" w:color="auto" w:fill="FFFFFF"/>
              <w:tabs>
                <w:tab w:val="left" w:pos="9214"/>
              </w:tabs>
              <w:kinsoku/>
              <w:wordWrap/>
              <w:overflowPunct/>
              <w:topLinePunct w:val="0"/>
              <w:autoSpaceDE/>
              <w:autoSpaceDN/>
              <w:bidi w:val="0"/>
              <w:adjustRightInd w:val="0"/>
              <w:snapToGrid/>
              <w:spacing w:before="0" w:beforeAutospacing="0" w:after="120" w:afterAutospacing="0" w:line="380" w:lineRule="atLeast"/>
              <w:ind w:left="0" w:leftChars="0" w:right="-57" w:rightChars="0" w:firstLine="0" w:firstLineChars="0"/>
              <w:jc w:val="both"/>
              <w:textAlignment w:val="bottom"/>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bidi="ar-SA"/>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谈判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1" w:hRule="atLeast"/>
          <w:jc w:val="center"/>
        </w:trPr>
        <w:tc>
          <w:tcPr>
            <w:tcW w:w="621" w:type="dxa"/>
            <w:tcBorders>
              <w:top w:val="single" w:color="FBDFE4" w:sz="4"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p>
        </w:tc>
        <w:tc>
          <w:tcPr>
            <w:tcW w:w="1661" w:type="dxa"/>
            <w:tcBorders>
              <w:top w:val="single" w:color="FBDFE4" w:sz="4"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利害关系供应商处理</w:t>
            </w:r>
          </w:p>
        </w:tc>
        <w:tc>
          <w:tcPr>
            <w:tcW w:w="7797" w:type="dxa"/>
            <w:tcBorders>
              <w:top w:val="single" w:color="FBDFE4" w:sz="4"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谈判响应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2</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其他说明</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numPr>
                <w:ilvl w:val="0"/>
                <w:numId w:val="0"/>
              </w:numPr>
              <w:suppressLineNumbers w:val="0"/>
              <w:shd w:val="clear" w:color="auto" w:fill="FFFFFF"/>
              <w:spacing w:before="0" w:beforeAutospacing="0" w:after="0" w:afterAutospacing="0"/>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sz w:val="24"/>
                <w:szCs w:val="24"/>
                <w:highlight w:val="none"/>
                <w:lang w:val="en-US" w:eastAsia="zh-CN"/>
              </w:rPr>
              <w:t>本次中标单位不得转包转卖此次合同，如被发现转包转卖合同将废除此次中标资格，并上报监管部门追究责任。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88"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3</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val="en-US" w:eastAsia="zh-CN"/>
              </w:rPr>
              <w:t>补充内容</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right="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特别提醒：</w:t>
            </w:r>
          </w:p>
          <w:p>
            <w:pPr>
              <w:keepNext w:val="0"/>
              <w:keepLines w:val="0"/>
              <w:suppressLineNumbers w:val="0"/>
              <w:shd w:val="clear" w:color="auto" w:fill="FFFFFF"/>
              <w:spacing w:before="0" w:beforeAutospacing="0" w:after="0" w:afterAutospacing="0"/>
              <w:ind w:left="0"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1、所有供应商的报价高于采购最高限价视为无效报价（即作否决谈判处理）。</w:t>
            </w:r>
          </w:p>
          <w:p>
            <w:pPr>
              <w:keepNext w:val="0"/>
              <w:keepLines w:val="0"/>
              <w:suppressLineNumbers w:val="0"/>
              <w:shd w:val="clear" w:color="auto" w:fill="FFFFFF"/>
              <w:spacing w:before="0" w:beforeAutospacing="0" w:after="0" w:afterAutospacing="0"/>
              <w:ind w:left="0" w:right="0"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供应商的报价明显低于其他通过符合性审查其他谈判报价或者在设有标底时明显低于标底，使得其谈判报价可能低于其个别成本的，有可能影响产品质量或者不能诚信履约的，应当要求其在评标现场合理的时间内该供应商作出书面说明并提供相应证明材料。供应商不能合理或者不能提供相应证明材料的，由谈判小组认定该供应商以低于成本报价竞标，其谈判视为无效标处理。</w:t>
            </w:r>
          </w:p>
          <w:p>
            <w:pPr>
              <w:keepNext w:val="0"/>
              <w:keepLines w:val="0"/>
              <w:suppressLineNumbers w:val="0"/>
              <w:shd w:val="clear" w:color="auto" w:fill="FFFFFF"/>
              <w:spacing w:before="0" w:beforeAutospacing="0" w:after="0" w:afterAutospacing="0"/>
              <w:ind w:left="0"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3、更正补充公告请自行登录新疆政府采购网查看下载。</w:t>
            </w:r>
          </w:p>
          <w:p>
            <w:pPr>
              <w:keepNext w:val="0"/>
              <w:keepLines w:val="0"/>
              <w:suppressLineNumbers w:val="0"/>
              <w:shd w:val="clear" w:color="auto" w:fill="FFFFFF"/>
              <w:spacing w:before="0" w:beforeAutospacing="0" w:after="0" w:afterAutospacing="0"/>
              <w:ind w:left="0"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谈判响应文件中有弄虚作假的内容，其谈判响应文件作废（如假证书、假业绩、隐瞒不良行为记录、夸大荣誉、使用非本单位在职员工的相关证件及不符合谈判文件规定的条款等）；在签订合同之前，供应商如发现供应商的谈判响应文件有弄虚作假内容，招标人可拒绝与其签订合同。并将其列入政府采购黑名单库。</w:t>
            </w:r>
          </w:p>
          <w:p>
            <w:pPr>
              <w:keepNext w:val="0"/>
              <w:keepLines w:val="0"/>
              <w:suppressLineNumbers w:val="0"/>
              <w:shd w:val="clear" w:color="auto" w:fill="FFFFFF"/>
              <w:spacing w:before="0" w:beforeAutospacing="0" w:after="0" w:afterAutospacing="0"/>
              <w:ind w:left="0" w:right="0"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5、谈判供应商制作谈判响应文件的CA锁必须和开标解密的CA锁为同一把锁，在解密过程中因为CA锁不同而导致解密失败的，由谈判供应商自行承担。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5"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4</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pageBreakBefore w:val="0"/>
              <w:numPr>
                <w:ilvl w:val="0"/>
                <w:numId w:val="0"/>
              </w:numPr>
              <w:suppressLineNumbers w:val="0"/>
              <w:shd w:val="clear" w:color="auto" w:fill="FFFFFF"/>
              <w:kinsoku/>
              <w:wordWrap/>
              <w:overflowPunct/>
              <w:topLinePunct w:val="0"/>
              <w:bidi w:val="0"/>
              <w:spacing w:before="0" w:beforeAutospacing="0" w:after="0" w:afterAutospacing="0" w:line="400" w:lineRule="exact"/>
              <w:ind w:left="0" w:leftChars="0" w:right="0"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落实政府采购政策需满足的资格要求</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pageBreakBefore w:val="0"/>
              <w:numPr>
                <w:ilvl w:val="0"/>
                <w:numId w:val="0"/>
              </w:numPr>
              <w:suppressLineNumbers w:val="0"/>
              <w:shd w:val="clear" w:color="auto" w:fill="FFFFFF"/>
              <w:kinsoku/>
              <w:wordWrap/>
              <w:overflowPunct/>
              <w:topLinePunct w:val="0"/>
              <w:bidi w:val="0"/>
              <w:spacing w:before="0" w:beforeAutospacing="0" w:after="0" w:afterAutospacing="0" w:line="400" w:lineRule="exact"/>
              <w:ind w:left="0" w:leftChars="0" w:right="0"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参加本项目的谈判企业须提供《中小企业声明函》，未提供的不视为中小微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keepNext w:val="0"/>
              <w:keepLines w:val="0"/>
              <w:pageBreakBefore w:val="0"/>
              <w:numPr>
                <w:ilvl w:val="0"/>
                <w:numId w:val="0"/>
              </w:numPr>
              <w:suppressLineNumbers w:val="0"/>
              <w:shd w:val="clear" w:color="auto" w:fill="FFFFFF"/>
              <w:kinsoku/>
              <w:wordWrap/>
              <w:overflowPunct/>
              <w:topLinePunct w:val="0"/>
              <w:bidi w:val="0"/>
              <w:spacing w:before="0" w:beforeAutospacing="0" w:after="0" w:afterAutospacing="0" w:line="400" w:lineRule="exact"/>
              <w:ind w:left="0" w:leftChars="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2.中小企业适用的行业为：工业（制造业），各行业划型标准以“关于落实好政府采购中小企业发展的通知”新财政【2022】22号文为准。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621" w:type="dxa"/>
            <w:tcBorders>
              <w:top w:val="single" w:color="FBDFE4" w:sz="6" w:space="0"/>
              <w:left w:val="single" w:color="FFFFFF" w:sz="12" w:space="0"/>
              <w:bottom w:val="single" w:color="FBDFE4" w:sz="4"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w:t>
            </w:r>
          </w:p>
        </w:tc>
        <w:tc>
          <w:tcPr>
            <w:tcW w:w="1661" w:type="dxa"/>
            <w:tcBorders>
              <w:top w:val="single" w:color="FBDFE4" w:sz="6" w:space="0"/>
              <w:left w:val="single" w:color="FFFFFF" w:sz="6" w:space="0"/>
              <w:bottom w:val="single" w:color="FBDFE4" w:sz="4"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leftChars="0" w:right="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7797" w:type="dxa"/>
            <w:tcBorders>
              <w:top w:val="single" w:color="FBDFE4" w:sz="6" w:space="0"/>
              <w:left w:val="single" w:color="FBDFE4" w:sz="4" w:space="0"/>
              <w:bottom w:val="single" w:color="FBDFE4" w:sz="4"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leftChars="0" w:right="0" w:firstLine="0" w:firstLineChars="0"/>
              <w:rPr>
                <w:rFonts w:hint="default" w:ascii="仿宋" w:hAnsi="仿宋" w:eastAsia="仿宋" w:cs="仿宋"/>
                <w:color w:val="auto"/>
                <w:kern w:val="2"/>
                <w:sz w:val="24"/>
                <w:szCs w:val="24"/>
                <w:highlight w:val="none"/>
                <w:lang w:val="en-US" w:eastAsia="zh-CN" w:bidi="ar-SA"/>
              </w:rPr>
            </w:pPr>
            <w:r>
              <w:rPr>
                <w:rFonts w:hint="eastAsia" w:ascii="宋体" w:hAnsi="宋体" w:eastAsia="宋体" w:cs="宋体"/>
                <w:color w:val="auto"/>
                <w:highlight w:val="none"/>
                <w:lang w:val="en-US" w:eastAsia="zh-CN"/>
              </w:rPr>
              <w:t>不收取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3" w:hRule="atLeast"/>
          <w:jc w:val="center"/>
        </w:trPr>
        <w:tc>
          <w:tcPr>
            <w:tcW w:w="621" w:type="dxa"/>
            <w:tcBorders>
              <w:top w:val="single" w:color="FBDFE4" w:sz="6" w:space="0"/>
              <w:left w:val="single" w:color="FFFFFF" w:sz="12" w:space="0"/>
              <w:bottom w:val="single" w:color="FBDFE4" w:sz="6" w:space="0"/>
              <w:right w:val="single" w:color="FFFFFF" w:sz="6" w:space="0"/>
            </w:tcBorders>
            <w:shd w:val="clear" w:color="auto" w:fill="FFFFFF"/>
            <w:noWrap w:val="0"/>
            <w:vAlign w:val="center"/>
          </w:tcPr>
          <w:p>
            <w:pPr>
              <w:keepNext w:val="0"/>
              <w:keepLines w:val="0"/>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6</w:t>
            </w:r>
          </w:p>
        </w:tc>
        <w:tc>
          <w:tcPr>
            <w:tcW w:w="1661" w:type="dxa"/>
            <w:tcBorders>
              <w:top w:val="single" w:color="FBDFE4" w:sz="6" w:space="0"/>
              <w:left w:val="single" w:color="FFFFFF" w:sz="6" w:space="0"/>
              <w:bottom w:val="single" w:color="FBDFE4" w:sz="6" w:space="0"/>
              <w:right w:val="single" w:color="FBDFE4" w:sz="4"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leftChars="0" w:right="0" w:firstLine="0" w:firstLineChars="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核心产品</w:t>
            </w:r>
          </w:p>
        </w:tc>
        <w:tc>
          <w:tcPr>
            <w:tcW w:w="7797" w:type="dxa"/>
            <w:tcBorders>
              <w:top w:val="single" w:color="FBDFE4" w:sz="6" w:space="0"/>
              <w:left w:val="single" w:color="FBDFE4" w:sz="4" w:space="0"/>
              <w:bottom w:val="single" w:color="FBDFE4" w:sz="6" w:space="0"/>
              <w:right w:val="single" w:color="FBDFE4" w:sz="12"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硬盘录像机、监控</w:t>
            </w:r>
            <w:r>
              <w:rPr>
                <w:rFonts w:hint="eastAsia" w:ascii="Times New Roman" w:hAnsi="Times New Roman" w:cs="Times New Roman"/>
                <w:color w:val="auto"/>
                <w:highlight w:val="none"/>
                <w:lang w:val="en-US" w:eastAsia="zh-CN"/>
              </w:rPr>
              <w:t>摄像机</w:t>
            </w:r>
            <w:r>
              <w:rPr>
                <w:rFonts w:hint="eastAsia" w:ascii="Times New Roman" w:hAnsi="Times New Roman" w:cs="Times New Roman"/>
                <w:color w:val="auto"/>
                <w:highlight w:val="none"/>
                <w:lang w:eastAsia="zh-CN"/>
              </w:rPr>
              <w:t>、交换机</w:t>
            </w:r>
            <w:r>
              <w:rPr>
                <w:rFonts w:hint="eastAsia" w:ascii="宋体" w:hAnsi="宋体" w:cs="宋体"/>
                <w:color w:val="auto"/>
                <w:highlight w:val="none"/>
              </w:rPr>
              <w:t>。提供相同品牌核心产品且通过资格审查、符合性审查的不同投标人参加同一合同项下投标的，按1家投标人计算，报价最低的同品牌供应商获得成交人推荐资格；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jc w:val="center"/>
        </w:trPr>
        <w:tc>
          <w:tcPr>
            <w:tcW w:w="10079" w:type="dxa"/>
            <w:gridSpan w:val="3"/>
            <w:tcBorders>
              <w:top w:val="single" w:color="FBDFE4" w:sz="6" w:space="0"/>
              <w:left w:val="single" w:color="FFFFFF" w:sz="12" w:space="0"/>
              <w:bottom w:val="single" w:color="EC6881" w:sz="12" w:space="0"/>
              <w:right w:val="single" w:color="FFFFFF" w:sz="12" w:space="0"/>
            </w:tcBorders>
            <w:shd w:val="clear" w:color="auto" w:fill="FFFFFF"/>
            <w:noWrap w:val="0"/>
            <w:vAlign w:val="center"/>
          </w:tcPr>
          <w:p>
            <w:pPr>
              <w:keepNext w:val="0"/>
              <w:keepLines w:val="0"/>
              <w:suppressLineNumbers w:val="0"/>
              <w:shd w:val="clear" w:color="auto" w:fill="FFFFFF"/>
              <w:spacing w:before="0" w:beforeAutospacing="0" w:after="0" w:afterAutospacing="0"/>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pStyle w:val="5"/>
        <w:pageBreakBefore w:val="0"/>
        <w:numPr>
          <w:ilvl w:val="0"/>
          <w:numId w:val="0"/>
        </w:numPr>
        <w:shd w:val="clear" w:color="auto" w:fill="FFFFFF"/>
        <w:kinsoku/>
        <w:wordWrap/>
        <w:overflowPunct/>
        <w:topLinePunct w:val="0"/>
        <w:autoSpaceDE/>
        <w:autoSpaceDN/>
        <w:bidi w:val="0"/>
        <w:snapToGrid/>
        <w:spacing w:line="360" w:lineRule="auto"/>
        <w:ind w:leftChars="0"/>
        <w:jc w:val="center"/>
        <w:textAlignment w:val="auto"/>
        <w:outlineLvl w:val="0"/>
        <w:rPr>
          <w:rFonts w:hint="eastAsia" w:ascii="宋体" w:hAnsi="宋体" w:eastAsia="宋体" w:cs="宋体"/>
          <w:b/>
          <w:bCs w:val="0"/>
          <w:color w:val="auto"/>
          <w:sz w:val="36"/>
          <w:szCs w:val="36"/>
          <w:lang w:eastAsia="zh-CN"/>
        </w:rPr>
      </w:pPr>
      <w:bookmarkStart w:id="10" w:name="_Toc13215"/>
      <w:bookmarkStart w:id="11" w:name="_Toc18344"/>
      <w:r>
        <w:rPr>
          <w:rFonts w:hint="eastAsia" w:ascii="宋体" w:hAnsi="宋体" w:eastAsia="宋体" w:cs="宋体"/>
          <w:b/>
          <w:bCs/>
          <w:color w:val="auto"/>
          <w:sz w:val="24"/>
          <w:szCs w:val="24"/>
          <w:lang w:val="en-US" w:eastAsia="zh-CN"/>
        </w:rPr>
        <w:t>备注：如谈判文件中前后不一致时，请以前付须知表为准。</w:t>
      </w:r>
      <w:r>
        <w:rPr>
          <w:rFonts w:hint="eastAsia" w:ascii="宋体" w:hAnsi="宋体" w:eastAsia="宋体" w:cs="宋体"/>
          <w:color w:val="auto"/>
          <w:sz w:val="44"/>
          <w:szCs w:val="44"/>
          <w:lang w:eastAsia="zh-CN"/>
        </w:rPr>
        <w:br w:type="page"/>
      </w:r>
      <w:bookmarkEnd w:id="10"/>
      <w:bookmarkEnd w:id="11"/>
      <w:r>
        <w:rPr>
          <w:rFonts w:hint="eastAsia" w:ascii="宋体" w:hAnsi="宋体" w:eastAsia="宋体" w:cs="宋体"/>
          <w:b/>
          <w:bCs w:val="0"/>
          <w:color w:val="auto"/>
          <w:sz w:val="36"/>
          <w:szCs w:val="36"/>
          <w:lang w:val="en-US" w:eastAsia="zh-CN"/>
        </w:rPr>
        <w:t>说明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一、说明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1.1本采购文件适用于本次竞争性谈判采购项目的招标</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2.定义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2.1“采购人”名称见本采购文件第二部分“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2.2“招标代理机构”名称见本采购文件第二部分“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w:t>
      </w:r>
      <w:r>
        <w:rPr>
          <w:rFonts w:hint="eastAsia" w:ascii="宋体" w:hAnsi="宋体" w:cs="宋体"/>
          <w:color w:val="auto"/>
          <w:kern w:val="0"/>
          <w:sz w:val="24"/>
          <w:szCs w:val="24"/>
          <w:highlight w:val="none"/>
          <w:lang w:eastAsia="zh-CN"/>
        </w:rPr>
        <w:t>采购货物</w:t>
      </w:r>
      <w:r>
        <w:rPr>
          <w:rFonts w:hint="eastAsia" w:ascii="宋体" w:hAnsi="宋体" w:cs="宋体"/>
          <w:color w:val="auto"/>
          <w:kern w:val="0"/>
          <w:sz w:val="24"/>
          <w:szCs w:val="24"/>
          <w:highlight w:val="none"/>
        </w:rPr>
        <w:t>”指采购文件第三部分所述所有货物；“服务”指采购文件第三部分所述</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应该履行的承诺和义务。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2.4“潜在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”指符合采购文件各项规定的供应商。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”指符合采购文件规定并参加</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的供应商。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公章”在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中指与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标准公章一致的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电子签章。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w:t>
      </w:r>
      <w:r>
        <w:rPr>
          <w:rFonts w:hint="eastAsia" w:ascii="宋体" w:hAnsi="宋体" w:eastAsia="宋体" w:cs="Times New Roman"/>
          <w:color w:val="auto"/>
          <w:sz w:val="24"/>
          <w:szCs w:val="24"/>
          <w:highlight w:val="none"/>
        </w:rPr>
        <w:t>“电子</w:t>
      </w:r>
      <w:r>
        <w:rPr>
          <w:rFonts w:hint="eastAsia" w:ascii="宋体" w:hAnsi="宋体" w:eastAsia="宋体" w:cs="Times New Roman"/>
          <w:color w:val="auto"/>
          <w:sz w:val="24"/>
          <w:szCs w:val="24"/>
          <w:highlight w:val="none"/>
          <w:lang w:eastAsia="zh-CN"/>
        </w:rPr>
        <w:t>谈判响应文件</w:t>
      </w:r>
      <w:r>
        <w:rPr>
          <w:rFonts w:hint="eastAsia" w:ascii="宋体" w:hAnsi="宋体" w:eastAsia="宋体" w:cs="Times New Roman"/>
          <w:color w:val="auto"/>
          <w:sz w:val="24"/>
          <w:szCs w:val="24"/>
          <w:highlight w:val="none"/>
        </w:rPr>
        <w:t>”指利用</w:t>
      </w:r>
      <w:r>
        <w:rPr>
          <w:rFonts w:hint="eastAsia" w:ascii="宋体" w:hAnsi="宋体" w:eastAsia="宋体" w:cs="Times New Roman"/>
          <w:color w:val="auto"/>
          <w:sz w:val="24"/>
          <w:szCs w:val="24"/>
          <w:highlight w:val="none"/>
          <w:lang w:val="en-US" w:eastAsia="zh-CN"/>
        </w:rPr>
        <w:t>政采云</w:t>
      </w:r>
      <w:r>
        <w:rPr>
          <w:rFonts w:hint="eastAsia" w:ascii="宋体" w:hAnsi="宋体" w:eastAsia="宋体" w:cs="Times New Roman"/>
          <w:color w:val="auto"/>
          <w:sz w:val="24"/>
          <w:szCs w:val="24"/>
          <w:highlight w:val="none"/>
        </w:rPr>
        <w:t>平台提供的“政采云电子交易客户端”进行</w:t>
      </w:r>
      <w:r>
        <w:rPr>
          <w:rFonts w:hint="eastAsia" w:ascii="宋体" w:hAnsi="宋体" w:eastAsia="宋体" w:cs="Times New Roman"/>
          <w:color w:val="auto"/>
          <w:sz w:val="24"/>
          <w:szCs w:val="24"/>
          <w:highlight w:val="none"/>
          <w:lang w:eastAsia="zh-CN"/>
        </w:rPr>
        <w:t>谈判响应文件</w:t>
      </w:r>
      <w:r>
        <w:rPr>
          <w:rFonts w:hint="eastAsia" w:ascii="宋体" w:hAnsi="宋体" w:eastAsia="宋体" w:cs="Times New Roman"/>
          <w:color w:val="auto"/>
          <w:sz w:val="24"/>
          <w:szCs w:val="24"/>
          <w:highlight w:val="none"/>
        </w:rPr>
        <w:t>制作。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3.合格</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3.1具有本项目生产、制造、供应或实施能力，符合、承认并承诺履行本文件各项规定的国内法人、其他组织或自然人均可参加</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3.2遵守有关的国家法律、法规和条例，具备《中华人民共和国政府采购法》和本文件中规定的条件：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7)具有本采购文件第二部分“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须知前附表”中规定的资格条件。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之间如果存在下列情形之一的，不得同时参加同一包（标段）或者不分包（标段）的同一项目</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3.3.1法定代表人为同一个人的两个及两个以上法人；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3.3.2母公司、全资子公司及其控股公司；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3.3.3参加</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的其他组织之间存在特殊的利害关系的；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3.3.4法律和行政法规规定的其他情形。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3.4</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在符合该招标（采购）公告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资格要求条件的前提下，可于本公告发布之日起登陆新疆政府采购网（http://www.ccgp-xinjiang.gov.cn/）进入“项目采购”栏目，在获取采购文件菜单中选择所要</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的项目（包段），申请获取（自行下载）采购文件</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按时足额交纳</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不得与采购人、招标代理机构等有利害关系。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应承担所有与准备和参加</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有关的费用。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5.纪律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行为应遵守中国的有关法律、法规和规章。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不得相互串通</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报价，不得妨碍其他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的公平竞争，不得损害采购人或其他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的合法权益，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不得以向采购人、谈判小组成员行贿或者采取其他不正当手段谋取中标。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5.2.1有下列情形之一的，属于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相互串通</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之间协商</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报价等</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的实质性内容；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之间约定中标人；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5.2.1.3</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之间约定部分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放弃</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或者中标；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5.2.1.4属于同一集团、协会、商会等组织成员的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按照该组织要求协同投标；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5.2.1.5</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之间为谋取中标或者排斥特定</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而采取的其他联合行动。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5.2.2有下列情形之一的，视为</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相互串通投标：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5.2.2.1不同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由同一单位或者个人编制；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5.2.2.2不同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委托同一单位或者个人办理</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事宜，或制作电子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的文件制作机器码（mac地址）一致，或制作电子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的文件创建标识码一致；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5.2.2.3不同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载明的项目管理成员为同一人；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5.2.2.4不同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异常一致或者</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报价呈规律性差异；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5.2.2.5不同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相互混装；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5.2.2.6不同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保证金从同一单位或者个人的账户转出。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6.1对与本项目有关的通知，招标代理机构将以书面（包括书面材料、信函、传真等，下同）或在本次竞争性谈判采购公告刊登的媒体上发布公告并在新疆政府采购网发送变更通知及/或答疑文件的形式，向潜在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发出，传真和电话号码以潜在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的登记为准。收到通知的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须立即予以回复确认，但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未回复或招标代理机构未收到回复时，并不应当被理解为招标代理机构知道或应当知道</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是否收到通知。因登记有误、传真线路故障或其它任何意外情形，导致所发出的通知延迟送达或无法到达</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，招标代理机构不因此承担任何责任，有关的招标活动可以继续有效地进行。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二、采购文件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7.采购文件组成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7.1采购文件由采购文件目录所列内容组成。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8.踏勘现场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8.1本项目是否统一组织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踏勘现场见采购文件第二部分“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须知前附表”中的规定。无论是否统一组织，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应对供货现场和周围环境进行勘察，以获取编制</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所需的资料。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8.2踏勘现场所发生的费用由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自行承担。采购人向</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提供的有关供货现场的资料和数据，是采购人现有的能使</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利用的资料。采购人对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由此而做出的推论、理解和结论概不负责。</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未到供货现场实地踏勘的，中标后签订合同时和履约过程中，不得以不完全了解现场情况为由，提出任何形式的增加合同价款或索赔的要求。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8.3除非有特殊要求，采购文件不单独提供供货使用地的自然环境、气候条件、公用设施等情况，</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被视为熟悉上述与履行合同有关的一切情况。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8.4除采购人原因外，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9.知识产权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须保证，采购人在中华人民共和国境内使用</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货物、资料、技术、服务或其任何一部分时，享有不受限制的无偿使用权，不会产生因第三方提出侵犯其专利权、商标权或其它知识产权而引起的法律或经济纠纷。如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不拥有相应的知识产权，则在</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报价中必须包括合法获取该知识产权的一切相关费用。如因此导致采购人损失的，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须承担全部赔偿责任。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如欲在项目实施过程中采用自有知识成果，须在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中声明，并提供相关知识产权证明文件。使用该知识成果后，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须提供开发接口和开发手册等技术文档。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10.答疑及采购文件的澄清和修改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如果对采购文件有疑问或要求进行澄清的，应按照采购文件第二部分“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须知前附表”规定向招标代理机构提出。提出后，请</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及时通过</w:t>
      </w:r>
      <w:r>
        <w:rPr>
          <w:rFonts w:hint="eastAsia" w:ascii="宋体" w:hAnsi="宋体" w:cs="宋体"/>
          <w:color w:val="auto"/>
          <w:kern w:val="0"/>
          <w:sz w:val="24"/>
          <w:szCs w:val="24"/>
          <w:highlight w:val="none"/>
          <w:lang w:val="en-US" w:eastAsia="zh-CN"/>
        </w:rPr>
        <w:t>政采云平台</w:t>
      </w:r>
      <w:r>
        <w:rPr>
          <w:rFonts w:hint="eastAsia" w:ascii="宋体" w:hAnsi="宋体" w:cs="宋体"/>
          <w:color w:val="auto"/>
          <w:kern w:val="0"/>
          <w:sz w:val="24"/>
          <w:szCs w:val="24"/>
          <w:highlight w:val="none"/>
        </w:rPr>
        <w:t>查看答疑文件或澄清文件。必要时，采购机构将组织相关专家召开答疑会，如召开，答疑会安排另行通知。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在规定的时间内未对采购文件提出疑问或要求澄清的，采购机构将视其为同意，对在“答疑接受时间”后就采购文件内容提出的疑问及澄清要求将不予受理。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10.2无论出于何种原因，招标代理机构主动或出于解答</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疑问对已发出的采购文件进行必要澄清或修改的，应当在采购文件要求提交</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截止时间</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日前，以当面交接、邮寄、传真或电子邮件、网站披露等其中至少一种方式，向潜在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发出澄清、修改的补充文件。需要为此调整</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提交截止时间的，应当重新确定，并就变更后的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截止时间重新发出通知。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特殊情况下，采购机构发布澄清、修改文件后，征得</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同意，可不改变</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截止时间和开标时间。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10.3采购机构一旦对采购文件作出了澄清、修改，即刻发生效力，采购机构有关的补充文件，将作为采购文件的组成部分，对所有现实的或潜在的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均具有约束力，而无论是否已经实际收到上述文件。同时，采购机构和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的权利及义务将受到新的截止期的约束。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10.4采购机构对采购文件作出的澄清、修改在</w:t>
      </w:r>
      <w:r>
        <w:rPr>
          <w:rFonts w:hint="eastAsia" w:ascii="宋体" w:hAnsi="宋体"/>
          <w:color w:val="auto"/>
          <w:sz w:val="24"/>
          <w:szCs w:val="24"/>
          <w:highlight w:val="none"/>
        </w:rPr>
        <w:t>新疆政府采购网（http://www.ccgp-xinjiang.gov.cn/）</w:t>
      </w:r>
      <w:r>
        <w:rPr>
          <w:rFonts w:hint="eastAsia" w:ascii="宋体" w:hAnsi="宋体" w:cs="宋体"/>
          <w:color w:val="auto"/>
          <w:kern w:val="0"/>
          <w:sz w:val="24"/>
          <w:szCs w:val="24"/>
          <w:highlight w:val="none"/>
        </w:rPr>
        <w:t>内进行披露，请</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及时关注并获取相关资料。因登记有误、线路故障或其它任何意外情形，导致</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未及时获取的，采购机构不因此承担任何责任，且有关的招标活动继续有效地进行。当采购文件的澄清、修改及进行其他答复等就同一内容的表述不一致时，以最后发布的内容为准。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上述澄清、修改在交易平台上发布的同时，交易平台将通过第三方短信群发方式提醒</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进行查询。此短信仅系友情提示，并不具有任何约束性和必要性，采购机构不承担</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未收到短信而引起的一切后果和法律责任。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10.5澄清、修改文件发出后，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必须使用最新的答疑、澄清文件制作电子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，否则将无法完成上传。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三、</w:t>
      </w:r>
      <w:r>
        <w:rPr>
          <w:rFonts w:hint="eastAsia" w:ascii="宋体" w:hAnsi="宋体" w:cs="宋体"/>
          <w:color w:val="auto"/>
          <w:kern w:val="0"/>
          <w:sz w:val="24"/>
          <w:szCs w:val="24"/>
          <w:highlight w:val="none"/>
          <w:lang w:eastAsia="zh-CN"/>
        </w:rPr>
        <w:t>谈判响应文件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的语言及计量单位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提交的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（包括技术文件和资料、图纸中的说明）以及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与招标代理机构就有关</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的所有来往函电均应使用中文简体字。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11.2原版为外文的证书类文件，以及由外国人作出的本人签名、外国公司的名称或外国印章等可以是外文，但应当提供中文翻译文件并加盖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公章。必要时谈判小组可以要求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提供附有公证书的中文翻译文件或者与原版文件签章相一致的中文翻译文件。原版为外文的证书类、证明类文件，与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名称或其他实际情况不符的，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应当提供相关证明文件。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11.3除非采购文件另有规定，</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所使用的计量单位，应使用国家法定计量单位。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11.4对违反上述规定情形的，谈判小组有权要求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限期提供相应文件或决定对其</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11.5电报、电话、传真形式的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概不接受。</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一律不予退还。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组成及编制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12.1</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分为资格审查和符合性审查资料、商务文件、技术文件和服务文件。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商务文件指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提交的证明其有资格参加</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和中标后有能力履行合同的文件。技术和服务文件指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提交的能够证明其提供的货物及服务符合采购文件规定的文件。本次招标，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须按采购文件第二部分“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须知前附表”中的规定提交资格审查资料、商务文件、技术文件和服务文件，其中加☆项目若有缺失或无效，将导致</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被拒绝且不允许在开标后补正。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递交的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及相关要求按照采购文件第二部分“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须知前附表”中的规定。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12.2.1电子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的编制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12.2.1.1电子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使用</w:t>
      </w:r>
      <w:r>
        <w:rPr>
          <w:rFonts w:hint="eastAsia" w:ascii="宋体" w:hAnsi="宋体" w:cs="宋体"/>
          <w:color w:val="auto"/>
          <w:kern w:val="0"/>
          <w:sz w:val="24"/>
          <w:szCs w:val="24"/>
          <w:highlight w:val="none"/>
          <w:lang w:eastAsia="zh-CN"/>
        </w:rPr>
        <w:t>新疆政府采购网</w:t>
      </w:r>
      <w:r>
        <w:rPr>
          <w:rFonts w:hint="eastAsia" w:ascii="宋体" w:hAnsi="宋体" w:cs="宋体"/>
          <w:color w:val="auto"/>
          <w:kern w:val="0"/>
          <w:sz w:val="24"/>
          <w:szCs w:val="24"/>
          <w:highlight w:val="none"/>
        </w:rPr>
        <w:t>提供的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制作工具以及采购文件要求进行制作编制。</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制作时，不同内容按标签提示制作导入，按照采购文件中明确的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 xml:space="preserve">目录和格式进行编制，保证目录清晰、内容完整。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12.2.1.2电子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须使用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公章的电子签章以及法定代表人的电子签章。若无电子签章，则视为无效</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12.2.1.3电子招</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具有法律效力，与其他形式的招</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在内容和格式上等同，若</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与采购文件要求不一致，其内容影响中标结果时，责任由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递交的电子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自身原因而导致无法导入电子辅助评标系统，该</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视为无效</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，将导致其</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被拒绝。</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color w:val="auto"/>
          <w:sz w:val="24"/>
          <w:szCs w:val="24"/>
        </w:rPr>
      </w:pPr>
      <w:r>
        <w:rPr>
          <w:rFonts w:hint="eastAsia" w:ascii="宋体" w:hAnsi="宋体" w:eastAsia="宋体" w:cs="宋体"/>
          <w:b/>
          <w:bCs/>
          <w:color w:val="auto"/>
          <w:sz w:val="24"/>
          <w:szCs w:val="24"/>
        </w:rPr>
        <w:t>注：电子</w:t>
      </w:r>
      <w:r>
        <w:rPr>
          <w:rFonts w:hint="eastAsia" w:ascii="宋体" w:hAnsi="宋体" w:eastAsia="宋体" w:cs="宋体"/>
          <w:b/>
          <w:bCs/>
          <w:color w:val="auto"/>
          <w:sz w:val="24"/>
          <w:szCs w:val="24"/>
          <w:lang w:eastAsia="zh-CN"/>
        </w:rPr>
        <w:t>谈判响应文件</w:t>
      </w:r>
      <w:r>
        <w:rPr>
          <w:rFonts w:hint="eastAsia" w:ascii="宋体" w:hAnsi="宋体" w:eastAsia="宋体" w:cs="宋体"/>
          <w:b/>
          <w:bCs/>
          <w:color w:val="auto"/>
          <w:sz w:val="24"/>
          <w:szCs w:val="24"/>
        </w:rPr>
        <w:t>按政采云平台供应商电子招投标操作指南。建议根据</w:t>
      </w:r>
      <w:r>
        <w:rPr>
          <w:rFonts w:hint="eastAsia" w:ascii="宋体" w:hAnsi="宋体" w:eastAsia="宋体" w:cs="宋体"/>
          <w:b/>
          <w:bCs/>
          <w:color w:val="auto"/>
          <w:sz w:val="24"/>
          <w:szCs w:val="24"/>
          <w:lang w:eastAsia="zh-CN"/>
        </w:rPr>
        <w:t>谈判文件</w:t>
      </w:r>
      <w:r>
        <w:rPr>
          <w:rFonts w:hint="eastAsia" w:ascii="宋体" w:hAnsi="宋体" w:eastAsia="宋体" w:cs="宋体"/>
          <w:b/>
          <w:bCs/>
          <w:color w:val="auto"/>
          <w:sz w:val="24"/>
          <w:szCs w:val="24"/>
        </w:rPr>
        <w:t>合格供应商的资格要求、</w:t>
      </w:r>
      <w:r>
        <w:rPr>
          <w:rFonts w:hint="eastAsia" w:ascii="宋体" w:hAnsi="宋体" w:eastAsia="宋体" w:cs="宋体"/>
          <w:b/>
          <w:bCs/>
          <w:color w:val="auto"/>
          <w:sz w:val="24"/>
          <w:szCs w:val="24"/>
          <w:lang w:eastAsia="zh-CN"/>
        </w:rPr>
        <w:t>谈判响应文件</w:t>
      </w:r>
      <w:r>
        <w:rPr>
          <w:rFonts w:hint="eastAsia" w:ascii="宋体" w:hAnsi="宋体" w:eastAsia="宋体" w:cs="宋体"/>
          <w:b/>
          <w:bCs/>
          <w:color w:val="auto"/>
          <w:sz w:val="24"/>
          <w:szCs w:val="24"/>
        </w:rPr>
        <w:t>的编制及</w:t>
      </w:r>
      <w:r>
        <w:rPr>
          <w:rFonts w:hint="eastAsia" w:ascii="宋体" w:hAnsi="宋体" w:eastAsia="宋体" w:cs="宋体"/>
          <w:b/>
          <w:bCs/>
          <w:color w:val="auto"/>
          <w:sz w:val="24"/>
          <w:szCs w:val="24"/>
          <w:lang w:val="en-US" w:eastAsia="zh-CN"/>
        </w:rPr>
        <w:t>资格评审、响应性评审</w:t>
      </w:r>
      <w:r>
        <w:rPr>
          <w:rFonts w:hint="eastAsia" w:ascii="宋体" w:hAnsi="宋体" w:eastAsia="宋体" w:cs="宋体"/>
          <w:b/>
          <w:bCs/>
          <w:color w:val="auto"/>
          <w:sz w:val="24"/>
          <w:szCs w:val="24"/>
        </w:rPr>
        <w:t>等内容一一关联</w:t>
      </w:r>
      <w:r>
        <w:rPr>
          <w:rFonts w:hint="eastAsia" w:ascii="宋体" w:hAnsi="宋体" w:eastAsia="宋体" w:cs="宋体"/>
          <w:b/>
          <w:bCs/>
          <w:color w:val="auto"/>
          <w:sz w:val="24"/>
          <w:szCs w:val="24"/>
          <w:lang w:eastAsia="zh-CN"/>
        </w:rPr>
        <w:t>谈判响应文件</w:t>
      </w:r>
      <w:r>
        <w:rPr>
          <w:rFonts w:hint="eastAsia" w:ascii="宋体" w:hAnsi="宋体" w:eastAsia="宋体" w:cs="宋体"/>
          <w:b/>
          <w:bCs/>
          <w:color w:val="auto"/>
          <w:sz w:val="24"/>
          <w:szCs w:val="24"/>
        </w:rPr>
        <w:t>按统一格式、顺序编写。</w:t>
      </w: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13.1所有</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投报多包的，须对每包分别制作</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并报价。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13.3除非采购文件另有规定，不接受可选择或可调整的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方案，任何有选择的或可调整的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方案将被视为非响应性</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而被拒绝。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13.4本项目是否接受进口产品按照采购文件第二部分“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须知前附表中”中的规定。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13.5本项目是否允许</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将项目的非主体、非关键性工作交由他人完成按照采购文件第二部分“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须知前附表”中的规定。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须严格按照报价明细表规定的内容填写货物单价以及其他事项。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报价若有说明应在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中显著处注明。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除政策性文件规定以外，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所报价格在合同实施期间不因市场变化因素而变动。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13.8对于有配件、耗材、选件、备件和特殊工具的货物，还应填报</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货物配件、耗材、选件表和备件及特殊工具清单，注明品牌、型号、产地、功能、单价、批量折扣等内容，该表格格式由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自行设计。</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按照上述要求分类报价，其目的是便于评标，但在任何情况下并不限制采购人以其他条款签订合同的权利。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13.9最低报价不能作为中标的保证。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有效期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14.1本项目的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有效期按照采购文件第二部分“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须知前附表中”中的规定。</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有效期自开标之日起计算，短于规定期限的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将按无效</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处理。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14.2在特殊情况下，招标代理机构可与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协商延长</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有效期。这种要求和答复都应以书面形式进行。此时，规定的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保证金的有效期也相应延长。</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可以拒绝接受延期要求而不会被没收保证金。同意延长有效期的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除按照招标代理机构要求修改</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有效期外，不能修改</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的其他内容。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内容填写说明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应详细阅读采购文件的全部内容。</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须对采购文件中的内容作出实质性和完整的响应，如果</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填报的内容不详，或没有提供采购文件中所要求的全部资料及数据，将可能导致</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被拒绝。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15.2</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须严格按照采购文件第六部分规定的格式提交，并按规定的统一格式逐项填写，不准有空项；无相应内容可填的项，应填写“无”、“未测试”、“没有相应指标”等明确的回答文字。由于编排混乱导致</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被误读或查找不到，其责任由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承担。</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未按规定提交或留有空项，将被视为不完整响应的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有可能被拒绝。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15.3报价一览表为在开标仪式上唱标的内容，要求按格式统一填写，不得自行增减内容。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15.4</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须注意：为合理节约政府采购评审成本，提倡诚实信用的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行为，特别要求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应本着诚信精神，在本次</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的偏离表中，均以审慎的态度明确、清楚地披露各项偏离。若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没有在偏离表中明确、清楚地披露的事项，包括可能属于被</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在偏离表中遗漏披露的事项，一旦在评审中被发现存在偏离或被认定为属于偏离，则谈判小组有权视具体情形评审时予以处理，乃至对该</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15.5</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必须保证</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所提供的全部资料真实可靠，并接受招标代理机构或谈判小组对其中任何资料进一步审查的要求。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处理。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 xml:space="preserve">保证金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须知前附表”中的规定交纳。</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保证金须于到账截止时间前到帐，并经招标代理机构确认。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16.2未按要求提交</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保证金的，将被视为无效</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16.3未中标的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保证金在中标通知书发出之日起5个工作日内退还；中标人的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保证金将在交纳履约保证金并于合同生效后5个工作日内退还。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16.4</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保证金退还一律采用网上银行转帐方式退还至</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的汇款帐户，资金原路返回。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16.5如开标时</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对本单位</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保证金缴纳情况有疑义，</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应在开标结束前向招标人提交书面申请核实保证金缴纳情况。由银行或保险公司核实后出具书面材料予以答复。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16.6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保证金按协议执行，无需办理退款手续</w:t>
      </w:r>
      <w:r>
        <w:rPr>
          <w:rFonts w:hint="eastAsia" w:ascii="宋体" w:hAnsi="宋体" w:cs="宋体"/>
          <w:color w:val="auto"/>
          <w:kern w:val="0"/>
          <w:sz w:val="24"/>
          <w:szCs w:val="24"/>
          <w:highlight w:val="none"/>
          <w:lang w:eastAsia="zh-CN"/>
        </w:rPr>
        <w:t>（如有）</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bookmarkStart w:id="12" w:name="_Toc17821"/>
      <w:r>
        <w:rPr>
          <w:rFonts w:hint="eastAsia" w:ascii="宋体" w:hAnsi="宋体" w:cs="宋体"/>
          <w:color w:val="auto"/>
          <w:kern w:val="0"/>
          <w:sz w:val="24"/>
          <w:szCs w:val="24"/>
          <w:highlight w:val="none"/>
        </w:rPr>
        <w:t>五、</w:t>
      </w:r>
      <w:bookmarkEnd w:id="12"/>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的签署、递交、准备和解密时间要求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bookmarkStart w:id="13" w:name="_Toc521014784"/>
      <w:bookmarkStart w:id="14" w:name="_Toc4584"/>
      <w:bookmarkStart w:id="15" w:name="_Toc503212216"/>
      <w:bookmarkStart w:id="16" w:name="_Toc25982"/>
      <w:bookmarkStart w:id="17" w:name="_Toc27912"/>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的签署和</w:t>
      </w:r>
      <w:bookmarkEnd w:id="13"/>
      <w:bookmarkEnd w:id="14"/>
      <w:bookmarkEnd w:id="15"/>
      <w:bookmarkEnd w:id="16"/>
      <w:r>
        <w:rPr>
          <w:rFonts w:hint="eastAsia" w:ascii="宋体" w:hAnsi="宋体" w:cs="宋体"/>
          <w:color w:val="auto"/>
          <w:kern w:val="0"/>
          <w:sz w:val="24"/>
          <w:szCs w:val="24"/>
          <w:highlight w:val="none"/>
          <w:lang w:eastAsia="zh-CN"/>
        </w:rPr>
        <w:t>递交</w:t>
      </w:r>
      <w:bookmarkEnd w:id="1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17.1 </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应通过电子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制作工具严格按</w:t>
      </w:r>
      <w:r>
        <w:rPr>
          <w:rFonts w:hint="eastAsia" w:ascii="宋体" w:hAnsi="宋体" w:cs="宋体"/>
          <w:color w:val="auto"/>
          <w:kern w:val="0"/>
          <w:sz w:val="24"/>
          <w:szCs w:val="24"/>
          <w:highlight w:val="none"/>
          <w:lang w:eastAsia="zh-CN"/>
        </w:rPr>
        <w:t>谈判文件</w:t>
      </w:r>
      <w:r>
        <w:rPr>
          <w:rFonts w:hint="eastAsia" w:ascii="宋体" w:hAnsi="宋体" w:cs="宋体"/>
          <w:color w:val="auto"/>
          <w:kern w:val="0"/>
          <w:sz w:val="24"/>
          <w:szCs w:val="24"/>
          <w:highlight w:val="none"/>
        </w:rPr>
        <w:t>要求制作</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，在</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截止时间前完成上传经过数字证书电子签章并加密的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（加密和解密须用同一把数字证书）。</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截止时间前，可以对其所递交的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进行修改并重新上传，但以</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截止时间前最后一次上传的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为有效</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截止时间以</w:t>
      </w:r>
      <w:r>
        <w:rPr>
          <w:rFonts w:hint="eastAsia" w:ascii="宋体" w:hAnsi="宋体" w:cs="宋体"/>
          <w:color w:val="auto"/>
          <w:kern w:val="0"/>
          <w:sz w:val="24"/>
          <w:szCs w:val="24"/>
          <w:highlight w:val="none"/>
          <w:lang w:val="en-US" w:eastAsia="zh-CN"/>
        </w:rPr>
        <w:t>政采云</w:t>
      </w:r>
      <w:r>
        <w:rPr>
          <w:rFonts w:hint="eastAsia" w:ascii="宋体" w:hAnsi="宋体" w:cs="宋体"/>
          <w:color w:val="auto"/>
          <w:kern w:val="0"/>
          <w:sz w:val="24"/>
          <w:szCs w:val="24"/>
          <w:highlight w:val="none"/>
        </w:rPr>
        <w:t>平台显示的时间为准，逾期系统将自动关闭，未完成上传的</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视为逾期送达，将被拒绝。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 xml:space="preserve">17.2 </w:t>
      </w:r>
      <w:r>
        <w:rPr>
          <w:rFonts w:hint="eastAsia" w:ascii="宋体" w:hAnsi="宋体" w:cs="宋体"/>
          <w:b/>
          <w:bCs/>
          <w:color w:val="auto"/>
          <w:kern w:val="0"/>
          <w:sz w:val="24"/>
          <w:szCs w:val="24"/>
          <w:highlight w:val="none"/>
          <w:lang w:eastAsia="zh-CN"/>
        </w:rPr>
        <w:t>供应商</w:t>
      </w:r>
      <w:r>
        <w:rPr>
          <w:rFonts w:hint="eastAsia" w:ascii="宋体" w:hAnsi="宋体" w:cs="宋体"/>
          <w:b/>
          <w:bCs/>
          <w:color w:val="auto"/>
          <w:kern w:val="0"/>
          <w:sz w:val="24"/>
          <w:szCs w:val="24"/>
          <w:highlight w:val="none"/>
        </w:rPr>
        <w:t>应于</w:t>
      </w:r>
      <w:r>
        <w:rPr>
          <w:rFonts w:hint="eastAsia" w:ascii="宋体" w:hAnsi="宋体" w:cs="宋体"/>
          <w:b/>
          <w:bCs/>
          <w:color w:val="auto"/>
          <w:kern w:val="0"/>
          <w:sz w:val="24"/>
          <w:szCs w:val="24"/>
          <w:highlight w:val="none"/>
          <w:lang w:val="en-US" w:eastAsia="zh-CN"/>
        </w:rPr>
        <w:t>2023年10月10日11：00</w:t>
      </w:r>
      <w:r>
        <w:rPr>
          <w:rFonts w:hint="eastAsia" w:ascii="宋体" w:hAnsi="宋体" w:cs="宋体"/>
          <w:b/>
          <w:bCs/>
          <w:color w:val="auto"/>
          <w:kern w:val="0"/>
          <w:sz w:val="24"/>
          <w:szCs w:val="24"/>
          <w:highlight w:val="none"/>
        </w:rPr>
        <w:t>之前</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供应商须自行考虑网络延迟风险提前上传）</w:t>
      </w:r>
      <w:r>
        <w:rPr>
          <w:rFonts w:hint="eastAsia" w:ascii="宋体" w:hAnsi="宋体" w:cs="宋体"/>
          <w:b/>
          <w:bCs/>
          <w:color w:val="auto"/>
          <w:kern w:val="0"/>
          <w:sz w:val="24"/>
          <w:szCs w:val="24"/>
          <w:highlight w:val="none"/>
        </w:rPr>
        <w:t>将电子</w:t>
      </w:r>
      <w:r>
        <w:rPr>
          <w:rFonts w:hint="eastAsia" w:ascii="宋体" w:hAnsi="宋体" w:cs="宋体"/>
          <w:b/>
          <w:bCs/>
          <w:color w:val="auto"/>
          <w:kern w:val="0"/>
          <w:sz w:val="24"/>
          <w:szCs w:val="24"/>
          <w:highlight w:val="none"/>
          <w:lang w:eastAsia="zh-CN"/>
        </w:rPr>
        <w:t>谈判响应文件</w:t>
      </w:r>
      <w:r>
        <w:rPr>
          <w:rFonts w:hint="eastAsia" w:ascii="宋体" w:hAnsi="宋体" w:cs="宋体"/>
          <w:b/>
          <w:bCs/>
          <w:color w:val="auto"/>
          <w:kern w:val="0"/>
          <w:sz w:val="24"/>
          <w:szCs w:val="24"/>
          <w:highlight w:val="none"/>
        </w:rPr>
        <w:t>上传到“政采云”平台。应按照本项目</w:t>
      </w:r>
      <w:r>
        <w:rPr>
          <w:rFonts w:hint="eastAsia" w:ascii="宋体" w:hAnsi="宋体" w:cs="宋体"/>
          <w:b/>
          <w:bCs/>
          <w:color w:val="auto"/>
          <w:kern w:val="0"/>
          <w:sz w:val="24"/>
          <w:szCs w:val="24"/>
          <w:highlight w:val="none"/>
          <w:lang w:eastAsia="zh-CN"/>
        </w:rPr>
        <w:t>谈判文件</w:t>
      </w:r>
      <w:r>
        <w:rPr>
          <w:rFonts w:hint="eastAsia" w:ascii="宋体" w:hAnsi="宋体" w:cs="宋体"/>
          <w:b/>
          <w:bCs/>
          <w:color w:val="auto"/>
          <w:kern w:val="0"/>
          <w:sz w:val="24"/>
          <w:szCs w:val="24"/>
          <w:highlight w:val="none"/>
        </w:rPr>
        <w:t>和政采云平台的要求编制、加密传输</w:t>
      </w:r>
      <w:r>
        <w:rPr>
          <w:rFonts w:hint="eastAsia" w:ascii="宋体" w:hAnsi="宋体" w:cs="宋体"/>
          <w:b/>
          <w:bCs/>
          <w:color w:val="auto"/>
          <w:kern w:val="0"/>
          <w:sz w:val="24"/>
          <w:szCs w:val="24"/>
          <w:highlight w:val="none"/>
          <w:lang w:eastAsia="zh-CN"/>
        </w:rPr>
        <w:t>谈判响应文件</w:t>
      </w:r>
      <w:r>
        <w:rPr>
          <w:rFonts w:hint="eastAsia" w:ascii="宋体" w:hAnsi="宋体" w:cs="宋体"/>
          <w:b/>
          <w:bCs/>
          <w:color w:val="auto"/>
          <w:kern w:val="0"/>
          <w:sz w:val="24"/>
          <w:szCs w:val="24"/>
          <w:highlight w:val="none"/>
        </w:rPr>
        <w:t>。供应商在使用系统进行</w:t>
      </w:r>
      <w:r>
        <w:rPr>
          <w:rFonts w:hint="eastAsia" w:ascii="宋体" w:hAnsi="宋体" w:cs="宋体"/>
          <w:b/>
          <w:bCs/>
          <w:color w:val="auto"/>
          <w:kern w:val="0"/>
          <w:sz w:val="24"/>
          <w:szCs w:val="24"/>
          <w:highlight w:val="none"/>
          <w:lang w:eastAsia="zh-CN"/>
        </w:rPr>
        <w:t>谈判</w:t>
      </w:r>
      <w:r>
        <w:rPr>
          <w:rFonts w:hint="eastAsia" w:ascii="宋体" w:hAnsi="宋体" w:cs="宋体"/>
          <w:b/>
          <w:bCs/>
          <w:color w:val="auto"/>
          <w:kern w:val="0"/>
          <w:sz w:val="24"/>
          <w:szCs w:val="24"/>
          <w:highlight w:val="none"/>
        </w:rPr>
        <w:t>的过程中遇到涉及平台使用的任何问题，可致电政采云平台技术支持热线咨询，联系方式：</w:t>
      </w:r>
      <w:r>
        <w:rPr>
          <w:rFonts w:hint="eastAsia" w:ascii="宋体" w:hAnsi="宋体" w:cs="宋体"/>
          <w:b/>
          <w:bCs/>
          <w:color w:val="auto"/>
          <w:kern w:val="0"/>
          <w:sz w:val="24"/>
          <w:szCs w:val="24"/>
          <w:highlight w:val="none"/>
          <w:lang w:eastAsia="zh-CN"/>
        </w:rPr>
        <w:t>95763</w:t>
      </w:r>
      <w:r>
        <w:rPr>
          <w:rFonts w:hint="eastAsia" w:ascii="宋体" w:hAnsi="宋体" w:cs="宋体"/>
          <w:b/>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须由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在规定位置盖章并由法定代表人或法定代表人的授权委托人签署，</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应写全称。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17.4</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不得涂改，若有修改错漏处，须加盖单位公章或者法定代表人或授权委托人签字或盖章。</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因字迹潦草或表达不清所引起的后果由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负责。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17.5</w:t>
      </w:r>
      <w:r>
        <w:rPr>
          <w:rFonts w:hint="eastAsia" w:ascii="宋体" w:hAnsi="宋体" w:cs="宋体"/>
          <w:color w:val="auto"/>
          <w:kern w:val="0"/>
          <w:sz w:val="24"/>
          <w:szCs w:val="24"/>
          <w:highlight w:val="none"/>
        </w:rPr>
        <w:t>本项目采用不见面开标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w:t>
      </w:r>
      <w:bookmarkStart w:id="18" w:name="_Toc8715"/>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w:t>
      </w:r>
      <w:bookmarkEnd w:id="18"/>
      <w:r>
        <w:rPr>
          <w:rFonts w:hint="eastAsia" w:ascii="宋体" w:hAnsi="宋体" w:cs="宋体"/>
          <w:color w:val="auto"/>
          <w:kern w:val="0"/>
          <w:sz w:val="24"/>
          <w:szCs w:val="24"/>
          <w:highlight w:val="none"/>
          <w:lang w:val="en-US" w:eastAsia="zh-CN"/>
        </w:rPr>
        <w:t>递交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本项目实行网上</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，采用电子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。若供应商参与</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，自行承担</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一切费用。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各供应商应在开标前应确保成为新疆维吾尔自治区政府采购网正式注册入库供应商，并完成CA数字证书申领。因未注册入库、未办理CA数字证书等原因造成无法</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或</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失败等后果由供应商自行承担。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本项目为电子招投标，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供应商将政采云电子交易客户端下载、安装完成后，可通过账号密码或CA登录客户端进行</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制作。在使用政采云投标客户端时，建议使用WIN7及以上操作系统。客户端请至新疆政府采购网（</w:t>
      </w:r>
      <w:r>
        <w:rPr>
          <w:rFonts w:hint="eastAsia" w:ascii="仿宋" w:hAnsi="仿宋" w:eastAsia="仿宋" w:cs="仿宋"/>
          <w:kern w:val="0"/>
          <w:sz w:val="24"/>
          <w:szCs w:val="24"/>
          <w:highlight w:val="none"/>
          <w:lang w:bidi="ar"/>
        </w:rPr>
        <w:t>https://www.zcygov.cn/</w:t>
      </w:r>
      <w:r>
        <w:rPr>
          <w:rFonts w:hint="eastAsia" w:ascii="宋体" w:hAnsi="宋体" w:cs="宋体"/>
          <w:color w:val="auto"/>
          <w:kern w:val="0"/>
          <w:sz w:val="24"/>
          <w:szCs w:val="24"/>
          <w:highlight w:val="none"/>
        </w:rPr>
        <w:t>）下载专区查看，如有问题可拨打政采云客户服务热线</w:t>
      </w:r>
      <w:r>
        <w:rPr>
          <w:rFonts w:hint="eastAsia" w:ascii="宋体" w:hAnsi="宋体" w:cs="宋体"/>
          <w:color w:val="auto"/>
          <w:kern w:val="0"/>
          <w:sz w:val="24"/>
          <w:szCs w:val="24"/>
          <w:highlight w:val="none"/>
          <w:lang w:eastAsia="zh-CN"/>
        </w:rPr>
        <w:t>95763</w:t>
      </w:r>
      <w:r>
        <w:rPr>
          <w:rFonts w:hint="eastAsia" w:ascii="宋体" w:hAnsi="宋体" w:cs="宋体"/>
          <w:color w:val="auto"/>
          <w:kern w:val="0"/>
          <w:sz w:val="24"/>
          <w:szCs w:val="24"/>
          <w:highlight w:val="none"/>
        </w:rPr>
        <w:t>进行咨询。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color w:val="auto"/>
          <w:kern w:val="0"/>
          <w:sz w:val="24"/>
          <w:szCs w:val="24"/>
          <w:highlight w:val="red"/>
        </w:rPr>
      </w:pPr>
      <w:r>
        <w:rPr>
          <w:rFonts w:hint="eastAsia" w:ascii="宋体" w:hAnsi="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8.5</w:t>
      </w:r>
      <w:r>
        <w:rPr>
          <w:rFonts w:hint="eastAsia" w:ascii="宋体" w:hAnsi="宋体" w:cs="宋体"/>
          <w:b/>
          <w:bCs/>
          <w:color w:val="auto"/>
          <w:kern w:val="0"/>
          <w:sz w:val="24"/>
          <w:szCs w:val="24"/>
          <w:highlight w:val="none"/>
        </w:rPr>
        <w:t>开标时间后</w:t>
      </w:r>
      <w:r>
        <w:rPr>
          <w:rFonts w:hint="eastAsia" w:ascii="宋体" w:hAnsi="宋体" w:cs="宋体"/>
          <w:b/>
          <w:bCs/>
          <w:color w:val="auto"/>
          <w:kern w:val="0"/>
          <w:sz w:val="24"/>
          <w:szCs w:val="24"/>
          <w:highlight w:val="none"/>
          <w:lang w:val="en-US" w:eastAsia="zh-CN"/>
        </w:rPr>
        <w:t>30</w:t>
      </w:r>
      <w:r>
        <w:rPr>
          <w:rFonts w:hint="eastAsia" w:ascii="宋体" w:hAnsi="宋体" w:cs="宋体"/>
          <w:b/>
          <w:bCs/>
          <w:color w:val="auto"/>
          <w:kern w:val="0"/>
          <w:sz w:val="24"/>
          <w:szCs w:val="24"/>
          <w:highlight w:val="none"/>
        </w:rPr>
        <w:t>分钟内供应商可以登录“政采云”平台，用“项目采购-开标评标”功能进行解密</w:t>
      </w:r>
      <w:r>
        <w:rPr>
          <w:rFonts w:hint="eastAsia" w:ascii="宋体" w:hAnsi="宋体" w:cs="宋体"/>
          <w:b/>
          <w:bCs/>
          <w:color w:val="auto"/>
          <w:kern w:val="0"/>
          <w:sz w:val="24"/>
          <w:szCs w:val="24"/>
          <w:highlight w:val="none"/>
          <w:lang w:eastAsia="zh-CN"/>
        </w:rPr>
        <w:t>谈判响应文件</w:t>
      </w:r>
      <w:r>
        <w:rPr>
          <w:rFonts w:hint="eastAsia" w:ascii="宋体" w:hAnsi="宋体" w:cs="宋体"/>
          <w:b/>
          <w:bCs/>
          <w:color w:val="auto"/>
          <w:kern w:val="0"/>
          <w:sz w:val="24"/>
          <w:szCs w:val="24"/>
          <w:highlight w:val="none"/>
        </w:rPr>
        <w:t>。若供应商在规定时间内未按时解密的，视为</w:t>
      </w:r>
      <w:r>
        <w:rPr>
          <w:rFonts w:hint="eastAsia" w:ascii="宋体" w:hAnsi="宋体" w:cs="宋体"/>
          <w:b/>
          <w:bCs/>
          <w:color w:val="auto"/>
          <w:kern w:val="0"/>
          <w:sz w:val="24"/>
          <w:szCs w:val="24"/>
          <w:highlight w:val="none"/>
          <w:lang w:eastAsia="zh-CN"/>
        </w:rPr>
        <w:t>谈判响应文件</w:t>
      </w:r>
      <w:r>
        <w:rPr>
          <w:rFonts w:hint="eastAsia" w:ascii="宋体" w:hAnsi="宋体" w:cs="宋体"/>
          <w:b/>
          <w:bCs/>
          <w:color w:val="auto"/>
          <w:kern w:val="0"/>
          <w:sz w:val="24"/>
          <w:szCs w:val="24"/>
          <w:highlight w:val="none"/>
        </w:rPr>
        <w:t>撤回。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18.6</w:t>
      </w:r>
      <w:r>
        <w:rPr>
          <w:rFonts w:hint="eastAsia" w:ascii="宋体" w:hAnsi="宋体" w:cs="宋体"/>
          <w:color w:val="auto"/>
          <w:kern w:val="0"/>
          <w:sz w:val="24"/>
          <w:szCs w:val="24"/>
          <w:highlight w:val="none"/>
        </w:rPr>
        <w:t>因系统（非</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供应商行为）的原因，造成</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18.7</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未按规定上传的，视为其自动放弃</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的修改和撤回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19.1  </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在递交</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后，可以修改或撤回其投标，但这种修改和撤回，必须在规定的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截止时间前。在</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截止时间后，</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不得要求修改或撤回其</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 xml:space="preserve">19.2 </w:t>
      </w:r>
      <w:r>
        <w:rPr>
          <w:rFonts w:hint="eastAsia" w:ascii="宋体" w:hAnsi="宋体" w:cs="宋体"/>
          <w:color w:val="auto"/>
          <w:kern w:val="0"/>
          <w:sz w:val="24"/>
          <w:szCs w:val="24"/>
          <w:highlight w:val="none"/>
        </w:rPr>
        <w:t>若供应商在规定的时间内（“</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须知前附表”的中规定）未能解密的，也将被视为供应商对其</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的撤回</w:t>
      </w:r>
      <w:r>
        <w:rPr>
          <w:rFonts w:hint="eastAsia" w:ascii="宋体" w:hAnsi="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bookmarkStart w:id="19" w:name="_Toc5289"/>
      <w:r>
        <w:rPr>
          <w:rFonts w:hint="eastAsia" w:ascii="宋体" w:hAnsi="宋体" w:cs="宋体"/>
          <w:color w:val="auto"/>
          <w:kern w:val="0"/>
          <w:sz w:val="24"/>
          <w:szCs w:val="24"/>
          <w:highlight w:val="none"/>
        </w:rPr>
        <w:t>六、开标</w:t>
      </w:r>
      <w:bookmarkEnd w:id="1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20.开标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20.1</w:t>
      </w:r>
      <w:r>
        <w:rPr>
          <w:rFonts w:hint="eastAsia" w:ascii="宋体" w:hAnsi="宋体" w:cs="宋体"/>
          <w:color w:val="auto"/>
          <w:kern w:val="0"/>
          <w:sz w:val="24"/>
          <w:szCs w:val="24"/>
          <w:highlight w:val="none"/>
        </w:rPr>
        <w:t xml:space="preserve"> 本次采用不见面方式网上开标。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20.2</w:t>
      </w:r>
      <w:r>
        <w:rPr>
          <w:rFonts w:hint="eastAsia" w:ascii="宋体" w:hAnsi="宋体" w:cs="宋体"/>
          <w:color w:val="auto"/>
          <w:kern w:val="0"/>
          <w:sz w:val="24"/>
          <w:szCs w:val="24"/>
          <w:highlight w:val="none"/>
        </w:rPr>
        <w:t>开标由招标代理机构主持，招标人、</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和有关方面代表参加。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20.3</w:t>
      </w:r>
      <w:r>
        <w:rPr>
          <w:rFonts w:hint="eastAsia" w:ascii="宋体" w:hAnsi="宋体" w:cs="宋体"/>
          <w:color w:val="auto"/>
          <w:kern w:val="0"/>
          <w:sz w:val="24"/>
          <w:szCs w:val="24"/>
          <w:highlight w:val="none"/>
        </w:rPr>
        <w:t>招标人在规定的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截止时间（开标时间）和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须知前附表规定的地点开标。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的法定代表人或其委托代理人无需到达开标现场，仅需在任意地点通过</w:t>
      </w:r>
      <w:r>
        <w:rPr>
          <w:rFonts w:hint="eastAsia" w:ascii="宋体" w:hAnsi="宋体" w:cs="宋体"/>
          <w:color w:val="auto"/>
          <w:kern w:val="0"/>
          <w:sz w:val="24"/>
          <w:szCs w:val="24"/>
          <w:highlight w:val="none"/>
          <w:lang w:val="en-US" w:eastAsia="zh-CN"/>
        </w:rPr>
        <w:t>政采云</w:t>
      </w:r>
      <w:r>
        <w:rPr>
          <w:rFonts w:hint="eastAsia" w:ascii="宋体" w:hAnsi="宋体" w:cs="宋体"/>
          <w:color w:val="auto"/>
          <w:kern w:val="0"/>
          <w:sz w:val="24"/>
          <w:szCs w:val="24"/>
          <w:highlight w:val="none"/>
        </w:rPr>
        <w:t>不见面开标系统，使用CA密钥完成远程解密、提疑澄清、开标唱标、结果公布等交互环节。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20.4</w:t>
      </w:r>
      <w:r>
        <w:rPr>
          <w:rFonts w:hint="eastAsia" w:ascii="宋体" w:hAnsi="宋体" w:cs="宋体"/>
          <w:color w:val="auto"/>
          <w:kern w:val="0"/>
          <w:sz w:val="24"/>
          <w:szCs w:val="24"/>
          <w:highlight w:val="none"/>
        </w:rPr>
        <w:t>法定代表人或法定代表人授权委托人参与远程交互，中途不得更换，在废标、澄清、提疑、传送文件等特殊情况下需要交互时，</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一端参与交互的人员将均被视为是</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的授权委托人或法人代表，</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不得以不承认交互人员的资格或身份等为借口推脱，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自行承担随意更换人员所导致的一切后果。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20.5</w:t>
      </w:r>
      <w:r>
        <w:rPr>
          <w:rFonts w:hint="eastAsia" w:ascii="宋体" w:hAnsi="宋体" w:cs="宋体"/>
          <w:color w:val="auto"/>
          <w:kern w:val="0"/>
          <w:sz w:val="24"/>
          <w:szCs w:val="24"/>
          <w:highlight w:val="none"/>
        </w:rPr>
        <w:t>开标时，由采购代理机构工作人员当众在不见面开标大厅解密，宣布</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名称和</w:t>
      </w:r>
      <w:r>
        <w:rPr>
          <w:rFonts w:hint="eastAsia" w:ascii="宋体" w:hAnsi="宋体" w:cs="宋体"/>
          <w:color w:val="auto"/>
          <w:kern w:val="0"/>
          <w:sz w:val="24"/>
          <w:szCs w:val="24"/>
          <w:highlight w:val="none"/>
          <w:lang w:eastAsia="zh-CN"/>
        </w:rPr>
        <w:t>谈判文件</w:t>
      </w:r>
      <w:r>
        <w:rPr>
          <w:rFonts w:hint="eastAsia" w:ascii="宋体" w:hAnsi="宋体" w:cs="宋体"/>
          <w:color w:val="auto"/>
          <w:kern w:val="0"/>
          <w:sz w:val="24"/>
          <w:szCs w:val="24"/>
          <w:highlight w:val="none"/>
        </w:rPr>
        <w:t>规定的需要宣布的其他内容。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不足3家的，不得开标。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代表对开标过程和开标记录有疑义，以及认为采购人、采购代理机构相关工作人员有需要回避的情形的，应当场提出询问或者回避申请。采购人、采购代理机构对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代表提出的询问或者回避申请应当及时处理。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代表在开标过程中未提出异议的，视为认可本次开标及开标过程的全部事宜。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七、评标步骤和要求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21.组建谈判小组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21.1招标代理机构根据有关法律法规和本采购文件的规定，结合采购项目的特点组建谈判小组，对</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进行评估和比较。谈判小组由</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人以上单数组成，其中经济、技术等方面的专家不少于三分之二。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22.资格审查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22.1竞争性谈判采购项目开标结束后，采购人或者招标代理机构应当依法对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的资格进行审查。合格</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不足3家的，不得评标。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23.初步评审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23.1谈判小组审查</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 xml:space="preserve">是否符合采购文件的基本要求：内容是否完整、资格证明文件是否合格、文件签署是否齐全、有无计算错误等。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23.2谈判小组审查</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是否实质上响应采购文件的要求。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1）实质上响应的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是指与采购文件上的条款、条件和规格相符，没有重大偏离或保留，否则将视为无效</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2）重大偏离或保留系指</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货物的质量、数量和交付日期等明显不能满足采购文件的要求，或者实质上与采购文件不一致，纠正这些偏离或保留将对其他实质上响应要求的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的竞争地位产生不公正的影响。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23.3</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的细微偏差是指在实质上响应采购文件要求，但在个别地方存在漏项或者提供了不完整的技术信息和数据等情况，并且补正这些遗漏或者不完整，不会对其他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造成不公正的结果。细微偏差不影响</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的有效性。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23.4初步评审中，对明显的文字和计算错误按下述原则处理，若出现相互矛盾之处，应以排列在先的原则为准优先处理：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中的开标一览表与明细表内容不一致的，以开标一览表为准。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2）如果以文字表示的数据与数字表示的有差别，以文字为准修正数字。如果大写金额和小写金额不一致的，以大写金额为准；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3）如果单价乘以数量不等于总价，以单价为准修正总价，但单价金额小数点有明显错位的，应以总价为准，并修改单价。如果明细价格相加不等于汇总价格，以明细价格为准。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4）调整后的数据对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具有约束力，</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不同意以上修正，其</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将被拒绝。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23.5谈判小组对</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的判定，只依据</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内容本身，不依据其他外来证明。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的澄清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24.1谈判小组有权要求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中含义不明确、对同类问题表述不一致或者有明显文字和计算错误等内容作必要的澄清、说明或者补正。该要求应当采用书面形式，并由谈判小组成员签字。谈判小组不接受</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主动提出的澄清、说明或者补正。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必须按照谈判小组通知的内容和时间做出书面答复，该答复经法定代表人或授权代理人的签字认可，将作为</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内容的一部分。澄清、说明或者补正不得超出</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的范围或者改变</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的实质性内容。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拒不按照要求对</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进行澄清、说明或者补正的，谈判小组可拒绝该</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24.3如谈判小组一致认为某个</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的报价明显不合理，有降低质量、不能诚信履行的可能时，谈判小组有权决定是否通知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限期进行书面解释或提供相关证明材料。若已要求，而该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在规定期限内未做出解释、作出的解释不合理或不能提供证明材料的，经谈判小组取得一致意见后，可拒绝该</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24.4竞争性谈判采购项目开标结束后，采购人或者招标代理机构应当依法对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的资格进行审查。合格</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不足3家的，不得评标。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25.详细评审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25.1谈判小组只对实质上响应采购文件的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进行评价和比较；评审应严格按照采购文件第二部分“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须知前附表”中规定以及采购文件的要求进行。具体要求等详见采购文件第</w:t>
      </w:r>
      <w:r>
        <w:rPr>
          <w:rFonts w:hint="eastAsia" w:ascii="宋体" w:hAnsi="宋体" w:cs="宋体"/>
          <w:color w:val="auto"/>
          <w:kern w:val="0"/>
          <w:sz w:val="24"/>
          <w:szCs w:val="24"/>
          <w:highlight w:val="none"/>
          <w:lang w:eastAsia="zh-CN"/>
        </w:rPr>
        <w:t>五</w:t>
      </w:r>
      <w:r>
        <w:rPr>
          <w:rFonts w:hint="eastAsia" w:ascii="宋体" w:hAnsi="宋体" w:cs="宋体"/>
          <w:color w:val="auto"/>
          <w:kern w:val="0"/>
          <w:sz w:val="24"/>
          <w:szCs w:val="24"/>
          <w:highlight w:val="none"/>
        </w:rPr>
        <w:t>部分“评审方法”。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25.2谈判小组依法独立评审，严格遵守评审工作纪律。对需要共同认定的事项存在争议的，按照少数服从多数的原则作出评审结论。持不同意见的谈判小组成员应当在评标报告上签署不同意见并说明理由，不签署不同意见的视为同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26.确定中标人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26.1使用最低评标价法的采购项目，提供相同品牌产品且通过资格审查、符合性审查的不同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参加同一合同项下</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的，按一家</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计算，评审后报价最低的同品牌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获得中标人推荐资格；评审后报价相同的，由采购人或者采购人委托谈判小组按照采购文件规定的方式确定一个</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获得中标人推荐资格，采购文件未规定的采取随机抽取方式确定，其他同品牌</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不作为中标候选人。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26.2 谈判小组根据评审结果及采购文件的规定确定中标人。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27.评标过程要求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27.1开标之后，直到签订合同止，凡是属于审查、澄清、评价和比较</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的有关资料以及定标意向等，均不向</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或者其他与评标无关的人员透露。</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27.2在确定中标人之前，</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试图在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审查、澄清、比较和评标时对谈判小组、采购人和招标代理机构施加任何影响都可能导致其</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无效。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27.3电子招投标的应急措施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27.3.1电子开标、评标如出现下列原因，导致系统无法正常运行或无法正常评标时，应采取应急措施。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（1）系统服务器发生故障，无法访问或无法使用系统；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（2）系统的软件或数据库出现错误，不能进行正常操作；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（3）系统发现有安全漏洞，有潜在的泄密危险；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（4）病毒发作或受到外来病毒的攻击；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（5）出现其他不可抗拒的客观原因造成开评标系统无法正常使用。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出现上述情况时，应对未开标的暂停开标。已在系统内开标、评标的立即停止。采取应急措施时，必须对原有资料及信息作出妥善保密处理。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瑕疵滞后发现的处理规则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28.1无论基于何种原因，各项本应作拒绝处理的情形即便未被及时发现而使该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进入初审、综合评审或其他后续程序，包括已经签订合同的情形，一旦</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被拒绝或该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的此前评议结果被取消，其现有的位置将被其他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依序替代，相关的一切损失均由该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29.采购项目废标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29.1在评标过程中，谈判小组发现有下列情形之一的，应对采购项目予以废标：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1）符合专业条件的供应商或者对采购文件作实质响应的供应商数量不足，导致进入评审阶段且到二次报价环节的供应商不足3家的；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的报价均超过了采购预算；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29.2</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存在下列情况之一的,</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无效；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(一)未按照采购文件的规定提交</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未按采购文件要求签署、盖章的；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(三)不具备采购文件中规定的资格要求的；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(四)报价超过采购文件中规定的预算金额或者最高限价的；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含有采购人不能接受的附加条件的；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(六)法律、法规和采购文件规定的其他无效情形；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八、履约保证金（如有）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30.1履约保证金按照采购文件第二部分“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须知前附表”中规定，在签订合同前交纳。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30.2中标人在中标公告发布后及时足额交纳履约保证金。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九、签订、审核合同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31.中标通知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31.1中标人确定后,招标代理机构将在相关政府采购信息发布媒体上发布中标公告，并以书面形式向中标人发出中标通知书，但该中标结果的有效性不依赖于未中标的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是否已经收到该通知。中标人应按照上述第二部分“</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的规定交纳履约保证金、代理服务费并经招标代理机构确认后，委派专人持介绍信或授权书和身份证件前往招标代理机构领取中标通知书。中标通知书对采购人和中标人具有同等法律效力。中标通知书发出以后，采购人改变中标结果或者中标人放弃中标，应当承担相应的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31.2招标代理机构对未中标的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不作未中标原因的解释，但中标结果的有效性不以未中标的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是否收到相应的通知为前提。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31.3中标通知书是合同的组成部分。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32.签订合同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32.1中标人须在中标通知书发出之日起</w:t>
      </w:r>
      <w:r>
        <w:rPr>
          <w:rFonts w:hint="eastAsia" w:ascii="宋体" w:hAnsi="宋体" w:cs="宋体"/>
          <w:color w:val="auto"/>
          <w:kern w:val="0"/>
          <w:sz w:val="24"/>
          <w:szCs w:val="24"/>
          <w:highlight w:val="none"/>
          <w:lang w:val="en-US" w:eastAsia="zh-CN"/>
        </w:rPr>
        <w:t>5日历日</w:t>
      </w:r>
      <w:r>
        <w:rPr>
          <w:rFonts w:hint="eastAsia" w:ascii="宋体" w:hAnsi="宋体" w:cs="宋体"/>
          <w:color w:val="auto"/>
          <w:kern w:val="0"/>
          <w:sz w:val="24"/>
          <w:szCs w:val="24"/>
          <w:highlight w:val="none"/>
        </w:rPr>
        <w:t>内与采购人签订采购合同。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32.2中标人须按照采购文件、</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及评标过程中的有关澄清、说明或者补正文件的内容与采购人签订合同。中标人不得再与采购人签订背离合同实质性内容的其他协议或声明。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32.4中标人一旦中标及签订合同后，不得转包，亦不得将合同全部及任何权利、义务向第三方转让。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32.5中标人不履行合同的，采购人可在报经同级人民政府财政部门核准后，与排位在中标人之后的第一位中标候选供应商签订合同，以此类推；或在报经同级人民政府财政部门核准后重新组织采购。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32.6违反32.1条、32.2条的规定，给对方造成损失的，应承担赔偿责任。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33.审核合同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33.1中标人持政府采购合同于签订合同之日起3个工作日内到公共资源交易中心进行备案留存。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十、处罚、询问和质疑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34.处罚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34.1发生下列情况之一，</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的保证金不予退还；情节严重的将其列入不良记录名单。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1）开标后在</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有效期内，</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撤回其</w:t>
      </w:r>
      <w:r>
        <w:rPr>
          <w:rFonts w:hint="eastAsia" w:ascii="宋体" w:hAnsi="宋体" w:cs="宋体"/>
          <w:color w:val="auto"/>
          <w:kern w:val="0"/>
          <w:sz w:val="24"/>
          <w:szCs w:val="24"/>
          <w:highlight w:val="none"/>
          <w:lang w:val="en-US" w:eastAsia="zh-CN"/>
        </w:rPr>
        <w:t>响应文件</w:t>
      </w:r>
      <w:r>
        <w:rPr>
          <w:rFonts w:hint="eastAsia" w:ascii="宋体" w:hAnsi="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2）中标后无正当理由不与采购人签订合同的；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3）中标人与采购人订立背离合同实质性内容的其他协议；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4）将中标项目转让给他人，或者在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中未说明，且未经招标代理机构同意，将中标项目分包给他人的；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5）存在串通投标行为的；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6）存在弄虚作假或提供虚假材料谋取中标的；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其他未按采购文件规定和合同约定履行义务的行为。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35．询问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对采购事项有疑问的，可以向采购人或招标代理机构提出询问。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有权就招标事宜提出质疑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认为采购文件、采购过程和中标结果使自已的权益受到损害的，可以在知道或者应知其权益受到损害之日起7个工作日内，</w:t>
      </w:r>
      <w:r>
        <w:rPr>
          <w:rFonts w:hint="eastAsia" w:ascii="宋体" w:hAnsi="宋体" w:cs="宋体"/>
          <w:color w:val="auto"/>
          <w:kern w:val="0"/>
          <w:sz w:val="24"/>
          <w:szCs w:val="24"/>
          <w:highlight w:val="none"/>
          <w:lang w:eastAsia="zh-CN"/>
        </w:rPr>
        <w:t>一次性将所有质疑事项</w:t>
      </w:r>
      <w:r>
        <w:rPr>
          <w:rFonts w:hint="eastAsia" w:ascii="宋体" w:hAnsi="宋体" w:cs="宋体"/>
          <w:color w:val="auto"/>
          <w:kern w:val="0"/>
          <w:sz w:val="24"/>
          <w:szCs w:val="24"/>
          <w:highlight w:val="none"/>
        </w:rPr>
        <w:t>以书面形式提出质疑。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36.2质疑应当按照《中华人民共和国政府采购法》、《中华人民共和国政府采购法实施条例》、《政府采购质疑和投诉办法》等法律法规的相关规定，以书面形式向招标代理机构提出。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37.3质疑书应当附上相关证明材料，否则质疑将视为无有效证据支持，将被予以驳回，并不得以上述理由要求延长质疑有效期。未递交</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的供应商，其未参加后续采购活动，不得对递交</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截止后的采购过程、采购结果提出质疑。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36.4质疑人可以采取直接送达或者邮寄方式提交质疑书。招标代理机构收到质疑书后，对质疑书进行审查，对符合质疑条件的将办理签收手续，自签收质疑书之日起即为受理。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36.5招标代理机构将在受理书面质疑后7个工作日内审查质疑事项，作出答复或相关处理决定，并以书面形式通知质疑人和其他相关供应商，但答复的内容不涉及商业秘密。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进行虚假和恶意质疑的，招标代理机构将提请有关部门将其列入不良记录名单，在一至三年内禁止参加政府采购活动，并将处理决定在相关政府采购媒体上公布。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36.7质疑人对答复不满意以及招标代理机构未在规定的时间内作出答复的，可以在答复期满后15个工作日内向财政部门投拆。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bCs/>
          <w:color w:val="auto"/>
          <w:sz w:val="36"/>
          <w:szCs w:val="36"/>
          <w:highlight w:val="none"/>
          <w:lang w:eastAsia="zh-CN"/>
        </w:rPr>
      </w:pPr>
      <w:r>
        <w:rPr>
          <w:rFonts w:hint="eastAsia" w:ascii="宋体" w:hAnsi="宋体" w:cs="宋体"/>
          <w:color w:val="auto"/>
          <w:kern w:val="0"/>
          <w:sz w:val="24"/>
          <w:szCs w:val="24"/>
          <w:highlight w:val="none"/>
        </w:rPr>
        <w:br w:type="page"/>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b/>
          <w:bCs/>
          <w:color w:val="auto"/>
          <w:sz w:val="36"/>
          <w:szCs w:val="36"/>
          <w:highlight w:val="none"/>
          <w:lang w:eastAsia="zh-CN"/>
        </w:rPr>
        <w:t>采购需求</w:t>
      </w:r>
      <w:bookmarkStart w:id="20" w:name="_Toc31015"/>
      <w:bookmarkStart w:id="21" w:name="_Toc15994"/>
      <w:bookmarkStart w:id="22" w:name="_Toc8764"/>
      <w:bookmarkStart w:id="23" w:name="_Toc28193"/>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3840" w:firstLineChars="1600"/>
        <w:jc w:val="both"/>
        <w:textAlignment w:val="auto"/>
        <w:rPr>
          <w:rFonts w:hint="default" w:ascii="等线" w:hAnsi="等线" w:eastAsia="等线" w:cs="Times New Roman"/>
          <w:color w:val="000000"/>
          <w:sz w:val="20"/>
          <w:szCs w:val="20"/>
          <w:lang w:val="en-US" w:eastAsia="zh-CN"/>
        </w:rPr>
      </w:pPr>
      <w:r>
        <w:rPr>
          <w:rFonts w:hint="eastAsia"/>
          <w:lang w:eastAsia="zh-CN"/>
        </w:rPr>
        <w:tab/>
      </w:r>
      <w:r>
        <w:rPr>
          <w:rFonts w:hint="default"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一采购清单。</w:t>
      </w:r>
    </w:p>
    <w:tbl>
      <w:tblPr>
        <w:tblStyle w:val="45"/>
        <w:tblW w:w="1046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7"/>
        <w:gridCol w:w="984"/>
        <w:gridCol w:w="8034"/>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97" w:type="dxa"/>
            <w:tcBorders>
              <w:top w:val="nil"/>
              <w:left w:val="single" w:color="auto" w:sz="12"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200" w:firstLineChars="100"/>
              <w:jc w:val="both"/>
              <w:rPr>
                <w:rFonts w:hint="eastAsia" w:ascii="等线" w:hAnsi="等线" w:eastAsia="等线" w:cs="Times New Roman"/>
                <w:b/>
                <w:color w:val="000000"/>
                <w:sz w:val="20"/>
                <w:szCs w:val="20"/>
                <w:lang w:val="en-US" w:eastAsia="zh-CN"/>
              </w:rPr>
            </w:pPr>
            <w:r>
              <w:rPr>
                <w:rFonts w:hint="default" w:ascii="Times New Roman" w:hAnsi="Times New Roman" w:cs="Times New Roman"/>
                <w:sz w:val="20"/>
              </w:rP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10160</wp:posOffset>
                      </wp:positionV>
                      <wp:extent cx="6624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443865" y="474345"/>
                                <a:ext cx="6624320" cy="6985"/>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3.85pt;margin-top:0.8pt;height:0.55pt;width:521.6pt;z-index:251665408;mso-width-relative:page;mso-height-relative:page;" filled="f" stroked="t" coordsize="21600,21600" o:gfxdata="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6lHOdMAAAAHAQAADwAAAAAAAAABACAAAAAiAAAAZHJzL2Rvd25yZXYueG1sUEsBAhQAFAAA&#10;AAgAh07iQIfuqe30AQAAwAMAAA4AAAAAAAAAAQAgAAAAIgEAAGRycy9lMm9Eb2MueG1sUEsFBgAA&#10;AAAGAAYAWQEAAIgFAAAAAA==&#10;">
                      <v:fill on="f" focussize="0,0"/>
                      <v:stroke weight="2pt" color="#000000" joinstyle="round"/>
                      <v:imagedata o:title=""/>
                      <o:lock v:ext="edit" aspectratio="f"/>
                    </v:line>
                  </w:pict>
                </mc:Fallback>
              </mc:AlternateContent>
            </w:r>
            <w:r>
              <w:rPr>
                <w:rFonts w:hint="eastAsia" w:ascii="等线" w:hAnsi="等线" w:eastAsia="等线" w:cs="Times New Roman"/>
                <w:b/>
                <w:color w:val="000000"/>
                <w:sz w:val="20"/>
                <w:szCs w:val="20"/>
                <w:lang w:val="en-US" w:eastAsia="zh-CN"/>
              </w:rPr>
              <w:t xml:space="preserve"> 序号</w:t>
            </w:r>
          </w:p>
        </w:tc>
        <w:tc>
          <w:tcPr>
            <w:tcW w:w="984" w:type="dxa"/>
            <w:tcBorders>
              <w:top w:val="nil"/>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200" w:firstLineChars="100"/>
              <w:jc w:val="both"/>
              <w:rPr>
                <w:rFonts w:hint="eastAsia" w:ascii="等线" w:hAnsi="等线" w:eastAsia="等线" w:cs="Times New Roman"/>
                <w:b/>
                <w:color w:val="000000"/>
                <w:sz w:val="20"/>
                <w:szCs w:val="20"/>
              </w:rPr>
            </w:pPr>
          </w:p>
          <w:p>
            <w:pPr>
              <w:keepNext w:val="0"/>
              <w:keepLines w:val="0"/>
              <w:suppressLineNumbers w:val="0"/>
              <w:spacing w:before="0" w:beforeLines="0" w:beforeAutospacing="0" w:after="0" w:afterLines="0" w:afterAutospacing="0"/>
              <w:ind w:left="0" w:leftChars="0" w:right="0" w:firstLine="200" w:firstLineChars="100"/>
              <w:jc w:val="both"/>
              <w:rPr>
                <w:rFonts w:hint="eastAsia" w:ascii="等线" w:hAnsi="等线" w:eastAsia="等线" w:cs="Times New Roman"/>
                <w:b/>
                <w:color w:val="000000"/>
                <w:sz w:val="20"/>
                <w:szCs w:val="20"/>
              </w:rPr>
            </w:pPr>
            <w:r>
              <w:rPr>
                <w:rFonts w:hint="eastAsia" w:ascii="等线" w:hAnsi="等线" w:eastAsia="等线" w:cs="Times New Roman"/>
                <w:b/>
                <w:color w:val="000000"/>
                <w:sz w:val="20"/>
                <w:szCs w:val="20"/>
              </w:rPr>
              <w:t>设备</w:t>
            </w:r>
          </w:p>
          <w:p>
            <w:pPr>
              <w:keepNext w:val="0"/>
              <w:keepLines w:val="0"/>
              <w:suppressLineNumbers w:val="0"/>
              <w:spacing w:before="0" w:beforeLines="0" w:beforeAutospacing="0" w:after="0" w:afterLines="0" w:afterAutospacing="0"/>
              <w:ind w:left="0" w:leftChars="0" w:right="0" w:firstLine="200" w:firstLineChars="100"/>
              <w:jc w:val="both"/>
              <w:rPr>
                <w:rFonts w:hint="eastAsia" w:ascii="等线" w:hAnsi="等线" w:eastAsia="等线" w:cs="Times New Roman"/>
                <w:b/>
                <w:color w:val="000000"/>
                <w:sz w:val="20"/>
                <w:szCs w:val="20"/>
              </w:rPr>
            </w:pPr>
            <w:r>
              <w:rPr>
                <w:rFonts w:hint="eastAsia" w:ascii="等线" w:hAnsi="等线" w:eastAsia="等线" w:cs="Times New Roman"/>
                <w:b/>
                <w:color w:val="000000"/>
                <w:sz w:val="20"/>
                <w:szCs w:val="20"/>
              </w:rPr>
              <w:t>名称</w:t>
            </w:r>
          </w:p>
        </w:tc>
        <w:tc>
          <w:tcPr>
            <w:tcW w:w="8034" w:type="dxa"/>
            <w:tcBorders>
              <w:top w:val="nil"/>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firstLine="3001" w:firstLineChars="1500"/>
              <w:jc w:val="both"/>
              <w:rPr>
                <w:rFonts w:hint="eastAsia" w:ascii="等线" w:hAnsi="等线" w:eastAsia="等线" w:cs="Times New Roman"/>
                <w:b/>
                <w:color w:val="000000"/>
                <w:sz w:val="20"/>
                <w:szCs w:val="20"/>
              </w:rPr>
            </w:pPr>
          </w:p>
          <w:p>
            <w:pPr>
              <w:keepNext w:val="0"/>
              <w:keepLines w:val="0"/>
              <w:suppressLineNumbers w:val="0"/>
              <w:spacing w:before="0" w:beforeLines="0" w:beforeAutospacing="0" w:after="0" w:afterLines="0" w:afterAutospacing="0"/>
              <w:ind w:left="0" w:right="0" w:firstLine="3001" w:firstLineChars="1500"/>
              <w:jc w:val="both"/>
              <w:rPr>
                <w:rFonts w:hint="eastAsia" w:ascii="等线" w:hAnsi="等线" w:eastAsia="等线" w:cs="Times New Roman"/>
                <w:b/>
                <w:color w:val="000000"/>
                <w:sz w:val="20"/>
                <w:szCs w:val="20"/>
              </w:rPr>
            </w:pPr>
            <w:r>
              <w:rPr>
                <w:rFonts w:hint="eastAsia" w:ascii="等线" w:hAnsi="等线" w:eastAsia="等线" w:cs="Times New Roman"/>
                <w:b/>
                <w:color w:val="000000"/>
                <w:sz w:val="20"/>
                <w:szCs w:val="20"/>
              </w:rPr>
              <w:t>技术规格参数</w:t>
            </w:r>
          </w:p>
        </w:tc>
        <w:tc>
          <w:tcPr>
            <w:tcW w:w="848" w:type="dxa"/>
            <w:tcBorders>
              <w:top w:val="nil"/>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both"/>
              <w:rPr>
                <w:rFonts w:hint="eastAsia" w:ascii="等线" w:hAnsi="等线" w:eastAsia="等线" w:cs="Times New Roman"/>
                <w:b/>
                <w:color w:val="000000"/>
                <w:sz w:val="20"/>
                <w:szCs w:val="20"/>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b/>
                <w:color w:val="000000"/>
                <w:sz w:val="20"/>
                <w:szCs w:val="20"/>
              </w:rPr>
            </w:pPr>
            <w:r>
              <w:rPr>
                <w:rFonts w:hint="eastAsia" w:ascii="等线" w:hAnsi="等线" w:eastAsia="等线" w:cs="Times New Roman"/>
                <w:b/>
                <w:color w:val="000000"/>
                <w:sz w:val="20"/>
                <w:szCs w:val="20"/>
              </w:rPr>
              <w:t>采购</w:t>
            </w: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b/>
                <w:color w:val="000000"/>
                <w:sz w:val="28"/>
                <w:szCs w:val="24"/>
              </w:rPr>
            </w:pPr>
            <w:r>
              <w:rPr>
                <w:rFonts w:hint="eastAsia" w:ascii="等线" w:hAnsi="等线" w:eastAsia="等线" w:cs="Times New Roman"/>
                <w:b/>
                <w:color w:val="000000"/>
                <w:sz w:val="20"/>
                <w:szCs w:val="2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vMerge w:val="restart"/>
            <w:tcBorders>
              <w:top w:val="single" w:color="auto" w:sz="6" w:space="0"/>
              <w:left w:val="single" w:color="auto" w:sz="12" w:space="0"/>
              <w:right w:val="single" w:color="auto" w:sz="6" w:space="0"/>
              <w:tl2br w:val="nil"/>
              <w:tr2bl w:val="nil"/>
            </w:tcBorders>
            <w:noWrap w:val="0"/>
            <w:vAlign w:val="top"/>
          </w:tcPr>
          <w:p>
            <w:pPr>
              <w:pStyle w:val="2"/>
              <w:keepNext w:val="0"/>
              <w:keepLines w:val="0"/>
              <w:suppressLineNumbers w:val="0"/>
              <w:spacing w:before="0" w:beforeAutospacing="0" w:after="0" w:afterAutospacing="0"/>
              <w:ind w:left="0" w:leftChars="0" w:right="0" w:firstLine="0" w:firstLineChars="0"/>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w:t>
            </w:r>
          </w:p>
        </w:tc>
        <w:tc>
          <w:tcPr>
            <w:tcW w:w="984" w:type="dxa"/>
            <w:tcBorders>
              <w:top w:val="single" w:color="auto" w:sz="6" w:space="0"/>
              <w:left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1.半球摄像机（400万智能半球型网络高清摄像机1/2.7" CMOS, H.265高清400万像（2560*1440P)）</w:t>
            </w:r>
          </w:p>
          <w:p>
            <w:pPr>
              <w:keepNext w:val="0"/>
              <w:keepLines w:val="0"/>
              <w:suppressLineNumbers w:val="0"/>
              <w:spacing w:before="0" w:beforeLines="0" w:beforeAutospacing="0" w:after="0" w:afterLines="0" w:afterAutospacing="0"/>
              <w:ind w:left="0" w:right="0"/>
              <w:jc w:val="left"/>
              <w:rPr>
                <w:rFonts w:hint="eastAsia" w:ascii="等线" w:hAnsi="等线" w:eastAsia="等线" w:cs="Times New Roman"/>
                <w:color w:val="000000"/>
                <w:sz w:val="20"/>
                <w:szCs w:val="20"/>
              </w:rPr>
            </w:pP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宋体" w:hAnsi="宋体" w:eastAsia="宋体" w:cs="宋体"/>
                <w:color w:val="auto"/>
                <w:highlight w:val="none"/>
                <w:lang w:val="en-US" w:eastAsia="zh-CN"/>
              </w:rPr>
              <w:t>★</w:t>
            </w:r>
            <w:r>
              <w:rPr>
                <w:rFonts w:hint="eastAsia" w:ascii="等线" w:hAnsi="等线" w:eastAsia="等线" w:cs="Times New Roman"/>
                <w:b/>
                <w:bCs/>
                <w:color w:val="000000"/>
                <w:kern w:val="2"/>
                <w:sz w:val="20"/>
                <w:szCs w:val="20"/>
                <w:highlight w:val="none"/>
                <w:lang w:val="en-US" w:eastAsia="zh-CN" w:bidi="ar-SA"/>
              </w:rPr>
              <w:t>1.</w:t>
            </w:r>
            <w:r>
              <w:rPr>
                <w:rFonts w:hint="eastAsia" w:ascii="等线" w:hAnsi="等线" w:eastAsia="等线" w:cs="Times New Roman"/>
                <w:b/>
                <w:bCs/>
                <w:color w:val="000000"/>
                <w:sz w:val="20"/>
                <w:szCs w:val="20"/>
                <w:highlight w:val="none"/>
              </w:rPr>
              <w:t>半球型网络摄像机，其有低照度、宽动态等功能。主要接口：1个RJ45网口等。基本电气参数：DC12V、PoE供电。内置2.8mm/4.0mm/6.0mm镜头可选，内置GPU芯片及拾音器。</w:t>
            </w:r>
            <w:r>
              <w:rPr>
                <w:rFonts w:hint="eastAsia" w:ascii="等线" w:hAnsi="等线" w:eastAsia="等线" w:cs="Times New Roman"/>
                <w:color w:val="000000"/>
                <w:sz w:val="20"/>
                <w:szCs w:val="20"/>
                <w:highlight w:val="none"/>
              </w:rPr>
              <w:t xml:space="preserve">                                                                                                                                                                                                                                                                                </w:t>
            </w:r>
            <w:r>
              <w:rPr>
                <w:rFonts w:hint="eastAsia" w:ascii="等线" w:hAnsi="等线" w:eastAsia="等线" w:cs="Times New Roman"/>
                <w:color w:val="000000"/>
                <w:sz w:val="20"/>
                <w:szCs w:val="20"/>
              </w:rPr>
              <w:t>2.电源适应性检验：电源电压在DC12V±35%范围内变化时，样机应能正常工作。</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3.网线传输距离：样机和客户端之间使用300m超5类非屏蔽网线连接POE供电时，可正常显示监视画面。</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4.主输出接口检查：网络摄像机的基本接口为10/100M或10/100/1000M以太网接口，符合IEEE802.3标准，采用RJ45。</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5.最低照度试验：彩色≥0.0005lux（AGC ON, 应能分辨反射式视频矩阵测试卡中彩色色块）黑色≥0.0001 lux（AGC ON，RJ45输出，能分辨反射式视频分辨率测试卡中圆形轮廓）。</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6.红外距离试验：红外灯开启后，可识别样机100m处的人体轮廓 。                                                                                                                                                                              7.水平中心分辨力检验：不小于1400TVL（分辨率设置为2560 ×1440、帧率设置为 30 fps 码率设置为5Mbps、300lx光照环境、RJ45输出）。                                                                                                                                                           8.照度适应范围试验：照度适应范围不小于135dB。</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r>
              <w:rPr>
                <w:rFonts w:hint="eastAsia" w:ascii="等线" w:hAnsi="等线" w:eastAsia="等线" w:cs="Times New Roman"/>
                <w:color w:val="000000"/>
                <w:sz w:val="20"/>
                <w:szCs w:val="20"/>
                <w:lang w:val="en-US" w:eastAsia="zh-CN"/>
              </w:rPr>
              <w:t xml:space="preserve">  </w:t>
            </w:r>
            <w:r>
              <w:rPr>
                <w:rFonts w:hint="eastAsia" w:ascii="等线" w:hAnsi="等线" w:eastAsia="等线" w:cs="Times New Roman"/>
                <w:color w:val="000000"/>
                <w:sz w:val="20"/>
                <w:szCs w:val="20"/>
              </w:rPr>
              <w:t>9. 宽动态自动切换功能检查：在IE浏览器下，样机具有宽动态自动设置选项。在环境亮度变化时，可自动在宽动态关闭和开启间进行切换。                                                                                                                                                             10.走廊模式检查：开启走廊模式后，监控画面可90°旋转并自动调整宽高比。                                                                                                                                                        11.区域曝光功能检验：可通过IE浏览器在监视画面框选出曝光区域，以该区域作为参考区域曝光。                                                                                                                           12.移动侦测功能检验：在设定的侦测区域内具有目标移动时，可在客户端给出报警提示，最多可设置396个移动侦测区域                                                                                                                                                                                            13.区域遮盖功能检验：可在监视画面上设置遮盖的区域，区域个数、大小、位置可设置，最多可设置8个区域。                                                                                                                   14.认证模式设置功能检查：可通过IE浏览器或客户端软件设置身份认证模式，设置选项包括无、Basic和Digest三种。                                                                                                                                                                                                15.网关ARP绑定功能检查：样机可通过IE浏览器添加并绑定样机所在网段网关的MAC地址，当其它终端样机访问样机时，若使用正确的网关MAC地址即样机绑定的MAC地址则可以正常访问样机；当使用错误的网关MAC地址即不是样机绑定的MAC地址则不能访问样机。                                                                                                                                                                                                   16.视频内容保护功能检查：样机可配置启用或关闭视频内容保护功能，启用该功能时可对视频图像码流（包括符合国标GB/T 28181-2011中编码规范要求的视频码流）进行随机混淆处理，即对每帧视频图像编码随机改变每帧视频数据报文中若干字节的内容后再进行网络传输。</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17.摄像机支持VPN协议穿越网闸、防火墙和NAT，实现复杂组网</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18.温度要求：-45℃-70℃</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19.外壳防护等级：IP68（IPX8：水下1m，1h）</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r>
              <w:rPr>
                <w:rFonts w:hint="eastAsia" w:ascii="等线" w:hAnsi="等线" w:eastAsia="等线" w:cs="Times New Roman"/>
                <w:b/>
                <w:bCs/>
                <w:color w:val="000000"/>
                <w:sz w:val="20"/>
                <w:szCs w:val="20"/>
              </w:rPr>
              <w:t xml:space="preserve">                                                                                                       </w:t>
            </w:r>
            <w:r>
              <w:rPr>
                <w:rFonts w:hint="eastAsia" w:ascii="宋体" w:hAnsi="宋体" w:eastAsia="宋体" w:cs="宋体"/>
                <w:color w:val="auto"/>
                <w:highlight w:val="none"/>
                <w:lang w:val="en-US" w:eastAsia="zh-CN"/>
              </w:rPr>
              <w:t>★</w:t>
            </w:r>
            <w:r>
              <w:rPr>
                <w:rFonts w:hint="eastAsia" w:ascii="等线" w:hAnsi="等线" w:eastAsia="等线" w:cs="Times New Roman"/>
                <w:b/>
                <w:bCs/>
                <w:color w:val="auto"/>
                <w:sz w:val="20"/>
                <w:szCs w:val="20"/>
                <w:highlight w:val="none"/>
              </w:rPr>
              <w:t>20.</w:t>
            </w:r>
            <w:r>
              <w:rPr>
                <w:rFonts w:hint="eastAsia" w:ascii="等线" w:hAnsi="等线" w:eastAsia="等线" w:cs="Times New Roman"/>
                <w:b/>
                <w:bCs/>
                <w:color w:val="auto"/>
                <w:sz w:val="20"/>
                <w:szCs w:val="20"/>
                <w:highlight w:val="none"/>
                <w:lang w:eastAsia="zh-CN"/>
              </w:rPr>
              <w:t xml:space="preserve"> </w:t>
            </w:r>
            <w:r>
              <w:rPr>
                <w:rFonts w:hint="eastAsia" w:ascii="等线" w:hAnsi="等线" w:eastAsia="等线" w:cs="Times New Roman"/>
                <w:b/>
                <w:bCs/>
                <w:color w:val="auto"/>
                <w:sz w:val="20"/>
                <w:szCs w:val="20"/>
                <w:highlight w:val="none"/>
              </w:rPr>
              <w:t>要求满足社会资源接入需求，可实现与吐鲁番市政法雪亮平台、≥2社会资源接入平台无缝对接，并提供相关证明资料</w:t>
            </w:r>
            <w:r>
              <w:rPr>
                <w:rFonts w:hint="eastAsia" w:ascii="等线" w:hAnsi="等线" w:eastAsia="等线" w:cs="Times New Roman"/>
                <w:b/>
                <w:bCs/>
                <w:color w:val="auto"/>
                <w:sz w:val="20"/>
                <w:szCs w:val="20"/>
                <w:highlight w:val="none"/>
                <w:lang w:eastAsia="zh-CN"/>
              </w:rPr>
              <w:t>，</w:t>
            </w:r>
            <w:r>
              <w:rPr>
                <w:rFonts w:hint="eastAsia" w:ascii="等线" w:hAnsi="等线" w:eastAsia="等线" w:cs="Times New Roman"/>
                <w:b/>
                <w:bCs/>
                <w:color w:val="auto"/>
                <w:sz w:val="20"/>
                <w:szCs w:val="20"/>
                <w:highlight w:val="none"/>
              </w:rPr>
              <w:t>产品售后服务承诺书</w:t>
            </w:r>
            <w:r>
              <w:rPr>
                <w:rFonts w:hint="eastAsia" w:ascii="等线" w:hAnsi="等线" w:eastAsia="等线" w:cs="Times New Roman"/>
                <w:b/>
                <w:bCs/>
                <w:color w:val="auto"/>
                <w:sz w:val="20"/>
                <w:szCs w:val="20"/>
                <w:highlight w:val="none"/>
                <w:lang w:eastAsia="zh-CN"/>
              </w:rPr>
              <w:t>，</w:t>
            </w:r>
            <w:r>
              <w:rPr>
                <w:rFonts w:hint="eastAsia" w:ascii="等线" w:hAnsi="等线" w:eastAsia="等线" w:cs="Times New Roman"/>
                <w:b/>
                <w:bCs/>
                <w:color w:val="auto"/>
                <w:sz w:val="20"/>
                <w:szCs w:val="20"/>
                <w:highlight w:val="none"/>
              </w:rPr>
              <w:t>原厂维保≥3年</w:t>
            </w:r>
            <w:r>
              <w:rPr>
                <w:rFonts w:hint="eastAsia" w:ascii="等线" w:hAnsi="等线" w:eastAsia="等线" w:cs="Times New Roman"/>
                <w:b/>
                <w:bCs/>
                <w:color w:val="auto"/>
                <w:sz w:val="20"/>
                <w:szCs w:val="20"/>
                <w:highlight w:val="none"/>
                <w:lang w:val="en-US" w:eastAsia="zh-CN"/>
              </w:rPr>
              <w:t xml:space="preserve"> </w:t>
            </w:r>
            <w:r>
              <w:rPr>
                <w:rFonts w:hint="eastAsia" w:ascii="等线" w:hAnsi="等线" w:eastAsia="等线" w:cs="Times New Roman"/>
                <w:b/>
                <w:bCs/>
                <w:color w:val="auto"/>
                <w:sz w:val="20"/>
                <w:szCs w:val="20"/>
                <w:highlight w:val="none"/>
              </w:rPr>
              <w:t xml:space="preserve"> </w:t>
            </w:r>
            <w:r>
              <w:rPr>
                <w:rFonts w:hint="eastAsia" w:ascii="等线" w:hAnsi="等线" w:eastAsia="等线" w:cs="Times New Roman"/>
                <w:color w:val="auto"/>
                <w:sz w:val="20"/>
                <w:szCs w:val="20"/>
                <w:highlight w:val="none"/>
              </w:rPr>
              <w:t xml:space="preserve">   </w:t>
            </w:r>
            <w:r>
              <w:rPr>
                <w:rFonts w:hint="eastAsia" w:ascii="等线" w:hAnsi="等线" w:eastAsia="等线" w:cs="Times New Roman"/>
                <w:color w:val="000000"/>
                <w:sz w:val="20"/>
                <w:szCs w:val="20"/>
              </w:rPr>
              <w:t xml:space="preserve">                                                                                                                                                                           </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4</w:t>
            </w:r>
            <w:r>
              <w:rPr>
                <w:rFonts w:hint="eastAsia" w:ascii="等线" w:hAnsi="等线" w:eastAsia="等线" w:cs="Times New Roman"/>
                <w:color w:val="00000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597" w:type="dxa"/>
            <w:vMerge w:val="continue"/>
            <w:tcBorders>
              <w:left w:val="single" w:color="auto" w:sz="12" w:space="0"/>
              <w:bottom w:val="single" w:color="auto" w:sz="6"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2.网络枪式摄像机</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1.枪型网络摄像机，其有低照度、宽动态等功能。主要接口：1个RJ45网口等。基本电气参数：DC12V、PoE供电。内置4.0mm/6.0mm/8.0mm镜头可选，内置GPU芯片及拾音器。                                                                                                                                                                    2.电源适应性检验：电源电压在DC12V±35%范围内变化时，样机应能正常工作。</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3.网线传输距离：样机和客户端之间使用300m超5类非屏蔽网线连接POE供电时，可正常显示监视画面。</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4.主输出接口检查：网络摄像机的基本接口为10/100M或10/100/1000M以太网接口，符合IEEE802.3标准，采用RJ45。</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5.最低照度试验：彩色≥0.0005lux（AGC ON, 应能分辨反射式视频矩阵测试卡中彩色色块）黑色≥0.0001 lux（AGC ON，RJ45输出，能分辨反射式视频分辨率测试卡中圆形轮廓）。</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6.红外距离试验：红外灯开启后，可识别样机100m处的人体轮廓。                                                                                                                                                     7.水平中心分辨力检验：不小于1400TVL（分辨率设置为2560 ×1440、帧率设置为 30 fps 码率设置为5Mbps、300lx光照环境、RJ45输出）。                                                                                     8.照度适应范围试验：照度适应范围不小于135dB。</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9.宽动态自动切换功能检查：在IE浏览器下，样机具有宽动态自动设置选项。在环境亮度变化时，可自动在宽动态关闭和开启间进行切换。                                                                                   10.走廊模式检查：开启走廊模式后，监控画面可90°旋转并自动调整宽高比。                                                                                                                                                 11.区域曝光功能检验：可通过IE浏览器在监视画面框选出曝光区域，以该区域作为参考区域曝光                                                                                                                                                         12.移动侦测功能检验：在设定的侦测区域内具有目标移动时，可在客户端给出报警提示，最多可设置396个移动侦测区域。                                                                                                           13.区域遮盖功能检验：可在监视画面上设置遮盖的区域，区域个数、大小、位置可设置，最多可设置8个区域。                                                                                                                              14.认证模式设置功能检查：可通过IE浏览器或客户端软件设置身份认证模式，设置选项包括无、Basic和Digest三种。                                                                                                                    15.网关ARP绑定功能检查：样机可通过IE浏览器添加并绑定样机所在网段网关的MAC地址，当其它终端样机访问样机时，若使用正确的网关MAC地址即样机绑定的MAC地址则可以正常访问样机；当使用错误的网关MAC地址即不是样机绑定的MAC地址则不能访问样机。                                                                                                                                                                                                          16.视频内容保护功能检查：样机可配置启用或关闭视频内容保护功能，启用该功能时可对视频图像码流（包括符合国标GB/T 28181-2011中编码规范要求的视频码流）进行随机混淆处理，即对每帧视频图像编码随机改变每帧视频数据报文中若干字节的内容后再进行网络传输。</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17.摄像机支持VPN协议穿越网闸、防火墙和NAT，实现复杂组网</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18.温度要求：-45℃-70℃</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19.外壳防护等级：IP68（IPX8：水下1m，1h）</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r>
              <w:rPr>
                <w:rFonts w:hint="eastAsia" w:ascii="宋体" w:hAnsi="宋体" w:eastAsia="宋体" w:cs="宋体"/>
                <w:color w:val="auto"/>
                <w:highlight w:val="none"/>
                <w:lang w:val="en-US" w:eastAsia="zh-CN"/>
              </w:rPr>
              <w:t>★</w:t>
            </w:r>
            <w:r>
              <w:rPr>
                <w:rFonts w:hint="eastAsia" w:ascii="等线" w:hAnsi="等线" w:eastAsia="等线" w:cs="Times New Roman"/>
                <w:b/>
                <w:bCs/>
                <w:color w:val="000000"/>
                <w:sz w:val="20"/>
                <w:szCs w:val="20"/>
                <w:highlight w:val="none"/>
              </w:rPr>
              <w:t>20.</w:t>
            </w:r>
            <w:r>
              <w:rPr>
                <w:rFonts w:hint="eastAsia" w:ascii="等线" w:hAnsi="等线" w:eastAsia="等线" w:cs="Times New Roman"/>
                <w:b/>
                <w:bCs/>
                <w:color w:val="000000"/>
                <w:sz w:val="20"/>
                <w:szCs w:val="20"/>
                <w:highlight w:val="none"/>
                <w:lang w:eastAsia="zh-CN"/>
              </w:rPr>
              <w:t xml:space="preserve"> </w:t>
            </w:r>
            <w:r>
              <w:rPr>
                <w:rFonts w:hint="eastAsia" w:ascii="等线" w:hAnsi="等线" w:eastAsia="等线" w:cs="Times New Roman"/>
                <w:b/>
                <w:bCs/>
                <w:color w:val="000000"/>
                <w:sz w:val="20"/>
                <w:szCs w:val="20"/>
                <w:highlight w:val="none"/>
              </w:rPr>
              <w:t>要求满足社会资源接入需求，可实现与吐鲁番市政法雪亮平台、≥2社会资源接入平台无缝对接，并提供相关证明资料</w:t>
            </w:r>
            <w:r>
              <w:rPr>
                <w:rFonts w:hint="eastAsia" w:ascii="等线" w:hAnsi="等线" w:eastAsia="等线" w:cs="Times New Roman"/>
                <w:b/>
                <w:bCs/>
                <w:color w:val="000000"/>
                <w:sz w:val="20"/>
                <w:szCs w:val="20"/>
                <w:highlight w:val="none"/>
                <w:lang w:eastAsia="zh-CN"/>
              </w:rPr>
              <w:t>，</w:t>
            </w:r>
            <w:r>
              <w:rPr>
                <w:rFonts w:hint="eastAsia" w:ascii="等线" w:hAnsi="等线" w:eastAsia="等线" w:cs="Times New Roman"/>
                <w:b/>
                <w:bCs/>
                <w:color w:val="000000"/>
                <w:sz w:val="20"/>
                <w:szCs w:val="20"/>
                <w:highlight w:val="none"/>
              </w:rPr>
              <w:t>产品售后服务承诺</w:t>
            </w:r>
            <w:r>
              <w:rPr>
                <w:rFonts w:hint="eastAsia" w:ascii="等线" w:hAnsi="等线" w:eastAsia="等线" w:cs="Times New Roman"/>
                <w:b/>
                <w:bCs/>
                <w:color w:val="000000"/>
                <w:sz w:val="20"/>
                <w:szCs w:val="20"/>
                <w:highlight w:val="none"/>
                <w:lang w:eastAsia="zh-CN"/>
              </w:rPr>
              <w:t>书。</w:t>
            </w:r>
            <w:r>
              <w:rPr>
                <w:rFonts w:hint="eastAsia" w:ascii="等线" w:hAnsi="等线" w:eastAsia="等线" w:cs="Times New Roman"/>
                <w:b/>
                <w:bCs/>
                <w:color w:val="000000"/>
                <w:sz w:val="20"/>
                <w:szCs w:val="20"/>
                <w:highlight w:val="none"/>
              </w:rPr>
              <w:t>原厂维保≥3年</w:t>
            </w:r>
            <w:r>
              <w:rPr>
                <w:rFonts w:hint="eastAsia" w:ascii="等线" w:hAnsi="等线" w:eastAsia="等线" w:cs="Times New Roman"/>
                <w:color w:val="000000"/>
                <w:sz w:val="20"/>
                <w:szCs w:val="20"/>
                <w:highlight w:val="none"/>
              </w:rPr>
              <w:t xml:space="preserve">   </w:t>
            </w:r>
            <w:r>
              <w:rPr>
                <w:rFonts w:hint="eastAsia" w:ascii="等线" w:hAnsi="等线" w:eastAsia="等线" w:cs="Times New Roman"/>
                <w:color w:val="000000"/>
                <w:sz w:val="20"/>
                <w:szCs w:val="20"/>
              </w:rPr>
              <w:t xml:space="preserve">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w:t>
            </w:r>
            <w:r>
              <w:rPr>
                <w:rFonts w:hint="eastAsia" w:ascii="等线" w:hAnsi="等线" w:eastAsia="等线" w:cs="Times New Roman"/>
                <w:color w:val="000000"/>
                <w:sz w:val="20"/>
                <w:szCs w:val="20"/>
                <w:lang w:val="en-US" w:eastAsia="zh-CN"/>
              </w:rPr>
              <w:t>00</w:t>
            </w:r>
            <w:r>
              <w:rPr>
                <w:rFonts w:hint="eastAsia" w:ascii="等线" w:hAnsi="等线" w:eastAsia="等线" w:cs="Times New Roman"/>
                <w:color w:val="00000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1" w:hRule="atLeast"/>
        </w:trPr>
        <w:tc>
          <w:tcPr>
            <w:tcW w:w="597" w:type="dxa"/>
            <w:tcBorders>
              <w:top w:val="single" w:color="auto" w:sz="6" w:space="0"/>
              <w:left w:val="single" w:color="auto" w:sz="12" w:space="0"/>
              <w:bottom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3.警戒网络摄像机</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b w:val="0"/>
                <w:bCs w:val="0"/>
                <w:color w:val="000000"/>
                <w:sz w:val="20"/>
                <w:szCs w:val="20"/>
              </w:rPr>
            </w:pPr>
            <w:r>
              <w:rPr>
                <w:rFonts w:hint="eastAsia" w:ascii="宋体" w:hAnsi="宋体" w:eastAsia="宋体" w:cs="宋体"/>
                <w:color w:val="auto"/>
                <w:highlight w:val="none"/>
                <w:lang w:val="en-US" w:eastAsia="zh-CN"/>
              </w:rPr>
              <w:t>★</w:t>
            </w:r>
            <w:r>
              <w:rPr>
                <w:rFonts w:hint="eastAsia" w:ascii="等线" w:hAnsi="等线" w:eastAsia="等线" w:cs="Times New Roman"/>
                <w:color w:val="auto"/>
                <w:sz w:val="20"/>
                <w:szCs w:val="20"/>
                <w:highlight w:val="none"/>
              </w:rPr>
              <w:t>1</w:t>
            </w:r>
            <w:r>
              <w:rPr>
                <w:rFonts w:hint="eastAsia" w:ascii="等线" w:hAnsi="等线" w:eastAsia="等线" w:cs="Times New Roman"/>
                <w:b/>
                <w:bCs/>
                <w:color w:val="auto"/>
                <w:sz w:val="20"/>
                <w:szCs w:val="20"/>
                <w:highlight w:val="none"/>
              </w:rPr>
              <w:t>.双光警戒枪型网络摄像机内置1个GPU芯片和1个拾音器，</w:t>
            </w:r>
            <w:r>
              <w:rPr>
                <w:rFonts w:hint="eastAsia" w:ascii="等线" w:hAnsi="等线" w:eastAsia="等线" w:cs="Times New Roman"/>
                <w:b w:val="0"/>
                <w:bCs w:val="0"/>
                <w:color w:val="auto"/>
                <w:sz w:val="20"/>
                <w:szCs w:val="20"/>
                <w:highlight w:val="none"/>
              </w:rPr>
              <w:t>具有1个RJ45接口</w:t>
            </w:r>
            <w:r>
              <w:rPr>
                <w:rFonts w:hint="eastAsia" w:ascii="等线" w:hAnsi="等线" w:eastAsia="等线" w:cs="Times New Roman"/>
                <w:b/>
                <w:bCs/>
                <w:color w:val="auto"/>
                <w:sz w:val="20"/>
                <w:szCs w:val="20"/>
                <w:highlight w:val="none"/>
              </w:rPr>
              <w:t xml:space="preserve">、1个音频输入接口、1个音频输出接口、1个TF卡槽、1个报警输入接口、1个报警输出接口。样机采用DC12V或POE供电。     </w:t>
            </w:r>
            <w:r>
              <w:rPr>
                <w:rFonts w:hint="eastAsia" w:ascii="等线" w:hAnsi="等线" w:eastAsia="等线" w:cs="Times New Roman"/>
                <w:b/>
                <w:bCs/>
                <w:color w:val="000000"/>
                <w:sz w:val="20"/>
                <w:szCs w:val="20"/>
              </w:rPr>
              <w:t xml:space="preserve">                                                                                                                                                                    </w:t>
            </w:r>
            <w:r>
              <w:rPr>
                <w:rFonts w:hint="eastAsia" w:ascii="等线" w:hAnsi="等线" w:eastAsia="等线" w:cs="Times New Roman"/>
                <w:b w:val="0"/>
                <w:bCs w:val="0"/>
                <w:color w:val="000000"/>
                <w:sz w:val="20"/>
                <w:szCs w:val="20"/>
              </w:rPr>
              <w:t>2.存储方式检验：样机具有MicroSD卡插槽，支持 MicroSDHC/MicroSDXC，支持容量小于等于512GB的内存卡，支持内存卡热插拔。</w:t>
            </w:r>
            <w:r>
              <w:rPr>
                <w:rFonts w:hint="eastAsia" w:ascii="等线" w:hAnsi="等线" w:eastAsia="等线" w:cs="Times New Roman"/>
                <w:b w:val="0"/>
                <w:bCs w:val="0"/>
                <w:color w:val="000000"/>
                <w:sz w:val="20"/>
                <w:szCs w:val="20"/>
                <w:lang w:eastAsia="zh-CN"/>
              </w:rPr>
              <w:t xml:space="preserve">   </w:t>
            </w:r>
            <w:r>
              <w:rPr>
                <w:rFonts w:hint="eastAsia" w:ascii="等线" w:hAnsi="等线" w:eastAsia="等线" w:cs="Times New Roman"/>
                <w:b w:val="0"/>
                <w:bCs w:val="0"/>
                <w:color w:val="000000"/>
                <w:sz w:val="20"/>
                <w:szCs w:val="20"/>
              </w:rPr>
              <w:t xml:space="preserve">                                                                                                                                                                                              3.拾音距离检验：样机可对距离样机10m处的声音进行采集，并可通过客户端软件进行播放。</w:t>
            </w:r>
            <w:r>
              <w:rPr>
                <w:rFonts w:hint="eastAsia" w:ascii="等线" w:hAnsi="等线" w:eastAsia="等线" w:cs="Times New Roman"/>
                <w:b w:val="0"/>
                <w:bCs w:val="0"/>
                <w:color w:val="000000"/>
                <w:sz w:val="20"/>
                <w:szCs w:val="20"/>
                <w:lang w:eastAsia="zh-CN"/>
              </w:rPr>
              <w:t xml:space="preserve">   </w:t>
            </w:r>
            <w:r>
              <w:rPr>
                <w:rFonts w:hint="eastAsia" w:ascii="等线" w:hAnsi="等线" w:eastAsia="等线" w:cs="Times New Roman"/>
                <w:b w:val="0"/>
                <w:bCs w:val="0"/>
                <w:color w:val="000000"/>
                <w:sz w:val="20"/>
                <w:szCs w:val="20"/>
              </w:rPr>
              <w:t xml:space="preserve">                                                                    4.电源适应范围检验：未使用适配器的情况下，电源电压在DC12V±35%范围内变化时，样机应能正常工作。</w:t>
            </w:r>
            <w:r>
              <w:rPr>
                <w:rFonts w:hint="eastAsia" w:ascii="等线" w:hAnsi="等线" w:eastAsia="等线" w:cs="Times New Roman"/>
                <w:b w:val="0"/>
                <w:bCs w:val="0"/>
                <w:color w:val="000000"/>
                <w:sz w:val="20"/>
                <w:szCs w:val="20"/>
                <w:lang w:eastAsia="zh-CN"/>
              </w:rPr>
              <w:t xml:space="preserve"> </w:t>
            </w:r>
            <w:r>
              <w:rPr>
                <w:rFonts w:hint="eastAsia" w:ascii="等线" w:hAnsi="等线" w:eastAsia="等线" w:cs="Times New Roman"/>
                <w:b w:val="0"/>
                <w:bCs w:val="0"/>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b w:val="0"/>
                <w:bCs w:val="0"/>
                <w:color w:val="000000"/>
                <w:sz w:val="20"/>
                <w:szCs w:val="20"/>
              </w:rPr>
              <w:t>5. 网线传输距离检验：样机和客户端之间使用300m超5类非屏蔽网线连接POE供电时，可正常显示监视画面。                                                                                6.主输出接口检验：网络摄像机的基本接口为10/100M或10/100/1000M以太网接口，符合IEEE802.3标准，采用RJ45接口。                                                                7.最低照度检验：彩色≤0.0005lux（AGC ON,RJ45输出、 应能分辨反射式视频矩阵测试卡中彩色色块）黑色≤0.0001 lux（AGC ON，RJ45输出，应能分辨反射式视频分辨率测试卡中圆形轮廓）。</w:t>
            </w:r>
            <w:r>
              <w:rPr>
                <w:rFonts w:hint="eastAsia" w:ascii="等线" w:hAnsi="等线" w:eastAsia="等线" w:cs="Times New Roman"/>
                <w:b w:val="0"/>
                <w:bCs w:val="0"/>
                <w:color w:val="000000"/>
                <w:sz w:val="20"/>
                <w:szCs w:val="20"/>
                <w:lang w:eastAsia="zh-CN"/>
              </w:rPr>
              <w:t xml:space="preserve">   </w:t>
            </w:r>
            <w:r>
              <w:rPr>
                <w:rFonts w:hint="eastAsia" w:ascii="等线" w:hAnsi="等线" w:eastAsia="等线" w:cs="Times New Roman"/>
                <w:b w:val="0"/>
                <w:bCs w:val="0"/>
                <w:color w:val="000000"/>
                <w:sz w:val="20"/>
                <w:szCs w:val="20"/>
              </w:rPr>
              <w:t xml:space="preserve">                                                                                                                                             8.夜视距离检验：可识别距离样机150m处人体轮廓（1.7m×0.5m）轮廓。                                                                                                                  9.水平中心分辨力检验：不小于1400TVL（分辨率设置为2688 ×152、帧率设置为 30 fps 码率设置为6Mbps、300lx光照环境、RJ45输出）。                                                  10.照度适应范围检验：照度适应范围不小于135dB。</w:t>
            </w:r>
            <w:r>
              <w:rPr>
                <w:rFonts w:hint="eastAsia" w:ascii="等线" w:hAnsi="等线" w:eastAsia="等线" w:cs="Times New Roman"/>
                <w:b w:val="0"/>
                <w:bCs w:val="0"/>
                <w:color w:val="000000"/>
                <w:sz w:val="20"/>
                <w:szCs w:val="20"/>
                <w:lang w:eastAsia="zh-CN"/>
              </w:rPr>
              <w:t xml:space="preserve">   </w:t>
            </w:r>
            <w:r>
              <w:rPr>
                <w:rFonts w:hint="eastAsia" w:ascii="等线" w:hAnsi="等线" w:eastAsia="等线" w:cs="Times New Roman"/>
                <w:b w:val="0"/>
                <w:bCs w:val="0"/>
                <w:color w:val="000000"/>
                <w:sz w:val="20"/>
                <w:szCs w:val="20"/>
              </w:rPr>
              <w:t xml:space="preserve">                                                                                                                                                                                              11.走廊模式检验：开启走廊模式后，监控画面可90°旋转并自动调整宽高比。                                                                                                 12.移动侦测功能检验：在设定的侦测区域内具有目标移动时，可在客户端给出报警提示，最多可设置18×22个移动侦测区域  。       </w:t>
            </w:r>
            <w:r>
              <w:rPr>
                <w:rFonts w:hint="eastAsia" w:ascii="等线" w:hAnsi="等线" w:eastAsia="等线" w:cs="Times New Roman"/>
                <w:b/>
                <w:bCs/>
                <w:color w:val="000000"/>
                <w:sz w:val="20"/>
                <w:szCs w:val="20"/>
              </w:rPr>
              <w:t xml:space="preserve">                                                        </w:t>
            </w:r>
            <w:r>
              <w:rPr>
                <w:rFonts w:hint="eastAsia" w:ascii="等线" w:hAnsi="等线" w:eastAsia="等线" w:cs="Times New Roman"/>
                <w:color w:val="000000"/>
                <w:sz w:val="20"/>
                <w:szCs w:val="20"/>
              </w:rPr>
              <w:t>13.区域遮盖功能检验：可在监视画面上设置至少8个遮盖的区域，区域的大小、位置可设置。                                                                                                  14.视频内容保护功能检验：样机可配置启用或关闭视频内容保护功能，启用该功能时可对视频图像码流进行随机混淆处理，即对每帧视频图像编码随机改变每帧视频数据报文中若干字节的内容后再进行网络传输。通过提取样机通信网络数据包方式获得的经过数字随机混淆处理的视频码流无法正常播放。</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15.外壳防护能力检验：应符合GB/T4208-2017中IP68的要求（水下1m，持续时间1h）</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产品售后服务承诺书</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原厂维保≥3年。</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8</w:t>
            </w:r>
            <w:r>
              <w:rPr>
                <w:rFonts w:hint="eastAsia" w:ascii="等线" w:hAnsi="等线" w:eastAsia="等线" w:cs="Times New Roman"/>
                <w:color w:val="000000"/>
                <w:sz w:val="20"/>
                <w:szCs w:val="20"/>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9" w:hRule="atLeast"/>
        </w:trPr>
        <w:tc>
          <w:tcPr>
            <w:tcW w:w="597" w:type="dxa"/>
            <w:tcBorders>
              <w:top w:val="single" w:color="auto" w:sz="6" w:space="0"/>
              <w:left w:val="single" w:color="auto" w:sz="12" w:space="0"/>
              <w:bottom w:val="single" w:color="auto" w:sz="6"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default" w:ascii="等线" w:hAnsi="等线" w:eastAsia="等线" w:cs="Times New Roman"/>
                <w:color w:val="000000"/>
                <w:sz w:val="28"/>
                <w:szCs w:val="24"/>
                <w:lang w:val="en-US" w:eastAsia="zh-CN"/>
              </w:rPr>
            </w:pPr>
            <w:r>
              <w:rPr>
                <w:rFonts w:hint="eastAsia" w:ascii="等线" w:hAnsi="等线" w:eastAsia="等线" w:cs="Times New Roman"/>
                <w:color w:val="000000"/>
                <w:sz w:val="28"/>
                <w:szCs w:val="24"/>
                <w:lang w:eastAsia="zh-CN"/>
              </w:rPr>
              <w:t xml:space="preserve"> </w:t>
            </w:r>
            <w:r>
              <w:rPr>
                <w:rFonts w:hint="eastAsia" w:ascii="等线" w:hAnsi="等线" w:eastAsia="等线" w:cs="Times New Roman"/>
                <w:color w:val="000000"/>
                <w:sz w:val="28"/>
                <w:szCs w:val="24"/>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2</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64路硬盘录像机</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1.</w:t>
            </w:r>
            <w:r>
              <w:rPr>
                <w:rFonts w:hint="eastAsia" w:ascii="等线" w:hAnsi="等线" w:eastAsia="等线" w:cs="Times New Roman"/>
                <w:color w:val="000000"/>
                <w:sz w:val="20"/>
                <w:szCs w:val="20"/>
              </w:rPr>
              <w:t>支持2个RJ45 10M/100M/1000M自适应以太网口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b/>
                <w:bCs/>
                <w:color w:val="000000"/>
                <w:sz w:val="20"/>
                <w:szCs w:val="20"/>
                <w:highlight w:val="none"/>
              </w:rPr>
            </w:pPr>
            <w:r>
              <w:rPr>
                <w:rFonts w:hint="eastAsia" w:ascii="等线" w:hAnsi="等线" w:eastAsia="等线" w:cs="Times New Roman"/>
                <w:color w:val="000000"/>
                <w:sz w:val="20"/>
                <w:szCs w:val="20"/>
              </w:rPr>
              <w:t>2.支持1个HDMI接口、1个VGA接口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3.支持1对音频输入/输出接口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r>
              <w:rPr>
                <w:rFonts w:hint="eastAsia" w:ascii="等线" w:hAnsi="等线" w:eastAsia="等线" w:cs="Times New Roman"/>
                <w:color w:val="000000"/>
                <w:sz w:val="20"/>
                <w:szCs w:val="20"/>
                <w:highlight w:val="none"/>
              </w:rPr>
              <w:t>4.支持2个USB2.0接口，1个USB3.0接口，8个SATA接口</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r>
              <w:rPr>
                <w:rFonts w:hint="eastAsia" w:ascii="等线" w:hAnsi="等线" w:eastAsia="等线" w:cs="Times New Roman"/>
                <w:b/>
                <w:bCs/>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宋体" w:hAnsi="宋体" w:eastAsia="宋体" w:cs="宋体"/>
                <w:color w:val="auto"/>
                <w:highlight w:val="none"/>
                <w:lang w:val="en-US" w:eastAsia="zh-CN"/>
              </w:rPr>
              <w:t>★</w:t>
            </w:r>
            <w:r>
              <w:rPr>
                <w:rFonts w:hint="eastAsia" w:ascii="等线" w:hAnsi="等线" w:eastAsia="等线" w:cs="Times New Roman"/>
                <w:b/>
                <w:bCs/>
                <w:color w:val="000000"/>
                <w:sz w:val="20"/>
                <w:szCs w:val="20"/>
                <w:highlight w:val="none"/>
              </w:rPr>
              <w:t>5.支持16个报警输入接口，4个报警输出接口</w:t>
            </w:r>
            <w:r>
              <w:rPr>
                <w:rFonts w:hint="eastAsia" w:ascii="等线" w:hAnsi="等线" w:eastAsia="等线" w:cs="Times New Roman"/>
                <w:b/>
                <w:bCs/>
                <w:color w:val="000000"/>
                <w:sz w:val="20"/>
                <w:szCs w:val="20"/>
                <w:highlight w:val="none"/>
                <w:lang w:eastAsia="zh-CN"/>
              </w:rPr>
              <w:t xml:space="preserve">   </w:t>
            </w:r>
            <w:r>
              <w:rPr>
                <w:rFonts w:hint="eastAsia" w:ascii="等线" w:hAnsi="等线" w:eastAsia="等线" w:cs="Times New Roman"/>
                <w:b/>
                <w:bCs/>
                <w:color w:val="000000"/>
                <w:sz w:val="20"/>
                <w:szCs w:val="20"/>
                <w:highlight w:val="none"/>
              </w:rPr>
              <w:t xml:space="preserve">                                                                    </w:t>
            </w:r>
            <w:r>
              <w:rPr>
                <w:rFonts w:hint="eastAsia" w:ascii="等线" w:hAnsi="等线" w:eastAsia="等线" w:cs="Times New Roman"/>
                <w:color w:val="000000"/>
                <w:sz w:val="20"/>
                <w:szCs w:val="20"/>
                <w:highlight w:val="none"/>
                <w:lang w:val="en-US" w:eastAsia="zh-CN"/>
              </w:rPr>
              <w:t xml:space="preserve">6.支持1个硬盘指示灯实时显示硬盘运行状态、1个运行指示灯（RUN）、1个网络状态指示灯（NET）、1个云状态指示灯（CLOUD）  </w:t>
            </w:r>
            <w:r>
              <w:rPr>
                <w:rFonts w:hint="eastAsia" w:ascii="等线" w:hAnsi="等线" w:eastAsia="等线" w:cs="Times New Roman"/>
                <w:b/>
                <w:bCs/>
                <w:color w:val="000000"/>
                <w:sz w:val="20"/>
                <w:szCs w:val="20"/>
                <w:highlight w:val="none"/>
              </w:rPr>
              <w:t xml:space="preserve">                                                                                                                                  </w:t>
            </w:r>
            <w:r>
              <w:rPr>
                <w:rFonts w:hint="eastAsia" w:ascii="宋体" w:hAnsi="宋体" w:eastAsia="宋体" w:cs="宋体"/>
                <w:color w:val="auto"/>
                <w:highlight w:val="none"/>
                <w:lang w:val="en-US" w:eastAsia="zh-CN"/>
              </w:rPr>
              <w:t>★</w:t>
            </w:r>
            <w:r>
              <w:rPr>
                <w:rFonts w:hint="eastAsia" w:ascii="等线" w:hAnsi="等线" w:eastAsia="等线" w:cs="Times New Roman"/>
                <w:b/>
                <w:bCs/>
                <w:color w:val="000000"/>
                <w:sz w:val="20"/>
                <w:szCs w:val="20"/>
                <w:highlight w:val="none"/>
              </w:rPr>
              <w:t xml:space="preserve">7.支持64路12MP及以下分辨率的IPC的接入，支持64路12MP及以下分辨率的IPC的视频图像的存储，支持64路12MP及以下分辨率的IPC的视频图像的转发。    </w:t>
            </w:r>
            <w:r>
              <w:rPr>
                <w:rFonts w:hint="eastAsia" w:ascii="等线" w:hAnsi="等线" w:eastAsia="等线" w:cs="Times New Roman"/>
                <w:b/>
                <w:bCs/>
                <w:color w:val="000000"/>
                <w:sz w:val="20"/>
                <w:szCs w:val="20"/>
              </w:rPr>
              <w:t xml:space="preserve">                                                                                                                        </w:t>
            </w:r>
            <w:r>
              <w:rPr>
                <w:rFonts w:hint="eastAsia" w:ascii="等线" w:hAnsi="等线" w:eastAsia="等线" w:cs="Times New Roman"/>
                <w:color w:val="000000"/>
                <w:sz w:val="20"/>
                <w:szCs w:val="20"/>
              </w:rPr>
              <w:t>8.NVR总资源为满负载条件下的最大接入带宽960Mbps、最大存储带宽960Mbps、最大回放带宽960Mbps、最大转发带宽960Mbps</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9.支持对接入的摄像机图像进行抓拍，抓拍的图片分辨率包括12MP(4000×3000)、4K（4096×2160）、6MP、5MP、3MP、1080P、960P、720P、960H、D1及以下分辨率的图片。                                                                                                                                     10.可接入H.265、H.264、H.265+、H.264+、超级H.265+、超级H.264+视频编码格式的IPC 。                                                                      11.支持VGA和HDMI视频输出同源与异源切换。                                                                                                          12.支持将不小于16路1080P分辨率的视频图像拼接为1路视频图像输出显示，拼接通道显示输出的视频图像分辨率可设置为4000×3000@30、4096×2160@30、3840×2160@30、1920×1080@30、1280×720@30、704×576@30 。                                                                                  13.可接入1T-22T容量的SATA接口硬盘，可接入AI硬盘，可接入加密硬盘，支持不同品牌的监控级和企业级硬盘混合接入</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14.支持一键跳转至通道最早的录像所在时间点开始播放录像</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15.支持秒级存储和回放，可存储和回放设备断电断网前一秒的录像</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16.录像采用裸数据不分段存储；数据具备安全性，对于存储介质上的数据只可以在同款型号和软件版本匹配的设备被读取，不可被直接复制</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b/>
                <w:bCs/>
                <w:color w:val="000000"/>
                <w:sz w:val="20"/>
                <w:szCs w:val="20"/>
              </w:rPr>
            </w:pPr>
            <w:r>
              <w:rPr>
                <w:rFonts w:hint="eastAsia" w:ascii="等线" w:hAnsi="等线" w:eastAsia="等线" w:cs="Times New Roman"/>
                <w:color w:val="000000"/>
                <w:sz w:val="20"/>
                <w:szCs w:val="20"/>
              </w:rPr>
              <w:t>17.支持存储数据保护，即使NVR硬盘被盗，也无法使用第三方服务器或PC机上读取被盗硬盘数据</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18.支持同时添加不低于10种其他品牌的摄像机，并支持修改第三方摄像机的IP地址、图像参数、OSD、灯光等配置信息</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19.支持标准GB/T28181协议、标准ONVIF协议、私有、自定义等协议接入</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r>
              <w:rPr>
                <w:rFonts w:hint="eastAsia" w:ascii="等线" w:hAnsi="等线" w:eastAsia="等线" w:cs="Times New Roman"/>
                <w:b/>
                <w:bCs/>
                <w:color w:val="000000"/>
                <w:sz w:val="20"/>
                <w:szCs w:val="20"/>
              </w:rPr>
              <w:t xml:space="preserve">                                                                                                                                                            </w:t>
            </w:r>
            <w:r>
              <w:rPr>
                <w:rFonts w:hint="eastAsia" w:ascii="宋体" w:hAnsi="宋体" w:eastAsia="宋体" w:cs="宋体"/>
                <w:color w:val="auto"/>
                <w:highlight w:val="none"/>
                <w:lang w:val="en-US" w:eastAsia="zh-CN"/>
              </w:rPr>
              <w:t>★</w:t>
            </w:r>
            <w:r>
              <w:rPr>
                <w:rFonts w:hint="eastAsia" w:ascii="等线" w:hAnsi="等线" w:eastAsia="等线" w:cs="Times New Roman"/>
                <w:b/>
                <w:bCs/>
                <w:color w:val="auto"/>
                <w:sz w:val="20"/>
                <w:szCs w:val="20"/>
                <w:highlight w:val="none"/>
              </w:rPr>
              <w:t>20.支持32路视频流人脸识别，支持64路图片流人脸识别</w:t>
            </w:r>
            <w:r>
              <w:rPr>
                <w:rFonts w:hint="eastAsia" w:ascii="等线" w:hAnsi="等线" w:eastAsia="等线" w:cs="Times New Roman"/>
                <w:b/>
                <w:bCs/>
                <w:color w:val="auto"/>
                <w:sz w:val="20"/>
                <w:szCs w:val="20"/>
                <w:highlight w:val="none"/>
                <w:lang w:eastAsia="zh-CN"/>
              </w:rPr>
              <w:t xml:space="preserve">   </w:t>
            </w:r>
            <w:r>
              <w:rPr>
                <w:rFonts w:hint="eastAsia" w:ascii="等线" w:hAnsi="等线" w:eastAsia="等线" w:cs="Times New Roman"/>
                <w:b/>
                <w:bCs/>
                <w:color w:val="auto"/>
                <w:sz w:val="20"/>
                <w:szCs w:val="20"/>
                <w:highlight w:val="none"/>
              </w:rPr>
              <w:t>要求满足社会资源接入需求，可实现与吐鲁番市政法雪亮平台、≥2社会资源接入平台无缝对接，（并提供相关证明资料），产品售后服务承诺书</w:t>
            </w:r>
            <w:r>
              <w:rPr>
                <w:rFonts w:hint="eastAsia" w:ascii="等线" w:hAnsi="等线" w:eastAsia="等线" w:cs="Times New Roman"/>
                <w:b/>
                <w:bCs/>
                <w:color w:val="auto"/>
                <w:sz w:val="20"/>
                <w:szCs w:val="20"/>
                <w:highlight w:val="none"/>
                <w:lang w:eastAsia="zh-CN"/>
              </w:rPr>
              <w:t>，</w:t>
            </w:r>
            <w:r>
              <w:rPr>
                <w:rFonts w:hint="eastAsia" w:ascii="等线" w:hAnsi="等线" w:eastAsia="等线" w:cs="Times New Roman"/>
                <w:b/>
                <w:bCs/>
                <w:color w:val="auto"/>
                <w:sz w:val="20"/>
                <w:szCs w:val="20"/>
                <w:highlight w:val="none"/>
              </w:rPr>
              <w:t xml:space="preserve">原厂维保≥3年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4</w:t>
            </w:r>
            <w:r>
              <w:rPr>
                <w:rFonts w:hint="eastAsia" w:ascii="等线" w:hAnsi="等线" w:eastAsia="等线" w:cs="Times New Roman"/>
                <w:color w:val="000000"/>
                <w:sz w:val="20"/>
                <w:szCs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3" w:hRule="atLeast"/>
        </w:trPr>
        <w:tc>
          <w:tcPr>
            <w:tcW w:w="597" w:type="dxa"/>
            <w:tcBorders>
              <w:top w:val="single" w:color="auto" w:sz="6" w:space="0"/>
              <w:left w:val="single" w:color="auto" w:sz="12" w:space="0"/>
              <w:bottom w:val="single" w:color="auto" w:sz="6"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lang w:val="en-US" w:eastAsia="zh-CN"/>
              </w:rPr>
              <w:t>32</w:t>
            </w:r>
            <w:r>
              <w:rPr>
                <w:rFonts w:hint="eastAsia" w:ascii="等线" w:hAnsi="等线" w:eastAsia="等线" w:cs="Times New Roman"/>
                <w:color w:val="000000"/>
                <w:sz w:val="20"/>
                <w:szCs w:val="20"/>
              </w:rPr>
              <w:t>路硬盘录像机</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1.支持2个RJ45 10M/100M/1000M自适应以太网口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2.支持1个HDMI接口、1个VGA接口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3.支持1对音频输入/输出接口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4.支持2个USB2.0接口，1个USB3.0接口，8个SATA接口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5.支持16个报警输入接口，4个报警输出接口</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6.支持1个硬盘指示灯实时显示硬盘运行状态、1个运行指示灯（RUN）、1个网络状态指示灯（NET）、1个云状态指示灯（CLOUD）</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7.支持32路12MP及以下分辨率的IPC的接入，支持32路12MP及以下分辨率的IPC的视频图像的存储，支持32路12MP及以下分辨率的IPC的视频图像的转发 .                                                                                                                          8.NVR总资源为满负载条件下的最大接入带宽960Mbps、最大存储带宽960Mbps、最大回放带宽960Mbps、最大转发带宽960Mbps</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 xml:space="preserve">9.支持对接入的摄像机图像进行抓拍，抓拍的图片分辨率包括12MP(4000×3000)、4K（4096×2160）、6MP、5MP、3MP、1080P、960P、720P、960H、D1及以下分辨率的图片.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10.可接入H.265、H.264、H.265+、H.264+、超级H.265+、超级H.264+视频编码格式的IPC 。                                                                11.支持VGA和HDMI视频输出同源与异源切换。                                                                                                            12.支持将不小于16路1080P分辨率的视频图像拼接为1路视频图像输出显示，拼接通道显示输出的视频图像分辨率可设置为4000×3000@30、4096×2160@30、3840×2160@30、1920×1080@30、1280×720@30、704×576@30。                                                                                         13.可接入1T-22T容量的SATA接口硬盘，可接入AI硬盘，可接入加密硬盘，支持不同品牌的监控级和企业级硬盘混合接入</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14.支持一键跳转至通道最早的录像所在时间点开始播放录像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15.支持秒级存储和回放，可存储和回放设备断电断网前一秒的录像</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16.录像采用裸数据不分段存储；数据具备安全性，对于存储介质上的数据只可以在同款型号和软件版本匹配的设备被读取，不可被直接复制</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17.支持存储数据保护，即使NVR硬盘被盗，也无法使用第三方服务器或PC机上读取被盗硬盘数据</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18.支持同时添加不低于10种其他品牌的摄像机，并支持修改第三方摄像机的IP地址、图像参数、OSD、灯光等配置信息</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19.支持标准GB/T28181协议、标准ONVIF协议、私有、自定义等协议接入</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20.支持32路视频流人脸识别，支持64路图片流人脸识别</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要求满足社会资源接入需求，可实现与吐鲁番市政法雪亮平台、≥2社会资源接入平台无缝对接，（并提供相关证明资料），产品售后服务承诺书</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 xml:space="preserve">原厂维保≥3年 </w:t>
            </w:r>
          </w:p>
        </w:tc>
        <w:tc>
          <w:tcPr>
            <w:tcW w:w="848"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4</w:t>
            </w:r>
            <w:r>
              <w:rPr>
                <w:rFonts w:hint="eastAsia" w:ascii="等线" w:hAnsi="等线" w:eastAsia="等线" w:cs="Times New Roman"/>
                <w:color w:val="000000"/>
                <w:sz w:val="20"/>
                <w:szCs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597" w:type="dxa"/>
            <w:tcBorders>
              <w:top w:val="single" w:color="auto" w:sz="6" w:space="0"/>
              <w:left w:val="single" w:color="auto" w:sz="12" w:space="0"/>
              <w:bottom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3</w:t>
            </w: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监控硬盘</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1.3.5英寸8000GB。标准SATA电源接口（满足90天存储）</w:t>
            </w:r>
            <w:r>
              <w:rPr>
                <w:rFonts w:hint="eastAsia" w:ascii="等线" w:hAnsi="等线" w:eastAsia="等线" w:cs="Times New Roman"/>
                <w:color w:val="000000"/>
                <w:sz w:val="20"/>
                <w:szCs w:val="20"/>
                <w:lang w:eastAsia="zh-CN"/>
              </w:rPr>
              <w:t xml:space="preserve"> </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3" w:hRule="atLeast"/>
        </w:trPr>
        <w:tc>
          <w:tcPr>
            <w:tcW w:w="597" w:type="dxa"/>
            <w:vMerge w:val="restart"/>
            <w:tcBorders>
              <w:top w:val="single" w:color="auto" w:sz="6" w:space="0"/>
              <w:left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4</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1.监视器</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宋体" w:hAnsi="宋体" w:eastAsia="宋体" w:cs="宋体"/>
                <w:color w:val="auto"/>
                <w:highlight w:val="none"/>
                <w:lang w:val="en-US" w:eastAsia="zh-CN"/>
              </w:rPr>
              <w:t>★</w:t>
            </w:r>
            <w:r>
              <w:rPr>
                <w:rFonts w:hint="eastAsia" w:ascii="等线" w:hAnsi="等线" w:eastAsia="等线" w:cs="Times New Roman"/>
                <w:b/>
                <w:bCs/>
                <w:color w:val="000000"/>
                <w:sz w:val="20"/>
                <w:szCs w:val="20"/>
                <w:highlight w:val="none"/>
                <w:lang w:val="en-US" w:eastAsia="zh-CN"/>
              </w:rPr>
              <w:t>1.</w:t>
            </w:r>
            <w:r>
              <w:rPr>
                <w:rFonts w:hint="eastAsia" w:ascii="等线" w:hAnsi="等线" w:eastAsia="等线" w:cs="Times New Roman"/>
                <w:b/>
                <w:bCs/>
                <w:color w:val="000000"/>
                <w:sz w:val="20"/>
                <w:szCs w:val="20"/>
                <w:highlight w:val="none"/>
              </w:rPr>
              <w:t xml:space="preserve">监视器尺寸≥55寸  </w:t>
            </w:r>
            <w:r>
              <w:rPr>
                <w:rFonts w:hint="eastAsia" w:ascii="等线" w:hAnsi="等线" w:eastAsia="等线" w:cs="Times New Roman"/>
                <w:color w:val="000000"/>
                <w:sz w:val="20"/>
                <w:szCs w:val="20"/>
                <w:highlight w:val="none"/>
              </w:rPr>
              <w:t xml:space="preserve">                                                                                                                                         2.亮度≥250 cd/m2                                                                                                                                                       3.对比度≥1200:1；                                                                                                                                                                 </w:t>
            </w:r>
            <w:r>
              <w:rPr>
                <w:rFonts w:hint="eastAsia" w:ascii="宋体" w:hAnsi="宋体" w:eastAsia="宋体" w:cs="宋体"/>
                <w:color w:val="auto"/>
                <w:highlight w:val="none"/>
                <w:lang w:val="en-US" w:eastAsia="zh-CN"/>
              </w:rPr>
              <w:t>★</w:t>
            </w:r>
            <w:r>
              <w:rPr>
                <w:rFonts w:hint="eastAsia" w:ascii="等线" w:hAnsi="等线" w:eastAsia="等线" w:cs="Times New Roman"/>
                <w:color w:val="000000"/>
                <w:sz w:val="20"/>
                <w:szCs w:val="20"/>
                <w:highlight w:val="none"/>
              </w:rPr>
              <w:t>4.</w:t>
            </w:r>
            <w:r>
              <w:rPr>
                <w:rFonts w:hint="eastAsia" w:ascii="等线" w:hAnsi="等线" w:eastAsia="等线" w:cs="Times New Roman"/>
                <w:b/>
                <w:bCs/>
                <w:color w:val="000000"/>
                <w:sz w:val="20"/>
                <w:szCs w:val="20"/>
                <w:highlight w:val="none"/>
              </w:rPr>
              <w:t>物理分辨率≥1920*1080；</w:t>
            </w:r>
            <w:r>
              <w:rPr>
                <w:rFonts w:hint="eastAsia" w:ascii="等线" w:hAnsi="等线" w:eastAsia="等线" w:cs="Times New Roman"/>
                <w:color w:val="000000"/>
                <w:sz w:val="20"/>
                <w:szCs w:val="20"/>
                <w:highlight w:val="none"/>
              </w:rPr>
              <w:t xml:space="preserve">        </w:t>
            </w:r>
            <w:r>
              <w:rPr>
                <w:rFonts w:hint="eastAsia" w:ascii="等线" w:hAnsi="等线" w:eastAsia="等线" w:cs="Times New Roman"/>
                <w:color w:val="000000"/>
                <w:sz w:val="20"/>
                <w:szCs w:val="20"/>
              </w:rPr>
              <w:t xml:space="preserve">                                                                                                                                  5.输入接口至少具备1个DVI接口，1个HDMI接口，1个VGA接口，1个Audio接口；                                                                                6.整体采用金属外壳，边框平滑、无棱角设计；                                                                                                            7.设备内置扬声器；                                                                                                                                                          8.显示单元可视角度≥178°；                                                                                                                                                                                 9.设备使用寿命≥100000小时；</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10.显示单元色彩均匀性≥85%；</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11.设备防尘等级≥IP5X；</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12.设备支持图像静止功能，图像可定格在某一画面；</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13.</w:t>
            </w:r>
            <w:r>
              <w:rPr>
                <w:rFonts w:hint="eastAsia" w:ascii="等线" w:hAnsi="等线" w:eastAsia="等线" w:cs="Times New Roman"/>
                <w:color w:val="000000"/>
                <w:sz w:val="20"/>
                <w:szCs w:val="20"/>
              </w:rPr>
              <w:t>当输入VGA信号时，大屏会自动调整VGA 图像的参数以适应屏幕；</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14.显示单元菜单具备四级透明度等级设置功能以及自定义消失时间设置功能；</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15.显示单元具备信号衰减补偿功能，解决远距离传输信号衰减问题；</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16.显示单元具备多通道冗余，在其中一个不能正常工作时，可以手动切换到其他通道，不影响图像的显示；</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17.显示单元连续运行3000小时，背光LED 光衰≤0.3%；</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18.设备应能承受防雷4级；</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19.显示单元应符合GB9254-2008—30MHz～1000MHz 辐射骚扰场强限值要求；</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r>
              <w:rPr>
                <w:rFonts w:hint="eastAsia" w:ascii="等线" w:hAnsi="等线" w:eastAsia="等线" w:cs="Times New Roman"/>
                <w:color w:val="000000"/>
                <w:sz w:val="20"/>
                <w:szCs w:val="20"/>
                <w:lang w:val="en-US" w:eastAsia="zh-CN"/>
              </w:rPr>
              <w:t>★</w:t>
            </w:r>
            <w:r>
              <w:rPr>
                <w:rFonts w:hint="eastAsia" w:ascii="等线" w:hAnsi="等线" w:eastAsia="等线" w:cs="Times New Roman"/>
                <w:color w:val="000000"/>
                <w:sz w:val="20"/>
                <w:szCs w:val="20"/>
              </w:rPr>
              <w:t>20.显示单元符合GB4943.1-2011抗电强度测试要求；</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                                                           </w:t>
            </w:r>
          </w:p>
          <w:p>
            <w:pPr>
              <w:keepNext w:val="0"/>
              <w:keepLines w:val="0"/>
              <w:numPr>
                <w:ilvl w:val="0"/>
                <w:numId w:val="0"/>
              </w:numPr>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2</w:t>
            </w:r>
            <w:r>
              <w:rPr>
                <w:rFonts w:hint="eastAsia" w:ascii="等线" w:hAnsi="等线" w:eastAsia="等线" w:cs="Times New Roman"/>
                <w:color w:val="000000"/>
                <w:sz w:val="20"/>
                <w:szCs w:val="20"/>
                <w:lang w:val="en-US" w:eastAsia="zh-CN"/>
              </w:rPr>
              <w:t>1</w:t>
            </w:r>
            <w:r>
              <w:rPr>
                <w:rFonts w:hint="eastAsia" w:ascii="等线" w:hAnsi="等线" w:eastAsia="等线" w:cs="Times New Roman"/>
                <w:color w:val="000000"/>
                <w:sz w:val="20"/>
                <w:szCs w:val="20"/>
              </w:rPr>
              <w:t>.提供至少一项屏幕安装方面的专利；产品售后服务承诺书，原厂维保≥3年</w:t>
            </w:r>
            <w:r>
              <w:rPr>
                <w:rFonts w:hint="eastAsia" w:ascii="等线" w:hAnsi="等线" w:eastAsia="等线" w:cs="Times New Roman"/>
                <w:color w:val="000000"/>
                <w:sz w:val="20"/>
                <w:szCs w:val="20"/>
                <w:lang w:val="en-US" w:eastAsia="zh-CN"/>
              </w:rPr>
              <w:t xml:space="preserve">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200" w:firstLineChars="10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4</w:t>
            </w:r>
            <w:r>
              <w:rPr>
                <w:rFonts w:hint="eastAsia" w:ascii="等线" w:hAnsi="等线" w:eastAsia="等线" w:cs="Times New Roman"/>
                <w:color w:val="000000"/>
                <w:sz w:val="20"/>
                <w:szCs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9" w:hRule="atLeast"/>
        </w:trPr>
        <w:tc>
          <w:tcPr>
            <w:tcW w:w="597" w:type="dxa"/>
            <w:vMerge w:val="continue"/>
            <w:tcBorders>
              <w:left w:val="single" w:color="auto" w:sz="12" w:space="0"/>
              <w:bottom w:val="nil"/>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2.液晶拼接屏</w:t>
            </w:r>
          </w:p>
        </w:tc>
        <w:tc>
          <w:tcPr>
            <w:tcW w:w="8034" w:type="dxa"/>
            <w:tcBorders>
              <w:top w:val="single" w:color="auto" w:sz="6" w:space="0"/>
              <w:left w:val="nil"/>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宋体" w:hAnsi="宋体" w:eastAsia="宋体" w:cs="宋体"/>
                <w:color w:val="auto"/>
                <w:highlight w:val="none"/>
                <w:lang w:val="en-US" w:eastAsia="zh-CN"/>
              </w:rPr>
              <w:t>★</w:t>
            </w:r>
            <w:r>
              <w:rPr>
                <w:rFonts w:hint="eastAsia" w:ascii="等线" w:hAnsi="等线" w:eastAsia="等线" w:cs="Times New Roman"/>
                <w:color w:val="000000"/>
                <w:sz w:val="20"/>
                <w:szCs w:val="20"/>
                <w:highlight w:val="none"/>
              </w:rPr>
              <w:t>1.</w:t>
            </w:r>
            <w:r>
              <w:rPr>
                <w:rFonts w:hint="eastAsia" w:ascii="方正公文黑体" w:hAnsi="方正公文黑体" w:eastAsia="方正公文黑体" w:cs="方正公文黑体"/>
                <w:color w:val="000000"/>
                <w:sz w:val="20"/>
                <w:szCs w:val="20"/>
                <w:highlight w:val="none"/>
              </w:rPr>
              <w:t>采用工业级面板，尺寸≥55 inch、物理拼缝≤3.5mm、亮度≥500 cd/m2、对比度≥3500:1、分辨率不小于1920*1080、视频输入接口至少具备1个DVI接口，2个HDMI接口，1个VGA接口</w:t>
            </w:r>
            <w:r>
              <w:rPr>
                <w:rFonts w:hint="eastAsia" w:ascii="等线" w:hAnsi="等线" w:eastAsia="等线" w:cs="Times New Roman"/>
                <w:color w:val="000000"/>
                <w:sz w:val="20"/>
                <w:szCs w:val="20"/>
                <w:highlight w:val="none"/>
              </w:rPr>
              <w:t xml:space="preserve">                                                                                                                                                      2.液晶拼接显示单元整机采用冷轧钢板材质，结构件需一体成型，显示屏具备完整后壳，不得以支架或挡板替代，无任何裸露在外的电路线，整体美观大方。</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3.控制接口：1个输入RS-232接口，1个输出RS-232接口,1个红外接口，1个USB接口，具备U盘内视频，文档等文件的直接播放功能；液晶单元软件程序支持通过USB口升级。</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4.</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设备应支持被CS 客户端集中管理 ，支持多级用户权限管理、支持多场景模式管理。</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5.</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液晶拼接显示单元具备四级色温模式自动调整功能，同时支持色温无级调节，可在 2000K 至 12000K 之间调节。</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6.液晶拼接显示单元具备自动、16:9、4:3三种图像缩放显示模式。</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7.液晶拼接显示单元具备显示图像0°、90°、180°、270°四种放置播放模式。</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8.设备需具备色彩诊断能力，并能对色彩进行自动修正。</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9.液晶拼接显示单元具备唯一ID设置，内置拼接处理引擎，配合环通接口，无需外设可实现自动拼接功能，系统最高可支持120块屏拼接显示。</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10.液晶拼接显示单元具备去蓝光护眼功能，开启护眼模式后，蓝光量可下降30%，减弱蓝光对观看人员的眼睛进行有效保护。</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11.自动化实现不同规格以及不同规模拼接墙的拼缝补偿，从而提高拼缝补偿效率。</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12.LCD显示单元通过遥控器操作可直接显示LCD显示单元ID，信源类型，分辨率，系统运行时间，软件版本，硬件版本，光源温度等信息；自动检测IP冲突和断网检测，并在大屏显示提示信息；提示并显示风扇工作状态异常报警，温度异常报警。</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13.液晶拼接显示单元不需拨码开关，能够批量设置拼接屏ID号，设置方法简单，易操作。</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14.液晶拼接显示单元具备选屏功能，能够在大屏级联的情况下单独控制某一块屏，操作方便。</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15.液晶拼接显示单元具备图像处理器和拼接大屏一体化控制软件，可以实现对外置处理器的所有功能的控制，也可实现对拼接屏的菜单、信源、拼接模式、矩阵控制等所有功能的控制，解决了两套系统软件切换使用的操作不便性。</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16.液晶拼接显示单元具备节能模式，打开节能模式液晶拼接屏正常运行时的平均功耗最高可以降低50%。</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17.</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液晶拼接显示显示单元的色彩还原准确性指标ΔE≤0.9。</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18.</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液晶拼接显示单元连续运行3000 小时，背光LED光衰≤0.3%。</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19.液晶拼接显示单元处理器的电源输入口与金属外壳之间的绝缘电阻在正常大气压条件下不小于100MΩ，湿热条件下不低于10M；泄露电流不大于5mA。</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20.</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液晶拼接显示单元包装需通过包装运输冲击测试，符合GB/T 2423.5-1995标准，试验条件：半正弦波11ms，25g，3次/轴向，共三轴向。</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21.</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液晶拼接显示单元需通过交变湿热测试，符合GB/T 2423.4-2008标准，测试条件：+25 ~ +55℃，95%RH，高温点停留9h，常温点停留9h，温度变化时间为3h，1个循环，共24h。</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22.设备需具备三色指示灯显示工作状态：红色表示待机、绿色表示正常运行、橙色表示温度过高风扇开启。</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lang w:val="en-US" w:eastAsia="zh-CN"/>
              </w:rPr>
              <w:t>23.</w:t>
            </w:r>
            <w:r>
              <w:rPr>
                <w:rFonts w:hint="eastAsia" w:ascii="等线" w:hAnsi="等线" w:eastAsia="等线" w:cs="Times New Roman"/>
                <w:color w:val="000000"/>
                <w:sz w:val="20"/>
                <w:szCs w:val="20"/>
                <w:highlight w:val="none"/>
              </w:rPr>
              <w:t xml:space="preserve">液晶拼接显示单元支持开机延时功能，具备随机延时和顺序延时双模式，防止同时开机造成大电流冲击；                                                                                                                                   24.液晶拼接显示单元内置图像处理芯片，能够实时分析显示内容资料，实现在标准、会议、光照、护眼、节能、黑白精显、影片、汇报和监控等多种场景模式下智能切换。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25.</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液晶拼接显示单元具备防止长时间运行造成的极化现象</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26.多个液晶拼接显示单元具备一键色彩调整功能， 配合独有的色彩调校传感器和核心算法可实现快速调整屏幕色差</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27.</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液晶拼接显示单元支持边框消隐功能，可上、下、左、右四向独立智能调节显示边框数据，有效避免屏与屏之间的边框带来的图像不连贯视觉问题，提升拼接墙屏与屏之间的图像连贯性；</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 xml:space="preserve">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highlight w:val="none"/>
              </w:rPr>
            </w:pPr>
            <w:r>
              <w:rPr>
                <w:rFonts w:hint="eastAsia" w:ascii="等线" w:hAnsi="等线" w:eastAsia="等线" w:cs="Times New Roman"/>
                <w:color w:val="000000"/>
                <w:sz w:val="20"/>
                <w:szCs w:val="20"/>
                <w:highlight w:val="none"/>
              </w:rPr>
              <w:t>28.</w:t>
            </w:r>
            <w:r>
              <w:rPr>
                <w:rFonts w:hint="eastAsia" w:ascii="等线" w:hAnsi="等线" w:eastAsia="等线" w:cs="Times New Roman"/>
                <w:color w:val="000000"/>
                <w:sz w:val="20"/>
                <w:szCs w:val="20"/>
                <w:highlight w:val="none"/>
                <w:lang w:eastAsia="zh-CN"/>
              </w:rPr>
              <w:t xml:space="preserve"> </w:t>
            </w:r>
            <w:r>
              <w:rPr>
                <w:rFonts w:hint="eastAsia" w:ascii="等线" w:hAnsi="等线" w:eastAsia="等线" w:cs="Times New Roman"/>
                <w:color w:val="000000"/>
                <w:sz w:val="20"/>
                <w:szCs w:val="20"/>
                <w:highlight w:val="none"/>
              </w:rPr>
              <w:t>液晶拼接显示单元支持自动调校功能</w:t>
            </w:r>
            <w:r>
              <w:rPr>
                <w:rFonts w:hint="eastAsia" w:ascii="等线" w:hAnsi="等线" w:eastAsia="等线" w:cs="Times New Roman"/>
                <w:color w:val="000000"/>
                <w:sz w:val="20"/>
                <w:szCs w:val="20"/>
                <w:highlight w:val="none"/>
                <w:lang w:eastAsia="zh-CN"/>
              </w:rPr>
              <w:t>，</w:t>
            </w:r>
            <w:r>
              <w:rPr>
                <w:rFonts w:hint="eastAsia" w:ascii="等线" w:hAnsi="等线" w:eastAsia="等线" w:cs="Times New Roman"/>
                <w:color w:val="000000"/>
                <w:sz w:val="20"/>
                <w:szCs w:val="20"/>
                <w:highlight w:val="none"/>
              </w:rPr>
              <w:t>产品售后服务承诺书，原厂维保≥3年</w:t>
            </w:r>
            <w:r>
              <w:rPr>
                <w:rFonts w:hint="eastAsia" w:ascii="等线" w:hAnsi="等线" w:eastAsia="等线" w:cs="Times New Roman"/>
                <w:color w:val="000000"/>
                <w:sz w:val="20"/>
                <w:szCs w:val="20"/>
                <w:highlight w:val="none"/>
                <w:lang w:val="en-US" w:eastAsia="zh-CN"/>
              </w:rPr>
              <w:t xml:space="preserve"> </w:t>
            </w:r>
            <w:r>
              <w:rPr>
                <w:rFonts w:hint="eastAsia" w:ascii="等线" w:hAnsi="等线" w:eastAsia="等线" w:cs="Times New Roman"/>
                <w:color w:val="000000"/>
                <w:sz w:val="20"/>
                <w:szCs w:val="20"/>
                <w:highlight w:val="none"/>
              </w:rPr>
              <w:t xml:space="preserve">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pStyle w:val="2"/>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pStyle w:val="2"/>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pStyle w:val="2"/>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pStyle w:val="2"/>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pStyle w:val="2"/>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pStyle w:val="2"/>
              <w:keepNext w:val="0"/>
              <w:keepLines w:val="0"/>
              <w:suppressLineNumbers w:val="0"/>
              <w:spacing w:before="0" w:beforeAutospacing="0" w:after="0" w:afterAutospacing="0"/>
              <w:ind w:left="0" w:right="0"/>
              <w:rPr>
                <w:rFonts w:hint="eastAsia" w:ascii="等线" w:hAnsi="等线" w:eastAsia="等线" w:cs="Times New Roman"/>
                <w:color w:val="000000"/>
                <w:sz w:val="20"/>
                <w:szCs w:val="20"/>
              </w:rPr>
            </w:pPr>
          </w:p>
          <w:p>
            <w:pPr>
              <w:keepNext w:val="0"/>
              <w:keepLines w:val="0"/>
              <w:suppressLineNumbers w:val="0"/>
              <w:spacing w:before="0" w:beforeAutospacing="0" w:after="0" w:afterAutospacing="0"/>
              <w:ind w:left="0" w:leftChars="0" w:right="0" w:firstLine="200" w:firstLineChars="100"/>
              <w:rPr>
                <w:rFonts w:hint="eastAsia" w:ascii="Times New Roman" w:hAnsi="Times New Roman" w:cs="Times New Roman"/>
              </w:rPr>
            </w:pPr>
            <w:r>
              <w:rPr>
                <w:rFonts w:hint="eastAsia" w:ascii="等线" w:hAnsi="等线" w:eastAsia="等线" w:cs="Times New Roman"/>
                <w:color w:val="000000"/>
                <w:sz w:val="20"/>
                <w:szCs w:val="20"/>
                <w:lang w:val="en-US" w:eastAsia="zh-CN"/>
              </w:rPr>
              <w:t>2</w:t>
            </w:r>
            <w:r>
              <w:rPr>
                <w:rFonts w:hint="eastAsia" w:ascii="等线" w:hAnsi="等线" w:eastAsia="等线" w:cs="Times New Roman"/>
                <w:color w:val="000000"/>
                <w:sz w:val="20"/>
                <w:szCs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97" w:type="dxa"/>
            <w:tcBorders>
              <w:top w:val="single" w:color="auto" w:sz="6" w:space="0"/>
              <w:left w:val="single" w:color="auto" w:sz="12" w:space="0"/>
              <w:bottom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5</w:t>
            </w: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光纤收发器</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一光4电 全千兆</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，产品售后服务承诺书，原厂维保≥3年</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597" w:type="dxa"/>
            <w:tcBorders>
              <w:top w:val="single" w:color="auto" w:sz="6" w:space="0"/>
              <w:left w:val="single" w:color="auto" w:sz="12" w:space="0"/>
              <w:bottom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6</w:t>
            </w: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交换机</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1.24个10/100/1000Base-T电口                                                                                                                                                       2.接 口：10/100/1000Base-T、1000Base-X                                                                                                                                                                                                                                                                                                                                                                                                                3.配 置：220V交流电源，支持16 个10/100/1000Base-T                                                                                                                                                                                                                            4.技术特征：实现数据包的交换功能。                                                                                                                                       5电源规格：交流电源，100-240V/1.0A</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产品售后服务承诺书，原厂维保≥3年 </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7台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97" w:type="dxa"/>
            <w:vMerge w:val="restart"/>
            <w:tcBorders>
              <w:top w:val="single" w:color="auto" w:sz="6" w:space="0"/>
              <w:left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7</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1.机柜</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rPr>
              <w:t xml:space="preserve">壁挂8U  </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提供产品检测报告</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1</w:t>
            </w:r>
            <w:r>
              <w:rPr>
                <w:rFonts w:hint="eastAsia" w:ascii="等线" w:hAnsi="等线" w:eastAsia="等线" w:cs="Times New Roman"/>
                <w:color w:val="000000"/>
                <w:sz w:val="20"/>
                <w:szCs w:val="20"/>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7" w:type="dxa"/>
            <w:vMerge w:val="continue"/>
            <w:tcBorders>
              <w:left w:val="single" w:color="auto" w:sz="12" w:space="0"/>
              <w:bottom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2.小机柜</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 xml:space="preserve">12U   </w:t>
            </w:r>
            <w:r>
              <w:rPr>
                <w:rFonts w:hint="eastAsia" w:ascii="等线" w:hAnsi="等线" w:eastAsia="等线" w:cs="Times New Roman"/>
                <w:color w:val="000000"/>
                <w:sz w:val="20"/>
                <w:szCs w:val="20"/>
                <w:lang w:val="en-US" w:eastAsia="zh-CN"/>
              </w:rPr>
              <w:t xml:space="preserve">  </w:t>
            </w:r>
            <w:r>
              <w:rPr>
                <w:rFonts w:hint="eastAsia" w:ascii="等线" w:hAnsi="等线" w:eastAsia="等线" w:cs="Times New Roman"/>
                <w:color w:val="000000"/>
                <w:sz w:val="20"/>
                <w:szCs w:val="20"/>
              </w:rPr>
              <w:t xml:space="preserve">提供产品检测报告 </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97" w:type="dxa"/>
            <w:tcBorders>
              <w:top w:val="single" w:color="auto" w:sz="6" w:space="0"/>
              <w:left w:val="single" w:color="auto" w:sz="12" w:space="0"/>
              <w:bottom w:val="nil"/>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8</w:t>
            </w:r>
          </w:p>
        </w:tc>
        <w:tc>
          <w:tcPr>
            <w:tcW w:w="984"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操作控制台</w:t>
            </w:r>
          </w:p>
        </w:tc>
        <w:tc>
          <w:tcPr>
            <w:tcW w:w="8034"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钢板烤漆，长1.2米*深度0.9米*高0.75米，带柜体，隔板，门锁，散热孔，壁厚2.0，带出线孔，键盘托架等</w:t>
            </w:r>
            <w:r>
              <w:rPr>
                <w:rFonts w:hint="eastAsia" w:ascii="等线" w:hAnsi="等线" w:eastAsia="等线" w:cs="Times New Roman"/>
                <w:color w:val="000000"/>
                <w:sz w:val="20"/>
                <w:szCs w:val="20"/>
                <w:lang w:val="en-US" w:eastAsia="zh-CN"/>
              </w:rPr>
              <w:t>（数量：1台）</w:t>
            </w:r>
          </w:p>
        </w:tc>
        <w:tc>
          <w:tcPr>
            <w:tcW w:w="848"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97" w:type="dxa"/>
            <w:vMerge w:val="restart"/>
            <w:tcBorders>
              <w:top w:val="single" w:color="auto" w:sz="6" w:space="0"/>
              <w:left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9</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数字音频线</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2*1.5提供产品检测报告</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lang w:val="en-US" w:eastAsia="zh-CN"/>
              </w:rPr>
              <w:t>2</w:t>
            </w:r>
            <w:r>
              <w:rPr>
                <w:rFonts w:hint="eastAsia" w:ascii="等线" w:hAnsi="等线" w:eastAsia="等线" w:cs="Times New Roman"/>
                <w:color w:val="000000"/>
                <w:sz w:val="20"/>
                <w:szCs w:val="20"/>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97" w:type="dxa"/>
            <w:vMerge w:val="continue"/>
            <w:tcBorders>
              <w:left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2.6类网线</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六类</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 xml:space="preserve">提供产品检测报告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26箱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97" w:type="dxa"/>
            <w:vMerge w:val="continue"/>
            <w:tcBorders>
              <w:left w:val="single" w:color="auto" w:sz="12" w:space="0"/>
              <w:bottom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3.6类面板</w:t>
            </w:r>
          </w:p>
        </w:tc>
        <w:tc>
          <w:tcPr>
            <w:tcW w:w="8034"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六类</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 xml:space="preserve">提供产品检测报告 </w:t>
            </w:r>
          </w:p>
        </w:tc>
        <w:tc>
          <w:tcPr>
            <w:tcW w:w="848"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50箱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597" w:type="dxa"/>
            <w:tcBorders>
              <w:top w:val="single" w:color="auto" w:sz="12" w:space="0"/>
              <w:left w:val="single" w:color="auto" w:sz="12" w:space="0"/>
              <w:bottom w:val="nil"/>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10</w:t>
            </w:r>
          </w:p>
        </w:tc>
        <w:tc>
          <w:tcPr>
            <w:tcW w:w="984"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散力架</w:t>
            </w:r>
          </w:p>
        </w:tc>
        <w:tc>
          <w:tcPr>
            <w:tcW w:w="8034"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定制加工1200*900*20</w:t>
            </w:r>
            <w:r>
              <w:rPr>
                <w:rFonts w:hint="eastAsia" w:ascii="等线" w:hAnsi="等线" w:eastAsia="等线" w:cs="Times New Roman"/>
                <w:color w:val="000000"/>
                <w:sz w:val="20"/>
                <w:szCs w:val="20"/>
                <w:lang w:val="en-US" w:eastAsia="zh-CN"/>
              </w:rPr>
              <w:t xml:space="preserve">厘米 </w:t>
            </w:r>
            <w:r>
              <w:rPr>
                <w:rFonts w:hint="eastAsia" w:ascii="等线" w:hAnsi="等线" w:eastAsia="等线" w:cs="Times New Roman"/>
                <w:color w:val="000000"/>
                <w:sz w:val="20"/>
                <w:szCs w:val="20"/>
              </w:rPr>
              <w:t>，60-80角铁焊接，边角做打磨处理，固定位置开孔预留</w:t>
            </w:r>
          </w:p>
        </w:tc>
        <w:tc>
          <w:tcPr>
            <w:tcW w:w="848" w:type="dxa"/>
            <w:tcBorders>
              <w:top w:val="single" w:color="auto" w:sz="6" w:space="0"/>
              <w:left w:val="single" w:color="auto" w:sz="6" w:space="0"/>
              <w:bottom w:val="nil"/>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97" w:type="dxa"/>
            <w:tcBorders>
              <w:top w:val="single" w:color="auto" w:sz="6" w:space="0"/>
              <w:left w:val="single" w:color="auto" w:sz="12" w:space="0"/>
              <w:bottom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11</w:t>
            </w: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监控综合网线</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监控综合网线、8+2</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28箱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7" w:type="dxa"/>
            <w:tcBorders>
              <w:top w:val="single" w:color="auto" w:sz="6" w:space="0"/>
              <w:left w:val="single" w:color="auto" w:sz="12" w:space="0"/>
              <w:bottom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12</w:t>
            </w: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PDU插排</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机架式PDU插排8个三孔</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7" w:type="dxa"/>
            <w:tcBorders>
              <w:top w:val="single" w:color="auto" w:sz="12" w:space="0"/>
              <w:left w:val="single" w:color="auto" w:sz="12" w:space="0"/>
              <w:bottom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13</w:t>
            </w: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PE管</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地面管沟开挖，管沟打水平铺沙，防止高低差错层造成断管变形，回填预埋PE管，预埋光缆，地沟回填</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lang w:val="en-US" w:eastAsia="zh-CN"/>
              </w:rPr>
              <w:t xml:space="preserve">  PE管100毫米挖沟尺寸40*90厘米</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1800米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597" w:type="dxa"/>
            <w:vMerge w:val="restart"/>
            <w:tcBorders>
              <w:top w:val="single" w:color="auto" w:sz="6" w:space="0"/>
              <w:left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14</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1.智能分析引擎</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 xml:space="preserve">1.16路AI视频分析主机，每路同时运行不低于4个算法功能识别。智能主机+1张AI加速卡X3                                                                                                                                                                                    </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 xml:space="preserve">主芯片数据流芯片：核心/线程：6C/12T。内存：CPU 16G、AI 8G ，硬盘：256G SSD+1T机械。                                          </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rPr>
              <w:t>2.加速卡X3技术参数：</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AI加速卡芯片利用率：60%以上（需提供第三方检测机构提供的测试报告）。</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AI芯片架构：国产芯片，数据流架构。</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AI加速卡功耗：单张AI加速卡工作功耗不超过58W。</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AI加速卡供电方式：直接PCIe供电，无需外接供电。                                                                                                                                                         3.接口及工作环境：网络接口：2* 千兆网络接口；显示接口 : 1*DVI- D，1*VGA  (DVI- D 配线转 HDMI)；USB 接口： 2*USB3.0，4*USB2.0；音频接口： 1* Mic-in, Line-in, Line-out；工作温度： 0℃~ 50℃；工作湿度： 相对湿度 20%-80%。                                                                                                                                                                   4.尺寸及规格：</w:t>
            </w:r>
            <w:r>
              <w:rPr>
                <w:rFonts w:hint="eastAsia" w:ascii="等线" w:hAnsi="等线" w:eastAsia="等线" w:cs="Times New Roman"/>
                <w:color w:val="000000"/>
                <w:sz w:val="20"/>
                <w:szCs w:val="20"/>
                <w:lang w:eastAsia="zh-CN"/>
              </w:rPr>
              <w:t xml:space="preserve"> </w:t>
            </w:r>
            <w:r>
              <w:rPr>
                <w:rFonts w:hint="eastAsia" w:ascii="等线" w:hAnsi="等线" w:eastAsia="等线" w:cs="Times New Roman"/>
                <w:color w:val="000000"/>
                <w:sz w:val="20"/>
                <w:szCs w:val="20"/>
              </w:rPr>
              <w:t>产品售后服务承诺书，原厂维保≥3年</w:t>
            </w:r>
            <w:r>
              <w:rPr>
                <w:rFonts w:hint="eastAsia" w:ascii="等线" w:hAnsi="等线" w:eastAsia="等线" w:cs="Times New Roman"/>
                <w:color w:val="000000"/>
                <w:sz w:val="20"/>
                <w:szCs w:val="20"/>
                <w:lang w:eastAsia="zh-CN"/>
              </w:rPr>
              <w:t>。</w:t>
            </w:r>
          </w:p>
        </w:tc>
        <w:tc>
          <w:tcPr>
            <w:tcW w:w="848" w:type="dxa"/>
            <w:vMerge w:val="restart"/>
            <w:tcBorders>
              <w:top w:val="single" w:color="auto" w:sz="6" w:space="0"/>
              <w:left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200" w:firstLineChars="100"/>
              <w:jc w:val="center"/>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rPr>
              <w:t>1</w:t>
            </w:r>
            <w:r>
              <w:rPr>
                <w:rFonts w:hint="eastAsia" w:ascii="等线" w:hAnsi="等线" w:eastAsia="等线" w:cs="Times New Roman"/>
                <w:color w:val="00000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597" w:type="dxa"/>
            <w:vMerge w:val="continue"/>
            <w:tcBorders>
              <w:left w:val="single" w:color="auto" w:sz="12" w:space="0"/>
              <w:right w:val="single" w:color="auto" w:sz="6"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default" w:ascii="等线" w:hAnsi="等线" w:eastAsia="等线" w:cs="Times New Roman"/>
                <w:color w:val="000000"/>
                <w:sz w:val="28"/>
                <w:szCs w:val="24"/>
                <w:lang w:val="en-US" w:eastAsia="zh-CN"/>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2.AI推理平</w:t>
            </w:r>
            <w:r>
              <w:rPr>
                <w:rFonts w:hint="eastAsia" w:ascii="等线" w:hAnsi="等线" w:eastAsia="等线" w:cs="Times New Roman"/>
                <w:color w:val="000000"/>
                <w:sz w:val="20"/>
                <w:szCs w:val="20"/>
                <w:lang w:val="en-US" w:eastAsia="zh-CN"/>
              </w:rPr>
              <w:t>台</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1.支持N*N/点位*算法配置，且向下兼容1*N、N*1配置方法  ；                                                                                   2.支持同时视频演示输出与分析混合模式 ；                                                                                                                      3.统一化设备与服务管理，支持对物理节点的管理，如资源占用、缓存清理等 ；                                                                  4.BS架构，支持web可视化界面展示和管理，实现设备运行状态、报警信息的展示；                                                                                   5.支持基础服务管理：能够完成计算节点和监控设备的配置；                                                                                      6.支持算法调度管理：实现对视频流分析、算法日志、报警语音等的管理 ；                                                                      7.开放能力：支持从callback输出、到openapi的标准化输出；                                                                                   8.自动修复能力：支持物理节点、算法服务、系统用量等的自动化修复；原厂维保≥3年</w:t>
            </w:r>
          </w:p>
        </w:tc>
        <w:tc>
          <w:tcPr>
            <w:tcW w:w="848" w:type="dxa"/>
            <w:vMerge w:val="continue"/>
            <w:tcBorders>
              <w:left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597" w:type="dxa"/>
            <w:vMerge w:val="continue"/>
            <w:tcBorders>
              <w:left w:val="single" w:color="auto" w:sz="12"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3.算法产品</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1.支持区域入侵检测、翻越围栏检测、安全帽检测、工作服检测、抽烟检测、打电话检测、烟雾检测、明火检测、人员摔倒检测、人员离岗检测、人员睡岗检测等。 原厂维保≥3年</w:t>
            </w:r>
          </w:p>
        </w:tc>
        <w:tc>
          <w:tcPr>
            <w:tcW w:w="848" w:type="dxa"/>
            <w:vMerge w:val="continue"/>
            <w:tcBorders>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97" w:type="dxa"/>
            <w:vMerge w:val="restart"/>
            <w:tcBorders>
              <w:top w:val="single" w:color="auto" w:sz="6" w:space="0"/>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r>
              <w:rPr>
                <w:rFonts w:hint="eastAsia" w:ascii="等线" w:hAnsi="等线" w:eastAsia="等线" w:cs="Times New Roman"/>
                <w:color w:val="000000"/>
                <w:sz w:val="28"/>
                <w:szCs w:val="24"/>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1芯光缆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单模</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450米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2芯光缆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单模</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4芯光缆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单模</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1800米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8芯光缆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单模，提供产品检测报告</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24芯光缆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val="en-US" w:eastAsia="zh-CN"/>
              </w:rPr>
              <w:t>1.</w:t>
            </w:r>
            <w:r>
              <w:rPr>
                <w:rFonts w:hint="eastAsia" w:ascii="等线" w:hAnsi="等线" w:eastAsia="等线" w:cs="Times New Roman"/>
                <w:color w:val="000000"/>
                <w:sz w:val="20"/>
                <w:szCs w:val="20"/>
                <w:lang w:eastAsia="zh-CN"/>
              </w:rPr>
              <w:t>单模  大楼入口东值班室到院子入口值班机房水泥基础地面下预埋5孔管一根，主干光缆一根预埋，便于后期链路扩容使用（保证光缆可以随时投入正常使用），并提供相关技术证明资料加盖公章</w:t>
            </w:r>
          </w:p>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val="en-US" w:eastAsia="zh-CN"/>
              </w:rPr>
              <w:t>2.</w:t>
            </w:r>
            <w:r>
              <w:rPr>
                <w:rFonts w:hint="eastAsia" w:ascii="等线" w:hAnsi="等线" w:eastAsia="等线" w:cs="Times New Roman"/>
                <w:color w:val="000000"/>
                <w:sz w:val="20"/>
                <w:szCs w:val="20"/>
                <w:lang w:eastAsia="zh-CN"/>
              </w:rPr>
              <w:t xml:space="preserve">大楼入口东值班室到消防室控制机房，铺设主干光缆一根，便于监控和消防联防联控使用（保证光缆可以随时投入正常使用），并提供相关技术证明资料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center"/>
              <w:rPr>
                <w:rFonts w:hint="eastAsia" w:ascii="等线" w:hAnsi="等线" w:eastAsia="等线" w:cs="Times New Roman"/>
                <w:color w:val="000000"/>
                <w:sz w:val="20"/>
                <w:szCs w:val="20"/>
                <w:lang w:val="en-US" w:eastAsia="zh-CN"/>
              </w:rPr>
            </w:pPr>
          </w:p>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970米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48芯光缆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 xml:space="preserve">单模，提供产品检测报告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540米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6类模块</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六类</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防火桥架</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 xml:space="preserve">50*100mm1-4楼（大楼一层层高10米左右，做好安全保护及现场勘查，所有楼层不得将线缆直接放于吊顶上，所有线缆必须铺设在线管及线槽内）线槽吊顶内吊装，保证原有装修完好。 ，破坏恢复产生费用包含在内，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85米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KBG管</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lang w:eastAsia="zh-CN"/>
              </w:rPr>
              <w:t xml:space="preserve">¢25mm 墙体内预埋吊顶内吊装，开槽恢复原有装修  ，破坏恢复产生费用包含在内  </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2000米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光缆终端盒</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8口</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配线架</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六类</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光纤尾纤跳线</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 xml:space="preserve">单模 </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提供产品检测报告</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220根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光缆熔接</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室内24芯光缆</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430个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1楼-4楼预留</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墙体开孔：预埋100mm直径PE管</w:t>
            </w:r>
            <w:r>
              <w:rPr>
                <w:rFonts w:hint="eastAsia" w:ascii="等线" w:hAnsi="等线" w:eastAsia="等线" w:cs="Times New Roman"/>
                <w:color w:val="000000"/>
                <w:sz w:val="20"/>
                <w:szCs w:val="20"/>
                <w:lang w:eastAsia="zh-CN"/>
              </w:rPr>
              <w:t>，</w:t>
            </w:r>
            <w:r>
              <w:rPr>
                <w:rFonts w:hint="eastAsia" w:ascii="等线" w:hAnsi="等线" w:eastAsia="等线" w:cs="Times New Roman"/>
                <w:color w:val="000000"/>
                <w:sz w:val="20"/>
                <w:szCs w:val="20"/>
              </w:rPr>
              <w:t>破坏恢复产生费用包含在内</w:t>
            </w:r>
            <w:r>
              <w:rPr>
                <w:rFonts w:hint="eastAsia" w:ascii="等线" w:hAnsi="等线" w:eastAsia="等线" w:cs="Times New Roman"/>
                <w:color w:val="000000"/>
                <w:sz w:val="20"/>
                <w:szCs w:val="20"/>
                <w:lang w:eastAsia="zh-CN"/>
              </w:rPr>
              <w:t>。</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墙面预留管路埋管</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eastAsia="zh-CN"/>
              </w:rPr>
            </w:pPr>
            <w:r>
              <w:rPr>
                <w:rFonts w:hint="eastAsia" w:ascii="等线" w:hAnsi="等线" w:eastAsia="等线" w:cs="Times New Roman"/>
                <w:color w:val="000000"/>
                <w:sz w:val="20"/>
                <w:szCs w:val="20"/>
              </w:rPr>
              <w:t>墙体开槽：预埋100mm直径PE管，破坏恢复产生费用包含在内</w:t>
            </w:r>
            <w:r>
              <w:rPr>
                <w:rFonts w:hint="eastAsia" w:ascii="等线" w:hAnsi="等线" w:eastAsia="等线" w:cs="Times New Roman"/>
                <w:color w:val="000000"/>
                <w:sz w:val="20"/>
                <w:szCs w:val="20"/>
                <w:lang w:eastAsia="zh-CN"/>
              </w:rPr>
              <w:t>。</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地面预留管路埋管</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lang w:val="en-US" w:eastAsia="zh-CN"/>
              </w:rPr>
            </w:pPr>
            <w:r>
              <w:rPr>
                <w:rFonts w:hint="eastAsia" w:ascii="等线" w:hAnsi="等线" w:eastAsia="等线" w:cs="Times New Roman"/>
                <w:color w:val="000000"/>
                <w:sz w:val="20"/>
                <w:szCs w:val="20"/>
              </w:rPr>
              <w:t>地面预埋50mm直径PE管，破坏恢复产生费用包含在内</w:t>
            </w:r>
            <w:r>
              <w:rPr>
                <w:rFonts w:hint="eastAsia" w:ascii="等线" w:hAnsi="等线" w:eastAsia="等线" w:cs="Times New Roman"/>
                <w:color w:val="000000"/>
                <w:sz w:val="20"/>
                <w:szCs w:val="20"/>
                <w:lang w:eastAsia="zh-CN"/>
              </w:rPr>
              <w:t>。</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摄像机电源</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12V2A</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摄像机电源</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一次电源--20℃-60℃-180Vac-260Vac-12V/2A适配器</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支架</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壁装支架</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摄像机电</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12V2A</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支架</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壁装支架</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监控立杆</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热镀锌钢管/喷塑/烤漆，高6米/横臂2M/喷塑烤漆，横臂，带2-3鸭嘴，设备箱（配置插线板，光配线盘），预埋钢筋地笼，预留引上管路，基础坑开挖/钢筋，商混高标号泥土填充预埋。</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挂架</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高1.8米；承重15kg；适宜65寸电视安装。</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7" w:type="dxa"/>
            <w:vMerge w:val="continue"/>
            <w:tcBorders>
              <w:left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高清线</w:t>
            </w:r>
          </w:p>
        </w:tc>
        <w:tc>
          <w:tcPr>
            <w:tcW w:w="8034"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HDMI5米高清线</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97" w:type="dxa"/>
            <w:vMerge w:val="continue"/>
            <w:tcBorders>
              <w:left w:val="single" w:color="auto" w:sz="12" w:space="0"/>
              <w:bottom w:val="single" w:color="auto" w:sz="12" w:space="0"/>
              <w:right w:val="nil"/>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firstLine="0" w:firstLineChars="0"/>
              <w:jc w:val="both"/>
              <w:textAlignment w:val="auto"/>
              <w:rPr>
                <w:rFonts w:hint="eastAsia" w:ascii="等线" w:hAnsi="等线" w:eastAsia="等线" w:cs="Times New Roman"/>
                <w:color w:val="000000"/>
                <w:sz w:val="28"/>
                <w:szCs w:val="24"/>
              </w:rPr>
            </w:pPr>
          </w:p>
        </w:tc>
        <w:tc>
          <w:tcPr>
            <w:tcW w:w="98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拼接柜体</w:t>
            </w:r>
          </w:p>
        </w:tc>
        <w:tc>
          <w:tcPr>
            <w:tcW w:w="8034"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left"/>
              <w:rPr>
                <w:rFonts w:hint="eastAsia" w:ascii="等线" w:hAnsi="等线" w:eastAsia="等线" w:cs="Times New Roman"/>
                <w:color w:val="000000"/>
                <w:sz w:val="20"/>
                <w:szCs w:val="20"/>
              </w:rPr>
            </w:pPr>
            <w:r>
              <w:rPr>
                <w:rFonts w:hint="eastAsia" w:ascii="等线" w:hAnsi="等线" w:eastAsia="等线" w:cs="Times New Roman"/>
                <w:color w:val="000000"/>
                <w:sz w:val="20"/>
                <w:szCs w:val="20"/>
              </w:rPr>
              <w:t>落地式全金属烤漆钢板柜体，柜体上内走线设计镂空桥架走线槽，理线器,柜体用PDU插排，电源线路和信号线路分开铺设等</w:t>
            </w:r>
          </w:p>
        </w:tc>
        <w:tc>
          <w:tcPr>
            <w:tcW w:w="848" w:type="dxa"/>
            <w:tcBorders>
              <w:top w:val="single" w:color="auto" w:sz="6" w:space="0"/>
              <w:left w:val="single" w:color="auto" w:sz="6" w:space="0"/>
              <w:bottom w:val="single" w:color="auto" w:sz="12"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leftChars="0" w:right="0" w:firstLine="0" w:firstLineChars="0"/>
              <w:jc w:val="center"/>
              <w:rPr>
                <w:rFonts w:hint="default" w:ascii="等线" w:hAnsi="等线" w:eastAsia="等线" w:cs="Times New Roman"/>
                <w:color w:val="000000"/>
                <w:sz w:val="20"/>
                <w:szCs w:val="20"/>
                <w:lang w:val="en-US" w:eastAsia="zh-CN"/>
              </w:rPr>
            </w:pPr>
            <w:r>
              <w:rPr>
                <w:rFonts w:hint="eastAsia" w:ascii="等线" w:hAnsi="等线" w:eastAsia="等线" w:cs="Times New Roman"/>
                <w:color w:val="000000"/>
                <w:sz w:val="20"/>
                <w:szCs w:val="20"/>
                <w:lang w:val="en-US" w:eastAsia="zh-CN"/>
              </w:rPr>
              <w:t>6联</w:t>
            </w:r>
          </w:p>
        </w:tc>
      </w:tr>
    </w:tbl>
    <w:p>
      <w:pPr>
        <w:tabs>
          <w:tab w:val="left" w:pos="400"/>
        </w:tabs>
        <w:jc w:val="both"/>
        <w:rPr>
          <w:rFonts w:hint="eastAsia" w:eastAsia="宋体"/>
          <w:lang w:eastAsia="zh-CN"/>
        </w:rPr>
      </w:pPr>
    </w:p>
    <w:p>
      <w:pPr>
        <w:tabs>
          <w:tab w:val="left" w:pos="828"/>
        </w:tabs>
        <w:jc w:val="left"/>
        <w:rPr>
          <w:rFonts w:hint="eastAsia" w:ascii="宋体" w:hAnsi="宋体" w:cs="宋体"/>
          <w:color w:val="auto"/>
          <w:lang w:val="en-US" w:eastAsia="zh-CN"/>
        </w:rPr>
      </w:pPr>
      <w:r>
        <w:rPr>
          <w:rFonts w:hint="eastAsia"/>
          <w:color w:val="auto"/>
          <w:lang w:val="en-US" w:eastAsia="zh-CN"/>
        </w:rPr>
        <w:t>备注：1、</w:t>
      </w:r>
      <w:r>
        <w:rPr>
          <w:rFonts w:hint="eastAsia" w:cs="Times New Roman"/>
          <w:color w:val="auto"/>
          <w:lang w:val="en-US" w:eastAsia="zh-CN"/>
        </w:rPr>
        <w:t>标</w:t>
      </w:r>
      <w:r>
        <w:rPr>
          <w:rFonts w:hint="eastAsia" w:ascii="宋体" w:hAnsi="宋体" w:eastAsia="宋体" w:cs="宋体"/>
          <w:color w:val="auto"/>
          <w:lang w:val="en-US" w:eastAsia="zh-CN"/>
        </w:rPr>
        <w:t>★的货物参数</w:t>
      </w:r>
      <w:r>
        <w:rPr>
          <w:rFonts w:hint="eastAsia" w:ascii="宋体" w:hAnsi="宋体" w:cs="宋体"/>
          <w:color w:val="auto"/>
          <w:lang w:val="en-US" w:eastAsia="zh-CN"/>
        </w:rPr>
        <w:t>为实质性</w:t>
      </w:r>
      <w:r>
        <w:rPr>
          <w:rFonts w:hint="eastAsia" w:ascii="宋体" w:hAnsi="宋体" w:eastAsia="宋体" w:cs="宋体"/>
          <w:color w:val="auto"/>
          <w:lang w:val="en-US" w:eastAsia="zh-CN"/>
        </w:rPr>
        <w:t>要求不得偏离，要求提供检测报告</w:t>
      </w:r>
      <w:r>
        <w:rPr>
          <w:rFonts w:hint="eastAsia" w:ascii="宋体" w:hAnsi="宋体" w:cs="宋体"/>
          <w:color w:val="auto"/>
          <w:lang w:val="en-US" w:eastAsia="zh-CN"/>
        </w:rPr>
        <w:t>作为应证材料，</w:t>
      </w:r>
      <w:r>
        <w:rPr>
          <w:rFonts w:hint="eastAsia" w:ascii="宋体" w:hAnsi="宋体" w:eastAsia="宋体" w:cs="宋体"/>
          <w:color w:val="auto"/>
          <w:lang w:val="en-US" w:eastAsia="zh-CN"/>
        </w:rPr>
        <w:t>否则视为</w:t>
      </w:r>
      <w:r>
        <w:rPr>
          <w:rFonts w:hint="eastAsia" w:ascii="Times New Roman" w:hAnsi="Times New Roman" w:eastAsia="宋体" w:cs="Times New Roman"/>
          <w:color w:val="auto"/>
          <w:lang w:val="en-US" w:eastAsia="zh-CN"/>
        </w:rPr>
        <w:t>无效投标</w:t>
      </w:r>
      <w:r>
        <w:rPr>
          <w:rFonts w:hint="eastAsia" w:ascii="宋体" w:hAnsi="宋体" w:cs="宋体"/>
          <w:color w:val="auto"/>
          <w:lang w:val="en-US" w:eastAsia="zh-CN"/>
        </w:rPr>
        <w:t>。</w:t>
      </w:r>
    </w:p>
    <w:p>
      <w:pPr>
        <w:pStyle w:val="2"/>
        <w:ind w:left="1200" w:leftChars="500" w:firstLine="0" w:firstLineChars="0"/>
        <w:rPr>
          <w:rFonts w:hint="default" w:ascii="宋体" w:hAnsi="宋体" w:eastAsia="宋体" w:cs="宋体"/>
          <w:snapToGrid/>
          <w:color w:val="auto"/>
          <w:kern w:val="2"/>
          <w:sz w:val="24"/>
          <w:szCs w:val="24"/>
          <w:lang w:val="en-US" w:eastAsia="zh-CN" w:bidi="ar-SA"/>
        </w:rPr>
      </w:pPr>
      <w:r>
        <w:rPr>
          <w:rFonts w:hint="eastAsia" w:ascii="Times New Roman" w:hAnsi="Times New Roman" w:eastAsia="宋体" w:cs="Times New Roman"/>
          <w:snapToGrid/>
          <w:color w:val="auto"/>
          <w:kern w:val="2"/>
          <w:sz w:val="24"/>
          <w:szCs w:val="24"/>
          <w:lang w:val="en-US" w:eastAsia="zh-CN" w:bidi="ar-SA"/>
        </w:rPr>
        <w:t>2、</w:t>
      </w:r>
      <w:r>
        <w:rPr>
          <w:rFonts w:hint="eastAsia" w:ascii="宋体" w:hAnsi="宋体" w:eastAsia="宋体" w:cs="宋体"/>
          <w:snapToGrid/>
          <w:color w:val="auto"/>
          <w:kern w:val="2"/>
          <w:sz w:val="24"/>
          <w:szCs w:val="24"/>
          <w:lang w:val="en-US" w:eastAsia="zh-CN" w:bidi="ar-SA"/>
        </w:rPr>
        <w:t>此项目所有的设备质保期为1年（除项目约定3年质保期产品外）</w:t>
      </w:r>
      <w:r>
        <w:rPr>
          <w:rFonts w:hint="eastAsia" w:ascii="宋体" w:hAnsi="宋体" w:cs="宋体"/>
          <w:snapToGrid/>
          <w:color w:val="auto"/>
          <w:kern w:val="2"/>
          <w:sz w:val="24"/>
          <w:szCs w:val="24"/>
          <w:lang w:val="en-US" w:eastAsia="zh-CN" w:bidi="ar-SA"/>
        </w:rPr>
        <w:t>。</w:t>
      </w:r>
    </w:p>
    <w:p>
      <w:pPr>
        <w:pStyle w:val="15"/>
        <w:rPr>
          <w:rFonts w:hint="eastAsia"/>
          <w:lang w:eastAsia="zh-CN"/>
        </w:rPr>
      </w:pPr>
    </w:p>
    <w:bookmarkEnd w:id="20"/>
    <w:bookmarkEnd w:id="21"/>
    <w:p>
      <w:pPr>
        <w:pStyle w:val="2"/>
        <w:pageBreakBefore w:val="0"/>
        <w:kinsoku/>
        <w:wordWrap/>
        <w:topLinePunct w:val="0"/>
        <w:bidi w:val="0"/>
        <w:ind w:left="0" w:leftChars="0" w:right="0" w:firstLine="0" w:firstLineChars="0"/>
        <w:jc w:val="center"/>
        <w:rPr>
          <w:rFonts w:ascii="Times New Roman" w:hAnsi="Times New Roman" w:eastAsia="宋体" w:cs="宋体"/>
          <w:b/>
          <w:color w:val="auto"/>
          <w:sz w:val="24"/>
          <w:szCs w:val="24"/>
          <w:highlight w:val="none"/>
        </w:rPr>
      </w:pPr>
      <w:bookmarkStart w:id="24" w:name="_Toc22990"/>
      <w:bookmarkStart w:id="25" w:name="_Toc22311"/>
      <w:r>
        <w:rPr>
          <w:rFonts w:hint="eastAsia" w:ascii="Times New Roman" w:hAnsi="Times New Roman" w:eastAsia="宋体" w:cs="宋体"/>
          <w:b/>
          <w:color w:val="auto"/>
          <w:sz w:val="24"/>
          <w:szCs w:val="24"/>
          <w:highlight w:val="none"/>
        </w:rPr>
        <w:t>二、采购要求</w:t>
      </w:r>
      <w:bookmarkEnd w:id="24"/>
      <w:bookmarkEnd w:id="25"/>
    </w:p>
    <w:p>
      <w:pPr>
        <w:pageBreakBefore w:val="0"/>
        <w:kinsoku/>
        <w:wordWrap/>
        <w:topLinePunct w:val="0"/>
        <w:bidi w:val="0"/>
        <w:spacing w:line="520" w:lineRule="exact"/>
        <w:ind w:left="0" w:leftChars="0" w:right="0" w:firstLine="420" w:firstLineChars="200"/>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1、采购范围：有关本项目所需货物采购包括货物、货物到达交货地点的相关运输费、装卸费、验收、免费期维护费及售后服务、税金等。运输途中风险由</w:t>
      </w:r>
      <w:r>
        <w:rPr>
          <w:rFonts w:hint="eastAsia" w:ascii="Times New Roman" w:hAnsi="Times New Roman" w:eastAsia="宋体" w:cs="宋体"/>
          <w:color w:val="auto"/>
          <w:sz w:val="21"/>
          <w:szCs w:val="21"/>
          <w:highlight w:val="none"/>
          <w:lang w:eastAsia="zh-CN"/>
        </w:rPr>
        <w:t>成交供应商</w:t>
      </w:r>
      <w:r>
        <w:rPr>
          <w:rFonts w:hint="eastAsia" w:ascii="Times New Roman" w:hAnsi="Times New Roman" w:eastAsia="宋体" w:cs="宋体"/>
          <w:color w:val="auto"/>
          <w:sz w:val="21"/>
          <w:szCs w:val="21"/>
          <w:highlight w:val="none"/>
        </w:rPr>
        <w:t>自行承担</w:t>
      </w:r>
      <w:r>
        <w:rPr>
          <w:rFonts w:hint="eastAsia" w:ascii="Times New Roman" w:hAnsi="Times New Roman" w:eastAsia="宋体" w:cs="宋体"/>
          <w:color w:val="auto"/>
          <w:sz w:val="21"/>
          <w:szCs w:val="21"/>
          <w:highlight w:val="none"/>
          <w:lang w:val="en-US" w:eastAsia="zh-CN"/>
        </w:rPr>
        <w:t>。</w:t>
      </w:r>
    </w:p>
    <w:p>
      <w:pPr>
        <w:pageBreakBefore w:val="0"/>
        <w:shd w:val="clear" w:color="auto" w:fill="auto"/>
        <w:kinsoku/>
        <w:wordWrap/>
        <w:topLinePunct w:val="0"/>
        <w:bidi w:val="0"/>
        <w:spacing w:line="520" w:lineRule="exact"/>
        <w:ind w:left="0" w:leftChars="0" w:right="0" w:firstLine="480"/>
        <w:rPr>
          <w:rFonts w:hint="eastAsia" w:ascii="Times New Roman" w:hAnsi="Times New Roman" w:eastAsia="宋体" w:cs="宋体"/>
          <w:color w:val="auto"/>
          <w:sz w:val="21"/>
          <w:szCs w:val="21"/>
          <w:highlight w:val="none"/>
          <w:shd w:val="clear" w:color="auto" w:fill="auto"/>
          <w:lang w:val="en-US" w:eastAsia="zh-CN"/>
        </w:rPr>
      </w:pPr>
      <w:r>
        <w:rPr>
          <w:rFonts w:hint="eastAsia" w:ascii="Times New Roman" w:hAnsi="Times New Roman" w:eastAsia="宋体" w:cs="宋体"/>
          <w:color w:val="auto"/>
          <w:sz w:val="21"/>
          <w:szCs w:val="21"/>
          <w:highlight w:val="none"/>
          <w:shd w:val="clear" w:color="auto" w:fill="auto"/>
        </w:rPr>
        <w:t>2、交货时间：</w:t>
      </w:r>
      <w:r>
        <w:rPr>
          <w:rFonts w:hint="eastAsia" w:ascii="Times New Roman" w:hAnsi="Times New Roman" w:eastAsia="宋体" w:cs="宋体"/>
          <w:color w:val="auto"/>
          <w:sz w:val="21"/>
          <w:szCs w:val="21"/>
          <w:highlight w:val="none"/>
          <w:shd w:val="clear" w:color="auto" w:fill="auto"/>
          <w:lang w:val="en-US" w:eastAsia="zh-CN"/>
        </w:rPr>
        <w:t>签订合同后30天内完成供货。</w:t>
      </w:r>
    </w:p>
    <w:p>
      <w:pPr>
        <w:pageBreakBefore w:val="0"/>
        <w:kinsoku/>
        <w:wordWrap/>
        <w:topLinePunct w:val="0"/>
        <w:bidi w:val="0"/>
        <w:spacing w:line="520" w:lineRule="exact"/>
        <w:ind w:left="0" w:leftChars="0" w:right="0" w:firstLine="480"/>
        <w:rPr>
          <w:rFonts w:hint="eastAsia" w:ascii="Times New Roman" w:hAnsi="Times New Roman" w:eastAsia="宋体" w:cs="宋体"/>
          <w:bCs/>
          <w:color w:val="auto"/>
          <w:sz w:val="21"/>
          <w:szCs w:val="21"/>
          <w:highlight w:val="none"/>
          <w:lang w:val="zh-CN"/>
        </w:rPr>
      </w:pPr>
      <w:r>
        <w:rPr>
          <w:rFonts w:hint="eastAsia" w:ascii="Times New Roman" w:hAnsi="Times New Roman" w:eastAsia="宋体" w:cs="宋体"/>
          <w:color w:val="auto"/>
          <w:sz w:val="21"/>
          <w:szCs w:val="21"/>
          <w:highlight w:val="none"/>
        </w:rPr>
        <w:t>3、质量要求：按照国家和行业标准及</w:t>
      </w:r>
      <w:r>
        <w:rPr>
          <w:rFonts w:hint="eastAsia" w:ascii="Times New Roman" w:hAnsi="Times New Roman" w:eastAsia="宋体" w:cs="宋体"/>
          <w:color w:val="auto"/>
          <w:sz w:val="21"/>
          <w:szCs w:val="21"/>
          <w:highlight w:val="none"/>
          <w:lang w:eastAsia="zh-CN"/>
        </w:rPr>
        <w:t>谈判文件</w:t>
      </w:r>
      <w:r>
        <w:rPr>
          <w:rFonts w:hint="eastAsia" w:ascii="Times New Roman" w:hAnsi="Times New Roman" w:eastAsia="宋体" w:cs="宋体"/>
          <w:bCs/>
          <w:color w:val="auto"/>
          <w:sz w:val="21"/>
          <w:szCs w:val="21"/>
          <w:highlight w:val="none"/>
        </w:rPr>
        <w:t>的要求采购，质量达到合格，如质量达不到标准要求，采购方有权退货，因退货而产生的费用由供货方承担。</w:t>
      </w:r>
      <w:r>
        <w:rPr>
          <w:rFonts w:hint="eastAsia" w:ascii="Times New Roman" w:hAnsi="Times New Roman" w:eastAsia="宋体" w:cs="宋体"/>
          <w:bCs/>
          <w:color w:val="auto"/>
          <w:sz w:val="21"/>
          <w:szCs w:val="21"/>
          <w:highlight w:val="none"/>
          <w:lang w:val="en-US" w:eastAsia="zh-CN"/>
        </w:rPr>
        <w:t>验收时供应商需</w:t>
      </w:r>
      <w:r>
        <w:rPr>
          <w:rFonts w:hint="eastAsia" w:ascii="Times New Roman" w:hAnsi="Times New Roman" w:eastAsia="宋体" w:cs="宋体"/>
          <w:bCs/>
          <w:color w:val="auto"/>
          <w:sz w:val="21"/>
          <w:szCs w:val="21"/>
          <w:highlight w:val="none"/>
          <w:lang w:val="zh-CN"/>
        </w:rPr>
        <w:t>派技术人员到达现场，在双方人员在场的情况下，清点货物，</w:t>
      </w:r>
      <w:r>
        <w:rPr>
          <w:rFonts w:hint="eastAsia" w:ascii="Times New Roman" w:hAnsi="Times New Roman" w:eastAsia="宋体" w:cs="宋体"/>
          <w:bCs/>
          <w:color w:val="auto"/>
          <w:sz w:val="21"/>
          <w:szCs w:val="21"/>
          <w:highlight w:val="none"/>
          <w:lang w:val="en-US" w:eastAsia="zh-CN"/>
        </w:rPr>
        <w:t>验收工程</w:t>
      </w:r>
      <w:r>
        <w:rPr>
          <w:rFonts w:hint="eastAsia" w:ascii="Times New Roman" w:hAnsi="Times New Roman" w:eastAsia="宋体" w:cs="宋体"/>
          <w:bCs/>
          <w:color w:val="auto"/>
          <w:sz w:val="21"/>
          <w:szCs w:val="21"/>
          <w:highlight w:val="none"/>
          <w:lang w:val="zh-CN"/>
        </w:rPr>
        <w:t>等。</w:t>
      </w:r>
      <w:r>
        <w:rPr>
          <w:rFonts w:hint="eastAsia" w:ascii="Times New Roman" w:hAnsi="Times New Roman" w:eastAsia="宋体" w:cs="宋体"/>
          <w:bCs/>
          <w:color w:val="auto"/>
          <w:sz w:val="21"/>
          <w:szCs w:val="21"/>
          <w:highlight w:val="none"/>
          <w:lang w:val="en-US" w:eastAsia="zh-CN"/>
        </w:rPr>
        <w:t>供货商在施工过程中</w:t>
      </w:r>
      <w:r>
        <w:rPr>
          <w:rFonts w:hint="eastAsia" w:ascii="Times New Roman" w:hAnsi="Times New Roman" w:eastAsia="宋体" w:cs="宋体"/>
          <w:bCs/>
          <w:color w:val="auto"/>
          <w:sz w:val="21"/>
          <w:szCs w:val="21"/>
          <w:highlight w:val="none"/>
          <w:lang w:val="zh-CN"/>
        </w:rPr>
        <w:t>的货物损坏承担全部赔偿责任，并承担因此发生的一切费用。</w:t>
      </w:r>
    </w:p>
    <w:p>
      <w:pPr>
        <w:pageBreakBefore w:val="0"/>
        <w:kinsoku/>
        <w:wordWrap/>
        <w:topLinePunct w:val="0"/>
        <w:bidi w:val="0"/>
        <w:spacing w:line="520" w:lineRule="exact"/>
        <w:ind w:left="0" w:leftChars="0" w:right="0" w:firstLine="480"/>
        <w:rPr>
          <w:rFonts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4、供货须知：（1）须按照采购需求数量供货；（2）由采购单位负责人在验收单上签署验收意见；（3）如因特殊情况不能及时卸货，供货方应妥善保管货物，否则发生的不良后果由供货方承担。</w:t>
      </w:r>
    </w:p>
    <w:p>
      <w:pPr>
        <w:pageBreakBefore w:val="0"/>
        <w:kinsoku/>
        <w:wordWrap/>
        <w:topLinePunct w:val="0"/>
        <w:bidi w:val="0"/>
        <w:spacing w:line="440" w:lineRule="exact"/>
        <w:ind w:left="0" w:leftChars="0" w:right="0"/>
        <w:jc w:val="center"/>
        <w:outlineLvl w:val="1"/>
        <w:rPr>
          <w:rFonts w:hint="eastAsia" w:ascii="Times New Roman" w:hAnsi="Times New Roman" w:eastAsia="宋体" w:cs="宋体"/>
          <w:b/>
          <w:color w:val="auto"/>
          <w:sz w:val="24"/>
          <w:szCs w:val="24"/>
          <w:highlight w:val="none"/>
        </w:rPr>
      </w:pPr>
      <w:bookmarkStart w:id="26" w:name="_Toc14"/>
      <w:bookmarkStart w:id="27" w:name="_Toc29469"/>
    </w:p>
    <w:p>
      <w:pPr>
        <w:pageBreakBefore w:val="0"/>
        <w:kinsoku/>
        <w:wordWrap/>
        <w:topLinePunct w:val="0"/>
        <w:bidi w:val="0"/>
        <w:spacing w:line="440" w:lineRule="exact"/>
        <w:ind w:left="0" w:leftChars="0" w:right="0"/>
        <w:jc w:val="center"/>
        <w:outlineLvl w:val="1"/>
        <w:rPr>
          <w:rFonts w:hint="eastAsia" w:ascii="Times New Roman" w:hAnsi="Times New Roman" w:eastAsia="宋体" w:cs="宋体"/>
          <w:b/>
          <w:color w:val="auto"/>
          <w:sz w:val="24"/>
          <w:szCs w:val="24"/>
          <w:highlight w:val="none"/>
        </w:rPr>
      </w:pPr>
    </w:p>
    <w:p>
      <w:pPr>
        <w:pageBreakBefore w:val="0"/>
        <w:kinsoku/>
        <w:wordWrap/>
        <w:topLinePunct w:val="0"/>
        <w:bidi w:val="0"/>
        <w:spacing w:line="440" w:lineRule="exact"/>
        <w:ind w:right="0"/>
        <w:jc w:val="center"/>
        <w:outlineLvl w:val="1"/>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三、验收及付款方式</w:t>
      </w:r>
      <w:bookmarkEnd w:id="26"/>
      <w:bookmarkEnd w:id="27"/>
    </w:p>
    <w:p>
      <w:pPr>
        <w:pStyle w:val="25"/>
        <w:pageBreakBefore w:val="0"/>
        <w:kinsoku/>
        <w:wordWrap/>
        <w:topLinePunct w:val="0"/>
        <w:bidi w:val="0"/>
        <w:spacing w:line="440" w:lineRule="exact"/>
        <w:ind w:left="0" w:leftChars="0" w:right="0"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r>
        <w:rPr>
          <w:rFonts w:hint="eastAsia" w:ascii="Times New Roman" w:hAnsi="Times New Roman" w:eastAsia="宋体" w:cs="宋体"/>
          <w:color w:val="auto"/>
          <w:sz w:val="21"/>
          <w:szCs w:val="21"/>
          <w:highlight w:val="none"/>
          <w:lang w:val="zh-CN"/>
        </w:rPr>
        <w:t>货物验收时，应按照国家及行业相关标准由甲方验收，甲方出具验收报告；对因货物不合格或质量达不到采购人要求标准而对采购人造成影响的，由成交供应商承担一切责任，并赔偿所造成的损失。因货物验收产生的一切费用由中标人负责，验收时采购单位领导及相应人员参加。</w:t>
      </w:r>
    </w:p>
    <w:p>
      <w:pPr>
        <w:pStyle w:val="25"/>
        <w:pageBreakBefore w:val="0"/>
        <w:kinsoku/>
        <w:wordWrap/>
        <w:topLinePunct w:val="0"/>
        <w:bidi w:val="0"/>
        <w:spacing w:line="440" w:lineRule="exact"/>
        <w:ind w:left="0" w:leftChars="0" w:right="0" w:firstLine="538"/>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2、付款方式：按中标单位与采购单位签订合同的付款方式执行。</w:t>
      </w:r>
    </w:p>
    <w:p>
      <w:pPr>
        <w:pStyle w:val="25"/>
        <w:pageBreakBefore w:val="0"/>
        <w:kinsoku/>
        <w:wordWrap/>
        <w:topLinePunct w:val="0"/>
        <w:bidi w:val="0"/>
        <w:spacing w:line="360" w:lineRule="auto"/>
        <w:ind w:left="0" w:leftChars="0" w:right="0"/>
        <w:jc w:val="center"/>
        <w:outlineLvl w:val="1"/>
        <w:rPr>
          <w:rFonts w:hint="eastAsia" w:ascii="Times New Roman" w:hAnsi="Times New Roman" w:eastAsia="宋体" w:cs="宋体"/>
          <w:b/>
          <w:color w:val="auto"/>
          <w:sz w:val="24"/>
          <w:szCs w:val="24"/>
          <w:highlight w:val="none"/>
        </w:rPr>
      </w:pPr>
      <w:bookmarkStart w:id="28" w:name="_Toc11667"/>
      <w:bookmarkStart w:id="29" w:name="_Toc2751"/>
    </w:p>
    <w:bookmarkEnd w:id="28"/>
    <w:bookmarkEnd w:id="29"/>
    <w:p>
      <w:pPr>
        <w:pStyle w:val="25"/>
        <w:pageBreakBefore w:val="0"/>
        <w:kinsoku/>
        <w:wordWrap/>
        <w:topLinePunct w:val="0"/>
        <w:bidi w:val="0"/>
        <w:spacing w:line="360" w:lineRule="auto"/>
        <w:ind w:left="0" w:leftChars="0" w:right="0"/>
        <w:jc w:val="center"/>
        <w:outlineLvl w:val="1"/>
        <w:rPr>
          <w:rFonts w:hint="eastAsia" w:ascii="Times New Roman" w:hAnsi="Times New Roman" w:eastAsia="宋体" w:cs="宋体"/>
          <w:b/>
          <w:color w:val="auto"/>
          <w:sz w:val="24"/>
          <w:szCs w:val="24"/>
          <w:highlight w:val="none"/>
        </w:rPr>
      </w:pPr>
      <w:bookmarkStart w:id="30" w:name="_Toc26841"/>
      <w:bookmarkStart w:id="31" w:name="_Toc6535"/>
    </w:p>
    <w:p>
      <w:pPr>
        <w:ind w:firstLine="3373" w:firstLineChars="1400"/>
        <w:rPr>
          <w:rFonts w:hint="eastAsia" w:ascii="Times New Roman" w:hAnsi="Times New Roman" w:eastAsia="宋体" w:cs="宋体"/>
          <w:b/>
          <w:color w:val="auto"/>
          <w:sz w:val="24"/>
          <w:szCs w:val="24"/>
          <w:highlight w:val="none"/>
          <w:lang w:val="en-US" w:eastAsia="zh-CN"/>
        </w:rPr>
      </w:pPr>
    </w:p>
    <w:p>
      <w:pPr>
        <w:ind w:firstLine="3373" w:firstLineChars="1400"/>
        <w:rPr>
          <w:rFonts w:hint="eastAsia" w:ascii="Times New Roman" w:hAnsi="Times New Roman" w:eastAsia="宋体" w:cs="宋体"/>
          <w:b/>
          <w:color w:val="auto"/>
          <w:sz w:val="24"/>
          <w:szCs w:val="24"/>
          <w:highlight w:val="none"/>
          <w:lang w:val="en-US" w:eastAsia="zh-CN"/>
        </w:rPr>
      </w:pPr>
    </w:p>
    <w:p>
      <w:pPr>
        <w:ind w:left="0" w:leftChars="0" w:firstLine="0" w:firstLineChars="0"/>
        <w:jc w:val="center"/>
        <w:rPr>
          <w:rFonts w:hint="default"/>
          <w:b/>
          <w:bCs/>
          <w:color w:val="auto"/>
          <w:lang w:val="en-US" w:eastAsia="zh-CN"/>
        </w:rPr>
      </w:pPr>
      <w:r>
        <w:rPr>
          <w:rFonts w:hint="eastAsia" w:ascii="Times New Roman" w:hAnsi="Times New Roman" w:eastAsia="宋体" w:cs="宋体"/>
          <w:b/>
          <w:color w:val="auto"/>
          <w:sz w:val="24"/>
          <w:szCs w:val="24"/>
          <w:highlight w:val="none"/>
          <w:lang w:val="en-US" w:eastAsia="zh-CN"/>
        </w:rPr>
        <w:t>四</w:t>
      </w:r>
      <w:r>
        <w:rPr>
          <w:rFonts w:hint="eastAsia" w:ascii="Times New Roman" w:hAnsi="Times New Roman" w:eastAsia="宋体" w:cs="宋体"/>
          <w:b/>
          <w:color w:val="auto"/>
          <w:sz w:val="24"/>
          <w:szCs w:val="24"/>
          <w:highlight w:val="none"/>
        </w:rPr>
        <w:t>、服务承诺</w:t>
      </w:r>
      <w:bookmarkEnd w:id="30"/>
      <w:bookmarkEnd w:id="31"/>
    </w:p>
    <w:p>
      <w:pPr>
        <w:pStyle w:val="25"/>
        <w:pageBreakBefore w:val="0"/>
        <w:kinsoku/>
        <w:wordWrap/>
        <w:topLinePunct w:val="0"/>
        <w:bidi w:val="0"/>
        <w:spacing w:line="360" w:lineRule="auto"/>
        <w:ind w:left="0" w:leftChars="0" w:right="0"/>
        <w:jc w:val="center"/>
        <w:outlineLvl w:val="1"/>
        <w:rPr>
          <w:rFonts w:ascii="Times New Roman" w:hAnsi="Times New Roman" w:eastAsia="宋体" w:cs="宋体"/>
          <w:b/>
          <w:color w:val="auto"/>
          <w:sz w:val="24"/>
          <w:szCs w:val="24"/>
          <w:highlight w:val="none"/>
        </w:rPr>
      </w:pPr>
    </w:p>
    <w:p>
      <w:pPr>
        <w:pStyle w:val="25"/>
        <w:pageBreakBefore w:val="0"/>
        <w:kinsoku/>
        <w:wordWrap/>
        <w:topLinePunct w:val="0"/>
        <w:bidi w:val="0"/>
        <w:spacing w:line="440" w:lineRule="exact"/>
        <w:ind w:left="0" w:leftChars="0" w:right="0" w:firstLine="420" w:firstLineChars="200"/>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报价方需提供售后服务体系、服务保证及服务承诺。报价方应有能力履行采购文件中规定的、合同条款和技术要求方面的、由</w:t>
      </w:r>
      <w:r>
        <w:rPr>
          <w:rFonts w:hint="eastAsia" w:ascii="Times New Roman" w:hAnsi="Times New Roman" w:eastAsia="宋体" w:cs="宋体"/>
          <w:color w:val="auto"/>
          <w:sz w:val="21"/>
          <w:szCs w:val="21"/>
          <w:highlight w:val="none"/>
          <w:lang w:val="en-US" w:eastAsia="zh-CN"/>
        </w:rPr>
        <w:t>供货方</w:t>
      </w:r>
      <w:r>
        <w:rPr>
          <w:rFonts w:hint="eastAsia" w:ascii="Times New Roman" w:hAnsi="Times New Roman" w:eastAsia="宋体" w:cs="宋体"/>
          <w:color w:val="auto"/>
          <w:sz w:val="21"/>
          <w:szCs w:val="21"/>
          <w:highlight w:val="none"/>
        </w:rPr>
        <w:t>供应</w:t>
      </w:r>
      <w:r>
        <w:rPr>
          <w:rFonts w:hint="eastAsia" w:ascii="Times New Roman" w:hAnsi="Times New Roman" w:eastAsia="宋体" w:cs="宋体"/>
          <w:color w:val="auto"/>
          <w:sz w:val="21"/>
          <w:szCs w:val="21"/>
          <w:highlight w:val="none"/>
          <w:lang w:val="en-US" w:eastAsia="zh-CN"/>
        </w:rPr>
        <w:t>供应、搬卸、运输、</w:t>
      </w:r>
      <w:r>
        <w:rPr>
          <w:rFonts w:hint="eastAsia" w:ascii="Times New Roman" w:hAnsi="Times New Roman" w:eastAsia="宋体" w:cs="宋体"/>
          <w:color w:val="auto"/>
          <w:sz w:val="21"/>
          <w:szCs w:val="21"/>
          <w:highlight w:val="none"/>
        </w:rPr>
        <w:t>和相关售后服务和其他技术服务的义务。</w:t>
      </w:r>
      <w:r>
        <w:rPr>
          <w:rFonts w:hint="eastAsia" w:ascii="Times New Roman" w:hAnsi="Times New Roman" w:eastAsia="宋体" w:cs="宋体"/>
          <w:color w:val="auto"/>
          <w:sz w:val="21"/>
          <w:szCs w:val="21"/>
          <w:highlight w:val="none"/>
          <w:lang w:val="en-US" w:eastAsia="zh-CN"/>
        </w:rPr>
        <w:t>未提供的将被否决谈判。</w:t>
      </w:r>
    </w:p>
    <w:p>
      <w:pPr>
        <w:pageBreakBefore w:val="0"/>
        <w:numPr>
          <w:ilvl w:val="0"/>
          <w:numId w:val="0"/>
        </w:numPr>
        <w:tabs>
          <w:tab w:val="left" w:pos="990"/>
        </w:tabs>
        <w:kinsoku/>
        <w:wordWrap/>
        <w:overflowPunct/>
        <w:topLinePunct w:val="0"/>
        <w:bidi w:val="0"/>
        <w:spacing w:line="360" w:lineRule="auto"/>
        <w:ind w:left="0" w:leftChars="0" w:right="0"/>
        <w:jc w:val="center"/>
        <w:rPr>
          <w:rFonts w:hint="eastAsia" w:ascii="宋体" w:hAnsi="宋体" w:eastAsia="宋体" w:cs="宋体"/>
          <w:color w:val="auto"/>
          <w:sz w:val="32"/>
          <w:szCs w:val="32"/>
        </w:rPr>
      </w:pPr>
      <w:r>
        <w:rPr>
          <w:rFonts w:hint="eastAsia" w:ascii="Times New Roman" w:hAnsi="Times New Roman" w:eastAsia="宋体" w:cs="宋体"/>
          <w:b/>
          <w:bCs/>
          <w:color w:val="auto"/>
          <w:sz w:val="32"/>
          <w:szCs w:val="32"/>
          <w:highlight w:val="yellow"/>
        </w:rPr>
        <w:br w:type="page"/>
      </w:r>
      <w:r>
        <w:rPr>
          <w:rFonts w:hint="eastAsia" w:ascii="宋体" w:hAnsi="宋体" w:eastAsia="宋体" w:cs="宋体"/>
          <w:color w:val="auto"/>
          <w:sz w:val="36"/>
          <w:szCs w:val="36"/>
        </w:rPr>
        <w:t>第四部分 政府采购合同（样本）</w:t>
      </w:r>
    </w:p>
    <w:p>
      <w:pPr>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合同编号：</w:t>
      </w:r>
      <w:r>
        <w:rPr>
          <w:rFonts w:hint="eastAsia" w:ascii="宋体" w:hAnsi="宋体" w:eastAsia="宋体" w:cs="宋体"/>
          <w:b w:val="0"/>
          <w:i w:val="0"/>
          <w:caps w:val="0"/>
          <w:color w:val="auto"/>
          <w:spacing w:val="0"/>
          <w:w w:val="100"/>
          <w:sz w:val="24"/>
          <w:szCs w:val="24"/>
          <w:u w:val="single" w:color="000000"/>
        </w:rPr>
        <w:t xml:space="preserve">           </w:t>
      </w:r>
    </w:p>
    <w:p>
      <w:pPr>
        <w:snapToGrid w:val="0"/>
        <w:spacing w:before="0" w:beforeAutospacing="0" w:after="0" w:afterAutospacing="0" w:line="480" w:lineRule="auto"/>
        <w:jc w:val="both"/>
        <w:textAlignment w:val="baseline"/>
        <w:rPr>
          <w:rFonts w:hint="eastAsia" w:ascii="宋体" w:hAnsi="宋体" w:eastAsia="宋体" w:cs="宋体"/>
          <w:b/>
          <w:i w:val="0"/>
          <w:caps w:val="0"/>
          <w:color w:val="auto"/>
          <w:spacing w:val="0"/>
          <w:w w:val="100"/>
          <w:sz w:val="24"/>
          <w:szCs w:val="24"/>
        </w:rPr>
      </w:pPr>
    </w:p>
    <w:p>
      <w:pPr>
        <w:snapToGrid w:val="0"/>
        <w:spacing w:before="0" w:beforeAutospacing="0" w:after="0" w:afterAutospacing="0" w:line="480" w:lineRule="auto"/>
        <w:jc w:val="center"/>
        <w:textAlignment w:val="baseline"/>
        <w:rPr>
          <w:rFonts w:hint="eastAsia" w:ascii="宋体" w:hAnsi="宋体" w:eastAsia="宋体" w:cs="宋体"/>
          <w:b/>
          <w:i w:val="0"/>
          <w:caps w:val="0"/>
          <w:color w:val="auto"/>
          <w:spacing w:val="0"/>
          <w:w w:val="100"/>
          <w:sz w:val="24"/>
          <w:szCs w:val="24"/>
        </w:rPr>
      </w:pPr>
    </w:p>
    <w:p>
      <w:pPr>
        <w:snapToGrid w:val="0"/>
        <w:spacing w:before="0" w:beforeAutospacing="0" w:after="0" w:afterAutospacing="0" w:line="480" w:lineRule="auto"/>
        <w:jc w:val="center"/>
        <w:textAlignment w:val="baseline"/>
        <w:rPr>
          <w:rFonts w:hint="eastAsia" w:ascii="宋体" w:hAnsi="宋体" w:eastAsia="宋体" w:cs="宋体"/>
          <w:b/>
          <w:i w:val="0"/>
          <w:caps w:val="0"/>
          <w:color w:val="auto"/>
          <w:spacing w:val="0"/>
          <w:w w:val="100"/>
          <w:sz w:val="40"/>
          <w:szCs w:val="40"/>
        </w:rPr>
      </w:pPr>
      <w:r>
        <w:rPr>
          <w:rFonts w:hint="eastAsia" w:ascii="宋体" w:hAnsi="宋体" w:eastAsia="宋体" w:cs="宋体"/>
          <w:b/>
          <w:i w:val="0"/>
          <w:caps w:val="0"/>
          <w:color w:val="auto"/>
          <w:spacing w:val="0"/>
          <w:w w:val="100"/>
          <w:sz w:val="40"/>
          <w:szCs w:val="40"/>
        </w:rPr>
        <w:t>政府采购合同参考范本</w:t>
      </w:r>
    </w:p>
    <w:p>
      <w:pPr>
        <w:snapToGrid w:val="0"/>
        <w:spacing w:before="0" w:beforeAutospacing="0" w:after="0" w:afterAutospacing="0" w:line="480" w:lineRule="auto"/>
        <w:jc w:val="center"/>
        <w:textAlignment w:val="baseline"/>
        <w:rPr>
          <w:rFonts w:hint="eastAsia" w:ascii="宋体" w:hAnsi="宋体" w:eastAsia="宋体" w:cs="宋体"/>
          <w:b/>
          <w:i w:val="0"/>
          <w:caps w:val="0"/>
          <w:color w:val="auto"/>
          <w:spacing w:val="0"/>
          <w:w w:val="100"/>
          <w:sz w:val="24"/>
          <w:szCs w:val="24"/>
        </w:rPr>
      </w:pPr>
      <w:r>
        <w:rPr>
          <w:rFonts w:hint="eastAsia" w:ascii="宋体" w:hAnsi="宋体" w:eastAsia="宋体" w:cs="宋体"/>
          <w:b/>
          <w:i w:val="0"/>
          <w:caps w:val="0"/>
          <w:color w:val="auto"/>
          <w:spacing w:val="0"/>
          <w:w w:val="100"/>
          <w:sz w:val="24"/>
          <w:szCs w:val="24"/>
        </w:rPr>
        <w:t>（货物类）</w:t>
      </w:r>
    </w:p>
    <w:p>
      <w:pPr>
        <w:pStyle w:val="135"/>
        <w:snapToGrid w:val="0"/>
        <w:spacing w:before="0" w:beforeAutospacing="0" w:after="0" w:afterAutospacing="0" w:line="240" w:lineRule="auto"/>
        <w:ind w:firstLine="0"/>
        <w:jc w:val="both"/>
        <w:textAlignment w:val="baseline"/>
        <w:rPr>
          <w:rFonts w:hint="eastAsia" w:ascii="宋体" w:hAnsi="宋体" w:eastAsia="宋体" w:cs="宋体"/>
          <w:b w:val="0"/>
          <w:i w:val="0"/>
          <w:caps w:val="0"/>
          <w:color w:val="auto"/>
          <w:spacing w:val="0"/>
          <w:w w:val="100"/>
          <w:sz w:val="24"/>
          <w:szCs w:val="24"/>
        </w:rPr>
      </w:pPr>
    </w:p>
    <w:p>
      <w:pPr>
        <w:pStyle w:val="135"/>
        <w:snapToGrid w:val="0"/>
        <w:spacing w:before="0" w:beforeAutospacing="0" w:after="0" w:afterAutospacing="0" w:line="240" w:lineRule="auto"/>
        <w:ind w:firstLine="0"/>
        <w:jc w:val="both"/>
        <w:textAlignment w:val="baseline"/>
        <w:rPr>
          <w:rFonts w:hint="eastAsia" w:ascii="宋体" w:hAnsi="宋体" w:eastAsia="宋体" w:cs="宋体"/>
          <w:b w:val="0"/>
          <w:i w:val="0"/>
          <w:caps w:val="0"/>
          <w:color w:val="auto"/>
          <w:spacing w:val="0"/>
          <w:w w:val="100"/>
          <w:sz w:val="24"/>
          <w:szCs w:val="24"/>
        </w:rPr>
      </w:pPr>
    </w:p>
    <w:p>
      <w:pPr>
        <w:pStyle w:val="135"/>
        <w:snapToGrid w:val="0"/>
        <w:spacing w:before="0" w:beforeAutospacing="0" w:after="0" w:afterAutospacing="0" w:line="240" w:lineRule="auto"/>
        <w:ind w:firstLine="0"/>
        <w:jc w:val="center"/>
        <w:textAlignment w:val="baseline"/>
        <w:rPr>
          <w:rFonts w:hint="eastAsia" w:ascii="宋体" w:hAnsi="宋体" w:eastAsia="宋体" w:cs="宋体"/>
          <w:b/>
          <w:i w:val="0"/>
          <w:caps w:val="0"/>
          <w:color w:val="auto"/>
          <w:spacing w:val="0"/>
          <w:w w:val="100"/>
          <w:sz w:val="24"/>
          <w:szCs w:val="24"/>
        </w:rPr>
      </w:pPr>
      <w:r>
        <w:rPr>
          <w:rFonts w:hint="eastAsia" w:ascii="宋体" w:hAnsi="宋体" w:eastAsia="宋体" w:cs="宋体"/>
          <w:b/>
          <w:i w:val="0"/>
          <w:caps w:val="0"/>
          <w:color w:val="auto"/>
          <w:spacing w:val="0"/>
          <w:w w:val="100"/>
          <w:sz w:val="24"/>
          <w:szCs w:val="24"/>
        </w:rPr>
        <w:t>第一部分 合同书</w:t>
      </w:r>
    </w:p>
    <w:p>
      <w:pPr>
        <w:pStyle w:val="135"/>
        <w:snapToGrid w:val="0"/>
        <w:spacing w:before="0" w:beforeAutospacing="0" w:after="0" w:afterAutospacing="0" w:line="240" w:lineRule="auto"/>
        <w:ind w:firstLine="0"/>
        <w:jc w:val="both"/>
        <w:textAlignment w:val="baseline"/>
        <w:rPr>
          <w:rFonts w:hint="eastAsia" w:ascii="宋体" w:hAnsi="宋体" w:eastAsia="宋体" w:cs="宋体"/>
          <w:b w:val="0"/>
          <w:i w:val="0"/>
          <w:caps w:val="0"/>
          <w:color w:val="auto"/>
          <w:spacing w:val="0"/>
          <w:w w:val="100"/>
          <w:sz w:val="24"/>
          <w:szCs w:val="24"/>
        </w:rPr>
      </w:pPr>
    </w:p>
    <w:p>
      <w:pPr>
        <w:snapToGrid w:val="0"/>
        <w:spacing w:before="120" w:beforeAutospacing="0" w:after="0" w:afterAutospacing="0" w:line="22" w:lineRule="atLeast"/>
        <w:jc w:val="both"/>
        <w:textAlignment w:val="baseline"/>
        <w:rPr>
          <w:rFonts w:hint="eastAsia" w:ascii="宋体" w:hAnsi="宋体" w:eastAsia="宋体" w:cs="宋体"/>
          <w:b w:val="0"/>
          <w:i w:val="0"/>
          <w:caps w:val="0"/>
          <w:color w:val="auto"/>
          <w:spacing w:val="0"/>
          <w:w w:val="100"/>
          <w:sz w:val="24"/>
          <w:szCs w:val="24"/>
        </w:rPr>
      </w:pPr>
    </w:p>
    <w:p>
      <w:pPr>
        <w:snapToGrid w:val="0"/>
        <w:spacing w:before="120" w:beforeAutospacing="0" w:after="0" w:afterAutospacing="0" w:line="22" w:lineRule="atLeast"/>
        <w:ind w:left="96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项目名称：</w:t>
      </w:r>
      <w:r>
        <w:rPr>
          <w:rFonts w:hint="eastAsia" w:ascii="宋体" w:hAnsi="宋体" w:eastAsia="宋体" w:cs="宋体"/>
          <w:b w:val="0"/>
          <w:i w:val="0"/>
          <w:caps w:val="0"/>
          <w:color w:val="auto"/>
          <w:spacing w:val="0"/>
          <w:w w:val="100"/>
          <w:sz w:val="24"/>
          <w:szCs w:val="24"/>
          <w:u w:val="single" w:color="000000"/>
        </w:rPr>
        <w:t xml:space="preserve">                                   </w:t>
      </w:r>
    </w:p>
    <w:p>
      <w:pPr>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4"/>
          <w:szCs w:val="24"/>
        </w:rPr>
      </w:pPr>
    </w:p>
    <w:p>
      <w:pPr>
        <w:snapToGrid w:val="0"/>
        <w:spacing w:before="120" w:beforeAutospacing="0" w:after="0" w:afterAutospacing="0" w:line="22" w:lineRule="atLeast"/>
        <w:ind w:left="960"/>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甲方：</w:t>
      </w:r>
      <w:r>
        <w:rPr>
          <w:rFonts w:hint="eastAsia" w:ascii="宋体" w:hAnsi="宋体" w:eastAsia="宋体" w:cs="宋体"/>
          <w:b w:val="0"/>
          <w:i w:val="0"/>
          <w:caps w:val="0"/>
          <w:color w:val="auto"/>
          <w:spacing w:val="0"/>
          <w:w w:val="100"/>
          <w:sz w:val="24"/>
          <w:szCs w:val="24"/>
          <w:u w:val="single" w:color="000000"/>
        </w:rPr>
        <w:t xml:space="preserve">                                      </w:t>
      </w:r>
    </w:p>
    <w:p>
      <w:pPr>
        <w:snapToGrid w:val="0"/>
        <w:spacing w:before="120" w:beforeAutospacing="0" w:after="0" w:afterAutospacing="0" w:line="22" w:lineRule="atLeast"/>
        <w:jc w:val="both"/>
        <w:textAlignment w:val="baseline"/>
        <w:rPr>
          <w:rFonts w:hint="eastAsia" w:ascii="宋体" w:hAnsi="宋体" w:eastAsia="宋体" w:cs="宋体"/>
          <w:b w:val="0"/>
          <w:i w:val="0"/>
          <w:caps w:val="0"/>
          <w:color w:val="auto"/>
          <w:spacing w:val="0"/>
          <w:w w:val="100"/>
          <w:sz w:val="24"/>
          <w:szCs w:val="24"/>
        </w:rPr>
      </w:pPr>
    </w:p>
    <w:p>
      <w:pPr>
        <w:snapToGrid w:val="0"/>
        <w:spacing w:before="120" w:beforeAutospacing="0" w:after="0" w:afterAutospacing="0" w:line="22" w:lineRule="atLeast"/>
        <w:ind w:left="960"/>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乙方：</w:t>
      </w:r>
      <w:r>
        <w:rPr>
          <w:rFonts w:hint="eastAsia" w:ascii="宋体" w:hAnsi="宋体" w:eastAsia="宋体" w:cs="宋体"/>
          <w:b w:val="0"/>
          <w:i w:val="0"/>
          <w:caps w:val="0"/>
          <w:color w:val="auto"/>
          <w:spacing w:val="0"/>
          <w:w w:val="100"/>
          <w:sz w:val="24"/>
          <w:szCs w:val="24"/>
          <w:u w:val="single" w:color="000000"/>
        </w:rPr>
        <w:t xml:space="preserve">                                       </w:t>
      </w:r>
    </w:p>
    <w:p>
      <w:pPr>
        <w:snapToGrid w:val="0"/>
        <w:spacing w:before="120" w:beforeAutospacing="0" w:after="0" w:afterAutospacing="0" w:line="22" w:lineRule="atLeast"/>
        <w:jc w:val="both"/>
        <w:textAlignment w:val="baseline"/>
        <w:rPr>
          <w:rFonts w:hint="eastAsia" w:ascii="宋体" w:hAnsi="宋体" w:eastAsia="宋体" w:cs="宋体"/>
          <w:b w:val="0"/>
          <w:i w:val="0"/>
          <w:caps w:val="0"/>
          <w:color w:val="auto"/>
          <w:spacing w:val="0"/>
          <w:w w:val="100"/>
          <w:sz w:val="24"/>
          <w:szCs w:val="24"/>
        </w:rPr>
      </w:pPr>
    </w:p>
    <w:p>
      <w:pPr>
        <w:snapToGrid w:val="0"/>
        <w:spacing w:before="120" w:beforeAutospacing="0" w:after="0" w:afterAutospacing="0" w:line="22" w:lineRule="atLeast"/>
        <w:ind w:firstLine="960" w:firstLineChars="400"/>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签订地：</w:t>
      </w:r>
      <w:r>
        <w:rPr>
          <w:rFonts w:hint="eastAsia" w:ascii="宋体" w:hAnsi="宋体" w:eastAsia="宋体" w:cs="宋体"/>
          <w:b w:val="0"/>
          <w:i w:val="0"/>
          <w:caps w:val="0"/>
          <w:color w:val="auto"/>
          <w:spacing w:val="0"/>
          <w:w w:val="100"/>
          <w:sz w:val="24"/>
          <w:szCs w:val="24"/>
          <w:u w:val="single" w:color="000000"/>
        </w:rPr>
        <w:t xml:space="preserve">                                     </w:t>
      </w:r>
    </w:p>
    <w:p>
      <w:pPr>
        <w:snapToGrid w:val="0"/>
        <w:spacing w:before="120" w:beforeAutospacing="0" w:after="0" w:afterAutospacing="0" w:line="22" w:lineRule="atLeast"/>
        <w:jc w:val="both"/>
        <w:textAlignment w:val="baseline"/>
        <w:rPr>
          <w:rFonts w:hint="eastAsia" w:ascii="宋体" w:hAnsi="宋体" w:eastAsia="宋体" w:cs="宋体"/>
          <w:b w:val="0"/>
          <w:i w:val="0"/>
          <w:caps w:val="0"/>
          <w:color w:val="auto"/>
          <w:spacing w:val="0"/>
          <w:w w:val="100"/>
          <w:sz w:val="24"/>
          <w:szCs w:val="24"/>
        </w:rPr>
      </w:pPr>
    </w:p>
    <w:p>
      <w:pPr>
        <w:snapToGrid w:val="0"/>
        <w:spacing w:before="120" w:beforeAutospacing="0" w:after="0" w:afterAutospacing="0" w:line="22" w:lineRule="atLeast"/>
        <w:ind w:firstLine="960" w:firstLineChars="400"/>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签订日期：</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年</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月</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日</w:t>
      </w:r>
    </w:p>
    <w:p>
      <w:pPr>
        <w:snapToGrid w:val="0"/>
        <w:spacing w:before="0" w:beforeAutospacing="0" w:after="0" w:afterAutospacing="0" w:line="600" w:lineRule="exact"/>
        <w:ind w:firstLine="640"/>
        <w:jc w:val="center"/>
        <w:textAlignment w:val="baseline"/>
        <w:rPr>
          <w:rFonts w:hint="eastAsia" w:ascii="宋体" w:hAnsi="宋体" w:eastAsia="宋体" w:cs="宋体"/>
          <w:b w:val="0"/>
          <w:i w:val="0"/>
          <w:caps w:val="0"/>
          <w:color w:val="auto"/>
          <w:spacing w:val="0"/>
          <w:w w:val="100"/>
          <w:sz w:val="24"/>
          <w:szCs w:val="24"/>
        </w:rPr>
        <w:sectPr>
          <w:footerReference r:id="rId7" w:type="default"/>
          <w:pgSz w:w="11907" w:h="16840"/>
          <w:pgMar w:top="720" w:right="720" w:bottom="720" w:left="720" w:header="851" w:footer="850" w:gutter="0"/>
          <w:pgBorders>
            <w:top w:val="none" w:sz="0" w:space="0"/>
            <w:left w:val="none" w:sz="0" w:space="0"/>
            <w:bottom w:val="none" w:sz="0" w:space="0"/>
            <w:right w:val="none" w:sz="0" w:space="0"/>
          </w:pgBorders>
          <w:pgNumType w:fmt="numberInDash" w:start="1"/>
          <w:cols w:space="720" w:num="1"/>
          <w:rtlGutter w:val="0"/>
          <w:docGrid w:linePitch="462" w:charSpace="0"/>
        </w:sect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u w:val="single" w:color="000000"/>
          <w:lang w:val="zh-CN"/>
        </w:rPr>
      </w:pPr>
      <w:r>
        <w:rPr>
          <w:rFonts w:hint="eastAsia" w:ascii="宋体" w:hAnsi="宋体" w:eastAsia="宋体" w:cs="宋体"/>
          <w:b w:val="0"/>
          <w:i w:val="0"/>
          <w:caps w:val="0"/>
          <w:color w:val="auto"/>
          <w:spacing w:val="0"/>
          <w:w w:val="100"/>
          <w:sz w:val="24"/>
          <w:szCs w:val="24"/>
          <w:u w:val="single" w:color="000000"/>
          <w:lang w:val="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u w:val="single" w:color="000000"/>
          <w:lang w:val="zh-CN"/>
        </w:rPr>
        <w:t xml:space="preserve">       </w:t>
      </w:r>
      <w:r>
        <w:rPr>
          <w:rFonts w:hint="eastAsia" w:ascii="宋体" w:hAnsi="宋体" w:eastAsia="宋体" w:cs="宋体"/>
          <w:b w:val="0"/>
          <w:i w:val="0"/>
          <w:caps w:val="0"/>
          <w:color w:val="auto"/>
          <w:spacing w:val="0"/>
          <w:w w:val="100"/>
          <w:sz w:val="24"/>
          <w:szCs w:val="24"/>
          <w:lang w:val="zh-CN"/>
        </w:rPr>
        <w:t>年</w:t>
      </w:r>
      <w:r>
        <w:rPr>
          <w:rFonts w:hint="eastAsia" w:ascii="宋体" w:hAnsi="宋体" w:eastAsia="宋体" w:cs="宋体"/>
          <w:b w:val="0"/>
          <w:i w:val="0"/>
          <w:caps w:val="0"/>
          <w:color w:val="auto"/>
          <w:spacing w:val="0"/>
          <w:w w:val="100"/>
          <w:sz w:val="24"/>
          <w:szCs w:val="24"/>
          <w:u w:val="single" w:color="000000"/>
          <w:lang w:val="zh-CN"/>
        </w:rPr>
        <w:t xml:space="preserve">    </w:t>
      </w:r>
      <w:r>
        <w:rPr>
          <w:rFonts w:hint="eastAsia" w:ascii="宋体" w:hAnsi="宋体" w:eastAsia="宋体" w:cs="宋体"/>
          <w:b w:val="0"/>
          <w:i w:val="0"/>
          <w:caps w:val="0"/>
          <w:color w:val="auto"/>
          <w:spacing w:val="0"/>
          <w:w w:val="100"/>
          <w:sz w:val="24"/>
          <w:szCs w:val="24"/>
          <w:lang w:val="zh-CN"/>
        </w:rPr>
        <w:t>月</w:t>
      </w:r>
      <w:r>
        <w:rPr>
          <w:rFonts w:hint="eastAsia" w:ascii="宋体" w:hAnsi="宋体" w:eastAsia="宋体" w:cs="宋体"/>
          <w:b w:val="0"/>
          <w:i w:val="0"/>
          <w:caps w:val="0"/>
          <w:color w:val="auto"/>
          <w:spacing w:val="0"/>
          <w:w w:val="100"/>
          <w:sz w:val="24"/>
          <w:szCs w:val="24"/>
          <w:u w:val="single" w:color="000000"/>
          <w:lang w:val="zh-CN"/>
        </w:rPr>
        <w:t xml:space="preserve">    </w:t>
      </w:r>
      <w:r>
        <w:rPr>
          <w:rFonts w:hint="eastAsia" w:ascii="宋体" w:hAnsi="宋体" w:eastAsia="宋体" w:cs="宋体"/>
          <w:b w:val="0"/>
          <w:i w:val="0"/>
          <w:caps w:val="0"/>
          <w:color w:val="auto"/>
          <w:spacing w:val="0"/>
          <w:w w:val="100"/>
          <w:sz w:val="24"/>
          <w:szCs w:val="24"/>
          <w:lang w:val="zh-CN"/>
        </w:rPr>
        <w:t>日</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u w:val="single" w:color="000000"/>
        </w:rPr>
        <w:t xml:space="preserve">   （采购人名称）   </w:t>
      </w:r>
      <w:r>
        <w:rPr>
          <w:rFonts w:hint="eastAsia" w:ascii="宋体" w:hAnsi="宋体" w:eastAsia="宋体" w:cs="宋体"/>
          <w:b w:val="0"/>
          <w:i w:val="0"/>
          <w:caps w:val="0"/>
          <w:color w:val="auto"/>
          <w:spacing w:val="0"/>
          <w:w w:val="100"/>
          <w:sz w:val="24"/>
          <w:szCs w:val="24"/>
        </w:rPr>
        <w:t>以</w:t>
      </w:r>
      <w:r>
        <w:rPr>
          <w:rFonts w:hint="eastAsia" w:ascii="宋体" w:hAnsi="宋体" w:eastAsia="宋体" w:cs="宋体"/>
          <w:b w:val="0"/>
          <w:i w:val="0"/>
          <w:caps w:val="0"/>
          <w:color w:val="auto"/>
          <w:spacing w:val="0"/>
          <w:w w:val="100"/>
          <w:sz w:val="24"/>
          <w:szCs w:val="24"/>
          <w:u w:val="single" w:color="000000"/>
        </w:rPr>
        <w:t xml:space="preserve">   （政府采购方式）  </w:t>
      </w:r>
      <w:r>
        <w:rPr>
          <w:rFonts w:hint="eastAsia" w:ascii="宋体" w:hAnsi="宋体" w:eastAsia="宋体" w:cs="宋体"/>
          <w:b w:val="0"/>
          <w:i w:val="0"/>
          <w:caps w:val="0"/>
          <w:color w:val="auto"/>
          <w:spacing w:val="0"/>
          <w:w w:val="100"/>
          <w:sz w:val="24"/>
          <w:szCs w:val="24"/>
        </w:rPr>
        <w:t>对</w:t>
      </w:r>
      <w:r>
        <w:rPr>
          <w:rFonts w:hint="eastAsia" w:ascii="宋体" w:hAnsi="宋体" w:eastAsia="宋体" w:cs="宋体"/>
          <w:b w:val="0"/>
          <w:i w:val="0"/>
          <w:caps w:val="0"/>
          <w:color w:val="auto"/>
          <w:spacing w:val="0"/>
          <w:w w:val="100"/>
          <w:sz w:val="24"/>
          <w:szCs w:val="24"/>
          <w:u w:val="single" w:color="000000"/>
        </w:rPr>
        <w:t xml:space="preserve">   （同前页项目名称）   </w:t>
      </w:r>
      <w:r>
        <w:rPr>
          <w:rFonts w:hint="eastAsia" w:ascii="宋体" w:hAnsi="宋体" w:eastAsia="宋体" w:cs="宋体"/>
          <w:b w:val="0"/>
          <w:i w:val="0"/>
          <w:caps w:val="0"/>
          <w:color w:val="auto"/>
          <w:spacing w:val="0"/>
          <w:w w:val="100"/>
          <w:sz w:val="24"/>
          <w:szCs w:val="24"/>
        </w:rPr>
        <w:t>项目进行了采购。经</w:t>
      </w:r>
      <w:r>
        <w:rPr>
          <w:rFonts w:hint="eastAsia" w:ascii="宋体" w:hAnsi="宋体" w:eastAsia="宋体" w:cs="宋体"/>
          <w:b w:val="0"/>
          <w:i w:val="0"/>
          <w:caps w:val="0"/>
          <w:color w:val="auto"/>
          <w:spacing w:val="0"/>
          <w:w w:val="100"/>
          <w:sz w:val="24"/>
          <w:szCs w:val="24"/>
          <w:u w:val="single" w:color="000000"/>
        </w:rPr>
        <w:t xml:space="preserve">   （相关评定主体名称）   </w:t>
      </w:r>
      <w:r>
        <w:rPr>
          <w:rFonts w:hint="eastAsia" w:ascii="宋体" w:hAnsi="宋体" w:eastAsia="宋体" w:cs="宋体"/>
          <w:b w:val="0"/>
          <w:i w:val="0"/>
          <w:caps w:val="0"/>
          <w:color w:val="auto"/>
          <w:spacing w:val="0"/>
          <w:w w:val="100"/>
          <w:sz w:val="24"/>
          <w:szCs w:val="24"/>
        </w:rPr>
        <w:t>评定，</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u w:val="single" w:color="000000"/>
          <w:lang w:eastAsia="zh-CN"/>
        </w:rPr>
        <w:t>成交供应商</w:t>
      </w:r>
      <w:r>
        <w:rPr>
          <w:rFonts w:hint="eastAsia" w:ascii="宋体" w:hAnsi="宋体" w:eastAsia="宋体" w:cs="宋体"/>
          <w:b w:val="0"/>
          <w:i w:val="0"/>
          <w:caps w:val="0"/>
          <w:color w:val="auto"/>
          <w:spacing w:val="0"/>
          <w:w w:val="100"/>
          <w:sz w:val="24"/>
          <w:szCs w:val="24"/>
          <w:u w:val="single" w:color="000000"/>
        </w:rPr>
        <w:t>名称）</w:t>
      </w:r>
      <w:r>
        <w:rPr>
          <w:rFonts w:hint="eastAsia" w:ascii="宋体" w:hAnsi="宋体" w:eastAsia="宋体" w:cs="宋体"/>
          <w:b w:val="0"/>
          <w:i w:val="0"/>
          <w:caps w:val="0"/>
          <w:color w:val="auto"/>
          <w:spacing w:val="0"/>
          <w:w w:val="100"/>
          <w:sz w:val="24"/>
          <w:szCs w:val="24"/>
        </w:rPr>
        <w:t>为该项目</w:t>
      </w:r>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。现于中标通知书发出之日起三十日内，按照采购文件确定的事项签订本合同。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b w:val="0"/>
          <w:i w:val="0"/>
          <w:caps w:val="0"/>
          <w:color w:val="auto"/>
          <w:spacing w:val="0"/>
          <w:w w:val="100"/>
          <w:sz w:val="24"/>
          <w:szCs w:val="24"/>
          <w:u w:val="single" w:color="000000"/>
        </w:rPr>
        <w:t xml:space="preserve">   （采购人名称）   </w:t>
      </w:r>
      <w:r>
        <w:rPr>
          <w:rFonts w:hint="eastAsia" w:ascii="宋体" w:hAnsi="宋体" w:eastAsia="宋体" w:cs="宋体"/>
          <w:b w:val="0"/>
          <w:i w:val="0"/>
          <w:caps w:val="0"/>
          <w:color w:val="auto"/>
          <w:spacing w:val="0"/>
          <w:w w:val="100"/>
          <w:sz w:val="24"/>
          <w:szCs w:val="24"/>
          <w:lang w:val="zh-CN"/>
        </w:rPr>
        <w:t>(以下简称：甲方)和</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u w:val="single" w:color="000000"/>
          <w:lang w:eastAsia="zh-CN"/>
        </w:rPr>
        <w:t>成交供应商</w:t>
      </w:r>
      <w:r>
        <w:rPr>
          <w:rFonts w:hint="eastAsia" w:ascii="宋体" w:hAnsi="宋体" w:eastAsia="宋体" w:cs="宋体"/>
          <w:b w:val="0"/>
          <w:i w:val="0"/>
          <w:caps w:val="0"/>
          <w:color w:val="auto"/>
          <w:spacing w:val="0"/>
          <w:w w:val="100"/>
          <w:sz w:val="24"/>
          <w:szCs w:val="24"/>
          <w:u w:val="single" w:color="000000"/>
        </w:rPr>
        <w:t xml:space="preserve">名称）   </w:t>
      </w:r>
      <w:r>
        <w:rPr>
          <w:rFonts w:hint="eastAsia" w:ascii="宋体" w:hAnsi="宋体" w:eastAsia="宋体" w:cs="宋体"/>
          <w:b w:val="0"/>
          <w:i w:val="0"/>
          <w:caps w:val="0"/>
          <w:color w:val="auto"/>
          <w:spacing w:val="0"/>
          <w:w w:val="100"/>
          <w:sz w:val="24"/>
          <w:szCs w:val="24"/>
          <w:lang w:val="zh-CN"/>
        </w:rPr>
        <w:t>(以下简称：乙方)协商一致，约定以下合同</w:t>
      </w:r>
      <w:r>
        <w:rPr>
          <w:rFonts w:hint="eastAsia" w:ascii="宋体" w:hAnsi="宋体" w:eastAsia="宋体" w:cs="宋体"/>
          <w:b w:val="0"/>
          <w:i w:val="0"/>
          <w:caps w:val="0"/>
          <w:color w:val="auto"/>
          <w:spacing w:val="0"/>
          <w:w w:val="100"/>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32" w:name="_Toc11380"/>
      <w:bookmarkStart w:id="33" w:name="_Toc13606"/>
      <w:bookmarkStart w:id="34" w:name="_Toc1976"/>
      <w:bookmarkStart w:id="35" w:name="_Toc2232"/>
      <w:bookmarkStart w:id="36" w:name="_Toc3029"/>
      <w:bookmarkStart w:id="37" w:name="_Toc2576"/>
      <w:bookmarkStart w:id="38" w:name="_Toc24059"/>
      <w:r>
        <w:rPr>
          <w:rFonts w:hint="eastAsia" w:ascii="宋体" w:hAnsi="宋体" w:eastAsia="宋体" w:cs="宋体"/>
          <w:b/>
          <w:i w:val="0"/>
          <w:caps w:val="0"/>
          <w:color w:val="auto"/>
          <w:spacing w:val="0"/>
          <w:w w:val="100"/>
          <w:sz w:val="24"/>
          <w:szCs w:val="24"/>
        </w:rPr>
        <w:t>1.1 合同组成部分</w:t>
      </w:r>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1.1.2 中标通知书；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 xml:space="preserve">1.1.3 </w:t>
      </w:r>
      <w:r>
        <w:rPr>
          <w:rFonts w:hint="eastAsia" w:ascii="宋体" w:hAnsi="宋体" w:eastAsia="宋体" w:cs="宋体"/>
          <w:b w:val="0"/>
          <w:i w:val="0"/>
          <w:caps w:val="0"/>
          <w:color w:val="auto"/>
          <w:spacing w:val="0"/>
          <w:w w:val="100"/>
          <w:sz w:val="24"/>
          <w:szCs w:val="24"/>
          <w:lang w:eastAsia="zh-CN"/>
        </w:rPr>
        <w:t>谈判响应文件</w:t>
      </w:r>
      <w:r>
        <w:rPr>
          <w:rFonts w:hint="eastAsia" w:ascii="宋体" w:hAnsi="宋体" w:eastAsia="宋体" w:cs="宋体"/>
          <w:b w:val="0"/>
          <w:i w:val="0"/>
          <w:caps w:val="0"/>
          <w:color w:val="auto"/>
          <w:spacing w:val="0"/>
          <w:w w:val="100"/>
          <w:sz w:val="24"/>
          <w:szCs w:val="24"/>
        </w:rPr>
        <w:t>（含澄清或者说明文件）；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 xml:space="preserve">1.1.4 </w:t>
      </w:r>
      <w:r>
        <w:rPr>
          <w:rFonts w:hint="eastAsia" w:ascii="宋体" w:hAnsi="宋体" w:eastAsia="宋体" w:cs="宋体"/>
          <w:b w:val="0"/>
          <w:i w:val="0"/>
          <w:caps w:val="0"/>
          <w:color w:val="auto"/>
          <w:spacing w:val="0"/>
          <w:w w:val="100"/>
          <w:sz w:val="24"/>
          <w:szCs w:val="24"/>
          <w:lang w:eastAsia="zh-CN"/>
        </w:rPr>
        <w:t>谈判文件</w:t>
      </w:r>
      <w:r>
        <w:rPr>
          <w:rFonts w:hint="eastAsia" w:ascii="宋体" w:hAnsi="宋体" w:eastAsia="宋体" w:cs="宋体"/>
          <w:b w:val="0"/>
          <w:i w:val="0"/>
          <w:caps w:val="0"/>
          <w:color w:val="auto"/>
          <w:spacing w:val="0"/>
          <w:w w:val="100"/>
          <w:sz w:val="24"/>
          <w:szCs w:val="24"/>
        </w:rPr>
        <w:t>（含澄清或者修改文件）；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39" w:name="_Toc24300"/>
      <w:bookmarkStart w:id="40" w:name="_Toc21295"/>
      <w:bookmarkStart w:id="41" w:name="_Toc1223"/>
      <w:bookmarkStart w:id="42" w:name="_Toc10924"/>
      <w:bookmarkStart w:id="43" w:name="_Toc27126"/>
      <w:bookmarkStart w:id="44" w:name="_Toc7243"/>
      <w:bookmarkStart w:id="45" w:name="_Toc658"/>
      <w:r>
        <w:rPr>
          <w:rFonts w:hint="eastAsia" w:ascii="宋体" w:hAnsi="宋体" w:eastAsia="宋体" w:cs="宋体"/>
          <w:b/>
          <w:i w:val="0"/>
          <w:caps w:val="0"/>
          <w:color w:val="auto"/>
          <w:spacing w:val="0"/>
          <w:w w:val="100"/>
          <w:sz w:val="24"/>
          <w:szCs w:val="24"/>
        </w:rPr>
        <w:t>1.2 货物</w:t>
      </w:r>
      <w:bookmarkEnd w:id="39"/>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1.2.1 货物名称：</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u w:val="single" w:color="000000"/>
        </w:rPr>
      </w:pPr>
      <w:r>
        <w:rPr>
          <w:rFonts w:hint="eastAsia" w:ascii="宋体" w:hAnsi="宋体" w:eastAsia="宋体" w:cs="宋体"/>
          <w:b w:val="0"/>
          <w:i w:val="0"/>
          <w:caps w:val="0"/>
          <w:color w:val="auto"/>
          <w:spacing w:val="0"/>
          <w:w w:val="100"/>
          <w:sz w:val="24"/>
          <w:szCs w:val="24"/>
        </w:rPr>
        <w:t>1.2.2 货物数量：</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u w:val="single" w:color="000000"/>
          <w:lang w:val="en-US" w:eastAsia="zh-CN"/>
        </w:rPr>
        <w:t>根据采购需求清单要求</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u w:val="single" w:color="000000"/>
          <w:lang w:val="en-US" w:eastAsia="zh-CN"/>
        </w:rPr>
        <w:t xml:space="preserve"> </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1.2.3 货物质量：</w:t>
      </w:r>
      <w:r>
        <w:rPr>
          <w:rFonts w:hint="eastAsia" w:ascii="宋体" w:hAnsi="宋体" w:eastAsia="宋体" w:cs="宋体"/>
          <w:b w:val="0"/>
          <w:i w:val="0"/>
          <w:caps w:val="0"/>
          <w:color w:val="auto"/>
          <w:spacing w:val="0"/>
          <w:w w:val="100"/>
          <w:sz w:val="24"/>
          <w:szCs w:val="24"/>
          <w:u w:val="single" w:color="000000"/>
        </w:rPr>
        <w:t>　　　　　</w:t>
      </w:r>
      <w:r>
        <w:rPr>
          <w:rFonts w:hint="eastAsia" w:ascii="宋体" w:hAnsi="宋体" w:eastAsia="宋体" w:cs="宋体"/>
          <w:b w:val="0"/>
          <w:i w:val="0"/>
          <w:caps w:val="0"/>
          <w:color w:val="auto"/>
          <w:spacing w:val="0"/>
          <w:w w:val="100"/>
          <w:sz w:val="24"/>
          <w:szCs w:val="24"/>
          <w:u w:val="single" w:color="000000"/>
          <w:lang w:val="en-US" w:eastAsia="zh-CN"/>
        </w:rPr>
        <w:t xml:space="preserve">验收合格 </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u w:val="single" w:color="000000"/>
          <w:lang w:val="en-US" w:eastAsia="zh-CN"/>
        </w:rPr>
        <w:t xml:space="preserve"> </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46" w:name="_Toc8774"/>
      <w:bookmarkStart w:id="47" w:name="_Toc23292"/>
      <w:bookmarkStart w:id="48" w:name="_Toc339"/>
      <w:bookmarkStart w:id="49" w:name="_Toc21551"/>
      <w:bookmarkStart w:id="50" w:name="_Toc21631"/>
      <w:bookmarkStart w:id="51" w:name="_Toc32505"/>
      <w:bookmarkStart w:id="52" w:name="_Toc15356"/>
      <w:r>
        <w:rPr>
          <w:rFonts w:hint="eastAsia" w:ascii="宋体" w:hAnsi="宋体" w:eastAsia="宋体" w:cs="宋体"/>
          <w:b/>
          <w:i w:val="0"/>
          <w:caps w:val="0"/>
          <w:color w:val="auto"/>
          <w:spacing w:val="0"/>
          <w:w w:val="100"/>
          <w:sz w:val="24"/>
          <w:szCs w:val="24"/>
        </w:rPr>
        <w:t>1.3 价款</w:t>
      </w:r>
      <w:bookmarkEnd w:id="46"/>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本合同总价为：￥</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元（大写：</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元人民币）。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分项价格：</w:t>
      </w:r>
    </w:p>
    <w:tbl>
      <w:tblPr>
        <w:tblStyle w:val="45"/>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4564"/>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序号</w:t>
            </w:r>
          </w:p>
        </w:tc>
        <w:tc>
          <w:tcPr>
            <w:tcW w:w="456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分项名称</w:t>
            </w:r>
          </w:p>
        </w:tc>
        <w:tc>
          <w:tcPr>
            <w:tcW w:w="342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456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342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456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342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456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342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456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c>
          <w:tcPr>
            <w:tcW w:w="342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174" w:type="dxa"/>
            <w:gridSpan w:val="2"/>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总价</w:t>
            </w:r>
          </w:p>
        </w:tc>
        <w:tc>
          <w:tcPr>
            <w:tcW w:w="3424" w:type="dxa"/>
            <w:noWrap w:val="0"/>
            <w:vAlign w:val="center"/>
          </w:tcPr>
          <w:p>
            <w:pPr>
              <w:pStyle w:val="1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00"/>
              <w:jc w:val="center"/>
              <w:textAlignment w:val="baseline"/>
              <w:rPr>
                <w:rFonts w:hint="eastAsia" w:ascii="宋体" w:hAnsi="宋体" w:eastAsia="宋体" w:cs="宋体"/>
                <w:b w:val="0"/>
                <w:i w:val="0"/>
                <w:caps w:val="0"/>
                <w:color w:val="auto"/>
                <w:spacing w:val="0"/>
                <w:w w:val="100"/>
                <w:sz w:val="24"/>
                <w:szCs w:val="24"/>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53" w:name="_Toc22618"/>
      <w:bookmarkStart w:id="54" w:name="_Toc15409"/>
      <w:bookmarkStart w:id="55" w:name="_Toc1814"/>
      <w:bookmarkStart w:id="56" w:name="_Toc17282"/>
      <w:bookmarkStart w:id="57" w:name="_Toc24114"/>
      <w:bookmarkStart w:id="58" w:name="_Toc10340"/>
      <w:bookmarkStart w:id="59" w:name="_Toc31382"/>
      <w:r>
        <w:rPr>
          <w:rFonts w:hint="eastAsia" w:ascii="宋体" w:hAnsi="宋体" w:eastAsia="宋体" w:cs="宋体"/>
          <w:b/>
          <w:i w:val="0"/>
          <w:caps w:val="0"/>
          <w:color w:val="auto"/>
          <w:spacing w:val="0"/>
          <w:w w:val="100"/>
          <w:sz w:val="24"/>
          <w:szCs w:val="24"/>
        </w:rPr>
        <w:t>1.4 付款方式和发票开具方式</w:t>
      </w:r>
      <w:bookmarkEnd w:id="53"/>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rPr>
        <w:t>1.4.</w:t>
      </w:r>
      <w:r>
        <w:rPr>
          <w:rFonts w:hint="eastAsia" w:ascii="宋体" w:hAnsi="宋体" w:eastAsia="宋体" w:cs="宋体"/>
          <w:b w:val="0"/>
          <w:i w:val="0"/>
          <w:caps w:val="0"/>
          <w:color w:val="auto"/>
          <w:spacing w:val="0"/>
          <w:w w:val="100"/>
          <w:sz w:val="24"/>
          <w:szCs w:val="24"/>
          <w:highlight w:val="none"/>
        </w:rPr>
        <w:t>1 付款方式：</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电汇 </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1.4.2 发票开具方式：</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u w:val="single" w:color="000000"/>
          <w:lang w:eastAsia="zh-CN"/>
        </w:rPr>
        <w:t>增值税普通</w:t>
      </w:r>
      <w:r>
        <w:rPr>
          <w:rFonts w:hint="eastAsia" w:ascii="宋体" w:hAnsi="宋体" w:eastAsia="宋体" w:cs="宋体"/>
          <w:b w:val="0"/>
          <w:i w:val="0"/>
          <w:caps w:val="0"/>
          <w:color w:val="auto"/>
          <w:spacing w:val="0"/>
          <w:w w:val="100"/>
          <w:sz w:val="24"/>
          <w:szCs w:val="24"/>
          <w:highlight w:val="none"/>
          <w:u w:val="single" w:color="000000"/>
        </w:rPr>
        <w:t xml:space="preserve">发票         </w:t>
      </w:r>
      <w:r>
        <w:rPr>
          <w:rFonts w:hint="eastAsia" w:ascii="宋体" w:hAnsi="宋体" w:eastAsia="宋体" w:cs="宋体"/>
          <w:b w:val="0"/>
          <w:i w:val="0"/>
          <w:caps w:val="0"/>
          <w:color w:val="auto"/>
          <w:spacing w:val="0"/>
          <w:w w:val="10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highlight w:val="none"/>
        </w:rPr>
      </w:pPr>
      <w:bookmarkStart w:id="60" w:name="_Toc12614"/>
      <w:bookmarkStart w:id="61" w:name="_Toc10000"/>
      <w:bookmarkStart w:id="62" w:name="_Toc17243"/>
      <w:bookmarkStart w:id="63" w:name="_Toc9677"/>
      <w:bookmarkStart w:id="64" w:name="_Toc19304"/>
      <w:bookmarkStart w:id="65" w:name="_Toc2846"/>
      <w:bookmarkStart w:id="66" w:name="_Toc32071"/>
      <w:r>
        <w:rPr>
          <w:rFonts w:hint="eastAsia" w:ascii="宋体" w:hAnsi="宋体" w:eastAsia="宋体" w:cs="宋体"/>
          <w:b/>
          <w:i w:val="0"/>
          <w:caps w:val="0"/>
          <w:color w:val="auto"/>
          <w:spacing w:val="0"/>
          <w:w w:val="100"/>
          <w:sz w:val="24"/>
          <w:szCs w:val="24"/>
          <w:highlight w:val="none"/>
        </w:rPr>
        <w:t>1.5 货物交付期限、地点和方式</w:t>
      </w:r>
      <w:bookmarkEnd w:id="60"/>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u w:val="single" w:color="000000"/>
        </w:rPr>
      </w:pPr>
      <w:r>
        <w:rPr>
          <w:rFonts w:hint="eastAsia" w:ascii="宋体" w:hAnsi="宋体" w:eastAsia="宋体" w:cs="宋体"/>
          <w:b w:val="0"/>
          <w:i w:val="0"/>
          <w:caps w:val="0"/>
          <w:color w:val="auto"/>
          <w:spacing w:val="0"/>
          <w:w w:val="100"/>
          <w:sz w:val="24"/>
          <w:szCs w:val="24"/>
          <w:highlight w:val="none"/>
        </w:rPr>
        <w:t>1.5.1 交付期限：</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u w:val="single" w:color="000000"/>
          <w:lang w:val="en-US" w:eastAsia="zh-CN"/>
        </w:rPr>
        <w:t>30天</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1.5.2 交付地点：</w:t>
      </w:r>
      <w:r>
        <w:rPr>
          <w:rFonts w:hint="eastAsia" w:ascii="宋体" w:hAnsi="宋体" w:eastAsia="宋体" w:cs="宋体"/>
          <w:b w:val="0"/>
          <w:i w:val="0"/>
          <w:caps w:val="0"/>
          <w:color w:val="auto"/>
          <w:spacing w:val="0"/>
          <w:w w:val="100"/>
          <w:sz w:val="24"/>
          <w:szCs w:val="24"/>
          <w:highlight w:val="none"/>
          <w:u w:val="single" w:color="000000"/>
        </w:rPr>
        <w:t>吐鲁番市示范区艾丁湖路60号</w:t>
      </w:r>
      <w:r>
        <w:rPr>
          <w:rFonts w:hint="eastAsia" w:ascii="宋体" w:hAnsi="宋体" w:eastAsia="宋体" w:cs="宋体"/>
          <w:b w:val="0"/>
          <w:i w:val="0"/>
          <w:caps w:val="0"/>
          <w:color w:val="auto"/>
          <w:spacing w:val="0"/>
          <w:w w:val="100"/>
          <w:sz w:val="24"/>
          <w:szCs w:val="24"/>
          <w:highlight w:val="none"/>
          <w:u w:val="single" w:color="000000"/>
          <w:lang w:eastAsia="zh-CN"/>
        </w:rPr>
        <w:t>（吐鲁番市融媒体中心）</w:t>
      </w:r>
      <w:r>
        <w:rPr>
          <w:rFonts w:hint="eastAsia" w:ascii="宋体" w:hAnsi="宋体" w:eastAsia="宋体" w:cs="宋体"/>
          <w:b w:val="0"/>
          <w:i w:val="0"/>
          <w:caps w:val="0"/>
          <w:color w:val="auto"/>
          <w:spacing w:val="0"/>
          <w:w w:val="10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1.5.3 交付方式：</w:t>
      </w:r>
      <w:r>
        <w:rPr>
          <w:rFonts w:hint="eastAsia" w:ascii="宋体" w:hAnsi="宋体" w:eastAsia="宋体" w:cs="宋体"/>
          <w:b w:val="0"/>
          <w:i w:val="0"/>
          <w:caps w:val="0"/>
          <w:color w:val="auto"/>
          <w:spacing w:val="0"/>
          <w:w w:val="100"/>
          <w:sz w:val="24"/>
          <w:szCs w:val="24"/>
          <w:highlight w:val="none"/>
          <w:u w:val="single" w:color="000000"/>
        </w:rPr>
        <w:t>　</w:t>
      </w:r>
      <w:r>
        <w:rPr>
          <w:rFonts w:hint="eastAsia" w:ascii="宋体" w:hAnsi="宋体" w:eastAsia="宋体" w:cs="宋体"/>
          <w:b w:val="0"/>
          <w:i w:val="0"/>
          <w:caps w:val="0"/>
          <w:color w:val="auto"/>
          <w:spacing w:val="0"/>
          <w:w w:val="100"/>
          <w:sz w:val="24"/>
          <w:szCs w:val="24"/>
          <w:highlight w:val="none"/>
          <w:u w:val="single" w:color="000000"/>
          <w:lang w:val="en-US" w:eastAsia="zh-CN"/>
        </w:rPr>
        <w:t>限时</w:t>
      </w:r>
      <w:r>
        <w:rPr>
          <w:rFonts w:hint="eastAsia" w:ascii="宋体" w:hAnsi="宋体" w:eastAsia="宋体" w:cs="宋体"/>
          <w:b w:val="0"/>
          <w:i w:val="0"/>
          <w:caps w:val="0"/>
          <w:color w:val="auto"/>
          <w:spacing w:val="0"/>
          <w:w w:val="100"/>
          <w:sz w:val="24"/>
          <w:szCs w:val="24"/>
          <w:highlight w:val="none"/>
          <w:u w:val="single" w:color="000000"/>
        </w:rPr>
        <w:t xml:space="preserve">交付  送货上门　　　　　　　　             </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67" w:name="_Toc19554"/>
      <w:bookmarkStart w:id="68" w:name="_Toc5953"/>
      <w:bookmarkStart w:id="69" w:name="_Toc27250"/>
      <w:bookmarkStart w:id="70" w:name="_Toc1728"/>
      <w:bookmarkStart w:id="71" w:name="_Toc7054"/>
      <w:bookmarkStart w:id="72" w:name="_Toc17475"/>
      <w:bookmarkStart w:id="73" w:name="_Toc21423"/>
      <w:r>
        <w:rPr>
          <w:rFonts w:hint="eastAsia" w:ascii="宋体" w:hAnsi="宋体" w:eastAsia="宋体" w:cs="宋体"/>
          <w:b/>
          <w:i w:val="0"/>
          <w:caps w:val="0"/>
          <w:color w:val="auto"/>
          <w:spacing w:val="0"/>
          <w:w w:val="100"/>
          <w:sz w:val="24"/>
          <w:szCs w:val="24"/>
        </w:rPr>
        <w:t>1.6 违约责任</w:t>
      </w:r>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%计算，最高限额为本合同总价的</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%计算，最高限额为本合同总价的</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74" w:name="_Toc28375"/>
      <w:bookmarkStart w:id="75" w:name="_Toc8484"/>
      <w:bookmarkStart w:id="76" w:name="_Toc29531"/>
      <w:bookmarkStart w:id="77" w:name="_Toc16021"/>
      <w:bookmarkStart w:id="78" w:name="_Toc643"/>
      <w:bookmarkStart w:id="79" w:name="_Toc15583"/>
      <w:bookmarkStart w:id="80" w:name="_Toc22652"/>
      <w:r>
        <w:rPr>
          <w:rFonts w:hint="eastAsia" w:ascii="宋体" w:hAnsi="宋体" w:eastAsia="宋体" w:cs="宋体"/>
          <w:b/>
          <w:i w:val="0"/>
          <w:caps w:val="0"/>
          <w:color w:val="auto"/>
          <w:spacing w:val="0"/>
          <w:w w:val="100"/>
          <w:sz w:val="24"/>
          <w:szCs w:val="24"/>
        </w:rPr>
        <w:t>1.7 合同争议的解决</w:t>
      </w:r>
      <w:bookmarkEnd w:id="74"/>
      <w:bookmarkEnd w:id="75"/>
      <w:bookmarkEnd w:id="76"/>
      <w:bookmarkEnd w:id="77"/>
      <w:bookmarkEnd w:id="78"/>
      <w:bookmarkEnd w:id="79"/>
      <w:bookmarkEnd w:id="8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 xml:space="preserve">1.7.2 </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种方式解决：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1.7.1 将争议提交</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1.7.2 向</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u w:val="single" w:color="000000"/>
          <w:lang w:val="en-US" w:eastAsia="zh-CN"/>
        </w:rPr>
        <w:t>吐鲁番市中级人民法院</w:t>
      </w:r>
      <w:r>
        <w:rPr>
          <w:rFonts w:hint="eastAsia" w:ascii="宋体" w:hAnsi="宋体" w:eastAsia="宋体" w:cs="宋体"/>
          <w:b w:val="0"/>
          <w:i w:val="0"/>
          <w:caps w:val="0"/>
          <w:color w:val="auto"/>
          <w:spacing w:val="0"/>
          <w:w w:val="100"/>
          <w:sz w:val="24"/>
          <w:szCs w:val="24"/>
        </w:rPr>
        <w:t>起诉</w:t>
      </w:r>
      <w:r>
        <w:rPr>
          <w:rFonts w:hint="eastAsia" w:ascii="宋体" w:hAnsi="宋体" w:eastAsia="宋体" w:cs="宋体"/>
          <w:b w:val="0"/>
          <w:i w:val="0"/>
          <w:caps w:val="0"/>
          <w:color w:val="auto"/>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81" w:name="_Toc11050"/>
      <w:bookmarkStart w:id="82" w:name="_Toc25934"/>
      <w:bookmarkStart w:id="83" w:name="_Toc29148"/>
      <w:bookmarkStart w:id="84" w:name="_Toc32229"/>
      <w:bookmarkStart w:id="85" w:name="_Toc11173"/>
      <w:bookmarkStart w:id="86" w:name="_Toc15322"/>
      <w:bookmarkStart w:id="87" w:name="_Toc7245"/>
      <w:r>
        <w:rPr>
          <w:rFonts w:hint="eastAsia" w:ascii="宋体" w:hAnsi="宋体" w:eastAsia="宋体" w:cs="宋体"/>
          <w:b/>
          <w:i w:val="0"/>
          <w:caps w:val="0"/>
          <w:color w:val="auto"/>
          <w:spacing w:val="0"/>
          <w:w w:val="100"/>
          <w:sz w:val="24"/>
          <w:szCs w:val="24"/>
        </w:rPr>
        <w:t>1.8 合同生效</w:t>
      </w:r>
      <w:bookmarkEnd w:id="81"/>
      <w:bookmarkEnd w:id="82"/>
      <w:bookmarkEnd w:id="83"/>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rPr>
        <w:t>本合同自双方当事人盖章或者签字时生效。</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i w:val="0"/>
          <w:caps w:val="0"/>
          <w:color w:val="auto"/>
          <w:spacing w:val="0"/>
          <w:w w:val="100"/>
          <w:sz w:val="24"/>
          <w:szCs w:val="24"/>
          <w:lang w:val="zh-CN"/>
        </w:rPr>
        <w:t>甲方</w:t>
      </w:r>
      <w:r>
        <w:rPr>
          <w:rFonts w:hint="eastAsia" w:ascii="宋体" w:hAnsi="宋体" w:eastAsia="宋体" w:cs="宋体"/>
          <w:b w:val="0"/>
          <w:i w:val="0"/>
          <w:caps w:val="0"/>
          <w:color w:val="auto"/>
          <w:spacing w:val="0"/>
          <w:w w:val="100"/>
          <w:sz w:val="24"/>
          <w:szCs w:val="24"/>
          <w:lang w:val="zh-CN"/>
        </w:rPr>
        <w:t xml:space="preserve">：                             </w:t>
      </w:r>
      <w:r>
        <w:rPr>
          <w:rFonts w:hint="eastAsia" w:ascii="宋体" w:hAnsi="宋体" w:eastAsia="宋体" w:cs="宋体"/>
          <w:b/>
          <w:i w:val="0"/>
          <w:caps w:val="0"/>
          <w:color w:val="auto"/>
          <w:spacing w:val="0"/>
          <w:w w:val="100"/>
          <w:sz w:val="24"/>
          <w:szCs w:val="24"/>
          <w:lang w:val="zh-CN"/>
        </w:rPr>
        <w:t xml:space="preserve">      乙方</w:t>
      </w:r>
      <w:r>
        <w:rPr>
          <w:rFonts w:hint="eastAsia" w:ascii="宋体" w:hAnsi="宋体" w:eastAsia="宋体" w:cs="宋体"/>
          <w:b w:val="0"/>
          <w:i w:val="0"/>
          <w:caps w:val="0"/>
          <w:color w:val="auto"/>
          <w:spacing w:val="0"/>
          <w:w w:val="100"/>
          <w:sz w:val="24"/>
          <w:szCs w:val="24"/>
          <w:lang w:val="zh-CN"/>
        </w:rPr>
        <w:t>：</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统一社会信用代码：                       统一社会信用代码或身份证号码：</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住所：                                   住所：</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法定代表人或                             法定代表人</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 xml:space="preserve">授权代表（签字）：                        或授权代表（签字）: </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联系人：                                 联系人：</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约定送达地址：                           约定送达地址：</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邮政编码：                               邮政编码：</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 xml:space="preserve">电话:                                    电话: </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lang w:val="zh-CN"/>
        </w:rPr>
      </w:pPr>
      <w:r>
        <w:rPr>
          <w:rFonts w:hint="eastAsia" w:ascii="宋体" w:hAnsi="宋体" w:eastAsia="宋体" w:cs="宋体"/>
          <w:b w:val="0"/>
          <w:i w:val="0"/>
          <w:caps w:val="0"/>
          <w:color w:val="auto"/>
          <w:spacing w:val="0"/>
          <w:w w:val="100"/>
          <w:sz w:val="24"/>
          <w:szCs w:val="24"/>
          <w:lang w:val="zh-CN"/>
        </w:rPr>
        <w:t>传真:                                    传真:</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lang w:val="zh-CN"/>
        </w:rPr>
        <w:t>电子邮箱：                               电子邮箱：</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 xml:space="preserve">开户银行：                               开户银行： </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 xml:space="preserve">开户名称：                               开户名称： </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开户账号：</w:t>
      </w:r>
      <w:r>
        <w:rPr>
          <w:rFonts w:hint="eastAsia" w:ascii="宋体" w:hAnsi="宋体" w:eastAsia="宋体" w:cs="宋体"/>
          <w:b w:val="0"/>
          <w:i w:val="0"/>
          <w:caps w:val="0"/>
          <w:color w:val="auto"/>
          <w:spacing w:val="0"/>
          <w:w w:val="100"/>
          <w:sz w:val="24"/>
          <w:szCs w:val="24"/>
          <w:lang w:val="zh-CN"/>
        </w:rPr>
        <w:t xml:space="preserve">                               </w:t>
      </w:r>
      <w:r>
        <w:rPr>
          <w:rFonts w:hint="eastAsia" w:ascii="宋体" w:hAnsi="宋体" w:eastAsia="宋体" w:cs="宋体"/>
          <w:b w:val="0"/>
          <w:i w:val="0"/>
          <w:caps w:val="0"/>
          <w:color w:val="auto"/>
          <w:spacing w:val="0"/>
          <w:w w:val="100"/>
          <w:sz w:val="24"/>
          <w:szCs w:val="24"/>
        </w:rPr>
        <w:t>开户账号：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left"/>
        <w:textAlignment w:val="baseline"/>
        <w:rPr>
          <w:rFonts w:hint="eastAsia" w:ascii="宋体" w:hAnsi="宋体" w:eastAsia="宋体" w:cs="宋体"/>
          <w:b/>
          <w:i w:val="0"/>
          <w:caps w:val="0"/>
          <w:color w:val="auto"/>
          <w:spacing w:val="0"/>
          <w:w w:val="100"/>
          <w:sz w:val="24"/>
          <w:szCs w:val="24"/>
        </w:rPr>
      </w:pPr>
      <w:bookmarkStart w:id="88" w:name="_Toc331685783"/>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4"/>
        </w:rPr>
      </w:pPr>
      <w:r>
        <w:rPr>
          <w:rFonts w:hint="eastAsia" w:ascii="宋体" w:hAnsi="宋体" w:eastAsia="宋体" w:cs="宋体"/>
          <w:b/>
          <w:i w:val="0"/>
          <w:caps w:val="0"/>
          <w:color w:val="auto"/>
          <w:spacing w:val="0"/>
          <w:w w:val="100"/>
          <w:sz w:val="24"/>
          <w:szCs w:val="24"/>
        </w:rPr>
        <w:br w:type="page"/>
      </w:r>
      <w:r>
        <w:rPr>
          <w:rFonts w:hint="eastAsia" w:ascii="宋体" w:hAnsi="宋体" w:eastAsia="宋体" w:cs="宋体"/>
          <w:b/>
          <w:i w:val="0"/>
          <w:caps w:val="0"/>
          <w:color w:val="auto"/>
          <w:spacing w:val="0"/>
          <w:w w:val="100"/>
          <w:sz w:val="24"/>
          <w:szCs w:val="24"/>
        </w:rPr>
        <w:t>第二部分 合同一般条款</w:t>
      </w:r>
      <w:bookmarkEnd w:id="88"/>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89" w:name="_Toc16917"/>
      <w:bookmarkStart w:id="90" w:name="_Toc22904"/>
      <w:bookmarkStart w:id="91" w:name="_Ref467379225"/>
      <w:bookmarkStart w:id="92" w:name="_Toc18200"/>
      <w:bookmarkStart w:id="93" w:name="_Toc16970"/>
      <w:bookmarkStart w:id="94" w:name="_Toc259093669"/>
      <w:bookmarkStart w:id="95" w:name="_Ref467379094"/>
      <w:bookmarkStart w:id="96" w:name="_Toc28763"/>
      <w:bookmarkStart w:id="97" w:name="_Ref467379214"/>
      <w:bookmarkStart w:id="98" w:name="_Ref467378404"/>
      <w:bookmarkStart w:id="99" w:name="_Toc19614"/>
      <w:bookmarkStart w:id="100" w:name="_Toc11445"/>
      <w:bookmarkStart w:id="101" w:name="_Ref467379101"/>
      <w:bookmarkStart w:id="102" w:name="_Ref467378499"/>
      <w:bookmarkStart w:id="103" w:name="_Ref467379109"/>
      <w:bookmarkStart w:id="104" w:name="_Ref467378463"/>
      <w:bookmarkStart w:id="105" w:name="_Ref467379195"/>
      <w:bookmarkStart w:id="106" w:name="_Ref467379205"/>
      <w:bookmarkStart w:id="107" w:name="_Toc487900349"/>
      <w:bookmarkStart w:id="108" w:name="_Toc279701240"/>
      <w:r>
        <w:rPr>
          <w:rFonts w:hint="eastAsia" w:ascii="宋体" w:hAnsi="宋体" w:eastAsia="宋体" w:cs="宋体"/>
          <w:b/>
          <w:i w:val="0"/>
          <w:caps w:val="0"/>
          <w:color w:val="auto"/>
          <w:spacing w:val="0"/>
          <w:w w:val="100"/>
          <w:sz w:val="24"/>
          <w:szCs w:val="24"/>
        </w:rPr>
        <w:t>2.1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本合同中的下列词语应按以下内容进行解释：</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2.1.1 “合同”系指采购人和</w:t>
      </w:r>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签订的载明双方当事人所达成的协议，并包括所有的附件、附录和构成合同的其他文件。</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2.1.2 “合同价”系指根据合同约定，</w:t>
      </w:r>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在完全履行合同义务后，采购人应支付给</w:t>
      </w:r>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的价格。</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2.1.3 “货物”系指</w:t>
      </w:r>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根据合同约定应向采购人交付的一切各种形态和种类的物品，包括原材料、燃料、设备、机械、仪表、备件、计算机软件、产品等，并包括工具、手册等其他相关资料。</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109" w:name="_Ref467378840"/>
      <w:r>
        <w:rPr>
          <w:rFonts w:hint="eastAsia" w:ascii="宋体" w:hAnsi="宋体" w:eastAsia="宋体" w:cs="宋体"/>
          <w:b w:val="0"/>
          <w:i w:val="0"/>
          <w:caps w:val="0"/>
          <w:color w:val="auto"/>
          <w:spacing w:val="0"/>
          <w:w w:val="100"/>
          <w:sz w:val="24"/>
          <w:szCs w:val="24"/>
        </w:rPr>
        <w:t>2.1.4 “甲方”系指与</w:t>
      </w:r>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签署合同的采购人</w:t>
      </w:r>
      <w:bookmarkEnd w:id="109"/>
      <w:r>
        <w:rPr>
          <w:rFonts w:hint="eastAsia" w:ascii="宋体" w:hAnsi="宋体" w:eastAsia="宋体" w:cs="宋体"/>
          <w:b w:val="0"/>
          <w:i w:val="0"/>
          <w:caps w:val="0"/>
          <w:color w:val="auto"/>
          <w:spacing w:val="0"/>
          <w:w w:val="100"/>
          <w:sz w:val="24"/>
          <w:szCs w:val="24"/>
        </w:rPr>
        <w:t>；采购人委托采购代理机构代表其与乙方签订合同的，采购人的授权委托书作为合同附件。</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110" w:name="_Ref467379400"/>
      <w:r>
        <w:rPr>
          <w:rFonts w:hint="eastAsia" w:ascii="宋体" w:hAnsi="宋体" w:eastAsia="宋体" w:cs="宋体"/>
          <w:b w:val="0"/>
          <w:i w:val="0"/>
          <w:caps w:val="0"/>
          <w:color w:val="auto"/>
          <w:spacing w:val="0"/>
          <w:w w:val="100"/>
          <w:sz w:val="24"/>
          <w:szCs w:val="24"/>
        </w:rPr>
        <w:t>2.1.5 “乙方”系指根据合同约定交付货物的</w:t>
      </w:r>
      <w:bookmarkEnd w:id="110"/>
      <w:r>
        <w:rPr>
          <w:rFonts w:hint="eastAsia" w:ascii="宋体" w:hAnsi="宋体" w:eastAsia="宋体" w:cs="宋体"/>
          <w:b w:val="0"/>
          <w:i w:val="0"/>
          <w:caps w:val="0"/>
          <w:color w:val="auto"/>
          <w:spacing w:val="0"/>
          <w:w w:val="100"/>
          <w:sz w:val="24"/>
          <w:szCs w:val="24"/>
          <w:lang w:eastAsia="zh-CN"/>
        </w:rPr>
        <w:t>成交供应商</w:t>
      </w:r>
      <w:r>
        <w:rPr>
          <w:rFonts w:hint="eastAsia" w:ascii="宋体" w:hAnsi="宋体" w:eastAsia="宋体" w:cs="宋体"/>
          <w:b w:val="0"/>
          <w:i w:val="0"/>
          <w:caps w:val="0"/>
          <w:color w:val="auto"/>
          <w:spacing w:val="0"/>
          <w:w w:val="100"/>
          <w:sz w:val="24"/>
          <w:szCs w:val="24"/>
        </w:rPr>
        <w:t>；两个以上的自然人、法人或者其他组织组成一个联合体，以一个</w:t>
      </w:r>
      <w:r>
        <w:rPr>
          <w:rFonts w:hint="eastAsia" w:ascii="宋体" w:hAnsi="宋体" w:cs="宋体"/>
          <w:b w:val="0"/>
          <w:i w:val="0"/>
          <w:caps w:val="0"/>
          <w:color w:val="auto"/>
          <w:spacing w:val="0"/>
          <w:w w:val="100"/>
          <w:sz w:val="24"/>
          <w:szCs w:val="24"/>
          <w:lang w:eastAsia="zh-CN"/>
        </w:rPr>
        <w:t>供应商</w:t>
      </w:r>
      <w:r>
        <w:rPr>
          <w:rFonts w:hint="eastAsia" w:ascii="宋体" w:hAnsi="宋体" w:eastAsia="宋体" w:cs="宋体"/>
          <w:b w:val="0"/>
          <w:i w:val="0"/>
          <w:caps w:val="0"/>
          <w:color w:val="auto"/>
          <w:spacing w:val="0"/>
          <w:w w:val="100"/>
          <w:sz w:val="24"/>
          <w:szCs w:val="24"/>
        </w:rPr>
        <w:t>的身份共同参加政府采购的，联合体各方均应为乙方或者与乙方相同地位的合同当事人，并就合同约定的事项对甲方承担连带责任。</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111" w:name="_Ref467379436"/>
      <w:r>
        <w:rPr>
          <w:rFonts w:hint="eastAsia" w:ascii="宋体" w:hAnsi="宋体" w:eastAsia="宋体" w:cs="宋体"/>
          <w:b w:val="0"/>
          <w:i w:val="0"/>
          <w:caps w:val="0"/>
          <w:color w:val="auto"/>
          <w:spacing w:val="0"/>
          <w:w w:val="100"/>
          <w:sz w:val="24"/>
          <w:szCs w:val="24"/>
        </w:rPr>
        <w:t>2.1.6 “现场”系指合同约定货物将要运至或者安装的地点。</w:t>
      </w:r>
      <w:bookmarkEnd w:id="111"/>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12" w:name="_Toc13336"/>
      <w:bookmarkStart w:id="113" w:name="_Toc32504"/>
      <w:bookmarkStart w:id="114" w:name="_Toc259093670"/>
      <w:bookmarkStart w:id="115" w:name="_Toc279701241"/>
      <w:bookmarkStart w:id="116" w:name="_Toc31131"/>
      <w:bookmarkStart w:id="117" w:name="_Toc487900350"/>
      <w:bookmarkStart w:id="118" w:name="_Toc27635"/>
      <w:bookmarkStart w:id="119" w:name="_Toc1705"/>
      <w:bookmarkStart w:id="120" w:name="_Toc1967"/>
      <w:bookmarkStart w:id="121" w:name="_Toc15561"/>
      <w:r>
        <w:rPr>
          <w:rFonts w:hint="eastAsia" w:ascii="宋体" w:hAnsi="宋体" w:eastAsia="宋体" w:cs="宋体"/>
          <w:b/>
          <w:i w:val="0"/>
          <w:caps w:val="0"/>
          <w:color w:val="auto"/>
          <w:spacing w:val="0"/>
          <w:w w:val="100"/>
          <w:sz w:val="24"/>
          <w:szCs w:val="24"/>
        </w:rPr>
        <w:t>2.2 技术规范</w:t>
      </w:r>
      <w:bookmarkEnd w:id="112"/>
      <w:bookmarkEnd w:id="113"/>
      <w:bookmarkEnd w:id="114"/>
      <w:bookmarkEnd w:id="115"/>
      <w:bookmarkEnd w:id="116"/>
      <w:bookmarkEnd w:id="117"/>
      <w:bookmarkEnd w:id="118"/>
      <w:bookmarkEnd w:id="119"/>
      <w:bookmarkEnd w:id="120"/>
      <w:bookmarkEnd w:id="121"/>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22" w:name="_Toc487900351"/>
      <w:bookmarkStart w:id="123" w:name="_Toc259093671"/>
      <w:bookmarkStart w:id="124" w:name="_Toc25689"/>
      <w:bookmarkStart w:id="125" w:name="_Toc9557"/>
      <w:bookmarkStart w:id="126" w:name="_Toc279701242"/>
      <w:bookmarkStart w:id="127" w:name="_Toc23716"/>
      <w:bookmarkStart w:id="128" w:name="_Toc7715"/>
      <w:bookmarkStart w:id="129" w:name="_Toc31634"/>
      <w:bookmarkStart w:id="130" w:name="_Toc27853"/>
      <w:bookmarkStart w:id="131" w:name="_Toc9829"/>
      <w:r>
        <w:rPr>
          <w:rFonts w:hint="eastAsia" w:ascii="宋体" w:hAnsi="宋体" w:eastAsia="宋体" w:cs="宋体"/>
          <w:b/>
          <w:i w:val="0"/>
          <w:caps w:val="0"/>
          <w:color w:val="auto"/>
          <w:spacing w:val="0"/>
          <w:w w:val="100"/>
          <w:sz w:val="24"/>
          <w:szCs w:val="24"/>
        </w:rPr>
        <w:t>2.3 知识产权</w:t>
      </w:r>
      <w:bookmarkEnd w:id="122"/>
      <w:bookmarkEnd w:id="123"/>
      <w:bookmarkEnd w:id="124"/>
      <w:bookmarkEnd w:id="125"/>
      <w:bookmarkEnd w:id="126"/>
      <w:bookmarkEnd w:id="127"/>
      <w:bookmarkEnd w:id="128"/>
      <w:bookmarkEnd w:id="129"/>
      <w:bookmarkEnd w:id="130"/>
      <w:bookmarkEnd w:id="131"/>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2.3.2具有知识产权的计算机软件等货物的知识产权归属，详见</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32" w:name="_Toc4194"/>
      <w:bookmarkStart w:id="133" w:name="_Toc25769"/>
      <w:bookmarkStart w:id="134" w:name="_Toc11932"/>
      <w:bookmarkStart w:id="135" w:name="_Toc17478"/>
      <w:bookmarkStart w:id="136" w:name="_Toc24074"/>
      <w:bookmarkStart w:id="137" w:name="_Toc29149"/>
      <w:bookmarkStart w:id="138" w:name="_Toc1620"/>
      <w:r>
        <w:rPr>
          <w:rFonts w:hint="eastAsia" w:ascii="宋体" w:hAnsi="宋体" w:eastAsia="宋体" w:cs="宋体"/>
          <w:b/>
          <w:i w:val="0"/>
          <w:caps w:val="0"/>
          <w:color w:val="auto"/>
          <w:spacing w:val="0"/>
          <w:w w:val="100"/>
          <w:sz w:val="24"/>
          <w:szCs w:val="24"/>
        </w:rPr>
        <w:t>2.4 包装和装运</w:t>
      </w:r>
      <w:bookmarkEnd w:id="132"/>
      <w:bookmarkEnd w:id="133"/>
      <w:bookmarkEnd w:id="134"/>
      <w:bookmarkEnd w:id="135"/>
      <w:bookmarkEnd w:id="136"/>
      <w:bookmarkEnd w:id="137"/>
      <w:bookmarkEnd w:id="138"/>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2.4.1除</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2.4.2 装运货物的要求和通知，详见</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39" w:name="_Toc259093674"/>
      <w:bookmarkStart w:id="140" w:name="_Ref467378591"/>
      <w:bookmarkStart w:id="141" w:name="_Ref467378541"/>
      <w:bookmarkStart w:id="142" w:name="_Toc279701245"/>
      <w:bookmarkStart w:id="143" w:name="_Ref467379527"/>
      <w:bookmarkStart w:id="144" w:name="_Toc487900354"/>
      <w:bookmarkStart w:id="145" w:name="_Ref467379542"/>
      <w:bookmarkStart w:id="146" w:name="_Ref467379536"/>
      <w:bookmarkStart w:id="147" w:name="_Toc19074"/>
      <w:bookmarkStart w:id="148" w:name="_Toc32471"/>
      <w:bookmarkStart w:id="149" w:name="_Toc825"/>
      <w:bookmarkStart w:id="150" w:name="_Toc30272"/>
      <w:bookmarkStart w:id="151" w:name="_Toc28369"/>
      <w:bookmarkStart w:id="152" w:name="_Toc30869"/>
      <w:bookmarkStart w:id="153" w:name="_Toc26182"/>
      <w:r>
        <w:rPr>
          <w:rFonts w:hint="eastAsia" w:ascii="宋体" w:hAnsi="宋体" w:eastAsia="宋体" w:cs="宋体"/>
          <w:b/>
          <w:i w:val="0"/>
          <w:caps w:val="0"/>
          <w:color w:val="auto"/>
          <w:spacing w:val="0"/>
          <w:w w:val="100"/>
          <w:sz w:val="24"/>
          <w:szCs w:val="24"/>
        </w:rPr>
        <w:t>2.</w:t>
      </w:r>
      <w:bookmarkEnd w:id="139"/>
      <w:bookmarkEnd w:id="140"/>
      <w:bookmarkEnd w:id="141"/>
      <w:bookmarkEnd w:id="142"/>
      <w:bookmarkEnd w:id="143"/>
      <w:bookmarkEnd w:id="144"/>
      <w:bookmarkEnd w:id="145"/>
      <w:bookmarkEnd w:id="146"/>
      <w:r>
        <w:rPr>
          <w:rFonts w:hint="eastAsia" w:ascii="宋体" w:hAnsi="宋体" w:eastAsia="宋体" w:cs="宋体"/>
          <w:b/>
          <w:i w:val="0"/>
          <w:caps w:val="0"/>
          <w:color w:val="auto"/>
          <w:spacing w:val="0"/>
          <w:w w:val="100"/>
          <w:sz w:val="24"/>
          <w:szCs w:val="24"/>
        </w:rPr>
        <w:t>5 履约检查和问题反馈</w:t>
      </w:r>
      <w:bookmarkEnd w:id="147"/>
      <w:bookmarkEnd w:id="148"/>
      <w:bookmarkEnd w:id="149"/>
      <w:bookmarkEnd w:id="150"/>
      <w:bookmarkEnd w:id="151"/>
      <w:bookmarkEnd w:id="152"/>
      <w:bookmarkEnd w:id="153"/>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154" w:name="_Ref467379657"/>
      <w:r>
        <w:rPr>
          <w:rFonts w:hint="eastAsia" w:ascii="宋体" w:hAnsi="宋体" w:eastAsia="宋体" w:cs="宋体"/>
          <w:b w:val="0"/>
          <w:i w:val="0"/>
          <w:caps w:val="0"/>
          <w:color w:val="auto"/>
          <w:spacing w:val="0"/>
          <w:w w:val="100"/>
          <w:sz w:val="24"/>
          <w:szCs w:val="24"/>
        </w:rPr>
        <w:t>2.5.1</w:t>
      </w:r>
      <w:bookmarkEnd w:id="154"/>
      <w:bookmarkStart w:id="155" w:name="_Toc186431854"/>
      <w:bookmarkStart w:id="156" w:name="_Ref467379793"/>
      <w:bookmarkStart w:id="157" w:name="_Toc279701247"/>
      <w:bookmarkStart w:id="158" w:name="_Toc259093676"/>
      <w:bookmarkStart w:id="159" w:name="_Toc487900357"/>
      <w:bookmarkStart w:id="160" w:name="_Ref467379807"/>
      <w:r>
        <w:rPr>
          <w:rFonts w:hint="eastAsia" w:ascii="宋体" w:hAnsi="宋体" w:eastAsia="宋体" w:cs="宋体"/>
          <w:b w:val="0"/>
          <w:i w:val="0"/>
          <w:caps w:val="0"/>
          <w:color w:val="auto"/>
          <w:spacing w:val="0"/>
          <w:w w:val="100"/>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2.5.2 合同履行期间，甲方有权将履行过程中出现的问题反馈给乙方，双方当事人应以书面形式约定需要完善和改进的内容</w:t>
      </w:r>
      <w:bookmarkEnd w:id="155"/>
      <w:r>
        <w:rPr>
          <w:rFonts w:hint="eastAsia" w:ascii="宋体" w:hAnsi="宋体" w:eastAsia="宋体" w:cs="宋体"/>
          <w:b w:val="0"/>
          <w:i w:val="0"/>
          <w:caps w:val="0"/>
          <w:color w:val="auto"/>
          <w:spacing w:val="0"/>
          <w:w w:val="100"/>
          <w:sz w:val="24"/>
          <w:szCs w:val="24"/>
        </w:rPr>
        <w:t>。</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61" w:name="_Toc16577"/>
      <w:bookmarkStart w:id="162" w:name="_Toc19219"/>
      <w:bookmarkStart w:id="163" w:name="_Toc7836"/>
      <w:bookmarkStart w:id="164" w:name="_Toc6987"/>
      <w:bookmarkStart w:id="165" w:name="_Toc22776"/>
      <w:bookmarkStart w:id="166" w:name="_Toc28451"/>
      <w:bookmarkStart w:id="167" w:name="_Toc20387"/>
      <w:r>
        <w:rPr>
          <w:rFonts w:hint="eastAsia" w:ascii="宋体" w:hAnsi="宋体" w:eastAsia="宋体" w:cs="宋体"/>
          <w:b/>
          <w:i w:val="0"/>
          <w:caps w:val="0"/>
          <w:color w:val="auto"/>
          <w:spacing w:val="0"/>
          <w:w w:val="100"/>
          <w:sz w:val="24"/>
          <w:szCs w:val="24"/>
        </w:rPr>
        <w:t>2.6 结算方式和付款条件</w:t>
      </w:r>
      <w:bookmarkEnd w:id="156"/>
      <w:bookmarkEnd w:id="157"/>
      <w:bookmarkEnd w:id="158"/>
      <w:bookmarkEnd w:id="159"/>
      <w:bookmarkEnd w:id="160"/>
      <w:bookmarkEnd w:id="161"/>
      <w:bookmarkEnd w:id="162"/>
      <w:bookmarkEnd w:id="163"/>
      <w:bookmarkEnd w:id="164"/>
      <w:bookmarkEnd w:id="165"/>
      <w:bookmarkEnd w:id="166"/>
      <w:bookmarkEnd w:id="167"/>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详见</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68" w:name="_Toc259093677"/>
      <w:bookmarkStart w:id="169" w:name="_Ref467379852"/>
      <w:bookmarkStart w:id="170" w:name="_Toc279701248"/>
      <w:bookmarkStart w:id="171" w:name="_Ref467379863"/>
      <w:bookmarkStart w:id="172" w:name="_Ref467379923"/>
      <w:bookmarkStart w:id="173" w:name="_Toc487900358"/>
      <w:bookmarkStart w:id="174" w:name="_Toc16110"/>
      <w:bookmarkStart w:id="175" w:name="_Toc905"/>
      <w:bookmarkStart w:id="176" w:name="_Toc3225"/>
      <w:bookmarkStart w:id="177" w:name="_Toc23337"/>
      <w:bookmarkStart w:id="178" w:name="_Toc1395"/>
      <w:bookmarkStart w:id="179" w:name="_Toc1198"/>
      <w:bookmarkStart w:id="180" w:name="_Toc774"/>
      <w:r>
        <w:rPr>
          <w:rFonts w:hint="eastAsia" w:ascii="宋体" w:hAnsi="宋体" w:eastAsia="宋体" w:cs="宋体"/>
          <w:b/>
          <w:i w:val="0"/>
          <w:caps w:val="0"/>
          <w:color w:val="auto"/>
          <w:spacing w:val="0"/>
          <w:w w:val="100"/>
          <w:sz w:val="24"/>
          <w:szCs w:val="24"/>
        </w:rPr>
        <w:t>2.7 技术资料</w:t>
      </w:r>
      <w:bookmarkEnd w:id="168"/>
      <w:bookmarkEnd w:id="169"/>
      <w:bookmarkEnd w:id="170"/>
      <w:bookmarkEnd w:id="171"/>
      <w:bookmarkEnd w:id="172"/>
      <w:bookmarkEnd w:id="173"/>
      <w:r>
        <w:rPr>
          <w:rFonts w:hint="eastAsia" w:ascii="宋体" w:hAnsi="宋体" w:eastAsia="宋体" w:cs="宋体"/>
          <w:b/>
          <w:i w:val="0"/>
          <w:caps w:val="0"/>
          <w:color w:val="auto"/>
          <w:spacing w:val="0"/>
          <w:w w:val="100"/>
          <w:sz w:val="24"/>
          <w:szCs w:val="24"/>
        </w:rPr>
        <w:t>和保密义务</w:t>
      </w:r>
      <w:bookmarkEnd w:id="174"/>
      <w:bookmarkEnd w:id="175"/>
      <w:bookmarkEnd w:id="176"/>
      <w:bookmarkEnd w:id="177"/>
      <w:bookmarkEnd w:id="178"/>
      <w:bookmarkEnd w:id="179"/>
      <w:bookmarkEnd w:id="180"/>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2.7.1 乙方有权依据合同约定和项目需要，向甲方了解有关情况，调阅有关资料等，甲方应予积极配合；</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2.7.2 乙方有义务妥善保管和保护由甲方提供的前款信息和资料等；</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81" w:name="_Toc6460"/>
      <w:bookmarkStart w:id="182" w:name="_Toc11864"/>
      <w:bookmarkStart w:id="183" w:name="_Toc14301"/>
      <w:bookmarkStart w:id="184" w:name="_Toc7860"/>
      <w:bookmarkStart w:id="185" w:name="_Toc19803"/>
      <w:r>
        <w:rPr>
          <w:rFonts w:hint="eastAsia" w:ascii="宋体" w:hAnsi="宋体" w:eastAsia="宋体" w:cs="宋体"/>
          <w:b/>
          <w:i w:val="0"/>
          <w:caps w:val="0"/>
          <w:color w:val="auto"/>
          <w:spacing w:val="0"/>
          <w:w w:val="100"/>
          <w:sz w:val="24"/>
          <w:szCs w:val="24"/>
        </w:rPr>
        <w:t>2.8 质量保证</w:t>
      </w:r>
      <w:bookmarkEnd w:id="181"/>
      <w:bookmarkEnd w:id="182"/>
      <w:bookmarkEnd w:id="183"/>
      <w:bookmarkEnd w:id="184"/>
      <w:bookmarkEnd w:id="185"/>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2.8.1 乙方应建立和完善履行合同的内部质量保证体系，并提供相关内部规章制度给甲方，以便甲方进行监督检查；</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2.8.2 乙方应保证履行合同的人员数量和素质、软件和硬件设备的配置、场地、环境和设施等满足全面履行合同的要求，并应接受甲方的监督检查。</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86" w:name="_Toc23768"/>
      <w:bookmarkStart w:id="187" w:name="_Toc17648"/>
      <w:bookmarkStart w:id="188" w:name="_Toc27782"/>
      <w:bookmarkStart w:id="189" w:name="_Toc19420"/>
      <w:bookmarkStart w:id="190" w:name="_Toc17244"/>
      <w:bookmarkStart w:id="191" w:name="_Toc259093681"/>
      <w:bookmarkStart w:id="192" w:name="_Toc487900362"/>
      <w:bookmarkStart w:id="193" w:name="_Toc279701252"/>
      <w:r>
        <w:rPr>
          <w:rFonts w:hint="eastAsia" w:ascii="宋体" w:hAnsi="宋体" w:eastAsia="宋体" w:cs="宋体"/>
          <w:b/>
          <w:i w:val="0"/>
          <w:caps w:val="0"/>
          <w:color w:val="auto"/>
          <w:spacing w:val="0"/>
          <w:w w:val="100"/>
          <w:sz w:val="24"/>
          <w:szCs w:val="24"/>
        </w:rPr>
        <w:t>2.9 货物的风险负担</w:t>
      </w:r>
      <w:bookmarkEnd w:id="186"/>
      <w:bookmarkEnd w:id="187"/>
      <w:bookmarkEnd w:id="188"/>
      <w:bookmarkEnd w:id="189"/>
      <w:bookmarkEnd w:id="190"/>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货物或者在途货物或者交付给第一承运人后的货物毁损、灭失的风险负担详见</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94" w:name="_Toc4487"/>
      <w:bookmarkStart w:id="195" w:name="_Toc1317"/>
      <w:bookmarkStart w:id="196" w:name="_Toc14055"/>
      <w:bookmarkStart w:id="197" w:name="_Toc16383"/>
      <w:bookmarkStart w:id="198" w:name="_Toc13111"/>
      <w:r>
        <w:rPr>
          <w:rFonts w:hint="eastAsia" w:ascii="宋体" w:hAnsi="宋体" w:eastAsia="宋体" w:cs="宋体"/>
          <w:b/>
          <w:i w:val="0"/>
          <w:caps w:val="0"/>
          <w:color w:val="auto"/>
          <w:spacing w:val="0"/>
          <w:w w:val="100"/>
          <w:sz w:val="24"/>
          <w:szCs w:val="24"/>
        </w:rPr>
        <w:t>2.10 延迟交货</w:t>
      </w:r>
      <w:bookmarkEnd w:id="191"/>
      <w:bookmarkEnd w:id="192"/>
      <w:bookmarkEnd w:id="193"/>
      <w:bookmarkEnd w:id="194"/>
      <w:bookmarkEnd w:id="195"/>
      <w:bookmarkEnd w:id="196"/>
      <w:bookmarkEnd w:id="197"/>
      <w:bookmarkEnd w:id="198"/>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199" w:name="_Toc7502"/>
      <w:bookmarkStart w:id="200" w:name="_Toc21628"/>
      <w:bookmarkStart w:id="201" w:name="_Toc26705"/>
      <w:bookmarkStart w:id="202" w:name="_Toc27305"/>
      <w:bookmarkStart w:id="203" w:name="_Toc14128"/>
      <w:r>
        <w:rPr>
          <w:rFonts w:hint="eastAsia" w:ascii="宋体" w:hAnsi="宋体" w:eastAsia="宋体" w:cs="宋体"/>
          <w:b/>
          <w:i w:val="0"/>
          <w:caps w:val="0"/>
          <w:color w:val="auto"/>
          <w:spacing w:val="0"/>
          <w:w w:val="100"/>
          <w:sz w:val="24"/>
          <w:szCs w:val="24"/>
        </w:rPr>
        <w:t>2.11 合同变更</w:t>
      </w:r>
      <w:bookmarkEnd w:id="199"/>
      <w:bookmarkEnd w:id="200"/>
      <w:bookmarkEnd w:id="201"/>
      <w:bookmarkEnd w:id="202"/>
      <w:bookmarkEnd w:id="203"/>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2.11.2 合同继续履行将损害国家利益和社会公共利益的，双方当事人应当以书面形式变更合同。有过错的一方应当承担赔偿责任，双方当事人都有过错的，各自承担相应的责任。</w:t>
      </w:r>
      <w:bookmarkStart w:id="204" w:name="_Toc259093688"/>
      <w:bookmarkStart w:id="205" w:name="_Toc487900369"/>
      <w:bookmarkStart w:id="206" w:name="_Toc279701259"/>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07" w:name="_Toc13330"/>
      <w:bookmarkStart w:id="208" w:name="_Toc31277"/>
      <w:bookmarkStart w:id="209" w:name="_Toc15237"/>
      <w:bookmarkStart w:id="210" w:name="_Toc10366"/>
      <w:bookmarkStart w:id="211" w:name="_Toc8912"/>
      <w:bookmarkStart w:id="212" w:name="_Toc27360"/>
      <w:bookmarkStart w:id="213" w:name="_Toc22955"/>
      <w:r>
        <w:rPr>
          <w:rFonts w:hint="eastAsia" w:ascii="宋体" w:hAnsi="宋体" w:eastAsia="宋体" w:cs="宋体"/>
          <w:b/>
          <w:i w:val="0"/>
          <w:caps w:val="0"/>
          <w:color w:val="auto"/>
          <w:spacing w:val="0"/>
          <w:w w:val="100"/>
          <w:sz w:val="24"/>
          <w:szCs w:val="24"/>
        </w:rPr>
        <w:t>2.12 合同转让</w:t>
      </w:r>
      <w:bookmarkEnd w:id="204"/>
      <w:bookmarkEnd w:id="205"/>
      <w:bookmarkEnd w:id="206"/>
      <w:r>
        <w:rPr>
          <w:rFonts w:hint="eastAsia" w:ascii="宋体" w:hAnsi="宋体" w:eastAsia="宋体" w:cs="宋体"/>
          <w:b/>
          <w:i w:val="0"/>
          <w:caps w:val="0"/>
          <w:color w:val="auto"/>
          <w:spacing w:val="0"/>
          <w:w w:val="100"/>
          <w:sz w:val="24"/>
          <w:szCs w:val="24"/>
        </w:rPr>
        <w:t>和分包</w:t>
      </w:r>
      <w:bookmarkEnd w:id="207"/>
      <w:bookmarkEnd w:id="208"/>
      <w:bookmarkEnd w:id="209"/>
      <w:bookmarkEnd w:id="210"/>
      <w:bookmarkEnd w:id="211"/>
      <w:bookmarkEnd w:id="212"/>
      <w:bookmarkEnd w:id="213"/>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b w:val="0"/>
          <w:i w:val="0"/>
          <w:caps w:val="0"/>
          <w:color w:val="auto"/>
          <w:spacing w:val="0"/>
          <w:w w:val="100"/>
          <w:sz w:val="24"/>
          <w:szCs w:val="24"/>
          <w:lang w:eastAsia="zh-CN"/>
        </w:rPr>
        <w:t>供应商</w:t>
      </w:r>
      <w:r>
        <w:rPr>
          <w:rFonts w:hint="eastAsia" w:ascii="宋体" w:hAnsi="宋体" w:eastAsia="宋体" w:cs="宋体"/>
          <w:b w:val="0"/>
          <w:i w:val="0"/>
          <w:caps w:val="0"/>
          <w:color w:val="auto"/>
          <w:spacing w:val="0"/>
          <w:w w:val="100"/>
          <w:sz w:val="24"/>
          <w:szCs w:val="24"/>
        </w:rPr>
        <w:t>就分包项目向甲方承担连带责任。</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14" w:name="_Toc30689"/>
      <w:bookmarkStart w:id="215" w:name="_Toc14066"/>
      <w:bookmarkStart w:id="216" w:name="_Toc13315"/>
      <w:bookmarkStart w:id="217" w:name="_Toc14589"/>
      <w:bookmarkStart w:id="218" w:name="_Toc16508"/>
      <w:bookmarkStart w:id="219" w:name="_Toc21117"/>
      <w:bookmarkStart w:id="220" w:name="_Toc13566"/>
      <w:r>
        <w:rPr>
          <w:rFonts w:hint="eastAsia" w:ascii="宋体" w:hAnsi="宋体" w:eastAsia="宋体" w:cs="宋体"/>
          <w:b/>
          <w:i w:val="0"/>
          <w:caps w:val="0"/>
          <w:color w:val="auto"/>
          <w:spacing w:val="0"/>
          <w:w w:val="100"/>
          <w:sz w:val="24"/>
          <w:szCs w:val="24"/>
        </w:rPr>
        <w:t>2.13 不可抗力</w:t>
      </w:r>
      <w:bookmarkEnd w:id="214"/>
      <w:bookmarkEnd w:id="215"/>
      <w:bookmarkEnd w:id="216"/>
      <w:bookmarkEnd w:id="217"/>
      <w:bookmarkEnd w:id="218"/>
      <w:bookmarkEnd w:id="219"/>
      <w:bookmarkEnd w:id="220"/>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2.13.1如果任何一方遭遇法律规定的不可抗力，致使合同履行受阻时，履行合同的期限应予延长，延长的期限应相当于不可抗力所影响的时间；</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2.13.2 因不可抗力致使不能实现合同目的的，当事人可以解除合同；</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2.13.3 因不可抗力致使合同有变更必要的，双方当事人应在</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约定时间内以书面形式变更合同；</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2.13.4受不可抗力影响的一方在不可抗力发生后，应在</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约定时间内以书面形式通知对方当事人，并在</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约定时间内，将有关部门出具的证明文件送达对方当事人。</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21" w:name="_Toc487900365"/>
      <w:bookmarkStart w:id="222" w:name="_Toc28553"/>
      <w:bookmarkStart w:id="223" w:name="_Toc689"/>
      <w:bookmarkStart w:id="224" w:name="_Toc4202"/>
      <w:bookmarkStart w:id="225" w:name="_Toc30676"/>
      <w:bookmarkStart w:id="226" w:name="_Toc259093684"/>
      <w:bookmarkStart w:id="227" w:name="_Toc279701255"/>
      <w:bookmarkStart w:id="228" w:name="_Toc12526"/>
      <w:bookmarkStart w:id="229" w:name="_Toc26701"/>
      <w:bookmarkStart w:id="230" w:name="_Toc6969"/>
      <w:r>
        <w:rPr>
          <w:rFonts w:hint="eastAsia" w:ascii="宋体" w:hAnsi="宋体" w:eastAsia="宋体" w:cs="宋体"/>
          <w:b/>
          <w:i w:val="0"/>
          <w:caps w:val="0"/>
          <w:color w:val="auto"/>
          <w:spacing w:val="0"/>
          <w:w w:val="100"/>
          <w:sz w:val="24"/>
          <w:szCs w:val="24"/>
        </w:rPr>
        <w:t>2.14 税费</w:t>
      </w:r>
      <w:bookmarkEnd w:id="221"/>
      <w:bookmarkEnd w:id="222"/>
      <w:bookmarkEnd w:id="223"/>
      <w:bookmarkEnd w:id="224"/>
      <w:bookmarkEnd w:id="225"/>
      <w:bookmarkEnd w:id="226"/>
      <w:bookmarkEnd w:id="227"/>
      <w:bookmarkEnd w:id="228"/>
      <w:bookmarkEnd w:id="229"/>
      <w:bookmarkEnd w:id="230"/>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与合同有关的一切税费，均按照中华人民共和国法律的相关规定。</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31" w:name="_Toc16959"/>
      <w:bookmarkStart w:id="232" w:name="_Toc279701258"/>
      <w:bookmarkStart w:id="233" w:name="_Toc7102"/>
      <w:bookmarkStart w:id="234" w:name="_Toc259093687"/>
      <w:bookmarkStart w:id="235" w:name="_Toc23378"/>
      <w:bookmarkStart w:id="236" w:name="_Toc9201"/>
      <w:bookmarkStart w:id="237" w:name="_Toc19279"/>
      <w:bookmarkStart w:id="238" w:name="_Toc725"/>
      <w:bookmarkStart w:id="239" w:name="_Toc8298"/>
      <w:bookmarkStart w:id="240" w:name="_Toc487900368"/>
      <w:r>
        <w:rPr>
          <w:rFonts w:hint="eastAsia" w:ascii="宋体" w:hAnsi="宋体" w:eastAsia="宋体" w:cs="宋体"/>
          <w:b/>
          <w:i w:val="0"/>
          <w:caps w:val="0"/>
          <w:color w:val="auto"/>
          <w:spacing w:val="0"/>
          <w:w w:val="100"/>
          <w:sz w:val="24"/>
          <w:szCs w:val="24"/>
        </w:rPr>
        <w:t>2.15 乙方破产</w:t>
      </w:r>
      <w:bookmarkEnd w:id="231"/>
      <w:bookmarkEnd w:id="232"/>
      <w:bookmarkEnd w:id="233"/>
      <w:bookmarkEnd w:id="234"/>
      <w:bookmarkEnd w:id="235"/>
      <w:bookmarkEnd w:id="236"/>
      <w:bookmarkEnd w:id="237"/>
      <w:bookmarkEnd w:id="238"/>
      <w:bookmarkEnd w:id="239"/>
      <w:bookmarkEnd w:id="240"/>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41" w:name="_Toc15387"/>
      <w:bookmarkStart w:id="242" w:name="_Toc29378"/>
      <w:bookmarkStart w:id="243" w:name="_Toc28828"/>
      <w:bookmarkStart w:id="244" w:name="_Toc6134"/>
      <w:bookmarkStart w:id="245" w:name="_Toc9443"/>
      <w:bookmarkStart w:id="246" w:name="_Toc29333"/>
      <w:bookmarkStart w:id="247" w:name="_Toc6530"/>
      <w:r>
        <w:rPr>
          <w:rFonts w:hint="eastAsia" w:ascii="宋体" w:hAnsi="宋体" w:eastAsia="宋体" w:cs="宋体"/>
          <w:b/>
          <w:i w:val="0"/>
          <w:caps w:val="0"/>
          <w:color w:val="auto"/>
          <w:spacing w:val="0"/>
          <w:w w:val="100"/>
          <w:sz w:val="24"/>
          <w:szCs w:val="24"/>
        </w:rPr>
        <w:t>2.16 合同中止、终止</w:t>
      </w:r>
      <w:bookmarkEnd w:id="241"/>
      <w:bookmarkEnd w:id="242"/>
      <w:bookmarkEnd w:id="243"/>
      <w:bookmarkEnd w:id="244"/>
      <w:bookmarkEnd w:id="245"/>
      <w:bookmarkEnd w:id="246"/>
      <w:bookmarkEnd w:id="247"/>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2.16.1 双方当事人不得擅自中止或者终止合同；</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2.16.2合同继续履行将损害国家利益和社会公共利益的，双方当事人应当中止或者终止合同。有过错的一方应当承担赔偿责任，双方当事人都有过错的，各自承担相应的责任。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48" w:name="_Toc1125"/>
      <w:bookmarkStart w:id="249" w:name="_Toc6596"/>
      <w:bookmarkStart w:id="250" w:name="_Toc5287"/>
      <w:bookmarkStart w:id="251" w:name="_Toc19390"/>
      <w:bookmarkStart w:id="252" w:name="_Toc14563"/>
      <w:bookmarkStart w:id="253" w:name="_Toc786"/>
      <w:bookmarkStart w:id="254" w:name="_Toc29723"/>
      <w:r>
        <w:rPr>
          <w:rFonts w:hint="eastAsia" w:ascii="宋体" w:hAnsi="宋体" w:eastAsia="宋体" w:cs="宋体"/>
          <w:b/>
          <w:i w:val="0"/>
          <w:caps w:val="0"/>
          <w:color w:val="auto"/>
          <w:spacing w:val="0"/>
          <w:w w:val="100"/>
          <w:sz w:val="24"/>
          <w:szCs w:val="24"/>
        </w:rPr>
        <w:t>2.17 检验和验收</w:t>
      </w:r>
      <w:bookmarkEnd w:id="248"/>
      <w:bookmarkEnd w:id="249"/>
      <w:bookmarkEnd w:id="250"/>
      <w:bookmarkEnd w:id="251"/>
      <w:bookmarkEnd w:id="252"/>
      <w:bookmarkEnd w:id="253"/>
      <w:bookmarkEnd w:id="254"/>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约定时间内组织验收，并可依法邀请相关方参加，验收应出具验收书。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2.17.3 检验和验收标准、程序等具体内容以及前述验收书的效力详见</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caps w:val="0"/>
          <w:color w:val="auto"/>
          <w:spacing w:val="0"/>
          <w:w w:val="100"/>
          <w:sz w:val="24"/>
          <w:szCs w:val="24"/>
        </w:rPr>
        <w:t>。</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55" w:name="_Toc487900371"/>
      <w:bookmarkStart w:id="256" w:name="_Toc279701261"/>
      <w:bookmarkStart w:id="257" w:name="_Toc259093690"/>
      <w:bookmarkStart w:id="258" w:name="_Toc16089"/>
      <w:bookmarkStart w:id="259" w:name="_Toc21540"/>
      <w:bookmarkStart w:id="260" w:name="_Toc14977"/>
      <w:bookmarkStart w:id="261" w:name="_Toc25182"/>
      <w:bookmarkStart w:id="262" w:name="_Toc19604"/>
      <w:bookmarkStart w:id="263" w:name="_Toc11284"/>
      <w:bookmarkStart w:id="264" w:name="_Toc15871"/>
      <w:r>
        <w:rPr>
          <w:rFonts w:hint="eastAsia" w:ascii="宋体" w:hAnsi="宋体" w:eastAsia="宋体" w:cs="宋体"/>
          <w:b/>
          <w:i w:val="0"/>
          <w:caps w:val="0"/>
          <w:color w:val="auto"/>
          <w:spacing w:val="0"/>
          <w:w w:val="100"/>
          <w:sz w:val="24"/>
          <w:szCs w:val="24"/>
        </w:rPr>
        <w:t>2.18 通知</w:t>
      </w:r>
      <w:bookmarkEnd w:id="255"/>
      <w:bookmarkEnd w:id="256"/>
      <w:bookmarkEnd w:id="257"/>
      <w:r>
        <w:rPr>
          <w:rFonts w:hint="eastAsia" w:ascii="宋体" w:hAnsi="宋体" w:eastAsia="宋体" w:cs="宋体"/>
          <w:b/>
          <w:i w:val="0"/>
          <w:caps w:val="0"/>
          <w:color w:val="auto"/>
          <w:spacing w:val="0"/>
          <w:w w:val="100"/>
          <w:sz w:val="24"/>
          <w:szCs w:val="24"/>
        </w:rPr>
        <w:t>和送达</w:t>
      </w:r>
      <w:bookmarkEnd w:id="258"/>
      <w:bookmarkEnd w:id="259"/>
      <w:bookmarkEnd w:id="260"/>
      <w:bookmarkEnd w:id="261"/>
      <w:bookmarkEnd w:id="262"/>
      <w:bookmarkEnd w:id="263"/>
      <w:bookmarkEnd w:id="264"/>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265" w:name="_Toc6698"/>
      <w:bookmarkStart w:id="266" w:name="_Toc3135"/>
      <w:bookmarkStart w:id="267" w:name="_Toc487900372"/>
      <w:bookmarkStart w:id="268" w:name="_Toc279701262"/>
      <w:bookmarkStart w:id="269" w:name="_Toc259093691"/>
      <w:r>
        <w:rPr>
          <w:rFonts w:hint="eastAsia" w:ascii="宋体" w:hAnsi="宋体" w:eastAsia="宋体" w:cs="宋体"/>
          <w:b w:val="0"/>
          <w:i w:val="0"/>
          <w:caps w:val="0"/>
          <w:color w:val="auto"/>
          <w:spacing w:val="0"/>
          <w:w w:val="100"/>
          <w:sz w:val="24"/>
          <w:szCs w:val="24"/>
        </w:rPr>
        <w:t>2.18.1 任何一方因履行合同而以合同第一部分尾部所列明的</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发出的所有通知、文件、材料，均视为已向对方当事人送达；任何一方变更上述送达方式或者地址的，应于</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个工作日内书面通知对方当事人，在对方当事人收到有关变更通知之前，变更前的约定送达方式或者地址仍视为有效。</w:t>
      </w:r>
      <w:bookmarkEnd w:id="265"/>
      <w:bookmarkEnd w:id="266"/>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bookmarkStart w:id="270" w:name="_Toc23128"/>
      <w:bookmarkStart w:id="271" w:name="_Toc23294"/>
      <w:r>
        <w:rPr>
          <w:rFonts w:hint="eastAsia" w:ascii="宋体" w:hAnsi="宋体" w:eastAsia="宋体" w:cs="宋体"/>
          <w:b w:val="0"/>
          <w:i w:val="0"/>
          <w:caps w:val="0"/>
          <w:color w:val="auto"/>
          <w:spacing w:val="0"/>
          <w:w w:val="100"/>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0"/>
      <w:bookmarkEnd w:id="271"/>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72" w:name="_Toc18540"/>
      <w:bookmarkStart w:id="273" w:name="_Toc4355"/>
      <w:bookmarkStart w:id="274" w:name="_Toc848"/>
      <w:bookmarkStart w:id="275" w:name="_Toc30599"/>
      <w:bookmarkStart w:id="276" w:name="_Toc16769"/>
      <w:bookmarkStart w:id="277" w:name="_Toc9916"/>
      <w:bookmarkStart w:id="278" w:name="_Toc14896"/>
      <w:r>
        <w:rPr>
          <w:rFonts w:hint="eastAsia" w:ascii="宋体" w:hAnsi="宋体" w:eastAsia="宋体" w:cs="宋体"/>
          <w:b/>
          <w:i w:val="0"/>
          <w:caps w:val="0"/>
          <w:color w:val="auto"/>
          <w:spacing w:val="0"/>
          <w:w w:val="100"/>
          <w:sz w:val="24"/>
          <w:szCs w:val="24"/>
        </w:rPr>
        <w:t>2.19 计量单位</w:t>
      </w:r>
      <w:bookmarkEnd w:id="267"/>
      <w:bookmarkEnd w:id="268"/>
      <w:bookmarkEnd w:id="269"/>
      <w:bookmarkEnd w:id="272"/>
      <w:bookmarkEnd w:id="273"/>
      <w:bookmarkEnd w:id="274"/>
      <w:bookmarkEnd w:id="275"/>
      <w:bookmarkEnd w:id="276"/>
      <w:bookmarkEnd w:id="277"/>
      <w:bookmarkEnd w:id="278"/>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除技术规范中另有规定外,合同的计量单位均使用国家法定计量单位。</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79" w:name="_Toc4647"/>
      <w:bookmarkStart w:id="280" w:name="_Toc259093692"/>
      <w:bookmarkStart w:id="281" w:name="_Toc487900373"/>
      <w:bookmarkStart w:id="282" w:name="_Toc21688"/>
      <w:bookmarkStart w:id="283" w:name="_Toc279701263"/>
      <w:bookmarkStart w:id="284" w:name="_Toc12784"/>
      <w:bookmarkStart w:id="285" w:name="_Toc18567"/>
      <w:bookmarkStart w:id="286" w:name="_Toc12773"/>
      <w:bookmarkStart w:id="287" w:name="_Toc10330"/>
      <w:r>
        <w:rPr>
          <w:rFonts w:hint="eastAsia" w:ascii="宋体" w:hAnsi="宋体" w:eastAsia="宋体" w:cs="宋体"/>
          <w:b/>
          <w:i w:val="0"/>
          <w:caps w:val="0"/>
          <w:color w:val="auto"/>
          <w:spacing w:val="0"/>
          <w:w w:val="100"/>
          <w:sz w:val="24"/>
          <w:szCs w:val="24"/>
        </w:rPr>
        <w:t>2.20 合同使用的文字和适用的法律</w:t>
      </w:r>
      <w:bookmarkEnd w:id="279"/>
      <w:bookmarkEnd w:id="280"/>
      <w:bookmarkEnd w:id="281"/>
      <w:bookmarkEnd w:id="282"/>
      <w:bookmarkEnd w:id="283"/>
      <w:bookmarkEnd w:id="284"/>
      <w:bookmarkEnd w:id="285"/>
      <w:bookmarkEnd w:id="286"/>
      <w:bookmarkEnd w:id="287"/>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2.20.1 合同使用汉语书就、变更和解释；</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2.20.2 合同适用中华人民共和国法律。</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88" w:name="_Toc12681"/>
      <w:bookmarkStart w:id="289" w:name="_Toc4674"/>
      <w:bookmarkStart w:id="290" w:name="_Toc3148"/>
      <w:bookmarkStart w:id="291" w:name="_Toc279701264"/>
      <w:bookmarkStart w:id="292" w:name="_Toc259093693"/>
      <w:bookmarkStart w:id="293" w:name="_Toc16673"/>
      <w:bookmarkStart w:id="294" w:name="_Toc12004"/>
      <w:bookmarkStart w:id="295" w:name="_Toc5694"/>
      <w:bookmarkStart w:id="296" w:name="_Toc9006"/>
      <w:r>
        <w:rPr>
          <w:rFonts w:hint="eastAsia" w:ascii="宋体" w:hAnsi="宋体" w:eastAsia="宋体" w:cs="宋体"/>
          <w:b/>
          <w:i w:val="0"/>
          <w:caps w:val="0"/>
          <w:color w:val="auto"/>
          <w:spacing w:val="0"/>
          <w:w w:val="100"/>
          <w:sz w:val="24"/>
          <w:szCs w:val="24"/>
        </w:rPr>
        <w:t>2.21 履约保证金</w:t>
      </w:r>
      <w:bookmarkEnd w:id="288"/>
      <w:bookmarkEnd w:id="289"/>
      <w:bookmarkEnd w:id="290"/>
      <w:bookmarkEnd w:id="291"/>
      <w:bookmarkEnd w:id="292"/>
      <w:bookmarkEnd w:id="293"/>
      <w:bookmarkEnd w:id="294"/>
      <w:bookmarkEnd w:id="295"/>
      <w:bookmarkEnd w:id="296"/>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2.21.1 采购文件要求乙方提交履约保证金的，乙方应按</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约定的方式，以支票、汇票、本票或者金融机构、担保机构出具的保函等非现金形式，提交不超过合同价</w:t>
      </w:r>
      <w:r>
        <w:rPr>
          <w:rFonts w:hint="eastAsia" w:ascii="宋体" w:hAnsi="宋体" w:eastAsia="宋体" w:cs="宋体"/>
          <w:b w:val="0"/>
          <w:i w:val="0"/>
          <w:caps w:val="0"/>
          <w:color w:val="auto"/>
          <w:spacing w:val="0"/>
          <w:w w:val="100"/>
          <w:sz w:val="24"/>
          <w:szCs w:val="24"/>
          <w:lang w:val="en-US" w:eastAsia="zh-CN"/>
        </w:rPr>
        <w:t>8</w:t>
      </w:r>
      <w:r>
        <w:rPr>
          <w:rFonts w:hint="eastAsia" w:ascii="宋体" w:hAnsi="宋体" w:eastAsia="宋体" w:cs="宋体"/>
          <w:b w:val="0"/>
          <w:i w:val="0"/>
          <w:caps w:val="0"/>
          <w:color w:val="auto"/>
          <w:spacing w:val="0"/>
          <w:w w:val="100"/>
          <w:sz w:val="24"/>
          <w:szCs w:val="24"/>
        </w:rPr>
        <w:t>%的履约保证金；</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2.21.2  履约保证金在</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约定期间内或者货物质量保证期内不予退还或者应完全有效，前述约定期间届满或者货物质量保证期届满之日起</w:t>
      </w:r>
      <w:r>
        <w:rPr>
          <w:rFonts w:hint="eastAsia" w:ascii="宋体" w:hAnsi="宋体" w:eastAsia="宋体" w:cs="宋体"/>
          <w:b w:val="0"/>
          <w:i w:val="0"/>
          <w:caps w:val="0"/>
          <w:color w:val="auto"/>
          <w:spacing w:val="0"/>
          <w:w w:val="100"/>
          <w:sz w:val="24"/>
          <w:szCs w:val="24"/>
          <w:u w:val="single" w:color="000000"/>
        </w:rPr>
        <w:t xml:space="preserve">  </w:t>
      </w:r>
      <w:r>
        <w:rPr>
          <w:rFonts w:hint="eastAsia" w:ascii="宋体" w:hAnsi="宋体" w:eastAsia="宋体" w:cs="宋体"/>
          <w:b w:val="0"/>
          <w:i w:val="0"/>
          <w:caps w:val="0"/>
          <w:color w:val="auto"/>
          <w:spacing w:val="0"/>
          <w:w w:val="100"/>
          <w:sz w:val="24"/>
          <w:szCs w:val="24"/>
        </w:rPr>
        <w:t>个工作日内，甲方应将履约保证金退还乙方；</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before="0" w:beforeAutospacing="0" w:after="0" w:afterAutospacing="0" w:line="560" w:lineRule="exact"/>
        <w:ind w:firstLine="482" w:firstLineChars="200"/>
        <w:jc w:val="both"/>
        <w:textAlignment w:val="baseline"/>
        <w:rPr>
          <w:rFonts w:hint="eastAsia" w:ascii="宋体" w:hAnsi="宋体" w:eastAsia="宋体" w:cs="宋体"/>
          <w:b/>
          <w:i w:val="0"/>
          <w:caps w:val="0"/>
          <w:color w:val="auto"/>
          <w:spacing w:val="0"/>
          <w:w w:val="100"/>
          <w:sz w:val="24"/>
          <w:szCs w:val="24"/>
        </w:rPr>
      </w:pPr>
      <w:bookmarkStart w:id="297" w:name="_Toc14041"/>
      <w:bookmarkStart w:id="298" w:name="_Toc19890"/>
      <w:bookmarkStart w:id="299" w:name="_Toc27063"/>
      <w:bookmarkStart w:id="300" w:name="_Toc14001"/>
      <w:bookmarkStart w:id="301" w:name="_Toc24488"/>
      <w:bookmarkStart w:id="302" w:name="_Toc6885"/>
      <w:bookmarkStart w:id="303" w:name="_Toc30308"/>
      <w:r>
        <w:rPr>
          <w:rFonts w:hint="eastAsia" w:ascii="宋体" w:hAnsi="宋体" w:eastAsia="宋体" w:cs="宋体"/>
          <w:b/>
          <w:i w:val="0"/>
          <w:caps w:val="0"/>
          <w:color w:val="auto"/>
          <w:spacing w:val="0"/>
          <w:w w:val="100"/>
          <w:sz w:val="24"/>
          <w:szCs w:val="24"/>
        </w:rPr>
        <w:t>2.22 合同份数</w:t>
      </w:r>
      <w:bookmarkEnd w:id="297"/>
      <w:bookmarkEnd w:id="298"/>
      <w:bookmarkEnd w:id="299"/>
      <w:bookmarkEnd w:id="300"/>
      <w:bookmarkEnd w:id="301"/>
      <w:bookmarkEnd w:id="302"/>
      <w:bookmarkEnd w:id="303"/>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合同份数按</w:t>
      </w:r>
      <w:r>
        <w:rPr>
          <w:rFonts w:hint="eastAsia" w:ascii="宋体" w:hAnsi="宋体" w:eastAsia="宋体" w:cs="宋体"/>
          <w:b/>
          <w:i/>
          <w:caps w:val="0"/>
          <w:color w:val="auto"/>
          <w:spacing w:val="0"/>
          <w:w w:val="100"/>
          <w:sz w:val="24"/>
          <w:szCs w:val="24"/>
          <w:u w:val="single" w:color="000000"/>
        </w:rPr>
        <w:t>合同专用条款</w:t>
      </w:r>
      <w:r>
        <w:rPr>
          <w:rFonts w:hint="eastAsia" w:ascii="宋体" w:hAnsi="宋体" w:eastAsia="宋体" w:cs="宋体"/>
          <w:b w:val="0"/>
          <w:i w:val="0"/>
          <w:caps w:val="0"/>
          <w:color w:val="auto"/>
          <w:spacing w:val="0"/>
          <w:w w:val="100"/>
          <w:sz w:val="24"/>
          <w:szCs w:val="24"/>
        </w:rPr>
        <w:t>规定，每份均具有同等法律效力。</w:t>
      </w:r>
    </w:p>
    <w:p>
      <w:pPr>
        <w:pStyle w:val="135"/>
        <w:snapToGrid w:val="0"/>
        <w:spacing w:before="0" w:beforeAutospacing="0" w:after="0" w:afterAutospacing="0" w:line="560" w:lineRule="exact"/>
        <w:ind w:firstLine="0"/>
        <w:jc w:val="center"/>
        <w:textAlignment w:val="baseline"/>
        <w:rPr>
          <w:rFonts w:hint="eastAsia" w:ascii="宋体" w:hAnsi="宋体" w:eastAsia="宋体" w:cs="宋体"/>
          <w:b/>
          <w:i w:val="0"/>
          <w:caps w:val="0"/>
          <w:color w:val="auto"/>
          <w:spacing w:val="0"/>
          <w:w w:val="100"/>
          <w:sz w:val="24"/>
        </w:rPr>
      </w:pPr>
      <w:r>
        <w:rPr>
          <w:rFonts w:hint="eastAsia" w:ascii="宋体" w:hAnsi="宋体" w:eastAsia="宋体" w:cs="宋体"/>
          <w:b w:val="0"/>
          <w:i w:val="0"/>
          <w:caps w:val="0"/>
          <w:color w:val="auto"/>
          <w:spacing w:val="0"/>
          <w:w w:val="100"/>
          <w:sz w:val="24"/>
          <w:szCs w:val="24"/>
        </w:rPr>
        <w:br w:type="page"/>
      </w:r>
      <w:r>
        <w:rPr>
          <w:rFonts w:hint="eastAsia" w:ascii="宋体" w:hAnsi="宋体" w:eastAsia="宋体" w:cs="宋体"/>
          <w:b/>
          <w:i w:val="0"/>
          <w:caps w:val="0"/>
          <w:color w:val="auto"/>
          <w:spacing w:val="0"/>
          <w:w w:val="100"/>
          <w:sz w:val="24"/>
          <w:szCs w:val="24"/>
        </w:rPr>
        <w:t>第三部分  合同专用条款</w:t>
      </w:r>
    </w:p>
    <w:p>
      <w:pPr>
        <w:snapToGrid w:val="0"/>
        <w:spacing w:before="0" w:beforeAutospacing="0" w:after="0" w:afterAutospacing="0" w:line="560" w:lineRule="exact"/>
        <w:ind w:firstLine="480" w:firstLineChars="2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13"/>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leftChars="0" w:right="0" w:firstLine="0" w:firstLineChars="0"/>
              <w:jc w:val="center"/>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条款号</w:t>
            </w:r>
          </w:p>
        </w:tc>
        <w:tc>
          <w:tcPr>
            <w:tcW w:w="7386" w:type="dxa"/>
            <w:noWrap w:val="0"/>
            <w:vAlign w:val="center"/>
          </w:tcPr>
          <w:p>
            <w:pPr>
              <w:keepNext w:val="0"/>
              <w:keepLines w:val="0"/>
              <w:suppressLineNumbers w:val="0"/>
              <w:snapToGrid w:val="0"/>
              <w:spacing w:before="0" w:beforeAutospacing="0" w:after="0" w:afterAutospacing="0" w:line="560" w:lineRule="exact"/>
              <w:ind w:left="0" w:leftChars="0" w:right="0" w:firstLine="0" w:firstLineChars="0"/>
              <w:jc w:val="center"/>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约定内容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snapToGrid/>
                <w:color w:val="auto"/>
                <w:kern w:val="2"/>
                <w:sz w:val="24"/>
                <w:szCs w:val="24"/>
                <w:lang w:val="en-US" w:eastAsia="zh-CN" w:bidi="ar-SA"/>
              </w:rPr>
              <w:t>此项目所有的设备质保期为1年（除项目约定3年质保期产品外）</w:t>
            </w:r>
            <w:r>
              <w:rPr>
                <w:rFonts w:hint="eastAsia" w:ascii="宋体" w:hAnsi="宋体" w:cs="宋体"/>
                <w:snapToGrid/>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系统建设完毕后，应完全能够稳定接入吐鲁番雪亮工程。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系统建设完毕后，应完全能够稳定接入吐鲁番视联网。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质保期内，维护设备相应时间1小时，4小时内排除故障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5.</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质保期内检修维护设备不少于四次。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6</w:t>
            </w:r>
            <w:r>
              <w:rPr>
                <w:rFonts w:hint="eastAsia" w:ascii="宋体" w:hAnsi="宋体" w:cs="宋体"/>
                <w:b w:val="0"/>
                <w:i w:val="0"/>
                <w:caps w:val="0"/>
                <w:color w:val="auto"/>
                <w:spacing w:val="0"/>
                <w:w w:val="100"/>
                <w:sz w:val="24"/>
                <w:szCs w:val="24"/>
                <w:highlight w:val="none"/>
                <w:lang w:val="en-US" w:eastAsia="zh-CN"/>
              </w:rPr>
              <w:t>.</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项目施工造成现有大楼装饰设施的破坏，维修费用自行解决。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7</w:t>
            </w:r>
            <w:r>
              <w:rPr>
                <w:rFonts w:hint="eastAsia" w:ascii="宋体" w:hAnsi="宋体" w:cs="宋体"/>
                <w:b w:val="0"/>
                <w:i w:val="0"/>
                <w:caps w:val="0"/>
                <w:color w:val="auto"/>
                <w:spacing w:val="0"/>
                <w:w w:val="100"/>
                <w:sz w:val="24"/>
                <w:szCs w:val="24"/>
                <w:highlight w:val="none"/>
                <w:lang w:val="en-US" w:eastAsia="zh-CN"/>
              </w:rPr>
              <w:t>.</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项目施工不能影响传媒中心的安全生产，或影响用电。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8</w:t>
            </w:r>
            <w:r>
              <w:rPr>
                <w:rFonts w:hint="eastAsia" w:ascii="宋体" w:hAnsi="宋体" w:cs="宋体"/>
                <w:b w:val="0"/>
                <w:i w:val="0"/>
                <w:caps w:val="0"/>
                <w:color w:val="auto"/>
                <w:spacing w:val="0"/>
                <w:w w:val="100"/>
                <w:sz w:val="24"/>
                <w:szCs w:val="24"/>
                <w:highlight w:val="none"/>
                <w:lang w:val="en-US" w:eastAsia="zh-CN"/>
              </w:rPr>
              <w:t>.</w:t>
            </w:r>
          </w:p>
        </w:tc>
        <w:tc>
          <w:tcPr>
            <w:tcW w:w="73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中标方承担项目施工中安全的全部责任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none"/>
                <w:lang w:val="en-US" w:eastAsia="zh-CN"/>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13"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c>
          <w:tcPr>
            <w:tcW w:w="7386" w:type="dxa"/>
            <w:noWrap w:val="0"/>
            <w:vAlign w:val="center"/>
          </w:tcPr>
          <w:p>
            <w:pPr>
              <w:keepNext w:val="0"/>
              <w:keepLines w:val="0"/>
              <w:suppressLineNumbers w:val="0"/>
              <w:snapToGrid w:val="0"/>
              <w:spacing w:before="0" w:beforeAutospacing="0" w:after="0" w:afterAutospacing="0" w:line="560" w:lineRule="exact"/>
              <w:ind w:left="0" w:right="0"/>
              <w:jc w:val="both"/>
              <w:textAlignment w:val="baseline"/>
              <w:rPr>
                <w:rFonts w:hint="eastAsia" w:ascii="宋体" w:hAnsi="宋体" w:eastAsia="宋体" w:cs="宋体"/>
                <w:b w:val="0"/>
                <w:i w:val="0"/>
                <w:caps w:val="0"/>
                <w:color w:val="auto"/>
                <w:spacing w:val="0"/>
                <w:w w:val="100"/>
                <w:sz w:val="24"/>
                <w:szCs w:val="24"/>
                <w:highlight w:val="yellow"/>
              </w:rPr>
            </w:pPr>
          </w:p>
        </w:tc>
      </w:tr>
    </w:tbl>
    <w:p>
      <w:pPr>
        <w:pStyle w:val="2"/>
        <w:snapToGrid w:val="0"/>
        <w:spacing w:before="0" w:beforeAutospacing="0" w:after="0" w:afterAutospacing="0" w:line="240" w:lineRule="auto"/>
        <w:ind w:firstLine="420"/>
        <w:jc w:val="both"/>
        <w:textAlignment w:val="baseline"/>
        <w:rPr>
          <w:rStyle w:val="55"/>
          <w:rFonts w:ascii="宋体" w:hAnsi="宋体" w:eastAsia="宋体" w:cs="宋体"/>
          <w:b/>
          <w:bCs/>
          <w:i w:val="0"/>
          <w:caps w:val="0"/>
          <w:color w:val="auto"/>
          <w:spacing w:val="0"/>
          <w:w w:val="100"/>
          <w:kern w:val="44"/>
          <w:sz w:val="44"/>
          <w:szCs w:val="44"/>
        </w:rPr>
      </w:pPr>
    </w:p>
    <w:p>
      <w:pPr>
        <w:snapToGrid w:val="0"/>
        <w:spacing w:before="0" w:beforeAutospacing="0" w:after="0" w:afterAutospacing="0" w:line="240" w:lineRule="auto"/>
        <w:jc w:val="both"/>
        <w:textAlignment w:val="baseline"/>
        <w:rPr>
          <w:rStyle w:val="55"/>
          <w:rFonts w:ascii="宋体" w:hAnsi="宋体" w:cs="宋体"/>
          <w:b/>
          <w:i w:val="0"/>
          <w:caps w:val="0"/>
          <w:color w:val="auto"/>
          <w:spacing w:val="0"/>
          <w:w w:val="100"/>
          <w:sz w:val="44"/>
        </w:rPr>
      </w:pPr>
    </w:p>
    <w:p>
      <w:pPr>
        <w:pStyle w:val="2"/>
        <w:snapToGrid w:val="0"/>
        <w:spacing w:before="0" w:beforeAutospacing="0" w:after="0" w:afterAutospacing="0" w:line="240" w:lineRule="auto"/>
        <w:ind w:firstLine="420"/>
        <w:jc w:val="both"/>
        <w:textAlignment w:val="baseline"/>
        <w:rPr>
          <w:rStyle w:val="55"/>
          <w:rFonts w:ascii="宋体" w:hAnsi="宋体" w:eastAsia="宋体" w:cs="宋体"/>
          <w:b/>
          <w:i w:val="0"/>
          <w:caps w:val="0"/>
          <w:color w:val="auto"/>
          <w:spacing w:val="0"/>
          <w:w w:val="100"/>
          <w:sz w:val="44"/>
        </w:rPr>
      </w:pPr>
    </w:p>
    <w:p>
      <w:pPr>
        <w:pStyle w:val="42"/>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color w:val="auto"/>
          <w:sz w:val="36"/>
          <w:szCs w:val="36"/>
        </w:rPr>
        <w:br w:type="page"/>
      </w:r>
      <w:bookmarkStart w:id="304" w:name="_Toc4955"/>
      <w:bookmarkStart w:id="305" w:name="_Toc31586"/>
      <w:bookmarkStart w:id="306" w:name="_Toc18068"/>
      <w:bookmarkStart w:id="307" w:name="_Toc16148"/>
      <w:r>
        <w:rPr>
          <w:rFonts w:hint="eastAsia" w:ascii="宋体" w:hAnsi="宋体" w:eastAsia="宋体" w:cs="宋体"/>
          <w:b/>
          <w:bCs/>
          <w:color w:val="auto"/>
          <w:sz w:val="32"/>
          <w:szCs w:val="32"/>
          <w:lang w:val="en-US" w:eastAsia="zh-CN"/>
        </w:rPr>
        <w:t xml:space="preserve">第五部分 </w:t>
      </w:r>
      <w:r>
        <w:rPr>
          <w:rFonts w:hint="eastAsia" w:ascii="宋体" w:hAnsi="宋体" w:eastAsia="宋体" w:cs="宋体"/>
          <w:b/>
          <w:bCs/>
          <w:color w:val="auto"/>
          <w:kern w:val="2"/>
          <w:sz w:val="32"/>
          <w:szCs w:val="32"/>
          <w:lang w:val="en-US" w:eastAsia="zh-CN" w:bidi="ar-SA"/>
        </w:rPr>
        <w:t>评审标准</w:t>
      </w:r>
      <w:bookmarkEnd w:id="304"/>
      <w:bookmarkEnd w:id="305"/>
      <w:bookmarkEnd w:id="306"/>
      <w:bookmarkEnd w:id="307"/>
    </w:p>
    <w:p>
      <w:pPr>
        <w:pStyle w:val="42"/>
        <w:widowControl/>
        <w:spacing w:before="0" w:beforeLines="0" w:beforeAutospacing="0" w:after="0" w:afterLines="0" w:afterAutospacing="0"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一、评审</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2、谈判小组所有成员应当集中与单一供应商分别进行谈判，并给予所有参加谈判的供应商平等的谈判机会。</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3、在谈判过程中，谈判小组可以根据谈判文件和谈判情况实质性变动采购需求中的技术、服务要求以及合同草案条款，但不得变动谈判文件中的其他内容。实质性变动的内容，须经采购人代表确认。</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4、对谈判文件作出的实质性变动是谈判文件的有效组成部分，谈判小组应当及时以书面形式同时通知所有参加谈判的供应商。</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6、谈判文件能够详细列明采购标的的技术、服务要求的，谈判结束后，谈判小组应当要求所有继续参加谈判的供应商在规定时间内提交最后报价，提交最后报价的供应商不得少于3家。</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谈判文件不能详细列明采购标的的技术、服务要求，需经谈判由供应商提供最终供货方案或解决方案的，谈判结束后，谈判小组应当按照少数服从多数的原则投票推荐3家以上供应商的供货方案或者解决方案，并要求其在规定时间内提交最后报价。</w:t>
      </w:r>
    </w:p>
    <w:p>
      <w:pPr>
        <w:pStyle w:val="42"/>
        <w:widowControl/>
        <w:spacing w:before="0" w:beforeLines="0" w:beforeAutospacing="0" w:after="0" w:afterLines="0" w:afterAutospacing="0"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最后报价是供应商响应文件的有效组成部分。</w:t>
      </w:r>
    </w:p>
    <w:p>
      <w:pPr>
        <w:pStyle w:val="42"/>
        <w:widowControl/>
        <w:spacing w:before="0" w:beforeLines="0" w:beforeAutospacing="0" w:after="0" w:afterLines="0" w:afterAutospacing="0"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二、评标标准</w:t>
      </w:r>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bookmarkStart w:id="308" w:name="_Toc8526"/>
      <w:r>
        <w:rPr>
          <w:rFonts w:hint="eastAsia" w:ascii="宋体" w:hAnsi="宋体" w:eastAsia="宋体" w:cs="宋体"/>
          <w:color w:val="auto"/>
          <w:kern w:val="2"/>
          <w:sz w:val="24"/>
          <w:szCs w:val="24"/>
          <w:highlight w:val="none"/>
          <w:lang w:val="en-US" w:eastAsia="zh-CN"/>
        </w:rPr>
        <w:t>附表1、   供应商资格审查</w:t>
      </w:r>
      <w:bookmarkEnd w:id="308"/>
    </w:p>
    <w:p>
      <w:pPr>
        <w:pStyle w:val="42"/>
        <w:widowControl/>
        <w:spacing w:before="0" w:beforeLines="0" w:beforeAutospacing="0" w:after="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bookmarkStart w:id="309" w:name="_Toc30213"/>
      <w:r>
        <w:rPr>
          <w:rFonts w:hint="eastAsia" w:ascii="宋体" w:hAnsi="宋体" w:eastAsia="宋体" w:cs="宋体"/>
          <w:color w:val="auto"/>
          <w:kern w:val="2"/>
          <w:sz w:val="24"/>
          <w:szCs w:val="24"/>
          <w:highlight w:val="none"/>
          <w:lang w:val="en-US" w:eastAsia="zh-CN"/>
        </w:rPr>
        <w:t>附表2、   谈判响应文件评审表</w:t>
      </w:r>
      <w:bookmarkEnd w:id="309"/>
    </w:p>
    <w:p>
      <w:pPr>
        <w:pStyle w:val="37"/>
        <w:pageBreakBefore w:val="0"/>
        <w:widowControl w:val="0"/>
        <w:kinsoku/>
        <w:wordWrap/>
        <w:overflowPunct/>
        <w:topLinePunct w:val="0"/>
        <w:autoSpaceDE/>
        <w:autoSpaceDN/>
        <w:bidi w:val="0"/>
        <w:adjustRightInd/>
        <w:spacing w:before="120" w:line="360" w:lineRule="auto"/>
        <w:ind w:left="0" w:leftChars="0" w:firstLine="0" w:firstLineChars="0"/>
        <w:jc w:val="both"/>
        <w:textAlignment w:val="auto"/>
        <w:outlineLvl w:val="0"/>
        <w:rPr>
          <w:rFonts w:hint="eastAsia" w:ascii="宋体" w:hAnsi="宋体" w:eastAsia="宋体" w:cs="宋体"/>
          <w:color w:val="auto"/>
          <w:sz w:val="24"/>
          <w:szCs w:val="24"/>
        </w:rPr>
      </w:pPr>
      <w:bookmarkStart w:id="310" w:name="_Toc5595"/>
      <w:r>
        <w:rPr>
          <w:rFonts w:hint="eastAsia" w:ascii="宋体" w:hAnsi="宋体" w:eastAsia="宋体" w:cs="宋体"/>
          <w:color w:val="auto"/>
          <w:sz w:val="24"/>
          <w:szCs w:val="24"/>
          <w:lang w:eastAsia="zh-CN"/>
        </w:rPr>
        <w:br w:type="page"/>
      </w: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1</w:t>
      </w:r>
      <w:bookmarkEnd w:id="310"/>
    </w:p>
    <w:p>
      <w:pPr>
        <w:pStyle w:val="5"/>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b/>
          <w:i w:val="0"/>
          <w:color w:val="auto"/>
          <w:kern w:val="0"/>
          <w:sz w:val="32"/>
          <w:szCs w:val="32"/>
          <w:u w:val="none"/>
          <w:lang w:val="en-US" w:eastAsia="zh-CN" w:bidi="ar"/>
        </w:rPr>
      </w:pPr>
      <w:bookmarkStart w:id="311" w:name="_Toc4899"/>
      <w:r>
        <w:rPr>
          <w:rFonts w:hint="eastAsia" w:ascii="宋体" w:hAnsi="宋体" w:eastAsia="宋体" w:cs="宋体"/>
          <w:b/>
          <w:i w:val="0"/>
          <w:color w:val="auto"/>
          <w:kern w:val="0"/>
          <w:sz w:val="32"/>
          <w:szCs w:val="32"/>
          <w:u w:val="none"/>
          <w:lang w:val="en-US" w:eastAsia="zh-CN" w:bidi="ar"/>
        </w:rPr>
        <w:t>资格审查表</w:t>
      </w:r>
      <w:bookmarkEnd w:id="311"/>
    </w:p>
    <w:tbl>
      <w:tblPr>
        <w:tblStyle w:val="45"/>
        <w:tblW w:w="99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465"/>
        <w:gridCol w:w="837"/>
        <w:gridCol w:w="943"/>
        <w:gridCol w:w="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335"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2627" w:type="dxa"/>
            <w:gridSpan w:val="3"/>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提供营业执照</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default"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2</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社保部门近3个月（任意1月）缴纳社保证明（社保缴费凭证）</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eastAsia" w:ascii="宋体" w:hAnsi="宋体" w:eastAsia="宋体" w:cs="宋体"/>
                <w:color w:val="auto"/>
                <w:spacing w:val="-2"/>
                <w:kern w:val="2"/>
                <w:sz w:val="24"/>
                <w:szCs w:val="24"/>
                <w:lang w:val="en-US" w:eastAsia="zh-CN" w:bidi="ar-SA"/>
              </w:rPr>
            </w:pPr>
            <w:r>
              <w:rPr>
                <w:rFonts w:hint="eastAsia" w:ascii="宋体" w:hAnsi="宋体" w:cs="宋体"/>
                <w:color w:val="auto"/>
                <w:spacing w:val="-2"/>
                <w:sz w:val="24"/>
                <w:szCs w:val="24"/>
                <w:lang w:val="en-US" w:eastAsia="zh-CN"/>
              </w:rPr>
              <w:t>3</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2022年财务报告或银行资信证明</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依法缴纳税收良好记录证明（税务部门出具的近3月（任意1月）完税凭证或缴税证明或银行出具的“银行电子缴税付款凭证”）</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凡拟参加本次采购项目的供应商还须提供“参加政府采购活动前3年内在经营活动中没有重大违法记录的书面声明函”</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企业负责人为同一人或者存在直接控股、管理关系的不同供应商，不得参加同一合同项下的政府采购活动，否则，皆取消谈判资格；</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凡拟参加本次采购项目的供应商，近三年内（本项目投标截止期前）存在下述条件中的任意一项将拒绝其参加本次采购活动：</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1）“信用中国网（www.creditchina.gov.cn）”被列入失信被执行人、重大税收违法失信主体、政府采购严重违法失信行为记录名单（尚在处罚期内的）；（查询信用报告）</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2）“中国政府采购网（www.ccgp.gov.cn）”被列入政府采购严重违法失信行为记录名单的（尚在处罚期内的）；企业信用信息公示系统无尚在处罚期内的重大违法记录。</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auto"/>
                <w:spacing w:val="-2"/>
                <w:sz w:val="24"/>
                <w:szCs w:val="24"/>
                <w:lang w:val="en-US" w:eastAsia="zh-CN"/>
              </w:rPr>
              <w:t>8</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是否按谈判文件要求缴纳保证金或保函</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auto"/>
                <w:spacing w:val="-2"/>
                <w:sz w:val="24"/>
                <w:szCs w:val="24"/>
                <w:lang w:val="en-US" w:eastAsia="zh-CN"/>
              </w:rPr>
              <w:t>9</w:t>
            </w:r>
          </w:p>
        </w:tc>
        <w:tc>
          <w:tcPr>
            <w:tcW w:w="6465"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是否提供中小企业声明函</w:t>
            </w:r>
          </w:p>
        </w:tc>
        <w:tc>
          <w:tcPr>
            <w:tcW w:w="83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172" w:type="dxa"/>
            <w:gridSpan w:val="3"/>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结论：通过评审打“√”       未通过评审打“×”</w:t>
            </w:r>
          </w:p>
        </w:tc>
        <w:tc>
          <w:tcPr>
            <w:tcW w:w="943"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c>
          <w:tcPr>
            <w:tcW w:w="847"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rPr>
                <w:rFonts w:hint="eastAsia" w:ascii="宋体" w:hAnsi="宋体" w:eastAsia="宋体" w:cs="宋体"/>
                <w:color w:val="auto"/>
                <w:sz w:val="24"/>
                <w:szCs w:val="24"/>
              </w:rPr>
            </w:pPr>
          </w:p>
        </w:tc>
      </w:tr>
    </w:tbl>
    <w:p>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注：</w:t>
      </w:r>
      <w:r>
        <w:rPr>
          <w:rFonts w:hint="eastAsia" w:ascii="宋体" w:hAnsi="宋体" w:eastAsia="宋体" w:cs="宋体"/>
          <w:b/>
          <w:bCs/>
          <w:color w:val="auto"/>
          <w:kern w:val="0"/>
          <w:sz w:val="24"/>
          <w:szCs w:val="24"/>
          <w:lang w:eastAsia="zh-CN"/>
        </w:rPr>
        <w:t>供应商</w:t>
      </w:r>
      <w:r>
        <w:rPr>
          <w:rFonts w:hint="eastAsia" w:ascii="宋体" w:hAnsi="宋体" w:eastAsia="宋体" w:cs="宋体"/>
          <w:b/>
          <w:bCs/>
          <w:color w:val="auto"/>
          <w:kern w:val="0"/>
          <w:sz w:val="24"/>
          <w:szCs w:val="24"/>
        </w:rPr>
        <w:t>有一项未通过不得参与下阶段评审，视为废标。</w:t>
      </w:r>
    </w:p>
    <w:p>
      <w:pPr>
        <w:pStyle w:val="2"/>
        <w:keepNext w:val="0"/>
        <w:keepLines w:val="0"/>
        <w:pageBreakBefore w:val="0"/>
        <w:kinsoku/>
        <w:wordWrap/>
        <w:overflowPunct/>
        <w:topLinePunct w:val="0"/>
        <w:autoSpaceDE/>
        <w:autoSpaceDN/>
        <w:bidi w:val="0"/>
        <w:adjustRightInd/>
        <w:snapToGrid w:val="0"/>
        <w:spacing w:line="360" w:lineRule="auto"/>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说明：以上证件除特殊标注外均须为原件</w:t>
      </w:r>
      <w:r>
        <w:rPr>
          <w:rFonts w:hint="eastAsia" w:ascii="宋体" w:hAnsi="宋体" w:eastAsia="宋体" w:cs="宋体"/>
          <w:b/>
          <w:bCs/>
          <w:color w:val="auto"/>
          <w:sz w:val="24"/>
          <w:szCs w:val="24"/>
          <w:lang w:val="en-US" w:eastAsia="zh-CN"/>
        </w:rPr>
        <w:t>的扫描件并加盖公章</w:t>
      </w:r>
      <w:r>
        <w:rPr>
          <w:rFonts w:hint="eastAsia" w:ascii="宋体" w:hAnsi="宋体" w:eastAsia="宋体" w:cs="宋体"/>
          <w:b/>
          <w:bCs/>
          <w:color w:val="auto"/>
          <w:sz w:val="24"/>
          <w:szCs w:val="24"/>
        </w:rPr>
        <w:t>；未通过资格审查的报价人将拒绝进行下一阶段评审！请</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特别注意！</w:t>
      </w:r>
    </w:p>
    <w:p>
      <w:pPr>
        <w:pStyle w:val="37"/>
        <w:keepNext w:val="0"/>
        <w:keepLines w:val="0"/>
        <w:pageBreakBefore w:val="0"/>
        <w:kinsoku/>
        <w:wordWrap/>
        <w:overflowPunct/>
        <w:topLinePunct w:val="0"/>
        <w:autoSpaceDE/>
        <w:autoSpaceDN/>
        <w:bidi w:val="0"/>
        <w:adjustRightInd/>
        <w:snapToGrid w:val="0"/>
        <w:spacing w:before="120" w:line="360" w:lineRule="auto"/>
        <w:ind w:left="0" w:leftChars="0" w:firstLine="0" w:firstLineChars="0"/>
        <w:jc w:val="both"/>
        <w:outlineLvl w:val="0"/>
        <w:rPr>
          <w:rFonts w:hint="eastAsia" w:ascii="宋体" w:hAnsi="宋体" w:eastAsia="宋体" w:cs="宋体"/>
          <w:color w:val="auto"/>
          <w:sz w:val="24"/>
          <w:szCs w:val="24"/>
        </w:rPr>
      </w:pPr>
      <w:bookmarkStart w:id="312" w:name="_Toc27603"/>
      <w:r>
        <w:rPr>
          <w:rFonts w:hint="eastAsia" w:ascii="宋体" w:hAnsi="宋体" w:eastAsia="宋体" w:cs="宋体"/>
          <w:color w:val="auto"/>
          <w:sz w:val="24"/>
          <w:szCs w:val="24"/>
          <w:lang w:eastAsia="zh-CN"/>
        </w:rPr>
        <w:br w:type="page"/>
      </w: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2</w:t>
      </w:r>
      <w:bookmarkEnd w:id="312"/>
    </w:p>
    <w:p>
      <w:pPr>
        <w:pStyle w:val="2"/>
        <w:ind w:firstLine="0"/>
        <w:jc w:val="center"/>
        <w:rPr>
          <w:rFonts w:hint="default" w:ascii="宋体" w:hAnsi="宋体" w:eastAsia="宋体" w:cs="宋体"/>
          <w:b/>
          <w:bCs/>
          <w:color w:val="auto"/>
          <w:sz w:val="24"/>
          <w:szCs w:val="24"/>
          <w:lang w:val="en-US"/>
        </w:rPr>
      </w:pPr>
      <w:r>
        <w:rPr>
          <w:rFonts w:hint="eastAsia" w:ascii="宋体" w:hAnsi="宋体" w:eastAsia="宋体" w:cs="宋体"/>
          <w:b/>
          <w:bCs/>
          <w:color w:val="auto"/>
          <w:kern w:val="0"/>
          <w:sz w:val="32"/>
          <w:szCs w:val="32"/>
          <w:highlight w:val="none"/>
          <w:lang w:val="en-US" w:eastAsia="zh-CN" w:bidi="ar"/>
        </w:rPr>
        <w:t>谈判响应文件评审表-符合性审查</w:t>
      </w:r>
    </w:p>
    <w:tbl>
      <w:tblPr>
        <w:tblStyle w:val="45"/>
        <w:tblpPr w:leftFromText="180" w:rightFromText="180" w:vertAnchor="text" w:horzAnchor="page" w:tblpXSpec="center" w:tblpY="16"/>
        <w:tblOverlap w:val="never"/>
        <w:tblW w:w="9776" w:type="dxa"/>
        <w:jc w:val="center"/>
        <w:tblLayout w:type="fixed"/>
        <w:tblCellMar>
          <w:top w:w="15" w:type="dxa"/>
          <w:left w:w="15" w:type="dxa"/>
          <w:bottom w:w="15" w:type="dxa"/>
          <w:right w:w="15" w:type="dxa"/>
        </w:tblCellMar>
      </w:tblPr>
      <w:tblGrid>
        <w:gridCol w:w="740"/>
        <w:gridCol w:w="6261"/>
        <w:gridCol w:w="2775"/>
      </w:tblGrid>
      <w:tr>
        <w:tblPrEx>
          <w:tblCellMar>
            <w:top w:w="15" w:type="dxa"/>
            <w:left w:w="15" w:type="dxa"/>
            <w:bottom w:w="15" w:type="dxa"/>
            <w:right w:w="15" w:type="dxa"/>
          </w:tblCellMar>
        </w:tblPrEx>
        <w:trPr>
          <w:trHeight w:val="9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序号</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评审内容</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0"/>
                <w:sz w:val="24"/>
                <w:szCs w:val="24"/>
                <w:highlight w:val="none"/>
                <w:lang w:val="en-US" w:eastAsia="zh-CN" w:bidi="ar"/>
              </w:rPr>
              <w:t>谈判响应文件签字或盖章是否满足谈判文件要求；</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leftChars="0" w:right="62" w:righ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谈判响应文件是否按谈判文件要求编制，内容是否全面或字迹是否模糊、辨认不清的；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谈判响应文件是否齐全或者内容无虚假的；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0" w:leftChars="0" w:right="62" w:rightChars="0" w:firstLine="0" w:firstLine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0"/>
                <w:sz w:val="24"/>
                <w:szCs w:val="24"/>
                <w:highlight w:val="none"/>
                <w:lang w:val="en-US" w:eastAsia="zh-CN" w:bidi="ar"/>
              </w:rPr>
              <w:t>谈判响应文件记载的采购项目供货期是否满足谈判文件规定的供货期；</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谈判有效期是否满足谈判文件要求的；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有效报价且未超过政府采购预算金额；</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是否满足实质性参数要求、质量指标和服务要求；</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商务条款是否有偏离情况的；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谈判响应文件是否附有</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人不能接受条件的；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r>
        <w:tblPrEx>
          <w:tblCellMar>
            <w:top w:w="15" w:type="dxa"/>
            <w:left w:w="15" w:type="dxa"/>
            <w:bottom w:w="15" w:type="dxa"/>
            <w:right w:w="15" w:type="dxa"/>
          </w:tblCellMar>
        </w:tblPrEx>
        <w:trPr>
          <w:trHeight w:val="71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10</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是否满足谈判文件实质性要求的其他情形；</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240" w:lineRule="auto"/>
              <w:ind w:left="120" w:leftChars="0" w:right="62" w:rightChars="0" w:hanging="120" w:hangingChars="50"/>
              <w:rPr>
                <w:rFonts w:hint="eastAsia" w:ascii="宋体" w:hAnsi="宋体" w:eastAsia="宋体" w:cs="宋体"/>
                <w:color w:val="auto"/>
                <w:kern w:val="2"/>
                <w:sz w:val="24"/>
                <w:szCs w:val="24"/>
                <w:lang w:val="en-US" w:eastAsia="zh-CN"/>
              </w:rPr>
            </w:pPr>
          </w:p>
        </w:tc>
      </w:tr>
    </w:tbl>
    <w:p>
      <w:pPr>
        <w:pStyle w:val="2"/>
        <w:ind w:firstLine="0"/>
        <w:rPr>
          <w:rFonts w:hint="eastAsia" w:ascii="宋体" w:hAnsi="宋体" w:eastAsia="宋体" w:cs="宋体"/>
          <w:b/>
          <w:bCs/>
          <w:color w:val="auto"/>
          <w:sz w:val="24"/>
          <w:szCs w:val="24"/>
        </w:rPr>
      </w:pPr>
    </w:p>
    <w:p>
      <w:pPr>
        <w:pStyle w:val="2"/>
        <w:ind w:firstLine="0"/>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有一项未通过不得参与下阶段评审，视为</w:t>
      </w:r>
      <w:r>
        <w:rPr>
          <w:rFonts w:hint="eastAsia" w:ascii="宋体" w:hAnsi="宋体" w:eastAsia="宋体" w:cs="宋体"/>
          <w:b/>
          <w:bCs/>
          <w:color w:val="auto"/>
          <w:sz w:val="24"/>
          <w:szCs w:val="24"/>
          <w:lang w:val="en-US" w:eastAsia="zh-CN"/>
        </w:rPr>
        <w:t>投标无效</w:t>
      </w:r>
      <w:r>
        <w:rPr>
          <w:rFonts w:hint="eastAsia" w:ascii="宋体" w:hAnsi="宋体" w:eastAsia="宋体" w:cs="宋体"/>
          <w:b/>
          <w:bCs/>
          <w:color w:val="auto"/>
          <w:sz w:val="24"/>
          <w:szCs w:val="24"/>
        </w:rPr>
        <w:t>。</w:t>
      </w:r>
    </w:p>
    <w:p>
      <w:pPr>
        <w:pStyle w:val="5"/>
        <w:numPr>
          <w:ilvl w:val="2"/>
          <w:numId w:val="0"/>
        </w:numPr>
        <w:spacing w:before="0" w:beforeLines="0" w:after="0" w:afterLines="0" w:line="240" w:lineRule="auto"/>
        <w:jc w:val="center"/>
        <w:outlineLvl w:val="0"/>
        <w:rPr>
          <w:rFonts w:hint="eastAsia" w:ascii="宋体" w:hAnsi="宋体" w:eastAsia="宋体" w:cs="宋体"/>
          <w:color w:val="auto"/>
          <w:sz w:val="52"/>
          <w:szCs w:val="52"/>
        </w:rPr>
      </w:pPr>
      <w:r>
        <w:rPr>
          <w:rFonts w:hint="eastAsia" w:ascii="宋体" w:hAnsi="宋体" w:eastAsia="宋体" w:cs="宋体"/>
          <w:color w:val="auto"/>
          <w:sz w:val="36"/>
          <w:szCs w:val="36"/>
        </w:rPr>
        <w:br w:type="page"/>
      </w:r>
      <w:r>
        <w:rPr>
          <w:rFonts w:hint="eastAsia" w:ascii="宋体" w:hAnsi="宋体" w:eastAsia="宋体" w:cs="宋体"/>
          <w:b/>
          <w:bCs/>
          <w:color w:val="auto"/>
          <w:sz w:val="44"/>
          <w:szCs w:val="44"/>
          <w:lang w:val="en-US" w:eastAsia="zh-CN" w:bidi="ar-SA"/>
        </w:rPr>
        <w:t>第六部分 谈判响应文件格式</w:t>
      </w:r>
      <w:bookmarkEnd w:id="22"/>
      <w:bookmarkEnd w:id="23"/>
    </w:p>
    <w:p>
      <w:pPr>
        <w:adjustRightInd w:val="0"/>
        <w:snapToGrid w:val="0"/>
        <w:spacing w:line="500" w:lineRule="atLeast"/>
        <w:rPr>
          <w:rFonts w:hint="eastAsia" w:ascii="宋体" w:hAnsi="宋体" w:eastAsia="宋体" w:cs="宋体"/>
          <w:color w:val="auto"/>
          <w:sz w:val="24"/>
          <w:u w:val="single"/>
        </w:rPr>
      </w:pPr>
    </w:p>
    <w:p>
      <w:pPr>
        <w:adjustRightInd w:val="0"/>
        <w:snapToGrid w:val="0"/>
        <w:spacing w:line="500" w:lineRule="atLeast"/>
        <w:rPr>
          <w:rFonts w:hint="eastAsia" w:ascii="宋体" w:hAnsi="宋体" w:eastAsia="宋体" w:cs="宋体"/>
          <w:color w:val="auto"/>
          <w:sz w:val="24"/>
          <w:u w:val="single"/>
        </w:rPr>
      </w:pPr>
    </w:p>
    <w:p>
      <w:pPr>
        <w:adjustRightInd w:val="0"/>
        <w:snapToGrid w:val="0"/>
        <w:spacing w:line="500" w:lineRule="atLeast"/>
        <w:rPr>
          <w:rFonts w:hint="eastAsia" w:ascii="宋体" w:hAnsi="宋体" w:eastAsia="宋体" w:cs="宋体"/>
          <w:color w:val="auto"/>
          <w:sz w:val="24"/>
          <w:u w:val="single"/>
        </w:rPr>
      </w:pPr>
    </w:p>
    <w:p>
      <w:pPr>
        <w:adjustRightInd w:val="0"/>
        <w:snapToGrid w:val="0"/>
        <w:spacing w:line="500" w:lineRule="atLeast"/>
        <w:jc w:val="center"/>
        <w:outlineLvl w:val="0"/>
        <w:rPr>
          <w:rFonts w:hint="eastAsia" w:ascii="宋体" w:hAnsi="宋体" w:eastAsia="宋体" w:cs="宋体"/>
          <w:color w:val="auto"/>
          <w:sz w:val="32"/>
        </w:rPr>
      </w:pPr>
      <w:r>
        <w:rPr>
          <w:rFonts w:hint="eastAsia" w:ascii="宋体" w:hAnsi="宋体" w:eastAsia="宋体" w:cs="宋体"/>
          <w:color w:val="auto"/>
          <w:sz w:val="32"/>
          <w:u w:val="single"/>
        </w:rPr>
        <w:t xml:space="preserve">                            </w:t>
      </w:r>
      <w:bookmarkStart w:id="313" w:name="_Toc28533"/>
      <w:r>
        <w:rPr>
          <w:rFonts w:hint="eastAsia" w:ascii="宋体" w:hAnsi="宋体" w:eastAsia="宋体" w:cs="宋体"/>
          <w:color w:val="auto"/>
          <w:sz w:val="32"/>
        </w:rPr>
        <w:t>项目</w:t>
      </w:r>
      <w:bookmarkEnd w:id="313"/>
    </w:p>
    <w:p>
      <w:pPr>
        <w:adjustRightInd w:val="0"/>
        <w:snapToGrid w:val="0"/>
        <w:spacing w:line="500" w:lineRule="atLeast"/>
        <w:jc w:val="center"/>
        <w:rPr>
          <w:rFonts w:hint="eastAsia" w:ascii="宋体" w:hAnsi="宋体" w:eastAsia="宋体" w:cs="宋体"/>
          <w:b/>
          <w:bCs/>
          <w:color w:val="auto"/>
          <w:sz w:val="24"/>
        </w:rPr>
      </w:pPr>
    </w:p>
    <w:p>
      <w:pPr>
        <w:adjustRightInd w:val="0"/>
        <w:snapToGrid w:val="0"/>
        <w:spacing w:line="500" w:lineRule="atLeast"/>
        <w:ind w:left="0" w:leftChars="0" w:firstLine="0" w:firstLineChars="0"/>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谈判响应文件</w:t>
      </w:r>
    </w:p>
    <w:p>
      <w:pPr>
        <w:adjustRightInd w:val="0"/>
        <w:snapToGrid w:val="0"/>
        <w:spacing w:line="500" w:lineRule="atLeast"/>
        <w:jc w:val="center"/>
        <w:outlineLvl w:val="0"/>
        <w:rPr>
          <w:rFonts w:hint="eastAsia" w:ascii="宋体" w:hAnsi="宋体" w:eastAsia="宋体" w:cs="宋体"/>
          <w:color w:val="auto"/>
          <w:sz w:val="32"/>
          <w:szCs w:val="32"/>
        </w:rPr>
      </w:pPr>
      <w:bookmarkStart w:id="314" w:name="_Toc30813"/>
      <w:r>
        <w:rPr>
          <w:rFonts w:hint="eastAsia" w:ascii="宋体" w:hAnsi="宋体" w:eastAsia="宋体" w:cs="宋体"/>
          <w:color w:val="auto"/>
          <w:sz w:val="32"/>
          <w:szCs w:val="32"/>
        </w:rPr>
        <w:t>（采购编号：         ）</w:t>
      </w:r>
      <w:bookmarkEnd w:id="314"/>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rPr>
          <w:rFonts w:hint="eastAsia" w:ascii="宋体" w:hAnsi="宋体" w:eastAsia="宋体" w:cs="宋体"/>
          <w:color w:val="auto"/>
          <w:sz w:val="24"/>
        </w:rPr>
      </w:pPr>
      <w:r>
        <w:rPr>
          <w:rFonts w:hint="eastAsia" w:ascii="宋体" w:hAnsi="宋体" w:eastAsia="宋体" w:cs="宋体"/>
          <w:color w:val="auto"/>
          <w:sz w:val="24"/>
        </w:rPr>
        <w:t xml:space="preserve">                                       </w:t>
      </w: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jc w:val="center"/>
        <w:rPr>
          <w:rFonts w:hint="eastAsia" w:ascii="宋体" w:hAnsi="宋体" w:eastAsia="宋体" w:cs="宋体"/>
          <w:color w:val="auto"/>
          <w:sz w:val="24"/>
        </w:rPr>
      </w:pPr>
    </w:p>
    <w:p>
      <w:pPr>
        <w:adjustRightInd w:val="0"/>
        <w:snapToGrid w:val="0"/>
        <w:spacing w:line="500" w:lineRule="atLeast"/>
        <w:ind w:firstLine="1065" w:firstLineChars="444"/>
        <w:rPr>
          <w:rFonts w:hint="eastAsia" w:ascii="宋体" w:hAnsi="宋体" w:eastAsia="宋体" w:cs="宋体"/>
          <w:color w:val="auto"/>
        </w:rPr>
      </w:pPr>
    </w:p>
    <w:p>
      <w:pPr>
        <w:adjustRightInd w:val="0"/>
        <w:snapToGrid w:val="0"/>
        <w:spacing w:line="500" w:lineRule="atLeast"/>
        <w:ind w:firstLine="1065" w:firstLineChars="444"/>
        <w:outlineLvl w:val="0"/>
        <w:rPr>
          <w:rFonts w:hint="eastAsia" w:ascii="宋体" w:hAnsi="宋体" w:eastAsia="宋体" w:cs="宋体"/>
          <w:color w:val="auto"/>
          <w:u w:val="single"/>
        </w:rPr>
      </w:pPr>
      <w:bookmarkStart w:id="315" w:name="_Toc19499"/>
      <w:r>
        <w:rPr>
          <w:rFonts w:hint="eastAsia" w:ascii="宋体" w:hAnsi="宋体" w:eastAsia="宋体" w:cs="宋体"/>
          <w:color w:val="auto"/>
          <w:lang w:eastAsia="zh-CN"/>
        </w:rPr>
        <w:t>供应商</w:t>
      </w:r>
      <w:r>
        <w:rPr>
          <w:rFonts w:hint="eastAsia" w:ascii="宋体" w:hAnsi="宋体" w:eastAsia="宋体" w:cs="宋体"/>
          <w:color w:val="auto"/>
        </w:rPr>
        <w:t>：</w:t>
      </w:r>
      <w:r>
        <w:rPr>
          <w:rFonts w:hint="eastAsia" w:ascii="宋体" w:hAnsi="宋体" w:eastAsia="宋体" w:cs="宋体"/>
          <w:color w:val="auto"/>
          <w:u w:val="single"/>
        </w:rPr>
        <w:t xml:space="preserve">          （盖章）</w:t>
      </w:r>
      <w:bookmarkEnd w:id="315"/>
      <w:r>
        <w:rPr>
          <w:rFonts w:hint="eastAsia" w:ascii="宋体" w:hAnsi="宋体" w:eastAsia="宋体" w:cs="宋体"/>
          <w:color w:val="auto"/>
          <w:u w:val="single"/>
        </w:rPr>
        <w:t xml:space="preserve">           </w:t>
      </w:r>
    </w:p>
    <w:p>
      <w:pPr>
        <w:adjustRightInd w:val="0"/>
        <w:snapToGrid w:val="0"/>
        <w:spacing w:line="500" w:lineRule="atLeast"/>
        <w:ind w:firstLine="1048" w:firstLineChars="437"/>
        <w:outlineLvl w:val="0"/>
        <w:rPr>
          <w:rFonts w:hint="eastAsia" w:ascii="宋体" w:hAnsi="宋体" w:eastAsia="宋体" w:cs="宋体"/>
          <w:color w:val="auto"/>
        </w:rPr>
      </w:pPr>
      <w:bookmarkStart w:id="316" w:name="_Toc1441"/>
      <w:r>
        <w:rPr>
          <w:rFonts w:hint="eastAsia" w:ascii="宋体" w:hAnsi="宋体" w:eastAsia="宋体" w:cs="宋体"/>
          <w:color w:val="auto"/>
        </w:rPr>
        <w:t>法定代表人或委托代理人：</w:t>
      </w:r>
      <w:r>
        <w:rPr>
          <w:rFonts w:hint="eastAsia" w:ascii="宋体" w:hAnsi="宋体" w:eastAsia="宋体" w:cs="宋体"/>
          <w:color w:val="auto"/>
          <w:u w:val="single"/>
        </w:rPr>
        <w:t>（</w:t>
      </w:r>
      <w:r>
        <w:rPr>
          <w:rFonts w:hint="eastAsia" w:ascii="宋体" w:hAnsi="宋体" w:eastAsia="宋体" w:cs="宋体"/>
          <w:color w:val="auto"/>
          <w:u w:val="single"/>
          <w:lang w:eastAsia="zh-CN"/>
        </w:rPr>
        <w:t>签字或盖章</w:t>
      </w:r>
      <w:r>
        <w:rPr>
          <w:rFonts w:hint="eastAsia" w:ascii="宋体" w:hAnsi="宋体" w:eastAsia="宋体" w:cs="宋体"/>
          <w:color w:val="auto"/>
          <w:u w:val="single"/>
        </w:rPr>
        <w:t>）</w:t>
      </w:r>
      <w:bookmarkEnd w:id="316"/>
      <w:r>
        <w:rPr>
          <w:rFonts w:hint="eastAsia" w:ascii="宋体" w:hAnsi="宋体" w:eastAsia="宋体" w:cs="宋体"/>
          <w:color w:val="auto"/>
          <w:u w:val="single"/>
        </w:rPr>
        <w:t xml:space="preserve">   </w:t>
      </w:r>
    </w:p>
    <w:p>
      <w:pPr>
        <w:adjustRightInd w:val="0"/>
        <w:snapToGrid w:val="0"/>
        <w:spacing w:line="500" w:lineRule="atLeast"/>
        <w:ind w:firstLine="1065" w:firstLineChars="444"/>
        <w:outlineLvl w:val="0"/>
        <w:rPr>
          <w:rFonts w:hint="eastAsia" w:ascii="宋体" w:hAnsi="宋体" w:eastAsia="宋体" w:cs="宋体"/>
          <w:color w:val="auto"/>
        </w:rPr>
      </w:pPr>
      <w:bookmarkStart w:id="317" w:name="_Toc31055"/>
      <w:r>
        <w:rPr>
          <w:rFonts w:hint="eastAsia" w:ascii="宋体" w:hAnsi="宋体" w:eastAsia="宋体" w:cs="宋体"/>
          <w:color w:val="auto"/>
        </w:rPr>
        <w:t>日      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bookmarkEnd w:id="317"/>
    </w:p>
    <w:p>
      <w:pPr>
        <w:adjustRightInd w:val="0"/>
        <w:snapToGrid w:val="0"/>
        <w:spacing w:line="480" w:lineRule="atLeast"/>
        <w:jc w:val="center"/>
        <w:rPr>
          <w:rFonts w:hint="eastAsia" w:ascii="宋体" w:hAnsi="宋体" w:eastAsia="宋体" w:cs="宋体"/>
          <w:color w:val="auto"/>
          <w:sz w:val="24"/>
        </w:rPr>
      </w:pPr>
      <w:r>
        <w:rPr>
          <w:rFonts w:hint="eastAsia" w:ascii="宋体" w:hAnsi="宋体" w:eastAsia="宋体" w:cs="宋体"/>
          <w:color w:val="auto"/>
          <w:sz w:val="24"/>
        </w:rPr>
        <w:t xml:space="preserve"> </w:t>
      </w:r>
    </w:p>
    <w:p>
      <w:pPr>
        <w:adjustRightInd w:val="0"/>
        <w:snapToGrid w:val="0"/>
        <w:spacing w:line="480" w:lineRule="atLeast"/>
        <w:jc w:val="both"/>
        <w:rPr>
          <w:rFonts w:hint="eastAsia" w:ascii="宋体" w:hAnsi="宋体" w:eastAsia="宋体" w:cs="宋体"/>
          <w:color w:val="auto"/>
          <w:sz w:val="24"/>
        </w:rPr>
      </w:pPr>
    </w:p>
    <w:p>
      <w:pPr>
        <w:adjustRightInd w:val="0"/>
        <w:snapToGrid w:val="0"/>
        <w:spacing w:line="480" w:lineRule="atLeast"/>
        <w:jc w:val="center"/>
        <w:rPr>
          <w:rFonts w:hint="eastAsia" w:ascii="宋体" w:hAnsi="宋体" w:eastAsia="宋体" w:cs="宋体"/>
          <w:color w:val="auto"/>
          <w:sz w:val="24"/>
        </w:rPr>
      </w:pPr>
    </w:p>
    <w:p>
      <w:pPr>
        <w:adjustRightInd w:val="0"/>
        <w:snapToGrid w:val="0"/>
        <w:spacing w:line="480" w:lineRule="atLeast"/>
        <w:jc w:val="center"/>
        <w:rPr>
          <w:rFonts w:hint="eastAsia" w:ascii="宋体" w:hAnsi="宋体" w:eastAsia="宋体" w:cs="宋体"/>
          <w:color w:val="auto"/>
          <w:sz w:val="24"/>
        </w:rPr>
      </w:pPr>
    </w:p>
    <w:p>
      <w:pPr>
        <w:adjustRightInd w:val="0"/>
        <w:snapToGrid w:val="0"/>
        <w:spacing w:line="480" w:lineRule="atLeast"/>
        <w:jc w:val="center"/>
        <w:outlineLvl w:val="0"/>
        <w:rPr>
          <w:rFonts w:hint="eastAsia" w:ascii="宋体" w:hAnsi="宋体" w:eastAsia="宋体" w:cs="宋体"/>
          <w:b/>
          <w:color w:val="auto"/>
          <w:spacing w:val="40"/>
          <w:sz w:val="44"/>
        </w:rPr>
      </w:pPr>
      <w:r>
        <w:rPr>
          <w:rFonts w:hint="eastAsia" w:ascii="宋体" w:hAnsi="宋体" w:eastAsia="宋体" w:cs="宋体"/>
          <w:b/>
          <w:color w:val="auto"/>
          <w:spacing w:val="40"/>
          <w:sz w:val="44"/>
        </w:rPr>
        <w:br w:type="page"/>
      </w:r>
      <w:bookmarkStart w:id="318" w:name="_Toc16899"/>
      <w:r>
        <w:rPr>
          <w:rFonts w:hint="eastAsia" w:ascii="宋体" w:hAnsi="宋体" w:eastAsia="宋体" w:cs="宋体"/>
          <w:b/>
          <w:color w:val="auto"/>
          <w:spacing w:val="40"/>
          <w:sz w:val="44"/>
        </w:rPr>
        <w:t>谈判响应文件目录</w:t>
      </w:r>
      <w:bookmarkEnd w:id="318"/>
    </w:p>
    <w:p>
      <w:pPr>
        <w:adjustRightInd w:val="0"/>
        <w:snapToGrid w:val="0"/>
        <w:spacing w:line="480" w:lineRule="auto"/>
        <w:rPr>
          <w:rFonts w:hint="eastAsia" w:ascii="宋体" w:hAnsi="宋体" w:eastAsia="宋体" w:cs="宋体"/>
          <w:color w:val="auto"/>
          <w:sz w:val="24"/>
        </w:rPr>
      </w:pPr>
    </w:p>
    <w:p>
      <w:pPr>
        <w:pStyle w:val="21"/>
        <w:ind w:left="0" w:leftChars="0" w:firstLine="0" w:firstLineChars="0"/>
        <w:rPr>
          <w:rFonts w:hint="eastAsia" w:ascii="宋体" w:hAnsi="宋体" w:eastAsia="宋体" w:cs="宋体"/>
          <w:color w:val="auto"/>
          <w:sz w:val="28"/>
          <w:szCs w:val="28"/>
        </w:rPr>
      </w:pPr>
    </w:p>
    <w:p>
      <w:pPr>
        <w:pStyle w:val="2"/>
        <w:numPr>
          <w:ilvl w:val="0"/>
          <w:numId w:val="3"/>
        </w:num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资格证明文件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1、营业执照;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2、法定代表人身份证明；</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3、法定代表人授权委托书;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4、2022年财务报告或基本开户银行出具的资信证明</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5、社保部门近3个月（任意1月）缴纳社保证明（社保缴费凭证）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6、依法缴纳税收良好记录证明（税务部门出具的近3月（任意1月）完税凭证或缴税证明或银行出具的“银行电子缴税付款凭证”）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7、提供“参加政府采购活动前3年内在经营活动中没有重大违法记录的书面声明函”</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8、投标保证金缴纳凭证复印件；</w:t>
      </w:r>
    </w:p>
    <w:p>
      <w:pPr>
        <w:rPr>
          <w:rFonts w:hint="eastAsia" w:ascii="宋体" w:hAnsi="宋体" w:eastAsia="宋体" w:cs="宋体"/>
          <w:sz w:val="24"/>
          <w:szCs w:val="24"/>
          <w:highlight w:val="none"/>
          <w:lang w:val="en-US" w:eastAsia="zh-CN"/>
        </w:rPr>
      </w:pPr>
      <w:r>
        <w:rPr>
          <w:rFonts w:hint="eastAsia" w:ascii="宋体" w:hAnsi="宋体" w:eastAsia="宋体" w:cs="宋体"/>
          <w:sz w:val="28"/>
          <w:szCs w:val="28"/>
          <w:lang w:val="en-US" w:eastAsia="zh-CN"/>
        </w:rPr>
        <w:t>9、中小企业声明函</w:t>
      </w:r>
      <w:r>
        <w:rPr>
          <w:rFonts w:hint="eastAsia" w:ascii="宋体" w:hAnsi="宋体" w:eastAsia="宋体" w:cs="宋体"/>
          <w:sz w:val="24"/>
          <w:szCs w:val="24"/>
          <w:highlight w:val="none"/>
          <w:lang w:val="en-US" w:eastAsia="zh-CN"/>
        </w:rPr>
        <w:t>（预留中小企业非核心产品需要提供，核心产品非面向中小企业的可不提供）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（1）供应商应自行承担所提供上述资料任何错漏而导致的一切后果。</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（2）所附的资格证明文件的复印件或影印件含糊不清，导致无法辨认的，其谈判将被否决。</w:t>
      </w:r>
    </w:p>
    <w:p>
      <w:pPr>
        <w:pStyle w:val="21"/>
        <w:ind w:left="0" w:leftChars="0" w:firstLine="0" w:firstLineChars="0"/>
        <w:rPr>
          <w:rFonts w:hint="default"/>
          <w:lang w:val="en-US" w:eastAsia="zh-CN"/>
        </w:rPr>
      </w:pPr>
      <w:r>
        <w:rPr>
          <w:rFonts w:hint="default"/>
          <w:lang w:val="en-US" w:eastAsia="zh-CN"/>
        </w:rPr>
        <w:br w:type="page"/>
      </w:r>
    </w:p>
    <w:p>
      <w:pPr>
        <w:pStyle w:val="2"/>
        <w:numPr>
          <w:ilvl w:val="0"/>
          <w:numId w:val="3"/>
        </w:numPr>
        <w:ind w:firstLine="56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报价文件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1、谈判函</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2、报价一览表</w:t>
      </w: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3、报价明细表</w:t>
      </w:r>
    </w:p>
    <w:p>
      <w:pPr>
        <w:rPr>
          <w:rFonts w:hint="eastAsia"/>
          <w:lang w:val="en-US" w:eastAsia="zh-CN"/>
        </w:rPr>
      </w:pPr>
      <w:r>
        <w:rPr>
          <w:rFonts w:hint="eastAsia"/>
          <w:lang w:val="en-US" w:eastAsia="zh-CN"/>
        </w:rPr>
        <w:br w:type="page"/>
      </w:r>
    </w:p>
    <w:p>
      <w:pPr>
        <w:pStyle w:val="2"/>
        <w:numPr>
          <w:ilvl w:val="0"/>
          <w:numId w:val="3"/>
        </w:numPr>
        <w:ind w:firstLine="56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商务技术文件</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1、供应商基本情况表</w:t>
      </w:r>
    </w:p>
    <w:p>
      <w:pPr>
        <w:adjustRightInd w:val="0"/>
        <w:snapToGrid w:val="0"/>
        <w:spacing w:line="480" w:lineRule="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、技术参数、功能偏离表</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3、商务条款偏离表</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供货承诺函</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5、售后服务承诺书</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6、质量保证书</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7、反商业贿赂承诺书</w:t>
      </w:r>
    </w:p>
    <w:p>
      <w:pPr>
        <w:adjustRightInd w:val="0"/>
        <w:snapToGrid w:val="0"/>
        <w:spacing w:line="48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8、谈判企业认为有必要提供的声明及文件资料</w:t>
      </w:r>
    </w:p>
    <w:p>
      <w:pPr>
        <w:pStyle w:val="2"/>
        <w:numPr>
          <w:ilvl w:val="0"/>
          <w:numId w:val="0"/>
        </w:numPr>
        <w:rPr>
          <w:rFonts w:hint="default" w:ascii="Times New Roman" w:hAnsi="Times New Roman" w:eastAsia="宋体" w:cs="Times New Roman"/>
          <w:lang w:val="en-US" w:eastAsia="zh-CN"/>
        </w:rPr>
      </w:pPr>
    </w:p>
    <w:p>
      <w:pPr>
        <w:pStyle w:val="21"/>
        <w:rPr>
          <w:rFonts w:hint="default"/>
          <w:lang w:val="en-US" w:eastAsia="zh-CN"/>
        </w:rPr>
      </w:pPr>
    </w:p>
    <w:p>
      <w:pPr>
        <w:adjustRightInd w:val="0"/>
        <w:snapToGrid w:val="0"/>
        <w:spacing w:line="480" w:lineRule="auto"/>
        <w:rPr>
          <w:rFonts w:hint="eastAsia" w:ascii="宋体" w:hAnsi="宋体" w:eastAsia="宋体" w:cs="宋体"/>
          <w:b/>
          <w:color w:val="auto"/>
          <w:sz w:val="32"/>
          <w:szCs w:val="32"/>
          <w:highlight w:val="none"/>
          <w:lang w:val="en-US" w:eastAsia="zh-CN"/>
        </w:rPr>
      </w:pPr>
      <w:r>
        <w:rPr>
          <w:rFonts w:hint="eastAsia" w:ascii="宋体" w:hAnsi="宋体" w:eastAsia="宋体" w:cs="宋体"/>
          <w:color w:val="auto"/>
          <w:sz w:val="24"/>
        </w:rPr>
        <w:br w:type="page"/>
      </w:r>
      <w:bookmarkStart w:id="319" w:name="_Toc12505"/>
      <w:r>
        <w:rPr>
          <w:rFonts w:hint="eastAsia" w:ascii="宋体" w:hAnsi="宋体" w:eastAsia="宋体" w:cs="宋体"/>
          <w:b/>
          <w:color w:val="auto"/>
          <w:spacing w:val="40"/>
          <w:sz w:val="32"/>
          <w:szCs w:val="32"/>
          <w:highlight w:val="none"/>
          <w:lang w:val="en-US" w:eastAsia="zh-CN"/>
        </w:rPr>
        <w:t>格式1</w:t>
      </w:r>
      <w:r>
        <w:rPr>
          <w:rFonts w:hint="eastAsia" w:ascii="宋体" w:hAnsi="宋体" w:eastAsia="宋体" w:cs="宋体"/>
          <w:b/>
          <w:color w:val="auto"/>
          <w:spacing w:val="40"/>
          <w:sz w:val="32"/>
          <w:szCs w:val="32"/>
          <w:highlight w:val="none"/>
        </w:rPr>
        <w:t>、</w:t>
      </w:r>
      <w:r>
        <w:rPr>
          <w:rFonts w:hint="eastAsia" w:ascii="宋体" w:hAnsi="宋体" w:eastAsia="宋体" w:cs="宋体"/>
          <w:b/>
          <w:color w:val="auto"/>
          <w:sz w:val="32"/>
          <w:szCs w:val="32"/>
          <w:highlight w:val="none"/>
        </w:rPr>
        <w:t>法定代表人身份证明</w:t>
      </w:r>
      <w:bookmarkEnd w:id="319"/>
    </w:p>
    <w:p>
      <w:pPr>
        <w:pageBreakBefore w:val="0"/>
        <w:widowControl w:val="0"/>
        <w:wordWrap/>
        <w:topLinePunct w:val="0"/>
        <w:bidi w:val="0"/>
        <w:rPr>
          <w:rFonts w:hint="eastAsia" w:ascii="宋体" w:hAnsi="宋体" w:eastAsia="宋体" w:cs="宋体"/>
          <w:color w:val="auto"/>
          <w:sz w:val="28"/>
          <w:szCs w:val="28"/>
          <w:highlight w:val="none"/>
        </w:rPr>
      </w:pPr>
    </w:p>
    <w:p>
      <w:pPr>
        <w:spacing w:line="360" w:lineRule="auto"/>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FFFFFF"/>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FFFFFF"/>
          <w:sz w:val="24"/>
          <w:u w:val="single"/>
        </w:rPr>
        <w:t>。</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FFFFFF"/>
          <w:sz w:val="24"/>
          <w:u w:val="single"/>
        </w:rPr>
        <w:t>。</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spacing w:line="360" w:lineRule="auto"/>
        <w:ind w:left="480" w:leftChars="200" w:firstLine="0" w:firstLineChars="0"/>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的法定代表人。</w:t>
      </w:r>
      <w:r>
        <w:rPr>
          <w:rFonts w:hint="eastAsia" w:ascii="宋体" w:hAnsi="宋体" w:eastAsia="宋体" w:cs="宋体"/>
          <w:sz w:val="24"/>
          <w:szCs w:val="24"/>
        </w:rPr>
        <w:t>参加贵中心组织的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项目</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rPr>
        <w:t>）招标活动</w:t>
      </w:r>
      <w:r>
        <w:rPr>
          <w:rFonts w:hint="eastAsia" w:ascii="宋体" w:hAnsi="宋体" w:eastAsia="宋体" w:cs="宋体"/>
          <w:sz w:val="24"/>
          <w:szCs w:val="24"/>
          <w:lang w:eastAsia="zh-CN"/>
        </w:rPr>
        <w:t>。</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  日</w:t>
      </w:r>
    </w:p>
    <w:p>
      <w:pPr>
        <w:pStyle w:val="62"/>
        <w:rPr>
          <w:rFonts w:hint="eastAsia"/>
          <w:lang w:val="en-US" w:eastAsia="zh-CN"/>
        </w:rPr>
      </w:pP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40005</wp:posOffset>
                </wp:positionV>
                <wp:extent cx="2486660" cy="1618615"/>
                <wp:effectExtent l="8255" t="7620" r="19685" b="12065"/>
                <wp:wrapNone/>
                <wp:docPr id="7" name="文本框 112"/>
                <wp:cNvGraphicFramePr/>
                <a:graphic xmlns:a="http://schemas.openxmlformats.org/drawingml/2006/main">
                  <a:graphicData uri="http://schemas.microsoft.com/office/word/2010/wordprocessingShape">
                    <wps:wsp>
                      <wps:cNvSpPr txBox="1"/>
                      <wps:spPr>
                        <a:xfrm>
                          <a:off x="0" y="0"/>
                          <a:ext cx="2486660" cy="161861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200" w:firstLineChars="500"/>
                              <w:rPr>
                                <w:rFonts w:hint="eastAsia" w:eastAsia="宋体"/>
                                <w:lang w:eastAsia="zh-CN"/>
                              </w:rPr>
                            </w:pPr>
                            <w:r>
                              <w:rPr>
                                <w:rFonts w:hint="eastAsia"/>
                                <w:lang w:eastAsia="zh-CN"/>
                              </w:rPr>
                              <w:t>法人身份证</w:t>
                            </w:r>
                            <w:r>
                              <w:rPr>
                                <w:rFonts w:hint="eastAsia"/>
                                <w:lang w:val="en-US" w:eastAsia="zh-CN"/>
                              </w:rPr>
                              <w:t>背</w:t>
                            </w:r>
                            <w:r>
                              <w:rPr>
                                <w:rFonts w:hint="eastAsia"/>
                                <w:lang w:eastAsia="zh-CN"/>
                              </w:rPr>
                              <w:t>面</w:t>
                            </w:r>
                          </w:p>
                          <w:p/>
                        </w:txbxContent>
                      </wps:txbx>
                      <wps:bodyPr vert="horz" wrap="square" anchor="t" anchorCtr="0" upright="1"/>
                    </wps:wsp>
                  </a:graphicData>
                </a:graphic>
              </wp:anchor>
            </w:drawing>
          </mc:Choice>
          <mc:Fallback>
            <w:pict>
              <v:shape id="文本框 112" o:spid="_x0000_s1026" o:spt="202" type="#_x0000_t202" style="position:absolute;left:0pt;margin-left:206.7pt;margin-top:3.15pt;height:127.45pt;width:195.8pt;z-index:251660288;mso-width-relative:page;mso-height-relative:page;" fillcolor="#FFFFFF" filled="t" stroked="t" coordsize="21600,21600" o:gfxdata="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IJze9cAAAAJAQAADwAAAAAAAAABACAAAAAiAAAAZHJzL2Rvd25yZXYueG1s&#10;UEsBAhQAFAAAAAgAh07iQCUekjJrAgAAAgUAAA4AAAAAAAAAAQAgAAAAJgEAAGRycy9lMm9Eb2Mu&#10;eG1sUEsFBgAAAAAGAAYAWQEAAAMGAAAAAA==&#10;">
                <v:fill type="gradient" on="t" color2="#FFFFFF" angle="90" focus="100%" focussize="0,0">
                  <o:fill type="gradientUnscaled" v:ext="backwardCompatible"/>
                </v:fill>
                <v:stroke weight="1.25pt" color="#000000" joinstyle="miter"/>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200" w:firstLineChars="500"/>
                        <w:rPr>
                          <w:rFonts w:hint="eastAsia" w:eastAsia="宋体"/>
                          <w:lang w:eastAsia="zh-CN"/>
                        </w:rPr>
                      </w:pPr>
                      <w:r>
                        <w:rPr>
                          <w:rFonts w:hint="eastAsia"/>
                          <w:lang w:eastAsia="zh-CN"/>
                        </w:rPr>
                        <w:t>法人身份证</w:t>
                      </w:r>
                      <w:r>
                        <w:rPr>
                          <w:rFonts w:hint="eastAsia"/>
                          <w:lang w:val="en-US" w:eastAsia="zh-CN"/>
                        </w:rPr>
                        <w:t>背</w:t>
                      </w:r>
                      <w:r>
                        <w:rPr>
                          <w:rFonts w:hint="eastAsia"/>
                          <w:lang w:eastAsia="zh-CN"/>
                        </w:rPr>
                        <w:t>面</w:t>
                      </w:r>
                    </w:p>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60960</wp:posOffset>
                </wp:positionV>
                <wp:extent cx="2614295" cy="1607820"/>
                <wp:effectExtent l="7620" t="7620" r="26035" b="22860"/>
                <wp:wrapNone/>
                <wp:docPr id="5" name="文本框 111"/>
                <wp:cNvGraphicFramePr/>
                <a:graphic xmlns:a="http://schemas.openxmlformats.org/drawingml/2006/main">
                  <a:graphicData uri="http://schemas.microsoft.com/office/word/2010/wordprocessingShape">
                    <wps:wsp>
                      <wps:cNvSpPr txBox="1"/>
                      <wps:spPr>
                        <a:xfrm>
                          <a:off x="0" y="0"/>
                          <a:ext cx="2614295" cy="16078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960" w:firstLineChars="400"/>
                              <w:rPr>
                                <w:rFonts w:hint="eastAsia" w:eastAsia="宋体"/>
                                <w:lang w:eastAsia="zh-CN"/>
                              </w:rPr>
                            </w:pPr>
                            <w:r>
                              <w:rPr>
                                <w:rFonts w:hint="eastAsia"/>
                                <w:lang w:eastAsia="zh-CN"/>
                              </w:rPr>
                              <w:t>法人身份证正面</w:t>
                            </w:r>
                          </w:p>
                        </w:txbxContent>
                      </wps:txbx>
                      <wps:bodyPr vert="horz" wrap="square" anchor="t" anchorCtr="0" upright="1"/>
                    </wps:wsp>
                  </a:graphicData>
                </a:graphic>
              </wp:anchor>
            </w:drawing>
          </mc:Choice>
          <mc:Fallback>
            <w:pict>
              <v:shape id="文本框 111" o:spid="_x0000_s1026" o:spt="202" type="#_x0000_t202" style="position:absolute;left:0pt;margin-left:-2.5pt;margin-top:4.8pt;height:126.6pt;width:205.85pt;z-index:251659264;mso-width-relative:page;mso-height-relative:page;" fillcolor="#FFFFFF" filled="t" stroked="t" coordsize="21600,21600" o:gfxdata="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uSB391wAAAAgBAAAPAAAAAAAAAAEAIAAAACIAAABkcnMvZG93bnJldi54bWxQ&#10;SwECFAAUAAAACACHTuJAtCJxWWoCAAACBQAADgAAAAAAAAABACAAAAAmAQAAZHJzL2Uyb0RvYy54&#10;bWxQSwUGAAAAAAYABgBZAQAAAgYAAAAA&#10;">
                <v:fill type="gradient" on="t" color2="#FFFFFF" angle="90" focus="100%" focussize="0,0">
                  <o:fill type="gradientUnscaled" v:ext="backwardCompatible"/>
                </v:fill>
                <v:stroke weight="1.25pt" color="#000000" joinstyle="miter"/>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960" w:firstLineChars="400"/>
                        <w:rPr>
                          <w:rFonts w:hint="eastAsia" w:eastAsia="宋体"/>
                          <w:lang w:eastAsia="zh-CN"/>
                        </w:rPr>
                      </w:pPr>
                      <w:r>
                        <w:rPr>
                          <w:rFonts w:hint="eastAsia"/>
                          <w:lang w:eastAsia="zh-CN"/>
                        </w:rPr>
                        <w:t>法人身份证正面</w:t>
                      </w:r>
                    </w:p>
                  </w:txbxContent>
                </v:textbox>
              </v:shape>
            </w:pict>
          </mc:Fallback>
        </mc:AlternateContent>
      </w:r>
    </w:p>
    <w:p>
      <w:pPr>
        <w:spacing w:line="360" w:lineRule="auto"/>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kern w:val="2"/>
          <w:sz w:val="24"/>
          <w:szCs w:val="24"/>
          <w:lang w:val="en-US" w:eastAsia="zh-CN" w:bidi="ar-SA"/>
        </w:rPr>
      </w:pPr>
    </w:p>
    <w:p>
      <w:pPr>
        <w:spacing w:line="360" w:lineRule="auto"/>
        <w:ind w:left="0" w:leftChars="0" w:firstLine="0" w:firstLineChars="0"/>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kern w:val="2"/>
          <w:sz w:val="24"/>
          <w:szCs w:val="24"/>
          <w:lang w:val="en-US" w:eastAsia="zh-CN" w:bidi="ar-SA"/>
        </w:rPr>
      </w:pPr>
    </w:p>
    <w:p>
      <w:pPr>
        <w:spacing w:line="360" w:lineRule="auto"/>
        <w:ind w:firstLine="960" w:firstLineChars="4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供应商：（单位公章）</w:t>
      </w:r>
    </w:p>
    <w:p>
      <w:pPr>
        <w:pStyle w:val="62"/>
        <w:ind w:firstLine="960" w:firstLineChars="4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法定代表人或授权代表人（签字或盖章）：</w:t>
      </w:r>
    </w:p>
    <w:p>
      <w:pPr>
        <w:pStyle w:val="62"/>
        <w:rPr>
          <w:rFonts w:hint="eastAsia" w:ascii="宋体" w:hAnsi="宋体" w:eastAsia="宋体" w:cs="宋体"/>
          <w:kern w:val="2"/>
          <w:sz w:val="24"/>
          <w:szCs w:val="24"/>
          <w:lang w:val="en-US" w:eastAsia="zh-CN" w:bidi="ar-SA"/>
        </w:rPr>
      </w:pPr>
    </w:p>
    <w:p>
      <w:pPr>
        <w:spacing w:line="360" w:lineRule="auto"/>
        <w:ind w:firstLine="960" w:firstLineChars="400"/>
        <w:jc w:val="right"/>
        <w:rPr>
          <w:rFonts w:hint="eastAsia" w:ascii="宋体" w:hAnsi="宋体" w:eastAsia="宋体" w:cs="宋体"/>
          <w:kern w:val="2"/>
          <w:sz w:val="24"/>
          <w:szCs w:val="24"/>
          <w:lang w:val="en-US" w:eastAsia="zh-CN" w:bidi="ar-SA"/>
        </w:rPr>
      </w:pPr>
    </w:p>
    <w:p>
      <w:pPr>
        <w:spacing w:line="360" w:lineRule="auto"/>
        <w:ind w:firstLine="960" w:firstLineChars="400"/>
        <w:jc w:val="right"/>
        <w:rPr>
          <w:rFonts w:hint="eastAsia" w:ascii="宋体" w:hAnsi="宋体" w:eastAsia="宋体" w:cs="宋体"/>
          <w:kern w:val="2"/>
          <w:sz w:val="24"/>
          <w:szCs w:val="24"/>
          <w:lang w:val="en-US" w:eastAsia="zh-CN" w:bidi="ar-SA"/>
        </w:rPr>
      </w:pPr>
    </w:p>
    <w:p>
      <w:pPr>
        <w:ind w:right="60" w:firstLine="480"/>
        <w:jc w:val="center"/>
        <w:rPr>
          <w:rFonts w:hint="eastAsia" w:ascii="宋体" w:hAnsi="宋体" w:eastAsia="宋体" w:cs="宋体"/>
          <w:color w:val="auto"/>
          <w:u w:val="single"/>
        </w:rPr>
      </w:pPr>
      <w:r>
        <w:rPr>
          <w:rFonts w:hint="eastAsia" w:ascii="宋体" w:hAnsi="宋体" w:eastAsia="宋体" w:cs="宋体"/>
          <w:kern w:val="2"/>
          <w:sz w:val="24"/>
          <w:szCs w:val="24"/>
          <w:lang w:val="en-US" w:eastAsia="zh-CN" w:bidi="ar-SA"/>
        </w:rPr>
        <w:t xml:space="preserve">   日期：   年  月  日</w:t>
      </w:r>
    </w:p>
    <w:p>
      <w:pPr>
        <w:adjustRightInd w:val="0"/>
        <w:snapToGrid w:val="0"/>
        <w:spacing w:line="480" w:lineRule="atLeast"/>
        <w:ind w:left="0" w:leftChars="0" w:firstLine="0" w:firstLineChars="0"/>
        <w:jc w:val="both"/>
        <w:outlineLvl w:val="0"/>
        <w:rPr>
          <w:rFonts w:hint="eastAsia" w:ascii="宋体" w:hAnsi="宋体" w:eastAsia="宋体" w:cs="宋体"/>
          <w:b/>
          <w:color w:val="auto"/>
          <w:spacing w:val="40"/>
          <w:sz w:val="32"/>
          <w:szCs w:val="32"/>
        </w:rPr>
      </w:pPr>
      <w:bookmarkStart w:id="320" w:name="_Toc11505"/>
    </w:p>
    <w:p>
      <w:pPr>
        <w:adjustRightInd w:val="0"/>
        <w:snapToGrid w:val="0"/>
        <w:spacing w:line="480" w:lineRule="atLeast"/>
        <w:ind w:left="0" w:leftChars="0" w:firstLine="0" w:firstLineChars="0"/>
        <w:jc w:val="center"/>
        <w:outlineLvl w:val="0"/>
        <w:rPr>
          <w:rFonts w:hint="eastAsia" w:ascii="宋体" w:hAnsi="宋体" w:eastAsia="宋体" w:cs="宋体"/>
          <w:b/>
          <w:color w:val="auto"/>
          <w:spacing w:val="40"/>
          <w:sz w:val="32"/>
          <w:szCs w:val="32"/>
          <w:highlight w:val="none"/>
        </w:rPr>
      </w:pPr>
    </w:p>
    <w:p>
      <w:pPr>
        <w:autoSpaceDE w:val="0"/>
        <w:autoSpaceDN w:val="0"/>
        <w:adjustRightInd w:val="0"/>
        <w:ind w:left="0" w:leftChars="0" w:firstLine="0" w:firstLineChars="0"/>
        <w:jc w:val="both"/>
        <w:rPr>
          <w:rFonts w:hint="eastAsia" w:ascii="仿宋" w:hAnsi="仿宋" w:eastAsia="仿宋" w:cs="仿宋"/>
          <w:color w:val="auto"/>
          <w:sz w:val="28"/>
          <w:szCs w:val="28"/>
          <w:highlight w:val="none"/>
        </w:rPr>
      </w:pPr>
      <w:r>
        <w:rPr>
          <w:rFonts w:hint="eastAsia" w:ascii="宋体" w:hAnsi="宋体" w:eastAsia="宋体" w:cs="宋体"/>
          <w:b/>
          <w:color w:val="auto"/>
          <w:spacing w:val="40"/>
          <w:sz w:val="32"/>
          <w:szCs w:val="32"/>
          <w:highlight w:val="none"/>
        </w:rPr>
        <w:br w:type="page"/>
      </w:r>
      <w:r>
        <w:rPr>
          <w:rFonts w:hint="eastAsia" w:ascii="宋体" w:hAnsi="宋体" w:eastAsia="宋体" w:cs="宋体"/>
          <w:b/>
          <w:color w:val="auto"/>
          <w:spacing w:val="40"/>
          <w:sz w:val="32"/>
          <w:szCs w:val="32"/>
          <w:highlight w:val="none"/>
          <w:lang w:val="en-US" w:eastAsia="zh-CN"/>
        </w:rPr>
        <w:t>格式2</w:t>
      </w:r>
      <w:r>
        <w:rPr>
          <w:rFonts w:hint="eastAsia" w:ascii="宋体" w:hAnsi="宋体" w:eastAsia="宋体" w:cs="宋体"/>
          <w:b/>
          <w:color w:val="auto"/>
          <w:spacing w:val="40"/>
          <w:sz w:val="32"/>
          <w:szCs w:val="32"/>
          <w:highlight w:val="none"/>
        </w:rPr>
        <w:t>、</w:t>
      </w:r>
      <w:bookmarkEnd w:id="320"/>
      <w:bookmarkStart w:id="321" w:name="_Toc13454"/>
      <w:r>
        <w:rPr>
          <w:rFonts w:hint="eastAsia" w:ascii="仿宋" w:hAnsi="仿宋" w:eastAsia="仿宋" w:cs="仿宋"/>
          <w:b/>
          <w:bCs/>
          <w:color w:val="auto"/>
          <w:sz w:val="30"/>
          <w:szCs w:val="30"/>
          <w:highlight w:val="none"/>
        </w:rPr>
        <w:t>法定代表人授权书</w:t>
      </w:r>
    </w:p>
    <w:p>
      <w:pPr>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u w:val="single"/>
        </w:rPr>
        <w:t>：</w:t>
      </w:r>
    </w:p>
    <w:p>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 xml:space="preserve">单位名称)法定代表人授权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为本公司的合法代理人，参加贵方组织的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活动，全权代表我方处理</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中的一切事宜和签署一切文件，被授权人无转委托权，特此委托。</w:t>
      </w:r>
    </w:p>
    <w:p>
      <w:pPr>
        <w:ind w:left="0" w:leftChars="0"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法定代表人签字：</w:t>
      </w:r>
    </w:p>
    <w:p>
      <w:pPr>
        <w:ind w:firstLine="686" w:firstLineChars="2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ind w:firstLine="686" w:firstLineChars="245"/>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被授权人姓名：</w:t>
      </w:r>
    </w:p>
    <w:p>
      <w:pPr>
        <w:ind w:firstLine="686" w:firstLineChars="2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电    话：</w:t>
      </w: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14" name="文本框 5"/>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文本框 5" o:spid="_x0000_s1026" o:spt="202" type="#_x0000_t202" style="position:absolute;left:0pt;margin-left:219.15pt;margin-top:10.35pt;height:108.8pt;width:206.25pt;z-index:251662336;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4"/>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14.05pt;width:206.25pt;z-index:251661312;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jc w:val="center"/>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p>
    <w:p>
      <w:pPr>
        <w:spacing w:line="360" w:lineRule="auto"/>
        <w:jc w:val="left"/>
        <w:rPr>
          <w:rFonts w:hint="eastAsia" w:ascii="仿宋" w:hAnsi="仿宋" w:eastAsia="仿宋" w:cs="仿宋"/>
          <w:bCs/>
          <w:color w:val="auto"/>
          <w:sz w:val="28"/>
          <w:szCs w:val="28"/>
          <w:highlight w:val="none"/>
          <w:u w:val="single"/>
          <w:lang w:val="en-US" w:eastAsia="zh-CN"/>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3.85pt;height:112.5pt;width:206.25pt;z-index:251664384;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5"/>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文本框 5" o:spid="_x0000_s1026" o:spt="202" type="#_x0000_t202" style="position:absolute;left:0pt;margin-left:0.5pt;margin-top:12.9pt;height:113.25pt;width:206.25pt;mso-wrap-distance-bottom:0pt;mso-wrap-distance-top:0pt;z-index:251663360;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仿宋" w:hAnsi="仿宋" w:eastAsia="仿宋" w:cs="仿宋"/>
          <w:bCs/>
          <w:color w:val="auto"/>
          <w:sz w:val="28"/>
          <w:szCs w:val="28"/>
          <w:highlight w:val="none"/>
          <w:lang w:eastAsia="zh-CN"/>
        </w:rPr>
        <w:t>谈判</w:t>
      </w:r>
      <w:r>
        <w:rPr>
          <w:rFonts w:hint="eastAsia" w:ascii="仿宋" w:hAnsi="仿宋" w:eastAsia="仿宋" w:cs="仿宋"/>
          <w:bCs/>
          <w:color w:val="auto"/>
          <w:sz w:val="28"/>
          <w:szCs w:val="28"/>
          <w:highlight w:val="none"/>
          <w:lang w:val="en-US" w:eastAsia="zh-CN"/>
        </w:rPr>
        <w:t>单位</w:t>
      </w:r>
      <w:r>
        <w:rPr>
          <w:rFonts w:hint="eastAsia" w:ascii="仿宋" w:hAnsi="仿宋" w:eastAsia="仿宋" w:cs="仿宋"/>
          <w:bCs/>
          <w:color w:val="auto"/>
          <w:sz w:val="28"/>
          <w:szCs w:val="28"/>
          <w:highlight w:val="none"/>
        </w:rPr>
        <w:t>（盖章）：</w:t>
      </w:r>
    </w:p>
    <w:p>
      <w:pPr>
        <w:pStyle w:val="1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pPr>
        <w:adjustRightInd w:val="0"/>
        <w:snapToGrid w:val="0"/>
        <w:spacing w:line="480" w:lineRule="atLeast"/>
        <w:jc w:val="center"/>
        <w:outlineLvl w:val="0"/>
        <w:rPr>
          <w:rFonts w:hint="eastAsia" w:ascii="宋体" w:hAnsi="宋体" w:eastAsia="宋体" w:cs="宋体"/>
          <w:b/>
          <w:color w:val="auto"/>
          <w:spacing w:val="40"/>
          <w:sz w:val="32"/>
          <w:szCs w:val="32"/>
        </w:rPr>
      </w:pPr>
    </w:p>
    <w:p>
      <w:pPr>
        <w:adjustRightInd w:val="0"/>
        <w:snapToGrid w:val="0"/>
        <w:spacing w:line="480" w:lineRule="atLeast"/>
        <w:jc w:val="center"/>
        <w:outlineLvl w:val="0"/>
        <w:rPr>
          <w:rFonts w:hint="eastAsia" w:ascii="宋体" w:hAnsi="宋体" w:eastAsia="宋体" w:cs="宋体"/>
          <w:b/>
          <w:color w:val="auto"/>
          <w:spacing w:val="40"/>
          <w:sz w:val="32"/>
          <w:szCs w:val="32"/>
        </w:rPr>
      </w:pPr>
    </w:p>
    <w:p>
      <w:pPr>
        <w:adjustRightInd w:val="0"/>
        <w:snapToGrid w:val="0"/>
        <w:spacing w:line="480" w:lineRule="atLeast"/>
        <w:jc w:val="center"/>
        <w:outlineLvl w:val="0"/>
        <w:rPr>
          <w:rFonts w:hint="eastAsia" w:ascii="宋体" w:hAnsi="宋体" w:eastAsia="宋体" w:cs="宋体"/>
          <w:b/>
          <w:color w:val="auto"/>
          <w:spacing w:val="40"/>
          <w:sz w:val="32"/>
          <w:szCs w:val="32"/>
        </w:rPr>
      </w:pPr>
    </w:p>
    <w:p>
      <w:pPr>
        <w:adjustRightInd w:val="0"/>
        <w:snapToGrid w:val="0"/>
        <w:spacing w:line="480" w:lineRule="atLeast"/>
        <w:jc w:val="center"/>
        <w:outlineLvl w:val="0"/>
        <w:rPr>
          <w:rFonts w:hint="eastAsia" w:ascii="宋体" w:hAnsi="宋体" w:eastAsia="宋体" w:cs="宋体"/>
          <w:b/>
          <w:color w:val="auto"/>
          <w:spacing w:val="40"/>
          <w:sz w:val="32"/>
          <w:szCs w:val="32"/>
        </w:rPr>
      </w:pPr>
    </w:p>
    <w:p>
      <w:pPr>
        <w:adjustRightInd w:val="0"/>
        <w:snapToGrid w:val="0"/>
        <w:spacing w:line="480" w:lineRule="atLeast"/>
        <w:ind w:left="0" w:leftChars="0" w:firstLine="0" w:firstLineChars="0"/>
        <w:jc w:val="both"/>
        <w:outlineLvl w:val="0"/>
        <w:rPr>
          <w:rFonts w:hint="eastAsia" w:ascii="宋体" w:hAnsi="宋体" w:eastAsia="宋体" w:cs="宋体"/>
          <w:b/>
          <w:color w:val="auto"/>
          <w:spacing w:val="40"/>
          <w:sz w:val="32"/>
          <w:szCs w:val="32"/>
        </w:rPr>
      </w:pPr>
    </w:p>
    <w:p>
      <w:pPr>
        <w:adjustRightInd w:val="0"/>
        <w:snapToGrid w:val="0"/>
        <w:spacing w:line="480" w:lineRule="atLeast"/>
        <w:ind w:left="0" w:leftChars="0" w:firstLine="0" w:firstLineChars="0"/>
        <w:jc w:val="both"/>
        <w:outlineLvl w:val="0"/>
        <w:rPr>
          <w:rFonts w:hint="eastAsia" w:ascii="宋体" w:hAnsi="宋体" w:eastAsia="宋体" w:cs="宋体"/>
          <w:b/>
          <w:color w:val="auto"/>
          <w:spacing w:val="40"/>
          <w:sz w:val="32"/>
          <w:szCs w:val="32"/>
        </w:rPr>
      </w:pPr>
      <w:r>
        <w:rPr>
          <w:rFonts w:hint="eastAsia" w:ascii="宋体" w:hAnsi="宋体" w:eastAsia="宋体" w:cs="宋体"/>
          <w:b/>
          <w:color w:val="auto"/>
          <w:spacing w:val="40"/>
          <w:sz w:val="32"/>
          <w:szCs w:val="32"/>
          <w:lang w:val="en-US" w:eastAsia="zh-CN"/>
        </w:rPr>
        <w:t>格式3</w:t>
      </w:r>
      <w:r>
        <w:rPr>
          <w:rFonts w:hint="eastAsia" w:ascii="宋体" w:hAnsi="宋体" w:eastAsia="宋体" w:cs="宋体"/>
          <w:b/>
          <w:color w:val="auto"/>
          <w:spacing w:val="40"/>
          <w:sz w:val="32"/>
          <w:szCs w:val="32"/>
        </w:rPr>
        <w:t>、谈  判  函</w:t>
      </w:r>
      <w:bookmarkEnd w:id="321"/>
    </w:p>
    <w:p>
      <w:pPr>
        <w:widowControl/>
        <w:snapToGrid w:val="0"/>
        <w:spacing w:line="480" w:lineRule="exact"/>
        <w:jc w:val="left"/>
        <w:outlineLvl w:val="0"/>
        <w:rPr>
          <w:rFonts w:hint="eastAsia" w:ascii="宋体" w:hAnsi="宋体" w:eastAsia="宋体" w:cs="宋体"/>
          <w:color w:val="auto"/>
          <w:sz w:val="24"/>
        </w:rPr>
      </w:pPr>
      <w:bookmarkStart w:id="322" w:name="_Toc22444"/>
      <w:bookmarkStart w:id="323" w:name="_Toc26877"/>
      <w:r>
        <w:rPr>
          <w:rFonts w:hint="eastAsia" w:ascii="宋体" w:hAnsi="宋体" w:eastAsia="宋体" w:cs="宋体"/>
          <w:color w:val="auto"/>
          <w:sz w:val="24"/>
        </w:rPr>
        <w:t>致（采购方名称）：</w:t>
      </w:r>
      <w:bookmarkEnd w:id="322"/>
      <w:bookmarkEnd w:id="323"/>
    </w:p>
    <w:p>
      <w:pPr>
        <w:widowControl/>
        <w:snapToGrid w:val="0"/>
        <w:spacing w:line="480" w:lineRule="exact"/>
        <w:ind w:firstLine="480" w:firstLineChars="200"/>
        <w:jc w:val="left"/>
        <w:outlineLvl w:val="0"/>
        <w:rPr>
          <w:rFonts w:hint="eastAsia" w:ascii="宋体" w:hAnsi="宋体" w:eastAsia="宋体" w:cs="宋体"/>
          <w:color w:val="auto"/>
          <w:sz w:val="24"/>
          <w:lang w:eastAsia="zh-CN"/>
        </w:rPr>
      </w:pPr>
      <w:bookmarkStart w:id="324" w:name="_Toc27914"/>
      <w:bookmarkStart w:id="325" w:name="_Toc15257"/>
      <w:r>
        <w:rPr>
          <w:rFonts w:hint="eastAsia" w:ascii="宋体" w:hAnsi="宋体" w:eastAsia="宋体" w:cs="宋体"/>
          <w:color w:val="auto"/>
          <w:sz w:val="24"/>
        </w:rPr>
        <w:t>根据你方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项目的编号为：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rPr>
        <w:t>谈判</w:t>
      </w:r>
      <w:r>
        <w:rPr>
          <w:rFonts w:hint="eastAsia" w:ascii="宋体" w:hAnsi="宋体" w:eastAsia="宋体" w:cs="宋体"/>
          <w:color w:val="auto"/>
          <w:sz w:val="24"/>
        </w:rPr>
        <w:t>文件，本公司正式授权的下述签字人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（姓名和职务）代表本公司</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bookmarkEnd w:id="324"/>
      <w:bookmarkEnd w:id="325"/>
      <w:r>
        <w:rPr>
          <w:rFonts w:hint="eastAsia" w:ascii="宋体" w:hAnsi="宋体" w:eastAsia="宋体" w:cs="宋体"/>
          <w:color w:val="auto"/>
          <w:sz w:val="24"/>
          <w:lang w:eastAsia="zh-CN"/>
        </w:rPr>
        <w:t>。</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据此函，签字人兹宣布同意如下：</w:t>
      </w:r>
    </w:p>
    <w:p>
      <w:pPr>
        <w:widowControl/>
        <w:tabs>
          <w:tab w:val="left" w:pos="7125"/>
        </w:tabs>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color w:val="auto"/>
          <w:sz w:val="24"/>
        </w:rPr>
        <w:t>按谈判文件规定提供</w:t>
      </w:r>
      <w:r>
        <w:rPr>
          <w:rFonts w:hint="eastAsia" w:ascii="宋体" w:hAnsi="宋体" w:eastAsia="宋体" w:cs="宋体"/>
          <w:color w:val="auto"/>
          <w:sz w:val="24"/>
          <w:highlight w:val="green"/>
          <w:lang w:val="en-US" w:eastAsia="zh-CN"/>
        </w:rPr>
        <w:t>货物\服务</w:t>
      </w:r>
      <w:r>
        <w:rPr>
          <w:rFonts w:hint="eastAsia" w:ascii="宋体" w:hAnsi="宋体" w:eastAsia="宋体" w:cs="宋体"/>
          <w:color w:val="auto"/>
          <w:sz w:val="24"/>
        </w:rPr>
        <w:t>的</w:t>
      </w:r>
      <w:r>
        <w:rPr>
          <w:rFonts w:hint="eastAsia" w:ascii="宋体" w:hAnsi="宋体" w:eastAsia="宋体" w:cs="宋体"/>
          <w:color w:val="auto"/>
          <w:sz w:val="24"/>
          <w:lang w:eastAsia="zh-CN"/>
        </w:rPr>
        <w:t>谈判</w:t>
      </w:r>
      <w:r>
        <w:rPr>
          <w:rFonts w:hint="eastAsia" w:ascii="宋体" w:hAnsi="宋体" w:eastAsia="宋体" w:cs="宋体"/>
          <w:color w:val="auto"/>
          <w:sz w:val="24"/>
        </w:rPr>
        <w:t>为（大写）</w:t>
      </w:r>
      <w:r>
        <w:rPr>
          <w:rFonts w:hint="eastAsia" w:ascii="宋体" w:hAnsi="宋体" w:eastAsia="宋体" w:cs="宋体"/>
          <w:color w:val="auto"/>
          <w:sz w:val="24"/>
          <w:u w:val="single"/>
        </w:rPr>
        <w:tab/>
      </w:r>
      <w:r>
        <w:rPr>
          <w:rFonts w:hint="eastAsia" w:ascii="宋体" w:hAnsi="宋体" w:eastAsia="宋体" w:cs="宋体"/>
          <w:color w:val="auto"/>
          <w:sz w:val="24"/>
        </w:rPr>
        <w:t>元人民币。</w:t>
      </w:r>
    </w:p>
    <w:p>
      <w:pPr>
        <w:widowControl/>
        <w:snapToGrid w:val="0"/>
        <w:spacing w:line="48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bCs/>
          <w:color w:val="auto"/>
          <w:sz w:val="24"/>
        </w:rPr>
        <w:t>2.</w:t>
      </w:r>
      <w:r>
        <w:rPr>
          <w:rFonts w:hint="eastAsia" w:ascii="宋体" w:hAnsi="宋体" w:eastAsia="宋体" w:cs="宋体"/>
          <w:color w:val="auto"/>
          <w:sz w:val="24"/>
        </w:rPr>
        <w:t>如果我方被评定为成交供应商，我们保证根据谈判文件规定履行合同责任和义务。具体</w:t>
      </w:r>
      <w:r>
        <w:rPr>
          <w:rFonts w:hint="eastAsia" w:ascii="宋体" w:hAnsi="宋体" w:eastAsia="宋体" w:cs="宋体"/>
          <w:color w:val="auto"/>
          <w:sz w:val="24"/>
          <w:lang w:val="en-US" w:eastAsia="zh-CN"/>
        </w:rPr>
        <w:t>实施</w:t>
      </w:r>
      <w:r>
        <w:rPr>
          <w:rFonts w:hint="eastAsia" w:ascii="宋体" w:hAnsi="宋体" w:eastAsia="宋体" w:cs="宋体"/>
          <w:color w:val="auto"/>
          <w:sz w:val="24"/>
        </w:rPr>
        <w:t>时间承诺如下：</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（具体时间以签订合同为准）  </w:t>
      </w:r>
      <w:r>
        <w:rPr>
          <w:rFonts w:hint="eastAsia" w:ascii="宋体" w:hAnsi="宋体" w:eastAsia="宋体" w:cs="宋体"/>
          <w:color w:val="auto"/>
          <w:sz w:val="24"/>
          <w:lang w:val="en-US" w:eastAsia="zh-CN"/>
        </w:rPr>
        <w:t>。</w:t>
      </w:r>
    </w:p>
    <w:p>
      <w:pPr>
        <w:widowControl/>
        <w:snapToGrid w:val="0"/>
        <w:spacing w:line="48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3.我方人民币</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元的谈判保证金与本</w:t>
      </w:r>
      <w:r>
        <w:rPr>
          <w:rFonts w:hint="eastAsia" w:ascii="宋体" w:hAnsi="宋体" w:eastAsia="宋体" w:cs="宋体"/>
          <w:bCs/>
          <w:color w:val="auto"/>
          <w:sz w:val="24"/>
          <w:lang w:eastAsia="zh-CN"/>
        </w:rPr>
        <w:t>谈判响应文件</w:t>
      </w:r>
      <w:r>
        <w:rPr>
          <w:rFonts w:hint="eastAsia" w:ascii="宋体" w:hAnsi="宋体" w:eastAsia="宋体" w:cs="宋体"/>
          <w:bCs/>
          <w:color w:val="auto"/>
          <w:sz w:val="24"/>
        </w:rPr>
        <w:t>同时提交。</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4.如果我方成交，我方保证按谈判文件规定提交履约保证金，承担履约责任。</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5.</w:t>
      </w:r>
      <w:r>
        <w:rPr>
          <w:rFonts w:hint="eastAsia" w:ascii="宋体" w:hAnsi="宋体" w:eastAsia="宋体" w:cs="宋体"/>
          <w:color w:val="auto"/>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6.</w:t>
      </w:r>
      <w:r>
        <w:rPr>
          <w:rFonts w:hint="eastAsia" w:ascii="宋体" w:hAnsi="宋体" w:eastAsia="宋体" w:cs="宋体"/>
          <w:color w:val="auto"/>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7.</w:t>
      </w:r>
      <w:r>
        <w:rPr>
          <w:rFonts w:hint="eastAsia" w:ascii="宋体" w:hAnsi="宋体" w:eastAsia="宋体" w:cs="宋体"/>
          <w:color w:val="auto"/>
          <w:sz w:val="24"/>
        </w:rPr>
        <w:t>我们同意在规定的公开</w:t>
      </w:r>
      <w:r>
        <w:rPr>
          <w:rFonts w:hint="eastAsia" w:ascii="宋体" w:hAnsi="宋体" w:eastAsia="宋体" w:cs="宋体"/>
          <w:color w:val="auto"/>
          <w:sz w:val="24"/>
          <w:lang w:eastAsia="zh-CN"/>
        </w:rPr>
        <w:t>谈判</w:t>
      </w:r>
      <w:r>
        <w:rPr>
          <w:rFonts w:hint="eastAsia" w:ascii="宋体" w:hAnsi="宋体" w:eastAsia="宋体" w:cs="宋体"/>
          <w:color w:val="auto"/>
          <w:sz w:val="24"/>
        </w:rPr>
        <w:t>时间起遵循本谈判文件，并在规定的</w:t>
      </w:r>
      <w:r>
        <w:rPr>
          <w:rFonts w:hint="eastAsia" w:ascii="宋体" w:hAnsi="宋体" w:eastAsia="宋体" w:cs="宋体"/>
          <w:color w:val="auto"/>
          <w:sz w:val="24"/>
          <w:lang w:eastAsia="zh-CN"/>
        </w:rPr>
        <w:t>谈判</w:t>
      </w:r>
      <w:r>
        <w:rPr>
          <w:rFonts w:hint="eastAsia" w:ascii="宋体" w:hAnsi="宋体" w:eastAsia="宋体" w:cs="宋体"/>
          <w:color w:val="auto"/>
          <w:sz w:val="24"/>
        </w:rPr>
        <w:t>有效期满之前均具有约束力，并有可能被确定为</w:t>
      </w:r>
      <w:r>
        <w:rPr>
          <w:rFonts w:hint="eastAsia" w:ascii="宋体" w:hAnsi="宋体" w:eastAsia="宋体" w:cs="宋体"/>
          <w:color w:val="auto"/>
          <w:sz w:val="24"/>
          <w:lang w:eastAsia="zh-CN"/>
        </w:rPr>
        <w:t>成交供应商</w:t>
      </w:r>
      <w:r>
        <w:rPr>
          <w:rFonts w:hint="eastAsia" w:ascii="宋体" w:hAnsi="宋体" w:eastAsia="宋体" w:cs="宋体"/>
          <w:color w:val="auto"/>
          <w:sz w:val="24"/>
        </w:rPr>
        <w:t>。</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8.</w:t>
      </w:r>
      <w:r>
        <w:rPr>
          <w:rFonts w:hint="eastAsia" w:ascii="宋体" w:hAnsi="宋体" w:eastAsia="宋体" w:cs="宋体"/>
          <w:color w:val="auto"/>
          <w:sz w:val="24"/>
        </w:rPr>
        <w:t>如果我们在规定的</w:t>
      </w:r>
      <w:r>
        <w:rPr>
          <w:rFonts w:hint="eastAsia" w:ascii="宋体" w:hAnsi="宋体" w:eastAsia="宋体" w:cs="宋体"/>
          <w:color w:val="auto"/>
          <w:sz w:val="24"/>
          <w:lang w:eastAsia="zh-CN"/>
        </w:rPr>
        <w:t>谈判</w:t>
      </w:r>
      <w:r>
        <w:rPr>
          <w:rFonts w:hint="eastAsia" w:ascii="宋体" w:hAnsi="宋体" w:eastAsia="宋体" w:cs="宋体"/>
          <w:color w:val="auto"/>
          <w:sz w:val="24"/>
        </w:rPr>
        <w:t>有效期内撤回</w:t>
      </w:r>
      <w:r>
        <w:rPr>
          <w:rFonts w:hint="eastAsia" w:ascii="宋体" w:hAnsi="宋体" w:eastAsia="宋体" w:cs="宋体"/>
          <w:color w:val="auto"/>
          <w:sz w:val="24"/>
          <w:lang w:eastAsia="zh-CN"/>
        </w:rPr>
        <w:t>谈判响应文件</w:t>
      </w:r>
      <w:r>
        <w:rPr>
          <w:rFonts w:hint="eastAsia" w:ascii="宋体" w:hAnsi="宋体" w:eastAsia="宋体" w:cs="宋体"/>
          <w:color w:val="auto"/>
          <w:sz w:val="24"/>
        </w:rPr>
        <w:t>，贵方可不予退还我们的谈判保证金。</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9.</w:t>
      </w:r>
      <w:r>
        <w:rPr>
          <w:rFonts w:hint="eastAsia" w:ascii="宋体" w:hAnsi="宋体" w:eastAsia="宋体" w:cs="宋体"/>
          <w:color w:val="auto"/>
          <w:sz w:val="24"/>
        </w:rPr>
        <w:t>我们同意向你方提供你方可能要求的与本</w:t>
      </w:r>
      <w:r>
        <w:rPr>
          <w:rFonts w:hint="eastAsia" w:ascii="宋体" w:hAnsi="宋体" w:eastAsia="宋体" w:cs="宋体"/>
          <w:color w:val="auto"/>
          <w:sz w:val="24"/>
          <w:lang w:eastAsia="zh-CN"/>
        </w:rPr>
        <w:t>谈判</w:t>
      </w:r>
      <w:r>
        <w:rPr>
          <w:rFonts w:hint="eastAsia" w:ascii="宋体" w:hAnsi="宋体" w:eastAsia="宋体" w:cs="宋体"/>
          <w:color w:val="auto"/>
          <w:sz w:val="24"/>
        </w:rPr>
        <w:t>有关的任何证据或资料。</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w:t>
      </w:r>
      <w:r>
        <w:rPr>
          <w:rFonts w:hint="eastAsia" w:ascii="宋体" w:hAnsi="宋体" w:eastAsia="宋体" w:cs="宋体"/>
          <w:color w:val="auto"/>
          <w:sz w:val="24"/>
        </w:rPr>
        <w:t>本</w:t>
      </w:r>
      <w:r>
        <w:rPr>
          <w:rFonts w:hint="eastAsia" w:ascii="宋体" w:hAnsi="宋体" w:eastAsia="宋体" w:cs="宋体"/>
          <w:color w:val="auto"/>
          <w:sz w:val="24"/>
          <w:lang w:eastAsia="zh-CN"/>
        </w:rPr>
        <w:t>谈判响应文件</w:t>
      </w:r>
      <w:r>
        <w:rPr>
          <w:rFonts w:hint="eastAsia" w:ascii="宋体" w:hAnsi="宋体" w:eastAsia="宋体" w:cs="宋体"/>
          <w:color w:val="auto"/>
          <w:sz w:val="24"/>
        </w:rPr>
        <w:t>自</w:t>
      </w:r>
      <w:r>
        <w:rPr>
          <w:rFonts w:hint="eastAsia" w:ascii="宋体" w:hAnsi="宋体" w:eastAsia="宋体" w:cs="宋体"/>
          <w:color w:val="auto"/>
          <w:sz w:val="24"/>
          <w:lang w:eastAsia="zh-CN"/>
        </w:rPr>
        <w:t>谈判</w:t>
      </w:r>
      <w:r>
        <w:rPr>
          <w:rFonts w:hint="eastAsia" w:ascii="宋体" w:hAnsi="宋体" w:eastAsia="宋体" w:cs="宋体"/>
          <w:color w:val="auto"/>
          <w:sz w:val="24"/>
        </w:rPr>
        <w:t>之时起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天内有效。</w:t>
      </w:r>
    </w:p>
    <w:p>
      <w:pPr>
        <w:widowControl/>
        <w:snapToGrid w:val="0"/>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b/>
          <w:bCs/>
          <w:color w:val="auto"/>
          <w:sz w:val="24"/>
        </w:rPr>
        <w:t>（盖单位公章）：</w:t>
      </w:r>
      <w:r>
        <w:rPr>
          <w:rFonts w:hint="eastAsia" w:ascii="宋体" w:hAnsi="宋体" w:eastAsia="宋体" w:cs="宋体"/>
          <w:color w:val="auto"/>
          <w:sz w:val="24"/>
          <w:u w:val="single"/>
        </w:rPr>
        <w:t xml:space="preserve">                      </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法定代表人或授权委托人：（签字或盖章）</w:t>
      </w:r>
      <w:r>
        <w:rPr>
          <w:rFonts w:hint="eastAsia" w:ascii="宋体" w:hAnsi="宋体" w:eastAsia="宋体" w:cs="宋体"/>
          <w:color w:val="auto"/>
          <w:sz w:val="24"/>
          <w:u w:val="single"/>
        </w:rPr>
        <w:t xml:space="preserve">                </w:t>
      </w:r>
    </w:p>
    <w:p>
      <w:pPr>
        <w:widowControl/>
        <w:snapToGrid w:val="0"/>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widowControl/>
        <w:snapToGrid w:val="0"/>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电话、传真或电传：</w:t>
      </w:r>
      <w:r>
        <w:rPr>
          <w:rFonts w:hint="eastAsia" w:ascii="宋体" w:hAnsi="宋体" w:eastAsia="宋体" w:cs="宋体"/>
          <w:color w:val="auto"/>
          <w:sz w:val="24"/>
          <w:u w:val="single"/>
        </w:rPr>
        <w:t xml:space="preserve">                           </w:t>
      </w:r>
    </w:p>
    <w:p>
      <w:pPr>
        <w:widowControl/>
        <w:snapToGrid w:val="0"/>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pPr>
        <w:widowControl/>
        <w:snapToGri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djustRightInd w:val="0"/>
        <w:snapToGrid w:val="0"/>
        <w:spacing w:line="240" w:lineRule="auto"/>
        <w:jc w:val="center"/>
        <w:rPr>
          <w:rFonts w:hint="eastAsia" w:ascii="宋体" w:hAnsi="宋体" w:eastAsia="宋体" w:cs="宋体"/>
          <w:b/>
          <w:color w:val="auto"/>
          <w:spacing w:val="40"/>
          <w:sz w:val="32"/>
          <w:szCs w:val="32"/>
        </w:rPr>
      </w:pPr>
    </w:p>
    <w:p>
      <w:pPr>
        <w:pStyle w:val="37"/>
        <w:rPr>
          <w:rFonts w:hint="eastAsia" w:ascii="宋体" w:hAnsi="宋体" w:eastAsia="宋体" w:cs="宋体"/>
          <w:color w:val="auto"/>
        </w:rPr>
      </w:pPr>
    </w:p>
    <w:p>
      <w:pPr>
        <w:pageBreakBefore w:val="0"/>
        <w:widowControl w:val="0"/>
        <w:wordWrap/>
        <w:topLinePunct w:val="0"/>
        <w:bidi w:val="0"/>
        <w:ind w:left="0" w:leftChars="0" w:firstLine="0" w:firstLineChars="0"/>
        <w:rPr>
          <w:rFonts w:hint="eastAsia" w:ascii="宋体" w:hAnsi="宋体" w:eastAsia="宋体" w:cs="宋体"/>
          <w:b/>
          <w:color w:val="auto"/>
          <w:spacing w:val="40"/>
          <w:sz w:val="32"/>
          <w:szCs w:val="32"/>
          <w:lang w:val="en-US" w:eastAsia="zh-CN"/>
        </w:rPr>
      </w:pPr>
      <w:r>
        <w:rPr>
          <w:rFonts w:hint="eastAsia" w:ascii="宋体" w:hAnsi="宋体" w:eastAsia="宋体" w:cs="宋体"/>
          <w:b/>
          <w:color w:val="auto"/>
          <w:spacing w:val="40"/>
          <w:sz w:val="32"/>
          <w:szCs w:val="32"/>
          <w:lang w:val="en-US" w:eastAsia="zh-CN"/>
        </w:rPr>
        <w:br w:type="page"/>
      </w:r>
      <w:bookmarkStart w:id="326" w:name="_Toc30184"/>
      <w:bookmarkStart w:id="327" w:name="_Toc6942"/>
      <w:bookmarkStart w:id="328" w:name="_Toc13124"/>
      <w:bookmarkStart w:id="329" w:name="_Toc2215_WPSOffice_Level2"/>
      <w:r>
        <w:rPr>
          <w:rFonts w:hint="eastAsia" w:ascii="宋体" w:hAnsi="宋体" w:eastAsia="宋体" w:cs="宋体"/>
          <w:b/>
          <w:color w:val="auto"/>
          <w:spacing w:val="40"/>
          <w:sz w:val="32"/>
          <w:szCs w:val="32"/>
          <w:lang w:val="en-US" w:eastAsia="zh-CN"/>
        </w:rPr>
        <w:t>格式4：报价一览表</w:t>
      </w:r>
      <w:bookmarkEnd w:id="326"/>
      <w:bookmarkEnd w:id="327"/>
    </w:p>
    <w:p>
      <w:pPr>
        <w:pageBreakBefore w:val="0"/>
        <w:widowControl w:val="0"/>
        <w:wordWrap/>
        <w:topLinePunct w:val="0"/>
        <w:bidi w:val="0"/>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p>
      <w:pPr>
        <w:pageBreakBefore w:val="0"/>
        <w:widowControl w:val="0"/>
        <w:wordWrap/>
        <w:topLinePunct w:val="0"/>
        <w:bidi w:val="0"/>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2520"/>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0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leftChars="0" w:right="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718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内容</w:t>
            </w:r>
          </w:p>
        </w:tc>
        <w:tc>
          <w:tcPr>
            <w:tcW w:w="129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leftChars="0" w:right="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leftChars="0" w:right="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52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名称</w:t>
            </w:r>
          </w:p>
        </w:tc>
        <w:tc>
          <w:tcPr>
            <w:tcW w:w="46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p>
        </w:tc>
        <w:tc>
          <w:tcPr>
            <w:tcW w:w="129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110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leftChars="0" w:right="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pacing w:before="0" w:beforeAutospacing="0" w:after="0" w:afterAutospacing="0"/>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大写：           元</w:t>
            </w:r>
          </w:p>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leftChars="0" w:right="0"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default" w:ascii="宋体" w:hAnsi="宋体" w:eastAsia="宋体" w:cs="宋体"/>
                <w:b w:val="0"/>
                <w:bCs/>
                <w:color w:val="auto"/>
                <w:sz w:val="24"/>
                <w:szCs w:val="24"/>
                <w:highlight w:val="none"/>
                <w:u w:val="single"/>
                <w:lang w:val="en-US"/>
              </w:rPr>
            </w:pPr>
            <w:r>
              <w:rPr>
                <w:rFonts w:hint="eastAsia" w:ascii="宋体" w:hAnsi="宋体" w:eastAsia="宋体" w:cs="宋体"/>
                <w:b w:val="0"/>
                <w:bCs/>
                <w:color w:val="auto"/>
                <w:sz w:val="24"/>
                <w:szCs w:val="24"/>
                <w:highlight w:val="none"/>
                <w:lang w:val="en-US" w:eastAsia="zh-CN"/>
              </w:rPr>
              <w:t>供货期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2559" w:right="0"/>
              <w:rPr>
                <w:rFonts w:hint="eastAsia" w:ascii="宋体" w:hAnsi="宋体" w:eastAsia="宋体" w:cs="宋体"/>
                <w:b w:val="0"/>
                <w:bCs/>
                <w:color w:val="auto"/>
                <w:sz w:val="24"/>
                <w:szCs w:val="24"/>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leftChars="0" w:right="0" w:firstLine="0" w:firstLineChars="0"/>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其他事项申明</w:t>
            </w:r>
          </w:p>
        </w:tc>
        <w:tc>
          <w:tcPr>
            <w:tcW w:w="46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wordWrap/>
              <w:topLinePunct w:val="0"/>
              <w:bidi w:val="0"/>
              <w:snapToGrid w:val="0"/>
              <w:spacing w:before="0" w:beforeAutospacing="0" w:after="0" w:afterAutospacing="0" w:line="400" w:lineRule="exact"/>
              <w:ind w:left="0" w:right="0"/>
              <w:rPr>
                <w:rFonts w:hint="eastAsia" w:ascii="宋体" w:hAnsi="宋体" w:eastAsia="宋体" w:cs="宋体"/>
                <w:b w:val="0"/>
                <w:bCs/>
                <w:color w:val="auto"/>
                <w:sz w:val="24"/>
                <w:szCs w:val="24"/>
                <w:highlight w:val="none"/>
              </w:rPr>
            </w:pPr>
          </w:p>
        </w:tc>
      </w:tr>
    </w:tbl>
    <w:p>
      <w:pPr>
        <w:pageBreakBefore w:val="0"/>
        <w:widowControl w:val="0"/>
        <w:wordWrap/>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注:</w:t>
      </w:r>
    </w:p>
    <w:p>
      <w:pPr>
        <w:pageBreakBefore w:val="0"/>
        <w:widowControl w:val="0"/>
        <w:numPr>
          <w:ilvl w:val="0"/>
          <w:numId w:val="4"/>
        </w:numPr>
        <w:wordWrap/>
        <w:topLinePunct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报价如修改，应在修改处加盖单位公章或者由法定代表人或授权委托人</w:t>
      </w:r>
      <w:r>
        <w:rPr>
          <w:rFonts w:hint="eastAsia" w:ascii="宋体" w:hAnsi="宋体" w:eastAsia="宋体" w:cs="宋体"/>
          <w:color w:val="auto"/>
          <w:sz w:val="24"/>
          <w:szCs w:val="24"/>
          <w:highlight w:val="none"/>
          <w:lang w:eastAsia="zh-CN"/>
        </w:rPr>
        <w:t>签字、盖章</w:t>
      </w:r>
      <w:r>
        <w:rPr>
          <w:rFonts w:hint="eastAsia" w:ascii="宋体" w:hAnsi="宋体" w:eastAsia="宋体" w:cs="宋体"/>
          <w:color w:val="auto"/>
          <w:sz w:val="24"/>
          <w:szCs w:val="24"/>
          <w:highlight w:val="none"/>
        </w:rPr>
        <w:t>，否则其</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作无效标处理。</w:t>
      </w:r>
    </w:p>
    <w:p>
      <w:pPr>
        <w:pageBreakBefore w:val="0"/>
        <w:widowControl w:val="0"/>
        <w:numPr>
          <w:ilvl w:val="0"/>
          <w:numId w:val="4"/>
        </w:numPr>
        <w:wordWrap/>
        <w:topLinePunct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报价一览表需按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提供的格式填写，统一规范，不得自行增减内容</w:t>
      </w:r>
      <w:r>
        <w:rPr>
          <w:rFonts w:hint="eastAsia" w:ascii="宋体" w:hAnsi="宋体" w:eastAsia="宋体" w:cs="宋体"/>
          <w:color w:val="auto"/>
          <w:sz w:val="24"/>
          <w:szCs w:val="24"/>
          <w:highlight w:val="none"/>
          <w:lang w:eastAsia="zh-CN"/>
        </w:rPr>
        <w:t>。</w:t>
      </w:r>
    </w:p>
    <w:p>
      <w:pPr>
        <w:pageBreakBefore w:val="0"/>
        <w:widowControl w:val="0"/>
        <w:wordWrap/>
        <w:topLinePunct w:val="0"/>
        <w:bidi w:val="0"/>
        <w:spacing w:before="100" w:beforeAutospacing="1" w:after="100" w:afterAutospacing="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（公章）   </w:t>
      </w:r>
    </w:p>
    <w:p>
      <w:pPr>
        <w:pageBreakBefore w:val="0"/>
        <w:widowControl w:val="0"/>
        <w:wordWrap/>
        <w:topLinePunct w:val="0"/>
        <w:bidi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法定代表人或授权代表人（</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ageBreakBefore w:val="0"/>
        <w:widowControl w:val="0"/>
        <w:wordWrap/>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val="0"/>
        <w:wordWrap/>
        <w:topLinePunct w:val="0"/>
        <w:bidi w:val="0"/>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ageBreakBefore w:val="0"/>
        <w:widowControl w:val="0"/>
        <w:wordWrap/>
        <w:topLinePunct w:val="0"/>
        <w:bidi w:val="0"/>
        <w:ind w:firstLine="2640" w:firstLineChars="1100"/>
        <w:rPr>
          <w:rFonts w:hint="eastAsia" w:ascii="宋体" w:hAnsi="宋体" w:eastAsia="宋体" w:cs="宋体"/>
          <w:color w:val="auto"/>
          <w:sz w:val="24"/>
          <w:szCs w:val="24"/>
          <w:highlight w:val="none"/>
        </w:rPr>
      </w:pPr>
    </w:p>
    <w:p>
      <w:pPr>
        <w:pageBreakBefore w:val="0"/>
        <w:widowControl w:val="0"/>
        <w:wordWrap/>
        <w:topLinePunct w:val="0"/>
        <w:bidi w:val="0"/>
        <w:jc w:val="both"/>
        <w:rPr>
          <w:rFonts w:hint="eastAsia" w:ascii="宋体" w:hAnsi="宋体" w:eastAsia="宋体" w:cs="宋体"/>
          <w:b/>
          <w:color w:val="auto"/>
          <w:spacing w:val="40"/>
          <w:sz w:val="32"/>
          <w:szCs w:val="32"/>
          <w:lang w:val="en-US" w:eastAsia="zh-CN"/>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pacing w:val="40"/>
          <w:sz w:val="32"/>
          <w:szCs w:val="32"/>
          <w:lang w:val="en-US" w:eastAsia="zh-CN"/>
        </w:rPr>
        <w:t>格式5：报价明细表</w:t>
      </w:r>
    </w:p>
    <w:p>
      <w:pPr>
        <w:pageBreakBefore w:val="0"/>
        <w:widowControl w:val="0"/>
        <w:wordWrap/>
        <w:topLinePunct w:val="0"/>
        <w:bidi w:val="0"/>
        <w:jc w:val="left"/>
        <w:rPr>
          <w:rFonts w:hint="eastAsia" w:ascii="宋体" w:hAnsi="宋体" w:eastAsia="宋体" w:cs="宋体"/>
          <w:b w:val="0"/>
          <w:bCs/>
          <w:color w:val="auto"/>
          <w:sz w:val="24"/>
          <w:szCs w:val="24"/>
          <w:highlight w:val="none"/>
          <w:lang w:val="en-US" w:eastAsia="zh-CN"/>
        </w:rPr>
      </w:pPr>
    </w:p>
    <w:p>
      <w:pPr>
        <w:pageBreakBefore w:val="0"/>
        <w:widowControl w:val="0"/>
        <w:wordWrap/>
        <w:topLinePunct w:val="0"/>
        <w:bidi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项目名称</w:t>
      </w:r>
      <w:r>
        <w:rPr>
          <w:rFonts w:hint="eastAsia" w:ascii="宋体" w:hAnsi="宋体" w:eastAsia="宋体" w:cs="宋体"/>
          <w:b w:val="0"/>
          <w:bCs/>
          <w:color w:val="auto"/>
          <w:sz w:val="24"/>
          <w:szCs w:val="24"/>
          <w:highlight w:val="none"/>
        </w:rPr>
        <w:t>：</w:t>
      </w:r>
    </w:p>
    <w:p>
      <w:pPr>
        <w:pStyle w:val="5"/>
        <w:pageBreakBefore w:val="0"/>
        <w:widowControl w:val="0"/>
        <w:wordWrap/>
        <w:topLinePunct w:val="0"/>
        <w:bidi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项目编号：</w:t>
      </w:r>
    </w:p>
    <w:tbl>
      <w:tblPr>
        <w:tblStyle w:val="4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26"/>
        <w:gridCol w:w="965"/>
        <w:gridCol w:w="703"/>
        <w:gridCol w:w="872"/>
        <w:gridCol w:w="975"/>
        <w:gridCol w:w="863"/>
        <w:gridCol w:w="975"/>
        <w:gridCol w:w="125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15"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序号</w:t>
            </w:r>
          </w:p>
        </w:tc>
        <w:tc>
          <w:tcPr>
            <w:tcW w:w="1826" w:type="dxa"/>
            <w:noWrap w:val="0"/>
            <w:vAlign w:val="center"/>
          </w:tcPr>
          <w:p>
            <w:pPr>
              <w:keepNext w:val="0"/>
              <w:keepLines w:val="0"/>
              <w:suppressLineNumbers w:val="0"/>
              <w:spacing w:before="0" w:beforeAutospacing="0" w:after="0" w:afterAutospacing="0" w:line="440" w:lineRule="exact"/>
              <w:ind w:left="0" w:leftChars="0" w:right="0" w:firstLine="240" w:firstLineChars="100"/>
              <w:jc w:val="both"/>
              <w:rPr>
                <w:rFonts w:hint="default"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货物</w:t>
            </w:r>
            <w:r>
              <w:rPr>
                <w:rFonts w:hint="eastAsia" w:ascii="宋体" w:hAnsi="宋体" w:cs="Times New Roman"/>
                <w:color w:val="auto"/>
                <w:sz w:val="24"/>
                <w:szCs w:val="24"/>
                <w:highlight w:val="none"/>
              </w:rPr>
              <w:t>名称</w:t>
            </w:r>
          </w:p>
        </w:tc>
        <w:tc>
          <w:tcPr>
            <w:tcW w:w="965"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规格及型号</w:t>
            </w:r>
          </w:p>
        </w:tc>
        <w:tc>
          <w:tcPr>
            <w:tcW w:w="703"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单位</w:t>
            </w:r>
          </w:p>
        </w:tc>
        <w:tc>
          <w:tcPr>
            <w:tcW w:w="872"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数量</w:t>
            </w:r>
          </w:p>
        </w:tc>
        <w:tc>
          <w:tcPr>
            <w:tcW w:w="975"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综合单价（元）</w:t>
            </w:r>
          </w:p>
        </w:tc>
        <w:tc>
          <w:tcPr>
            <w:tcW w:w="863"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总价（元）</w:t>
            </w:r>
          </w:p>
        </w:tc>
        <w:tc>
          <w:tcPr>
            <w:tcW w:w="975"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品牌及产地</w:t>
            </w:r>
          </w:p>
        </w:tc>
        <w:tc>
          <w:tcPr>
            <w:tcW w:w="1256" w:type="dxa"/>
            <w:noWrap w:val="0"/>
            <w:vAlign w:val="center"/>
          </w:tcPr>
          <w:p>
            <w:pPr>
              <w:keepNext w:val="0"/>
              <w:keepLines w:val="0"/>
              <w:suppressLineNumbers w:val="0"/>
              <w:spacing w:before="0" w:beforeAutospacing="0" w:after="0" w:afterAutospacing="0" w:line="440" w:lineRule="exact"/>
              <w:ind w:left="0" w:leftChars="0" w:right="0" w:firstLine="0" w:firstLineChar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rPr>
              <w:t>制造商是否为中小企业</w:t>
            </w:r>
          </w:p>
        </w:tc>
        <w:tc>
          <w:tcPr>
            <w:tcW w:w="825" w:type="dxa"/>
            <w:noWrap w:val="0"/>
            <w:vAlign w:val="center"/>
          </w:tcPr>
          <w:p>
            <w:pPr>
              <w:keepNext w:val="0"/>
              <w:keepLines w:val="0"/>
              <w:suppressLineNumbers w:val="0"/>
              <w:spacing w:before="0" w:beforeAutospacing="0" w:after="0" w:afterAutospacing="0" w:line="440" w:lineRule="exact"/>
              <w:ind w:left="0" w:leftChars="0" w:right="0" w:firstLine="0" w:firstLineChars="0"/>
              <w:jc w:val="both"/>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82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6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70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7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6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82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6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70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7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6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82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6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70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7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6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82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6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70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7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6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82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6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70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7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63"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97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41"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合计金额（小写）</w:t>
            </w:r>
          </w:p>
        </w:tc>
        <w:tc>
          <w:tcPr>
            <w:tcW w:w="5353" w:type="dxa"/>
            <w:gridSpan w:val="6"/>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41"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合计金额（大写）：</w:t>
            </w:r>
          </w:p>
        </w:tc>
        <w:tc>
          <w:tcPr>
            <w:tcW w:w="5353" w:type="dxa"/>
            <w:gridSpan w:val="6"/>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41" w:type="dxa"/>
            <w:gridSpan w:val="2"/>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rPr>
              <w:t>质保</w:t>
            </w:r>
            <w:r>
              <w:rPr>
                <w:rFonts w:hint="eastAsia" w:ascii="宋体" w:hAnsi="宋体" w:cs="Times New Roman"/>
                <w:color w:val="auto"/>
                <w:sz w:val="24"/>
                <w:szCs w:val="24"/>
                <w:highlight w:val="none"/>
                <w:lang w:val="en-US" w:eastAsia="zh-CN"/>
              </w:rPr>
              <w:t>期</w:t>
            </w:r>
          </w:p>
        </w:tc>
        <w:tc>
          <w:tcPr>
            <w:tcW w:w="5353" w:type="dxa"/>
            <w:gridSpan w:val="6"/>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1256"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c>
          <w:tcPr>
            <w:tcW w:w="82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bl>
    <w:p>
      <w:pPr>
        <w:ind w:left="0" w:leftChars="0" w:firstLine="0" w:firstLineChars="0"/>
        <w:rPr>
          <w:rFonts w:hint="default"/>
          <w:color w:val="auto"/>
          <w:sz w:val="24"/>
          <w:szCs w:val="24"/>
          <w:highlight w:val="none"/>
          <w:lang w:val="en-US" w:eastAsia="zh-CN"/>
        </w:rPr>
      </w:pPr>
    </w:p>
    <w:p>
      <w:pPr>
        <w:pageBreakBefore w:val="0"/>
        <w:widowControl w:val="0"/>
        <w:wordWrap/>
        <w:topLinePunct w:val="0"/>
        <w:bidi w:val="0"/>
        <w:outlineLvl w:val="1"/>
        <w:rPr>
          <w:rFonts w:hint="eastAsia" w:ascii="宋体" w:hAnsi="宋体" w:eastAsia="宋体" w:cs="宋体"/>
          <w:b/>
          <w:bCs/>
          <w:color w:val="auto"/>
          <w:sz w:val="24"/>
          <w:szCs w:val="24"/>
          <w:highlight w:val="none"/>
        </w:rPr>
      </w:pPr>
      <w:bookmarkStart w:id="330" w:name="_Toc31903"/>
      <w:bookmarkStart w:id="331" w:name="_Toc26935"/>
      <w:r>
        <w:rPr>
          <w:rFonts w:hint="eastAsia" w:ascii="宋体" w:hAnsi="宋体" w:eastAsia="宋体" w:cs="宋体"/>
          <w:b/>
          <w:bCs/>
          <w:color w:val="auto"/>
          <w:sz w:val="24"/>
          <w:szCs w:val="24"/>
          <w:highlight w:val="none"/>
        </w:rPr>
        <w:t>（此表可延长</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未填写的按废标处理）</w:t>
      </w:r>
      <w:bookmarkEnd w:id="330"/>
      <w:bookmarkEnd w:id="331"/>
    </w:p>
    <w:p>
      <w:pPr>
        <w:pageBreakBefore w:val="0"/>
        <w:widowControl w:val="0"/>
        <w:wordWrap/>
        <w:topLinePunct w:val="0"/>
        <w:bidi w:val="0"/>
        <w:spacing w:before="100" w:beforeAutospacing="1" w:after="100" w:afterAutospacing="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（公章）   </w:t>
      </w:r>
    </w:p>
    <w:p>
      <w:pPr>
        <w:pageBreakBefore w:val="0"/>
        <w:widowControl w:val="0"/>
        <w:wordWrap/>
        <w:topLinePunct w:val="0"/>
        <w:bidi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法定代表人或授权代表人（</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ageBreakBefore w:val="0"/>
        <w:widowControl w:val="0"/>
        <w:wordWrap/>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pageBreakBefore w:val="0"/>
        <w:widowControl w:val="0"/>
        <w:wordWrap/>
        <w:topLinePunct w:val="0"/>
        <w:bidi w:val="0"/>
        <w:rPr>
          <w:rFonts w:hint="eastAsia" w:ascii="宋体" w:hAnsi="宋体" w:eastAsia="宋体" w:cs="宋体"/>
          <w:b/>
          <w:color w:val="auto"/>
          <w:sz w:val="24"/>
          <w:szCs w:val="24"/>
          <w:highlight w:val="none"/>
        </w:rPr>
      </w:pP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注：1、合计金额应为各分项价格之和。</w:t>
      </w: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2、上述报价包含一切由供方承担的费用。</w:t>
      </w: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3、请各</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根据</w:t>
      </w:r>
      <w:r>
        <w:rPr>
          <w:rFonts w:hint="eastAsia" w:ascii="宋体" w:hAnsi="宋体" w:eastAsia="宋体" w:cs="Times New Roman"/>
          <w:color w:val="auto"/>
          <w:sz w:val="24"/>
          <w:szCs w:val="24"/>
          <w:highlight w:val="none"/>
          <w:lang w:eastAsia="zh-CN"/>
        </w:rPr>
        <w:t>谈判</w:t>
      </w:r>
      <w:r>
        <w:rPr>
          <w:rFonts w:hint="eastAsia" w:ascii="宋体" w:hAnsi="宋体" w:eastAsia="宋体" w:cs="Times New Roman"/>
          <w:color w:val="auto"/>
          <w:sz w:val="24"/>
          <w:szCs w:val="24"/>
          <w:highlight w:val="none"/>
        </w:rPr>
        <w:t>方案，在本表中详细写明所有产品型号规格、主要技术参数、数量、综合单价、总价及品牌和产地。</w:t>
      </w:r>
    </w:p>
    <w:p>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4、综合单价必须包括货物、安装、调试、技术支持、运输、保险、售后服务、培训及其它必需服务的报价。</w:t>
      </w:r>
    </w:p>
    <w:p>
      <w:pPr>
        <w:adjustRightInd w:val="0"/>
        <w:snapToGrid w:val="0"/>
        <w:spacing w:line="240" w:lineRule="auto"/>
        <w:ind w:left="0" w:leftChars="0" w:firstLine="0" w:firstLineChars="0"/>
        <w:jc w:val="center"/>
        <w:outlineLvl w:val="0"/>
        <w:rPr>
          <w:rFonts w:hint="eastAsia" w:ascii="宋体" w:hAnsi="宋体" w:eastAsia="宋体" w:cs="宋体"/>
          <w:b/>
          <w:color w:val="auto"/>
          <w:spacing w:val="40"/>
          <w:sz w:val="32"/>
          <w:szCs w:val="32"/>
          <w:lang w:val="en-US" w:eastAsia="zh-CN"/>
        </w:rPr>
      </w:pPr>
    </w:p>
    <w:p>
      <w:pPr>
        <w:adjustRightInd w:val="0"/>
        <w:snapToGrid w:val="0"/>
        <w:spacing w:line="240" w:lineRule="auto"/>
        <w:ind w:left="0" w:leftChars="0" w:firstLine="0" w:firstLineChars="0"/>
        <w:jc w:val="center"/>
        <w:outlineLvl w:val="0"/>
        <w:rPr>
          <w:rFonts w:hint="eastAsia" w:ascii="宋体" w:hAnsi="宋体" w:eastAsia="宋体" w:cs="宋体"/>
          <w:b/>
          <w:color w:val="auto"/>
          <w:spacing w:val="40"/>
          <w:sz w:val="32"/>
          <w:szCs w:val="32"/>
          <w:lang w:val="en-US" w:eastAsia="zh-CN"/>
        </w:rPr>
      </w:pPr>
    </w:p>
    <w:p>
      <w:pPr>
        <w:jc w:val="both"/>
        <w:rPr>
          <w:rFonts w:hint="eastAsia" w:ascii="宋体" w:hAnsi="宋体" w:eastAsia="宋体" w:cs="宋体"/>
          <w:b/>
          <w:bCs w:val="0"/>
          <w:color w:val="auto"/>
          <w:kern w:val="2"/>
          <w:sz w:val="32"/>
          <w:szCs w:val="32"/>
          <w:lang w:val="en-US" w:eastAsia="zh-CN" w:bidi="ar-SA"/>
        </w:rPr>
      </w:pPr>
      <w:r>
        <w:rPr>
          <w:rFonts w:hint="eastAsia" w:ascii="宋体" w:hAnsi="宋体" w:eastAsia="宋体" w:cs="宋体"/>
          <w:b/>
          <w:color w:val="auto"/>
          <w:spacing w:val="40"/>
          <w:sz w:val="32"/>
          <w:szCs w:val="32"/>
          <w:lang w:val="en-US" w:eastAsia="zh-CN"/>
        </w:rPr>
        <w:br w:type="page"/>
      </w:r>
      <w:r>
        <w:rPr>
          <w:rFonts w:hint="eastAsia" w:ascii="宋体" w:hAnsi="宋体" w:eastAsia="宋体" w:cs="宋体"/>
          <w:b/>
          <w:color w:val="auto"/>
          <w:spacing w:val="40"/>
          <w:sz w:val="32"/>
          <w:szCs w:val="32"/>
          <w:lang w:val="en-US" w:eastAsia="zh-CN"/>
        </w:rPr>
        <w:t>格式6</w:t>
      </w:r>
      <w:r>
        <w:rPr>
          <w:rFonts w:hint="eastAsia" w:ascii="宋体" w:hAnsi="宋体" w:eastAsia="宋体" w:cs="宋体"/>
          <w:b/>
          <w:bCs w:val="0"/>
          <w:color w:val="auto"/>
          <w:kern w:val="2"/>
          <w:sz w:val="32"/>
          <w:szCs w:val="32"/>
          <w:lang w:val="en-US" w:eastAsia="zh-CN" w:bidi="ar-SA"/>
        </w:rPr>
        <w:t>、供应商基本情况表</w:t>
      </w:r>
    </w:p>
    <w:tbl>
      <w:tblPr>
        <w:tblStyle w:val="45"/>
        <w:tblW w:w="9760"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337"/>
        <w:gridCol w:w="1057"/>
        <w:gridCol w:w="822"/>
        <w:gridCol w:w="1511"/>
        <w:gridCol w:w="85"/>
        <w:gridCol w:w="1476"/>
        <w:gridCol w:w="642"/>
        <w:gridCol w:w="571"/>
        <w:gridCol w:w="1259"/>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390"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33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3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233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传真</w:t>
            </w:r>
          </w:p>
        </w:tc>
        <w:tc>
          <w:tcPr>
            <w:tcW w:w="23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企业性质</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82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9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6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8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技术负责人</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82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9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6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8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5544"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营业执照号</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11" w:type="dxa"/>
            <w:vMerge w:val="restart"/>
            <w:tcBorders>
              <w:top w:val="single" w:color="000000" w:sz="6" w:space="0"/>
              <w:left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注册资金（万元）</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82"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开户银行</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账 号</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经营范围</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46"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suppressLineNumbers w:val="0"/>
              <w:spacing w:before="0" w:beforeAutospacing="0" w:after="0" w:afterAutospacing="0" w:line="400" w:lineRule="atLeast"/>
              <w:ind w:left="0" w:right="0"/>
              <w:jc w:val="center"/>
              <w:rPr>
                <w:rFonts w:hint="eastAsia" w:ascii="宋体" w:hAnsi="宋体" w:eastAsia="宋体" w:cs="宋体"/>
                <w:color w:val="auto"/>
                <w:sz w:val="24"/>
              </w:rPr>
            </w:pPr>
          </w:p>
        </w:tc>
      </w:tr>
    </w:tbl>
    <w:p>
      <w:pPr>
        <w:jc w:val="left"/>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760" w:lineRule="exact"/>
        <w:ind w:firstLine="4320" w:firstLineChars="18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：（盖单位公章）</w:t>
      </w:r>
    </w:p>
    <w:p>
      <w:pPr>
        <w:spacing w:line="76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 xml:space="preserve">      法定代表人或授权委托人：（</w:t>
      </w:r>
      <w:r>
        <w:rPr>
          <w:rFonts w:hint="eastAsia" w:ascii="宋体" w:hAnsi="宋体" w:eastAsia="宋体" w:cs="宋体"/>
          <w:color w:val="auto"/>
          <w:sz w:val="24"/>
          <w:lang w:val="en-US" w:eastAsia="zh-CN"/>
        </w:rPr>
        <w:t>签字或盖章</w:t>
      </w:r>
      <w:r>
        <w:rPr>
          <w:rFonts w:hint="eastAsia" w:ascii="宋体" w:hAnsi="宋体" w:eastAsia="宋体" w:cs="宋体"/>
          <w:color w:val="auto"/>
          <w:sz w:val="24"/>
        </w:rPr>
        <w:t>）</w:t>
      </w:r>
    </w:p>
    <w:p>
      <w:pPr>
        <w:spacing w:line="760" w:lineRule="exact"/>
        <w:ind w:firstLine="4320" w:firstLineChars="1800"/>
        <w:rPr>
          <w:rFonts w:hint="eastAsia" w:ascii="宋体" w:hAnsi="宋体" w:eastAsia="宋体" w:cs="宋体"/>
          <w:b/>
          <w:bCs/>
          <w:color w:val="auto"/>
          <w:sz w:val="28"/>
          <w:szCs w:val="36"/>
          <w:lang w:eastAsia="zh-CN"/>
        </w:rPr>
      </w:pPr>
      <w:r>
        <w:rPr>
          <w:rFonts w:hint="eastAsia" w:ascii="宋体" w:hAnsi="宋体" w:eastAsia="宋体" w:cs="宋体"/>
          <w:color w:val="auto"/>
          <w:sz w:val="24"/>
        </w:rPr>
        <w:t>日     期：      年     月      日</w:t>
      </w:r>
      <w:bookmarkStart w:id="332" w:name="_Toc21580"/>
      <w:bookmarkStart w:id="333" w:name="_Toc7040"/>
      <w:bookmarkStart w:id="334" w:name="_Toc22"/>
    </w:p>
    <w:p>
      <w:pPr>
        <w:adjustRightInd w:val="0"/>
        <w:snapToGrid w:val="0"/>
        <w:spacing w:line="240" w:lineRule="auto"/>
        <w:ind w:left="0" w:leftChars="0" w:firstLine="0" w:firstLineChars="0"/>
        <w:jc w:val="both"/>
        <w:outlineLvl w:val="0"/>
        <w:rPr>
          <w:rFonts w:hint="eastAsia" w:ascii="宋体" w:hAnsi="宋体" w:eastAsia="宋体" w:cs="宋体"/>
          <w:b/>
          <w:color w:val="auto"/>
          <w:spacing w:val="40"/>
          <w:sz w:val="32"/>
          <w:szCs w:val="32"/>
        </w:rPr>
      </w:pPr>
      <w:r>
        <w:rPr>
          <w:rFonts w:hint="eastAsia" w:ascii="宋体" w:hAnsi="宋体" w:eastAsia="宋体" w:cs="宋体"/>
          <w:b/>
          <w:bCs/>
          <w:color w:val="auto"/>
          <w:sz w:val="28"/>
          <w:szCs w:val="36"/>
          <w:lang w:eastAsia="zh-CN"/>
        </w:rPr>
        <w:br w:type="page"/>
      </w:r>
      <w:bookmarkEnd w:id="332"/>
      <w:bookmarkEnd w:id="333"/>
      <w:bookmarkEnd w:id="334"/>
      <w:r>
        <w:rPr>
          <w:rFonts w:hint="eastAsia" w:ascii="宋体" w:hAnsi="宋体" w:eastAsia="宋体" w:cs="宋体"/>
          <w:b/>
          <w:color w:val="auto"/>
          <w:spacing w:val="40"/>
          <w:sz w:val="32"/>
          <w:szCs w:val="32"/>
          <w:lang w:val="en-US" w:eastAsia="zh-CN"/>
        </w:rPr>
        <w:t>格式7、</w:t>
      </w:r>
      <w:r>
        <w:rPr>
          <w:rFonts w:hint="eastAsia" w:ascii="宋体" w:hAnsi="宋体" w:eastAsia="宋体" w:cs="宋体"/>
          <w:b/>
          <w:color w:val="auto"/>
          <w:spacing w:val="40"/>
          <w:sz w:val="32"/>
          <w:szCs w:val="32"/>
        </w:rPr>
        <w:t>技术参数、功能偏离表</w:t>
      </w:r>
      <w:bookmarkEnd w:id="328"/>
    </w:p>
    <w:p>
      <w:pPr>
        <w:spacing w:line="400" w:lineRule="atLeast"/>
        <w:rPr>
          <w:rFonts w:hint="eastAsia" w:ascii="宋体" w:hAnsi="宋体" w:eastAsia="宋体" w:cs="宋体"/>
          <w:color w:val="auto"/>
          <w:sz w:val="24"/>
        </w:rPr>
      </w:pPr>
    </w:p>
    <w:p>
      <w:pPr>
        <w:spacing w:line="400" w:lineRule="atLeast"/>
        <w:ind w:firstLine="240" w:firstLineChars="100"/>
        <w:rPr>
          <w:rFonts w:hint="eastAsia" w:ascii="宋体" w:hAnsi="宋体" w:eastAsia="宋体" w:cs="宋体"/>
          <w:color w:val="auto"/>
          <w:sz w:val="24"/>
          <w:u w:val="single"/>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名称（公章）：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rPr>
        <w:t>　　　　　　　　　　　</w:t>
      </w:r>
    </w:p>
    <w:tbl>
      <w:tblPr>
        <w:tblStyle w:val="45"/>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19"/>
        <w:gridCol w:w="2777"/>
        <w:gridCol w:w="2564"/>
        <w:gridCol w:w="153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noWrap w:val="0"/>
            <w:vAlign w:val="center"/>
          </w:tcPr>
          <w:p>
            <w:pPr>
              <w:keepNext w:val="0"/>
              <w:keepLines w:val="0"/>
              <w:suppressLineNumbers w:val="0"/>
              <w:spacing w:before="0" w:beforeAutospacing="0" w:after="0" w:afterAutospacing="0" w:line="400" w:lineRule="atLeast"/>
              <w:ind w:left="0" w:leftChars="0" w:right="0" w:firstLine="0" w:firstLineChars="0"/>
              <w:jc w:val="both"/>
              <w:rPr>
                <w:rFonts w:hint="eastAsia" w:ascii="宋体" w:hAnsi="宋体" w:eastAsia="宋体" w:cs="宋体"/>
                <w:color w:val="auto"/>
                <w:sz w:val="24"/>
              </w:rPr>
            </w:pPr>
            <w:r>
              <w:rPr>
                <w:rFonts w:hint="eastAsia" w:ascii="宋体" w:hAnsi="宋体" w:eastAsia="宋体" w:cs="宋体"/>
                <w:color w:val="auto"/>
                <w:sz w:val="24"/>
              </w:rPr>
              <w:t>序号</w:t>
            </w:r>
          </w:p>
        </w:tc>
        <w:tc>
          <w:tcPr>
            <w:tcW w:w="1819" w:type="dxa"/>
            <w:noWrap w:val="0"/>
            <w:vAlign w:val="center"/>
          </w:tcPr>
          <w:p>
            <w:pPr>
              <w:keepNext w:val="0"/>
              <w:keepLines w:val="0"/>
              <w:suppressLineNumbers w:val="0"/>
              <w:spacing w:before="0" w:beforeAutospacing="0" w:after="0" w:afterAutospacing="0" w:line="400" w:lineRule="atLeast"/>
              <w:ind w:left="0" w:leftChars="0" w:right="0" w:firstLine="0" w:firstLineChars="0"/>
              <w:jc w:val="both"/>
              <w:rPr>
                <w:rFonts w:hint="eastAsia" w:ascii="宋体" w:hAnsi="宋体" w:eastAsia="宋体" w:cs="宋体"/>
                <w:color w:val="auto"/>
                <w:sz w:val="24"/>
              </w:rPr>
            </w:pP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文件规格条目号</w:t>
            </w:r>
          </w:p>
        </w:tc>
        <w:tc>
          <w:tcPr>
            <w:tcW w:w="2777" w:type="dxa"/>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文件要求规格</w:t>
            </w:r>
          </w:p>
        </w:tc>
        <w:tc>
          <w:tcPr>
            <w:tcW w:w="2564" w:type="dxa"/>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lang w:eastAsia="zh-CN"/>
              </w:rPr>
              <w:t>谈判</w:t>
            </w:r>
            <w:r>
              <w:rPr>
                <w:rFonts w:hint="eastAsia" w:ascii="宋体" w:hAnsi="宋体" w:eastAsia="宋体" w:cs="宋体"/>
                <w:color w:val="auto"/>
                <w:sz w:val="24"/>
              </w:rPr>
              <w:t>规格</w:t>
            </w:r>
          </w:p>
        </w:tc>
        <w:tc>
          <w:tcPr>
            <w:tcW w:w="1535" w:type="dxa"/>
            <w:noWrap w:val="0"/>
            <w:vAlign w:val="center"/>
          </w:tcPr>
          <w:p>
            <w:pPr>
              <w:keepNext w:val="0"/>
              <w:keepLines w:val="0"/>
              <w:suppressLineNumbers w:val="0"/>
              <w:spacing w:before="0" w:beforeAutospacing="0" w:after="0" w:afterAutospacing="0" w:line="400" w:lineRule="atLeast"/>
              <w:ind w:left="0" w:leftChars="0" w:right="0" w:firstLine="0" w:firstLineChars="0"/>
              <w:jc w:val="center"/>
              <w:rPr>
                <w:rFonts w:hint="eastAsia" w:ascii="宋体" w:hAnsi="宋体" w:eastAsia="宋体" w:cs="宋体"/>
                <w:color w:val="auto"/>
                <w:sz w:val="24"/>
              </w:rPr>
            </w:pPr>
            <w:r>
              <w:rPr>
                <w:rFonts w:hint="eastAsia" w:ascii="宋体" w:hAnsi="宋体" w:eastAsia="宋体" w:cs="宋体"/>
                <w:color w:val="auto"/>
                <w:sz w:val="24"/>
              </w:rPr>
              <w:t>偏离</w:t>
            </w:r>
          </w:p>
        </w:tc>
        <w:tc>
          <w:tcPr>
            <w:tcW w:w="713" w:type="dxa"/>
            <w:noWrap w:val="0"/>
            <w:vAlign w:val="center"/>
          </w:tcPr>
          <w:p>
            <w:pPr>
              <w:keepNext w:val="0"/>
              <w:keepLines w:val="0"/>
              <w:suppressLineNumbers w:val="0"/>
              <w:spacing w:before="0" w:beforeAutospacing="0" w:after="0" w:afterAutospacing="0" w:line="400" w:lineRule="atLeast"/>
              <w:ind w:left="0" w:leftChars="0" w:right="0" w:firstLine="0" w:firstLineChars="0"/>
              <w:jc w:val="both"/>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819" w:type="dxa"/>
            <w:noWrap w:val="0"/>
            <w:vAlign w:val="top"/>
          </w:tcPr>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color w:val="auto"/>
                <w:sz w:val="24"/>
              </w:rPr>
            </w:pPr>
          </w:p>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777"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2564"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1535"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c>
          <w:tcPr>
            <w:tcW w:w="713" w:type="dxa"/>
            <w:noWrap w:val="0"/>
            <w:vAlign w:val="top"/>
          </w:tcPr>
          <w:p>
            <w:pPr>
              <w:keepNext w:val="0"/>
              <w:keepLines w:val="0"/>
              <w:suppressLineNumbers w:val="0"/>
              <w:spacing w:before="0" w:beforeAutospacing="0" w:after="0" w:afterAutospacing="0" w:line="400" w:lineRule="atLeast"/>
              <w:ind w:left="0" w:right="0"/>
              <w:rPr>
                <w:rFonts w:hint="eastAsia" w:ascii="宋体" w:hAnsi="宋体" w:eastAsia="宋体" w:cs="宋体"/>
                <w:color w:val="auto"/>
                <w:sz w:val="24"/>
              </w:rPr>
            </w:pPr>
          </w:p>
        </w:tc>
      </w:tr>
    </w:tbl>
    <w:p>
      <w:pPr>
        <w:spacing w:line="400" w:lineRule="atLeast"/>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val="en-US" w:eastAsia="zh-CN"/>
        </w:rPr>
        <w:t>与谈判</w:t>
      </w:r>
      <w:r>
        <w:rPr>
          <w:rFonts w:hint="eastAsia" w:ascii="宋体" w:hAnsi="宋体" w:eastAsia="宋体" w:cs="宋体"/>
          <w:color w:val="auto"/>
          <w:sz w:val="24"/>
        </w:rPr>
        <w:t>文件</w:t>
      </w:r>
      <w:r>
        <w:rPr>
          <w:rFonts w:hint="eastAsia" w:ascii="宋体" w:hAnsi="宋体" w:eastAsia="宋体" w:cs="宋体"/>
          <w:color w:val="auto"/>
          <w:sz w:val="24"/>
          <w:lang w:val="en-US" w:eastAsia="zh-CN"/>
        </w:rPr>
        <w:t>技术参数</w:t>
      </w:r>
      <w:r>
        <w:rPr>
          <w:rFonts w:hint="eastAsia" w:ascii="宋体" w:hAnsi="宋体" w:eastAsia="宋体" w:cs="宋体"/>
          <w:color w:val="auto"/>
          <w:sz w:val="24"/>
        </w:rPr>
        <w:t>要求逐条对应填写。</w:t>
      </w:r>
    </w:p>
    <w:p>
      <w:pPr>
        <w:spacing w:line="76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：（盖单位公章）</w:t>
      </w:r>
    </w:p>
    <w:p>
      <w:pPr>
        <w:spacing w:line="76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法定代表人或授权委托人：（</w:t>
      </w:r>
      <w:r>
        <w:rPr>
          <w:rFonts w:hint="eastAsia" w:ascii="宋体" w:hAnsi="宋体" w:eastAsia="宋体" w:cs="宋体"/>
          <w:color w:val="auto"/>
          <w:sz w:val="24"/>
          <w:lang w:val="en-US" w:eastAsia="zh-CN"/>
        </w:rPr>
        <w:t>签字或盖章</w:t>
      </w:r>
      <w:r>
        <w:rPr>
          <w:rFonts w:hint="eastAsia" w:ascii="宋体" w:hAnsi="宋体" w:eastAsia="宋体" w:cs="宋体"/>
          <w:color w:val="auto"/>
          <w:sz w:val="24"/>
        </w:rPr>
        <w:t>）</w:t>
      </w:r>
    </w:p>
    <w:p>
      <w:pPr>
        <w:spacing w:line="760" w:lineRule="exact"/>
        <w:ind w:firstLine="4320" w:firstLineChars="1800"/>
        <w:rPr>
          <w:rFonts w:hint="eastAsia" w:ascii="宋体" w:hAnsi="宋体" w:eastAsia="宋体" w:cs="宋体"/>
          <w:color w:val="auto"/>
          <w:sz w:val="24"/>
        </w:rPr>
      </w:pPr>
      <w:r>
        <w:rPr>
          <w:rFonts w:hint="eastAsia" w:ascii="宋体" w:hAnsi="宋体" w:eastAsia="宋体" w:cs="宋体"/>
          <w:color w:val="auto"/>
          <w:sz w:val="24"/>
        </w:rPr>
        <w:t>日     期：      年     月      日</w:t>
      </w:r>
      <w:bookmarkStart w:id="335" w:name="_Toc7412"/>
      <w:bookmarkStart w:id="336" w:name="_Toc1702"/>
      <w:bookmarkStart w:id="337" w:name="_Toc29190"/>
    </w:p>
    <w:p>
      <w:pPr>
        <w:pStyle w:val="37"/>
        <w:rPr>
          <w:rFonts w:hint="eastAsia" w:ascii="宋体" w:hAnsi="宋体" w:eastAsia="宋体" w:cs="宋体"/>
          <w:color w:val="auto"/>
          <w:sz w:val="24"/>
        </w:rPr>
      </w:pPr>
    </w:p>
    <w:p>
      <w:pPr>
        <w:pStyle w:val="37"/>
        <w:rPr>
          <w:rFonts w:hint="eastAsia" w:ascii="宋体" w:hAnsi="宋体" w:eastAsia="宋体" w:cs="宋体"/>
          <w:color w:val="auto"/>
          <w:sz w:val="24"/>
        </w:rPr>
      </w:pPr>
    </w:p>
    <w:p>
      <w:pPr>
        <w:pStyle w:val="37"/>
        <w:rPr>
          <w:rFonts w:hint="eastAsia" w:ascii="宋体" w:hAnsi="宋体" w:eastAsia="宋体" w:cs="宋体"/>
          <w:color w:val="auto"/>
          <w:sz w:val="24"/>
        </w:rPr>
      </w:pPr>
    </w:p>
    <w:p>
      <w:pPr>
        <w:pStyle w:val="5"/>
        <w:numPr>
          <w:ilvl w:val="0"/>
          <w:numId w:val="0"/>
        </w:numPr>
        <w:ind w:leftChars="0"/>
        <w:jc w:val="both"/>
        <w:outlineLvl w:val="0"/>
        <w:rPr>
          <w:rFonts w:hint="eastAsia" w:ascii="宋体" w:hAnsi="宋体" w:eastAsia="宋体" w:cs="宋体"/>
          <w:b/>
          <w:bCs w:val="0"/>
          <w:color w:val="auto"/>
          <w:sz w:val="32"/>
          <w:szCs w:val="32"/>
          <w:lang w:val="en-US" w:eastAsia="zh-CN"/>
        </w:rPr>
      </w:pPr>
      <w:bookmarkStart w:id="338" w:name="_Toc1575"/>
      <w:r>
        <w:rPr>
          <w:rFonts w:hint="eastAsia" w:ascii="宋体" w:hAnsi="宋体" w:eastAsia="宋体" w:cs="宋体"/>
          <w:b/>
          <w:bCs w:val="0"/>
          <w:color w:val="auto"/>
          <w:sz w:val="32"/>
          <w:szCs w:val="32"/>
          <w:lang w:val="en-US" w:eastAsia="zh-CN"/>
        </w:rPr>
        <w:t>格式8、</w:t>
      </w:r>
      <w:r>
        <w:rPr>
          <w:rFonts w:hint="eastAsia" w:ascii="宋体" w:hAnsi="宋体" w:eastAsia="宋体" w:cs="宋体"/>
          <w:b/>
          <w:bCs w:val="0"/>
          <w:color w:val="auto"/>
          <w:sz w:val="32"/>
          <w:szCs w:val="32"/>
        </w:rPr>
        <w:t>商务条款偏离表</w:t>
      </w:r>
      <w:bookmarkEnd w:id="335"/>
      <w:bookmarkEnd w:id="336"/>
      <w:bookmarkEnd w:id="337"/>
      <w:bookmarkEnd w:id="338"/>
    </w:p>
    <w:tbl>
      <w:tblPr>
        <w:tblStyle w:val="4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6252"/>
        <w:gridCol w:w="813"/>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3" w:type="dxa"/>
            <w:shd w:val="clear" w:color="auto" w:fill="F3F3F3"/>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252" w:type="dxa"/>
            <w:shd w:val="clear" w:color="auto" w:fill="F3F3F3"/>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一般</w:t>
            </w:r>
            <w:r>
              <w:rPr>
                <w:rFonts w:hint="eastAsia" w:ascii="宋体" w:hAnsi="宋体" w:eastAsia="宋体" w:cs="宋体"/>
                <w:b/>
                <w:bCs/>
                <w:color w:val="auto"/>
                <w:sz w:val="24"/>
                <w:szCs w:val="24"/>
                <w:highlight w:val="none"/>
                <w:lang w:eastAsia="zh-CN"/>
              </w:rPr>
              <w:t>技术商务</w:t>
            </w:r>
            <w:r>
              <w:rPr>
                <w:rFonts w:hint="eastAsia" w:ascii="宋体" w:hAnsi="宋体" w:eastAsia="宋体" w:cs="宋体"/>
                <w:b/>
                <w:bCs/>
                <w:color w:val="auto"/>
                <w:sz w:val="24"/>
                <w:szCs w:val="24"/>
                <w:highlight w:val="none"/>
              </w:rPr>
              <w:t>条款要求</w:t>
            </w:r>
          </w:p>
        </w:tc>
        <w:tc>
          <w:tcPr>
            <w:tcW w:w="813" w:type="dxa"/>
            <w:shd w:val="clear" w:color="auto" w:fill="F3F3F3"/>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是否响应</w:t>
            </w:r>
          </w:p>
        </w:tc>
        <w:tc>
          <w:tcPr>
            <w:tcW w:w="2164" w:type="dxa"/>
            <w:shd w:val="clear" w:color="auto" w:fill="F3F3F3"/>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完全理解并接受合同条款要求</w:t>
            </w:r>
          </w:p>
        </w:tc>
        <w:tc>
          <w:tcPr>
            <w:tcW w:w="813" w:type="dxa"/>
            <w:noWrap w:val="0"/>
            <w:vAlign w:val="center"/>
          </w:tcPr>
          <w:p>
            <w:pPr>
              <w:pStyle w:val="130"/>
              <w:keepNext w:val="0"/>
              <w:keepLines w:val="0"/>
              <w:suppressLineNumbers w:val="0"/>
              <w:adjustRightInd/>
              <w:spacing w:before="0" w:beforeAutospacing="0" w:after="0" w:afterAutospacing="0" w:line="240" w:lineRule="auto"/>
              <w:ind w:left="0" w:right="0"/>
              <w:rPr>
                <w:rFonts w:hint="eastAsia" w:ascii="宋体" w:hAnsi="宋体" w:eastAsia="宋体" w:cs="宋体"/>
                <w:color w:val="auto"/>
                <w:spacing w:val="0"/>
                <w:kern w:val="2"/>
                <w:sz w:val="24"/>
                <w:szCs w:val="24"/>
                <w:highlight w:val="none"/>
              </w:rPr>
            </w:pPr>
          </w:p>
        </w:tc>
        <w:tc>
          <w:tcPr>
            <w:tcW w:w="21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、合格的货物、项目和服务要求</w:t>
            </w:r>
          </w:p>
        </w:tc>
        <w:tc>
          <w:tcPr>
            <w:tcW w:w="813" w:type="dxa"/>
            <w:noWrap w:val="0"/>
            <w:vAlign w:val="center"/>
          </w:tcPr>
          <w:p>
            <w:pPr>
              <w:pStyle w:val="130"/>
              <w:keepNext w:val="0"/>
              <w:keepLines w:val="0"/>
              <w:suppressLineNumbers w:val="0"/>
              <w:adjustRightInd/>
              <w:spacing w:before="0" w:beforeAutospacing="0" w:after="0" w:afterAutospacing="0" w:line="240" w:lineRule="auto"/>
              <w:ind w:left="0" w:right="0"/>
              <w:rPr>
                <w:rFonts w:hint="eastAsia" w:ascii="宋体" w:hAnsi="宋体" w:eastAsia="宋体" w:cs="宋体"/>
                <w:color w:val="auto"/>
                <w:spacing w:val="0"/>
                <w:kern w:val="2"/>
                <w:sz w:val="24"/>
                <w:szCs w:val="24"/>
                <w:highlight w:val="none"/>
              </w:rPr>
            </w:pPr>
          </w:p>
        </w:tc>
        <w:tc>
          <w:tcPr>
            <w:tcW w:w="21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的各项须知、规约要求和责任义务</w:t>
            </w:r>
          </w:p>
        </w:tc>
        <w:tc>
          <w:tcPr>
            <w:tcW w:w="8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64" w:type="dxa"/>
            <w:noWrap w:val="0"/>
            <w:vAlign w:val="center"/>
          </w:tcPr>
          <w:p>
            <w:pPr>
              <w:keepNext w:val="0"/>
              <w:keepLines w:val="0"/>
              <w:suppressLineNumbers w:val="0"/>
              <w:spacing w:before="0" w:beforeAutospacing="0" w:after="0" w:afterAutospacing="0"/>
              <w:ind w:left="0"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报价有效期：报价有效期为自递交响应文件起至确定正式成交日止不少于</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天，成交单位有效期至项目验收之日</w:t>
            </w:r>
          </w:p>
        </w:tc>
        <w:tc>
          <w:tcPr>
            <w:tcW w:w="8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64" w:type="dxa"/>
            <w:noWrap w:val="0"/>
            <w:vAlign w:val="center"/>
          </w:tcPr>
          <w:p>
            <w:pPr>
              <w:keepNext w:val="0"/>
              <w:keepLines w:val="0"/>
              <w:suppressLineNumbers w:val="0"/>
              <w:spacing w:before="0" w:beforeAutospacing="0" w:after="0" w:afterAutospacing="0"/>
              <w:ind w:left="0" w:right="-3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报价内容均涵盖报价要求之一切费用</w:t>
            </w:r>
          </w:p>
        </w:tc>
        <w:tc>
          <w:tcPr>
            <w:tcW w:w="8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64" w:type="dxa"/>
            <w:noWrap w:val="0"/>
            <w:vAlign w:val="center"/>
          </w:tcPr>
          <w:p>
            <w:pPr>
              <w:pStyle w:val="130"/>
              <w:keepNext w:val="0"/>
              <w:keepLines w:val="0"/>
              <w:suppressLineNumbers w:val="0"/>
              <w:adjustRightInd/>
              <w:spacing w:before="0" w:beforeAutospacing="0" w:after="0" w:afterAutospacing="0" w:line="240" w:lineRule="auto"/>
              <w:ind w:left="0" w:right="0"/>
              <w:rPr>
                <w:rFonts w:hint="eastAsia" w:ascii="宋体" w:hAnsi="宋体" w:eastAsia="宋体" w:cs="宋体"/>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供货期：XX天</w:t>
            </w:r>
          </w:p>
        </w:tc>
        <w:tc>
          <w:tcPr>
            <w:tcW w:w="8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同意按本项目要求缴付相关款项</w:t>
            </w:r>
          </w:p>
        </w:tc>
        <w:tc>
          <w:tcPr>
            <w:tcW w:w="8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252" w:type="dxa"/>
            <w:noWrap w:val="0"/>
            <w:vAlign w:val="center"/>
          </w:tcPr>
          <w:p>
            <w:pPr>
              <w:pStyle w:val="34"/>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同意采购方以任何形式对我方报价/</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文件内容的真实性和有效性进行审查、验证</w:t>
            </w:r>
          </w:p>
        </w:tc>
        <w:tc>
          <w:tcPr>
            <w:tcW w:w="8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64" w:type="dxa"/>
            <w:noWrap w:val="0"/>
            <w:vAlign w:val="center"/>
          </w:tcPr>
          <w:p>
            <w:pPr>
              <w:pStyle w:val="130"/>
              <w:keepNext w:val="0"/>
              <w:keepLines w:val="0"/>
              <w:suppressLineNumbers w:val="0"/>
              <w:adjustRightInd/>
              <w:spacing w:before="0" w:beforeAutospacing="0" w:after="0" w:afterAutospacing="0" w:line="240" w:lineRule="auto"/>
              <w:ind w:left="0" w:right="0"/>
              <w:rPr>
                <w:rFonts w:hint="eastAsia" w:ascii="宋体" w:hAnsi="宋体" w:eastAsia="宋体" w:cs="宋体"/>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33" w:type="dxa"/>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252"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其它商务条款偏离说明</w:t>
            </w:r>
          </w:p>
        </w:tc>
        <w:tc>
          <w:tcPr>
            <w:tcW w:w="813" w:type="dxa"/>
            <w:noWrap w:val="0"/>
            <w:vAlign w:val="center"/>
          </w:tcPr>
          <w:p>
            <w:pPr>
              <w:pStyle w:val="131"/>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164" w:type="dxa"/>
            <w:noWrap w:val="0"/>
            <w:vAlign w:val="center"/>
          </w:tcPr>
          <w:p>
            <w:pPr>
              <w:pStyle w:val="130"/>
              <w:keepNext w:val="0"/>
              <w:keepLines w:val="0"/>
              <w:suppressLineNumbers w:val="0"/>
              <w:adjustRightInd/>
              <w:spacing w:before="0" w:beforeAutospacing="0" w:after="0" w:afterAutospacing="0" w:line="240" w:lineRule="auto"/>
              <w:ind w:left="0" w:right="0"/>
              <w:jc w:val="both"/>
              <w:rPr>
                <w:rFonts w:hint="eastAsia" w:ascii="宋体" w:hAnsi="宋体" w:eastAsia="宋体" w:cs="宋体"/>
                <w:color w:val="auto"/>
                <w:spacing w:val="0"/>
                <w:kern w:val="2"/>
                <w:sz w:val="24"/>
                <w:szCs w:val="24"/>
                <w:highlight w:val="none"/>
              </w:rPr>
            </w:pPr>
          </w:p>
        </w:tc>
      </w:tr>
    </w:tbl>
    <w:p>
      <w:pPr>
        <w:numPr>
          <w:ilvl w:val="0"/>
          <w:numId w:val="0"/>
        </w:numPr>
        <w:rPr>
          <w:rFonts w:hint="eastAsia" w:ascii="宋体" w:hAnsi="宋体" w:eastAsia="宋体" w:cs="宋体"/>
          <w:color w:val="auto"/>
          <w:sz w:val="24"/>
          <w:szCs w:val="24"/>
        </w:rPr>
      </w:pP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 1.对于上述要求，如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完全响应，则请在“是否响应”栏内打“√”，对空白或打“×”视为偏离，请在“偏离说明”栏内扼要说明偏离情况。</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2.本表内容不得擅自修改。</w:t>
      </w:r>
    </w:p>
    <w:p>
      <w:pPr>
        <w:numPr>
          <w:ilvl w:val="0"/>
          <w:numId w:val="0"/>
        </w:numPr>
        <w:spacing w:line="360" w:lineRule="auto"/>
        <w:rPr>
          <w:rFonts w:hint="eastAsia" w:ascii="宋体" w:hAnsi="宋体" w:eastAsia="宋体" w:cs="宋体"/>
          <w:color w:val="auto"/>
          <w:sz w:val="24"/>
          <w:szCs w:val="24"/>
        </w:rPr>
      </w:pPr>
    </w:p>
    <w:p>
      <w:pPr>
        <w:spacing w:line="760" w:lineRule="exact"/>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：（盖单位公章）</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widowControl/>
        <w:snapToGrid w:val="0"/>
        <w:spacing w:before="100" w:beforeLines="0" w:beforeAutospacing="1" w:after="100" w:afterLines="0" w:afterAutospacing="1"/>
        <w:ind w:left="0" w:leftChars="0" w:firstLine="0" w:firstLineChars="0"/>
        <w:jc w:val="both"/>
        <w:outlineLvl w:val="0"/>
        <w:rPr>
          <w:rFonts w:hint="eastAsia" w:ascii="宋体" w:hAnsi="宋体" w:eastAsia="宋体" w:cs="宋体"/>
          <w:color w:val="auto"/>
          <w:sz w:val="32"/>
          <w:szCs w:val="32"/>
        </w:rPr>
      </w:pPr>
      <w:bookmarkStart w:id="339" w:name="_Toc1722"/>
      <w:bookmarkStart w:id="340" w:name="_Toc5494"/>
      <w:r>
        <w:rPr>
          <w:rFonts w:hint="eastAsia" w:ascii="宋体" w:hAnsi="宋体" w:eastAsia="宋体" w:cs="宋体"/>
          <w:b/>
          <w:bCs w:val="0"/>
          <w:color w:val="auto"/>
          <w:kern w:val="2"/>
          <w:sz w:val="32"/>
          <w:szCs w:val="32"/>
          <w:lang w:val="en-US" w:eastAsia="zh-CN" w:bidi="ar-SA"/>
        </w:rPr>
        <w:br w:type="page"/>
      </w:r>
      <w:bookmarkStart w:id="341" w:name="_Toc11376"/>
      <w:r>
        <w:rPr>
          <w:rFonts w:hint="eastAsia" w:ascii="宋体" w:hAnsi="宋体" w:eastAsia="宋体" w:cs="宋体"/>
          <w:b/>
          <w:bCs w:val="0"/>
          <w:color w:val="auto"/>
          <w:sz w:val="32"/>
          <w:szCs w:val="32"/>
          <w:lang w:val="en-US" w:eastAsia="zh-CN"/>
        </w:rPr>
        <w:t>格式9、</w:t>
      </w:r>
      <w:r>
        <w:rPr>
          <w:rFonts w:hint="eastAsia" w:ascii="宋体" w:hAnsi="宋体" w:eastAsia="宋体" w:cs="宋体"/>
          <w:b/>
          <w:bCs/>
          <w:color w:val="auto"/>
          <w:sz w:val="32"/>
          <w:szCs w:val="32"/>
        </w:rPr>
        <w:t>反商业贿赂承诺书</w:t>
      </w:r>
      <w:r>
        <w:rPr>
          <w:rFonts w:hint="eastAsia" w:ascii="宋体" w:hAnsi="宋体" w:eastAsia="宋体" w:cs="宋体"/>
          <w:color w:val="auto"/>
          <w:sz w:val="32"/>
          <w:szCs w:val="32"/>
        </w:rPr>
        <w:t> </w:t>
      </w:r>
      <w:bookmarkEnd w:id="341"/>
    </w:p>
    <w:p>
      <w:pPr>
        <w:widowControl/>
        <w:snapToGrid w:val="0"/>
        <w:spacing w:before="100" w:beforeLines="0" w:beforeAutospacing="1" w:after="100" w:afterLines="0" w:afterAutospacing="1" w:line="5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我公司承诺在</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竞争性谈判</w:t>
      </w:r>
      <w:r>
        <w:rPr>
          <w:rFonts w:hint="eastAsia" w:ascii="宋体" w:hAnsi="宋体" w:eastAsia="宋体" w:cs="宋体"/>
          <w:color w:val="auto"/>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760" w:lineRule="exact"/>
        <w:ind w:firstLine="2400" w:firstLineChars="10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：（盖单位公章）</w:t>
      </w:r>
    </w:p>
    <w:p>
      <w:pPr>
        <w:spacing w:line="760" w:lineRule="exact"/>
        <w:ind w:firstLine="2400" w:firstLineChars="1000"/>
        <w:rPr>
          <w:rFonts w:hint="eastAsia" w:ascii="宋体" w:hAnsi="宋体" w:eastAsia="宋体" w:cs="宋体"/>
          <w:color w:val="auto"/>
          <w:sz w:val="24"/>
        </w:rPr>
      </w:pPr>
      <w:r>
        <w:rPr>
          <w:rFonts w:hint="eastAsia" w:ascii="宋体" w:hAnsi="宋体" w:eastAsia="宋体" w:cs="宋体"/>
          <w:color w:val="auto"/>
          <w:sz w:val="24"/>
        </w:rPr>
        <w:t>法定代表人或授权委托人：（</w:t>
      </w:r>
      <w:r>
        <w:rPr>
          <w:rFonts w:hint="eastAsia" w:ascii="宋体" w:hAnsi="宋体" w:eastAsia="宋体" w:cs="宋体"/>
          <w:color w:val="auto"/>
          <w:sz w:val="24"/>
          <w:lang w:val="en-US" w:eastAsia="zh-CN"/>
        </w:rPr>
        <w:t>签字或盖章</w:t>
      </w:r>
      <w:r>
        <w:rPr>
          <w:rFonts w:hint="eastAsia" w:ascii="宋体" w:hAnsi="宋体" w:eastAsia="宋体" w:cs="宋体"/>
          <w:color w:val="auto"/>
          <w:sz w:val="24"/>
        </w:rPr>
        <w:t>）</w:t>
      </w:r>
    </w:p>
    <w:p>
      <w:pPr>
        <w:spacing w:line="760" w:lineRule="exact"/>
        <w:ind w:left="0" w:leftChars="0" w:firstLine="0" w:firstLineChars="0"/>
        <w:rPr>
          <w:rFonts w:hint="default" w:ascii="宋体" w:hAnsi="宋体" w:eastAsia="宋体" w:cs="宋体"/>
          <w:b/>
          <w:color w:val="auto"/>
          <w:kern w:val="2"/>
          <w:sz w:val="32"/>
          <w:szCs w:val="24"/>
          <w:lang w:val="en-US" w:eastAsia="zh-CN" w:bidi="ar-SA"/>
        </w:rPr>
      </w:pPr>
      <w:r>
        <w:rPr>
          <w:rFonts w:hint="eastAsia" w:ascii="宋体" w:hAnsi="宋体" w:eastAsia="宋体" w:cs="宋体"/>
          <w:color w:val="auto"/>
          <w:sz w:val="24"/>
        </w:rPr>
        <w:br w:type="page"/>
      </w:r>
      <w:bookmarkStart w:id="342" w:name="_Toc18313"/>
      <w:bookmarkStart w:id="343" w:name="_Toc31020"/>
      <w:bookmarkStart w:id="344" w:name="_Toc20373"/>
      <w:bookmarkStart w:id="345" w:name="_Toc15957"/>
      <w:bookmarkStart w:id="346" w:name="_Toc28464"/>
      <w:bookmarkStart w:id="347" w:name="_Toc13383"/>
      <w:r>
        <w:rPr>
          <w:rFonts w:hint="eastAsia" w:ascii="宋体" w:hAnsi="宋体" w:eastAsia="宋体" w:cs="宋体"/>
          <w:b/>
          <w:color w:val="auto"/>
          <w:kern w:val="2"/>
          <w:sz w:val="32"/>
          <w:szCs w:val="24"/>
          <w:lang w:val="en-US" w:eastAsia="zh-CN" w:bidi="ar-SA"/>
        </w:rPr>
        <w:t>格式10、</w:t>
      </w:r>
      <w:bookmarkEnd w:id="342"/>
      <w:bookmarkEnd w:id="343"/>
      <w:bookmarkEnd w:id="344"/>
      <w:bookmarkEnd w:id="345"/>
      <w:bookmarkEnd w:id="346"/>
      <w:bookmarkEnd w:id="347"/>
      <w:r>
        <w:rPr>
          <w:rFonts w:hint="eastAsia" w:ascii="宋体" w:hAnsi="宋体" w:eastAsia="宋体" w:cs="宋体"/>
          <w:b/>
          <w:color w:val="auto"/>
          <w:kern w:val="2"/>
          <w:sz w:val="32"/>
          <w:szCs w:val="24"/>
          <w:lang w:val="en-US" w:eastAsia="zh-CN" w:bidi="ar-SA"/>
        </w:rPr>
        <w:t>供货承诺函</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rPr>
      </w:pPr>
    </w:p>
    <w:p>
      <w:pPr>
        <w:pageBreakBefore w:val="0"/>
        <w:widowControl w:val="0"/>
        <w:wordWrap/>
        <w:topLinePunct w:val="0"/>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wordWrap/>
        <w:topLinePunct w:val="0"/>
        <w:bidi w:val="0"/>
        <w:spacing w:line="24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本承诺书作为我方对甲方</w:t>
      </w:r>
      <w:r>
        <w:rPr>
          <w:rFonts w:hint="eastAsia" w:ascii="宋体" w:hAnsi="宋体" w:eastAsia="宋体" w:cs="宋体"/>
          <w:color w:val="auto"/>
          <w:sz w:val="28"/>
          <w:szCs w:val="28"/>
          <w:highlight w:val="none"/>
          <w:u w:val="single"/>
          <w:lang w:val="en-US" w:eastAsia="zh-CN"/>
        </w:rPr>
        <w:t xml:space="preserve">              （项目名称）         （项目编号）</w:t>
      </w:r>
      <w:r>
        <w:rPr>
          <w:rFonts w:hint="eastAsia" w:ascii="宋体" w:hAnsi="宋体" w:eastAsia="宋体" w:cs="宋体"/>
          <w:color w:val="auto"/>
          <w:sz w:val="28"/>
          <w:szCs w:val="28"/>
          <w:highlight w:val="none"/>
          <w:lang w:val="en-US" w:eastAsia="zh-CN"/>
        </w:rPr>
        <w:t>所提供的供货时间保证证明，我方郑重承诺：</w:t>
      </w:r>
    </w:p>
    <w:p>
      <w:pPr>
        <w:pageBreakBefore w:val="0"/>
        <w:widowControl w:val="0"/>
        <w:wordWrap/>
        <w:topLinePunct w:val="0"/>
        <w:bidi w:val="0"/>
        <w:spacing w:line="24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若中标，我方将严格按照谈判文件及甲方要求，按照招标确定的统一单价和指定的供货地点按时按质按量进行供货，不以任何理由拒绝供货，满足甲方技术标准及设备使用要求，如所供产品出现不及时情况，由我方承担相应责任并无条件接受甲方做出的处理。</w:t>
      </w: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rPr>
      </w:pPr>
    </w:p>
    <w:p>
      <w:pPr>
        <w:pageBreakBefore w:val="0"/>
        <w:widowControl w:val="0"/>
        <w:wordWrap/>
        <w:topLinePunct w:val="0"/>
        <w:bidi w:val="0"/>
        <w:spacing w:before="100" w:beforeAutospacing="1" w:after="100" w:afterAutospacing="1"/>
        <w:ind w:firstLine="840" w:firstLineChars="3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tabs>
          <w:tab w:val="left" w:pos="540"/>
          <w:tab w:val="left" w:pos="1080"/>
        </w:tabs>
        <w:wordWrap/>
        <w:topLinePunct w:val="0"/>
        <w:autoSpaceDE w:val="0"/>
        <w:autoSpaceDN w:val="0"/>
        <w:bidi w:val="0"/>
        <w:adjustRightInd w:val="0"/>
        <w:ind w:firstLine="274" w:firstLineChars="98"/>
        <w:jc w:val="center"/>
        <w:rPr>
          <w:rFonts w:hint="eastAsia" w:ascii="宋体" w:hAnsi="宋体" w:eastAsia="宋体" w:cs="宋体"/>
          <w:color w:val="auto"/>
          <w:sz w:val="28"/>
          <w:szCs w:val="28"/>
          <w:highlight w:val="none"/>
          <w:lang w:val="en-US" w:eastAsia="zh-CN" w:bidi="ar-SA"/>
        </w:rPr>
      </w:pPr>
    </w:p>
    <w:p>
      <w:pPr>
        <w:pageBreakBefore w:val="0"/>
        <w:widowControl w:val="0"/>
        <w:tabs>
          <w:tab w:val="left" w:pos="540"/>
          <w:tab w:val="left" w:pos="1080"/>
        </w:tabs>
        <w:wordWrap/>
        <w:topLinePunct w:val="0"/>
        <w:autoSpaceDE w:val="0"/>
        <w:autoSpaceDN w:val="0"/>
        <w:bidi w:val="0"/>
        <w:adjustRightInd w:val="0"/>
        <w:jc w:val="both"/>
        <w:rPr>
          <w:rFonts w:hint="default" w:ascii="宋体" w:hAnsi="宋体" w:eastAsia="宋体" w:cs="宋体"/>
          <w:b/>
          <w:color w:val="auto"/>
          <w:kern w:val="2"/>
          <w:sz w:val="32"/>
          <w:szCs w:val="24"/>
          <w:lang w:val="en-US" w:eastAsia="zh-CN" w:bidi="ar-SA"/>
        </w:rPr>
      </w:pPr>
      <w:r>
        <w:rPr>
          <w:rFonts w:hint="eastAsia" w:ascii="宋体" w:hAnsi="宋体" w:eastAsia="宋体" w:cs="宋体"/>
          <w:b/>
          <w:color w:val="auto"/>
          <w:kern w:val="2"/>
          <w:sz w:val="32"/>
          <w:szCs w:val="24"/>
          <w:lang w:val="en-US" w:eastAsia="zh-CN" w:bidi="ar-SA"/>
        </w:rPr>
        <w:br w:type="page"/>
      </w:r>
      <w:r>
        <w:rPr>
          <w:rFonts w:hint="eastAsia" w:ascii="宋体" w:hAnsi="宋体" w:eastAsia="宋体" w:cs="宋体"/>
          <w:b/>
          <w:color w:val="auto"/>
          <w:kern w:val="2"/>
          <w:sz w:val="32"/>
          <w:szCs w:val="24"/>
          <w:lang w:val="en-US" w:eastAsia="zh-CN" w:bidi="ar-SA"/>
        </w:rPr>
        <w:t>格式11、售后服务承诺书</w:t>
      </w:r>
    </w:p>
    <w:p>
      <w:pPr>
        <w:pageBreakBefore w:val="0"/>
        <w:widowControl w:val="0"/>
        <w:tabs>
          <w:tab w:val="left" w:pos="540"/>
          <w:tab w:val="left" w:pos="1080"/>
        </w:tabs>
        <w:wordWrap/>
        <w:topLinePunct w:val="0"/>
        <w:autoSpaceDE w:val="0"/>
        <w:autoSpaceDN w:val="0"/>
        <w:bidi w:val="0"/>
        <w:adjustRightInd w:val="0"/>
        <w:ind w:firstLine="643" w:firstLineChars="200"/>
        <w:jc w:val="center"/>
        <w:rPr>
          <w:rFonts w:hint="eastAsia" w:ascii="宋体" w:hAnsi="宋体" w:eastAsia="宋体" w:cs="宋体"/>
          <w:b/>
          <w:color w:val="auto"/>
          <w:kern w:val="2"/>
          <w:sz w:val="32"/>
          <w:szCs w:val="24"/>
          <w:lang w:val="en-US" w:eastAsia="zh-CN" w:bidi="ar-SA"/>
        </w:rPr>
      </w:pPr>
    </w:p>
    <w:p>
      <w:pPr>
        <w:rPr>
          <w:rFonts w:hint="eastAsia" w:ascii="Times New Roman" w:hAnsi="Times New Roman" w:eastAsia="宋体" w:cs="Times New Roman"/>
          <w:color w:val="auto"/>
          <w:highlight w:val="none"/>
          <w:lang w:val="en-US" w:eastAsia="zh-CN"/>
        </w:rPr>
      </w:pP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供应商必须按提交的售后服务承诺书，提供售后服务。</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一、拟提供售后服务的项目：</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二、所投产品免费质保期限：                       </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三、免费质保期后，如维修是否收取材料费：                       </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四、免费质保期后，如维修是否收取服务费：                       </w:t>
      </w:r>
    </w:p>
    <w:p>
      <w:pPr>
        <w:pageBreakBefore w:val="0"/>
        <w:widowControl w:val="0"/>
        <w:wordWrap/>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五、服务响应及到达现场的时间：</w:t>
      </w:r>
    </w:p>
    <w:p>
      <w:pPr>
        <w:pStyle w:val="5"/>
        <w:pageBreakBefore w:val="0"/>
        <w:widowControl w:val="0"/>
        <w:wordWrap/>
        <w:topLinePunct w:val="0"/>
        <w:bidi w:val="0"/>
        <w:outlineLvl w:val="9"/>
        <w:rPr>
          <w:rFonts w:hint="eastAsia" w:ascii="宋体" w:hAnsi="宋体" w:eastAsia="宋体" w:cs="宋体"/>
          <w:bCs/>
          <w:color w:val="auto"/>
          <w:sz w:val="28"/>
          <w:szCs w:val="28"/>
          <w:highlight w:val="none"/>
          <w:lang w:val="en-US" w:eastAsia="zh-CN"/>
        </w:rPr>
      </w:pPr>
    </w:p>
    <w:p>
      <w:pPr>
        <w:pageBreakBefore w:val="0"/>
        <w:widowControl w:val="0"/>
        <w:wordWrap/>
        <w:topLinePunct w:val="0"/>
        <w:bidi w:val="0"/>
        <w:rPr>
          <w:rFonts w:hint="eastAsia" w:ascii="宋体" w:hAnsi="宋体" w:eastAsia="宋体" w:cs="宋体"/>
          <w:color w:val="auto"/>
          <w:sz w:val="28"/>
          <w:szCs w:val="28"/>
          <w:highlight w:val="none"/>
          <w:lang w:val="en-US" w:eastAsia="zh-CN"/>
        </w:rPr>
      </w:pPr>
    </w:p>
    <w:p>
      <w:pPr>
        <w:pStyle w:val="5"/>
        <w:pageBreakBefore w:val="0"/>
        <w:widowControl w:val="0"/>
        <w:wordWrap/>
        <w:topLinePunct w:val="0"/>
        <w:bidi w:val="0"/>
        <w:outlineLvl w:val="9"/>
        <w:rPr>
          <w:rFonts w:hint="eastAsia" w:ascii="宋体" w:hAnsi="宋体" w:eastAsia="宋体" w:cs="宋体"/>
          <w:bCs/>
          <w:color w:val="auto"/>
          <w:sz w:val="28"/>
          <w:szCs w:val="28"/>
          <w:highlight w:val="none"/>
          <w:lang w:val="en-US" w:eastAsia="zh-CN"/>
        </w:rPr>
      </w:pPr>
    </w:p>
    <w:p>
      <w:pPr>
        <w:pageBreakBefore w:val="0"/>
        <w:widowControl w:val="0"/>
        <w:wordWrap/>
        <w:topLinePunct w:val="0"/>
        <w:bidi w:val="0"/>
        <w:rPr>
          <w:rFonts w:hint="eastAsia" w:ascii="宋体" w:hAnsi="宋体" w:eastAsia="宋体" w:cs="宋体"/>
          <w:color w:val="auto"/>
          <w:sz w:val="28"/>
          <w:szCs w:val="28"/>
          <w:highlight w:val="none"/>
          <w:lang w:val="en-US" w:eastAsia="zh-CN"/>
        </w:rPr>
      </w:pPr>
    </w:p>
    <w:p>
      <w:pPr>
        <w:pStyle w:val="5"/>
        <w:pageBreakBefore w:val="0"/>
        <w:widowControl w:val="0"/>
        <w:wordWrap/>
        <w:topLinePunct w:val="0"/>
        <w:bidi w:val="0"/>
        <w:outlineLvl w:val="9"/>
        <w:rPr>
          <w:rFonts w:hint="eastAsia" w:ascii="宋体" w:hAnsi="宋体" w:eastAsia="宋体" w:cs="宋体"/>
          <w:bCs/>
          <w:color w:val="auto"/>
          <w:sz w:val="28"/>
          <w:szCs w:val="28"/>
          <w:highlight w:val="none"/>
          <w:lang w:val="en-US" w:eastAsia="zh-CN"/>
        </w:rPr>
      </w:pPr>
    </w:p>
    <w:p>
      <w:pPr>
        <w:pageBreakBefore w:val="0"/>
        <w:widowControl w:val="0"/>
        <w:wordWrap/>
        <w:topLinePunct w:val="0"/>
        <w:bidi w:val="0"/>
        <w:rPr>
          <w:rFonts w:hint="default" w:ascii="Times New Roman" w:hAnsi="Times New Roman" w:eastAsia="宋体" w:cs="Times New Roman"/>
          <w:color w:val="auto"/>
          <w:highlight w:val="none"/>
          <w:lang w:val="en-US" w:eastAsia="zh-CN"/>
        </w:rPr>
      </w:pPr>
    </w:p>
    <w:p>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（公章）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pPr>
        <w:pageBreakBefore w:val="0"/>
        <w:widowControl w:val="0"/>
        <w:wordWrap/>
        <w:topLinePunct w:val="0"/>
        <w:bidi w:val="0"/>
        <w:rPr>
          <w:rFonts w:hint="eastAsia" w:ascii="宋体" w:hAnsi="宋体" w:eastAsia="宋体" w:cs="宋体"/>
          <w:color w:val="auto"/>
          <w:sz w:val="28"/>
          <w:szCs w:val="28"/>
          <w:highlight w:val="none"/>
        </w:rPr>
      </w:pPr>
    </w:p>
    <w:p>
      <w:pPr>
        <w:pageBreakBefore w:val="0"/>
        <w:widowControl w:val="0"/>
        <w:tabs>
          <w:tab w:val="left" w:pos="540"/>
          <w:tab w:val="left" w:pos="1080"/>
        </w:tabs>
        <w:wordWrap/>
        <w:topLinePunct w:val="0"/>
        <w:autoSpaceDE w:val="0"/>
        <w:autoSpaceDN w:val="0"/>
        <w:bidi w:val="0"/>
        <w:adjustRightInd w:val="0"/>
        <w:ind w:firstLine="643" w:firstLineChars="200"/>
        <w:jc w:val="center"/>
        <w:rPr>
          <w:rFonts w:hint="eastAsia" w:ascii="宋体" w:hAnsi="宋体" w:eastAsia="宋体" w:cs="宋体"/>
          <w:b/>
          <w:color w:val="auto"/>
          <w:kern w:val="2"/>
          <w:sz w:val="32"/>
          <w:szCs w:val="24"/>
          <w:lang w:val="en-US" w:eastAsia="zh-CN" w:bidi="ar-SA"/>
        </w:rPr>
      </w:pPr>
    </w:p>
    <w:p>
      <w:pPr>
        <w:pageBreakBefore w:val="0"/>
        <w:widowControl w:val="0"/>
        <w:tabs>
          <w:tab w:val="left" w:pos="540"/>
          <w:tab w:val="left" w:pos="1080"/>
        </w:tabs>
        <w:wordWrap/>
        <w:topLinePunct w:val="0"/>
        <w:autoSpaceDE w:val="0"/>
        <w:autoSpaceDN w:val="0"/>
        <w:bidi w:val="0"/>
        <w:adjustRightInd w:val="0"/>
        <w:jc w:val="both"/>
        <w:rPr>
          <w:rFonts w:hint="eastAsia" w:ascii="宋体" w:hAnsi="宋体" w:eastAsia="宋体" w:cs="宋体"/>
          <w:b/>
          <w:color w:val="auto"/>
          <w:kern w:val="2"/>
          <w:sz w:val="32"/>
          <w:szCs w:val="24"/>
          <w:lang w:val="en-US" w:eastAsia="zh-CN" w:bidi="ar-SA"/>
        </w:rPr>
      </w:pPr>
      <w:r>
        <w:rPr>
          <w:rFonts w:hint="eastAsia" w:ascii="宋体" w:hAnsi="宋体" w:eastAsia="宋体" w:cs="宋体"/>
          <w:b/>
          <w:color w:val="auto"/>
          <w:kern w:val="2"/>
          <w:sz w:val="32"/>
          <w:szCs w:val="24"/>
          <w:lang w:val="en-US" w:eastAsia="zh-CN" w:bidi="ar-SA"/>
        </w:rPr>
        <w:br w:type="page"/>
      </w:r>
      <w:r>
        <w:rPr>
          <w:rFonts w:hint="eastAsia" w:ascii="宋体" w:hAnsi="宋体" w:eastAsia="宋体" w:cs="宋体"/>
          <w:b/>
          <w:color w:val="auto"/>
          <w:kern w:val="2"/>
          <w:sz w:val="32"/>
          <w:szCs w:val="24"/>
          <w:lang w:val="en-US" w:eastAsia="zh-CN" w:bidi="ar-SA"/>
        </w:rPr>
        <w:t>格式12、质量保证书</w:t>
      </w:r>
    </w:p>
    <w:p>
      <w:pPr>
        <w:pStyle w:val="5"/>
        <w:pageBreakBefore w:val="0"/>
        <w:widowControl w:val="0"/>
        <w:wordWrap/>
        <w:topLinePunct w:val="0"/>
        <w:bidi w:val="0"/>
        <w:jc w:val="center"/>
        <w:outlineLvl w:val="9"/>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格式自拟</w:t>
      </w:r>
    </w:p>
    <w:p>
      <w:pPr>
        <w:spacing w:line="360" w:lineRule="auto"/>
        <w:jc w:val="center"/>
        <w:rPr>
          <w:rFonts w:hint="eastAsia" w:ascii="宋体" w:hAnsi="宋体" w:eastAsia="宋体" w:cs="宋体"/>
          <w:b/>
          <w:color w:val="auto"/>
          <w:sz w:val="32"/>
        </w:rPr>
      </w:pPr>
    </w:p>
    <w:p>
      <w:pPr>
        <w:keepNext w:val="0"/>
        <w:keepLines w:val="0"/>
        <w:pageBreakBefore w:val="0"/>
        <w:kinsoku/>
        <w:wordWrap/>
        <w:overflowPunct/>
        <w:topLinePunct w:val="0"/>
        <w:autoSpaceDE/>
        <w:autoSpaceDN/>
        <w:bidi w:val="0"/>
        <w:adjustRightInd/>
        <w:snapToGrid/>
        <w:spacing w:line="320" w:lineRule="exact"/>
        <w:ind w:firstLine="315" w:firstLineChars="98"/>
        <w:jc w:val="both"/>
        <w:textAlignment w:val="auto"/>
        <w:outlineLvl w:val="9"/>
        <w:rPr>
          <w:rFonts w:hint="eastAsia"/>
        </w:rPr>
      </w:pPr>
      <w:r>
        <w:rPr>
          <w:rFonts w:hint="eastAsia" w:ascii="宋体" w:hAnsi="宋体" w:eastAsia="宋体" w:cs="宋体"/>
          <w:b/>
          <w:bCs w:val="0"/>
          <w:color w:val="auto"/>
          <w:kern w:val="2"/>
          <w:sz w:val="32"/>
          <w:szCs w:val="32"/>
          <w:lang w:val="en-US" w:eastAsia="zh-CN" w:bidi="ar-SA"/>
        </w:rPr>
        <w:br w:type="page"/>
      </w:r>
      <w:bookmarkEnd w:id="329"/>
      <w:bookmarkEnd w:id="339"/>
      <w:bookmarkEnd w:id="340"/>
      <w:bookmarkStart w:id="348" w:name="_Toc21278"/>
      <w:r>
        <w:rPr>
          <w:rFonts w:hint="eastAsia" w:ascii="宋体" w:hAnsi="宋体" w:eastAsia="宋体" w:cs="宋体"/>
          <w:b/>
          <w:bCs w:val="0"/>
          <w:color w:val="auto"/>
          <w:kern w:val="2"/>
          <w:sz w:val="32"/>
          <w:szCs w:val="32"/>
          <w:lang w:val="en-US" w:eastAsia="zh-CN" w:bidi="ar-SA"/>
        </w:rPr>
        <w:t>格式13、中小企业声明函（货物）</w:t>
      </w:r>
    </w:p>
    <w:p>
      <w:pPr>
        <w:widowControl/>
        <w:spacing w:beforeLines="0" w:afterLines="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本公司（联合体） 郑重声明， 根据《政府采购促进中小企业发展管理办法》（财库﹝2020﹞ 46号）的规定，本公司（联合体）参加</w:t>
      </w:r>
      <w:r>
        <w:rPr>
          <w:rFonts w:hint="eastAsia" w:ascii="宋体" w:hAnsi="宋体" w:eastAsia="宋体" w:cs="宋体"/>
          <w:color w:val="auto"/>
          <w:kern w:val="0"/>
          <w:sz w:val="28"/>
          <w:szCs w:val="28"/>
          <w:u w:val="single"/>
        </w:rPr>
        <w:t>（单位名称）</w:t>
      </w:r>
      <w:r>
        <w:rPr>
          <w:rFonts w:hint="eastAsia" w:ascii="宋体" w:hAnsi="宋体" w:eastAsia="宋体" w:cs="宋体"/>
          <w:color w:val="auto"/>
          <w:kern w:val="0"/>
          <w:sz w:val="28"/>
          <w:szCs w:val="28"/>
        </w:rPr>
        <w:t xml:space="preserve"> 的</w:t>
      </w:r>
      <w:r>
        <w:rPr>
          <w:rFonts w:hint="eastAsia" w:ascii="宋体" w:hAnsi="宋体" w:eastAsia="宋体" w:cs="宋体"/>
          <w:color w:val="auto"/>
          <w:kern w:val="0"/>
          <w:sz w:val="28"/>
          <w:szCs w:val="28"/>
          <w:u w:val="single"/>
        </w:rPr>
        <w:t>（项目名称）</w:t>
      </w:r>
      <w:r>
        <w:rPr>
          <w:rFonts w:hint="eastAsia" w:ascii="宋体" w:hAnsi="宋体" w:eastAsia="宋体" w:cs="宋体"/>
          <w:color w:val="auto"/>
          <w:kern w:val="0"/>
          <w:sz w:val="28"/>
          <w:szCs w:val="28"/>
        </w:rPr>
        <w:t xml:space="preserve"> 采购活动， 提供的货物全部由符合政策要求的中小企业制造。相关企业（含联合体中的中小企业、 签订分包意向协议的中小企业）的具体情况如下：</w:t>
      </w:r>
    </w:p>
    <w:p>
      <w:pPr>
        <w:widowControl/>
        <w:spacing w:beforeLines="0" w:afterLines="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 </w:t>
      </w:r>
      <w:r>
        <w:rPr>
          <w:rFonts w:hint="eastAsia" w:ascii="宋体" w:hAnsi="宋体" w:eastAsia="宋体" w:cs="宋体"/>
          <w:color w:val="auto"/>
          <w:kern w:val="0"/>
          <w:sz w:val="28"/>
          <w:szCs w:val="28"/>
          <w:u w:val="single"/>
        </w:rPr>
        <w:t>（标的名称）</w:t>
      </w:r>
      <w:r>
        <w:rPr>
          <w:rFonts w:hint="eastAsia" w:ascii="宋体" w:hAnsi="宋体" w:eastAsia="宋体" w:cs="宋体"/>
          <w:color w:val="auto"/>
          <w:kern w:val="0"/>
          <w:sz w:val="28"/>
          <w:szCs w:val="28"/>
        </w:rPr>
        <w:t xml:space="preserve"> ， 属于</w:t>
      </w:r>
      <w:r>
        <w:rPr>
          <w:rFonts w:hint="eastAsia" w:ascii="宋体" w:hAnsi="宋体" w:eastAsia="宋体" w:cs="宋体"/>
          <w:color w:val="auto"/>
          <w:kern w:val="0"/>
          <w:sz w:val="28"/>
          <w:szCs w:val="28"/>
          <w:u w:val="single"/>
        </w:rPr>
        <w:t>（采购文件中明确的所属行业）行业</w:t>
      </w:r>
      <w:r>
        <w:rPr>
          <w:rFonts w:hint="eastAsia" w:ascii="宋体" w:hAnsi="宋体" w:eastAsia="宋体" w:cs="宋体"/>
          <w:color w:val="auto"/>
          <w:kern w:val="0"/>
          <w:sz w:val="28"/>
          <w:szCs w:val="28"/>
        </w:rPr>
        <w:t>； 制造商为</w:t>
      </w:r>
      <w:r>
        <w:rPr>
          <w:rFonts w:hint="eastAsia" w:ascii="宋体" w:hAnsi="宋体" w:eastAsia="宋体" w:cs="宋体"/>
          <w:color w:val="auto"/>
          <w:kern w:val="0"/>
          <w:sz w:val="28"/>
          <w:szCs w:val="28"/>
          <w:u w:val="single"/>
        </w:rPr>
        <w:t>（ 企业名称）</w:t>
      </w:r>
      <w:r>
        <w:rPr>
          <w:rFonts w:hint="eastAsia" w:ascii="宋体" w:hAnsi="宋体" w:eastAsia="宋体" w:cs="宋体"/>
          <w:color w:val="auto"/>
          <w:kern w:val="0"/>
          <w:sz w:val="28"/>
          <w:szCs w:val="28"/>
        </w:rPr>
        <w:t>， 从业人员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人， 营业收入为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 资产总额为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w:t>
      </w:r>
      <w:r>
        <w:rPr>
          <w:rFonts w:hint="eastAsia" w:ascii="宋体" w:hAnsi="宋体" w:eastAsia="宋体" w:cs="宋体"/>
          <w:color w:val="auto"/>
          <w:kern w:val="0"/>
          <w:sz w:val="28"/>
          <w:szCs w:val="28"/>
          <w:vertAlign w:val="superscript"/>
        </w:rPr>
        <w:t>1</w:t>
      </w:r>
      <w:r>
        <w:rPr>
          <w:rFonts w:hint="eastAsia" w:ascii="宋体" w:hAnsi="宋体" w:eastAsia="宋体" w:cs="宋体"/>
          <w:color w:val="auto"/>
          <w:kern w:val="0"/>
          <w:sz w:val="28"/>
          <w:szCs w:val="28"/>
        </w:rPr>
        <w:t>， 属于（</w:t>
      </w:r>
      <w:r>
        <w:rPr>
          <w:rFonts w:hint="eastAsia" w:ascii="宋体" w:hAnsi="宋体" w:eastAsia="宋体" w:cs="宋体"/>
          <w:color w:val="auto"/>
          <w:kern w:val="0"/>
          <w:sz w:val="28"/>
          <w:szCs w:val="28"/>
          <w:u w:val="single"/>
        </w:rPr>
        <w:t>中型企业、 小型企业、 微型企业</w:t>
      </w:r>
      <w:r>
        <w:rPr>
          <w:rFonts w:hint="eastAsia" w:ascii="宋体" w:hAnsi="宋体" w:eastAsia="宋体" w:cs="宋体"/>
          <w:color w:val="auto"/>
          <w:kern w:val="0"/>
          <w:sz w:val="28"/>
          <w:szCs w:val="28"/>
        </w:rPr>
        <w:t>）；</w:t>
      </w:r>
    </w:p>
    <w:p>
      <w:pPr>
        <w:widowControl/>
        <w:spacing w:beforeLines="0" w:afterLines="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 </w:t>
      </w:r>
      <w:r>
        <w:rPr>
          <w:rFonts w:hint="eastAsia" w:ascii="宋体" w:hAnsi="宋体" w:eastAsia="宋体" w:cs="宋体"/>
          <w:color w:val="auto"/>
          <w:kern w:val="0"/>
          <w:sz w:val="28"/>
          <w:szCs w:val="28"/>
          <w:u w:val="single"/>
        </w:rPr>
        <w:t>（标的名称）</w:t>
      </w:r>
      <w:r>
        <w:rPr>
          <w:rFonts w:hint="eastAsia" w:ascii="宋体" w:hAnsi="宋体" w:eastAsia="宋体" w:cs="宋体"/>
          <w:color w:val="auto"/>
          <w:kern w:val="0"/>
          <w:sz w:val="28"/>
          <w:szCs w:val="28"/>
        </w:rPr>
        <w:t xml:space="preserve"> ， 属于</w:t>
      </w:r>
      <w:r>
        <w:rPr>
          <w:rFonts w:hint="eastAsia" w:ascii="宋体" w:hAnsi="宋体" w:eastAsia="宋体" w:cs="宋体"/>
          <w:color w:val="auto"/>
          <w:kern w:val="0"/>
          <w:sz w:val="28"/>
          <w:szCs w:val="28"/>
          <w:u w:val="single"/>
        </w:rPr>
        <w:t>（采购文件中明确的所属行业）</w:t>
      </w:r>
      <w:r>
        <w:rPr>
          <w:rFonts w:hint="eastAsia" w:ascii="宋体" w:hAnsi="宋体" w:eastAsia="宋体" w:cs="宋体"/>
          <w:color w:val="auto"/>
          <w:kern w:val="0"/>
          <w:sz w:val="28"/>
          <w:szCs w:val="28"/>
        </w:rPr>
        <w:t>行业； 制造商为</w:t>
      </w:r>
      <w:r>
        <w:rPr>
          <w:rFonts w:hint="eastAsia" w:ascii="宋体" w:hAnsi="宋体" w:eastAsia="宋体" w:cs="宋体"/>
          <w:color w:val="auto"/>
          <w:kern w:val="0"/>
          <w:sz w:val="28"/>
          <w:szCs w:val="28"/>
          <w:u w:val="single"/>
        </w:rPr>
        <w:t>（ 企业名称）</w:t>
      </w:r>
      <w:r>
        <w:rPr>
          <w:rFonts w:hint="eastAsia" w:ascii="宋体" w:hAnsi="宋体" w:eastAsia="宋体" w:cs="宋体"/>
          <w:color w:val="auto"/>
          <w:kern w:val="0"/>
          <w:sz w:val="28"/>
          <w:szCs w:val="28"/>
        </w:rPr>
        <w:t>， 从业人员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人， 营业收为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 资产总额为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万元， 属于</w:t>
      </w:r>
      <w:r>
        <w:rPr>
          <w:rFonts w:hint="eastAsia" w:ascii="宋体" w:hAnsi="宋体" w:eastAsia="宋体" w:cs="宋体"/>
          <w:color w:val="auto"/>
          <w:kern w:val="0"/>
          <w:sz w:val="28"/>
          <w:szCs w:val="28"/>
          <w:u w:val="single"/>
        </w:rPr>
        <w:t>（中型企业、 小型企业、 微型企业）</w:t>
      </w:r>
      <w:r>
        <w:rPr>
          <w:rFonts w:hint="eastAsia" w:ascii="宋体" w:hAnsi="宋体" w:eastAsia="宋体" w:cs="宋体"/>
          <w:color w:val="auto"/>
          <w:kern w:val="0"/>
          <w:sz w:val="28"/>
          <w:szCs w:val="28"/>
        </w:rPr>
        <w:t>；</w:t>
      </w:r>
    </w:p>
    <w:p>
      <w:pPr>
        <w:widowControl/>
        <w:spacing w:beforeLines="0" w:afterLines="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p>
      <w:pPr>
        <w:widowControl/>
        <w:spacing w:beforeLines="0" w:afterLines="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以上企业， 不属于大企业的分支机构， 不存在控股股东为大企业的情形， 也不存在与大企业的负责人为同一人的情形。</w:t>
      </w:r>
    </w:p>
    <w:p>
      <w:pPr>
        <w:widowControl/>
        <w:spacing w:beforeLines="0" w:afterLines="0"/>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本企业对上述声明内容的真实性负责。 如有虚假， 将依法承担相应责任。</w:t>
      </w:r>
    </w:p>
    <w:p>
      <w:pPr>
        <w:widowControl/>
        <w:wordWrap w:val="0"/>
        <w:spacing w:beforeLines="0" w:afterLines="0"/>
        <w:ind w:firstLine="560" w:firstLineChars="200"/>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企业名称（盖章）：        </w:t>
      </w:r>
    </w:p>
    <w:p>
      <w:pPr>
        <w:widowControl/>
        <w:wordWrap w:val="0"/>
        <w:spacing w:beforeLines="0" w:afterLines="0"/>
        <w:ind w:firstLine="560" w:firstLineChars="2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日 期：    </w:t>
      </w:r>
    </w:p>
    <w:p>
      <w:pPr>
        <w:widowControl/>
        <w:wordWrap w:val="0"/>
        <w:spacing w:beforeLines="0" w:afterLines="0"/>
        <w:ind w:firstLine="560" w:firstLineChars="2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pPr>
        <w:spacing w:beforeLines="0" w:afterLines="0"/>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highlight w:val="none"/>
        </w:rPr>
        <w:t>注</w:t>
      </w:r>
      <w:r>
        <w:rPr>
          <w:rFonts w:hint="eastAsia" w:ascii="宋体" w:hAnsi="宋体" w:eastAsia="宋体" w:cs="宋体"/>
          <w:sz w:val="24"/>
          <w:szCs w:val="24"/>
          <w:highlight w:val="none"/>
          <w:lang w:val="en-US" w:eastAsia="zh-CN"/>
        </w:rPr>
        <w:t>：从业人员、 营业收入、 资产总额填报上一年度数据， 无上一年度数据的新成立企业可不填报。（若谈判文件未按上述规定格式填写声明函，则在评审时不予认可。）</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含中型、小型、微型企业），本项目为非专门面向中小企业采购项目，（预留份额中小企业部分（非核心产品）需要提供，标注核心产品部分为非面向中小企业的可不提供），本项目对应中小企业划分标准所属行业为工业（制造业），供应商须按格式要求真实填报并提供中小企业声明函，未提供者视为不响应采购文件资格要求，评标时不予认可！</w:t>
      </w:r>
    </w:p>
    <w:p>
      <w:pPr>
        <w:pStyle w:val="15"/>
        <w:rPr>
          <w:rFonts w:hint="eastAsia"/>
          <w:lang w:val="en-US" w:eastAsia="zh-CN"/>
        </w:rPr>
      </w:pPr>
    </w:p>
    <w:p>
      <w:pPr>
        <w:pStyle w:val="16"/>
        <w:rPr>
          <w:rFonts w:hint="eastAsia"/>
          <w:lang w:val="en-US" w:eastAsia="zh-CN"/>
        </w:rPr>
      </w:pPr>
    </w:p>
    <w:p>
      <w:pPr>
        <w:pStyle w:val="17"/>
        <w:rPr>
          <w:rFonts w:hint="eastAsia"/>
          <w:lang w:val="en-US" w:eastAsia="zh-CN"/>
        </w:rPr>
      </w:pPr>
    </w:p>
    <w:p>
      <w:pPr>
        <w:pStyle w:val="15"/>
        <w:rPr>
          <w:rFonts w:hint="eastAsia"/>
          <w:highlight w:val="none"/>
          <w:lang w:val="en-US" w:eastAsia="zh-CN"/>
        </w:rPr>
      </w:pPr>
    </w:p>
    <w:p>
      <w:pPr>
        <w:numPr>
          <w:ilvl w:val="0"/>
          <w:numId w:val="0"/>
        </w:numPr>
        <w:spacing w:line="588" w:lineRule="exact"/>
        <w:jc w:val="both"/>
        <w:rPr>
          <w:rFonts w:hint="eastAsia" w:ascii="宋体" w:hAnsi="宋体" w:eastAsia="宋体" w:cs="宋体"/>
          <w:b/>
          <w:bCs w:val="0"/>
          <w:color w:val="auto"/>
          <w:kern w:val="2"/>
          <w:sz w:val="32"/>
          <w:szCs w:val="32"/>
          <w:lang w:val="en-US" w:eastAsia="zh-CN" w:bidi="ar-SA"/>
        </w:rPr>
      </w:pPr>
      <w:r>
        <w:rPr>
          <w:rFonts w:hint="eastAsia" w:ascii="宋体" w:hAnsi="宋体" w:eastAsia="宋体" w:cs="宋体"/>
          <w:b/>
          <w:bCs w:val="0"/>
          <w:color w:val="auto"/>
          <w:kern w:val="2"/>
          <w:sz w:val="32"/>
          <w:szCs w:val="32"/>
          <w:lang w:val="en-US" w:eastAsia="zh-CN" w:bidi="ar-SA"/>
        </w:rPr>
        <w:t>格式14、节能、环保产品证明（如有）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15"/>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提供的网站上查询到相关内容（未提供查询网站，或在其提供的查询网站上查询不到相关内容的，将不予认可），由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加盖公章并注明“与原件一致”。</w:t>
      </w: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default" w:ascii="宋体" w:hAnsi="宋体" w:eastAsia="宋体" w:cs="宋体"/>
          <w:b/>
          <w:bCs w:val="0"/>
          <w:color w:val="auto"/>
          <w:kern w:val="2"/>
          <w:sz w:val="21"/>
          <w:szCs w:val="21"/>
          <w:lang w:val="en-US" w:eastAsia="zh-CN" w:bidi="ar-SA"/>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auto"/>
          <w:sz w:val="24"/>
          <w:highlight w:val="none"/>
        </w:rPr>
        <w:t>                                         日          期：    年   月  日</w:t>
      </w:r>
    </w:p>
    <w:p>
      <w:pPr>
        <w:snapToGrid w:val="0"/>
        <w:spacing w:line="360" w:lineRule="auto"/>
        <w:ind w:left="0" w:leftChars="0" w:firstLine="0" w:firstLineChars="0"/>
        <w:jc w:val="both"/>
        <w:rPr>
          <w:rFonts w:hint="eastAsia" w:ascii="宋体" w:hAnsi="宋体" w:eastAsia="宋体" w:cs="宋体"/>
          <w:b/>
          <w:bCs w:val="0"/>
          <w:color w:val="auto"/>
          <w:kern w:val="2"/>
          <w:sz w:val="32"/>
          <w:szCs w:val="32"/>
          <w:lang w:val="en-US" w:eastAsia="zh-CN" w:bidi="ar-SA"/>
        </w:rPr>
      </w:pPr>
      <w:r>
        <w:rPr>
          <w:rFonts w:hint="eastAsia" w:ascii="宋体" w:hAnsi="宋体" w:eastAsia="宋体" w:cs="宋体"/>
          <w:b/>
          <w:bCs w:val="0"/>
          <w:color w:val="auto"/>
          <w:kern w:val="2"/>
          <w:sz w:val="32"/>
          <w:szCs w:val="32"/>
          <w:lang w:val="en-US" w:eastAsia="zh-CN" w:bidi="ar-SA"/>
        </w:rPr>
        <w:t>格式15、监狱企业声明函</w:t>
      </w:r>
    </w:p>
    <w:p>
      <w:pPr>
        <w:spacing w:line="480" w:lineRule="auto"/>
        <w:ind w:firstLine="420" w:firstLineChars="200"/>
        <w:outlineLvl w:val="1"/>
        <w:rPr>
          <w:rFonts w:hint="eastAsia" w:ascii="宋体" w:hAnsi="宋体" w:cs="仿宋"/>
          <w:sz w:val="21"/>
          <w:szCs w:val="21"/>
          <w:lang w:val="en-US" w:eastAsia="zh-CN"/>
        </w:rPr>
      </w:pPr>
      <w:r>
        <w:rPr>
          <w:rFonts w:hint="eastAsia" w:ascii="宋体" w:hAnsi="宋体" w:cs="仿宋"/>
          <w:sz w:val="21"/>
          <w:szCs w:val="21"/>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ascii="宋体" w:hAnsi="宋体" w:cs="仿宋"/>
          <w:color w:val="auto"/>
          <w:kern w:val="0"/>
          <w:sz w:val="24"/>
          <w:highlight w:val="none"/>
        </w:rPr>
      </w:pPr>
      <w:r>
        <w:rPr>
          <w:rFonts w:hint="eastAsia" w:ascii="宋体" w:hAnsi="宋体" w:cs="仿宋"/>
          <w:color w:val="auto"/>
          <w:kern w:val="0"/>
          <w:sz w:val="24"/>
          <w:highlight w:val="none"/>
        </w:rPr>
        <w:t>本单位郑重声明，本单位在参加</w:t>
      </w:r>
      <w:r>
        <w:rPr>
          <w:rFonts w:hint="eastAsia" w:ascii="宋体" w:hAnsi="宋体" w:cs="仿宋"/>
          <w:color w:val="auto"/>
          <w:kern w:val="0"/>
          <w:sz w:val="24"/>
          <w:highlight w:val="none"/>
          <w:u w:val="single"/>
        </w:rPr>
        <w:t>（采购人名称）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w:t>
      </w:r>
      <w:r>
        <w:rPr>
          <w:rFonts w:hint="eastAsia" w:ascii="宋体" w:hAnsi="宋体" w:cs="仿宋"/>
          <w:color w:val="auto"/>
          <w:kern w:val="0"/>
          <w:sz w:val="24"/>
          <w:highlight w:val="none"/>
          <w:u w:val="single"/>
          <w:lang w:eastAsia="zh-CN"/>
        </w:rPr>
        <w:t>采购项目</w:t>
      </w:r>
      <w:r>
        <w:rPr>
          <w:rFonts w:hint="eastAsia" w:ascii="宋体" w:hAnsi="宋体" w:cs="仿宋"/>
          <w:color w:val="auto"/>
          <w:kern w:val="0"/>
          <w:sz w:val="24"/>
          <w:highlight w:val="none"/>
          <w:u w:val="single"/>
        </w:rPr>
        <w:t>名称）</w:t>
      </w:r>
      <w:r>
        <w:rPr>
          <w:rFonts w:hint="eastAsia" w:ascii="宋体" w:hAnsi="宋体" w:cs="仿宋"/>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ascii="宋体" w:hAnsi="宋体" w:cs="仿宋"/>
          <w:color w:val="auto"/>
          <w:kern w:val="0"/>
          <w:sz w:val="24"/>
          <w:highlight w:val="none"/>
        </w:rPr>
      </w:pPr>
      <w:r>
        <w:rPr>
          <w:rFonts w:hint="eastAsia" w:ascii="宋体" w:hAnsi="宋体" w:cs="仿宋"/>
          <w:color w:val="auto"/>
          <w:kern w:val="0"/>
          <w:sz w:val="24"/>
          <w:highlight w:val="none"/>
        </w:rPr>
        <w:t>（1）□</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（2）□</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属于监狱企业并作为联合体一方，其提供协议合同金额占到共同投标协议合同总金额的比例为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（3）□</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属于监狱企业并作为分包方，其提供协议合同金额占到分包意向协议合同总金额的比例为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w:t>
      </w:r>
    </w:p>
    <w:p>
      <w:pPr>
        <w:widowControl/>
        <w:shd w:val="clear" w:color="auto" w:fill="auto"/>
        <w:adjustRightInd w:val="0"/>
        <w:snapToGrid w:val="0"/>
        <w:spacing w:line="360" w:lineRule="auto"/>
        <w:jc w:val="left"/>
        <w:rPr>
          <w:rFonts w:ascii="宋体" w:hAnsi="宋体" w:cs="仿宋"/>
          <w:color w:val="auto"/>
          <w:kern w:val="0"/>
          <w:sz w:val="24"/>
          <w:highlight w:val="none"/>
        </w:rPr>
      </w:pPr>
    </w:p>
    <w:p>
      <w:pPr>
        <w:widowControl/>
        <w:shd w:val="clear" w:color="auto" w:fill="auto"/>
        <w:adjustRightInd w:val="0"/>
        <w:snapToGrid w:val="0"/>
        <w:spacing w:line="360" w:lineRule="auto"/>
        <w:jc w:val="left"/>
        <w:rPr>
          <w:rFonts w:ascii="宋体" w:hAnsi="宋体" w:cs="仿宋"/>
          <w:color w:val="auto"/>
          <w:kern w:val="0"/>
          <w:sz w:val="24"/>
          <w:highlight w:val="none"/>
        </w:rPr>
      </w:pPr>
    </w:p>
    <w:p>
      <w:pPr>
        <w:shd w:val="clear" w:color="auto" w:fill="auto"/>
        <w:adjustRightInd w:val="0"/>
        <w:snapToGrid w:val="0"/>
        <w:spacing w:line="360" w:lineRule="auto"/>
        <w:ind w:hanging="540"/>
        <w:jc w:val="center"/>
        <w:rPr>
          <w:rFonts w:ascii="宋体" w:hAnsi="宋体" w:cs="仿宋"/>
          <w:b/>
          <w:color w:val="auto"/>
          <w:kern w:val="0"/>
          <w:sz w:val="24"/>
          <w:highlight w:val="none"/>
        </w:rPr>
      </w:pPr>
      <w:r>
        <w:rPr>
          <w:rFonts w:hint="eastAsia" w:ascii="宋体" w:hAnsi="宋体" w:cs="仿宋"/>
          <w:b/>
          <w:color w:val="auto"/>
          <w:kern w:val="0"/>
          <w:sz w:val="24"/>
          <w:highlight w:val="none"/>
        </w:rPr>
        <w:t>　</w:t>
      </w:r>
    </w:p>
    <w:p>
      <w:pPr>
        <w:shd w:val="clear" w:color="auto" w:fill="auto"/>
        <w:adjustRightInd w:val="0"/>
        <w:snapToGrid w:val="0"/>
        <w:spacing w:line="360" w:lineRule="auto"/>
        <w:ind w:firstLine="5280" w:firstLineChars="2200"/>
        <w:rPr>
          <w:rFonts w:ascii="宋体" w:hAnsi="宋体" w:cs="仿宋"/>
          <w:color w:val="auto"/>
          <w:kern w:val="0"/>
          <w:sz w:val="24"/>
          <w:highlight w:val="none"/>
        </w:rPr>
      </w:pPr>
      <w:r>
        <w:rPr>
          <w:rFonts w:hint="eastAsia" w:ascii="宋体" w:hAnsi="宋体" w:cs="仿宋"/>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ascii="宋体" w:hAnsi="宋体" w:cs="仿宋"/>
          <w:color w:val="auto"/>
          <w:kern w:val="0"/>
          <w:sz w:val="24"/>
          <w:highlight w:val="none"/>
        </w:rPr>
      </w:pPr>
      <w:r>
        <w:rPr>
          <w:rFonts w:hint="eastAsia" w:ascii="宋体" w:hAnsi="宋体" w:cs="仿宋"/>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pStyle w:val="62"/>
        <w:pageBreakBefore w:val="0"/>
        <w:widowControl w:val="0"/>
        <w:wordWrap/>
        <w:topLinePunct w:val="0"/>
        <w:bidi w:val="0"/>
        <w:jc w:val="center"/>
        <w:rPr>
          <w:rFonts w:hint="eastAsia" w:ascii="宋体" w:hAnsi="宋体" w:eastAsia="宋体" w:cs="宋体"/>
          <w:b/>
          <w:bCs/>
          <w:color w:val="auto"/>
          <w:kern w:val="2"/>
          <w:sz w:val="28"/>
          <w:szCs w:val="28"/>
          <w:highlight w:val="none"/>
          <w:lang w:val="en-US" w:eastAsia="zh-CN" w:bidi="ar-SA"/>
        </w:rPr>
      </w:pPr>
    </w:p>
    <w:p>
      <w:pPr>
        <w:pStyle w:val="62"/>
        <w:pageBreakBefore w:val="0"/>
        <w:widowControl w:val="0"/>
        <w:wordWrap/>
        <w:topLinePunct w:val="0"/>
        <w:bidi w:val="0"/>
        <w:jc w:val="center"/>
        <w:rPr>
          <w:rFonts w:hint="eastAsia" w:ascii="宋体" w:hAnsi="宋体" w:eastAsia="宋体" w:cs="宋体"/>
          <w:b/>
          <w:bCs/>
          <w:color w:val="auto"/>
          <w:kern w:val="2"/>
          <w:sz w:val="28"/>
          <w:szCs w:val="28"/>
          <w:highlight w:val="none"/>
          <w:lang w:val="en-US" w:eastAsia="zh-CN" w:bidi="ar-SA"/>
        </w:rPr>
      </w:pPr>
    </w:p>
    <w:p>
      <w:pPr>
        <w:pStyle w:val="62"/>
        <w:pageBreakBefore w:val="0"/>
        <w:widowControl w:val="0"/>
        <w:wordWrap/>
        <w:topLinePunct w:val="0"/>
        <w:bidi w:val="0"/>
        <w:jc w:val="both"/>
        <w:rPr>
          <w:rFonts w:hint="default" w:ascii="宋体" w:hAnsi="宋体" w:eastAsia="宋体" w:cs="宋体"/>
          <w:b/>
          <w:bCs w:val="0"/>
          <w:color w:val="auto"/>
          <w:kern w:val="2"/>
          <w:sz w:val="32"/>
          <w:szCs w:val="32"/>
          <w:lang w:val="en-US" w:eastAsia="zh-CN" w:bidi="ar-SA"/>
        </w:rPr>
      </w:pPr>
      <w:r>
        <w:rPr>
          <w:rFonts w:hint="eastAsia" w:ascii="宋体" w:hAnsi="宋体" w:eastAsia="宋体" w:cs="宋体"/>
          <w:b/>
          <w:bCs/>
          <w:color w:val="auto"/>
          <w:kern w:val="2"/>
          <w:sz w:val="28"/>
          <w:szCs w:val="28"/>
          <w:highlight w:val="none"/>
          <w:lang w:val="en-US" w:eastAsia="zh-CN" w:bidi="ar-SA"/>
        </w:rPr>
        <w:br w:type="page"/>
      </w:r>
      <w:r>
        <w:rPr>
          <w:rFonts w:hint="eastAsia" w:ascii="宋体" w:hAnsi="宋体" w:eastAsia="宋体" w:cs="宋体"/>
          <w:b/>
          <w:bCs w:val="0"/>
          <w:color w:val="auto"/>
          <w:kern w:val="2"/>
          <w:sz w:val="32"/>
          <w:szCs w:val="32"/>
          <w:lang w:val="en-US" w:eastAsia="zh-CN" w:bidi="ar-SA"/>
        </w:rPr>
        <w:t>格式16、残疾人福利性单位声明函（如有）</w:t>
      </w:r>
    </w:p>
    <w:p>
      <w:pPr>
        <w:pStyle w:val="62"/>
        <w:pageBreakBefore w:val="0"/>
        <w:widowControl w:val="0"/>
        <w:wordWrap/>
        <w:topLinePunct w:val="0"/>
        <w:bidi w:val="0"/>
        <w:rPr>
          <w:rFonts w:hint="eastAsia"/>
          <w:color w:val="auto"/>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r>
        <w:rPr>
          <w:rFonts w:hint="eastAsia"/>
          <w:color w:val="auto"/>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2"/>
        <w:pageBreakBefore w:val="0"/>
        <w:widowControl w:val="0"/>
        <w:wordWrap/>
        <w:topLinePunct w:val="0"/>
        <w:bidi w:val="0"/>
        <w:ind w:firstLine="560" w:firstLineChars="200"/>
        <w:rPr>
          <w:rFonts w:hint="eastAsia"/>
          <w:color w:val="auto"/>
          <w:sz w:val="28"/>
          <w:szCs w:val="28"/>
          <w:highlight w:val="none"/>
        </w:rPr>
      </w:pPr>
      <w:r>
        <w:rPr>
          <w:rFonts w:hint="eastAsia"/>
          <w:color w:val="auto"/>
          <w:sz w:val="28"/>
          <w:szCs w:val="28"/>
          <w:highlight w:val="none"/>
        </w:rPr>
        <w:t>本单位对上述声明的真实性负责。如有虚假，将依法承担相应责任。</w:t>
      </w: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ind w:firstLine="560" w:firstLineChars="200"/>
        <w:rPr>
          <w:rFonts w:hint="eastAsia"/>
          <w:color w:val="auto"/>
          <w:sz w:val="28"/>
          <w:szCs w:val="28"/>
          <w:highlight w:val="none"/>
        </w:rPr>
      </w:pPr>
    </w:p>
    <w:p>
      <w:pPr>
        <w:pStyle w:val="62"/>
        <w:pageBreakBefore w:val="0"/>
        <w:widowControl w:val="0"/>
        <w:wordWrap/>
        <w:topLinePunct w:val="0"/>
        <w:bidi w:val="0"/>
        <w:rPr>
          <w:color w:val="auto"/>
          <w:highlight w:val="none"/>
        </w:rPr>
      </w:pPr>
    </w:p>
    <w:p>
      <w:pPr>
        <w:pageBreakBefore w:val="0"/>
        <w:widowControl w:val="0"/>
        <w:wordWrap/>
        <w:topLinePunct w:val="0"/>
        <w:bidi w:val="0"/>
        <w:ind w:firstLine="4760" w:firstLineChars="17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（加盖公章）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p>
    <w:p>
      <w:pPr>
        <w:pageBreakBefore w:val="0"/>
        <w:widowControl w:val="0"/>
        <w:wordWrap/>
        <w:topLinePunct w:val="0"/>
        <w:bidi w:val="0"/>
        <w:jc w:val="right"/>
        <w:rPr>
          <w:rFonts w:hint="eastAsia" w:ascii="宋体" w:hAnsi="宋体" w:eastAsia="宋体" w:cs="宋体"/>
          <w:color w:val="auto"/>
          <w:sz w:val="28"/>
          <w:szCs w:val="28"/>
          <w:highlight w:val="none"/>
        </w:rPr>
      </w:pPr>
    </w:p>
    <w:p>
      <w:pPr>
        <w:pageBreakBefore w:val="0"/>
        <w:widowControl w:val="0"/>
        <w:wordWrap/>
        <w:topLinePunct w:val="0"/>
        <w:bidi w:val="0"/>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w:t>
      </w:r>
      <w:r>
        <w:rPr>
          <w:rFonts w:hint="eastAsia" w:ascii="宋体" w:hAnsi="宋体" w:eastAsia="宋体" w:cs="宋体"/>
          <w:color w:val="auto"/>
          <w:sz w:val="28"/>
          <w:szCs w:val="28"/>
          <w:highlight w:val="none"/>
          <w:u w:val="single"/>
        </w:rPr>
        <w:t>        </w:t>
      </w:r>
    </w:p>
    <w:p>
      <w:pPr>
        <w:pageBreakBefore w:val="0"/>
        <w:widowControl w:val="0"/>
        <w:wordWrap/>
        <w:topLinePunct w:val="0"/>
        <w:bidi w:val="0"/>
        <w:jc w:val="righ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w:t>
      </w:r>
    </w:p>
    <w:p>
      <w:pPr>
        <w:pStyle w:val="139"/>
        <w:pageBreakBefore w:val="0"/>
        <w:widowControl w:val="0"/>
        <w:wordWrap/>
        <w:topLinePunct w:val="0"/>
        <w:bidi w:val="0"/>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r>
        <w:rPr>
          <w:rFonts w:hint="eastAsia" w:ascii="宋体" w:hAnsi="宋体" w:eastAsia="宋体" w:cs="宋体"/>
          <w:color w:val="auto"/>
          <w:sz w:val="28"/>
          <w:szCs w:val="28"/>
          <w:highlight w:val="none"/>
          <w:lang w:val="en-US" w:eastAsia="zh-CN"/>
        </w:rPr>
        <w:t xml:space="preserve">                         </w:t>
      </w:r>
      <w:r>
        <w:rPr>
          <w:rFonts w:hint="eastAsia" w:asci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日期：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bookmarkEnd w:id="348"/>
    <w:p>
      <w:pPr>
        <w:pStyle w:val="5"/>
        <w:pageBreakBefore w:val="0"/>
        <w:widowControl w:val="0"/>
        <w:wordWrap/>
        <w:topLinePunct w:val="0"/>
        <w:bidi w:val="0"/>
        <w:jc w:val="center"/>
        <w:outlineLvl w:val="9"/>
        <w:rPr>
          <w:rFonts w:hint="eastAsia" w:ascii="宋体" w:hAnsi="宋体" w:eastAsia="宋体" w:cs="宋体"/>
          <w:b/>
          <w:color w:val="auto"/>
          <w:kern w:val="2"/>
          <w:sz w:val="32"/>
          <w:szCs w:val="24"/>
          <w:lang w:val="en-US" w:eastAsia="zh-CN" w:bidi="ar-SA"/>
        </w:rPr>
      </w:pPr>
      <w:r>
        <w:rPr>
          <w:rFonts w:hint="eastAsia" w:ascii="宋体" w:hAnsi="宋体" w:eastAsia="宋体" w:cs="宋体"/>
          <w:b/>
          <w:bCs/>
          <w:color w:val="auto"/>
          <w:kern w:val="2"/>
          <w:sz w:val="28"/>
          <w:szCs w:val="28"/>
          <w:highlight w:val="none"/>
          <w:lang w:val="en-US" w:eastAsia="zh-CN" w:bidi="ar-SA"/>
        </w:rPr>
        <w:br w:type="page"/>
      </w:r>
      <w:bookmarkStart w:id="349" w:name="_Toc458539072"/>
      <w:r>
        <w:rPr>
          <w:rFonts w:hint="eastAsia" w:ascii="宋体" w:hAnsi="宋体" w:eastAsia="宋体" w:cs="宋体"/>
          <w:b/>
          <w:color w:val="auto"/>
          <w:kern w:val="2"/>
          <w:sz w:val="32"/>
          <w:szCs w:val="24"/>
          <w:lang w:val="en-US" w:eastAsia="zh-CN" w:bidi="ar-SA"/>
        </w:rPr>
        <w:t>谈判企业认为有必要提供的声明及文件资料</w:t>
      </w:r>
    </w:p>
    <w:p>
      <w:pPr>
        <w:pStyle w:val="114"/>
        <w:pageBreakBefore w:val="0"/>
        <w:widowControl w:val="0"/>
        <w:numPr>
          <w:ilvl w:val="0"/>
          <w:numId w:val="0"/>
        </w:numPr>
        <w:tabs>
          <w:tab w:val="left" w:pos="540"/>
          <w:tab w:val="left" w:pos="1080"/>
        </w:tabs>
        <w:wordWrap/>
        <w:topLinePunct w:val="0"/>
        <w:bidi w:val="0"/>
        <w:jc w:val="both"/>
        <w:rPr>
          <w:rFonts w:hint="eastAsia" w:ascii="宋体" w:hAnsi="宋体" w:eastAsia="宋体" w:cs="宋体"/>
          <w:b/>
          <w:color w:val="auto"/>
          <w:kern w:val="2"/>
          <w:sz w:val="32"/>
          <w:szCs w:val="24"/>
          <w:lang w:val="en-US" w:eastAsia="zh-CN" w:bidi="ar-SA"/>
        </w:rPr>
      </w:pPr>
    </w:p>
    <w:p>
      <w:pPr>
        <w:pageBreakBefore w:val="0"/>
        <w:widowControl w:val="0"/>
        <w:numPr>
          <w:ilvl w:val="0"/>
          <w:numId w:val="0"/>
        </w:numPr>
        <w:wordWrap/>
        <w:topLinePunct w:val="0"/>
        <w:bidi w:val="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eastAsia="zh-CN"/>
        </w:rPr>
        <w:t>供应商</w:t>
      </w:r>
      <w:r>
        <w:rPr>
          <w:rFonts w:hint="eastAsia" w:ascii="宋体" w:hAnsi="宋体" w:eastAsia="宋体" w:cs="宋体"/>
          <w:b w:val="0"/>
          <w:bCs/>
          <w:color w:val="auto"/>
          <w:sz w:val="28"/>
          <w:szCs w:val="28"/>
          <w:highlight w:val="none"/>
          <w:lang w:val="en-US" w:eastAsia="zh-CN"/>
        </w:rPr>
        <w:t>按谈判文件要求</w:t>
      </w:r>
      <w:r>
        <w:rPr>
          <w:rFonts w:hint="eastAsia" w:ascii="宋体" w:hAnsi="宋体" w:eastAsia="宋体" w:cs="宋体"/>
          <w:b w:val="0"/>
          <w:bCs/>
          <w:color w:val="auto"/>
          <w:sz w:val="28"/>
          <w:szCs w:val="28"/>
          <w:highlight w:val="none"/>
        </w:rPr>
        <w:t>自行编制</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包含但不限于企业内部管理制度、履约经验、质量保证措施、进度安排、实施方案、配送方案、应急预案及对项目的认知等</w:t>
      </w:r>
      <w:r>
        <w:rPr>
          <w:rFonts w:hint="eastAsia" w:ascii="宋体" w:hAnsi="宋体" w:eastAsia="宋体" w:cs="宋体"/>
          <w:b w:val="0"/>
          <w:bCs/>
          <w:color w:val="auto"/>
          <w:sz w:val="28"/>
          <w:szCs w:val="28"/>
          <w:highlight w:val="none"/>
        </w:rPr>
        <w:t>）。</w:t>
      </w:r>
    </w:p>
    <w:p>
      <w:pPr>
        <w:pStyle w:val="5"/>
        <w:numPr>
          <w:ilvl w:val="2"/>
          <w:numId w:val="0"/>
        </w:numPr>
        <w:spacing w:line="520" w:lineRule="exact"/>
        <w:outlineLvl w:val="9"/>
        <w:rPr>
          <w:rFonts w:hint="eastAsia" w:ascii="宋体" w:hAnsi="宋体" w:eastAsia="宋体" w:cs="宋体"/>
          <w:b w:val="0"/>
          <w:color w:val="auto"/>
          <w:sz w:val="44"/>
          <w:szCs w:val="44"/>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bookmarkEnd w:id="349"/>
    <w:p>
      <w:pPr>
        <w:pStyle w:val="2"/>
        <w:rPr>
          <w:rFonts w:hint="eastAsia" w:ascii="宋体" w:hAnsi="宋体" w:eastAsia="宋体" w:cs="宋体"/>
          <w:color w:val="auto"/>
          <w:sz w:val="44"/>
          <w:szCs w:val="44"/>
          <w:lang w:val="en-US" w:eastAsia="zh-CN"/>
        </w:rPr>
      </w:pPr>
    </w:p>
    <w:sectPr>
      <w:headerReference r:id="rId10" w:type="first"/>
      <w:footerReference r:id="rId13" w:type="first"/>
      <w:headerReference r:id="rId8" w:type="default"/>
      <w:footerReference r:id="rId11" w:type="default"/>
      <w:headerReference r:id="rId9" w:type="even"/>
      <w:footerReference r:id="rId12" w:type="even"/>
      <w:pgSz w:w="11907" w:h="16840"/>
      <w:pgMar w:top="1440" w:right="1080" w:bottom="1440" w:left="1080" w:header="851" w:footer="992" w:gutter="0"/>
      <w:pgNumType w:fmt="numberInDash"/>
      <w:cols w:space="720" w:num="1"/>
      <w:docGrid w:type="lines" w:linePitch="415" w:charSpace="233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EFC959-9616-4B1A-BCEC-7551E6D95F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2" w:fontKey="{2CD61ACC-E080-4C9C-9A3F-B7EE7363C9CB}"/>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embedRegular r:id="rId3" w:fontKey="{454765C4-31CD-4AE9-8263-279E7506AD95}"/>
  </w:font>
  <w:font w:name="等线">
    <w:panose1 w:val="02010600030101010101"/>
    <w:charset w:val="86"/>
    <w:family w:val="auto"/>
    <w:pitch w:val="default"/>
    <w:sig w:usb0="A00002BF" w:usb1="38CF7CFA" w:usb2="00000016" w:usb3="00000000" w:csb0="0004000F" w:csb1="00000000"/>
    <w:embedRegular r:id="rId4" w:fontKey="{5AAA9241-89C0-4689-BD0C-2F30C7CB9853}"/>
  </w:font>
  <w:font w:name="方正公文黑体">
    <w:panose1 w:val="02000500000000000000"/>
    <w:charset w:val="86"/>
    <w:family w:val="auto"/>
    <w:pitch w:val="default"/>
    <w:sig w:usb0="A00002BF" w:usb1="38CF7CFA" w:usb2="00000016" w:usb3="00000000" w:csb0="00040001" w:csb1="00000000"/>
    <w:embedRegular r:id="rId5" w:fontKey="{5E51A4F3-61D4-4B01-8665-59EE8B43C6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873"/>
        <w:tab w:val="clear" w:pos="4153"/>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873"/>
        <w:tab w:val="clear" w:pos="4153"/>
      </w:tabs>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tpviO&#10;6QEAAMsDAAAOAAAAAAAAAAEAIAAAACIBAABkcnMvZTJvRG9jLnhtbFBLBQYAAAAABgAGAFkBAAB9&#10;BQ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79"/>
        <w:tab w:val="clear" w:pos="4153"/>
      </w:tabs>
      <w:ind w:left="0" w:leftChars="0" w:firstLine="0" w:firstLineChars="0"/>
      <w:rPr>
        <w:rFonts w:hint="eastAsia" w:ascii="宋体" w:hAnsi="宋体"/>
        <w:sz w:val="21"/>
      </w:rPr>
    </w:pPr>
    <w:r>
      <w:rPr>
        <w:sz w:val="24"/>
      </w:rPr>
      <mc:AlternateContent>
        <mc:Choice Requires="wps">
          <w:drawing>
            <wp:anchor distT="0" distB="0" distL="114300" distR="114300" simplePos="0" relativeHeight="251661312" behindDoc="0" locked="0" layoutInCell="1" allowOverlap="1">
              <wp:simplePos x="0" y="0"/>
              <wp:positionH relativeFrom="margin">
                <wp:posOffset>2849245</wp:posOffset>
              </wp:positionH>
              <wp:positionV relativeFrom="paragraph">
                <wp:posOffset>0</wp:posOffset>
              </wp:positionV>
              <wp:extent cx="1828800" cy="1828800"/>
              <wp:effectExtent l="0" t="0" r="0" b="0"/>
              <wp:wrapNone/>
              <wp:docPr id="4"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ind w:left="0" w:leftChars="0" w:firstLine="0" w:firstLineChars="0"/>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left:224.35pt;margin-top:0pt;height:144pt;width:144pt;mso-position-horizontal-relative:margin;mso-wrap-style:none;z-index:251661312;mso-width-relative:page;mso-height-relative:page;" filled="f" stroked="f" coordsize="21600,21600" o:gfxdata="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e&#10;NaPYAAAACAEAAA8AAAAAAAAAAQAgAAAAIgAAAGRycy9kb3ducmV2LnhtbFBLAQIUABQAAAAIAIdO&#10;4kAJg8jx6gEAAMsDAAAOAAAAAAAAAAEAIAAAACcBAABkcnMvZTJvRG9jLnhtbFBLBQYAAAAABgAG&#10;AFkBAACDBQAAAAA=&#10;">
              <v:fill on="f" focussize="0,0"/>
              <v:stroke on="f" weight="1.25pt"/>
              <v:imagedata o:title=""/>
              <o:lock v:ext="edit" aspectratio="f"/>
              <v:textbox inset="0mm,0mm,0mm,0mm" style="mso-fit-shape-to-text:t;">
                <w:txbxContent>
                  <w:p>
                    <w:pPr>
                      <w:pStyle w:val="30"/>
                      <w:ind w:left="0" w:leftChars="0" w:firstLine="0" w:firstLineChars="0"/>
                    </w:pPr>
                    <w:r>
                      <w:fldChar w:fldCharType="begin"/>
                    </w:r>
                    <w:r>
                      <w:instrText xml:space="preserve"> PAGE  \* MERGEFORMAT </w:instrText>
                    </w:r>
                    <w:r>
                      <w:fldChar w:fldCharType="separate"/>
                    </w:r>
                    <w:r>
                      <w:t>34</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ind w:firstLine="36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firstLine="360"/>
      <w:rPr>
        <w:rStyle w:val="49"/>
      </w:rPr>
    </w:pPr>
    <w:r>
      <w:fldChar w:fldCharType="begin"/>
    </w:r>
    <w:r>
      <w:rPr>
        <w:rStyle w:val="49"/>
      </w:rPr>
      <w:instrText xml:space="preserve">PAGE  </w:instrText>
    </w:r>
    <w:r>
      <w:fldChar w:fldCharType="separate"/>
    </w:r>
    <w:r>
      <w:rPr>
        <w:rStyle w:val="49"/>
      </w:rPr>
      <w:t>11</w:t>
    </w:r>
    <w:r>
      <w:fldChar w:fldCharType="end"/>
    </w:r>
  </w:p>
  <w:p>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rPr>
        <w:rFonts w:hint="eastAsia" w:eastAsia="楷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7289A"/>
    <w:multiLevelType w:val="singleLevel"/>
    <w:tmpl w:val="C897289A"/>
    <w:lvl w:ilvl="0" w:tentative="0">
      <w:start w:val="3"/>
      <w:numFmt w:val="chineseCounting"/>
      <w:suff w:val="space"/>
      <w:lvlText w:val="第%1部分"/>
      <w:lvlJc w:val="left"/>
      <w:rPr>
        <w:rFonts w:hint="eastAsia"/>
      </w:rPr>
    </w:lvl>
  </w:abstractNum>
  <w:abstractNum w:abstractNumId="1">
    <w:nsid w:val="00000009"/>
    <w:multiLevelType w:val="singleLevel"/>
    <w:tmpl w:val="00000009"/>
    <w:lvl w:ilvl="0" w:tentative="0">
      <w:start w:val="1"/>
      <w:numFmt w:val="bullet"/>
      <w:pStyle w:val="14"/>
      <w:lvlText w:val=""/>
      <w:lvlJc w:val="left"/>
      <w:pPr>
        <w:tabs>
          <w:tab w:val="left" w:pos="1200"/>
        </w:tabs>
        <w:ind w:left="1200" w:hanging="360"/>
      </w:pPr>
      <w:rPr>
        <w:rFonts w:hint="default" w:ascii="Wingdings" w:hAnsi="Wingdings"/>
      </w:rPr>
    </w:lvl>
  </w:abstractNum>
  <w:abstractNum w:abstractNumId="2">
    <w:nsid w:val="0DDA6E85"/>
    <w:multiLevelType w:val="singleLevel"/>
    <w:tmpl w:val="0DDA6E85"/>
    <w:lvl w:ilvl="0" w:tentative="0">
      <w:start w:val="1"/>
      <w:numFmt w:val="chineseCounting"/>
      <w:suff w:val="nothing"/>
      <w:lvlText w:val="%1、"/>
      <w:lvlJc w:val="left"/>
      <w:rPr>
        <w:rFonts w:hint="eastAsia"/>
      </w:rPr>
    </w:lvl>
  </w:abstractNum>
  <w:abstractNum w:abstractNumId="3">
    <w:nsid w:val="61321429"/>
    <w:multiLevelType w:val="singleLevel"/>
    <w:tmpl w:val="61321429"/>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7"/>
  <w:drawingGridVerticalSpacing w:val="415"/>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NzY5NDk4ZTFhZWM2YWM3NTkxYTA0N2UyNWY0NjIifQ=="/>
  </w:docVars>
  <w:rsids>
    <w:rsidRoot w:val="00172A27"/>
    <w:rsid w:val="0000008E"/>
    <w:rsid w:val="000108D5"/>
    <w:rsid w:val="00011C16"/>
    <w:rsid w:val="00011DB9"/>
    <w:rsid w:val="00011E0D"/>
    <w:rsid w:val="00015EA1"/>
    <w:rsid w:val="00016CCF"/>
    <w:rsid w:val="00016E65"/>
    <w:rsid w:val="000171CB"/>
    <w:rsid w:val="000203C5"/>
    <w:rsid w:val="00021A7A"/>
    <w:rsid w:val="00025883"/>
    <w:rsid w:val="00030D39"/>
    <w:rsid w:val="00031A5E"/>
    <w:rsid w:val="00034669"/>
    <w:rsid w:val="00035445"/>
    <w:rsid w:val="00035DF3"/>
    <w:rsid w:val="00036F93"/>
    <w:rsid w:val="000405E9"/>
    <w:rsid w:val="00040F59"/>
    <w:rsid w:val="00043F92"/>
    <w:rsid w:val="00045DDA"/>
    <w:rsid w:val="00050E88"/>
    <w:rsid w:val="00054C85"/>
    <w:rsid w:val="00054D80"/>
    <w:rsid w:val="000552A3"/>
    <w:rsid w:val="0006300E"/>
    <w:rsid w:val="00066D6D"/>
    <w:rsid w:val="00067E85"/>
    <w:rsid w:val="00071EFC"/>
    <w:rsid w:val="00072FAE"/>
    <w:rsid w:val="0007431E"/>
    <w:rsid w:val="000743BA"/>
    <w:rsid w:val="00077A67"/>
    <w:rsid w:val="00085CFE"/>
    <w:rsid w:val="00091747"/>
    <w:rsid w:val="0009286F"/>
    <w:rsid w:val="00093637"/>
    <w:rsid w:val="0009441C"/>
    <w:rsid w:val="00097D60"/>
    <w:rsid w:val="000A1E47"/>
    <w:rsid w:val="000A380A"/>
    <w:rsid w:val="000A3F7E"/>
    <w:rsid w:val="000A4D87"/>
    <w:rsid w:val="000A5CA9"/>
    <w:rsid w:val="000A604E"/>
    <w:rsid w:val="000A6305"/>
    <w:rsid w:val="000A68A9"/>
    <w:rsid w:val="000A7A6C"/>
    <w:rsid w:val="000B541A"/>
    <w:rsid w:val="000B5F51"/>
    <w:rsid w:val="000B72CE"/>
    <w:rsid w:val="000C0C01"/>
    <w:rsid w:val="000C4F26"/>
    <w:rsid w:val="000D099B"/>
    <w:rsid w:val="000D1610"/>
    <w:rsid w:val="000D21E4"/>
    <w:rsid w:val="000D3F6F"/>
    <w:rsid w:val="000D627D"/>
    <w:rsid w:val="000E16D1"/>
    <w:rsid w:val="000E2441"/>
    <w:rsid w:val="000E35F6"/>
    <w:rsid w:val="000E4D4B"/>
    <w:rsid w:val="000E7615"/>
    <w:rsid w:val="000F606C"/>
    <w:rsid w:val="000F6905"/>
    <w:rsid w:val="00101F36"/>
    <w:rsid w:val="001020BE"/>
    <w:rsid w:val="00102CC6"/>
    <w:rsid w:val="0011160B"/>
    <w:rsid w:val="001118C8"/>
    <w:rsid w:val="001119E4"/>
    <w:rsid w:val="00113E3B"/>
    <w:rsid w:val="00115896"/>
    <w:rsid w:val="0011693E"/>
    <w:rsid w:val="00122472"/>
    <w:rsid w:val="0012578C"/>
    <w:rsid w:val="001268DB"/>
    <w:rsid w:val="00131A2F"/>
    <w:rsid w:val="001356E5"/>
    <w:rsid w:val="0014249C"/>
    <w:rsid w:val="00143D62"/>
    <w:rsid w:val="00143E9C"/>
    <w:rsid w:val="0014426B"/>
    <w:rsid w:val="00145594"/>
    <w:rsid w:val="00147CE6"/>
    <w:rsid w:val="001535FE"/>
    <w:rsid w:val="00154C3E"/>
    <w:rsid w:val="001566EA"/>
    <w:rsid w:val="001607A0"/>
    <w:rsid w:val="0016145B"/>
    <w:rsid w:val="001633A4"/>
    <w:rsid w:val="00163B8C"/>
    <w:rsid w:val="00164471"/>
    <w:rsid w:val="0016448C"/>
    <w:rsid w:val="001717DC"/>
    <w:rsid w:val="001739E2"/>
    <w:rsid w:val="001829CD"/>
    <w:rsid w:val="00184C26"/>
    <w:rsid w:val="00185D0C"/>
    <w:rsid w:val="00187BF3"/>
    <w:rsid w:val="00192366"/>
    <w:rsid w:val="001935AC"/>
    <w:rsid w:val="001942DD"/>
    <w:rsid w:val="00197594"/>
    <w:rsid w:val="001A47C6"/>
    <w:rsid w:val="001A6BC8"/>
    <w:rsid w:val="001A6D5A"/>
    <w:rsid w:val="001A7D3F"/>
    <w:rsid w:val="001A7E17"/>
    <w:rsid w:val="001B153F"/>
    <w:rsid w:val="001B19F1"/>
    <w:rsid w:val="001B43C8"/>
    <w:rsid w:val="001B4A25"/>
    <w:rsid w:val="001B4EFD"/>
    <w:rsid w:val="001B4F28"/>
    <w:rsid w:val="001B6AD3"/>
    <w:rsid w:val="001B70EE"/>
    <w:rsid w:val="001C1179"/>
    <w:rsid w:val="001C225B"/>
    <w:rsid w:val="001C4088"/>
    <w:rsid w:val="001C5977"/>
    <w:rsid w:val="001C7357"/>
    <w:rsid w:val="001D16D5"/>
    <w:rsid w:val="001D218F"/>
    <w:rsid w:val="001D5D20"/>
    <w:rsid w:val="001D6D32"/>
    <w:rsid w:val="001D734C"/>
    <w:rsid w:val="001D7381"/>
    <w:rsid w:val="001E00EC"/>
    <w:rsid w:val="001E1440"/>
    <w:rsid w:val="001E4AB7"/>
    <w:rsid w:val="001E4FDD"/>
    <w:rsid w:val="001F0920"/>
    <w:rsid w:val="001F1DBD"/>
    <w:rsid w:val="001F34E0"/>
    <w:rsid w:val="001F7A31"/>
    <w:rsid w:val="001F7D76"/>
    <w:rsid w:val="001F7EF0"/>
    <w:rsid w:val="00200FBE"/>
    <w:rsid w:val="00200FDF"/>
    <w:rsid w:val="00205284"/>
    <w:rsid w:val="002076AA"/>
    <w:rsid w:val="00211161"/>
    <w:rsid w:val="00213803"/>
    <w:rsid w:val="0021558F"/>
    <w:rsid w:val="00223005"/>
    <w:rsid w:val="002305C6"/>
    <w:rsid w:val="00230933"/>
    <w:rsid w:val="00230CC9"/>
    <w:rsid w:val="00233417"/>
    <w:rsid w:val="00235C6F"/>
    <w:rsid w:val="00237697"/>
    <w:rsid w:val="00241D85"/>
    <w:rsid w:val="00242906"/>
    <w:rsid w:val="00244C0F"/>
    <w:rsid w:val="0024615B"/>
    <w:rsid w:val="00246FED"/>
    <w:rsid w:val="00247EC9"/>
    <w:rsid w:val="00250B63"/>
    <w:rsid w:val="002520CA"/>
    <w:rsid w:val="00252674"/>
    <w:rsid w:val="002543C2"/>
    <w:rsid w:val="00256654"/>
    <w:rsid w:val="0025716F"/>
    <w:rsid w:val="00257822"/>
    <w:rsid w:val="00260310"/>
    <w:rsid w:val="00260B70"/>
    <w:rsid w:val="00264C3E"/>
    <w:rsid w:val="00267E80"/>
    <w:rsid w:val="002700B7"/>
    <w:rsid w:val="00270BB0"/>
    <w:rsid w:val="00273C9E"/>
    <w:rsid w:val="00274836"/>
    <w:rsid w:val="00274886"/>
    <w:rsid w:val="0027538F"/>
    <w:rsid w:val="00282737"/>
    <w:rsid w:val="00282F2E"/>
    <w:rsid w:val="00285707"/>
    <w:rsid w:val="002869E7"/>
    <w:rsid w:val="00290395"/>
    <w:rsid w:val="002A036F"/>
    <w:rsid w:val="002A15E1"/>
    <w:rsid w:val="002A187E"/>
    <w:rsid w:val="002A1C91"/>
    <w:rsid w:val="002A4382"/>
    <w:rsid w:val="002A4A2F"/>
    <w:rsid w:val="002A5372"/>
    <w:rsid w:val="002A5677"/>
    <w:rsid w:val="002A6C9D"/>
    <w:rsid w:val="002A7828"/>
    <w:rsid w:val="002B2A74"/>
    <w:rsid w:val="002B37E3"/>
    <w:rsid w:val="002C047B"/>
    <w:rsid w:val="002C2E53"/>
    <w:rsid w:val="002C40FE"/>
    <w:rsid w:val="002C4744"/>
    <w:rsid w:val="002D0FEB"/>
    <w:rsid w:val="002D22C2"/>
    <w:rsid w:val="002D3741"/>
    <w:rsid w:val="002D6F43"/>
    <w:rsid w:val="002D797E"/>
    <w:rsid w:val="002E102C"/>
    <w:rsid w:val="002E5C08"/>
    <w:rsid w:val="002E6EF1"/>
    <w:rsid w:val="002F34E0"/>
    <w:rsid w:val="002F4AEC"/>
    <w:rsid w:val="002F5E85"/>
    <w:rsid w:val="002F66E9"/>
    <w:rsid w:val="00302B11"/>
    <w:rsid w:val="00305888"/>
    <w:rsid w:val="00306486"/>
    <w:rsid w:val="00314DE7"/>
    <w:rsid w:val="00315003"/>
    <w:rsid w:val="00315677"/>
    <w:rsid w:val="003159DA"/>
    <w:rsid w:val="00315F5A"/>
    <w:rsid w:val="003211E4"/>
    <w:rsid w:val="003216DB"/>
    <w:rsid w:val="0032247D"/>
    <w:rsid w:val="00324AD4"/>
    <w:rsid w:val="00331D35"/>
    <w:rsid w:val="003328AB"/>
    <w:rsid w:val="003328BE"/>
    <w:rsid w:val="00334504"/>
    <w:rsid w:val="00335106"/>
    <w:rsid w:val="00335450"/>
    <w:rsid w:val="003362EA"/>
    <w:rsid w:val="00336663"/>
    <w:rsid w:val="00342019"/>
    <w:rsid w:val="00342665"/>
    <w:rsid w:val="0034357D"/>
    <w:rsid w:val="00344418"/>
    <w:rsid w:val="00344CFA"/>
    <w:rsid w:val="00345150"/>
    <w:rsid w:val="0034693B"/>
    <w:rsid w:val="003469C0"/>
    <w:rsid w:val="003522CD"/>
    <w:rsid w:val="00352B50"/>
    <w:rsid w:val="00353431"/>
    <w:rsid w:val="00353935"/>
    <w:rsid w:val="00353AFB"/>
    <w:rsid w:val="003568BB"/>
    <w:rsid w:val="003605EE"/>
    <w:rsid w:val="0036113E"/>
    <w:rsid w:val="00366B74"/>
    <w:rsid w:val="00375416"/>
    <w:rsid w:val="00375A67"/>
    <w:rsid w:val="00380E08"/>
    <w:rsid w:val="00383316"/>
    <w:rsid w:val="00383A84"/>
    <w:rsid w:val="00384591"/>
    <w:rsid w:val="0038510F"/>
    <w:rsid w:val="003904AA"/>
    <w:rsid w:val="00392938"/>
    <w:rsid w:val="003930D0"/>
    <w:rsid w:val="00393C3C"/>
    <w:rsid w:val="003A3B8B"/>
    <w:rsid w:val="003B10E6"/>
    <w:rsid w:val="003B3201"/>
    <w:rsid w:val="003B6F3E"/>
    <w:rsid w:val="003C065A"/>
    <w:rsid w:val="003C1261"/>
    <w:rsid w:val="003C4987"/>
    <w:rsid w:val="003C6728"/>
    <w:rsid w:val="003D2404"/>
    <w:rsid w:val="003D69A7"/>
    <w:rsid w:val="003D7410"/>
    <w:rsid w:val="003E375A"/>
    <w:rsid w:val="003E56E4"/>
    <w:rsid w:val="003E6E9E"/>
    <w:rsid w:val="003F349C"/>
    <w:rsid w:val="003F3C31"/>
    <w:rsid w:val="003F40BE"/>
    <w:rsid w:val="003F6038"/>
    <w:rsid w:val="003F670A"/>
    <w:rsid w:val="003F6E14"/>
    <w:rsid w:val="00404AD0"/>
    <w:rsid w:val="00405062"/>
    <w:rsid w:val="004100E2"/>
    <w:rsid w:val="00410BC5"/>
    <w:rsid w:val="00413221"/>
    <w:rsid w:val="004139F3"/>
    <w:rsid w:val="00414103"/>
    <w:rsid w:val="004144A3"/>
    <w:rsid w:val="004168DB"/>
    <w:rsid w:val="00416AA6"/>
    <w:rsid w:val="004179D6"/>
    <w:rsid w:val="0042046B"/>
    <w:rsid w:val="00423058"/>
    <w:rsid w:val="00423EF8"/>
    <w:rsid w:val="00425506"/>
    <w:rsid w:val="00436F78"/>
    <w:rsid w:val="0044223C"/>
    <w:rsid w:val="0044767E"/>
    <w:rsid w:val="00450807"/>
    <w:rsid w:val="00452480"/>
    <w:rsid w:val="004535EC"/>
    <w:rsid w:val="00453620"/>
    <w:rsid w:val="004545CC"/>
    <w:rsid w:val="00457EF5"/>
    <w:rsid w:val="00464465"/>
    <w:rsid w:val="00464EEA"/>
    <w:rsid w:val="00470855"/>
    <w:rsid w:val="00471E8E"/>
    <w:rsid w:val="004752E5"/>
    <w:rsid w:val="00477CEB"/>
    <w:rsid w:val="00481B6B"/>
    <w:rsid w:val="00481EC6"/>
    <w:rsid w:val="00482999"/>
    <w:rsid w:val="00484133"/>
    <w:rsid w:val="00485E6E"/>
    <w:rsid w:val="00493522"/>
    <w:rsid w:val="00494A16"/>
    <w:rsid w:val="00496FD2"/>
    <w:rsid w:val="00497B42"/>
    <w:rsid w:val="004A0D97"/>
    <w:rsid w:val="004A1814"/>
    <w:rsid w:val="004A1A56"/>
    <w:rsid w:val="004A1FFC"/>
    <w:rsid w:val="004A3AFA"/>
    <w:rsid w:val="004A4FBE"/>
    <w:rsid w:val="004A582B"/>
    <w:rsid w:val="004B473A"/>
    <w:rsid w:val="004B5FDA"/>
    <w:rsid w:val="004C1B49"/>
    <w:rsid w:val="004C2F09"/>
    <w:rsid w:val="004C2F4C"/>
    <w:rsid w:val="004C32FA"/>
    <w:rsid w:val="004C3973"/>
    <w:rsid w:val="004D2419"/>
    <w:rsid w:val="004D2A20"/>
    <w:rsid w:val="004D5621"/>
    <w:rsid w:val="004E0A03"/>
    <w:rsid w:val="004E1A70"/>
    <w:rsid w:val="004E1D6A"/>
    <w:rsid w:val="004E3121"/>
    <w:rsid w:val="004E412E"/>
    <w:rsid w:val="004E7AF6"/>
    <w:rsid w:val="004F0C38"/>
    <w:rsid w:val="004F5EEF"/>
    <w:rsid w:val="004F659B"/>
    <w:rsid w:val="004F6D91"/>
    <w:rsid w:val="00500042"/>
    <w:rsid w:val="005010F9"/>
    <w:rsid w:val="00501406"/>
    <w:rsid w:val="005020F0"/>
    <w:rsid w:val="00503CF4"/>
    <w:rsid w:val="005134CE"/>
    <w:rsid w:val="00516A53"/>
    <w:rsid w:val="0052224F"/>
    <w:rsid w:val="00522674"/>
    <w:rsid w:val="0052568B"/>
    <w:rsid w:val="00525DF8"/>
    <w:rsid w:val="00526B7E"/>
    <w:rsid w:val="00527D43"/>
    <w:rsid w:val="0053124C"/>
    <w:rsid w:val="00532FB6"/>
    <w:rsid w:val="005340DE"/>
    <w:rsid w:val="00534554"/>
    <w:rsid w:val="0053481F"/>
    <w:rsid w:val="00536ABF"/>
    <w:rsid w:val="005400B9"/>
    <w:rsid w:val="00543888"/>
    <w:rsid w:val="00546D86"/>
    <w:rsid w:val="00551EE9"/>
    <w:rsid w:val="00552509"/>
    <w:rsid w:val="00552C15"/>
    <w:rsid w:val="005546F9"/>
    <w:rsid w:val="0055582A"/>
    <w:rsid w:val="00556628"/>
    <w:rsid w:val="0055718C"/>
    <w:rsid w:val="00560B73"/>
    <w:rsid w:val="00564D5A"/>
    <w:rsid w:val="005650EF"/>
    <w:rsid w:val="005661C9"/>
    <w:rsid w:val="00567BC5"/>
    <w:rsid w:val="005709E4"/>
    <w:rsid w:val="00573739"/>
    <w:rsid w:val="00574A0D"/>
    <w:rsid w:val="00580B75"/>
    <w:rsid w:val="0058449B"/>
    <w:rsid w:val="00590EE4"/>
    <w:rsid w:val="00591EB7"/>
    <w:rsid w:val="00593AFE"/>
    <w:rsid w:val="00594EE7"/>
    <w:rsid w:val="00595242"/>
    <w:rsid w:val="0059598F"/>
    <w:rsid w:val="005A2EF5"/>
    <w:rsid w:val="005A44BF"/>
    <w:rsid w:val="005A497A"/>
    <w:rsid w:val="005A6EA0"/>
    <w:rsid w:val="005A7A97"/>
    <w:rsid w:val="005B0007"/>
    <w:rsid w:val="005B23E3"/>
    <w:rsid w:val="005B28F6"/>
    <w:rsid w:val="005B5EFD"/>
    <w:rsid w:val="005C0854"/>
    <w:rsid w:val="005C0C8A"/>
    <w:rsid w:val="005C3EE1"/>
    <w:rsid w:val="005C53B4"/>
    <w:rsid w:val="005C5C56"/>
    <w:rsid w:val="005C6074"/>
    <w:rsid w:val="005D0523"/>
    <w:rsid w:val="005D114E"/>
    <w:rsid w:val="005D268C"/>
    <w:rsid w:val="005D5AA2"/>
    <w:rsid w:val="005E0B6A"/>
    <w:rsid w:val="005E22B5"/>
    <w:rsid w:val="005E2677"/>
    <w:rsid w:val="005F2AF8"/>
    <w:rsid w:val="005F40C4"/>
    <w:rsid w:val="005F7129"/>
    <w:rsid w:val="00600522"/>
    <w:rsid w:val="0060077C"/>
    <w:rsid w:val="00600D25"/>
    <w:rsid w:val="0060362E"/>
    <w:rsid w:val="00604D7C"/>
    <w:rsid w:val="00605E97"/>
    <w:rsid w:val="0060687C"/>
    <w:rsid w:val="0061038C"/>
    <w:rsid w:val="00612176"/>
    <w:rsid w:val="006128D3"/>
    <w:rsid w:val="00613625"/>
    <w:rsid w:val="0062108B"/>
    <w:rsid w:val="00623A23"/>
    <w:rsid w:val="006273C2"/>
    <w:rsid w:val="00630C88"/>
    <w:rsid w:val="006323D4"/>
    <w:rsid w:val="00634919"/>
    <w:rsid w:val="006407E1"/>
    <w:rsid w:val="00643411"/>
    <w:rsid w:val="00644965"/>
    <w:rsid w:val="00651B88"/>
    <w:rsid w:val="00652AB3"/>
    <w:rsid w:val="00655C6C"/>
    <w:rsid w:val="00655F88"/>
    <w:rsid w:val="00656083"/>
    <w:rsid w:val="00661909"/>
    <w:rsid w:val="00666E49"/>
    <w:rsid w:val="00673F36"/>
    <w:rsid w:val="00676DCF"/>
    <w:rsid w:val="006831CD"/>
    <w:rsid w:val="00684622"/>
    <w:rsid w:val="006852C1"/>
    <w:rsid w:val="00685FC5"/>
    <w:rsid w:val="00687775"/>
    <w:rsid w:val="006A13AF"/>
    <w:rsid w:val="006A49CE"/>
    <w:rsid w:val="006A71A9"/>
    <w:rsid w:val="006B108D"/>
    <w:rsid w:val="006B2484"/>
    <w:rsid w:val="006C12BD"/>
    <w:rsid w:val="006C1FDF"/>
    <w:rsid w:val="006C33F0"/>
    <w:rsid w:val="006C4A5C"/>
    <w:rsid w:val="006C5A05"/>
    <w:rsid w:val="006D2BA7"/>
    <w:rsid w:val="006E0DE7"/>
    <w:rsid w:val="006E74E7"/>
    <w:rsid w:val="006F2234"/>
    <w:rsid w:val="006F28E9"/>
    <w:rsid w:val="006F3937"/>
    <w:rsid w:val="006F3DC0"/>
    <w:rsid w:val="006F5729"/>
    <w:rsid w:val="006F6FB8"/>
    <w:rsid w:val="006F7748"/>
    <w:rsid w:val="007002D0"/>
    <w:rsid w:val="00703682"/>
    <w:rsid w:val="0070484F"/>
    <w:rsid w:val="00704E69"/>
    <w:rsid w:val="007052D2"/>
    <w:rsid w:val="0071280D"/>
    <w:rsid w:val="007167E1"/>
    <w:rsid w:val="00717F01"/>
    <w:rsid w:val="007202A8"/>
    <w:rsid w:val="00720FEF"/>
    <w:rsid w:val="00721316"/>
    <w:rsid w:val="00722A13"/>
    <w:rsid w:val="00722B78"/>
    <w:rsid w:val="00723140"/>
    <w:rsid w:val="00730164"/>
    <w:rsid w:val="00731E62"/>
    <w:rsid w:val="0073387E"/>
    <w:rsid w:val="00734B9E"/>
    <w:rsid w:val="00734FE3"/>
    <w:rsid w:val="0074020B"/>
    <w:rsid w:val="00744A25"/>
    <w:rsid w:val="00744A5C"/>
    <w:rsid w:val="007470CC"/>
    <w:rsid w:val="00750D55"/>
    <w:rsid w:val="00751B04"/>
    <w:rsid w:val="00752E92"/>
    <w:rsid w:val="00755395"/>
    <w:rsid w:val="0075573E"/>
    <w:rsid w:val="0075685C"/>
    <w:rsid w:val="007640A2"/>
    <w:rsid w:val="00764742"/>
    <w:rsid w:val="00765178"/>
    <w:rsid w:val="00765638"/>
    <w:rsid w:val="007672E9"/>
    <w:rsid w:val="00767DB7"/>
    <w:rsid w:val="00770B1D"/>
    <w:rsid w:val="00772EC8"/>
    <w:rsid w:val="00774EF5"/>
    <w:rsid w:val="00774F52"/>
    <w:rsid w:val="00776D14"/>
    <w:rsid w:val="00777A2C"/>
    <w:rsid w:val="00777C49"/>
    <w:rsid w:val="00781F8E"/>
    <w:rsid w:val="00783EAC"/>
    <w:rsid w:val="007855C9"/>
    <w:rsid w:val="0079616C"/>
    <w:rsid w:val="00796338"/>
    <w:rsid w:val="00797047"/>
    <w:rsid w:val="00797424"/>
    <w:rsid w:val="007979FE"/>
    <w:rsid w:val="00797C83"/>
    <w:rsid w:val="007A042A"/>
    <w:rsid w:val="007A177E"/>
    <w:rsid w:val="007A1D7D"/>
    <w:rsid w:val="007A23A2"/>
    <w:rsid w:val="007A4890"/>
    <w:rsid w:val="007A6A51"/>
    <w:rsid w:val="007B03CC"/>
    <w:rsid w:val="007B05BD"/>
    <w:rsid w:val="007B17F5"/>
    <w:rsid w:val="007B3245"/>
    <w:rsid w:val="007B3492"/>
    <w:rsid w:val="007B5239"/>
    <w:rsid w:val="007C325A"/>
    <w:rsid w:val="007C502B"/>
    <w:rsid w:val="007C5824"/>
    <w:rsid w:val="007C7F08"/>
    <w:rsid w:val="007D24C1"/>
    <w:rsid w:val="007D276A"/>
    <w:rsid w:val="007D3EA3"/>
    <w:rsid w:val="007D670D"/>
    <w:rsid w:val="007D73D5"/>
    <w:rsid w:val="007E3EA2"/>
    <w:rsid w:val="007E5302"/>
    <w:rsid w:val="007E5308"/>
    <w:rsid w:val="007E78F8"/>
    <w:rsid w:val="007F1724"/>
    <w:rsid w:val="007F1D33"/>
    <w:rsid w:val="007F2D73"/>
    <w:rsid w:val="007F2FB4"/>
    <w:rsid w:val="007F5B5B"/>
    <w:rsid w:val="007F69E1"/>
    <w:rsid w:val="00800C7D"/>
    <w:rsid w:val="00802383"/>
    <w:rsid w:val="00803176"/>
    <w:rsid w:val="008036BB"/>
    <w:rsid w:val="00804716"/>
    <w:rsid w:val="0080590A"/>
    <w:rsid w:val="008063FA"/>
    <w:rsid w:val="0081048F"/>
    <w:rsid w:val="0082008E"/>
    <w:rsid w:val="008318C0"/>
    <w:rsid w:val="008325CF"/>
    <w:rsid w:val="008329BA"/>
    <w:rsid w:val="00834060"/>
    <w:rsid w:val="00836AFF"/>
    <w:rsid w:val="00836F98"/>
    <w:rsid w:val="00842401"/>
    <w:rsid w:val="00845AD4"/>
    <w:rsid w:val="00851D39"/>
    <w:rsid w:val="00852C29"/>
    <w:rsid w:val="00855B5E"/>
    <w:rsid w:val="00857817"/>
    <w:rsid w:val="00857C2B"/>
    <w:rsid w:val="00860DF5"/>
    <w:rsid w:val="00861168"/>
    <w:rsid w:val="00861548"/>
    <w:rsid w:val="008615ED"/>
    <w:rsid w:val="00862C0E"/>
    <w:rsid w:val="008648DF"/>
    <w:rsid w:val="008652EF"/>
    <w:rsid w:val="00866667"/>
    <w:rsid w:val="00866A44"/>
    <w:rsid w:val="008722D0"/>
    <w:rsid w:val="00876B38"/>
    <w:rsid w:val="00881EA1"/>
    <w:rsid w:val="008822C8"/>
    <w:rsid w:val="00885B0F"/>
    <w:rsid w:val="00885C22"/>
    <w:rsid w:val="00887350"/>
    <w:rsid w:val="008931DA"/>
    <w:rsid w:val="00894E54"/>
    <w:rsid w:val="008952F7"/>
    <w:rsid w:val="00896E97"/>
    <w:rsid w:val="008A0824"/>
    <w:rsid w:val="008A796D"/>
    <w:rsid w:val="008B0D32"/>
    <w:rsid w:val="008B0DAF"/>
    <w:rsid w:val="008B444C"/>
    <w:rsid w:val="008B4CE7"/>
    <w:rsid w:val="008B5ABD"/>
    <w:rsid w:val="008C15E0"/>
    <w:rsid w:val="008C3920"/>
    <w:rsid w:val="008C3E54"/>
    <w:rsid w:val="008C5A57"/>
    <w:rsid w:val="008D1314"/>
    <w:rsid w:val="008D1DB8"/>
    <w:rsid w:val="008D24E2"/>
    <w:rsid w:val="008D55E0"/>
    <w:rsid w:val="008D7167"/>
    <w:rsid w:val="008E0FDE"/>
    <w:rsid w:val="008E10B5"/>
    <w:rsid w:val="008E1741"/>
    <w:rsid w:val="008E312E"/>
    <w:rsid w:val="008E4CD8"/>
    <w:rsid w:val="008E50AA"/>
    <w:rsid w:val="008E6B68"/>
    <w:rsid w:val="008E73CA"/>
    <w:rsid w:val="008E7CE1"/>
    <w:rsid w:val="008F0512"/>
    <w:rsid w:val="008F0C91"/>
    <w:rsid w:val="008F5541"/>
    <w:rsid w:val="008F6C09"/>
    <w:rsid w:val="009017EF"/>
    <w:rsid w:val="00904F2C"/>
    <w:rsid w:val="00905CB6"/>
    <w:rsid w:val="00906786"/>
    <w:rsid w:val="00910263"/>
    <w:rsid w:val="00911371"/>
    <w:rsid w:val="009127E7"/>
    <w:rsid w:val="0091716C"/>
    <w:rsid w:val="00920094"/>
    <w:rsid w:val="0092340C"/>
    <w:rsid w:val="00924B51"/>
    <w:rsid w:val="009251CE"/>
    <w:rsid w:val="0093127B"/>
    <w:rsid w:val="009312C2"/>
    <w:rsid w:val="00931B3B"/>
    <w:rsid w:val="00933BA8"/>
    <w:rsid w:val="00937F82"/>
    <w:rsid w:val="00940368"/>
    <w:rsid w:val="0094063E"/>
    <w:rsid w:val="009421E7"/>
    <w:rsid w:val="0094271E"/>
    <w:rsid w:val="00942AC5"/>
    <w:rsid w:val="00943289"/>
    <w:rsid w:val="009434CD"/>
    <w:rsid w:val="009444C8"/>
    <w:rsid w:val="0094464F"/>
    <w:rsid w:val="009525B1"/>
    <w:rsid w:val="00956CA2"/>
    <w:rsid w:val="00961D08"/>
    <w:rsid w:val="0096220B"/>
    <w:rsid w:val="009625D1"/>
    <w:rsid w:val="009629EA"/>
    <w:rsid w:val="00963E31"/>
    <w:rsid w:val="009670CC"/>
    <w:rsid w:val="00971C27"/>
    <w:rsid w:val="00973A31"/>
    <w:rsid w:val="009840E8"/>
    <w:rsid w:val="009841DA"/>
    <w:rsid w:val="009856CC"/>
    <w:rsid w:val="00985DBB"/>
    <w:rsid w:val="009864CF"/>
    <w:rsid w:val="00991472"/>
    <w:rsid w:val="0099154E"/>
    <w:rsid w:val="00994912"/>
    <w:rsid w:val="00995024"/>
    <w:rsid w:val="009A36F7"/>
    <w:rsid w:val="009A38E5"/>
    <w:rsid w:val="009A4D85"/>
    <w:rsid w:val="009A7089"/>
    <w:rsid w:val="009B026D"/>
    <w:rsid w:val="009B19F1"/>
    <w:rsid w:val="009B1B60"/>
    <w:rsid w:val="009B2F8B"/>
    <w:rsid w:val="009B3849"/>
    <w:rsid w:val="009B431A"/>
    <w:rsid w:val="009B6158"/>
    <w:rsid w:val="009B76A3"/>
    <w:rsid w:val="009C0BB5"/>
    <w:rsid w:val="009C0F2F"/>
    <w:rsid w:val="009C5407"/>
    <w:rsid w:val="009C68C9"/>
    <w:rsid w:val="009C768C"/>
    <w:rsid w:val="009D0E96"/>
    <w:rsid w:val="009D2495"/>
    <w:rsid w:val="009D3073"/>
    <w:rsid w:val="009E121E"/>
    <w:rsid w:val="009E29F8"/>
    <w:rsid w:val="009E77AB"/>
    <w:rsid w:val="009F3D7D"/>
    <w:rsid w:val="009F469F"/>
    <w:rsid w:val="009F604C"/>
    <w:rsid w:val="009F7B31"/>
    <w:rsid w:val="009F7B37"/>
    <w:rsid w:val="009F7B9E"/>
    <w:rsid w:val="00A0198D"/>
    <w:rsid w:val="00A01D55"/>
    <w:rsid w:val="00A01DB2"/>
    <w:rsid w:val="00A01FC9"/>
    <w:rsid w:val="00A022BE"/>
    <w:rsid w:val="00A0412D"/>
    <w:rsid w:val="00A069D9"/>
    <w:rsid w:val="00A101EB"/>
    <w:rsid w:val="00A10470"/>
    <w:rsid w:val="00A14195"/>
    <w:rsid w:val="00A20374"/>
    <w:rsid w:val="00A20740"/>
    <w:rsid w:val="00A216DF"/>
    <w:rsid w:val="00A271B1"/>
    <w:rsid w:val="00A33A5C"/>
    <w:rsid w:val="00A33DEB"/>
    <w:rsid w:val="00A33E60"/>
    <w:rsid w:val="00A3754A"/>
    <w:rsid w:val="00A42F81"/>
    <w:rsid w:val="00A437F8"/>
    <w:rsid w:val="00A4576F"/>
    <w:rsid w:val="00A45CF2"/>
    <w:rsid w:val="00A46167"/>
    <w:rsid w:val="00A4698F"/>
    <w:rsid w:val="00A526C5"/>
    <w:rsid w:val="00A52805"/>
    <w:rsid w:val="00A53BDD"/>
    <w:rsid w:val="00A5411A"/>
    <w:rsid w:val="00A56256"/>
    <w:rsid w:val="00A66530"/>
    <w:rsid w:val="00A67214"/>
    <w:rsid w:val="00A67C33"/>
    <w:rsid w:val="00A70770"/>
    <w:rsid w:val="00A733A3"/>
    <w:rsid w:val="00A740BD"/>
    <w:rsid w:val="00A7632A"/>
    <w:rsid w:val="00A76B7F"/>
    <w:rsid w:val="00A837C6"/>
    <w:rsid w:val="00A83CBD"/>
    <w:rsid w:val="00A8411D"/>
    <w:rsid w:val="00A85D7D"/>
    <w:rsid w:val="00A90C47"/>
    <w:rsid w:val="00A943A6"/>
    <w:rsid w:val="00A956F3"/>
    <w:rsid w:val="00A95EAD"/>
    <w:rsid w:val="00A97C9D"/>
    <w:rsid w:val="00AA0378"/>
    <w:rsid w:val="00AA110D"/>
    <w:rsid w:val="00AA3083"/>
    <w:rsid w:val="00AA64F8"/>
    <w:rsid w:val="00AB5A43"/>
    <w:rsid w:val="00AB613D"/>
    <w:rsid w:val="00AB6582"/>
    <w:rsid w:val="00AC1C87"/>
    <w:rsid w:val="00AC30D6"/>
    <w:rsid w:val="00AC5CF2"/>
    <w:rsid w:val="00AC6B9F"/>
    <w:rsid w:val="00AC7EB9"/>
    <w:rsid w:val="00AD0E2E"/>
    <w:rsid w:val="00AD0F49"/>
    <w:rsid w:val="00AD3678"/>
    <w:rsid w:val="00AE04B5"/>
    <w:rsid w:val="00AE4CF2"/>
    <w:rsid w:val="00AE55A5"/>
    <w:rsid w:val="00AF5623"/>
    <w:rsid w:val="00B0568F"/>
    <w:rsid w:val="00B06572"/>
    <w:rsid w:val="00B074A9"/>
    <w:rsid w:val="00B1450C"/>
    <w:rsid w:val="00B15BDA"/>
    <w:rsid w:val="00B21E0D"/>
    <w:rsid w:val="00B23D59"/>
    <w:rsid w:val="00B27D72"/>
    <w:rsid w:val="00B30E66"/>
    <w:rsid w:val="00B327A4"/>
    <w:rsid w:val="00B32D5C"/>
    <w:rsid w:val="00B34350"/>
    <w:rsid w:val="00B34F81"/>
    <w:rsid w:val="00B357E8"/>
    <w:rsid w:val="00B3676A"/>
    <w:rsid w:val="00B4012E"/>
    <w:rsid w:val="00B404F0"/>
    <w:rsid w:val="00B42A42"/>
    <w:rsid w:val="00B43784"/>
    <w:rsid w:val="00B471B9"/>
    <w:rsid w:val="00B519C1"/>
    <w:rsid w:val="00B541A8"/>
    <w:rsid w:val="00B57185"/>
    <w:rsid w:val="00B605BA"/>
    <w:rsid w:val="00B61976"/>
    <w:rsid w:val="00B64F55"/>
    <w:rsid w:val="00B6574F"/>
    <w:rsid w:val="00B70BC0"/>
    <w:rsid w:val="00B74306"/>
    <w:rsid w:val="00B76662"/>
    <w:rsid w:val="00B8064F"/>
    <w:rsid w:val="00B81052"/>
    <w:rsid w:val="00B920F7"/>
    <w:rsid w:val="00B93CE3"/>
    <w:rsid w:val="00B94AF2"/>
    <w:rsid w:val="00B96967"/>
    <w:rsid w:val="00B97F47"/>
    <w:rsid w:val="00BA0065"/>
    <w:rsid w:val="00BA22B4"/>
    <w:rsid w:val="00BA2940"/>
    <w:rsid w:val="00BA5390"/>
    <w:rsid w:val="00BA58C7"/>
    <w:rsid w:val="00BA5913"/>
    <w:rsid w:val="00BB1E80"/>
    <w:rsid w:val="00BB1F20"/>
    <w:rsid w:val="00BB20FC"/>
    <w:rsid w:val="00BB4CB1"/>
    <w:rsid w:val="00BB6AA3"/>
    <w:rsid w:val="00BB6C85"/>
    <w:rsid w:val="00BB74E4"/>
    <w:rsid w:val="00BC436E"/>
    <w:rsid w:val="00BC4A71"/>
    <w:rsid w:val="00BD293E"/>
    <w:rsid w:val="00BD2FAC"/>
    <w:rsid w:val="00BD3E03"/>
    <w:rsid w:val="00BD4AF2"/>
    <w:rsid w:val="00BD69E4"/>
    <w:rsid w:val="00BE1AFC"/>
    <w:rsid w:val="00BE21E9"/>
    <w:rsid w:val="00BE57C1"/>
    <w:rsid w:val="00BE62CA"/>
    <w:rsid w:val="00BE6C08"/>
    <w:rsid w:val="00BE740F"/>
    <w:rsid w:val="00BF1F2C"/>
    <w:rsid w:val="00BF5A77"/>
    <w:rsid w:val="00BF767F"/>
    <w:rsid w:val="00C051C2"/>
    <w:rsid w:val="00C05F9D"/>
    <w:rsid w:val="00C06AA6"/>
    <w:rsid w:val="00C07529"/>
    <w:rsid w:val="00C07C14"/>
    <w:rsid w:val="00C10B69"/>
    <w:rsid w:val="00C14668"/>
    <w:rsid w:val="00C15F39"/>
    <w:rsid w:val="00C17E1A"/>
    <w:rsid w:val="00C228E6"/>
    <w:rsid w:val="00C24CED"/>
    <w:rsid w:val="00C25D33"/>
    <w:rsid w:val="00C309FE"/>
    <w:rsid w:val="00C3200C"/>
    <w:rsid w:val="00C33C22"/>
    <w:rsid w:val="00C34BD6"/>
    <w:rsid w:val="00C34CAB"/>
    <w:rsid w:val="00C43855"/>
    <w:rsid w:val="00C4423E"/>
    <w:rsid w:val="00C448C5"/>
    <w:rsid w:val="00C47E12"/>
    <w:rsid w:val="00C512A8"/>
    <w:rsid w:val="00C57972"/>
    <w:rsid w:val="00C60B7C"/>
    <w:rsid w:val="00C60BD2"/>
    <w:rsid w:val="00C61A8E"/>
    <w:rsid w:val="00C62135"/>
    <w:rsid w:val="00C67FFE"/>
    <w:rsid w:val="00C71385"/>
    <w:rsid w:val="00C74C7C"/>
    <w:rsid w:val="00C80A0A"/>
    <w:rsid w:val="00C80B24"/>
    <w:rsid w:val="00C8241F"/>
    <w:rsid w:val="00C8347D"/>
    <w:rsid w:val="00C83E59"/>
    <w:rsid w:val="00C83F6A"/>
    <w:rsid w:val="00C8426A"/>
    <w:rsid w:val="00C8485A"/>
    <w:rsid w:val="00C860CF"/>
    <w:rsid w:val="00C86A68"/>
    <w:rsid w:val="00C90E53"/>
    <w:rsid w:val="00C90FEC"/>
    <w:rsid w:val="00C90FF7"/>
    <w:rsid w:val="00C910C7"/>
    <w:rsid w:val="00C94D56"/>
    <w:rsid w:val="00C97E49"/>
    <w:rsid w:val="00C97E9B"/>
    <w:rsid w:val="00CA0B1A"/>
    <w:rsid w:val="00CA5969"/>
    <w:rsid w:val="00CB3266"/>
    <w:rsid w:val="00CB6859"/>
    <w:rsid w:val="00CB7385"/>
    <w:rsid w:val="00CD3877"/>
    <w:rsid w:val="00CD39D2"/>
    <w:rsid w:val="00CE2DF1"/>
    <w:rsid w:val="00CE3F4F"/>
    <w:rsid w:val="00CE51A5"/>
    <w:rsid w:val="00CE5F84"/>
    <w:rsid w:val="00D00480"/>
    <w:rsid w:val="00D02098"/>
    <w:rsid w:val="00D0305C"/>
    <w:rsid w:val="00D042CD"/>
    <w:rsid w:val="00D07253"/>
    <w:rsid w:val="00D079C7"/>
    <w:rsid w:val="00D07ADE"/>
    <w:rsid w:val="00D109B3"/>
    <w:rsid w:val="00D13C53"/>
    <w:rsid w:val="00D16258"/>
    <w:rsid w:val="00D20FDE"/>
    <w:rsid w:val="00D2161D"/>
    <w:rsid w:val="00D2227A"/>
    <w:rsid w:val="00D239EA"/>
    <w:rsid w:val="00D23FF1"/>
    <w:rsid w:val="00D2406D"/>
    <w:rsid w:val="00D262FA"/>
    <w:rsid w:val="00D26436"/>
    <w:rsid w:val="00D30462"/>
    <w:rsid w:val="00D306E8"/>
    <w:rsid w:val="00D37FAC"/>
    <w:rsid w:val="00D400D1"/>
    <w:rsid w:val="00D40F9D"/>
    <w:rsid w:val="00D41864"/>
    <w:rsid w:val="00D41E4A"/>
    <w:rsid w:val="00D474F3"/>
    <w:rsid w:val="00D50950"/>
    <w:rsid w:val="00D523F4"/>
    <w:rsid w:val="00D53758"/>
    <w:rsid w:val="00D576AE"/>
    <w:rsid w:val="00D617FE"/>
    <w:rsid w:val="00D61B39"/>
    <w:rsid w:val="00D622F3"/>
    <w:rsid w:val="00D73003"/>
    <w:rsid w:val="00D73F00"/>
    <w:rsid w:val="00D7632B"/>
    <w:rsid w:val="00D76A3A"/>
    <w:rsid w:val="00D77370"/>
    <w:rsid w:val="00D77E4A"/>
    <w:rsid w:val="00D80A9D"/>
    <w:rsid w:val="00D819AA"/>
    <w:rsid w:val="00D838F3"/>
    <w:rsid w:val="00D84A55"/>
    <w:rsid w:val="00D86DD2"/>
    <w:rsid w:val="00D90943"/>
    <w:rsid w:val="00D90A09"/>
    <w:rsid w:val="00D91170"/>
    <w:rsid w:val="00D91410"/>
    <w:rsid w:val="00D916D3"/>
    <w:rsid w:val="00D91836"/>
    <w:rsid w:val="00D9237E"/>
    <w:rsid w:val="00D92D0F"/>
    <w:rsid w:val="00D93512"/>
    <w:rsid w:val="00D96092"/>
    <w:rsid w:val="00D9777B"/>
    <w:rsid w:val="00DA0016"/>
    <w:rsid w:val="00DA03B4"/>
    <w:rsid w:val="00DA0483"/>
    <w:rsid w:val="00DA3B80"/>
    <w:rsid w:val="00DA488F"/>
    <w:rsid w:val="00DA62A5"/>
    <w:rsid w:val="00DB2A28"/>
    <w:rsid w:val="00DB580B"/>
    <w:rsid w:val="00DB6091"/>
    <w:rsid w:val="00DB616B"/>
    <w:rsid w:val="00DB6F5F"/>
    <w:rsid w:val="00DC0A76"/>
    <w:rsid w:val="00DC58F2"/>
    <w:rsid w:val="00DC5C8D"/>
    <w:rsid w:val="00DC627D"/>
    <w:rsid w:val="00DC6C55"/>
    <w:rsid w:val="00DC782B"/>
    <w:rsid w:val="00DD270F"/>
    <w:rsid w:val="00DD2C15"/>
    <w:rsid w:val="00DD3A17"/>
    <w:rsid w:val="00DD6269"/>
    <w:rsid w:val="00DD75F9"/>
    <w:rsid w:val="00DE12A8"/>
    <w:rsid w:val="00DE39A8"/>
    <w:rsid w:val="00DF074A"/>
    <w:rsid w:val="00DF1BC9"/>
    <w:rsid w:val="00DF3256"/>
    <w:rsid w:val="00DF363F"/>
    <w:rsid w:val="00DF6372"/>
    <w:rsid w:val="00E01053"/>
    <w:rsid w:val="00E060CE"/>
    <w:rsid w:val="00E07898"/>
    <w:rsid w:val="00E105D3"/>
    <w:rsid w:val="00E14BDD"/>
    <w:rsid w:val="00E207C0"/>
    <w:rsid w:val="00E2112E"/>
    <w:rsid w:val="00E22563"/>
    <w:rsid w:val="00E22681"/>
    <w:rsid w:val="00E227F5"/>
    <w:rsid w:val="00E244A0"/>
    <w:rsid w:val="00E2674A"/>
    <w:rsid w:val="00E30C1B"/>
    <w:rsid w:val="00E32E2F"/>
    <w:rsid w:val="00E40E8B"/>
    <w:rsid w:val="00E42A63"/>
    <w:rsid w:val="00E43CBA"/>
    <w:rsid w:val="00E44940"/>
    <w:rsid w:val="00E46463"/>
    <w:rsid w:val="00E50432"/>
    <w:rsid w:val="00E53C41"/>
    <w:rsid w:val="00E56662"/>
    <w:rsid w:val="00E56950"/>
    <w:rsid w:val="00E578DF"/>
    <w:rsid w:val="00E60ABD"/>
    <w:rsid w:val="00E63F7E"/>
    <w:rsid w:val="00E6503B"/>
    <w:rsid w:val="00E71327"/>
    <w:rsid w:val="00E71777"/>
    <w:rsid w:val="00E72E4C"/>
    <w:rsid w:val="00E76468"/>
    <w:rsid w:val="00E76971"/>
    <w:rsid w:val="00E770E0"/>
    <w:rsid w:val="00E77790"/>
    <w:rsid w:val="00E777DB"/>
    <w:rsid w:val="00E800FC"/>
    <w:rsid w:val="00E82409"/>
    <w:rsid w:val="00E85E3F"/>
    <w:rsid w:val="00E8797C"/>
    <w:rsid w:val="00E907E3"/>
    <w:rsid w:val="00E95447"/>
    <w:rsid w:val="00E9577C"/>
    <w:rsid w:val="00E9599E"/>
    <w:rsid w:val="00EA15F4"/>
    <w:rsid w:val="00EA2200"/>
    <w:rsid w:val="00EA2215"/>
    <w:rsid w:val="00EB31F8"/>
    <w:rsid w:val="00EB56DF"/>
    <w:rsid w:val="00EC192E"/>
    <w:rsid w:val="00EC2262"/>
    <w:rsid w:val="00EC2D33"/>
    <w:rsid w:val="00EC4408"/>
    <w:rsid w:val="00EC4C23"/>
    <w:rsid w:val="00EC520E"/>
    <w:rsid w:val="00EC6353"/>
    <w:rsid w:val="00EC7D6E"/>
    <w:rsid w:val="00ED0B65"/>
    <w:rsid w:val="00ED10E3"/>
    <w:rsid w:val="00ED19C6"/>
    <w:rsid w:val="00ED25BE"/>
    <w:rsid w:val="00ED5A16"/>
    <w:rsid w:val="00ED6009"/>
    <w:rsid w:val="00EE1A83"/>
    <w:rsid w:val="00EE4438"/>
    <w:rsid w:val="00EE4D29"/>
    <w:rsid w:val="00EE6051"/>
    <w:rsid w:val="00EE649D"/>
    <w:rsid w:val="00EE6CEC"/>
    <w:rsid w:val="00EE7A28"/>
    <w:rsid w:val="00EF10A8"/>
    <w:rsid w:val="00EF1C3F"/>
    <w:rsid w:val="00EF5650"/>
    <w:rsid w:val="00EF611B"/>
    <w:rsid w:val="00EF664E"/>
    <w:rsid w:val="00EF7830"/>
    <w:rsid w:val="00EF7A97"/>
    <w:rsid w:val="00F0246A"/>
    <w:rsid w:val="00F0309E"/>
    <w:rsid w:val="00F03232"/>
    <w:rsid w:val="00F058D7"/>
    <w:rsid w:val="00F114B3"/>
    <w:rsid w:val="00F118DB"/>
    <w:rsid w:val="00F11B2E"/>
    <w:rsid w:val="00F14417"/>
    <w:rsid w:val="00F17900"/>
    <w:rsid w:val="00F17A3B"/>
    <w:rsid w:val="00F23F5E"/>
    <w:rsid w:val="00F2664A"/>
    <w:rsid w:val="00F2681F"/>
    <w:rsid w:val="00F30E99"/>
    <w:rsid w:val="00F31840"/>
    <w:rsid w:val="00F33ED0"/>
    <w:rsid w:val="00F354E3"/>
    <w:rsid w:val="00F377A5"/>
    <w:rsid w:val="00F37A63"/>
    <w:rsid w:val="00F40804"/>
    <w:rsid w:val="00F46404"/>
    <w:rsid w:val="00F479FC"/>
    <w:rsid w:val="00F47AA4"/>
    <w:rsid w:val="00F51432"/>
    <w:rsid w:val="00F52F27"/>
    <w:rsid w:val="00F54088"/>
    <w:rsid w:val="00F572B4"/>
    <w:rsid w:val="00F57887"/>
    <w:rsid w:val="00F60AEF"/>
    <w:rsid w:val="00F615B4"/>
    <w:rsid w:val="00F624E2"/>
    <w:rsid w:val="00F670F1"/>
    <w:rsid w:val="00F70A6D"/>
    <w:rsid w:val="00F7356E"/>
    <w:rsid w:val="00F743CA"/>
    <w:rsid w:val="00F74AF1"/>
    <w:rsid w:val="00F74EAD"/>
    <w:rsid w:val="00F75830"/>
    <w:rsid w:val="00F7700D"/>
    <w:rsid w:val="00F7726F"/>
    <w:rsid w:val="00F77619"/>
    <w:rsid w:val="00F777E0"/>
    <w:rsid w:val="00F82D45"/>
    <w:rsid w:val="00F83912"/>
    <w:rsid w:val="00F84DCE"/>
    <w:rsid w:val="00F86474"/>
    <w:rsid w:val="00F91367"/>
    <w:rsid w:val="00F91605"/>
    <w:rsid w:val="00F91681"/>
    <w:rsid w:val="00F92356"/>
    <w:rsid w:val="00F9432B"/>
    <w:rsid w:val="00F94D26"/>
    <w:rsid w:val="00F96A69"/>
    <w:rsid w:val="00FA0E9C"/>
    <w:rsid w:val="00FA2C23"/>
    <w:rsid w:val="00FA5A1E"/>
    <w:rsid w:val="00FA6678"/>
    <w:rsid w:val="00FA72F0"/>
    <w:rsid w:val="00FA7711"/>
    <w:rsid w:val="00FA7F10"/>
    <w:rsid w:val="00FB0C90"/>
    <w:rsid w:val="00FB1176"/>
    <w:rsid w:val="00FB1478"/>
    <w:rsid w:val="00FB466C"/>
    <w:rsid w:val="00FB6A44"/>
    <w:rsid w:val="00FB6AE3"/>
    <w:rsid w:val="00FB74A9"/>
    <w:rsid w:val="00FB7C6A"/>
    <w:rsid w:val="00FD0622"/>
    <w:rsid w:val="00FD4745"/>
    <w:rsid w:val="00FD6B7C"/>
    <w:rsid w:val="00FD7C09"/>
    <w:rsid w:val="00FE2179"/>
    <w:rsid w:val="00FE744A"/>
    <w:rsid w:val="00FE75FE"/>
    <w:rsid w:val="00FE7A34"/>
    <w:rsid w:val="00FF7828"/>
    <w:rsid w:val="01017FB5"/>
    <w:rsid w:val="011646D7"/>
    <w:rsid w:val="01232BB6"/>
    <w:rsid w:val="012706AB"/>
    <w:rsid w:val="01481AE0"/>
    <w:rsid w:val="014F03EF"/>
    <w:rsid w:val="016234D2"/>
    <w:rsid w:val="01635C49"/>
    <w:rsid w:val="01687703"/>
    <w:rsid w:val="01750159"/>
    <w:rsid w:val="01946C70"/>
    <w:rsid w:val="019B1886"/>
    <w:rsid w:val="019C0076"/>
    <w:rsid w:val="01A95E0E"/>
    <w:rsid w:val="01B464A4"/>
    <w:rsid w:val="01C761D7"/>
    <w:rsid w:val="01C963F3"/>
    <w:rsid w:val="01CE3E86"/>
    <w:rsid w:val="01CF1907"/>
    <w:rsid w:val="01D803E5"/>
    <w:rsid w:val="01F63409"/>
    <w:rsid w:val="01FB23CB"/>
    <w:rsid w:val="01FB40D3"/>
    <w:rsid w:val="01FD7E4B"/>
    <w:rsid w:val="02017128"/>
    <w:rsid w:val="020531A4"/>
    <w:rsid w:val="020F48EF"/>
    <w:rsid w:val="0213766F"/>
    <w:rsid w:val="02262316"/>
    <w:rsid w:val="023F0464"/>
    <w:rsid w:val="024D5A4B"/>
    <w:rsid w:val="02535CBD"/>
    <w:rsid w:val="025F23C8"/>
    <w:rsid w:val="02620398"/>
    <w:rsid w:val="02743DB8"/>
    <w:rsid w:val="027619AC"/>
    <w:rsid w:val="02816F7C"/>
    <w:rsid w:val="02AB59A9"/>
    <w:rsid w:val="02AF3C41"/>
    <w:rsid w:val="02B068EF"/>
    <w:rsid w:val="02C8018C"/>
    <w:rsid w:val="02CD1F13"/>
    <w:rsid w:val="02CE3596"/>
    <w:rsid w:val="02F403E5"/>
    <w:rsid w:val="02F45E67"/>
    <w:rsid w:val="03015719"/>
    <w:rsid w:val="0312400A"/>
    <w:rsid w:val="0320472C"/>
    <w:rsid w:val="0324420B"/>
    <w:rsid w:val="032B6341"/>
    <w:rsid w:val="033142FA"/>
    <w:rsid w:val="03561F09"/>
    <w:rsid w:val="03577A2F"/>
    <w:rsid w:val="03624A8E"/>
    <w:rsid w:val="037D7C0F"/>
    <w:rsid w:val="038A1272"/>
    <w:rsid w:val="038D5FE6"/>
    <w:rsid w:val="03B92498"/>
    <w:rsid w:val="03C84489"/>
    <w:rsid w:val="03D1333D"/>
    <w:rsid w:val="041A7C63"/>
    <w:rsid w:val="04392C7B"/>
    <w:rsid w:val="045F2658"/>
    <w:rsid w:val="046917C8"/>
    <w:rsid w:val="0477750B"/>
    <w:rsid w:val="049820AD"/>
    <w:rsid w:val="049C2D1F"/>
    <w:rsid w:val="04A44EF6"/>
    <w:rsid w:val="04A5362F"/>
    <w:rsid w:val="04B073F7"/>
    <w:rsid w:val="04C669AD"/>
    <w:rsid w:val="04D17976"/>
    <w:rsid w:val="05056DF0"/>
    <w:rsid w:val="050634BB"/>
    <w:rsid w:val="05280385"/>
    <w:rsid w:val="052971FB"/>
    <w:rsid w:val="05547D1F"/>
    <w:rsid w:val="055E32F7"/>
    <w:rsid w:val="056A5D0F"/>
    <w:rsid w:val="056F5C5E"/>
    <w:rsid w:val="057A1348"/>
    <w:rsid w:val="058A396D"/>
    <w:rsid w:val="05AA2098"/>
    <w:rsid w:val="05D215EF"/>
    <w:rsid w:val="05DC421B"/>
    <w:rsid w:val="05DE1D42"/>
    <w:rsid w:val="05E01F5E"/>
    <w:rsid w:val="05E536D6"/>
    <w:rsid w:val="05FB28F4"/>
    <w:rsid w:val="05FE4192"/>
    <w:rsid w:val="06011BC3"/>
    <w:rsid w:val="06021298"/>
    <w:rsid w:val="06205D04"/>
    <w:rsid w:val="06247F36"/>
    <w:rsid w:val="063742FF"/>
    <w:rsid w:val="0659586C"/>
    <w:rsid w:val="066730DF"/>
    <w:rsid w:val="066C7D27"/>
    <w:rsid w:val="067074C0"/>
    <w:rsid w:val="06874077"/>
    <w:rsid w:val="068C7F4B"/>
    <w:rsid w:val="069E723E"/>
    <w:rsid w:val="06B331CE"/>
    <w:rsid w:val="06C90C44"/>
    <w:rsid w:val="06DF2215"/>
    <w:rsid w:val="06E54104"/>
    <w:rsid w:val="06EE6695"/>
    <w:rsid w:val="06FC3783"/>
    <w:rsid w:val="070447D0"/>
    <w:rsid w:val="070842BB"/>
    <w:rsid w:val="07120AE1"/>
    <w:rsid w:val="07231554"/>
    <w:rsid w:val="073360BD"/>
    <w:rsid w:val="07511298"/>
    <w:rsid w:val="0754675F"/>
    <w:rsid w:val="075C73C2"/>
    <w:rsid w:val="075D0324"/>
    <w:rsid w:val="07672E32"/>
    <w:rsid w:val="07743C39"/>
    <w:rsid w:val="077C1812"/>
    <w:rsid w:val="07832BA1"/>
    <w:rsid w:val="07874FF6"/>
    <w:rsid w:val="0797664C"/>
    <w:rsid w:val="07B13964"/>
    <w:rsid w:val="07B408D7"/>
    <w:rsid w:val="07B43BC4"/>
    <w:rsid w:val="07C30C69"/>
    <w:rsid w:val="07D16002"/>
    <w:rsid w:val="07DD2850"/>
    <w:rsid w:val="07EC7F5B"/>
    <w:rsid w:val="07F6399B"/>
    <w:rsid w:val="07F92E63"/>
    <w:rsid w:val="080D2493"/>
    <w:rsid w:val="080E5481"/>
    <w:rsid w:val="08153A69"/>
    <w:rsid w:val="08193505"/>
    <w:rsid w:val="081B32E1"/>
    <w:rsid w:val="08206641"/>
    <w:rsid w:val="082500FC"/>
    <w:rsid w:val="083375A0"/>
    <w:rsid w:val="08444A26"/>
    <w:rsid w:val="08470072"/>
    <w:rsid w:val="08585DDB"/>
    <w:rsid w:val="08856DEC"/>
    <w:rsid w:val="088B02B7"/>
    <w:rsid w:val="088E0696"/>
    <w:rsid w:val="08AC25CB"/>
    <w:rsid w:val="08BE185D"/>
    <w:rsid w:val="08C330EF"/>
    <w:rsid w:val="08DF64FD"/>
    <w:rsid w:val="08FA57C7"/>
    <w:rsid w:val="08FB3F71"/>
    <w:rsid w:val="09181A0E"/>
    <w:rsid w:val="09291A3F"/>
    <w:rsid w:val="093C394F"/>
    <w:rsid w:val="094523C3"/>
    <w:rsid w:val="095306EF"/>
    <w:rsid w:val="09587432"/>
    <w:rsid w:val="095D2EA5"/>
    <w:rsid w:val="097A6F2C"/>
    <w:rsid w:val="098B0432"/>
    <w:rsid w:val="099C263F"/>
    <w:rsid w:val="09A80FE4"/>
    <w:rsid w:val="09AB6EA7"/>
    <w:rsid w:val="09DD682A"/>
    <w:rsid w:val="0A247432"/>
    <w:rsid w:val="0A2A393B"/>
    <w:rsid w:val="0A4707FD"/>
    <w:rsid w:val="0A4B01C2"/>
    <w:rsid w:val="0A616013"/>
    <w:rsid w:val="0A6273E5"/>
    <w:rsid w:val="0A635DA0"/>
    <w:rsid w:val="0A652A31"/>
    <w:rsid w:val="0A762FDD"/>
    <w:rsid w:val="0A8C26DA"/>
    <w:rsid w:val="0A981059"/>
    <w:rsid w:val="0AAA48E8"/>
    <w:rsid w:val="0AB0529A"/>
    <w:rsid w:val="0AC27FEC"/>
    <w:rsid w:val="0ADD4CBE"/>
    <w:rsid w:val="0AE24082"/>
    <w:rsid w:val="0AED2A2C"/>
    <w:rsid w:val="0B03361E"/>
    <w:rsid w:val="0B50723E"/>
    <w:rsid w:val="0B574A70"/>
    <w:rsid w:val="0B575D8A"/>
    <w:rsid w:val="0B646ACD"/>
    <w:rsid w:val="0B6D4294"/>
    <w:rsid w:val="0B7F5BF9"/>
    <w:rsid w:val="0B9F01C5"/>
    <w:rsid w:val="0BA13F3D"/>
    <w:rsid w:val="0BAC764A"/>
    <w:rsid w:val="0BCE431E"/>
    <w:rsid w:val="0BE1258C"/>
    <w:rsid w:val="0BED0F30"/>
    <w:rsid w:val="0BFB761F"/>
    <w:rsid w:val="0C1C35C4"/>
    <w:rsid w:val="0C320DD2"/>
    <w:rsid w:val="0C3550BB"/>
    <w:rsid w:val="0C394176"/>
    <w:rsid w:val="0C3D31F8"/>
    <w:rsid w:val="0C3F075F"/>
    <w:rsid w:val="0C452939"/>
    <w:rsid w:val="0C4E1933"/>
    <w:rsid w:val="0C632FA1"/>
    <w:rsid w:val="0C6B4660"/>
    <w:rsid w:val="0C960633"/>
    <w:rsid w:val="0C9B1295"/>
    <w:rsid w:val="0CA05FA3"/>
    <w:rsid w:val="0CA06C12"/>
    <w:rsid w:val="0CAA74DD"/>
    <w:rsid w:val="0CCA74C4"/>
    <w:rsid w:val="0CD345CA"/>
    <w:rsid w:val="0CD56D9C"/>
    <w:rsid w:val="0CD619C5"/>
    <w:rsid w:val="0CE83016"/>
    <w:rsid w:val="0D044FB3"/>
    <w:rsid w:val="0D054058"/>
    <w:rsid w:val="0D144F6D"/>
    <w:rsid w:val="0D224C0A"/>
    <w:rsid w:val="0D2A5233"/>
    <w:rsid w:val="0D2B2395"/>
    <w:rsid w:val="0D2C4208"/>
    <w:rsid w:val="0D4B74D8"/>
    <w:rsid w:val="0D4E1EA3"/>
    <w:rsid w:val="0D60313C"/>
    <w:rsid w:val="0D707408"/>
    <w:rsid w:val="0D755681"/>
    <w:rsid w:val="0D7C6A10"/>
    <w:rsid w:val="0DA25D4B"/>
    <w:rsid w:val="0DA815B3"/>
    <w:rsid w:val="0DEB14A0"/>
    <w:rsid w:val="0DEF37FE"/>
    <w:rsid w:val="0DF06AB6"/>
    <w:rsid w:val="0DF742E8"/>
    <w:rsid w:val="0DFE5677"/>
    <w:rsid w:val="0E010CC3"/>
    <w:rsid w:val="0E2B3F92"/>
    <w:rsid w:val="0E543C3C"/>
    <w:rsid w:val="0E567261"/>
    <w:rsid w:val="0E686F94"/>
    <w:rsid w:val="0E6A376D"/>
    <w:rsid w:val="0E84425D"/>
    <w:rsid w:val="0E864564"/>
    <w:rsid w:val="0E8D07A9"/>
    <w:rsid w:val="0E994A80"/>
    <w:rsid w:val="0E9D6A33"/>
    <w:rsid w:val="0E9E6388"/>
    <w:rsid w:val="0EB16245"/>
    <w:rsid w:val="0EB61AAE"/>
    <w:rsid w:val="0EBD2E3C"/>
    <w:rsid w:val="0EBE46BE"/>
    <w:rsid w:val="0EBE62F7"/>
    <w:rsid w:val="0ECB27F7"/>
    <w:rsid w:val="0EDF64BB"/>
    <w:rsid w:val="0EEA0A05"/>
    <w:rsid w:val="0F1A028E"/>
    <w:rsid w:val="0F20786F"/>
    <w:rsid w:val="0F355602"/>
    <w:rsid w:val="0F3B2377"/>
    <w:rsid w:val="0F420900"/>
    <w:rsid w:val="0F56577D"/>
    <w:rsid w:val="0F7D27F8"/>
    <w:rsid w:val="0F890F70"/>
    <w:rsid w:val="0F8C278D"/>
    <w:rsid w:val="0F953CA8"/>
    <w:rsid w:val="0FB70159"/>
    <w:rsid w:val="0FC14BAE"/>
    <w:rsid w:val="0FCC0BCF"/>
    <w:rsid w:val="0FD0215A"/>
    <w:rsid w:val="0FD32136"/>
    <w:rsid w:val="0FD54B6A"/>
    <w:rsid w:val="0FD60930"/>
    <w:rsid w:val="0FE05657"/>
    <w:rsid w:val="0FE30C1D"/>
    <w:rsid w:val="0FFF254C"/>
    <w:rsid w:val="10207B26"/>
    <w:rsid w:val="102C16B4"/>
    <w:rsid w:val="10410391"/>
    <w:rsid w:val="10507CE0"/>
    <w:rsid w:val="105814FE"/>
    <w:rsid w:val="10785FF8"/>
    <w:rsid w:val="10800D35"/>
    <w:rsid w:val="108E51D0"/>
    <w:rsid w:val="10970A63"/>
    <w:rsid w:val="109B3806"/>
    <w:rsid w:val="10A15C2C"/>
    <w:rsid w:val="10A87B1C"/>
    <w:rsid w:val="10BE6B83"/>
    <w:rsid w:val="10C17485"/>
    <w:rsid w:val="10E2362A"/>
    <w:rsid w:val="10E82A49"/>
    <w:rsid w:val="10F17525"/>
    <w:rsid w:val="1107444E"/>
    <w:rsid w:val="110E3E23"/>
    <w:rsid w:val="110F1949"/>
    <w:rsid w:val="11146D91"/>
    <w:rsid w:val="11160C41"/>
    <w:rsid w:val="111E1B8C"/>
    <w:rsid w:val="11290C5D"/>
    <w:rsid w:val="112A5A08"/>
    <w:rsid w:val="11343367"/>
    <w:rsid w:val="113D0264"/>
    <w:rsid w:val="114F61E9"/>
    <w:rsid w:val="11586E4C"/>
    <w:rsid w:val="11660951"/>
    <w:rsid w:val="11683CF4"/>
    <w:rsid w:val="116C28F7"/>
    <w:rsid w:val="117C61E1"/>
    <w:rsid w:val="11892628"/>
    <w:rsid w:val="118B449A"/>
    <w:rsid w:val="11963E18"/>
    <w:rsid w:val="11973D63"/>
    <w:rsid w:val="11A02BE0"/>
    <w:rsid w:val="11B1137E"/>
    <w:rsid w:val="11C023CF"/>
    <w:rsid w:val="11CB5B57"/>
    <w:rsid w:val="11DF756D"/>
    <w:rsid w:val="11F62C07"/>
    <w:rsid w:val="11FD5C45"/>
    <w:rsid w:val="120630C8"/>
    <w:rsid w:val="12072620"/>
    <w:rsid w:val="122214CC"/>
    <w:rsid w:val="122356AC"/>
    <w:rsid w:val="122D52DF"/>
    <w:rsid w:val="125A73BA"/>
    <w:rsid w:val="127441DD"/>
    <w:rsid w:val="128123D2"/>
    <w:rsid w:val="12984975"/>
    <w:rsid w:val="12A44024"/>
    <w:rsid w:val="12AC5DC9"/>
    <w:rsid w:val="12B2392C"/>
    <w:rsid w:val="12CD1ABC"/>
    <w:rsid w:val="12D66DEE"/>
    <w:rsid w:val="12E60488"/>
    <w:rsid w:val="12EA7611"/>
    <w:rsid w:val="12F2507E"/>
    <w:rsid w:val="12F928B1"/>
    <w:rsid w:val="130059ED"/>
    <w:rsid w:val="130E32D7"/>
    <w:rsid w:val="13113756"/>
    <w:rsid w:val="13385187"/>
    <w:rsid w:val="134926B4"/>
    <w:rsid w:val="13572033"/>
    <w:rsid w:val="13673D62"/>
    <w:rsid w:val="136A1334"/>
    <w:rsid w:val="136C2150"/>
    <w:rsid w:val="137B2AD9"/>
    <w:rsid w:val="13817EFA"/>
    <w:rsid w:val="139B3268"/>
    <w:rsid w:val="13DE4123"/>
    <w:rsid w:val="13F65D2B"/>
    <w:rsid w:val="13F96ACE"/>
    <w:rsid w:val="13FF4CED"/>
    <w:rsid w:val="14397409"/>
    <w:rsid w:val="145204CA"/>
    <w:rsid w:val="146F2E2A"/>
    <w:rsid w:val="14745D55"/>
    <w:rsid w:val="147677A3"/>
    <w:rsid w:val="148A547E"/>
    <w:rsid w:val="1495235C"/>
    <w:rsid w:val="14981ED6"/>
    <w:rsid w:val="14E42E37"/>
    <w:rsid w:val="14FC4667"/>
    <w:rsid w:val="15086DDB"/>
    <w:rsid w:val="153B1209"/>
    <w:rsid w:val="15400323"/>
    <w:rsid w:val="154020D1"/>
    <w:rsid w:val="1543221C"/>
    <w:rsid w:val="154871D8"/>
    <w:rsid w:val="156A53A0"/>
    <w:rsid w:val="15826B8D"/>
    <w:rsid w:val="158E5532"/>
    <w:rsid w:val="158E7D3E"/>
    <w:rsid w:val="15994D77"/>
    <w:rsid w:val="159C3D02"/>
    <w:rsid w:val="159F30F0"/>
    <w:rsid w:val="15A148C7"/>
    <w:rsid w:val="15B900D5"/>
    <w:rsid w:val="15FD2AA2"/>
    <w:rsid w:val="16142196"/>
    <w:rsid w:val="16294BEB"/>
    <w:rsid w:val="16301360"/>
    <w:rsid w:val="165C73DE"/>
    <w:rsid w:val="167F131F"/>
    <w:rsid w:val="168C1346"/>
    <w:rsid w:val="168E7B34"/>
    <w:rsid w:val="16A448E1"/>
    <w:rsid w:val="16AF50AE"/>
    <w:rsid w:val="16B20DAC"/>
    <w:rsid w:val="16BF34C9"/>
    <w:rsid w:val="16C31B9A"/>
    <w:rsid w:val="16CF7BB0"/>
    <w:rsid w:val="16F615E1"/>
    <w:rsid w:val="171B5CEB"/>
    <w:rsid w:val="17375756"/>
    <w:rsid w:val="1753670C"/>
    <w:rsid w:val="175C77FA"/>
    <w:rsid w:val="17671692"/>
    <w:rsid w:val="1786728C"/>
    <w:rsid w:val="17C3356A"/>
    <w:rsid w:val="17CF23BD"/>
    <w:rsid w:val="17D9680D"/>
    <w:rsid w:val="17DF2075"/>
    <w:rsid w:val="17E34250"/>
    <w:rsid w:val="17F06755"/>
    <w:rsid w:val="17F141D6"/>
    <w:rsid w:val="1800023D"/>
    <w:rsid w:val="181D051D"/>
    <w:rsid w:val="18224902"/>
    <w:rsid w:val="18362340"/>
    <w:rsid w:val="183D2FD1"/>
    <w:rsid w:val="18493992"/>
    <w:rsid w:val="185047BA"/>
    <w:rsid w:val="185D2F9A"/>
    <w:rsid w:val="186B1008"/>
    <w:rsid w:val="186E353A"/>
    <w:rsid w:val="18786026"/>
    <w:rsid w:val="1889121A"/>
    <w:rsid w:val="1889564E"/>
    <w:rsid w:val="18913915"/>
    <w:rsid w:val="18C92265"/>
    <w:rsid w:val="18ED2475"/>
    <w:rsid w:val="18F0688E"/>
    <w:rsid w:val="19094ED0"/>
    <w:rsid w:val="190F0BDB"/>
    <w:rsid w:val="19232435"/>
    <w:rsid w:val="19574DA2"/>
    <w:rsid w:val="19575C3B"/>
    <w:rsid w:val="195E521C"/>
    <w:rsid w:val="196D1144"/>
    <w:rsid w:val="1977053C"/>
    <w:rsid w:val="19796C7E"/>
    <w:rsid w:val="19822215"/>
    <w:rsid w:val="198527A8"/>
    <w:rsid w:val="19874772"/>
    <w:rsid w:val="199A3383"/>
    <w:rsid w:val="19A000ED"/>
    <w:rsid w:val="19B17A41"/>
    <w:rsid w:val="19B4172B"/>
    <w:rsid w:val="19C71817"/>
    <w:rsid w:val="19EA2F53"/>
    <w:rsid w:val="19F906FD"/>
    <w:rsid w:val="1A040B36"/>
    <w:rsid w:val="1A120E47"/>
    <w:rsid w:val="1A1B2562"/>
    <w:rsid w:val="1A277D03"/>
    <w:rsid w:val="1A2975D8"/>
    <w:rsid w:val="1A2C3E73"/>
    <w:rsid w:val="1A393CB5"/>
    <w:rsid w:val="1A3D7527"/>
    <w:rsid w:val="1A473F02"/>
    <w:rsid w:val="1A5B79AD"/>
    <w:rsid w:val="1A790A90"/>
    <w:rsid w:val="1A8567D8"/>
    <w:rsid w:val="1AA650CC"/>
    <w:rsid w:val="1AA80E44"/>
    <w:rsid w:val="1AB4537C"/>
    <w:rsid w:val="1ABB087D"/>
    <w:rsid w:val="1AC15A62"/>
    <w:rsid w:val="1AC40276"/>
    <w:rsid w:val="1ACB7F4D"/>
    <w:rsid w:val="1AED5C83"/>
    <w:rsid w:val="1AFD2812"/>
    <w:rsid w:val="1B022453"/>
    <w:rsid w:val="1B027E29"/>
    <w:rsid w:val="1B0A7C6C"/>
    <w:rsid w:val="1B0E4325"/>
    <w:rsid w:val="1B4B17D0"/>
    <w:rsid w:val="1B4D19EC"/>
    <w:rsid w:val="1B530684"/>
    <w:rsid w:val="1B5424B5"/>
    <w:rsid w:val="1B590390"/>
    <w:rsid w:val="1B604DF7"/>
    <w:rsid w:val="1B607376"/>
    <w:rsid w:val="1B7927E1"/>
    <w:rsid w:val="1B7C2966"/>
    <w:rsid w:val="1B83540D"/>
    <w:rsid w:val="1B97129C"/>
    <w:rsid w:val="1BA10E52"/>
    <w:rsid w:val="1BB03EA9"/>
    <w:rsid w:val="1BB73608"/>
    <w:rsid w:val="1BBE01F3"/>
    <w:rsid w:val="1BDA70CB"/>
    <w:rsid w:val="1BDD2D6F"/>
    <w:rsid w:val="1BF73705"/>
    <w:rsid w:val="1C062453"/>
    <w:rsid w:val="1C252021"/>
    <w:rsid w:val="1C364861"/>
    <w:rsid w:val="1C3E30E2"/>
    <w:rsid w:val="1C5C1D06"/>
    <w:rsid w:val="1C663424"/>
    <w:rsid w:val="1C7F715E"/>
    <w:rsid w:val="1C84080D"/>
    <w:rsid w:val="1C871ECB"/>
    <w:rsid w:val="1CC966BB"/>
    <w:rsid w:val="1D064A1A"/>
    <w:rsid w:val="1D1E6052"/>
    <w:rsid w:val="1D39604E"/>
    <w:rsid w:val="1D4F2616"/>
    <w:rsid w:val="1D616C5F"/>
    <w:rsid w:val="1D756A60"/>
    <w:rsid w:val="1DA12787"/>
    <w:rsid w:val="1DB729F6"/>
    <w:rsid w:val="1DD20D61"/>
    <w:rsid w:val="1DE17414"/>
    <w:rsid w:val="1DEB0A3D"/>
    <w:rsid w:val="1DF15726"/>
    <w:rsid w:val="1DF20628"/>
    <w:rsid w:val="1DF36C6C"/>
    <w:rsid w:val="1DF63B37"/>
    <w:rsid w:val="1E02552A"/>
    <w:rsid w:val="1E07311D"/>
    <w:rsid w:val="1E251721"/>
    <w:rsid w:val="1E25455A"/>
    <w:rsid w:val="1E49057F"/>
    <w:rsid w:val="1E782E0B"/>
    <w:rsid w:val="1E847B79"/>
    <w:rsid w:val="1E8D597F"/>
    <w:rsid w:val="1E8E752D"/>
    <w:rsid w:val="1E8F0832"/>
    <w:rsid w:val="1E972E04"/>
    <w:rsid w:val="1E9B5C41"/>
    <w:rsid w:val="1EA336D1"/>
    <w:rsid w:val="1EAE5864"/>
    <w:rsid w:val="1EBA1E5F"/>
    <w:rsid w:val="1EC55489"/>
    <w:rsid w:val="1EDB10BC"/>
    <w:rsid w:val="1EEA0DD2"/>
    <w:rsid w:val="1EF63B7C"/>
    <w:rsid w:val="1F016D75"/>
    <w:rsid w:val="1F076BE7"/>
    <w:rsid w:val="1F0E75BF"/>
    <w:rsid w:val="1F186022"/>
    <w:rsid w:val="1F282554"/>
    <w:rsid w:val="1F2C774B"/>
    <w:rsid w:val="1F334A54"/>
    <w:rsid w:val="1F496F54"/>
    <w:rsid w:val="1F504AED"/>
    <w:rsid w:val="1FA45952"/>
    <w:rsid w:val="1FAB4F33"/>
    <w:rsid w:val="1FB232B3"/>
    <w:rsid w:val="1FBE56A1"/>
    <w:rsid w:val="1FCF49A0"/>
    <w:rsid w:val="1FD44489"/>
    <w:rsid w:val="1FD75D28"/>
    <w:rsid w:val="1FE12702"/>
    <w:rsid w:val="1FE67D19"/>
    <w:rsid w:val="1FF32470"/>
    <w:rsid w:val="1FFE31EC"/>
    <w:rsid w:val="20103FCE"/>
    <w:rsid w:val="20125215"/>
    <w:rsid w:val="202B0159"/>
    <w:rsid w:val="20414A85"/>
    <w:rsid w:val="20564E1C"/>
    <w:rsid w:val="205D7CC4"/>
    <w:rsid w:val="207215AC"/>
    <w:rsid w:val="2083271B"/>
    <w:rsid w:val="208C266E"/>
    <w:rsid w:val="20C36C4E"/>
    <w:rsid w:val="20D67D8D"/>
    <w:rsid w:val="20D94EF4"/>
    <w:rsid w:val="20E71499"/>
    <w:rsid w:val="21095D93"/>
    <w:rsid w:val="21125918"/>
    <w:rsid w:val="21221225"/>
    <w:rsid w:val="21280936"/>
    <w:rsid w:val="212A2CD1"/>
    <w:rsid w:val="212D36C8"/>
    <w:rsid w:val="21320853"/>
    <w:rsid w:val="214E56FA"/>
    <w:rsid w:val="21501071"/>
    <w:rsid w:val="21582E98"/>
    <w:rsid w:val="2163359B"/>
    <w:rsid w:val="216B2B7C"/>
    <w:rsid w:val="21793563"/>
    <w:rsid w:val="21843C8D"/>
    <w:rsid w:val="21A54515"/>
    <w:rsid w:val="21AE24D6"/>
    <w:rsid w:val="21AE5800"/>
    <w:rsid w:val="21BF6311"/>
    <w:rsid w:val="21D201BB"/>
    <w:rsid w:val="21D2510C"/>
    <w:rsid w:val="220713BF"/>
    <w:rsid w:val="220B1A78"/>
    <w:rsid w:val="22100564"/>
    <w:rsid w:val="22187B18"/>
    <w:rsid w:val="221D1C53"/>
    <w:rsid w:val="222A65E3"/>
    <w:rsid w:val="222E1639"/>
    <w:rsid w:val="2232642A"/>
    <w:rsid w:val="22433200"/>
    <w:rsid w:val="22720320"/>
    <w:rsid w:val="22720ED7"/>
    <w:rsid w:val="22835CF3"/>
    <w:rsid w:val="229137C3"/>
    <w:rsid w:val="22936057"/>
    <w:rsid w:val="229C4D78"/>
    <w:rsid w:val="22C01511"/>
    <w:rsid w:val="22C04755"/>
    <w:rsid w:val="22CF4483"/>
    <w:rsid w:val="22CF718A"/>
    <w:rsid w:val="22E9024C"/>
    <w:rsid w:val="22EB1FA1"/>
    <w:rsid w:val="22F866E1"/>
    <w:rsid w:val="23056708"/>
    <w:rsid w:val="230C267C"/>
    <w:rsid w:val="23132071"/>
    <w:rsid w:val="236B292B"/>
    <w:rsid w:val="23941462"/>
    <w:rsid w:val="239919AD"/>
    <w:rsid w:val="239A23BB"/>
    <w:rsid w:val="23A128D5"/>
    <w:rsid w:val="23A55F10"/>
    <w:rsid w:val="23C00041"/>
    <w:rsid w:val="23CE2F9E"/>
    <w:rsid w:val="23D42CAA"/>
    <w:rsid w:val="23E634F2"/>
    <w:rsid w:val="23EB3B50"/>
    <w:rsid w:val="24213A15"/>
    <w:rsid w:val="242A29D3"/>
    <w:rsid w:val="242B219E"/>
    <w:rsid w:val="242B6642"/>
    <w:rsid w:val="242C07BB"/>
    <w:rsid w:val="243376EE"/>
    <w:rsid w:val="243922A1"/>
    <w:rsid w:val="24533EA6"/>
    <w:rsid w:val="245C67FB"/>
    <w:rsid w:val="246635AB"/>
    <w:rsid w:val="246B583D"/>
    <w:rsid w:val="246D2675"/>
    <w:rsid w:val="248018BB"/>
    <w:rsid w:val="24945658"/>
    <w:rsid w:val="24B82A78"/>
    <w:rsid w:val="24DD2D27"/>
    <w:rsid w:val="24F76807"/>
    <w:rsid w:val="250B5853"/>
    <w:rsid w:val="252441E0"/>
    <w:rsid w:val="254F1289"/>
    <w:rsid w:val="255B4D05"/>
    <w:rsid w:val="256A5012"/>
    <w:rsid w:val="25950217"/>
    <w:rsid w:val="25A60F16"/>
    <w:rsid w:val="25B2685E"/>
    <w:rsid w:val="25CC175F"/>
    <w:rsid w:val="25DC7BF4"/>
    <w:rsid w:val="25E1345C"/>
    <w:rsid w:val="25E22D30"/>
    <w:rsid w:val="25E50F09"/>
    <w:rsid w:val="25EE16C9"/>
    <w:rsid w:val="25EF2DCB"/>
    <w:rsid w:val="25F56F08"/>
    <w:rsid w:val="26087CC1"/>
    <w:rsid w:val="260F00CF"/>
    <w:rsid w:val="26192BF6"/>
    <w:rsid w:val="261A4BC0"/>
    <w:rsid w:val="261E645E"/>
    <w:rsid w:val="26485289"/>
    <w:rsid w:val="264F486A"/>
    <w:rsid w:val="2650413E"/>
    <w:rsid w:val="26546066"/>
    <w:rsid w:val="26591064"/>
    <w:rsid w:val="266A3BD6"/>
    <w:rsid w:val="266E4439"/>
    <w:rsid w:val="266E7847"/>
    <w:rsid w:val="26702DE0"/>
    <w:rsid w:val="26747E2C"/>
    <w:rsid w:val="267A1F98"/>
    <w:rsid w:val="267C13D7"/>
    <w:rsid w:val="268705C2"/>
    <w:rsid w:val="268B6B11"/>
    <w:rsid w:val="269C0568"/>
    <w:rsid w:val="26C8461C"/>
    <w:rsid w:val="26CC7C68"/>
    <w:rsid w:val="26E66850"/>
    <w:rsid w:val="26E93D19"/>
    <w:rsid w:val="26EA7AB6"/>
    <w:rsid w:val="2705573F"/>
    <w:rsid w:val="27075144"/>
    <w:rsid w:val="271414AB"/>
    <w:rsid w:val="2715673F"/>
    <w:rsid w:val="271E783C"/>
    <w:rsid w:val="27252EFD"/>
    <w:rsid w:val="27466EE5"/>
    <w:rsid w:val="2747513C"/>
    <w:rsid w:val="274912B9"/>
    <w:rsid w:val="27906663"/>
    <w:rsid w:val="27BB1A8B"/>
    <w:rsid w:val="27CC365A"/>
    <w:rsid w:val="27DC212D"/>
    <w:rsid w:val="27FB0D99"/>
    <w:rsid w:val="28013F40"/>
    <w:rsid w:val="28021134"/>
    <w:rsid w:val="282D0B55"/>
    <w:rsid w:val="28304227"/>
    <w:rsid w:val="28443D9B"/>
    <w:rsid w:val="284B2E0F"/>
    <w:rsid w:val="284B7454"/>
    <w:rsid w:val="28593D41"/>
    <w:rsid w:val="28597E6B"/>
    <w:rsid w:val="285F5E0D"/>
    <w:rsid w:val="286345FC"/>
    <w:rsid w:val="287265EE"/>
    <w:rsid w:val="2898640F"/>
    <w:rsid w:val="289B1FE8"/>
    <w:rsid w:val="289E3886"/>
    <w:rsid w:val="28B718B9"/>
    <w:rsid w:val="28C01A4F"/>
    <w:rsid w:val="28C36E49"/>
    <w:rsid w:val="28C72DDD"/>
    <w:rsid w:val="28D23530"/>
    <w:rsid w:val="28DA09B1"/>
    <w:rsid w:val="28E64C29"/>
    <w:rsid w:val="28F62ACB"/>
    <w:rsid w:val="28FE2577"/>
    <w:rsid w:val="290F6CBE"/>
    <w:rsid w:val="291C1880"/>
    <w:rsid w:val="291E41F2"/>
    <w:rsid w:val="2920604A"/>
    <w:rsid w:val="292638AF"/>
    <w:rsid w:val="292E7440"/>
    <w:rsid w:val="292F44DF"/>
    <w:rsid w:val="294C32E2"/>
    <w:rsid w:val="2953641F"/>
    <w:rsid w:val="295C30F4"/>
    <w:rsid w:val="295E5451"/>
    <w:rsid w:val="296C128F"/>
    <w:rsid w:val="29714AF7"/>
    <w:rsid w:val="2976035F"/>
    <w:rsid w:val="29826D04"/>
    <w:rsid w:val="29984B41"/>
    <w:rsid w:val="29A461D7"/>
    <w:rsid w:val="29C25353"/>
    <w:rsid w:val="29DD4803"/>
    <w:rsid w:val="29E7300B"/>
    <w:rsid w:val="29F319B0"/>
    <w:rsid w:val="29F3375E"/>
    <w:rsid w:val="2A094141"/>
    <w:rsid w:val="2A0C1188"/>
    <w:rsid w:val="2A2D713F"/>
    <w:rsid w:val="2A3D0E90"/>
    <w:rsid w:val="2A450056"/>
    <w:rsid w:val="2A4C79F4"/>
    <w:rsid w:val="2A4F6F0B"/>
    <w:rsid w:val="2A6874CB"/>
    <w:rsid w:val="2A7D7238"/>
    <w:rsid w:val="2A8E2558"/>
    <w:rsid w:val="2AA421ED"/>
    <w:rsid w:val="2AA448E2"/>
    <w:rsid w:val="2AA8279A"/>
    <w:rsid w:val="2AB4113F"/>
    <w:rsid w:val="2ABD3010"/>
    <w:rsid w:val="2AC5334C"/>
    <w:rsid w:val="2ADF135E"/>
    <w:rsid w:val="2AEF71FD"/>
    <w:rsid w:val="2AF170AC"/>
    <w:rsid w:val="2AF91248"/>
    <w:rsid w:val="2B24565F"/>
    <w:rsid w:val="2B5B2EB7"/>
    <w:rsid w:val="2B681F2A"/>
    <w:rsid w:val="2B7B67CD"/>
    <w:rsid w:val="2B9C5046"/>
    <w:rsid w:val="2BA3287C"/>
    <w:rsid w:val="2BAB5D27"/>
    <w:rsid w:val="2BAD3E89"/>
    <w:rsid w:val="2BBD47D8"/>
    <w:rsid w:val="2BC37160"/>
    <w:rsid w:val="2BC52E85"/>
    <w:rsid w:val="2BD32CF3"/>
    <w:rsid w:val="2BD82C0B"/>
    <w:rsid w:val="2BE83F94"/>
    <w:rsid w:val="2BF62A4D"/>
    <w:rsid w:val="2BFA7026"/>
    <w:rsid w:val="2BFB2D9E"/>
    <w:rsid w:val="2C2E3173"/>
    <w:rsid w:val="2C2E4602"/>
    <w:rsid w:val="2C383B3E"/>
    <w:rsid w:val="2C640943"/>
    <w:rsid w:val="2C666469"/>
    <w:rsid w:val="2C732E72"/>
    <w:rsid w:val="2C757690"/>
    <w:rsid w:val="2C7F577D"/>
    <w:rsid w:val="2C8C296E"/>
    <w:rsid w:val="2C8C7AC2"/>
    <w:rsid w:val="2C8D5A6F"/>
    <w:rsid w:val="2C934D84"/>
    <w:rsid w:val="2CA70830"/>
    <w:rsid w:val="2CA73E7B"/>
    <w:rsid w:val="2CAB186B"/>
    <w:rsid w:val="2CBD0053"/>
    <w:rsid w:val="2CDB7143"/>
    <w:rsid w:val="2CE33F5E"/>
    <w:rsid w:val="2CE66AF9"/>
    <w:rsid w:val="2D185780"/>
    <w:rsid w:val="2D1C7470"/>
    <w:rsid w:val="2D22321C"/>
    <w:rsid w:val="2D5034E4"/>
    <w:rsid w:val="2D55028C"/>
    <w:rsid w:val="2D5E088C"/>
    <w:rsid w:val="2D657C06"/>
    <w:rsid w:val="2D7002CF"/>
    <w:rsid w:val="2D89141D"/>
    <w:rsid w:val="2D8A7365"/>
    <w:rsid w:val="2D940DB4"/>
    <w:rsid w:val="2D943ACC"/>
    <w:rsid w:val="2D945258"/>
    <w:rsid w:val="2DA2068E"/>
    <w:rsid w:val="2DAF5BEE"/>
    <w:rsid w:val="2DB00085"/>
    <w:rsid w:val="2DB27D05"/>
    <w:rsid w:val="2DCB7498"/>
    <w:rsid w:val="2DE64CDC"/>
    <w:rsid w:val="2DE81100"/>
    <w:rsid w:val="2DF70DD6"/>
    <w:rsid w:val="2E093082"/>
    <w:rsid w:val="2E0A23FE"/>
    <w:rsid w:val="2E0C7164"/>
    <w:rsid w:val="2E24482E"/>
    <w:rsid w:val="2E262354"/>
    <w:rsid w:val="2E2807CD"/>
    <w:rsid w:val="2E2D79DA"/>
    <w:rsid w:val="2E327FBD"/>
    <w:rsid w:val="2E3F536B"/>
    <w:rsid w:val="2E530C6F"/>
    <w:rsid w:val="2E5F4634"/>
    <w:rsid w:val="2E66321B"/>
    <w:rsid w:val="2E9321C3"/>
    <w:rsid w:val="2EA07A0D"/>
    <w:rsid w:val="2EC60449"/>
    <w:rsid w:val="2ECC1AD7"/>
    <w:rsid w:val="2EED69CE"/>
    <w:rsid w:val="2F012479"/>
    <w:rsid w:val="2F177ABC"/>
    <w:rsid w:val="2F2111E1"/>
    <w:rsid w:val="2F263DF2"/>
    <w:rsid w:val="2F2F5238"/>
    <w:rsid w:val="2F35178D"/>
    <w:rsid w:val="2F35554E"/>
    <w:rsid w:val="2F3B5E89"/>
    <w:rsid w:val="2F6D3845"/>
    <w:rsid w:val="2F6D3FB3"/>
    <w:rsid w:val="2FC51CEF"/>
    <w:rsid w:val="2FCC6F2B"/>
    <w:rsid w:val="2FD302BA"/>
    <w:rsid w:val="30062758"/>
    <w:rsid w:val="3008511A"/>
    <w:rsid w:val="301A18FB"/>
    <w:rsid w:val="302D729E"/>
    <w:rsid w:val="30393E95"/>
    <w:rsid w:val="303D1BD7"/>
    <w:rsid w:val="303D4E30"/>
    <w:rsid w:val="304732FA"/>
    <w:rsid w:val="3049057C"/>
    <w:rsid w:val="30534F57"/>
    <w:rsid w:val="30630D12"/>
    <w:rsid w:val="306F78B6"/>
    <w:rsid w:val="307355F9"/>
    <w:rsid w:val="308B0B94"/>
    <w:rsid w:val="308B3CC1"/>
    <w:rsid w:val="308C66BA"/>
    <w:rsid w:val="30F06C49"/>
    <w:rsid w:val="30FF0C3A"/>
    <w:rsid w:val="31083F93"/>
    <w:rsid w:val="31295CB7"/>
    <w:rsid w:val="315947EF"/>
    <w:rsid w:val="315E3BB3"/>
    <w:rsid w:val="31614591"/>
    <w:rsid w:val="3166515D"/>
    <w:rsid w:val="316E36F8"/>
    <w:rsid w:val="317B29B7"/>
    <w:rsid w:val="318254C8"/>
    <w:rsid w:val="31973569"/>
    <w:rsid w:val="31AD68E8"/>
    <w:rsid w:val="31BB2756"/>
    <w:rsid w:val="31C77DA4"/>
    <w:rsid w:val="31F2254D"/>
    <w:rsid w:val="32194741"/>
    <w:rsid w:val="322A7F39"/>
    <w:rsid w:val="32313624"/>
    <w:rsid w:val="32484BE3"/>
    <w:rsid w:val="324B6EA3"/>
    <w:rsid w:val="32A16C40"/>
    <w:rsid w:val="32B36180"/>
    <w:rsid w:val="32BF68D3"/>
    <w:rsid w:val="32D260EE"/>
    <w:rsid w:val="32E4633A"/>
    <w:rsid w:val="32E55E94"/>
    <w:rsid w:val="32E91BA2"/>
    <w:rsid w:val="3304078A"/>
    <w:rsid w:val="330864CC"/>
    <w:rsid w:val="330A6248"/>
    <w:rsid w:val="33162E27"/>
    <w:rsid w:val="331E076C"/>
    <w:rsid w:val="33242BDA"/>
    <w:rsid w:val="332C1E5A"/>
    <w:rsid w:val="333A52F3"/>
    <w:rsid w:val="333F0CA1"/>
    <w:rsid w:val="335401CB"/>
    <w:rsid w:val="335E301B"/>
    <w:rsid w:val="3361798A"/>
    <w:rsid w:val="336A2CE3"/>
    <w:rsid w:val="3380750C"/>
    <w:rsid w:val="33880521"/>
    <w:rsid w:val="338A589D"/>
    <w:rsid w:val="33B77665"/>
    <w:rsid w:val="33DE547F"/>
    <w:rsid w:val="33E31B49"/>
    <w:rsid w:val="33F94067"/>
    <w:rsid w:val="341D591F"/>
    <w:rsid w:val="345B3646"/>
    <w:rsid w:val="34616D72"/>
    <w:rsid w:val="34617B4E"/>
    <w:rsid w:val="34685271"/>
    <w:rsid w:val="347C5147"/>
    <w:rsid w:val="34891525"/>
    <w:rsid w:val="348943B3"/>
    <w:rsid w:val="3491604D"/>
    <w:rsid w:val="34A2025B"/>
    <w:rsid w:val="34AF4725"/>
    <w:rsid w:val="34B30D65"/>
    <w:rsid w:val="34BD32E6"/>
    <w:rsid w:val="34BD6E42"/>
    <w:rsid w:val="34E8541B"/>
    <w:rsid w:val="34F5482E"/>
    <w:rsid w:val="350121BB"/>
    <w:rsid w:val="3502519D"/>
    <w:rsid w:val="35092088"/>
    <w:rsid w:val="351153E0"/>
    <w:rsid w:val="351F4AE5"/>
    <w:rsid w:val="3529097C"/>
    <w:rsid w:val="35573FE6"/>
    <w:rsid w:val="355874C2"/>
    <w:rsid w:val="355F5CE3"/>
    <w:rsid w:val="356B715E"/>
    <w:rsid w:val="35773495"/>
    <w:rsid w:val="35776A4B"/>
    <w:rsid w:val="357E2A76"/>
    <w:rsid w:val="35C56367"/>
    <w:rsid w:val="36101453"/>
    <w:rsid w:val="36154A5C"/>
    <w:rsid w:val="361A22B1"/>
    <w:rsid w:val="36484E32"/>
    <w:rsid w:val="366D142F"/>
    <w:rsid w:val="36797630"/>
    <w:rsid w:val="3682337C"/>
    <w:rsid w:val="36832FFC"/>
    <w:rsid w:val="3684230E"/>
    <w:rsid w:val="36947F2D"/>
    <w:rsid w:val="36A71B58"/>
    <w:rsid w:val="36AD1F82"/>
    <w:rsid w:val="36AE76C3"/>
    <w:rsid w:val="36C50230"/>
    <w:rsid w:val="36CF614F"/>
    <w:rsid w:val="36D44917"/>
    <w:rsid w:val="36E67048"/>
    <w:rsid w:val="36EC3BA6"/>
    <w:rsid w:val="36EE7FE5"/>
    <w:rsid w:val="36F37389"/>
    <w:rsid w:val="36F823B4"/>
    <w:rsid w:val="36FC5F0D"/>
    <w:rsid w:val="370522D0"/>
    <w:rsid w:val="37117919"/>
    <w:rsid w:val="37321ECA"/>
    <w:rsid w:val="37353608"/>
    <w:rsid w:val="373C4EF5"/>
    <w:rsid w:val="3757089C"/>
    <w:rsid w:val="376723B4"/>
    <w:rsid w:val="3772660A"/>
    <w:rsid w:val="37753A04"/>
    <w:rsid w:val="37975E0E"/>
    <w:rsid w:val="379C71E3"/>
    <w:rsid w:val="37B02C8E"/>
    <w:rsid w:val="37BF387F"/>
    <w:rsid w:val="37D3697D"/>
    <w:rsid w:val="38212FB5"/>
    <w:rsid w:val="384F4DE8"/>
    <w:rsid w:val="386630BA"/>
    <w:rsid w:val="38767A34"/>
    <w:rsid w:val="388A17EE"/>
    <w:rsid w:val="389B749B"/>
    <w:rsid w:val="38A5656B"/>
    <w:rsid w:val="38AC7189"/>
    <w:rsid w:val="38CA4224"/>
    <w:rsid w:val="38EC5F48"/>
    <w:rsid w:val="392840E5"/>
    <w:rsid w:val="39453E84"/>
    <w:rsid w:val="39706EC7"/>
    <w:rsid w:val="39754E92"/>
    <w:rsid w:val="397877DC"/>
    <w:rsid w:val="39A62C24"/>
    <w:rsid w:val="39B06F76"/>
    <w:rsid w:val="39BC1DBE"/>
    <w:rsid w:val="39CA140B"/>
    <w:rsid w:val="39CE36A6"/>
    <w:rsid w:val="39DF3CFF"/>
    <w:rsid w:val="39E65C0C"/>
    <w:rsid w:val="39EC3D26"/>
    <w:rsid w:val="3A2940F7"/>
    <w:rsid w:val="3A2F07E2"/>
    <w:rsid w:val="3A3B6521"/>
    <w:rsid w:val="3A476E3F"/>
    <w:rsid w:val="3A5E2E76"/>
    <w:rsid w:val="3A692962"/>
    <w:rsid w:val="3A6C69FA"/>
    <w:rsid w:val="3A6D30B9"/>
    <w:rsid w:val="3A800389"/>
    <w:rsid w:val="3AB42A96"/>
    <w:rsid w:val="3AB461F9"/>
    <w:rsid w:val="3AC058DE"/>
    <w:rsid w:val="3AC151B3"/>
    <w:rsid w:val="3ADB5AE0"/>
    <w:rsid w:val="3AE61687"/>
    <w:rsid w:val="3AFD560B"/>
    <w:rsid w:val="3B153C1B"/>
    <w:rsid w:val="3B161D2C"/>
    <w:rsid w:val="3B2C04A1"/>
    <w:rsid w:val="3B4F0A10"/>
    <w:rsid w:val="3B5F186F"/>
    <w:rsid w:val="3B72107E"/>
    <w:rsid w:val="3B844B5E"/>
    <w:rsid w:val="3B9D25DA"/>
    <w:rsid w:val="3BA57995"/>
    <w:rsid w:val="3BB70A8F"/>
    <w:rsid w:val="3C137C90"/>
    <w:rsid w:val="3C23638E"/>
    <w:rsid w:val="3C444E5F"/>
    <w:rsid w:val="3C4F1AD5"/>
    <w:rsid w:val="3C5A065F"/>
    <w:rsid w:val="3C730BA6"/>
    <w:rsid w:val="3C943EBE"/>
    <w:rsid w:val="3C9938DB"/>
    <w:rsid w:val="3CA23159"/>
    <w:rsid w:val="3CA54D8C"/>
    <w:rsid w:val="3CAA4150"/>
    <w:rsid w:val="3CBC0706"/>
    <w:rsid w:val="3CBC5519"/>
    <w:rsid w:val="3CBE5270"/>
    <w:rsid w:val="3CCD7E3F"/>
    <w:rsid w:val="3CDF336B"/>
    <w:rsid w:val="3CEB6EE5"/>
    <w:rsid w:val="3D0B54B4"/>
    <w:rsid w:val="3D157871"/>
    <w:rsid w:val="3D165B6C"/>
    <w:rsid w:val="3D1C479C"/>
    <w:rsid w:val="3D51281E"/>
    <w:rsid w:val="3D8C258A"/>
    <w:rsid w:val="3D8E0E7E"/>
    <w:rsid w:val="3DA848D0"/>
    <w:rsid w:val="3DAB5EF3"/>
    <w:rsid w:val="3DB77436"/>
    <w:rsid w:val="3DB80AEF"/>
    <w:rsid w:val="3DBD6A27"/>
    <w:rsid w:val="3DBF59D9"/>
    <w:rsid w:val="3DDD2303"/>
    <w:rsid w:val="3DED7156"/>
    <w:rsid w:val="3E012496"/>
    <w:rsid w:val="3E155B2B"/>
    <w:rsid w:val="3E573E64"/>
    <w:rsid w:val="3E5E3444"/>
    <w:rsid w:val="3E667CEF"/>
    <w:rsid w:val="3E815385"/>
    <w:rsid w:val="3EBD1734"/>
    <w:rsid w:val="3ECD1E84"/>
    <w:rsid w:val="3ED5122D"/>
    <w:rsid w:val="3EDE4585"/>
    <w:rsid w:val="3EFB6EE5"/>
    <w:rsid w:val="3EFD5C5B"/>
    <w:rsid w:val="3F0C10F2"/>
    <w:rsid w:val="3F1B346D"/>
    <w:rsid w:val="3F34383F"/>
    <w:rsid w:val="3F35299D"/>
    <w:rsid w:val="3F375A43"/>
    <w:rsid w:val="3F3E414F"/>
    <w:rsid w:val="3F9B1E8D"/>
    <w:rsid w:val="3FAA26B9"/>
    <w:rsid w:val="3FBC21D1"/>
    <w:rsid w:val="3FD01066"/>
    <w:rsid w:val="3FEC0DF0"/>
    <w:rsid w:val="400D3523"/>
    <w:rsid w:val="40154124"/>
    <w:rsid w:val="403E7765"/>
    <w:rsid w:val="403F2E01"/>
    <w:rsid w:val="405D772B"/>
    <w:rsid w:val="4067472F"/>
    <w:rsid w:val="40777C73"/>
    <w:rsid w:val="408F05F9"/>
    <w:rsid w:val="409D19C0"/>
    <w:rsid w:val="40AB35A7"/>
    <w:rsid w:val="40C41559"/>
    <w:rsid w:val="40C55758"/>
    <w:rsid w:val="40D1477E"/>
    <w:rsid w:val="40EB2F89"/>
    <w:rsid w:val="40F41E3E"/>
    <w:rsid w:val="410F4ECA"/>
    <w:rsid w:val="41173179"/>
    <w:rsid w:val="41270465"/>
    <w:rsid w:val="412C5A7C"/>
    <w:rsid w:val="41317E02"/>
    <w:rsid w:val="413E755D"/>
    <w:rsid w:val="415B010F"/>
    <w:rsid w:val="41652D3C"/>
    <w:rsid w:val="4172566A"/>
    <w:rsid w:val="417340EF"/>
    <w:rsid w:val="41757AC5"/>
    <w:rsid w:val="41790595"/>
    <w:rsid w:val="419173FA"/>
    <w:rsid w:val="41996BCA"/>
    <w:rsid w:val="41C15467"/>
    <w:rsid w:val="41C9127A"/>
    <w:rsid w:val="41CF27E3"/>
    <w:rsid w:val="41F46E9B"/>
    <w:rsid w:val="41FE2B02"/>
    <w:rsid w:val="42257E7B"/>
    <w:rsid w:val="42417305"/>
    <w:rsid w:val="42522ED7"/>
    <w:rsid w:val="426B0E65"/>
    <w:rsid w:val="42754064"/>
    <w:rsid w:val="427D6FDA"/>
    <w:rsid w:val="4280461B"/>
    <w:rsid w:val="429A4C67"/>
    <w:rsid w:val="42A47894"/>
    <w:rsid w:val="42B94406"/>
    <w:rsid w:val="42BE0A19"/>
    <w:rsid w:val="42C43A92"/>
    <w:rsid w:val="42CE6929"/>
    <w:rsid w:val="42D21EFB"/>
    <w:rsid w:val="42D77C69"/>
    <w:rsid w:val="42FB58D7"/>
    <w:rsid w:val="42FC5F75"/>
    <w:rsid w:val="430C076F"/>
    <w:rsid w:val="43100A85"/>
    <w:rsid w:val="431A7B56"/>
    <w:rsid w:val="432B22BE"/>
    <w:rsid w:val="43400476"/>
    <w:rsid w:val="435C3C0F"/>
    <w:rsid w:val="43670FED"/>
    <w:rsid w:val="436D6E4A"/>
    <w:rsid w:val="43712FD9"/>
    <w:rsid w:val="43792ACE"/>
    <w:rsid w:val="438326D4"/>
    <w:rsid w:val="43904469"/>
    <w:rsid w:val="43A648B3"/>
    <w:rsid w:val="43A7763B"/>
    <w:rsid w:val="43B3461E"/>
    <w:rsid w:val="43BD0C0D"/>
    <w:rsid w:val="43BD7B26"/>
    <w:rsid w:val="43DE0B83"/>
    <w:rsid w:val="43E30C19"/>
    <w:rsid w:val="43EC7073"/>
    <w:rsid w:val="44272BFC"/>
    <w:rsid w:val="442A5B77"/>
    <w:rsid w:val="443408D6"/>
    <w:rsid w:val="44577840"/>
    <w:rsid w:val="445D3521"/>
    <w:rsid w:val="446C2633"/>
    <w:rsid w:val="44A27E03"/>
    <w:rsid w:val="44B71B00"/>
    <w:rsid w:val="44B71CCD"/>
    <w:rsid w:val="44E87F0C"/>
    <w:rsid w:val="44F86EB3"/>
    <w:rsid w:val="4504211C"/>
    <w:rsid w:val="450D13D7"/>
    <w:rsid w:val="45240818"/>
    <w:rsid w:val="452F4E0F"/>
    <w:rsid w:val="4539571E"/>
    <w:rsid w:val="453E7B2C"/>
    <w:rsid w:val="4541586E"/>
    <w:rsid w:val="454571B5"/>
    <w:rsid w:val="454B5681"/>
    <w:rsid w:val="456057F0"/>
    <w:rsid w:val="456B6447"/>
    <w:rsid w:val="45725A27"/>
    <w:rsid w:val="45900EB2"/>
    <w:rsid w:val="45941E41"/>
    <w:rsid w:val="45B81ACE"/>
    <w:rsid w:val="45D250DD"/>
    <w:rsid w:val="45E81B1A"/>
    <w:rsid w:val="460F1CFA"/>
    <w:rsid w:val="461C4F8A"/>
    <w:rsid w:val="462417D4"/>
    <w:rsid w:val="462705C0"/>
    <w:rsid w:val="462C207A"/>
    <w:rsid w:val="462F1F9E"/>
    <w:rsid w:val="462F28A6"/>
    <w:rsid w:val="46372502"/>
    <w:rsid w:val="463902F3"/>
    <w:rsid w:val="46511AE0"/>
    <w:rsid w:val="465D0485"/>
    <w:rsid w:val="46674451"/>
    <w:rsid w:val="46691693"/>
    <w:rsid w:val="46812CEE"/>
    <w:rsid w:val="46815494"/>
    <w:rsid w:val="46900D39"/>
    <w:rsid w:val="46A8541D"/>
    <w:rsid w:val="46AC31BB"/>
    <w:rsid w:val="46AC58E1"/>
    <w:rsid w:val="46BE4A66"/>
    <w:rsid w:val="46D324F5"/>
    <w:rsid w:val="47084895"/>
    <w:rsid w:val="471E7C15"/>
    <w:rsid w:val="473C62ED"/>
    <w:rsid w:val="474156B1"/>
    <w:rsid w:val="47452391"/>
    <w:rsid w:val="474C0B72"/>
    <w:rsid w:val="474C7708"/>
    <w:rsid w:val="476230F6"/>
    <w:rsid w:val="47855EE6"/>
    <w:rsid w:val="478A02DF"/>
    <w:rsid w:val="478A7651"/>
    <w:rsid w:val="479003E6"/>
    <w:rsid w:val="47B265AF"/>
    <w:rsid w:val="47B66BBB"/>
    <w:rsid w:val="47BA1F3A"/>
    <w:rsid w:val="47BE6D02"/>
    <w:rsid w:val="47CA56A6"/>
    <w:rsid w:val="47CA5FCD"/>
    <w:rsid w:val="47F170D7"/>
    <w:rsid w:val="47F84D54"/>
    <w:rsid w:val="47FB1D04"/>
    <w:rsid w:val="48054938"/>
    <w:rsid w:val="483B47F6"/>
    <w:rsid w:val="483D056E"/>
    <w:rsid w:val="48575D8F"/>
    <w:rsid w:val="48A57EC2"/>
    <w:rsid w:val="48D1106A"/>
    <w:rsid w:val="48F81847"/>
    <w:rsid w:val="48FE44E8"/>
    <w:rsid w:val="49090450"/>
    <w:rsid w:val="49120B4D"/>
    <w:rsid w:val="491D3EFC"/>
    <w:rsid w:val="492A6C99"/>
    <w:rsid w:val="49301F00"/>
    <w:rsid w:val="49325BF9"/>
    <w:rsid w:val="494D127A"/>
    <w:rsid w:val="495404A0"/>
    <w:rsid w:val="495D254A"/>
    <w:rsid w:val="4961028C"/>
    <w:rsid w:val="49623FA0"/>
    <w:rsid w:val="496B4C67"/>
    <w:rsid w:val="49721445"/>
    <w:rsid w:val="49730F71"/>
    <w:rsid w:val="499C7517"/>
    <w:rsid w:val="49A34A69"/>
    <w:rsid w:val="49AD34D2"/>
    <w:rsid w:val="49AF724A"/>
    <w:rsid w:val="49B91E77"/>
    <w:rsid w:val="49C5081B"/>
    <w:rsid w:val="49DB5E2A"/>
    <w:rsid w:val="49ED225A"/>
    <w:rsid w:val="49ED7D72"/>
    <w:rsid w:val="4A030B7A"/>
    <w:rsid w:val="4A0A0924"/>
    <w:rsid w:val="4A282701"/>
    <w:rsid w:val="4A38595B"/>
    <w:rsid w:val="4A3B2811"/>
    <w:rsid w:val="4A484FA8"/>
    <w:rsid w:val="4A6C0C97"/>
    <w:rsid w:val="4A6F152E"/>
    <w:rsid w:val="4A722EFC"/>
    <w:rsid w:val="4A835FE1"/>
    <w:rsid w:val="4AB60164"/>
    <w:rsid w:val="4ABD7744"/>
    <w:rsid w:val="4ABF27F8"/>
    <w:rsid w:val="4AC91639"/>
    <w:rsid w:val="4ACA585D"/>
    <w:rsid w:val="4ADE3D60"/>
    <w:rsid w:val="4AF45F45"/>
    <w:rsid w:val="4AFD42D0"/>
    <w:rsid w:val="4AFE09EB"/>
    <w:rsid w:val="4B35552D"/>
    <w:rsid w:val="4B3A647F"/>
    <w:rsid w:val="4B3D6AD7"/>
    <w:rsid w:val="4B5300A9"/>
    <w:rsid w:val="4B6F7BBE"/>
    <w:rsid w:val="4B7B6E43"/>
    <w:rsid w:val="4B7B72D3"/>
    <w:rsid w:val="4B865D88"/>
    <w:rsid w:val="4B8A38F7"/>
    <w:rsid w:val="4B8D4B24"/>
    <w:rsid w:val="4BAB34B4"/>
    <w:rsid w:val="4BBD5522"/>
    <w:rsid w:val="4BC23E1F"/>
    <w:rsid w:val="4BFB5105"/>
    <w:rsid w:val="4C06606A"/>
    <w:rsid w:val="4C2F6420"/>
    <w:rsid w:val="4C39104D"/>
    <w:rsid w:val="4C4340CA"/>
    <w:rsid w:val="4C4A5008"/>
    <w:rsid w:val="4C72630D"/>
    <w:rsid w:val="4C7A7005"/>
    <w:rsid w:val="4C8F3727"/>
    <w:rsid w:val="4CA23096"/>
    <w:rsid w:val="4CEA67EB"/>
    <w:rsid w:val="4CF431C6"/>
    <w:rsid w:val="4CFD207A"/>
    <w:rsid w:val="4D0549EA"/>
    <w:rsid w:val="4D0F3346"/>
    <w:rsid w:val="4D1C5AB2"/>
    <w:rsid w:val="4D2650A5"/>
    <w:rsid w:val="4D2910C1"/>
    <w:rsid w:val="4D3D3408"/>
    <w:rsid w:val="4D40640B"/>
    <w:rsid w:val="4D4B1161"/>
    <w:rsid w:val="4D5D1D8D"/>
    <w:rsid w:val="4D894906"/>
    <w:rsid w:val="4DA90454"/>
    <w:rsid w:val="4DBB7BDF"/>
    <w:rsid w:val="4DDE32FC"/>
    <w:rsid w:val="4DF47921"/>
    <w:rsid w:val="4E093724"/>
    <w:rsid w:val="4E1D7C90"/>
    <w:rsid w:val="4E2C69CB"/>
    <w:rsid w:val="4E421357"/>
    <w:rsid w:val="4E6A0438"/>
    <w:rsid w:val="4E6B144B"/>
    <w:rsid w:val="4E87063D"/>
    <w:rsid w:val="4E8D0E69"/>
    <w:rsid w:val="4E9B5FEF"/>
    <w:rsid w:val="4EB138B2"/>
    <w:rsid w:val="4EBC2861"/>
    <w:rsid w:val="4ED02686"/>
    <w:rsid w:val="4EDD2163"/>
    <w:rsid w:val="4EDE5EDB"/>
    <w:rsid w:val="4EE236C1"/>
    <w:rsid w:val="4F064A25"/>
    <w:rsid w:val="4F427227"/>
    <w:rsid w:val="4F46299B"/>
    <w:rsid w:val="4F4643E5"/>
    <w:rsid w:val="4F5148FF"/>
    <w:rsid w:val="4F622668"/>
    <w:rsid w:val="4F675ED1"/>
    <w:rsid w:val="4F840972"/>
    <w:rsid w:val="4F8E7901"/>
    <w:rsid w:val="4FA90297"/>
    <w:rsid w:val="4FBA486C"/>
    <w:rsid w:val="4FC9131F"/>
    <w:rsid w:val="4FCE7CFE"/>
    <w:rsid w:val="4FD535CD"/>
    <w:rsid w:val="4FEE03A0"/>
    <w:rsid w:val="4FF33DB8"/>
    <w:rsid w:val="4FFA3C05"/>
    <w:rsid w:val="50224539"/>
    <w:rsid w:val="503E0E60"/>
    <w:rsid w:val="506846AB"/>
    <w:rsid w:val="506A0C4E"/>
    <w:rsid w:val="50854DD4"/>
    <w:rsid w:val="50874A7C"/>
    <w:rsid w:val="50C652F5"/>
    <w:rsid w:val="50C7131D"/>
    <w:rsid w:val="50EA0B67"/>
    <w:rsid w:val="5100482F"/>
    <w:rsid w:val="510B2768"/>
    <w:rsid w:val="51125B2C"/>
    <w:rsid w:val="51266A0B"/>
    <w:rsid w:val="514D36EF"/>
    <w:rsid w:val="515A0699"/>
    <w:rsid w:val="51640797"/>
    <w:rsid w:val="518003AC"/>
    <w:rsid w:val="519C5D51"/>
    <w:rsid w:val="51A33CE8"/>
    <w:rsid w:val="51C03691"/>
    <w:rsid w:val="51C615D4"/>
    <w:rsid w:val="51E01D9D"/>
    <w:rsid w:val="51E90E1F"/>
    <w:rsid w:val="51F06651"/>
    <w:rsid w:val="520774F7"/>
    <w:rsid w:val="521340EE"/>
    <w:rsid w:val="52143C38"/>
    <w:rsid w:val="52416EAD"/>
    <w:rsid w:val="52684B42"/>
    <w:rsid w:val="5277216A"/>
    <w:rsid w:val="52794B98"/>
    <w:rsid w:val="528C52D0"/>
    <w:rsid w:val="52911BE2"/>
    <w:rsid w:val="52940E89"/>
    <w:rsid w:val="52970655"/>
    <w:rsid w:val="529A6C2D"/>
    <w:rsid w:val="52A42F98"/>
    <w:rsid w:val="52BF2FD2"/>
    <w:rsid w:val="52D518F2"/>
    <w:rsid w:val="52DB4C0C"/>
    <w:rsid w:val="52EF06B7"/>
    <w:rsid w:val="531667E8"/>
    <w:rsid w:val="532042F0"/>
    <w:rsid w:val="532226FC"/>
    <w:rsid w:val="53332C9A"/>
    <w:rsid w:val="53487DC7"/>
    <w:rsid w:val="535B25F1"/>
    <w:rsid w:val="53626FF0"/>
    <w:rsid w:val="537E3F97"/>
    <w:rsid w:val="538E2D91"/>
    <w:rsid w:val="538E6122"/>
    <w:rsid w:val="53960911"/>
    <w:rsid w:val="53BD4028"/>
    <w:rsid w:val="53C62104"/>
    <w:rsid w:val="53C953AC"/>
    <w:rsid w:val="53DD0E57"/>
    <w:rsid w:val="53DE3845"/>
    <w:rsid w:val="53E5595E"/>
    <w:rsid w:val="5411465D"/>
    <w:rsid w:val="54293DDC"/>
    <w:rsid w:val="54606BAB"/>
    <w:rsid w:val="54613524"/>
    <w:rsid w:val="54622097"/>
    <w:rsid w:val="54972DB4"/>
    <w:rsid w:val="54B0031A"/>
    <w:rsid w:val="54C855A5"/>
    <w:rsid w:val="54F255E8"/>
    <w:rsid w:val="55145A25"/>
    <w:rsid w:val="55185AE9"/>
    <w:rsid w:val="5521421B"/>
    <w:rsid w:val="552B174F"/>
    <w:rsid w:val="553D1BAE"/>
    <w:rsid w:val="554747DA"/>
    <w:rsid w:val="55747599"/>
    <w:rsid w:val="558A6D31"/>
    <w:rsid w:val="558E6174"/>
    <w:rsid w:val="558F1CDD"/>
    <w:rsid w:val="559473F7"/>
    <w:rsid w:val="559B2D78"/>
    <w:rsid w:val="55AB2954"/>
    <w:rsid w:val="55B77B50"/>
    <w:rsid w:val="55E21233"/>
    <w:rsid w:val="55E83C40"/>
    <w:rsid w:val="560508F2"/>
    <w:rsid w:val="561A119E"/>
    <w:rsid w:val="562700ED"/>
    <w:rsid w:val="56350AD7"/>
    <w:rsid w:val="563C1E65"/>
    <w:rsid w:val="56497F8F"/>
    <w:rsid w:val="564C7BCE"/>
    <w:rsid w:val="566916A7"/>
    <w:rsid w:val="566E2B23"/>
    <w:rsid w:val="56822DB0"/>
    <w:rsid w:val="56B85264"/>
    <w:rsid w:val="56B91708"/>
    <w:rsid w:val="56BA1915"/>
    <w:rsid w:val="56E718CB"/>
    <w:rsid w:val="56FB3ACE"/>
    <w:rsid w:val="56FB636C"/>
    <w:rsid w:val="570D1A54"/>
    <w:rsid w:val="571903F8"/>
    <w:rsid w:val="571F4620"/>
    <w:rsid w:val="57324227"/>
    <w:rsid w:val="575542A3"/>
    <w:rsid w:val="57746489"/>
    <w:rsid w:val="57865EAF"/>
    <w:rsid w:val="57AB0B61"/>
    <w:rsid w:val="57B22824"/>
    <w:rsid w:val="57B70ED6"/>
    <w:rsid w:val="57BB5F54"/>
    <w:rsid w:val="57C1754D"/>
    <w:rsid w:val="57CD4E9A"/>
    <w:rsid w:val="57D66BD7"/>
    <w:rsid w:val="57E52AC4"/>
    <w:rsid w:val="57ED4E4E"/>
    <w:rsid w:val="581100F7"/>
    <w:rsid w:val="581110D0"/>
    <w:rsid w:val="58425BDC"/>
    <w:rsid w:val="585844FD"/>
    <w:rsid w:val="58607961"/>
    <w:rsid w:val="586236D9"/>
    <w:rsid w:val="58637462"/>
    <w:rsid w:val="586B6A32"/>
    <w:rsid w:val="58737694"/>
    <w:rsid w:val="587D6136"/>
    <w:rsid w:val="589828F8"/>
    <w:rsid w:val="589B23B9"/>
    <w:rsid w:val="58AB6E2E"/>
    <w:rsid w:val="58AE4F0C"/>
    <w:rsid w:val="58BF0B2C"/>
    <w:rsid w:val="58C63C68"/>
    <w:rsid w:val="58DF26D3"/>
    <w:rsid w:val="58F133F6"/>
    <w:rsid w:val="590803FF"/>
    <w:rsid w:val="591043AD"/>
    <w:rsid w:val="592738D0"/>
    <w:rsid w:val="592D018B"/>
    <w:rsid w:val="592D3F5B"/>
    <w:rsid w:val="59376217"/>
    <w:rsid w:val="59413634"/>
    <w:rsid w:val="59540ED2"/>
    <w:rsid w:val="595C6329"/>
    <w:rsid w:val="596646BA"/>
    <w:rsid w:val="596D67DA"/>
    <w:rsid w:val="598900F2"/>
    <w:rsid w:val="598A2FB9"/>
    <w:rsid w:val="59A3044D"/>
    <w:rsid w:val="59AC3666"/>
    <w:rsid w:val="59BB6ACB"/>
    <w:rsid w:val="59BD5424"/>
    <w:rsid w:val="59CE4859"/>
    <w:rsid w:val="59E00D5A"/>
    <w:rsid w:val="59E441CB"/>
    <w:rsid w:val="59E4498D"/>
    <w:rsid w:val="59F477A1"/>
    <w:rsid w:val="59F667CF"/>
    <w:rsid w:val="5A012DE0"/>
    <w:rsid w:val="5A471F20"/>
    <w:rsid w:val="5A6951F3"/>
    <w:rsid w:val="5A6E615F"/>
    <w:rsid w:val="5A7F0572"/>
    <w:rsid w:val="5A92474A"/>
    <w:rsid w:val="5A95297A"/>
    <w:rsid w:val="5AB37E18"/>
    <w:rsid w:val="5AB47961"/>
    <w:rsid w:val="5AB53F94"/>
    <w:rsid w:val="5AB6401B"/>
    <w:rsid w:val="5AC31391"/>
    <w:rsid w:val="5AC91A52"/>
    <w:rsid w:val="5ACB7C5C"/>
    <w:rsid w:val="5B321A89"/>
    <w:rsid w:val="5B647768"/>
    <w:rsid w:val="5B672793"/>
    <w:rsid w:val="5B775D29"/>
    <w:rsid w:val="5B834CDD"/>
    <w:rsid w:val="5B9104C7"/>
    <w:rsid w:val="5B9C58DF"/>
    <w:rsid w:val="5BB10BFF"/>
    <w:rsid w:val="5BCE595A"/>
    <w:rsid w:val="5BFC0EC3"/>
    <w:rsid w:val="5C0B7FA6"/>
    <w:rsid w:val="5C0C4088"/>
    <w:rsid w:val="5C1C1EF4"/>
    <w:rsid w:val="5C473BC6"/>
    <w:rsid w:val="5C58107B"/>
    <w:rsid w:val="5C5F7C1B"/>
    <w:rsid w:val="5C753FBD"/>
    <w:rsid w:val="5C7779C1"/>
    <w:rsid w:val="5C843676"/>
    <w:rsid w:val="5C8B3F62"/>
    <w:rsid w:val="5CAC636E"/>
    <w:rsid w:val="5CB32755"/>
    <w:rsid w:val="5CD526CC"/>
    <w:rsid w:val="5CDB122E"/>
    <w:rsid w:val="5CE84AF5"/>
    <w:rsid w:val="5CF2303A"/>
    <w:rsid w:val="5CFF599B"/>
    <w:rsid w:val="5D1442B5"/>
    <w:rsid w:val="5D1551BE"/>
    <w:rsid w:val="5D186A5C"/>
    <w:rsid w:val="5D1B334C"/>
    <w:rsid w:val="5D3E72E5"/>
    <w:rsid w:val="5D5C2DED"/>
    <w:rsid w:val="5D682AB8"/>
    <w:rsid w:val="5D771E4D"/>
    <w:rsid w:val="5D8F5D8E"/>
    <w:rsid w:val="5D9A2DAA"/>
    <w:rsid w:val="5D9C768D"/>
    <w:rsid w:val="5D9E6F62"/>
    <w:rsid w:val="5DA36C6E"/>
    <w:rsid w:val="5DB744C7"/>
    <w:rsid w:val="5DC02F4A"/>
    <w:rsid w:val="5DC529E5"/>
    <w:rsid w:val="5DC664B8"/>
    <w:rsid w:val="5DD661F4"/>
    <w:rsid w:val="5DD67130"/>
    <w:rsid w:val="5DDD2180"/>
    <w:rsid w:val="5DF70D68"/>
    <w:rsid w:val="5E221BD5"/>
    <w:rsid w:val="5E2D6537"/>
    <w:rsid w:val="5E306A3A"/>
    <w:rsid w:val="5E452D58"/>
    <w:rsid w:val="5E5864AA"/>
    <w:rsid w:val="5E59732C"/>
    <w:rsid w:val="5E715C84"/>
    <w:rsid w:val="5E826883"/>
    <w:rsid w:val="5E850121"/>
    <w:rsid w:val="5EB522EE"/>
    <w:rsid w:val="5EC739C5"/>
    <w:rsid w:val="5ED10EA6"/>
    <w:rsid w:val="5ED209CD"/>
    <w:rsid w:val="5ED54C05"/>
    <w:rsid w:val="5EDC71B1"/>
    <w:rsid w:val="5EE07C1E"/>
    <w:rsid w:val="5EEB267A"/>
    <w:rsid w:val="5EED3BE6"/>
    <w:rsid w:val="5EF01A3F"/>
    <w:rsid w:val="5EFE6EBE"/>
    <w:rsid w:val="5F155949"/>
    <w:rsid w:val="5F325697"/>
    <w:rsid w:val="5F492A07"/>
    <w:rsid w:val="5F57386C"/>
    <w:rsid w:val="5F6146EB"/>
    <w:rsid w:val="5F69359F"/>
    <w:rsid w:val="5F6D531F"/>
    <w:rsid w:val="5F884F97"/>
    <w:rsid w:val="5F942D12"/>
    <w:rsid w:val="5FA679F2"/>
    <w:rsid w:val="5FAD16DE"/>
    <w:rsid w:val="5FB94456"/>
    <w:rsid w:val="5FCF78A6"/>
    <w:rsid w:val="5FEF0D71"/>
    <w:rsid w:val="6005776C"/>
    <w:rsid w:val="60085BAD"/>
    <w:rsid w:val="600A2251"/>
    <w:rsid w:val="60145C01"/>
    <w:rsid w:val="6028345A"/>
    <w:rsid w:val="60515592"/>
    <w:rsid w:val="60563808"/>
    <w:rsid w:val="60597B77"/>
    <w:rsid w:val="605D3104"/>
    <w:rsid w:val="6082700E"/>
    <w:rsid w:val="608D2EF1"/>
    <w:rsid w:val="60AB0B42"/>
    <w:rsid w:val="60D72960"/>
    <w:rsid w:val="60D952D5"/>
    <w:rsid w:val="60DF346F"/>
    <w:rsid w:val="60FD0768"/>
    <w:rsid w:val="610F0097"/>
    <w:rsid w:val="61146955"/>
    <w:rsid w:val="6115578D"/>
    <w:rsid w:val="612400C6"/>
    <w:rsid w:val="612B3F75"/>
    <w:rsid w:val="612C6EDE"/>
    <w:rsid w:val="613910EC"/>
    <w:rsid w:val="613B4FD5"/>
    <w:rsid w:val="6142679E"/>
    <w:rsid w:val="6146048F"/>
    <w:rsid w:val="61467F99"/>
    <w:rsid w:val="61494F32"/>
    <w:rsid w:val="61583478"/>
    <w:rsid w:val="6170230E"/>
    <w:rsid w:val="61774699"/>
    <w:rsid w:val="617D45E1"/>
    <w:rsid w:val="618446C0"/>
    <w:rsid w:val="6189356F"/>
    <w:rsid w:val="6197562B"/>
    <w:rsid w:val="61AB2C9A"/>
    <w:rsid w:val="61B054B5"/>
    <w:rsid w:val="61B26D7B"/>
    <w:rsid w:val="61B418DA"/>
    <w:rsid w:val="61ED2EB6"/>
    <w:rsid w:val="62015D11"/>
    <w:rsid w:val="62065A1D"/>
    <w:rsid w:val="620C1039"/>
    <w:rsid w:val="620D6DAC"/>
    <w:rsid w:val="621644C8"/>
    <w:rsid w:val="62274AEC"/>
    <w:rsid w:val="622B25A0"/>
    <w:rsid w:val="6234649E"/>
    <w:rsid w:val="626671FB"/>
    <w:rsid w:val="62782477"/>
    <w:rsid w:val="629B036B"/>
    <w:rsid w:val="629D6B81"/>
    <w:rsid w:val="62AB3DE8"/>
    <w:rsid w:val="62AE40EB"/>
    <w:rsid w:val="62B6765B"/>
    <w:rsid w:val="62BF00A6"/>
    <w:rsid w:val="62C31218"/>
    <w:rsid w:val="62C352DB"/>
    <w:rsid w:val="62D27BAF"/>
    <w:rsid w:val="62D810DC"/>
    <w:rsid w:val="62E17EBC"/>
    <w:rsid w:val="62E20816"/>
    <w:rsid w:val="62F439EF"/>
    <w:rsid w:val="62FB09B2"/>
    <w:rsid w:val="630737FB"/>
    <w:rsid w:val="63147CC6"/>
    <w:rsid w:val="63222F8D"/>
    <w:rsid w:val="633345F0"/>
    <w:rsid w:val="634560D1"/>
    <w:rsid w:val="63521E02"/>
    <w:rsid w:val="637F305B"/>
    <w:rsid w:val="63844E4C"/>
    <w:rsid w:val="63A94039"/>
    <w:rsid w:val="63AA62D2"/>
    <w:rsid w:val="63B03E93"/>
    <w:rsid w:val="63BE035D"/>
    <w:rsid w:val="63BF40D6"/>
    <w:rsid w:val="63CB6D0D"/>
    <w:rsid w:val="63D538F9"/>
    <w:rsid w:val="63F53FE0"/>
    <w:rsid w:val="63FB1D4C"/>
    <w:rsid w:val="63FF34BA"/>
    <w:rsid w:val="64124205"/>
    <w:rsid w:val="64175433"/>
    <w:rsid w:val="643248A8"/>
    <w:rsid w:val="644B741C"/>
    <w:rsid w:val="64542A70"/>
    <w:rsid w:val="64682077"/>
    <w:rsid w:val="648C407F"/>
    <w:rsid w:val="6491713D"/>
    <w:rsid w:val="64926A0F"/>
    <w:rsid w:val="64B24A2D"/>
    <w:rsid w:val="64BB44F2"/>
    <w:rsid w:val="64DD4813"/>
    <w:rsid w:val="64E714D4"/>
    <w:rsid w:val="64FB0BCF"/>
    <w:rsid w:val="64FB2EEB"/>
    <w:rsid w:val="65202952"/>
    <w:rsid w:val="652341F0"/>
    <w:rsid w:val="652F3AEB"/>
    <w:rsid w:val="653C0F22"/>
    <w:rsid w:val="656071F2"/>
    <w:rsid w:val="657213FC"/>
    <w:rsid w:val="6582241F"/>
    <w:rsid w:val="65842EE1"/>
    <w:rsid w:val="658E1FB1"/>
    <w:rsid w:val="6593000B"/>
    <w:rsid w:val="65932E68"/>
    <w:rsid w:val="659672F3"/>
    <w:rsid w:val="659F41BF"/>
    <w:rsid w:val="65D06126"/>
    <w:rsid w:val="663E3834"/>
    <w:rsid w:val="666C7289"/>
    <w:rsid w:val="667C005C"/>
    <w:rsid w:val="668313EA"/>
    <w:rsid w:val="668C53CC"/>
    <w:rsid w:val="668E77A2"/>
    <w:rsid w:val="668F1B3D"/>
    <w:rsid w:val="6694184A"/>
    <w:rsid w:val="66C258A6"/>
    <w:rsid w:val="66C742ED"/>
    <w:rsid w:val="66C924BF"/>
    <w:rsid w:val="66E32558"/>
    <w:rsid w:val="66EB2242"/>
    <w:rsid w:val="66F03ECC"/>
    <w:rsid w:val="66F9109C"/>
    <w:rsid w:val="671148B6"/>
    <w:rsid w:val="672229B1"/>
    <w:rsid w:val="67433417"/>
    <w:rsid w:val="675325B5"/>
    <w:rsid w:val="67766E93"/>
    <w:rsid w:val="677D570E"/>
    <w:rsid w:val="67852F40"/>
    <w:rsid w:val="678F3DBF"/>
    <w:rsid w:val="67966BAB"/>
    <w:rsid w:val="67982C74"/>
    <w:rsid w:val="67AE2497"/>
    <w:rsid w:val="67BF5192"/>
    <w:rsid w:val="67EE0E11"/>
    <w:rsid w:val="67FF2460"/>
    <w:rsid w:val="683358A3"/>
    <w:rsid w:val="68352BB8"/>
    <w:rsid w:val="683C5EF0"/>
    <w:rsid w:val="68424A89"/>
    <w:rsid w:val="684A6664"/>
    <w:rsid w:val="688430E9"/>
    <w:rsid w:val="68D979E8"/>
    <w:rsid w:val="68E1201D"/>
    <w:rsid w:val="68EB3277"/>
    <w:rsid w:val="68F465CF"/>
    <w:rsid w:val="68F91E38"/>
    <w:rsid w:val="69125E40"/>
    <w:rsid w:val="69126A56"/>
    <w:rsid w:val="69140A20"/>
    <w:rsid w:val="691A6179"/>
    <w:rsid w:val="69220889"/>
    <w:rsid w:val="692D249D"/>
    <w:rsid w:val="69342E70"/>
    <w:rsid w:val="69684D49"/>
    <w:rsid w:val="6993095C"/>
    <w:rsid w:val="699F478D"/>
    <w:rsid w:val="69B875FD"/>
    <w:rsid w:val="69BE2739"/>
    <w:rsid w:val="69D07728"/>
    <w:rsid w:val="69D16911"/>
    <w:rsid w:val="69DD25FE"/>
    <w:rsid w:val="69E6327D"/>
    <w:rsid w:val="69F55085"/>
    <w:rsid w:val="6A1D1DA5"/>
    <w:rsid w:val="6A292A7E"/>
    <w:rsid w:val="6A2C1D99"/>
    <w:rsid w:val="6A3C13E7"/>
    <w:rsid w:val="6A3D3FA6"/>
    <w:rsid w:val="6A420778"/>
    <w:rsid w:val="6A47646D"/>
    <w:rsid w:val="6A5269FC"/>
    <w:rsid w:val="6A570BC4"/>
    <w:rsid w:val="6A5E63F6"/>
    <w:rsid w:val="6A7C4ACE"/>
    <w:rsid w:val="6A7E0B45"/>
    <w:rsid w:val="6A8205DB"/>
    <w:rsid w:val="6A8628A7"/>
    <w:rsid w:val="6A8E035E"/>
    <w:rsid w:val="6A907919"/>
    <w:rsid w:val="6A9C7BD0"/>
    <w:rsid w:val="6A9F5461"/>
    <w:rsid w:val="6AB9187F"/>
    <w:rsid w:val="6ABF73B0"/>
    <w:rsid w:val="6ADF7055"/>
    <w:rsid w:val="6ADF78E5"/>
    <w:rsid w:val="6AEA5C76"/>
    <w:rsid w:val="6AFE019A"/>
    <w:rsid w:val="6B013226"/>
    <w:rsid w:val="6B016D82"/>
    <w:rsid w:val="6B08757A"/>
    <w:rsid w:val="6B122D3D"/>
    <w:rsid w:val="6B1E7934"/>
    <w:rsid w:val="6B214918"/>
    <w:rsid w:val="6B304B7D"/>
    <w:rsid w:val="6B4D1FC7"/>
    <w:rsid w:val="6B51309C"/>
    <w:rsid w:val="6B5664C0"/>
    <w:rsid w:val="6B576F98"/>
    <w:rsid w:val="6B594E10"/>
    <w:rsid w:val="6B632C4F"/>
    <w:rsid w:val="6B72788C"/>
    <w:rsid w:val="6B7632DB"/>
    <w:rsid w:val="6B7E5C45"/>
    <w:rsid w:val="6BAB58C4"/>
    <w:rsid w:val="6BBA580B"/>
    <w:rsid w:val="6BC35959"/>
    <w:rsid w:val="6BD149A6"/>
    <w:rsid w:val="6BD865EE"/>
    <w:rsid w:val="6BE566A3"/>
    <w:rsid w:val="6BEC5C84"/>
    <w:rsid w:val="6C177AE5"/>
    <w:rsid w:val="6C2032A3"/>
    <w:rsid w:val="6C313697"/>
    <w:rsid w:val="6C44064E"/>
    <w:rsid w:val="6C500A40"/>
    <w:rsid w:val="6C6F5952"/>
    <w:rsid w:val="6C8163CC"/>
    <w:rsid w:val="6C825460"/>
    <w:rsid w:val="6C847C6A"/>
    <w:rsid w:val="6C8B724B"/>
    <w:rsid w:val="6C9218CF"/>
    <w:rsid w:val="6CB5251A"/>
    <w:rsid w:val="6CBE317C"/>
    <w:rsid w:val="6CD26A57"/>
    <w:rsid w:val="6D027BF5"/>
    <w:rsid w:val="6D21195D"/>
    <w:rsid w:val="6D2531FB"/>
    <w:rsid w:val="6D5E670D"/>
    <w:rsid w:val="6D806BB4"/>
    <w:rsid w:val="6D8F0170"/>
    <w:rsid w:val="6DB1358D"/>
    <w:rsid w:val="6DB94532"/>
    <w:rsid w:val="6DBB1A92"/>
    <w:rsid w:val="6DBF4D63"/>
    <w:rsid w:val="6DCC7B1B"/>
    <w:rsid w:val="6DD411F6"/>
    <w:rsid w:val="6DE9006C"/>
    <w:rsid w:val="6DEF7ECF"/>
    <w:rsid w:val="6DF87AF7"/>
    <w:rsid w:val="6DFC283C"/>
    <w:rsid w:val="6E2D7665"/>
    <w:rsid w:val="6E3851B0"/>
    <w:rsid w:val="6E517128"/>
    <w:rsid w:val="6E600263"/>
    <w:rsid w:val="6E655DB3"/>
    <w:rsid w:val="6E867CCA"/>
    <w:rsid w:val="6EA2262A"/>
    <w:rsid w:val="6EA345F6"/>
    <w:rsid w:val="6EA946A3"/>
    <w:rsid w:val="6ED01E57"/>
    <w:rsid w:val="6ED722D3"/>
    <w:rsid w:val="6F170F7C"/>
    <w:rsid w:val="6F32398A"/>
    <w:rsid w:val="6F381606"/>
    <w:rsid w:val="6F3D238D"/>
    <w:rsid w:val="6F3F2B8B"/>
    <w:rsid w:val="6F4B2D80"/>
    <w:rsid w:val="6F787BC2"/>
    <w:rsid w:val="6F842F0F"/>
    <w:rsid w:val="6F894313"/>
    <w:rsid w:val="6F8E4016"/>
    <w:rsid w:val="6FA04649"/>
    <w:rsid w:val="6FAB29C1"/>
    <w:rsid w:val="6FAC3760"/>
    <w:rsid w:val="6FD84F6E"/>
    <w:rsid w:val="70015F5E"/>
    <w:rsid w:val="700215D2"/>
    <w:rsid w:val="70057314"/>
    <w:rsid w:val="700903F5"/>
    <w:rsid w:val="701A6E6B"/>
    <w:rsid w:val="701B2694"/>
    <w:rsid w:val="703A6FBE"/>
    <w:rsid w:val="705A7660"/>
    <w:rsid w:val="70894A62"/>
    <w:rsid w:val="70950A39"/>
    <w:rsid w:val="70A46B93"/>
    <w:rsid w:val="70B825D8"/>
    <w:rsid w:val="70BA1C79"/>
    <w:rsid w:val="70C745CA"/>
    <w:rsid w:val="70DF73A3"/>
    <w:rsid w:val="70ED2282"/>
    <w:rsid w:val="70EE7DA8"/>
    <w:rsid w:val="70F01D72"/>
    <w:rsid w:val="70F133F4"/>
    <w:rsid w:val="70F60A7E"/>
    <w:rsid w:val="70F759CD"/>
    <w:rsid w:val="70FA71EB"/>
    <w:rsid w:val="71040FAA"/>
    <w:rsid w:val="71092E34"/>
    <w:rsid w:val="71216584"/>
    <w:rsid w:val="71245578"/>
    <w:rsid w:val="7141684A"/>
    <w:rsid w:val="714F1C15"/>
    <w:rsid w:val="71555A66"/>
    <w:rsid w:val="71593474"/>
    <w:rsid w:val="716360A0"/>
    <w:rsid w:val="71915DBC"/>
    <w:rsid w:val="71A57FAE"/>
    <w:rsid w:val="71B25C57"/>
    <w:rsid w:val="71BD6397"/>
    <w:rsid w:val="71C42383"/>
    <w:rsid w:val="71DB032D"/>
    <w:rsid w:val="71E2790D"/>
    <w:rsid w:val="71ED32C2"/>
    <w:rsid w:val="720278A5"/>
    <w:rsid w:val="72127AC6"/>
    <w:rsid w:val="72151E4E"/>
    <w:rsid w:val="72217117"/>
    <w:rsid w:val="72290EB1"/>
    <w:rsid w:val="72323CC5"/>
    <w:rsid w:val="724A54B2"/>
    <w:rsid w:val="724F0D1A"/>
    <w:rsid w:val="726141B3"/>
    <w:rsid w:val="728958BA"/>
    <w:rsid w:val="729A2439"/>
    <w:rsid w:val="729C036D"/>
    <w:rsid w:val="72B03302"/>
    <w:rsid w:val="72B559CB"/>
    <w:rsid w:val="72C15ACA"/>
    <w:rsid w:val="72CA214F"/>
    <w:rsid w:val="72D60AF4"/>
    <w:rsid w:val="72E87A3B"/>
    <w:rsid w:val="72EA1BDD"/>
    <w:rsid w:val="731F249B"/>
    <w:rsid w:val="73373C88"/>
    <w:rsid w:val="733F2B3D"/>
    <w:rsid w:val="73407A78"/>
    <w:rsid w:val="73410663"/>
    <w:rsid w:val="73503331"/>
    <w:rsid w:val="735F0AE9"/>
    <w:rsid w:val="736D0EC9"/>
    <w:rsid w:val="73736B6A"/>
    <w:rsid w:val="737605AD"/>
    <w:rsid w:val="738739C2"/>
    <w:rsid w:val="73886292"/>
    <w:rsid w:val="73B02BDC"/>
    <w:rsid w:val="73B70925"/>
    <w:rsid w:val="73B9644B"/>
    <w:rsid w:val="73BE3A62"/>
    <w:rsid w:val="73C05A2C"/>
    <w:rsid w:val="73DC4D25"/>
    <w:rsid w:val="73DE5EB2"/>
    <w:rsid w:val="73E11809"/>
    <w:rsid w:val="73F41B79"/>
    <w:rsid w:val="740F250F"/>
    <w:rsid w:val="742873A2"/>
    <w:rsid w:val="74373814"/>
    <w:rsid w:val="74484054"/>
    <w:rsid w:val="74532889"/>
    <w:rsid w:val="745D327B"/>
    <w:rsid w:val="7468238A"/>
    <w:rsid w:val="748828A2"/>
    <w:rsid w:val="748A0340"/>
    <w:rsid w:val="74AD46C0"/>
    <w:rsid w:val="74C31A8D"/>
    <w:rsid w:val="74CC21AE"/>
    <w:rsid w:val="74D86105"/>
    <w:rsid w:val="74DF4B7F"/>
    <w:rsid w:val="74E00AC3"/>
    <w:rsid w:val="74E76FE8"/>
    <w:rsid w:val="74F41F6D"/>
    <w:rsid w:val="74F66346"/>
    <w:rsid w:val="74F66908"/>
    <w:rsid w:val="75063912"/>
    <w:rsid w:val="75260CDF"/>
    <w:rsid w:val="75324707"/>
    <w:rsid w:val="755A5A0C"/>
    <w:rsid w:val="75680129"/>
    <w:rsid w:val="7571641E"/>
    <w:rsid w:val="75932CCC"/>
    <w:rsid w:val="75992E04"/>
    <w:rsid w:val="75997D91"/>
    <w:rsid w:val="75CF09D8"/>
    <w:rsid w:val="75D27C98"/>
    <w:rsid w:val="75ED062E"/>
    <w:rsid w:val="75EE5078"/>
    <w:rsid w:val="75F633AA"/>
    <w:rsid w:val="76004806"/>
    <w:rsid w:val="76054E3F"/>
    <w:rsid w:val="762D1373"/>
    <w:rsid w:val="765B2A0F"/>
    <w:rsid w:val="765E2A5C"/>
    <w:rsid w:val="76632346"/>
    <w:rsid w:val="76776A45"/>
    <w:rsid w:val="76852F5D"/>
    <w:rsid w:val="7692064E"/>
    <w:rsid w:val="76962A74"/>
    <w:rsid w:val="769659B8"/>
    <w:rsid w:val="769D2054"/>
    <w:rsid w:val="76A63631"/>
    <w:rsid w:val="76DF0815"/>
    <w:rsid w:val="76E60FC7"/>
    <w:rsid w:val="771F408C"/>
    <w:rsid w:val="77336515"/>
    <w:rsid w:val="7746169E"/>
    <w:rsid w:val="7750356B"/>
    <w:rsid w:val="77601FCA"/>
    <w:rsid w:val="776B4DA6"/>
    <w:rsid w:val="777032C5"/>
    <w:rsid w:val="777459B8"/>
    <w:rsid w:val="777728A5"/>
    <w:rsid w:val="777E28EC"/>
    <w:rsid w:val="7781259C"/>
    <w:rsid w:val="779416A9"/>
    <w:rsid w:val="77B07FB0"/>
    <w:rsid w:val="77D942B0"/>
    <w:rsid w:val="77F45D13"/>
    <w:rsid w:val="77F708D3"/>
    <w:rsid w:val="77FF1415"/>
    <w:rsid w:val="78054D74"/>
    <w:rsid w:val="780D49A0"/>
    <w:rsid w:val="78197298"/>
    <w:rsid w:val="782A5B6A"/>
    <w:rsid w:val="782D1944"/>
    <w:rsid w:val="78347769"/>
    <w:rsid w:val="784A1D68"/>
    <w:rsid w:val="78570929"/>
    <w:rsid w:val="785A693D"/>
    <w:rsid w:val="78872356"/>
    <w:rsid w:val="788A2AAC"/>
    <w:rsid w:val="789C1DEF"/>
    <w:rsid w:val="78A96831"/>
    <w:rsid w:val="78B9332A"/>
    <w:rsid w:val="78BD7DA6"/>
    <w:rsid w:val="78C728B3"/>
    <w:rsid w:val="78E35D19"/>
    <w:rsid w:val="78FA6777"/>
    <w:rsid w:val="79037565"/>
    <w:rsid w:val="7952089D"/>
    <w:rsid w:val="7984419F"/>
    <w:rsid w:val="798474FC"/>
    <w:rsid w:val="798A3C76"/>
    <w:rsid w:val="799D7818"/>
    <w:rsid w:val="79AC1C2C"/>
    <w:rsid w:val="79D33FDF"/>
    <w:rsid w:val="79E93803"/>
    <w:rsid w:val="79F72FA5"/>
    <w:rsid w:val="7A0D09CC"/>
    <w:rsid w:val="7A1E525A"/>
    <w:rsid w:val="7A2A5352"/>
    <w:rsid w:val="7A397C1E"/>
    <w:rsid w:val="7A4E0EA4"/>
    <w:rsid w:val="7A5505A5"/>
    <w:rsid w:val="7A6E0611"/>
    <w:rsid w:val="7A994CB0"/>
    <w:rsid w:val="7A9A6032"/>
    <w:rsid w:val="7A9B3AB3"/>
    <w:rsid w:val="7AB14320"/>
    <w:rsid w:val="7AB91551"/>
    <w:rsid w:val="7ABE4C8F"/>
    <w:rsid w:val="7ADA6237"/>
    <w:rsid w:val="7AE846B8"/>
    <w:rsid w:val="7AEF50E9"/>
    <w:rsid w:val="7AF91823"/>
    <w:rsid w:val="7AFB4DD2"/>
    <w:rsid w:val="7B3B0A60"/>
    <w:rsid w:val="7B4425F5"/>
    <w:rsid w:val="7B533629"/>
    <w:rsid w:val="7B5876F0"/>
    <w:rsid w:val="7B66414C"/>
    <w:rsid w:val="7B8A301C"/>
    <w:rsid w:val="7B8B2DC3"/>
    <w:rsid w:val="7B96595C"/>
    <w:rsid w:val="7B9C68D7"/>
    <w:rsid w:val="7BA961EF"/>
    <w:rsid w:val="7BAF4282"/>
    <w:rsid w:val="7BB132E8"/>
    <w:rsid w:val="7BBF0CBF"/>
    <w:rsid w:val="7BCA404B"/>
    <w:rsid w:val="7BE95E75"/>
    <w:rsid w:val="7C0C1239"/>
    <w:rsid w:val="7C141575"/>
    <w:rsid w:val="7C1820F4"/>
    <w:rsid w:val="7C274045"/>
    <w:rsid w:val="7C2C5863"/>
    <w:rsid w:val="7C311138"/>
    <w:rsid w:val="7C3E7E36"/>
    <w:rsid w:val="7C3F770A"/>
    <w:rsid w:val="7C4C347A"/>
    <w:rsid w:val="7C9D51B9"/>
    <w:rsid w:val="7CAD001B"/>
    <w:rsid w:val="7CC13B48"/>
    <w:rsid w:val="7D085908"/>
    <w:rsid w:val="7D211600"/>
    <w:rsid w:val="7D2D6364"/>
    <w:rsid w:val="7D2E3382"/>
    <w:rsid w:val="7D2E4BB5"/>
    <w:rsid w:val="7D306C0B"/>
    <w:rsid w:val="7D380D29"/>
    <w:rsid w:val="7D42533E"/>
    <w:rsid w:val="7D470F6C"/>
    <w:rsid w:val="7D4D5E56"/>
    <w:rsid w:val="7D580A83"/>
    <w:rsid w:val="7D6C7EFD"/>
    <w:rsid w:val="7D7157DB"/>
    <w:rsid w:val="7D796E4B"/>
    <w:rsid w:val="7D7C3B6C"/>
    <w:rsid w:val="7D817139"/>
    <w:rsid w:val="7D883202"/>
    <w:rsid w:val="7D88770C"/>
    <w:rsid w:val="7D9E518D"/>
    <w:rsid w:val="7DA24598"/>
    <w:rsid w:val="7DAB0C26"/>
    <w:rsid w:val="7DAF266D"/>
    <w:rsid w:val="7DCB03AB"/>
    <w:rsid w:val="7E1C41A7"/>
    <w:rsid w:val="7E2968C4"/>
    <w:rsid w:val="7E372D8F"/>
    <w:rsid w:val="7E3C44D5"/>
    <w:rsid w:val="7E4932C0"/>
    <w:rsid w:val="7E534B48"/>
    <w:rsid w:val="7E552DFD"/>
    <w:rsid w:val="7E8F7C56"/>
    <w:rsid w:val="7E9B30BA"/>
    <w:rsid w:val="7EAD04E3"/>
    <w:rsid w:val="7EB43882"/>
    <w:rsid w:val="7EBF6B9B"/>
    <w:rsid w:val="7ECD2214"/>
    <w:rsid w:val="7ED83E28"/>
    <w:rsid w:val="7ED93E46"/>
    <w:rsid w:val="7EEC634C"/>
    <w:rsid w:val="7F0D0A7F"/>
    <w:rsid w:val="7F214EAB"/>
    <w:rsid w:val="7F390D88"/>
    <w:rsid w:val="7F420866"/>
    <w:rsid w:val="7F4622E2"/>
    <w:rsid w:val="7F5B5D7F"/>
    <w:rsid w:val="7F5C05D3"/>
    <w:rsid w:val="7F7E679B"/>
    <w:rsid w:val="7F953436"/>
    <w:rsid w:val="7FA86ACB"/>
    <w:rsid w:val="7FA8704C"/>
    <w:rsid w:val="7FC6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5"/>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7"/>
    <w:qFormat/>
    <w:uiPriority w:val="0"/>
    <w:pPr>
      <w:keepNext/>
      <w:keepLines/>
      <w:spacing w:before="120" w:beforeLines="0" w:after="120" w:afterLines="0" w:line="480" w:lineRule="auto"/>
      <w:jc w:val="left"/>
      <w:outlineLvl w:val="2"/>
    </w:pPr>
    <w:rPr>
      <w:rFonts w:eastAsia="新宋体"/>
      <w:bCs/>
      <w:kern w:val="0"/>
      <w:sz w:val="30"/>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character" w:default="1" w:styleId="47">
    <w:name w:val="Default Paragraph Font"/>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link w:val="54"/>
    <w:qFormat/>
    <w:uiPriority w:val="0"/>
    <w:pPr>
      <w:ind w:firstLine="420" w:firstLineChars="200"/>
    </w:pPr>
    <w:rPr>
      <w:snapToGrid w:val="0"/>
      <w:kern w:val="0"/>
      <w:sz w:val="28"/>
      <w:szCs w:val="20"/>
    </w:rPr>
  </w:style>
  <w:style w:type="paragraph" w:styleId="9">
    <w:name w:val="toc 7"/>
    <w:basedOn w:val="1"/>
    <w:next w:val="1"/>
    <w:qFormat/>
    <w:uiPriority w:val="0"/>
    <w:pPr>
      <w:ind w:left="2520" w:leftChars="1200"/>
    </w:pPr>
  </w:style>
  <w:style w:type="paragraph" w:styleId="10">
    <w:name w:val="caption"/>
    <w:basedOn w:val="1"/>
    <w:next w:val="1"/>
    <w:qFormat/>
    <w:uiPriority w:val="0"/>
    <w:pPr>
      <w:spacing w:line="240" w:lineRule="auto"/>
      <w:ind w:firstLine="0" w:firstLineChars="0"/>
    </w:pPr>
    <w:rPr>
      <w:rFonts w:eastAsia="黑体"/>
      <w:sz w:val="24"/>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semiHidden/>
    <w:qFormat/>
    <w:uiPriority w:val="0"/>
    <w:pPr>
      <w:jc w:val="left"/>
    </w:pPr>
  </w:style>
  <w:style w:type="paragraph" w:styleId="14">
    <w:name w:val="List Bullet 3"/>
    <w:basedOn w:val="1"/>
    <w:qFormat/>
    <w:uiPriority w:val="0"/>
    <w:pPr>
      <w:numPr>
        <w:ilvl w:val="0"/>
        <w:numId w:val="1"/>
      </w:numPr>
      <w:ind w:leftChars="0" w:firstLineChars="0"/>
    </w:pPr>
    <w:rPr>
      <w:rFonts w:eastAsia="仿宋"/>
      <w:sz w:val="28"/>
      <w:szCs w:val="20"/>
    </w:rPr>
  </w:style>
  <w:style w:type="paragraph" w:styleId="15">
    <w:name w:val="Body Text"/>
    <w:basedOn w:val="1"/>
    <w:next w:val="16"/>
    <w:qFormat/>
    <w:uiPriority w:val="0"/>
    <w:pPr>
      <w:jc w:val="center"/>
    </w:pPr>
    <w:rPr>
      <w:spacing w:val="-20"/>
      <w:sz w:val="24"/>
      <w:szCs w:val="20"/>
    </w:rPr>
  </w:style>
  <w:style w:type="paragraph" w:styleId="16">
    <w:name w:val="Body Text First Indent"/>
    <w:basedOn w:val="15"/>
    <w:next w:val="17"/>
    <w:qFormat/>
    <w:uiPriority w:val="0"/>
    <w:pPr>
      <w:widowControl/>
      <w:ind w:firstLine="420"/>
      <w:jc w:val="left"/>
    </w:pPr>
    <w:rPr>
      <w:kern w:val="0"/>
      <w:sz w:val="20"/>
    </w:rPr>
  </w:style>
  <w:style w:type="paragraph" w:styleId="17">
    <w:name w:val="toc 6"/>
    <w:basedOn w:val="1"/>
    <w:next w:val="1"/>
    <w:qFormat/>
    <w:uiPriority w:val="0"/>
    <w:pPr>
      <w:ind w:left="2100" w:leftChars="1000"/>
    </w:pPr>
  </w:style>
  <w:style w:type="paragraph" w:styleId="18">
    <w:name w:val="Body Text Indent"/>
    <w:basedOn w:val="1"/>
    <w:next w:val="19"/>
    <w:qFormat/>
    <w:uiPriority w:val="0"/>
    <w:pPr>
      <w:spacing w:line="400" w:lineRule="exact"/>
      <w:ind w:firstLine="480" w:firstLineChars="200"/>
    </w:pPr>
    <w:rPr>
      <w:sz w:val="24"/>
    </w:rPr>
  </w:style>
  <w:style w:type="paragraph" w:customStyle="1" w:styleId="19">
    <w:name w:val="Default"/>
    <w:next w:val="2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eastAsia="宋体" w:cs="Times New Roman"/>
      <w:b/>
      <w:sz w:val="28"/>
      <w:szCs w:val="24"/>
    </w:rPr>
  </w:style>
  <w:style w:type="paragraph" w:styleId="21">
    <w:name w:val="Body Text First Indent 2"/>
    <w:basedOn w:val="18"/>
    <w:next w:val="2"/>
    <w:qFormat/>
    <w:uiPriority w:val="0"/>
    <w:pPr>
      <w:spacing w:after="120"/>
      <w:ind w:left="420" w:leftChars="200" w:firstLine="420" w:firstLineChars="200"/>
    </w:pPr>
    <w:rPr>
      <w:rFonts w:ascii="Times New Roman" w:eastAsia="宋体"/>
      <w:sz w:val="21"/>
      <w:szCs w:val="20"/>
    </w:rPr>
  </w:style>
  <w:style w:type="paragraph" w:styleId="22">
    <w:name w:val="List 2"/>
    <w:basedOn w:val="1"/>
    <w:qFormat/>
    <w:uiPriority w:val="0"/>
    <w:pPr>
      <w:spacing w:line="240" w:lineRule="auto"/>
      <w:ind w:firstLine="0" w:firstLineChars="0"/>
      <w:contextualSpacing/>
      <w:jc w:val="center"/>
    </w:pPr>
    <w:rPr>
      <w:sz w:val="18"/>
      <w:lang w:eastAsia="en-US"/>
    </w:rPr>
  </w:style>
  <w:style w:type="paragraph" w:styleId="23">
    <w:name w:val="toc 5"/>
    <w:basedOn w:val="1"/>
    <w:next w:val="1"/>
    <w:qFormat/>
    <w:uiPriority w:val="0"/>
    <w:pPr>
      <w:ind w:left="1680" w:leftChars="800"/>
    </w:pPr>
  </w:style>
  <w:style w:type="paragraph" w:styleId="24">
    <w:name w:val="toc 3"/>
    <w:basedOn w:val="1"/>
    <w:next w:val="1"/>
    <w:qFormat/>
    <w:uiPriority w:val="0"/>
    <w:pPr>
      <w:tabs>
        <w:tab w:val="right" w:leader="dot" w:pos="8834"/>
      </w:tabs>
      <w:spacing w:line="440" w:lineRule="exact"/>
      <w:jc w:val="left"/>
    </w:pPr>
    <w:rPr>
      <w:rFonts w:eastAsia="新宋体"/>
      <w:sz w:val="28"/>
    </w:rPr>
  </w:style>
  <w:style w:type="paragraph" w:styleId="25">
    <w:name w:val="Plain Text"/>
    <w:basedOn w:val="1"/>
    <w:next w:val="1"/>
    <w:link w:val="58"/>
    <w:qFormat/>
    <w:uiPriority w:val="0"/>
    <w:rPr>
      <w:rFonts w:ascii="宋体" w:hAnsi="Courier New" w:eastAsia="仿宋"/>
      <w:sz w:val="28"/>
      <w:szCs w:val="20"/>
    </w:rPr>
  </w:style>
  <w:style w:type="paragraph" w:styleId="26">
    <w:name w:val="toc 8"/>
    <w:basedOn w:val="1"/>
    <w:next w:val="1"/>
    <w:qFormat/>
    <w:uiPriority w:val="0"/>
    <w:pPr>
      <w:ind w:left="2940" w:leftChars="1400"/>
    </w:pPr>
  </w:style>
  <w:style w:type="paragraph" w:styleId="27">
    <w:name w:val="Date"/>
    <w:basedOn w:val="1"/>
    <w:next w:val="1"/>
    <w:qFormat/>
    <w:uiPriority w:val="0"/>
    <w:pPr>
      <w:ind w:left="100" w:leftChars="2500"/>
    </w:pPr>
    <w:rPr>
      <w:sz w:val="28"/>
    </w:rPr>
  </w:style>
  <w:style w:type="paragraph" w:styleId="28">
    <w:name w:val="Body Text Indent 2"/>
    <w:basedOn w:val="1"/>
    <w:qFormat/>
    <w:uiPriority w:val="0"/>
    <w:pPr>
      <w:spacing w:line="400" w:lineRule="exact"/>
      <w:ind w:firstLine="640" w:firstLineChars="200"/>
    </w:pPr>
    <w:rPr>
      <w:sz w:val="32"/>
    </w:rPr>
  </w:style>
  <w:style w:type="paragraph" w:styleId="29">
    <w:name w:val="Balloon Text"/>
    <w:basedOn w:val="1"/>
    <w:qFormat/>
    <w:uiPriority w:val="0"/>
    <w:rPr>
      <w:sz w:val="18"/>
      <w:szCs w:val="18"/>
    </w:rPr>
  </w:style>
  <w:style w:type="paragraph" w:styleId="30">
    <w:name w:val="footer"/>
    <w:basedOn w:val="1"/>
    <w:link w:val="59"/>
    <w:qFormat/>
    <w:uiPriority w:val="0"/>
    <w:pPr>
      <w:tabs>
        <w:tab w:val="center" w:pos="4153"/>
        <w:tab w:val="right" w:pos="8306"/>
      </w:tabs>
      <w:snapToGrid w:val="0"/>
      <w:jc w:val="left"/>
    </w:pPr>
    <w:rPr>
      <w:kern w:val="0"/>
      <w:sz w:val="18"/>
      <w:szCs w:val="18"/>
    </w:rPr>
  </w:style>
  <w:style w:type="paragraph" w:styleId="31">
    <w:name w:val="header"/>
    <w:basedOn w:val="1"/>
    <w:next w:val="1"/>
    <w:link w:val="60"/>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0"/>
    <w:pPr>
      <w:tabs>
        <w:tab w:val="right" w:leader="dot" w:pos="8834"/>
      </w:tabs>
      <w:spacing w:line="440" w:lineRule="exact"/>
      <w:ind w:firstLine="0" w:firstLineChars="0"/>
      <w:jc w:val="left"/>
    </w:pPr>
    <w:rPr>
      <w:rFonts w:eastAsia="新宋体"/>
      <w:sz w:val="28"/>
    </w:rPr>
  </w:style>
  <w:style w:type="paragraph" w:styleId="33">
    <w:name w:val="toc 4"/>
    <w:basedOn w:val="1"/>
    <w:next w:val="1"/>
    <w:qFormat/>
    <w:uiPriority w:val="0"/>
    <w:pPr>
      <w:ind w:left="1260" w:leftChars="600"/>
    </w:pPr>
  </w:style>
  <w:style w:type="paragraph" w:styleId="34">
    <w:name w:val="index heading"/>
    <w:basedOn w:val="1"/>
    <w:next w:val="35"/>
    <w:qFormat/>
    <w:uiPriority w:val="99"/>
    <w:pPr>
      <w:widowControl w:val="0"/>
      <w:jc w:val="both"/>
    </w:pPr>
    <w:rPr>
      <w:kern w:val="2"/>
      <w:szCs w:val="24"/>
    </w:rPr>
  </w:style>
  <w:style w:type="paragraph" w:styleId="35">
    <w:name w:val="index 1"/>
    <w:basedOn w:val="1"/>
    <w:next w:val="1"/>
    <w:semiHidden/>
    <w:qFormat/>
    <w:uiPriority w:val="99"/>
  </w:style>
  <w:style w:type="paragraph" w:styleId="36">
    <w:name w:val="List"/>
    <w:basedOn w:val="1"/>
    <w:qFormat/>
    <w:uiPriority w:val="0"/>
    <w:pPr>
      <w:spacing w:before="312" w:beforeLines="100" w:line="360" w:lineRule="auto"/>
      <w:jc w:val="center"/>
    </w:pPr>
    <w:rPr>
      <w:rFonts w:ascii="宋体" w:hAnsi="宋体"/>
      <w:b/>
      <w:sz w:val="28"/>
      <w:szCs w:val="24"/>
    </w:rPr>
  </w:style>
  <w:style w:type="paragraph" w:styleId="37">
    <w:name w:val="footnote text"/>
    <w:basedOn w:val="1"/>
    <w:qFormat/>
    <w:uiPriority w:val="0"/>
    <w:pPr>
      <w:snapToGrid w:val="0"/>
      <w:jc w:val="left"/>
    </w:pPr>
    <w:rPr>
      <w:sz w:val="18"/>
    </w:rPr>
  </w:style>
  <w:style w:type="paragraph" w:styleId="38">
    <w:name w:val="Body Text Indent 3"/>
    <w:basedOn w:val="1"/>
    <w:qFormat/>
    <w:uiPriority w:val="0"/>
    <w:pPr>
      <w:ind w:firstLine="640" w:firstLineChars="200"/>
    </w:pPr>
    <w:rPr>
      <w:rFonts w:ascii="仿宋" w:eastAsia="仿宋"/>
      <w:color w:val="FFFF99"/>
      <w:sz w:val="32"/>
    </w:rPr>
  </w:style>
  <w:style w:type="paragraph" w:styleId="39">
    <w:name w:val="index 7"/>
    <w:basedOn w:val="1"/>
    <w:next w:val="1"/>
    <w:qFormat/>
    <w:uiPriority w:val="0"/>
    <w:pPr>
      <w:ind w:left="2520"/>
    </w:pPr>
    <w:rPr>
      <w:szCs w:val="22"/>
    </w:rPr>
  </w:style>
  <w:style w:type="paragraph" w:styleId="40">
    <w:name w:val="toc 2"/>
    <w:basedOn w:val="1"/>
    <w:next w:val="1"/>
    <w:qFormat/>
    <w:uiPriority w:val="0"/>
    <w:pPr>
      <w:spacing w:line="440" w:lineRule="exact"/>
      <w:ind w:firstLine="100" w:firstLineChars="100"/>
      <w:jc w:val="left"/>
    </w:pPr>
    <w:rPr>
      <w:rFonts w:eastAsia="新宋体"/>
      <w:sz w:val="28"/>
    </w:rPr>
  </w:style>
  <w:style w:type="paragraph" w:styleId="41">
    <w:name w:val="toc 9"/>
    <w:basedOn w:val="1"/>
    <w:next w:val="1"/>
    <w:qFormat/>
    <w:uiPriority w:val="0"/>
    <w:pPr>
      <w:ind w:left="3360" w:leftChars="1600"/>
    </w:pPr>
  </w:style>
  <w:style w:type="paragraph" w:styleId="42">
    <w:name w:val="Normal (Web)"/>
    <w:basedOn w:val="1"/>
    <w:qFormat/>
    <w:uiPriority w:val="99"/>
    <w:pPr>
      <w:widowControl/>
      <w:spacing w:before="100" w:beforeLines="0" w:beforeAutospacing="1" w:after="100" w:afterLines="0" w:afterAutospacing="1"/>
      <w:ind w:firstLine="0" w:firstLineChars="0"/>
      <w:jc w:val="left"/>
    </w:pPr>
    <w:rPr>
      <w:kern w:val="0"/>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paragraph" w:styleId="44">
    <w:name w:val="annotation subject"/>
    <w:basedOn w:val="13"/>
    <w:next w:val="13"/>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20"/>
    <w:rPr>
      <w:i/>
      <w:iCs/>
    </w:rPr>
  </w:style>
  <w:style w:type="character" w:styleId="52">
    <w:name w:val="Hyperlink"/>
    <w:basedOn w:val="47"/>
    <w:qFormat/>
    <w:uiPriority w:val="0"/>
    <w:rPr>
      <w:color w:val="0000FF"/>
      <w:u w:val="single"/>
    </w:rPr>
  </w:style>
  <w:style w:type="character" w:styleId="53">
    <w:name w:val="annotation reference"/>
    <w:semiHidden/>
    <w:qFormat/>
    <w:uiPriority w:val="0"/>
    <w:rPr>
      <w:sz w:val="21"/>
      <w:szCs w:val="21"/>
    </w:rPr>
  </w:style>
  <w:style w:type="character" w:customStyle="1" w:styleId="54">
    <w:name w:val="正文缩进 字符"/>
    <w:link w:val="2"/>
    <w:qFormat/>
    <w:uiPriority w:val="0"/>
    <w:rPr>
      <w:snapToGrid w:val="0"/>
      <w:sz w:val="28"/>
    </w:rPr>
  </w:style>
  <w:style w:type="character" w:customStyle="1" w:styleId="55">
    <w:name w:val="标题 1 字符"/>
    <w:link w:val="3"/>
    <w:qFormat/>
    <w:uiPriority w:val="0"/>
    <w:rPr>
      <w:rFonts w:eastAsia="宋体"/>
      <w:b/>
      <w:bCs/>
      <w:kern w:val="44"/>
      <w:sz w:val="44"/>
      <w:szCs w:val="44"/>
      <w:lang w:val="en-US" w:eastAsia="zh-CN" w:bidi="ar-SA"/>
    </w:rPr>
  </w:style>
  <w:style w:type="character" w:customStyle="1" w:styleId="56">
    <w:name w:val="标题 2 字符"/>
    <w:link w:val="4"/>
    <w:qFormat/>
    <w:uiPriority w:val="0"/>
    <w:rPr>
      <w:rFonts w:ascii="Arial" w:hAnsi="Arial" w:eastAsia="黑体"/>
      <w:b/>
      <w:bCs/>
      <w:kern w:val="2"/>
      <w:sz w:val="32"/>
      <w:szCs w:val="32"/>
      <w:lang w:val="en-US" w:eastAsia="zh-CN" w:bidi="ar-SA"/>
    </w:rPr>
  </w:style>
  <w:style w:type="character" w:customStyle="1" w:styleId="57">
    <w:name w:val="标题 3 字符"/>
    <w:basedOn w:val="47"/>
    <w:link w:val="5"/>
    <w:qFormat/>
    <w:uiPriority w:val="0"/>
    <w:rPr>
      <w:rFonts w:eastAsia="新宋体"/>
      <w:bCs/>
      <w:sz w:val="30"/>
      <w:szCs w:val="32"/>
    </w:rPr>
  </w:style>
  <w:style w:type="character" w:customStyle="1" w:styleId="58">
    <w:name w:val="纯文本 字符"/>
    <w:link w:val="25"/>
    <w:qFormat/>
    <w:uiPriority w:val="0"/>
    <w:rPr>
      <w:rFonts w:ascii="宋体" w:hAnsi="Courier New" w:eastAsia="仿宋"/>
      <w:kern w:val="2"/>
      <w:sz w:val="28"/>
      <w:lang w:val="en-US" w:eastAsia="zh-CN" w:bidi="ar-SA"/>
    </w:rPr>
  </w:style>
  <w:style w:type="character" w:customStyle="1" w:styleId="59">
    <w:name w:val="页脚 字符"/>
    <w:link w:val="30"/>
    <w:qFormat/>
    <w:uiPriority w:val="0"/>
    <w:rPr>
      <w:sz w:val="18"/>
      <w:szCs w:val="18"/>
    </w:rPr>
  </w:style>
  <w:style w:type="character" w:customStyle="1" w:styleId="60">
    <w:name w:val="页眉 字符"/>
    <w:link w:val="31"/>
    <w:qFormat/>
    <w:uiPriority w:val="0"/>
    <w:rPr>
      <w:sz w:val="18"/>
      <w:szCs w:val="18"/>
    </w:rPr>
  </w:style>
  <w:style w:type="character" w:customStyle="1" w:styleId="61">
    <w:name w:val="标题 2 Char"/>
    <w:link w:val="4"/>
    <w:qFormat/>
    <w:uiPriority w:val="0"/>
    <w:rPr>
      <w:rFonts w:ascii="Cambria" w:hAnsi="Cambria"/>
      <w:b/>
      <w:bCs/>
      <w:i/>
      <w:iCs/>
      <w:sz w:val="28"/>
      <w:szCs w:val="28"/>
      <w:lang w:bidi="ar-SA"/>
    </w:rPr>
  </w:style>
  <w:style w:type="paragraph" w:customStyle="1" w:styleId="6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表格文字"/>
    <w:basedOn w:val="1"/>
    <w:qFormat/>
    <w:uiPriority w:val="0"/>
    <w:pPr>
      <w:spacing w:before="25" w:beforeLines="0" w:after="25" w:afterLines="0"/>
      <w:jc w:val="left"/>
    </w:pPr>
    <w:rPr>
      <w:bCs/>
      <w:spacing w:val="10"/>
      <w:kern w:val="0"/>
      <w:sz w:val="24"/>
      <w:szCs w:val="20"/>
    </w:rPr>
  </w:style>
  <w:style w:type="character" w:customStyle="1" w:styleId="64">
    <w:name w:val="font51"/>
    <w:basedOn w:val="47"/>
    <w:qFormat/>
    <w:uiPriority w:val="0"/>
    <w:rPr>
      <w:rFonts w:hint="eastAsia" w:ascii="宋体" w:hAnsi="宋体" w:eastAsia="宋体" w:cs="宋体"/>
      <w:color w:val="000000"/>
      <w:sz w:val="20"/>
      <w:szCs w:val="20"/>
      <w:u w:val="none"/>
      <w:vertAlign w:val="superscript"/>
    </w:rPr>
  </w:style>
  <w:style w:type="character" w:customStyle="1" w:styleId="65">
    <w:name w:val="15"/>
    <w:basedOn w:val="47"/>
    <w:qFormat/>
    <w:uiPriority w:val="0"/>
    <w:rPr>
      <w:rFonts w:hint="eastAsia" w:ascii="宋体" w:hAnsi="宋体" w:eastAsia="宋体" w:cs="宋体"/>
      <w:b/>
      <w:color w:val="000000"/>
      <w:sz w:val="20"/>
      <w:szCs w:val="20"/>
    </w:rPr>
  </w:style>
  <w:style w:type="character" w:customStyle="1" w:styleId="66">
    <w:name w:val="font71"/>
    <w:basedOn w:val="47"/>
    <w:qFormat/>
    <w:uiPriority w:val="0"/>
    <w:rPr>
      <w:rFonts w:hint="default" w:ascii="Times New Roman" w:hAnsi="Times New Roman" w:cs="Times New Roman"/>
      <w:color w:val="000000"/>
      <w:sz w:val="20"/>
      <w:szCs w:val="20"/>
      <w:u w:val="none"/>
    </w:rPr>
  </w:style>
  <w:style w:type="character" w:customStyle="1" w:styleId="67">
    <w:name w:val="font21"/>
    <w:basedOn w:val="47"/>
    <w:qFormat/>
    <w:uiPriority w:val="0"/>
    <w:rPr>
      <w:rFonts w:hint="eastAsia" w:ascii="宋体" w:hAnsi="宋体" w:eastAsia="宋体" w:cs="宋体"/>
      <w:color w:val="000000"/>
      <w:sz w:val="21"/>
      <w:szCs w:val="21"/>
      <w:u w:val="none"/>
    </w:rPr>
  </w:style>
  <w:style w:type="character" w:customStyle="1" w:styleId="68">
    <w:name w:val="表头 Char"/>
    <w:link w:val="69"/>
    <w:qFormat/>
    <w:uiPriority w:val="0"/>
    <w:rPr>
      <w:rFonts w:eastAsia="新宋体" w:cs="新宋体"/>
      <w:spacing w:val="24"/>
      <w:szCs w:val="28"/>
    </w:rPr>
  </w:style>
  <w:style w:type="paragraph" w:customStyle="1" w:styleId="69">
    <w:name w:val="表头"/>
    <w:basedOn w:val="1"/>
    <w:link w:val="68"/>
    <w:qFormat/>
    <w:uiPriority w:val="0"/>
    <w:pPr>
      <w:ind w:firstLine="0" w:firstLineChars="0"/>
      <w:jc w:val="center"/>
    </w:pPr>
    <w:rPr>
      <w:rFonts w:eastAsia="新宋体"/>
      <w:spacing w:val="24"/>
      <w:kern w:val="0"/>
      <w:sz w:val="20"/>
      <w:szCs w:val="28"/>
    </w:rPr>
  </w:style>
  <w:style w:type="character" w:customStyle="1" w:styleId="7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71">
    <w:name w:val="font01"/>
    <w:basedOn w:val="47"/>
    <w:qFormat/>
    <w:uiPriority w:val="0"/>
    <w:rPr>
      <w:rFonts w:hint="eastAsia" w:ascii="宋体" w:hAnsi="宋体" w:eastAsia="宋体" w:cs="宋体"/>
      <w:color w:val="000000"/>
      <w:sz w:val="24"/>
      <w:szCs w:val="24"/>
      <w:u w:val="none"/>
    </w:rPr>
  </w:style>
  <w:style w:type="character" w:customStyle="1" w:styleId="72">
    <w:name w:val="font61"/>
    <w:qFormat/>
    <w:uiPriority w:val="0"/>
    <w:rPr>
      <w:rFonts w:hint="eastAsia" w:ascii="宋体" w:hAnsi="宋体" w:eastAsia="宋体" w:cs="宋体"/>
      <w:color w:val="000000"/>
      <w:sz w:val="18"/>
      <w:szCs w:val="18"/>
      <w:u w:val="none"/>
    </w:rPr>
  </w:style>
  <w:style w:type="character" w:customStyle="1" w:styleId="73">
    <w:name w:val="font11"/>
    <w:basedOn w:val="47"/>
    <w:qFormat/>
    <w:uiPriority w:val="0"/>
    <w:rPr>
      <w:rFonts w:hint="default" w:ascii="Times New Roman" w:hAnsi="Times New Roman" w:cs="Times New Roman"/>
      <w:color w:val="000000"/>
      <w:sz w:val="21"/>
      <w:szCs w:val="21"/>
      <w:u w:val="none"/>
    </w:rPr>
  </w:style>
  <w:style w:type="character" w:customStyle="1" w:styleId="74">
    <w:name w:val="font111"/>
    <w:qFormat/>
    <w:uiPriority w:val="0"/>
    <w:rPr>
      <w:rFonts w:hint="eastAsia" w:ascii="宋体" w:hAnsi="宋体" w:eastAsia="宋体" w:cs="宋体"/>
      <w:b/>
      <w:color w:val="000000"/>
      <w:sz w:val="20"/>
      <w:szCs w:val="20"/>
      <w:u w:val="none"/>
      <w:vertAlign w:val="subscript"/>
    </w:rPr>
  </w:style>
  <w:style w:type="character" w:customStyle="1" w:styleId="75">
    <w:name w:val="二级标题 Char"/>
    <w:link w:val="76"/>
    <w:qFormat/>
    <w:uiPriority w:val="0"/>
    <w:rPr>
      <w:rFonts w:ascii="Arial" w:hAnsi="Arial" w:eastAsia="宋体" w:cs="宋体"/>
      <w:b/>
      <w:bCs/>
      <w:kern w:val="2"/>
      <w:sz w:val="24"/>
      <w:szCs w:val="32"/>
      <w:lang w:val="en-US" w:eastAsia="zh-CN" w:bidi="ar-SA"/>
    </w:rPr>
  </w:style>
  <w:style w:type="paragraph" w:customStyle="1" w:styleId="76">
    <w:name w:val="二级标题"/>
    <w:basedOn w:val="4"/>
    <w:next w:val="1"/>
    <w:link w:val="75"/>
    <w:qFormat/>
    <w:uiPriority w:val="0"/>
    <w:pPr>
      <w:spacing w:before="120" w:beforeLines="0" w:after="0" w:afterLines="0" w:line="413" w:lineRule="auto"/>
      <w:jc w:val="left"/>
    </w:pPr>
    <w:rPr>
      <w:rFonts w:eastAsia="宋体" w:cs="宋体"/>
      <w:sz w:val="24"/>
    </w:rPr>
  </w:style>
  <w:style w:type="character" w:customStyle="1" w:styleId="77">
    <w:name w:val="纯文本 Char"/>
    <w:qFormat/>
    <w:uiPriority w:val="0"/>
    <w:rPr>
      <w:rFonts w:ascii="宋体" w:hAnsi="Courier New" w:eastAsia="仿宋"/>
      <w:sz w:val="28"/>
    </w:rPr>
  </w:style>
  <w:style w:type="character" w:customStyle="1" w:styleId="78">
    <w:name w:val="font41"/>
    <w:qFormat/>
    <w:uiPriority w:val="0"/>
    <w:rPr>
      <w:rFonts w:hint="eastAsia" w:ascii="宋体" w:hAnsi="宋体" w:eastAsia="宋体" w:cs="宋体"/>
      <w:color w:val="000000"/>
      <w:sz w:val="16"/>
      <w:szCs w:val="16"/>
      <w:u w:val="none"/>
      <w:vertAlign w:val="superscript"/>
    </w:rPr>
  </w:style>
  <w:style w:type="character" w:customStyle="1" w:styleId="79">
    <w:name w:val=" Char Char1"/>
    <w:qFormat/>
    <w:uiPriority w:val="0"/>
    <w:rPr>
      <w:sz w:val="18"/>
      <w:szCs w:val="18"/>
    </w:rPr>
  </w:style>
  <w:style w:type="character" w:customStyle="1" w:styleId="80">
    <w:name w:val="三级标题 Char"/>
    <w:link w:val="81"/>
    <w:qFormat/>
    <w:uiPriority w:val="0"/>
    <w:rPr>
      <w:rFonts w:ascii="宋体" w:hAnsi="Courier New" w:eastAsia="新宋体"/>
      <w:bCs/>
      <w:kern w:val="2"/>
      <w:sz w:val="24"/>
      <w:szCs w:val="32"/>
      <w:lang w:val="en-US" w:eastAsia="zh-CN" w:bidi="ar-SA"/>
    </w:rPr>
  </w:style>
  <w:style w:type="paragraph" w:customStyle="1" w:styleId="81">
    <w:name w:val="三级标题"/>
    <w:basedOn w:val="5"/>
    <w:link w:val="80"/>
    <w:qFormat/>
    <w:uiPriority w:val="0"/>
    <w:pPr>
      <w:spacing w:after="0" w:afterLines="0" w:line="413" w:lineRule="auto"/>
    </w:pPr>
    <w:rPr>
      <w:rFonts w:ascii="宋体" w:hAnsi="Courier New"/>
      <w:kern w:val="2"/>
      <w:sz w:val="24"/>
      <w:lang w:val="en-US" w:eastAsia="zh-CN"/>
    </w:rPr>
  </w:style>
  <w:style w:type="character" w:customStyle="1" w:styleId="82">
    <w:name w:val="font31"/>
    <w:basedOn w:val="47"/>
    <w:qFormat/>
    <w:uiPriority w:val="0"/>
    <w:rPr>
      <w:rFonts w:hint="eastAsia" w:ascii="宋体" w:hAnsi="宋体" w:eastAsia="宋体" w:cs="宋体"/>
      <w:color w:val="000000"/>
      <w:sz w:val="20"/>
      <w:szCs w:val="20"/>
      <w:u w:val="none"/>
    </w:rPr>
  </w:style>
  <w:style w:type="character" w:customStyle="1" w:styleId="83">
    <w:name w:val="font81"/>
    <w:qFormat/>
    <w:uiPriority w:val="0"/>
    <w:rPr>
      <w:rFonts w:hint="eastAsia" w:ascii="宋体" w:hAnsi="宋体" w:eastAsia="宋体" w:cs="宋体"/>
      <w:b/>
      <w:color w:val="000000"/>
      <w:sz w:val="20"/>
      <w:szCs w:val="20"/>
      <w:u w:val="none"/>
    </w:rPr>
  </w:style>
  <w:style w:type="character" w:customStyle="1" w:styleId="84">
    <w:name w:val="文本文字 Char"/>
    <w:link w:val="85"/>
    <w:qFormat/>
    <w:uiPriority w:val="0"/>
    <w:rPr>
      <w:rFonts w:ascii="宋体" w:hAnsi="Courier New" w:eastAsia="新宋体" w:cs="Courier New"/>
      <w:kern w:val="2"/>
      <w:sz w:val="22"/>
      <w:szCs w:val="21"/>
      <w:lang w:val="en-US" w:eastAsia="zh-CN" w:bidi="ar-SA"/>
    </w:rPr>
  </w:style>
  <w:style w:type="paragraph" w:customStyle="1" w:styleId="85">
    <w:name w:val="文本文字"/>
    <w:basedOn w:val="25"/>
    <w:link w:val="84"/>
    <w:qFormat/>
    <w:uiPriority w:val="0"/>
    <w:pPr>
      <w:spacing w:line="360" w:lineRule="auto"/>
      <w:ind w:firstLine="200" w:firstLineChars="200"/>
      <w:jc w:val="left"/>
    </w:pPr>
    <w:rPr>
      <w:rFonts w:eastAsia="新宋体" w:cs="Courier New"/>
      <w:sz w:val="22"/>
      <w:szCs w:val="21"/>
    </w:rPr>
  </w:style>
  <w:style w:type="character" w:customStyle="1" w:styleId="86">
    <w:name w:val="标题 3 Char"/>
    <w:qFormat/>
    <w:uiPriority w:val="0"/>
    <w:rPr>
      <w:rFonts w:eastAsia="新宋体"/>
      <w:bCs/>
      <w:sz w:val="30"/>
      <w:szCs w:val="32"/>
    </w:rPr>
  </w:style>
  <w:style w:type="character" w:customStyle="1" w:styleId="87">
    <w:name w:val="正文式样 Char"/>
    <w:link w:val="88"/>
    <w:qFormat/>
    <w:uiPriority w:val="0"/>
    <w:rPr>
      <w:rFonts w:ascii="宋体" w:hAnsi="宋体" w:eastAsia="新宋体"/>
      <w:kern w:val="2"/>
      <w:sz w:val="22"/>
      <w:szCs w:val="22"/>
      <w:lang w:val="en-US" w:eastAsia="zh-CN" w:bidi="ar-SA"/>
    </w:rPr>
  </w:style>
  <w:style w:type="paragraph" w:customStyle="1" w:styleId="88">
    <w:name w:val="正文式样"/>
    <w:basedOn w:val="25"/>
    <w:link w:val="87"/>
    <w:qFormat/>
    <w:uiPriority w:val="0"/>
    <w:pPr>
      <w:spacing w:line="360" w:lineRule="auto"/>
      <w:ind w:firstLine="440" w:firstLineChars="200"/>
      <w:jc w:val="left"/>
    </w:pPr>
    <w:rPr>
      <w:rFonts w:hAnsi="宋体" w:eastAsia="新宋体"/>
      <w:sz w:val="22"/>
      <w:szCs w:val="22"/>
    </w:rPr>
  </w:style>
  <w:style w:type="character" w:customStyle="1" w:styleId="89">
    <w:name w:val="一级标题 Char"/>
    <w:link w:val="90"/>
    <w:qFormat/>
    <w:uiPriority w:val="0"/>
    <w:rPr>
      <w:rFonts w:hAnsi="黑体" w:eastAsia="黑体" w:cs="宋体"/>
      <w:b/>
      <w:bCs/>
      <w:kern w:val="44"/>
      <w:sz w:val="28"/>
      <w:szCs w:val="44"/>
      <w:lang w:val="en-US" w:eastAsia="zh-CN" w:bidi="ar-SA"/>
    </w:rPr>
  </w:style>
  <w:style w:type="paragraph" w:customStyle="1" w:styleId="90">
    <w:name w:val="一级标题"/>
    <w:basedOn w:val="3"/>
    <w:link w:val="89"/>
    <w:qFormat/>
    <w:uiPriority w:val="0"/>
    <w:pPr>
      <w:spacing w:before="120" w:beforeLines="0" w:after="120" w:afterLines="0" w:line="480" w:lineRule="auto"/>
      <w:jc w:val="center"/>
    </w:pPr>
    <w:rPr>
      <w:rFonts w:hAnsi="黑体" w:eastAsia="黑体" w:cs="宋体"/>
      <w:sz w:val="28"/>
    </w:rPr>
  </w:style>
  <w:style w:type="paragraph" w:customStyle="1" w:styleId="91">
    <w:name w:val="样式 (符号) 宋体 小五 居中 行距: 单倍行距"/>
    <w:basedOn w:val="1"/>
    <w:qFormat/>
    <w:uiPriority w:val="0"/>
    <w:pPr>
      <w:jc w:val="center"/>
    </w:pPr>
    <w:rPr>
      <w:rFonts w:ascii="宋体" w:hAnsi="宋体" w:cs="宋体"/>
      <w:sz w:val="28"/>
      <w:szCs w:val="20"/>
    </w:rPr>
  </w:style>
  <w:style w:type="paragraph" w:customStyle="1" w:styleId="92">
    <w:name w:val="样式1"/>
    <w:basedOn w:val="12"/>
    <w:next w:val="6"/>
    <w:qFormat/>
    <w:uiPriority w:val="0"/>
    <w:pPr>
      <w:spacing w:line="360" w:lineRule="auto"/>
      <w:ind w:firstLine="560" w:firstLineChars="200"/>
    </w:pPr>
    <w:rPr>
      <w:rFonts w:ascii="宋体" w:hAnsi="宋体"/>
      <w:sz w:val="28"/>
      <w:szCs w:val="28"/>
    </w:rPr>
  </w:style>
  <w:style w:type="paragraph" w:customStyle="1" w:styleId="93">
    <w:name w:val="样式"/>
    <w:basedOn w:val="1"/>
    <w:next w:val="25"/>
    <w:qFormat/>
    <w:uiPriority w:val="0"/>
    <w:pPr>
      <w:jc w:val="center"/>
    </w:pPr>
    <w:rPr>
      <w:rFonts w:ascii="宋体" w:hAnsi="宋体" w:cs="Times New Roman"/>
      <w:color w:val="FF0000"/>
      <w:sz w:val="24"/>
    </w:rPr>
  </w:style>
  <w:style w:type="paragraph" w:customStyle="1" w:styleId="94">
    <w:name w:val="Char1"/>
    <w:basedOn w:val="1"/>
    <w:qFormat/>
    <w:uiPriority w:val="0"/>
    <w:pPr>
      <w:snapToGrid w:val="0"/>
      <w:spacing w:line="360" w:lineRule="auto"/>
    </w:pPr>
    <w:rPr>
      <w:rFonts w:eastAsia="仿宋"/>
    </w:rPr>
  </w:style>
  <w:style w:type="paragraph" w:customStyle="1" w:styleId="95">
    <w:name w:val="列表段落1"/>
    <w:basedOn w:val="1"/>
    <w:qFormat/>
    <w:uiPriority w:val="34"/>
    <w:pPr>
      <w:ind w:firstLine="420" w:firstLineChars="200"/>
    </w:pPr>
  </w:style>
  <w:style w:type="paragraph" w:customStyle="1" w:styleId="96">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paragraph" w:customStyle="1" w:styleId="97">
    <w:name w:val="样式 小四 行距: 固定值 27 磅"/>
    <w:basedOn w:val="1"/>
    <w:qFormat/>
    <w:uiPriority w:val="0"/>
    <w:pPr>
      <w:spacing w:line="540" w:lineRule="exact"/>
      <w:ind w:firstLine="480" w:firstLineChars="200"/>
    </w:pPr>
    <w:rPr>
      <w:rFonts w:ascii="宋体" w:cs="宋体"/>
      <w:snapToGrid w:val="0"/>
      <w:sz w:val="24"/>
      <w:szCs w:val="20"/>
    </w:rPr>
  </w:style>
  <w:style w:type="paragraph" w:customStyle="1" w:styleId="98">
    <w:name w:val="xl2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99">
    <w:name w:val=" Char"/>
    <w:basedOn w:val="1"/>
    <w:qFormat/>
    <w:uiPriority w:val="0"/>
    <w:pPr>
      <w:adjustRightInd w:val="0"/>
      <w:spacing w:line="360" w:lineRule="atLeast"/>
      <w:textAlignment w:val="baseline"/>
    </w:pPr>
    <w:rPr>
      <w:rFonts w:ascii="Tahoma" w:hAnsi="Tahoma"/>
      <w:sz w:val="24"/>
      <w:szCs w:val="20"/>
    </w:rPr>
  </w:style>
  <w:style w:type="paragraph" w:customStyle="1" w:styleId="100">
    <w:name w:val="font8"/>
    <w:basedOn w:val="1"/>
    <w:qFormat/>
    <w:uiPriority w:val="0"/>
    <w:pPr>
      <w:widowControl/>
      <w:spacing w:before="100" w:beforeLines="0" w:beforeAutospacing="1" w:after="100" w:afterLines="0" w:afterAutospacing="1"/>
      <w:jc w:val="left"/>
    </w:pPr>
    <w:rPr>
      <w:rFonts w:eastAsia="宋体"/>
      <w:kern w:val="0"/>
      <w:sz w:val="24"/>
    </w:rPr>
  </w:style>
  <w:style w:type="paragraph" w:customStyle="1" w:styleId="101">
    <w:name w:val="正文 + 首行缩进:  2 字符 + 首行缩进:  2 字符"/>
    <w:basedOn w:val="1"/>
    <w:qFormat/>
    <w:uiPriority w:val="0"/>
    <w:pPr>
      <w:spacing w:line="500" w:lineRule="exact"/>
      <w:ind w:firstLine="560" w:firstLineChars="200"/>
    </w:pPr>
    <w:rPr>
      <w:rFonts w:ascii="宋体" w:hAnsi="宋体" w:cs="宋体"/>
      <w:kern w:val="2"/>
      <w:sz w:val="28"/>
      <w:szCs w:val="24"/>
    </w:rPr>
  </w:style>
  <w:style w:type="paragraph" w:customStyle="1" w:styleId="102">
    <w:name w:val="font0"/>
    <w:basedOn w:val="1"/>
    <w:qFormat/>
    <w:uiPriority w:val="0"/>
    <w:pPr>
      <w:widowControl/>
      <w:spacing w:before="100" w:beforeLines="0" w:beforeAutospacing="1" w:after="100" w:afterLines="0" w:afterAutospacing="1"/>
      <w:jc w:val="left"/>
    </w:pPr>
    <w:rPr>
      <w:rFonts w:hint="eastAsia" w:ascii="宋体" w:hAnsi="宋体" w:cs="宋体"/>
      <w:kern w:val="0"/>
      <w:sz w:val="24"/>
    </w:rPr>
  </w:style>
  <w:style w:type="paragraph" w:customStyle="1" w:styleId="103">
    <w:name w:val="Char Char Char Char Char Char Char"/>
    <w:basedOn w:val="1"/>
    <w:semiHidden/>
    <w:qFormat/>
    <w:uiPriority w:val="0"/>
    <w:pPr>
      <w:ind w:firstLine="0" w:firstLineChars="0"/>
    </w:pPr>
    <w:rPr>
      <w:rFonts w:ascii="Tahoma" w:hAnsi="Tahoma"/>
      <w:b/>
      <w:szCs w:val="20"/>
    </w:rPr>
  </w:style>
  <w:style w:type="paragraph" w:customStyle="1" w:styleId="104">
    <w:name w:val="样式 样式 正文文本 + 首行缩进:  2 字符 + 首行缩进:  2 字符"/>
    <w:basedOn w:val="1"/>
    <w:qFormat/>
    <w:uiPriority w:val="0"/>
    <w:pPr>
      <w:adjustRightInd w:val="0"/>
      <w:snapToGrid w:val="0"/>
      <w:spacing w:line="336" w:lineRule="auto"/>
      <w:ind w:firstLine="560"/>
    </w:pPr>
    <w:rPr>
      <w:rFonts w:cs="宋体"/>
      <w:sz w:val="28"/>
      <w:szCs w:val="20"/>
    </w:rPr>
  </w:style>
  <w:style w:type="paragraph" w:customStyle="1" w:styleId="105">
    <w:name w:val="font5"/>
    <w:basedOn w:val="1"/>
    <w:qFormat/>
    <w:uiPriority w:val="0"/>
    <w:pPr>
      <w:widowControl/>
      <w:spacing w:before="100" w:beforeLines="0" w:beforeAutospacing="1" w:after="100" w:afterLines="0" w:afterAutospacing="1"/>
      <w:jc w:val="left"/>
    </w:pPr>
    <w:rPr>
      <w:rFonts w:hint="eastAsia" w:ascii="宋体" w:hAnsi="宋体" w:cs="宋体"/>
      <w:kern w:val="0"/>
      <w:sz w:val="18"/>
      <w:szCs w:val="18"/>
    </w:rPr>
  </w:style>
  <w:style w:type="paragraph" w:customStyle="1" w:styleId="106">
    <w:name w:val="表格"/>
    <w:basedOn w:val="1"/>
    <w:qFormat/>
    <w:uiPriority w:val="0"/>
    <w:pPr>
      <w:spacing w:line="360" w:lineRule="auto"/>
      <w:ind w:firstLine="0" w:firstLineChars="0"/>
      <w:jc w:val="left"/>
    </w:pPr>
    <w:rPr>
      <w:rFonts w:eastAsia="新宋体" w:cs="新宋体"/>
      <w:spacing w:val="24"/>
      <w:sz w:val="21"/>
      <w:szCs w:val="21"/>
    </w:rPr>
  </w:style>
  <w:style w:type="paragraph" w:styleId="107">
    <w:name w:val="List Paragraph"/>
    <w:basedOn w:val="1"/>
    <w:qFormat/>
    <w:uiPriority w:val="34"/>
    <w:pPr>
      <w:ind w:firstLine="420" w:firstLineChars="200"/>
    </w:pPr>
    <w:rPr>
      <w:rFonts w:ascii="Times New Roman" w:hAnsi="Times New Roman" w:eastAsia="宋体" w:cs="Times New Roman"/>
    </w:rPr>
  </w:style>
  <w:style w:type="paragraph" w:customStyle="1" w:styleId="108">
    <w:name w:val="列出段落1"/>
    <w:basedOn w:val="1"/>
    <w:qFormat/>
    <w:uiPriority w:val="99"/>
    <w:pPr>
      <w:ind w:firstLine="420" w:firstLineChars="200"/>
    </w:pPr>
  </w:style>
  <w:style w:type="paragraph" w:customStyle="1" w:styleId="109">
    <w:name w:val="_Style 5"/>
    <w:basedOn w:val="1"/>
    <w:qFormat/>
    <w:uiPriority w:val="0"/>
    <w:pPr>
      <w:tabs>
        <w:tab w:val="left" w:pos="360"/>
      </w:tabs>
      <w:ind w:firstLine="420" w:firstLineChars="150"/>
    </w:pPr>
  </w:style>
  <w:style w:type="paragraph" w:customStyle="1" w:styleId="110">
    <w:name w:val="样式 样式2 + 首行缩进:  2 字符"/>
    <w:basedOn w:val="1"/>
    <w:qFormat/>
    <w:uiPriority w:val="0"/>
    <w:pPr>
      <w:spacing w:line="500" w:lineRule="exact"/>
      <w:ind w:firstLine="200" w:firstLineChars="200"/>
    </w:pPr>
    <w:rPr>
      <w:rFonts w:ascii="宋体" w:cs="宋体"/>
      <w:sz w:val="24"/>
      <w:szCs w:val="20"/>
    </w:rPr>
  </w:style>
  <w:style w:type="paragraph" w:customStyle="1" w:styleId="111">
    <w:name w:val="正文文字123"/>
    <w:basedOn w:val="1"/>
    <w:qFormat/>
    <w:uiPriority w:val="0"/>
    <w:pPr>
      <w:spacing w:line="440" w:lineRule="exact"/>
    </w:pPr>
  </w:style>
  <w:style w:type="paragraph" w:customStyle="1" w:styleId="11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eastAsia="宋体"/>
      <w:kern w:val="0"/>
      <w:sz w:val="24"/>
    </w:rPr>
  </w:style>
  <w:style w:type="paragraph" w:customStyle="1" w:styleId="114">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15">
    <w:name w:val="Date"/>
    <w:basedOn w:val="1"/>
    <w:next w:val="1"/>
    <w:qFormat/>
    <w:uiPriority w:val="0"/>
    <w:pPr>
      <w:adjustRightInd w:val="0"/>
      <w:textAlignment w:val="baseline"/>
    </w:pPr>
    <w:rPr>
      <w:rFonts w:ascii="宋体"/>
      <w:kern w:val="0"/>
      <w:sz w:val="24"/>
      <w:szCs w:val="20"/>
    </w:rPr>
  </w:style>
  <w:style w:type="paragraph" w:customStyle="1" w:styleId="116">
    <w:name w:val="font7"/>
    <w:basedOn w:val="1"/>
    <w:qFormat/>
    <w:uiPriority w:val="0"/>
    <w:pPr>
      <w:widowControl/>
      <w:spacing w:before="100" w:beforeLines="0" w:beforeAutospacing="1" w:after="100" w:afterLines="0" w:afterAutospacing="1"/>
      <w:jc w:val="left"/>
    </w:pPr>
    <w:rPr>
      <w:rFonts w:eastAsia="宋体"/>
      <w:kern w:val="0"/>
      <w:sz w:val="24"/>
    </w:rPr>
  </w:style>
  <w:style w:type="paragraph" w:customStyle="1" w:styleId="117">
    <w:name w:val="font1"/>
    <w:basedOn w:val="1"/>
    <w:qFormat/>
    <w:uiPriority w:val="0"/>
    <w:pPr>
      <w:widowControl/>
      <w:spacing w:before="100" w:beforeLines="0" w:beforeAutospacing="1" w:after="100" w:afterLines="0" w:afterAutospacing="1"/>
      <w:ind w:firstLine="0" w:firstLineChars="0"/>
      <w:jc w:val="left"/>
    </w:pPr>
    <w:rPr>
      <w:rFonts w:hint="eastAsia" w:ascii="宋体" w:hAnsi="宋体" w:cs="宋体"/>
      <w:kern w:val="0"/>
    </w:rPr>
  </w:style>
  <w:style w:type="paragraph" w:customStyle="1" w:styleId="118">
    <w:name w:val="font6"/>
    <w:basedOn w:val="1"/>
    <w:qFormat/>
    <w:uiPriority w:val="0"/>
    <w:pPr>
      <w:widowControl/>
      <w:spacing w:before="100" w:beforeLines="0" w:beforeAutospacing="1" w:after="100" w:afterLines="0" w:afterAutospacing="1"/>
      <w:jc w:val="left"/>
    </w:pPr>
    <w:rPr>
      <w:rFonts w:hint="eastAsia" w:ascii="宋体" w:hAnsi="宋体" w:cs="宋体"/>
      <w:kern w:val="0"/>
      <w:sz w:val="24"/>
    </w:rPr>
  </w:style>
  <w:style w:type="paragraph" w:customStyle="1" w:styleId="119">
    <w:name w:val="正文样式2"/>
    <w:basedOn w:val="1"/>
    <w:qFormat/>
    <w:uiPriority w:val="0"/>
    <w:pPr>
      <w:spacing w:line="560" w:lineRule="exact"/>
      <w:ind w:firstLine="601"/>
    </w:pPr>
    <w:rPr>
      <w:sz w:val="28"/>
      <w:szCs w:val="20"/>
    </w:rPr>
  </w:style>
  <w:style w:type="paragraph" w:customStyle="1" w:styleId="120">
    <w:name w:val="表头1"/>
    <w:basedOn w:val="1"/>
    <w:next w:val="1"/>
    <w:qFormat/>
    <w:uiPriority w:val="0"/>
    <w:pPr>
      <w:widowControl/>
      <w:spacing w:line="520" w:lineRule="exact"/>
      <w:jc w:val="center"/>
    </w:pPr>
    <w:rPr>
      <w:b/>
      <w:sz w:val="24"/>
      <w:szCs w:val="20"/>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paragraph" w:customStyle="1" w:styleId="122">
    <w:name w:val="样式 正文文本 + 首行缩进:  2 字符 段后: 0 磅 行距: 固定值 28 磅"/>
    <w:basedOn w:val="15"/>
    <w:next w:val="21"/>
    <w:qFormat/>
    <w:uiPriority w:val="0"/>
    <w:pPr>
      <w:widowControl/>
      <w:adjustRightInd w:val="0"/>
      <w:snapToGrid w:val="0"/>
      <w:spacing w:after="0" w:line="560" w:lineRule="exact"/>
      <w:ind w:firstLine="200" w:firstLineChars="200"/>
      <w:jc w:val="left"/>
      <w:textAlignment w:val="center"/>
    </w:pPr>
    <w:rPr>
      <w:rFonts w:ascii="宋体" w:hAnsi="宋体" w:cs="宋体"/>
      <w:sz w:val="24"/>
    </w:rPr>
  </w:style>
  <w:style w:type="paragraph" w:customStyle="1" w:styleId="123">
    <w:name w:val="子标题"/>
    <w:basedOn w:val="1"/>
    <w:qFormat/>
    <w:uiPriority w:val="0"/>
    <w:pPr>
      <w:spacing w:line="360" w:lineRule="auto"/>
      <w:jc w:val="center"/>
    </w:pPr>
    <w:rPr>
      <w:rFonts w:eastAsia="新宋体"/>
      <w:sz w:val="28"/>
    </w:rPr>
  </w:style>
  <w:style w:type="paragraph" w:customStyle="1" w:styleId="1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宋体"/>
      <w:kern w:val="0"/>
      <w:sz w:val="24"/>
    </w:rPr>
  </w:style>
  <w:style w:type="paragraph" w:customStyle="1" w:styleId="125">
    <w:name w:val="样式 样式 首行缩进:  2 字符 + 首行缩进:  2 字符"/>
    <w:basedOn w:val="1"/>
    <w:qFormat/>
    <w:uiPriority w:val="0"/>
    <w:pPr>
      <w:tabs>
        <w:tab w:val="left" w:pos="3731"/>
      </w:tabs>
      <w:autoSpaceDE w:val="0"/>
      <w:autoSpaceDN w:val="0"/>
      <w:adjustRightInd w:val="0"/>
      <w:snapToGrid w:val="0"/>
      <w:spacing w:line="360" w:lineRule="auto"/>
      <w:ind w:firstLine="560" w:firstLineChars="200"/>
      <w:jc w:val="left"/>
    </w:pPr>
    <w:rPr>
      <w:rFonts w:ascii="Arial" w:hAnsi="Arial" w:cs="宋体"/>
      <w:kern w:val="0"/>
    </w:rPr>
  </w:style>
  <w:style w:type="paragraph" w:customStyle="1" w:styleId="12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ind w:firstLine="0" w:firstLineChars="0"/>
      <w:jc w:val="center"/>
    </w:pPr>
    <w:rPr>
      <w:rFonts w:ascii="宋体" w:hAnsi="宋体"/>
      <w:kern w:val="0"/>
    </w:rPr>
  </w:style>
  <w:style w:type="paragraph" w:customStyle="1" w:styleId="127">
    <w:name w:val="Char"/>
    <w:basedOn w:val="1"/>
    <w:qFormat/>
    <w:uiPriority w:val="0"/>
    <w:pPr>
      <w:adjustRightInd w:val="0"/>
      <w:spacing w:line="360" w:lineRule="atLeast"/>
      <w:textAlignment w:val="baseline"/>
    </w:pPr>
    <w:rPr>
      <w:rFonts w:ascii="Tahoma" w:hAnsi="Tahoma" w:eastAsia="宋体"/>
      <w:b/>
      <w:kern w:val="2"/>
      <w:sz w:val="24"/>
      <w:lang w:val="en-US" w:eastAsia="zh-CN" w:bidi="ar-SA"/>
    </w:rPr>
  </w:style>
  <w:style w:type="paragraph" w:customStyle="1" w:styleId="128">
    <w:name w:val="List Paragraph1"/>
    <w:basedOn w:val="1"/>
    <w:qFormat/>
    <w:uiPriority w:val="99"/>
    <w:pPr>
      <w:ind w:firstLine="420" w:firstLineChars="200"/>
    </w:pPr>
    <w:rPr>
      <w:rFonts w:ascii="Times New Roman" w:hAnsi="Times New Roman" w:cs="Times New Roman"/>
    </w:rPr>
  </w:style>
  <w:style w:type="table" w:customStyle="1" w:styleId="129">
    <w:name w:val="Table Normal"/>
    <w:unhideWhenUsed/>
    <w:qFormat/>
    <w:uiPriority w:val="0"/>
    <w:tblPr>
      <w:tblCellMar>
        <w:top w:w="0" w:type="dxa"/>
        <w:left w:w="0" w:type="dxa"/>
        <w:bottom w:w="0" w:type="dxa"/>
        <w:right w:w="0" w:type="dxa"/>
      </w:tblCellMar>
    </w:tblPr>
  </w:style>
  <w:style w:type="paragraph" w:customStyle="1" w:styleId="130">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131">
    <w:name w:val="题注5"/>
    <w:basedOn w:val="1"/>
    <w:next w:val="10"/>
    <w:qFormat/>
    <w:uiPriority w:val="99"/>
    <w:pPr>
      <w:widowControl w:val="0"/>
      <w:jc w:val="center"/>
    </w:pPr>
    <w:rPr>
      <w:b/>
      <w:color w:val="000000"/>
      <w:kern w:val="2"/>
      <w:sz w:val="24"/>
      <w:szCs w:val="21"/>
    </w:rPr>
  </w:style>
  <w:style w:type="character" w:customStyle="1" w:styleId="132">
    <w:name w:val="font151"/>
    <w:basedOn w:val="47"/>
    <w:qFormat/>
    <w:uiPriority w:val="0"/>
    <w:rPr>
      <w:rFonts w:hint="eastAsia" w:ascii="仿宋" w:hAnsi="仿宋" w:eastAsia="仿宋" w:cs="仿宋"/>
      <w:color w:val="FF0000"/>
      <w:sz w:val="20"/>
      <w:szCs w:val="20"/>
      <w:u w:val="none"/>
    </w:rPr>
  </w:style>
  <w:style w:type="character" w:customStyle="1" w:styleId="133">
    <w:name w:val="font161"/>
    <w:basedOn w:val="47"/>
    <w:qFormat/>
    <w:uiPriority w:val="0"/>
    <w:rPr>
      <w:b/>
      <w:bCs/>
      <w:sz w:val="32"/>
      <w:szCs w:val="32"/>
    </w:rPr>
  </w:style>
  <w:style w:type="paragraph" w:customStyle="1" w:styleId="134">
    <w:name w:val="文本正文"/>
    <w:basedOn w:val="1"/>
    <w:qFormat/>
    <w:uiPriority w:val="0"/>
    <w:pPr>
      <w:spacing w:afterLines="50"/>
      <w:ind w:firstLine="200" w:firstLineChars="200"/>
      <w:jc w:val="left"/>
    </w:pPr>
    <w:rPr>
      <w:rFonts w:ascii="Calibri" w:hAnsi="Calibri"/>
      <w:szCs w:val="22"/>
      <w:lang w:bidi="en-US"/>
    </w:rPr>
  </w:style>
  <w:style w:type="paragraph" w:customStyle="1" w:styleId="135">
    <w:name w:val="正文缩进1"/>
    <w:basedOn w:val="1"/>
    <w:qFormat/>
    <w:uiPriority w:val="0"/>
    <w:pPr>
      <w:autoSpaceDE w:val="0"/>
      <w:autoSpaceDN w:val="0"/>
      <w:adjustRightInd w:val="0"/>
      <w:ind w:firstLine="420"/>
    </w:pPr>
    <w:rPr>
      <w:rFonts w:ascii="宋体" w:hAnsi="Calibri"/>
      <w:szCs w:val="22"/>
    </w:rPr>
  </w:style>
  <w:style w:type="paragraph" w:customStyle="1" w:styleId="136">
    <w:name w:val="纯文本1"/>
    <w:basedOn w:val="1"/>
    <w:qFormat/>
    <w:uiPriority w:val="0"/>
    <w:rPr>
      <w:rFonts w:ascii="宋体" w:hAnsi="Courier New" w:eastAsia="宋体" w:cs="Times New Roman"/>
      <w:szCs w:val="22"/>
    </w:rPr>
  </w:style>
  <w:style w:type="paragraph" w:customStyle="1" w:styleId="137">
    <w:name w:val="目录"/>
    <w:basedOn w:val="1"/>
    <w:qFormat/>
    <w:uiPriority w:val="0"/>
    <w:pPr>
      <w:spacing w:line="540" w:lineRule="exact"/>
      <w:ind w:left="53" w:firstLine="560" w:firstLineChars="200"/>
    </w:pPr>
    <w:rPr>
      <w:rFonts w:eastAsia="仿宋"/>
      <w:sz w:val="28"/>
      <w:szCs w:val="28"/>
    </w:rPr>
  </w:style>
  <w:style w:type="paragraph" w:customStyle="1" w:styleId="138">
    <w:name w:val="p0"/>
    <w:basedOn w:val="1"/>
    <w:qFormat/>
    <w:uiPriority w:val="0"/>
    <w:pPr>
      <w:widowControl/>
      <w:jc w:val="left"/>
    </w:pPr>
    <w:rPr>
      <w:kern w:val="0"/>
      <w:szCs w:val="21"/>
    </w:rPr>
  </w:style>
  <w:style w:type="paragraph" w:customStyle="1" w:styleId="139">
    <w:name w:val="样式 样式 正文缩进正文（首行缩进两字）正文2 + 首行缩进:  2 字符 + 首行缩进:  2 字符"/>
    <w:basedOn w:val="1"/>
    <w:qFormat/>
    <w:uiPriority w:val="39"/>
    <w:pPr>
      <w:spacing w:line="324" w:lineRule="auto"/>
      <w:ind w:firstLine="600"/>
    </w:pPr>
    <w:rPr>
      <w:rFonts w:ascii="Times New Roman" w:hAnsi="宋体" w:cs="宋体"/>
      <w:sz w:val="28"/>
      <w:szCs w:val="20"/>
    </w:rPr>
  </w:style>
  <w:style w:type="paragraph" w:customStyle="1" w:styleId="140">
    <w:name w:val="表格文字2"/>
    <w:basedOn w:val="14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41">
    <w:name w:val="正文1"/>
    <w:basedOn w:val="1"/>
    <w:qFormat/>
    <w:uiPriority w:val="0"/>
    <w:pPr>
      <w:spacing w:after="120" w:line="360" w:lineRule="auto"/>
      <w:ind w:firstLine="425"/>
    </w:pPr>
    <w:rPr>
      <w:rFonts w:ascii="Arial" w:hAnsi="Arial"/>
      <w:spacing w:val="8"/>
      <w:sz w:val="24"/>
      <w:szCs w:val="20"/>
    </w:rPr>
  </w:style>
  <w:style w:type="paragraph" w:customStyle="1" w:styleId="142">
    <w:name w:val="5）标书正文 首行缩进2字符"/>
    <w:qFormat/>
    <w:uiPriority w:val="0"/>
    <w:pPr>
      <w:spacing w:line="520" w:lineRule="exact"/>
      <w:ind w:firstLine="560" w:firstLineChars="200"/>
    </w:pPr>
    <w:rPr>
      <w:rFonts w:ascii="宋体" w:hAnsi="宋体" w:eastAsia="仿宋" w:cs="宋体"/>
      <w:sz w:val="28"/>
      <w:szCs w:val="24"/>
      <w:lang w:val="en-US" w:eastAsia="zh-CN" w:bidi="ar-SA"/>
    </w:rPr>
  </w:style>
  <w:style w:type="character" w:customStyle="1" w:styleId="143">
    <w:name w:val="bookmark-item"/>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70</Pages>
  <Words>37989</Words>
  <Characters>41573</Characters>
  <Lines>1</Lines>
  <Paragraphs>1</Paragraphs>
  <TotalTime>84</TotalTime>
  <ScaleCrop>false</ScaleCrop>
  <LinksUpToDate>false</LinksUpToDate>
  <CharactersWithSpaces>63989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2017-06-05T11:59:00Z</dcterms:created>
  <dc:creator>aa</dc:creator>
  <cp:lastModifiedBy>艾力克木</cp:lastModifiedBy>
  <cp:lastPrinted>2023-06-13T10:50:00Z</cp:lastPrinted>
  <dcterms:modified xsi:type="dcterms:W3CDTF">2023-09-25T01:48:38Z</dcterms:modified>
  <dc:title>新疆塔里木河流域近期综合治理和田河流域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F3F57758F14A4A1086F564914A9D6228</vt:lpwstr>
  </property>
</Properties>
</file>