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44"/>
          <w:szCs w:val="44"/>
          <w:highlight w:val="none"/>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val="0"/>
        <w:spacing w:after="0" w:line="480" w:lineRule="auto"/>
        <w:jc w:val="center"/>
        <w:textAlignment w:val="auto"/>
        <w:outlineLvl w:val="9"/>
        <w:rPr>
          <w:rFonts w:hint="eastAsia"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val="en-US" w:eastAsia="zh-CN"/>
        </w:rPr>
        <w:t>小拐乡肉羊养殖场设备及农机采购项目</w:t>
      </w:r>
    </w:p>
    <w:p>
      <w:pPr>
        <w:pStyle w:val="2"/>
        <w:keepNext w:val="0"/>
        <w:keepLines w:val="0"/>
        <w:pageBreakBefore w:val="0"/>
        <w:widowControl w:val="0"/>
        <w:kinsoku/>
        <w:wordWrap/>
        <w:overflowPunct/>
        <w:topLinePunct w:val="0"/>
        <w:autoSpaceDE/>
        <w:autoSpaceDN/>
        <w:bidi w:val="0"/>
        <w:adjustRightInd/>
        <w:snapToGrid w:val="0"/>
        <w:spacing w:after="0" w:line="480" w:lineRule="auto"/>
        <w:jc w:val="center"/>
        <w:textAlignment w:val="auto"/>
        <w:outlineLvl w:val="9"/>
        <w:rPr>
          <w:rFonts w:hint="eastAsia" w:ascii="仿宋" w:hAnsi="仿宋" w:eastAsia="仿宋" w:cs="仿宋"/>
          <w:b/>
          <w:bCs/>
          <w:color w:val="auto"/>
          <w:w w:val="110"/>
          <w:sz w:val="48"/>
          <w:szCs w:val="48"/>
          <w:highlight w:val="none"/>
        </w:rPr>
      </w:pPr>
      <w:r>
        <w:rPr>
          <w:rFonts w:hint="eastAsia" w:ascii="仿宋" w:hAnsi="仿宋" w:eastAsia="仿宋" w:cs="仿宋"/>
          <w:b/>
          <w:bCs/>
          <w:color w:val="auto"/>
          <w:sz w:val="48"/>
          <w:szCs w:val="48"/>
          <w:highlight w:val="none"/>
          <w:lang w:eastAsia="zh-CN"/>
        </w:rPr>
        <w:t>竞争性谈判文件</w:t>
      </w:r>
    </w:p>
    <w:p>
      <w:pPr>
        <w:pageBreakBefore w:val="0"/>
        <w:kinsoku/>
        <w:overflowPunct/>
        <w:topLinePunct w:val="0"/>
        <w:autoSpaceDE/>
        <w:autoSpaceDN/>
        <w:bidi w:val="0"/>
        <w:spacing w:line="360" w:lineRule="auto"/>
        <w:outlineLvl w:val="9"/>
        <w:rPr>
          <w:rFonts w:hint="eastAsia" w:ascii="仿宋" w:hAnsi="仿宋" w:eastAsia="仿宋" w:cs="仿宋"/>
          <w:b/>
          <w:color w:val="auto"/>
          <w:sz w:val="24"/>
          <w:szCs w:val="24"/>
          <w:highlight w:val="none"/>
        </w:rPr>
      </w:pPr>
    </w:p>
    <w:p>
      <w:pPr>
        <w:pStyle w:val="2"/>
        <w:pageBreakBefore w:val="0"/>
        <w:kinsoku/>
        <w:overflowPunct/>
        <w:topLinePunct w:val="0"/>
        <w:autoSpaceDE/>
        <w:autoSpaceDN/>
        <w:bidi w:val="0"/>
        <w:spacing w:line="360" w:lineRule="auto"/>
        <w:jc w:val="center"/>
        <w:outlineLvl w:val="9"/>
        <w:rPr>
          <w:rFonts w:hint="eastAsia" w:ascii="仿宋" w:hAnsi="仿宋" w:eastAsia="仿宋" w:cs="仿宋"/>
          <w:b/>
          <w:color w:val="auto"/>
          <w:sz w:val="36"/>
          <w:szCs w:val="36"/>
          <w:highlight w:val="none"/>
          <w:lang w:val="en-US" w:eastAsia="zh-CN"/>
        </w:rPr>
      </w:pPr>
      <w:r>
        <w:rPr>
          <w:rFonts w:hint="eastAsia" w:ascii="仿宋" w:hAnsi="仿宋" w:eastAsia="仿宋" w:cs="仿宋"/>
          <w:b/>
          <w:bCs/>
          <w:color w:val="auto"/>
          <w:sz w:val="36"/>
          <w:szCs w:val="36"/>
          <w:highlight w:val="none"/>
        </w:rPr>
        <w:t>项目编号：</w:t>
      </w:r>
      <w:r>
        <w:rPr>
          <w:rFonts w:hint="eastAsia" w:ascii="仿宋" w:hAnsi="仿宋" w:eastAsia="仿宋" w:cs="仿宋"/>
          <w:b/>
          <w:bCs/>
          <w:color w:val="auto"/>
          <w:sz w:val="36"/>
          <w:szCs w:val="36"/>
          <w:highlight w:val="none"/>
          <w:lang w:eastAsia="zh-CN"/>
        </w:rPr>
        <w:t>HYGS-ZC-2023-89</w:t>
      </w:r>
    </w:p>
    <w:p>
      <w:pPr>
        <w:pageBreakBefore w:val="0"/>
        <w:kinsoku/>
        <w:overflowPunct/>
        <w:topLinePunct w:val="0"/>
        <w:autoSpaceDE/>
        <w:autoSpaceDN/>
        <w:bidi w:val="0"/>
        <w:spacing w:line="360" w:lineRule="auto"/>
        <w:outlineLvl w:val="9"/>
        <w:rPr>
          <w:rFonts w:hint="eastAsia" w:ascii="仿宋" w:hAnsi="仿宋" w:eastAsia="仿宋" w:cs="仿宋"/>
          <w:b/>
          <w:color w:val="auto"/>
          <w:sz w:val="24"/>
          <w:szCs w:val="24"/>
          <w:highlight w:val="none"/>
        </w:rPr>
      </w:pPr>
    </w:p>
    <w:p>
      <w:pPr>
        <w:pageBreakBefore w:val="0"/>
        <w:kinsoku/>
        <w:overflowPunct/>
        <w:topLinePunct w:val="0"/>
        <w:autoSpaceDE/>
        <w:autoSpaceDN/>
        <w:bidi w:val="0"/>
        <w:spacing w:line="360" w:lineRule="auto"/>
        <w:outlineLvl w:val="9"/>
        <w:rPr>
          <w:rFonts w:hint="eastAsia" w:ascii="仿宋" w:hAnsi="仿宋" w:eastAsia="仿宋" w:cs="仿宋"/>
          <w:b/>
          <w:color w:val="auto"/>
          <w:sz w:val="24"/>
          <w:szCs w:val="24"/>
          <w:highlight w:val="none"/>
        </w:rPr>
      </w:pPr>
    </w:p>
    <w:p>
      <w:pPr>
        <w:pStyle w:val="2"/>
        <w:pageBreakBefore w:val="0"/>
        <w:kinsoku/>
        <w:overflowPunct/>
        <w:topLinePunct w:val="0"/>
        <w:autoSpaceDE/>
        <w:autoSpaceDN/>
        <w:bidi w:val="0"/>
        <w:spacing w:line="360" w:lineRule="auto"/>
        <w:outlineLvl w:val="9"/>
        <w:rPr>
          <w:rFonts w:hint="eastAsia" w:ascii="仿宋" w:hAnsi="仿宋" w:eastAsia="仿宋" w:cs="仿宋"/>
          <w:b/>
          <w:color w:val="auto"/>
          <w:sz w:val="24"/>
          <w:szCs w:val="24"/>
          <w:highlight w:val="none"/>
        </w:rPr>
      </w:pPr>
    </w:p>
    <w:p>
      <w:pPr>
        <w:pStyle w:val="2"/>
        <w:pageBreakBefore w:val="0"/>
        <w:kinsoku/>
        <w:overflowPunct/>
        <w:topLinePunct w:val="0"/>
        <w:autoSpaceDE/>
        <w:autoSpaceDN/>
        <w:bidi w:val="0"/>
        <w:spacing w:line="360" w:lineRule="auto"/>
        <w:outlineLvl w:val="9"/>
        <w:rPr>
          <w:rFonts w:hint="eastAsia" w:ascii="仿宋" w:hAnsi="仿宋" w:eastAsia="仿宋" w:cs="仿宋"/>
          <w:b/>
          <w:color w:val="auto"/>
          <w:sz w:val="24"/>
          <w:szCs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Cs/>
          <w:color w:val="auto"/>
          <w:sz w:val="24"/>
          <w:szCs w:val="24"/>
          <w:highlight w:val="none"/>
        </w:rPr>
      </w:pPr>
    </w:p>
    <w:p>
      <w:pPr>
        <w:pStyle w:val="32"/>
        <w:pageBreakBefore w:val="0"/>
        <w:kinsoku/>
        <w:overflowPunct/>
        <w:topLinePunct w:val="0"/>
        <w:autoSpaceDE/>
        <w:autoSpaceDN/>
        <w:bidi w:val="0"/>
        <w:spacing w:line="360" w:lineRule="auto"/>
        <w:outlineLvl w:val="9"/>
        <w:rPr>
          <w:rFonts w:hint="eastAsia" w:ascii="仿宋" w:hAnsi="仿宋" w:eastAsia="仿宋" w:cs="仿宋"/>
          <w:bCs w:val="0"/>
          <w:color w:val="auto"/>
          <w:sz w:val="24"/>
          <w:szCs w:val="24"/>
          <w:highlight w:val="none"/>
        </w:rPr>
      </w:pPr>
    </w:p>
    <w:p>
      <w:pPr>
        <w:pStyle w:val="32"/>
        <w:pageBreakBefore w:val="0"/>
        <w:kinsoku/>
        <w:overflowPunct/>
        <w:topLinePunct w:val="0"/>
        <w:autoSpaceDE/>
        <w:autoSpaceDN/>
        <w:bidi w:val="0"/>
        <w:spacing w:line="360" w:lineRule="auto"/>
        <w:outlineLvl w:val="9"/>
        <w:rPr>
          <w:rFonts w:hint="eastAsia" w:ascii="仿宋" w:hAnsi="仿宋" w:eastAsia="仿宋" w:cs="仿宋"/>
          <w:bCs w:val="0"/>
          <w:color w:val="auto"/>
          <w:sz w:val="24"/>
          <w:szCs w:val="24"/>
          <w:highlight w:val="none"/>
        </w:rPr>
      </w:pPr>
    </w:p>
    <w:p>
      <w:pPr>
        <w:pStyle w:val="32"/>
        <w:pageBreakBefore w:val="0"/>
        <w:kinsoku/>
        <w:overflowPunct/>
        <w:topLinePunct w:val="0"/>
        <w:autoSpaceDE/>
        <w:autoSpaceDN/>
        <w:bidi w:val="0"/>
        <w:spacing w:line="360" w:lineRule="auto"/>
        <w:outlineLvl w:val="9"/>
        <w:rPr>
          <w:rFonts w:hint="eastAsia" w:ascii="仿宋" w:hAnsi="仿宋" w:eastAsia="仿宋" w:cs="仿宋"/>
          <w:bCs w:val="0"/>
          <w:color w:val="auto"/>
          <w:sz w:val="24"/>
          <w:szCs w:val="24"/>
          <w:highlight w:val="none"/>
        </w:rPr>
      </w:pPr>
    </w:p>
    <w:p>
      <w:pPr>
        <w:pageBreakBefore w:val="0"/>
        <w:kinsoku/>
        <w:overflowPunct/>
        <w:topLinePunct w:val="0"/>
        <w:autoSpaceDE/>
        <w:autoSpaceDN/>
        <w:bidi w:val="0"/>
        <w:spacing w:line="360" w:lineRule="auto"/>
        <w:jc w:val="both"/>
        <w:outlineLvl w:val="9"/>
        <w:rPr>
          <w:rFonts w:hint="eastAsia" w:ascii="仿宋" w:hAnsi="仿宋" w:eastAsia="仿宋" w:cs="仿宋"/>
          <w:color w:val="auto"/>
          <w:highlight w:val="none"/>
        </w:rPr>
      </w:pPr>
      <w:r>
        <w:rPr>
          <w:rFonts w:hint="eastAsia" w:ascii="仿宋" w:hAnsi="仿宋" w:eastAsia="仿宋" w:cs="仿宋"/>
          <w:bCs/>
          <w:color w:val="auto"/>
          <w:sz w:val="32"/>
          <w:szCs w:val="32"/>
          <w:highlight w:val="none"/>
          <w:lang w:eastAsia="zh-CN"/>
        </w:rPr>
        <w:t>采购人：克拉玛依市克拉玛依区小拐乡人民政府</w:t>
      </w:r>
    </w:p>
    <w:p>
      <w:pPr>
        <w:pageBreakBefore w:val="0"/>
        <w:kinsoku/>
        <w:overflowPunct/>
        <w:topLinePunct w:val="0"/>
        <w:autoSpaceDE/>
        <w:autoSpaceDN/>
        <w:bidi w:val="0"/>
        <w:spacing w:before="156" w:beforeLines="50" w:after="156" w:afterLines="50" w:line="360" w:lineRule="auto"/>
        <w:jc w:val="both"/>
        <w:textAlignment w:val="baseline"/>
        <w:outlineLvl w:val="9"/>
        <w:rPr>
          <w:rFonts w:hint="eastAsia" w:ascii="仿宋" w:hAnsi="仿宋" w:eastAsia="仿宋" w:cs="仿宋"/>
          <w:b/>
          <w:bCs/>
          <w:i/>
          <w:color w:val="auto"/>
          <w:sz w:val="32"/>
          <w:szCs w:val="32"/>
          <w:highlight w:val="none"/>
        </w:rPr>
      </w:pPr>
      <w:r>
        <w:rPr>
          <w:rFonts w:hint="eastAsia" w:ascii="仿宋" w:hAnsi="仿宋" w:eastAsia="仿宋" w:cs="仿宋"/>
          <w:bCs/>
          <w:color w:val="auto"/>
          <w:sz w:val="32"/>
          <w:szCs w:val="32"/>
          <w:highlight w:val="none"/>
          <w:lang w:eastAsia="zh-CN"/>
        </w:rPr>
        <w:t>采购代理机构：</w:t>
      </w:r>
      <w:r>
        <w:rPr>
          <w:rFonts w:hint="eastAsia" w:ascii="仿宋" w:hAnsi="仿宋" w:eastAsia="仿宋" w:cs="仿宋"/>
          <w:bCs/>
          <w:color w:val="auto"/>
          <w:sz w:val="32"/>
          <w:szCs w:val="32"/>
          <w:highlight w:val="none"/>
        </w:rPr>
        <w:t>新疆宏宇建设工程项目管理有限责任公司</w:t>
      </w:r>
    </w:p>
    <w:p>
      <w:pPr>
        <w:pageBreakBefore w:val="0"/>
        <w:numPr>
          <w:ilvl w:val="0"/>
          <w:numId w:val="0"/>
        </w:numPr>
        <w:tabs>
          <w:tab w:val="left" w:pos="0"/>
        </w:tabs>
        <w:kinsoku/>
        <w:overflowPunct/>
        <w:topLinePunct w:val="0"/>
        <w:autoSpaceDE/>
        <w:autoSpaceDN/>
        <w:bidi w:val="0"/>
        <w:spacing w:line="360" w:lineRule="auto"/>
        <w:jc w:val="center"/>
        <w:outlineLvl w:val="9"/>
        <w:rPr>
          <w:rFonts w:hint="eastAsia" w:ascii="仿宋" w:hAnsi="仿宋" w:eastAsia="仿宋" w:cs="仿宋"/>
          <w:b w:val="0"/>
          <w:bCs/>
          <w:i w:val="0"/>
          <w:color w:val="auto"/>
          <w:sz w:val="32"/>
          <w:szCs w:val="32"/>
          <w:highlight w:val="none"/>
        </w:rPr>
      </w:pPr>
    </w:p>
    <w:p>
      <w:pPr>
        <w:pageBreakBefore w:val="0"/>
        <w:numPr>
          <w:ilvl w:val="0"/>
          <w:numId w:val="0"/>
        </w:numPr>
        <w:tabs>
          <w:tab w:val="left" w:pos="0"/>
        </w:tabs>
        <w:kinsoku/>
        <w:overflowPunct/>
        <w:topLinePunct w:val="0"/>
        <w:autoSpaceDE/>
        <w:autoSpaceDN/>
        <w:bidi w:val="0"/>
        <w:spacing w:line="360" w:lineRule="auto"/>
        <w:jc w:val="center"/>
        <w:outlineLvl w:val="9"/>
        <w:rPr>
          <w:rFonts w:hint="eastAsia" w:ascii="仿宋" w:hAnsi="仿宋" w:eastAsia="仿宋" w:cs="仿宋"/>
          <w:b w:val="0"/>
          <w:bCs/>
          <w:i w:val="0"/>
          <w:color w:val="auto"/>
          <w:sz w:val="32"/>
          <w:szCs w:val="32"/>
          <w:highlight w:val="none"/>
        </w:rPr>
      </w:pPr>
    </w:p>
    <w:p>
      <w:pPr>
        <w:pageBreakBefore w:val="0"/>
        <w:numPr>
          <w:ilvl w:val="0"/>
          <w:numId w:val="0"/>
        </w:numPr>
        <w:tabs>
          <w:tab w:val="left" w:pos="0"/>
        </w:tabs>
        <w:kinsoku/>
        <w:overflowPunct/>
        <w:topLinePunct w:val="0"/>
        <w:autoSpaceDE/>
        <w:autoSpaceDN/>
        <w:bidi w:val="0"/>
        <w:spacing w:line="360" w:lineRule="auto"/>
        <w:jc w:val="center"/>
        <w:outlineLvl w:val="9"/>
        <w:rPr>
          <w:rFonts w:hint="eastAsia" w:ascii="仿宋" w:hAnsi="仿宋" w:eastAsia="仿宋" w:cs="仿宋"/>
          <w:b w:val="0"/>
          <w:bCs/>
          <w:i w:val="0"/>
          <w:color w:val="auto"/>
          <w:sz w:val="32"/>
          <w:szCs w:val="32"/>
          <w:highlight w:val="none"/>
        </w:rPr>
      </w:pPr>
    </w:p>
    <w:p>
      <w:pPr>
        <w:pageBreakBefore w:val="0"/>
        <w:numPr>
          <w:ilvl w:val="0"/>
          <w:numId w:val="0"/>
        </w:numPr>
        <w:tabs>
          <w:tab w:val="left" w:pos="0"/>
        </w:tabs>
        <w:kinsoku/>
        <w:overflowPunct/>
        <w:topLinePunct w:val="0"/>
        <w:autoSpaceDE/>
        <w:autoSpaceDN/>
        <w:bidi w:val="0"/>
        <w:spacing w:line="360" w:lineRule="auto"/>
        <w:jc w:val="center"/>
        <w:outlineLvl w:val="9"/>
        <w:rPr>
          <w:rFonts w:hint="eastAsia" w:ascii="仿宋" w:hAnsi="仿宋" w:eastAsia="仿宋" w:cs="仿宋"/>
          <w:b w:val="0"/>
          <w:bCs/>
          <w:i w:val="0"/>
          <w:color w:val="auto"/>
          <w:sz w:val="32"/>
          <w:szCs w:val="32"/>
          <w:highlight w:val="none"/>
        </w:rPr>
      </w:pPr>
      <w:r>
        <w:rPr>
          <w:rFonts w:hint="eastAsia" w:ascii="仿宋" w:hAnsi="仿宋" w:eastAsia="仿宋" w:cs="仿宋"/>
          <w:b w:val="0"/>
          <w:bCs/>
          <w:i w:val="0"/>
          <w:color w:val="auto"/>
          <w:sz w:val="32"/>
          <w:szCs w:val="32"/>
          <w:highlight w:val="none"/>
        </w:rPr>
        <w:t>二</w:t>
      </w:r>
      <w:r>
        <w:rPr>
          <w:rFonts w:hint="eastAsia" w:ascii="仿宋" w:hAnsi="仿宋" w:eastAsia="仿宋" w:cs="仿宋"/>
          <w:b w:val="0"/>
          <w:bCs/>
          <w:i w:val="0"/>
          <w:color w:val="auto"/>
          <w:sz w:val="32"/>
          <w:szCs w:val="32"/>
          <w:highlight w:val="none"/>
          <w:lang w:eastAsia="zh-CN"/>
        </w:rPr>
        <w:t>零二三</w:t>
      </w:r>
      <w:r>
        <w:rPr>
          <w:rFonts w:hint="eastAsia" w:ascii="仿宋" w:hAnsi="仿宋" w:eastAsia="仿宋" w:cs="仿宋"/>
          <w:b w:val="0"/>
          <w:bCs/>
          <w:i w:val="0"/>
          <w:color w:val="auto"/>
          <w:sz w:val="32"/>
          <w:szCs w:val="32"/>
          <w:highlight w:val="none"/>
        </w:rPr>
        <w:t>年</w:t>
      </w:r>
    </w:p>
    <w:p>
      <w:pPr>
        <w:pageBreakBefore w:val="0"/>
        <w:kinsoku/>
        <w:overflowPunct/>
        <w:topLinePunct w:val="0"/>
        <w:autoSpaceDE/>
        <w:autoSpaceDN/>
        <w:bidi w:val="0"/>
        <w:spacing w:line="360" w:lineRule="auto"/>
        <w:jc w:val="center"/>
        <w:outlineLvl w:val="9"/>
        <w:rPr>
          <w:rFonts w:hint="eastAsia" w:ascii="仿宋" w:hAnsi="仿宋" w:eastAsia="仿宋" w:cs="仿宋"/>
          <w:b w:val="0"/>
          <w:bCs/>
          <w:color w:val="auto"/>
          <w:sz w:val="32"/>
          <w:szCs w:val="32"/>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bCs/>
          <w:i w:val="0"/>
          <w:iCs w:val="0"/>
          <w:color w:val="auto"/>
          <w:sz w:val="32"/>
          <w:szCs w:val="32"/>
          <w:highlight w:val="none"/>
        </w:rPr>
        <w:sectPr>
          <w:headerReference r:id="rId3" w:type="default"/>
          <w:footerReference r:id="rId4" w:type="default"/>
          <w:pgSz w:w="11906" w:h="16838"/>
          <w:pgMar w:top="1440" w:right="1803" w:bottom="1440" w:left="1803" w:header="851" w:footer="992" w:gutter="0"/>
          <w:pgNumType w:fmt="decimal" w:start="1"/>
          <w:cols w:space="720" w:num="1"/>
          <w:docGrid w:type="lines" w:linePitch="312" w:charSpace="0"/>
        </w:sectPr>
      </w:pPr>
    </w:p>
    <w:p>
      <w:pPr>
        <w:pageBreakBefore w:val="0"/>
        <w:kinsoku/>
        <w:overflowPunct/>
        <w:topLinePunct w:val="0"/>
        <w:autoSpaceDE/>
        <w:autoSpaceDN/>
        <w:bidi w:val="0"/>
        <w:spacing w:line="360" w:lineRule="auto"/>
        <w:jc w:val="center"/>
        <w:outlineLvl w:val="9"/>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目  录</w:t>
      </w:r>
    </w:p>
    <w:p>
      <w:pPr>
        <w:pStyle w:val="20"/>
        <w:tabs>
          <w:tab w:val="right" w:leader="dot" w:pos="8306"/>
        </w:tabs>
        <w:spacing w:line="480" w:lineRule="auto"/>
        <w:rPr>
          <w:sz w:val="28"/>
          <w:szCs w:val="28"/>
        </w:rPr>
      </w:pPr>
      <w:r>
        <w:rPr>
          <w:rFonts w:hint="eastAsia" w:ascii="仿宋" w:hAnsi="仿宋" w:eastAsia="仿宋" w:cs="仿宋"/>
          <w:b/>
          <w:i w:val="0"/>
          <w:iCs w:val="0"/>
          <w:color w:val="auto"/>
          <w:sz w:val="28"/>
          <w:szCs w:val="28"/>
          <w:highlight w:val="none"/>
        </w:rPr>
        <w:fldChar w:fldCharType="begin"/>
      </w:r>
      <w:r>
        <w:rPr>
          <w:rFonts w:hint="eastAsia" w:ascii="仿宋" w:hAnsi="仿宋" w:eastAsia="仿宋" w:cs="仿宋"/>
          <w:b/>
          <w:i w:val="0"/>
          <w:iCs w:val="0"/>
          <w:color w:val="auto"/>
          <w:sz w:val="28"/>
          <w:szCs w:val="28"/>
          <w:highlight w:val="none"/>
        </w:rPr>
        <w:instrText xml:space="preserve">TOC \o "1-1" \h \u </w:instrText>
      </w:r>
      <w:r>
        <w:rPr>
          <w:rFonts w:hint="eastAsia" w:ascii="仿宋" w:hAnsi="仿宋" w:eastAsia="仿宋" w:cs="仿宋"/>
          <w:b/>
          <w:i w:val="0"/>
          <w:iCs w:val="0"/>
          <w:color w:val="auto"/>
          <w:sz w:val="28"/>
          <w:szCs w:val="28"/>
          <w:highlight w:val="none"/>
        </w:rPr>
        <w:fldChar w:fldCharType="separate"/>
      </w: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sz w:val="28"/>
          <w:szCs w:val="28"/>
          <w:highlight w:val="none"/>
        </w:rPr>
        <w:instrText xml:space="preserve"> HYPERLINK \l _Toc10834 </w:instrText>
      </w:r>
      <w:r>
        <w:rPr>
          <w:rFonts w:hint="eastAsia" w:ascii="仿宋" w:hAnsi="仿宋" w:eastAsia="仿宋" w:cs="仿宋"/>
          <w:i w:val="0"/>
          <w:iCs w:val="0"/>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eastAsia="zh-CN"/>
        </w:rPr>
        <w:t>竞争性</w:t>
      </w:r>
      <w:r>
        <w:rPr>
          <w:rFonts w:hint="eastAsia" w:ascii="仿宋" w:hAnsi="仿宋" w:eastAsia="仿宋" w:cs="仿宋"/>
          <w:sz w:val="28"/>
          <w:szCs w:val="28"/>
          <w:highlight w:val="none"/>
          <w:lang w:val="en-US" w:eastAsia="zh-CN"/>
        </w:rPr>
        <w:t>谈判</w:t>
      </w:r>
      <w:r>
        <w:rPr>
          <w:rFonts w:hint="eastAsia" w:ascii="仿宋" w:hAnsi="仿宋" w:eastAsia="仿宋" w:cs="仿宋"/>
          <w:sz w:val="28"/>
          <w:szCs w:val="28"/>
          <w:highlight w:val="none"/>
        </w:rPr>
        <w:t>公告</w:t>
      </w:r>
      <w:r>
        <w:rPr>
          <w:sz w:val="28"/>
          <w:szCs w:val="28"/>
        </w:rPr>
        <w:tab/>
      </w:r>
      <w:r>
        <w:rPr>
          <w:sz w:val="28"/>
          <w:szCs w:val="28"/>
        </w:rPr>
        <w:fldChar w:fldCharType="begin"/>
      </w:r>
      <w:r>
        <w:rPr>
          <w:sz w:val="28"/>
          <w:szCs w:val="28"/>
        </w:rPr>
        <w:instrText xml:space="preserve"> PAGEREF _Toc10834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i w:val="0"/>
          <w:iCs w:val="0"/>
          <w:color w:val="auto"/>
          <w:sz w:val="28"/>
          <w:szCs w:val="28"/>
          <w:highlight w:val="none"/>
        </w:rPr>
        <w:fldChar w:fldCharType="end"/>
      </w:r>
    </w:p>
    <w:p>
      <w:pPr>
        <w:pStyle w:val="20"/>
        <w:tabs>
          <w:tab w:val="right" w:leader="dot" w:pos="8306"/>
        </w:tabs>
        <w:rPr>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sz w:val="28"/>
          <w:szCs w:val="28"/>
          <w:highlight w:val="none"/>
        </w:rPr>
        <w:instrText xml:space="preserve"> HYPERLINK \l _Toc12272 </w:instrText>
      </w:r>
      <w:r>
        <w:rPr>
          <w:rFonts w:hint="eastAsia" w:ascii="仿宋" w:hAnsi="仿宋" w:eastAsia="仿宋" w:cs="仿宋"/>
          <w:i w:val="0"/>
          <w:iCs w:val="0"/>
          <w:sz w:val="28"/>
          <w:szCs w:val="28"/>
          <w:highlight w:val="none"/>
        </w:rPr>
        <w:fldChar w:fldCharType="separate"/>
      </w:r>
      <w:r>
        <w:rPr>
          <w:rFonts w:hint="eastAsia" w:ascii="仿宋" w:hAnsi="仿宋" w:eastAsia="仿宋" w:cs="仿宋"/>
          <w:sz w:val="28"/>
          <w:szCs w:val="28"/>
          <w:highlight w:val="none"/>
        </w:rPr>
        <w:t xml:space="preserve">第二章  </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w:t>
      </w:r>
      <w:r>
        <w:rPr>
          <w:sz w:val="28"/>
          <w:szCs w:val="28"/>
        </w:rPr>
        <w:tab/>
      </w:r>
      <w:r>
        <w:rPr>
          <w:sz w:val="28"/>
          <w:szCs w:val="28"/>
        </w:rPr>
        <w:fldChar w:fldCharType="begin"/>
      </w:r>
      <w:r>
        <w:rPr>
          <w:sz w:val="28"/>
          <w:szCs w:val="28"/>
        </w:rPr>
        <w:instrText xml:space="preserve"> PAGEREF _Toc12272 \h </w:instrText>
      </w:r>
      <w:r>
        <w:rPr>
          <w:sz w:val="28"/>
          <w:szCs w:val="28"/>
        </w:rPr>
        <w:fldChar w:fldCharType="separate"/>
      </w:r>
      <w:r>
        <w:rPr>
          <w:sz w:val="28"/>
          <w:szCs w:val="28"/>
        </w:rPr>
        <w:t>5</w:t>
      </w:r>
      <w:r>
        <w:rPr>
          <w:sz w:val="28"/>
          <w:szCs w:val="28"/>
        </w:rPr>
        <w:fldChar w:fldCharType="end"/>
      </w:r>
      <w:r>
        <w:rPr>
          <w:rFonts w:hint="eastAsia" w:ascii="仿宋" w:hAnsi="仿宋" w:eastAsia="仿宋" w:cs="仿宋"/>
          <w:i w:val="0"/>
          <w:iCs w:val="0"/>
          <w:color w:val="auto"/>
          <w:sz w:val="28"/>
          <w:szCs w:val="28"/>
          <w:highlight w:val="none"/>
        </w:rPr>
        <w:fldChar w:fldCharType="end"/>
      </w:r>
    </w:p>
    <w:p>
      <w:pPr>
        <w:pStyle w:val="20"/>
        <w:tabs>
          <w:tab w:val="right" w:leader="dot" w:pos="8306"/>
        </w:tabs>
        <w:rPr>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sz w:val="28"/>
          <w:szCs w:val="28"/>
          <w:highlight w:val="none"/>
        </w:rPr>
        <w:instrText xml:space="preserve"> HYPERLINK \l _Toc8036 </w:instrText>
      </w:r>
      <w:r>
        <w:rPr>
          <w:rFonts w:hint="eastAsia" w:ascii="仿宋" w:hAnsi="仿宋" w:eastAsia="仿宋" w:cs="仿宋"/>
          <w:i w:val="0"/>
          <w:iCs w:val="0"/>
          <w:sz w:val="28"/>
          <w:szCs w:val="28"/>
          <w:highlight w:val="none"/>
        </w:rPr>
        <w:fldChar w:fldCharType="separate"/>
      </w:r>
      <w:r>
        <w:rPr>
          <w:rFonts w:hint="eastAsia" w:ascii="仿宋" w:hAnsi="仿宋" w:eastAsia="仿宋" w:cs="仿宋"/>
          <w:sz w:val="28"/>
          <w:szCs w:val="28"/>
          <w:highlight w:val="none"/>
          <w:lang w:eastAsia="zh-CN"/>
        </w:rPr>
        <w:t>第三章</w:t>
      </w:r>
      <w:r>
        <w:rPr>
          <w:rFonts w:hint="eastAsia" w:ascii="仿宋" w:hAnsi="仿宋" w:eastAsia="仿宋" w:cs="仿宋"/>
          <w:sz w:val="28"/>
          <w:szCs w:val="28"/>
          <w:highlight w:val="none"/>
        </w:rPr>
        <w:t xml:space="preserve"> 采购需求</w:t>
      </w:r>
      <w:r>
        <w:rPr>
          <w:sz w:val="28"/>
          <w:szCs w:val="28"/>
        </w:rPr>
        <w:tab/>
      </w:r>
      <w:r>
        <w:rPr>
          <w:sz w:val="28"/>
          <w:szCs w:val="28"/>
        </w:rPr>
        <w:fldChar w:fldCharType="begin"/>
      </w:r>
      <w:r>
        <w:rPr>
          <w:sz w:val="28"/>
          <w:szCs w:val="28"/>
        </w:rPr>
        <w:instrText xml:space="preserve"> PAGEREF _Toc8036 \h </w:instrText>
      </w:r>
      <w:r>
        <w:rPr>
          <w:sz w:val="28"/>
          <w:szCs w:val="28"/>
        </w:rPr>
        <w:fldChar w:fldCharType="separate"/>
      </w:r>
      <w:r>
        <w:rPr>
          <w:sz w:val="28"/>
          <w:szCs w:val="28"/>
        </w:rPr>
        <w:t>25</w:t>
      </w:r>
      <w:r>
        <w:rPr>
          <w:sz w:val="28"/>
          <w:szCs w:val="28"/>
        </w:rPr>
        <w:fldChar w:fldCharType="end"/>
      </w:r>
      <w:r>
        <w:rPr>
          <w:rFonts w:hint="eastAsia" w:ascii="仿宋" w:hAnsi="仿宋" w:eastAsia="仿宋" w:cs="仿宋"/>
          <w:i w:val="0"/>
          <w:iCs w:val="0"/>
          <w:color w:val="auto"/>
          <w:sz w:val="28"/>
          <w:szCs w:val="28"/>
          <w:highlight w:val="none"/>
        </w:rPr>
        <w:fldChar w:fldCharType="end"/>
      </w:r>
    </w:p>
    <w:p>
      <w:pPr>
        <w:pStyle w:val="20"/>
        <w:tabs>
          <w:tab w:val="right" w:leader="dot" w:pos="8306"/>
        </w:tabs>
        <w:rPr>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sz w:val="28"/>
          <w:szCs w:val="28"/>
          <w:highlight w:val="none"/>
        </w:rPr>
        <w:instrText xml:space="preserve"> HYPERLINK \l _Toc18127 </w:instrText>
      </w:r>
      <w:r>
        <w:rPr>
          <w:rFonts w:hint="eastAsia" w:ascii="仿宋" w:hAnsi="仿宋" w:eastAsia="仿宋" w:cs="仿宋"/>
          <w:i w:val="0"/>
          <w:iCs w:val="0"/>
          <w:sz w:val="28"/>
          <w:szCs w:val="28"/>
          <w:highlight w:val="none"/>
        </w:rPr>
        <w:fldChar w:fldCharType="separate"/>
      </w:r>
      <w:r>
        <w:rPr>
          <w:rFonts w:hint="eastAsia" w:ascii="仿宋" w:hAnsi="仿宋" w:eastAsia="仿宋" w:cs="仿宋"/>
          <w:bCs/>
          <w:sz w:val="28"/>
          <w:szCs w:val="28"/>
        </w:rPr>
        <w:t>第四章  采购合同</w:t>
      </w:r>
      <w:r>
        <w:rPr>
          <w:sz w:val="28"/>
          <w:szCs w:val="28"/>
        </w:rPr>
        <w:tab/>
      </w:r>
      <w:r>
        <w:rPr>
          <w:sz w:val="28"/>
          <w:szCs w:val="28"/>
        </w:rPr>
        <w:fldChar w:fldCharType="begin"/>
      </w:r>
      <w:r>
        <w:rPr>
          <w:sz w:val="28"/>
          <w:szCs w:val="28"/>
        </w:rPr>
        <w:instrText xml:space="preserve"> PAGEREF _Toc18127 \h </w:instrText>
      </w:r>
      <w:r>
        <w:rPr>
          <w:sz w:val="28"/>
          <w:szCs w:val="28"/>
        </w:rPr>
        <w:fldChar w:fldCharType="separate"/>
      </w:r>
      <w:r>
        <w:rPr>
          <w:sz w:val="28"/>
          <w:szCs w:val="28"/>
        </w:rPr>
        <w:t>28</w:t>
      </w:r>
      <w:r>
        <w:rPr>
          <w:sz w:val="28"/>
          <w:szCs w:val="28"/>
        </w:rPr>
        <w:fldChar w:fldCharType="end"/>
      </w:r>
      <w:r>
        <w:rPr>
          <w:rFonts w:hint="eastAsia" w:ascii="仿宋" w:hAnsi="仿宋" w:eastAsia="仿宋" w:cs="仿宋"/>
          <w:i w:val="0"/>
          <w:iCs w:val="0"/>
          <w:color w:val="auto"/>
          <w:sz w:val="28"/>
          <w:szCs w:val="28"/>
          <w:highlight w:val="none"/>
        </w:rPr>
        <w:fldChar w:fldCharType="end"/>
      </w:r>
    </w:p>
    <w:p>
      <w:pPr>
        <w:pStyle w:val="20"/>
        <w:tabs>
          <w:tab w:val="right" w:leader="dot" w:pos="8306"/>
        </w:tabs>
        <w:rPr>
          <w:sz w:val="28"/>
          <w:szCs w:val="28"/>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sz w:val="28"/>
          <w:szCs w:val="28"/>
          <w:highlight w:val="none"/>
        </w:rPr>
        <w:instrText xml:space="preserve"> HYPERLINK \l _Toc31339 </w:instrText>
      </w:r>
      <w:r>
        <w:rPr>
          <w:rFonts w:hint="eastAsia" w:ascii="仿宋" w:hAnsi="仿宋" w:eastAsia="仿宋" w:cs="仿宋"/>
          <w:i w:val="0"/>
          <w:iCs w:val="0"/>
          <w:sz w:val="28"/>
          <w:szCs w:val="28"/>
          <w:highlight w:val="none"/>
        </w:rPr>
        <w:fldChar w:fldCharType="separate"/>
      </w:r>
      <w:r>
        <w:rPr>
          <w:rFonts w:hint="eastAsia" w:ascii="仿宋" w:hAnsi="仿宋" w:eastAsia="仿宋" w:cs="仿宋"/>
          <w:bCs/>
          <w:i w:val="0"/>
          <w:iCs w:val="0"/>
          <w:sz w:val="28"/>
          <w:szCs w:val="28"/>
          <w:highlight w:val="none"/>
          <w:lang w:eastAsia="zh-CN"/>
        </w:rPr>
        <w:t>第五章</w:t>
      </w:r>
      <w:r>
        <w:rPr>
          <w:rFonts w:hint="eastAsia" w:ascii="仿宋" w:hAnsi="仿宋" w:eastAsia="仿宋" w:cs="仿宋"/>
          <w:bCs/>
          <w:i w:val="0"/>
          <w:iCs w:val="0"/>
          <w:sz w:val="28"/>
          <w:szCs w:val="28"/>
          <w:highlight w:val="none"/>
        </w:rPr>
        <w:t xml:space="preserve">  响应文件格式</w:t>
      </w:r>
      <w:r>
        <w:rPr>
          <w:sz w:val="28"/>
          <w:szCs w:val="28"/>
        </w:rPr>
        <w:tab/>
      </w:r>
      <w:r>
        <w:rPr>
          <w:sz w:val="28"/>
          <w:szCs w:val="28"/>
        </w:rPr>
        <w:fldChar w:fldCharType="begin"/>
      </w:r>
      <w:r>
        <w:rPr>
          <w:sz w:val="28"/>
          <w:szCs w:val="28"/>
        </w:rPr>
        <w:instrText xml:space="preserve"> PAGEREF _Toc31339 \h </w:instrText>
      </w:r>
      <w:r>
        <w:rPr>
          <w:sz w:val="28"/>
          <w:szCs w:val="28"/>
        </w:rPr>
        <w:fldChar w:fldCharType="separate"/>
      </w:r>
      <w:r>
        <w:rPr>
          <w:sz w:val="28"/>
          <w:szCs w:val="28"/>
        </w:rPr>
        <w:t>46</w:t>
      </w:r>
      <w:r>
        <w:rPr>
          <w:sz w:val="28"/>
          <w:szCs w:val="28"/>
        </w:rPr>
        <w:fldChar w:fldCharType="end"/>
      </w:r>
      <w:r>
        <w:rPr>
          <w:rFonts w:hint="eastAsia" w:ascii="仿宋" w:hAnsi="仿宋" w:eastAsia="仿宋" w:cs="仿宋"/>
          <w:i w:val="0"/>
          <w:iCs w:val="0"/>
          <w:color w:val="auto"/>
          <w:sz w:val="28"/>
          <w:szCs w:val="28"/>
          <w:highlight w:val="none"/>
        </w:rPr>
        <w:fldChar w:fldCharType="end"/>
      </w:r>
    </w:p>
    <w:p>
      <w:pPr>
        <w:pageBreakBefore w:val="0"/>
        <w:kinsoku/>
        <w:overflowPunct/>
        <w:topLinePunct w:val="0"/>
        <w:autoSpaceDE/>
        <w:autoSpaceDN/>
        <w:bidi w:val="0"/>
        <w:spacing w:line="360" w:lineRule="auto"/>
        <w:jc w:val="center"/>
        <w:outlineLvl w:val="9"/>
        <w:rPr>
          <w:rFonts w:hint="eastAsia" w:ascii="仿宋" w:hAnsi="仿宋" w:eastAsia="仿宋" w:cs="仿宋"/>
          <w:b/>
          <w:i w:val="0"/>
          <w:iCs w:val="0"/>
          <w:color w:val="auto"/>
          <w:sz w:val="28"/>
          <w:szCs w:val="28"/>
          <w:highlight w:val="none"/>
        </w:rPr>
      </w:pPr>
      <w:r>
        <w:rPr>
          <w:rFonts w:hint="eastAsia" w:ascii="仿宋" w:hAnsi="仿宋" w:eastAsia="仿宋" w:cs="仿宋"/>
          <w:i w:val="0"/>
          <w:iCs w:val="0"/>
          <w:color w:val="auto"/>
          <w:sz w:val="28"/>
          <w:szCs w:val="28"/>
          <w:highlight w:val="none"/>
        </w:rPr>
        <w:fldChar w:fldCharType="end"/>
      </w:r>
    </w:p>
    <w:p>
      <w:pPr>
        <w:pageBreakBefore w:val="0"/>
        <w:kinsoku/>
        <w:overflowPunct/>
        <w:topLinePunct w:val="0"/>
        <w:autoSpaceDE/>
        <w:autoSpaceDN/>
        <w:bidi w:val="0"/>
        <w:spacing w:line="360" w:lineRule="auto"/>
        <w:jc w:val="center"/>
        <w:outlineLvl w:val="9"/>
        <w:rPr>
          <w:rFonts w:hint="eastAsia" w:ascii="仿宋" w:hAnsi="仿宋" w:eastAsia="仿宋" w:cs="仿宋"/>
          <w:b/>
          <w:i w:val="0"/>
          <w:iCs w:val="0"/>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8"/>
          <w:szCs w:val="28"/>
          <w:highlight w:val="none"/>
        </w:rPr>
      </w:pPr>
    </w:p>
    <w:p>
      <w:pPr>
        <w:pageBreakBefore w:val="0"/>
        <w:kinsoku/>
        <w:overflowPunct/>
        <w:topLinePunct w:val="0"/>
        <w:autoSpaceDE/>
        <w:autoSpaceDN/>
        <w:bidi w:val="0"/>
        <w:spacing w:line="360" w:lineRule="auto"/>
        <w:jc w:val="center"/>
        <w:outlineLvl w:val="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bookmarkStart w:id="0" w:name="_Toc10834"/>
      <w:r>
        <w:rPr>
          <w:rFonts w:hint="eastAsia" w:ascii="仿宋" w:hAnsi="仿宋" w:eastAsia="仿宋" w:cs="仿宋"/>
          <w:b/>
          <w:color w:val="auto"/>
          <w:sz w:val="44"/>
          <w:szCs w:val="44"/>
          <w:highlight w:val="none"/>
        </w:rPr>
        <w:t xml:space="preserve">第一章 </w:t>
      </w:r>
      <w:r>
        <w:rPr>
          <w:rFonts w:hint="eastAsia" w:ascii="仿宋" w:hAnsi="仿宋" w:eastAsia="仿宋" w:cs="仿宋"/>
          <w:b/>
          <w:color w:val="auto"/>
          <w:sz w:val="44"/>
          <w:szCs w:val="44"/>
          <w:highlight w:val="none"/>
          <w:lang w:eastAsia="zh-CN"/>
        </w:rPr>
        <w:t>竞争性</w:t>
      </w:r>
      <w:r>
        <w:rPr>
          <w:rFonts w:hint="eastAsia" w:ascii="仿宋" w:hAnsi="仿宋" w:eastAsia="仿宋" w:cs="仿宋"/>
          <w:b/>
          <w:color w:val="auto"/>
          <w:sz w:val="44"/>
          <w:szCs w:val="44"/>
          <w:highlight w:val="none"/>
          <w:lang w:val="en-US" w:eastAsia="zh-CN"/>
        </w:rPr>
        <w:t>谈判</w:t>
      </w:r>
      <w:r>
        <w:rPr>
          <w:rFonts w:hint="eastAsia" w:ascii="仿宋" w:hAnsi="仿宋" w:eastAsia="仿宋" w:cs="仿宋"/>
          <w:b/>
          <w:color w:val="auto"/>
          <w:sz w:val="44"/>
          <w:szCs w:val="44"/>
          <w:highlight w:val="none"/>
        </w:rPr>
        <w:t>公告</w:t>
      </w:r>
      <w:bookmarkEnd w:id="0"/>
    </w:p>
    <w:p>
      <w:pPr>
        <w:pStyle w:val="22"/>
        <w:pageBreakBefore w:val="0"/>
        <w:kinsoku/>
        <w:overflowPunct/>
        <w:topLinePunct w:val="0"/>
        <w:autoSpaceDE/>
        <w:autoSpaceDN/>
        <w:bidi w:val="0"/>
        <w:spacing w:before="75" w:beforeAutospacing="0" w:after="0" w:afterAutospacing="0" w:line="360" w:lineRule="auto"/>
        <w:jc w:val="center"/>
        <w:outlineLvl w:val="9"/>
        <w:rPr>
          <w:rStyle w:val="28"/>
          <w:rFonts w:hint="eastAsia" w:ascii="仿宋" w:hAnsi="仿宋" w:eastAsia="仿宋" w:cs="仿宋"/>
          <w:color w:val="auto"/>
          <w:sz w:val="24"/>
          <w:szCs w:val="24"/>
          <w:highlight w:val="none"/>
          <w:lang w:eastAsia="zh-CN"/>
        </w:rPr>
      </w:pPr>
      <w:r>
        <w:rPr>
          <w:rStyle w:val="28"/>
          <w:rFonts w:hint="eastAsia" w:ascii="仿宋" w:hAnsi="仿宋" w:eastAsia="仿宋" w:cs="仿宋"/>
          <w:color w:val="auto"/>
          <w:sz w:val="24"/>
          <w:szCs w:val="24"/>
          <w:highlight w:val="none"/>
          <w:lang w:eastAsia="zh-CN"/>
        </w:rPr>
        <w:t>小拐乡肉羊养殖场设备及农机采购项目</w:t>
      </w:r>
    </w:p>
    <w:p>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项目概况：小拐乡肉羊养殖场设备及农机采购项目的潜在供应商应在新疆</w:t>
      </w:r>
      <w:r>
        <w:rPr>
          <w:rFonts w:hint="eastAsia" w:ascii="仿宋" w:hAnsi="仿宋" w:eastAsia="仿宋" w:cs="仿宋"/>
          <w:b w:val="0"/>
          <w:i w:val="0"/>
          <w:color w:val="auto"/>
          <w:kern w:val="2"/>
          <w:sz w:val="24"/>
          <w:szCs w:val="24"/>
          <w:highlight w:val="none"/>
          <w:u w:val="single"/>
          <w:lang w:val="en-US" w:eastAsia="zh-CN" w:bidi="ar-SA"/>
        </w:rPr>
        <w:t>政府采购网</w:t>
      </w:r>
      <w:r>
        <w:rPr>
          <w:rFonts w:hint="eastAsia" w:ascii="仿宋" w:hAnsi="仿宋" w:eastAsia="仿宋" w:cs="仿宋"/>
          <w:b w:val="0"/>
          <w:i w:val="0"/>
          <w:color w:val="auto"/>
          <w:kern w:val="2"/>
          <w:sz w:val="24"/>
          <w:szCs w:val="24"/>
          <w:highlight w:val="none"/>
          <w:lang w:val="en-US" w:eastAsia="zh-CN" w:bidi="ar-SA"/>
        </w:rPr>
        <w:t>获取采购文件，并于</w:t>
      </w:r>
      <w:r>
        <w:rPr>
          <w:rFonts w:hint="eastAsia" w:ascii="仿宋" w:hAnsi="仿宋" w:eastAsia="仿宋" w:cs="仿宋"/>
          <w:b w:val="0"/>
          <w:i w:val="0"/>
          <w:color w:val="auto"/>
          <w:kern w:val="2"/>
          <w:sz w:val="24"/>
          <w:szCs w:val="24"/>
          <w:highlight w:val="none"/>
          <w:u w:val="single"/>
          <w:lang w:val="en-US" w:eastAsia="zh-CN" w:bidi="ar-SA"/>
        </w:rPr>
        <w:t>2023</w:t>
      </w:r>
      <w:r>
        <w:rPr>
          <w:rFonts w:hint="eastAsia" w:ascii="仿宋" w:hAnsi="仿宋" w:eastAsia="仿宋" w:cs="仿宋"/>
          <w:b w:val="0"/>
          <w:i w:val="0"/>
          <w:color w:val="auto"/>
          <w:kern w:val="2"/>
          <w:sz w:val="24"/>
          <w:szCs w:val="24"/>
          <w:highlight w:val="none"/>
          <w:lang w:val="en-US" w:eastAsia="zh-CN" w:bidi="ar-SA"/>
        </w:rPr>
        <w:t>年</w:t>
      </w:r>
      <w:r>
        <w:rPr>
          <w:rFonts w:hint="eastAsia" w:ascii="仿宋" w:hAnsi="仿宋" w:eastAsia="仿宋" w:cs="仿宋"/>
          <w:b w:val="0"/>
          <w:i w:val="0"/>
          <w:color w:val="auto"/>
          <w:kern w:val="2"/>
          <w:sz w:val="24"/>
          <w:szCs w:val="24"/>
          <w:highlight w:val="none"/>
          <w:u w:val="single"/>
          <w:lang w:val="en-US" w:eastAsia="zh-CN" w:bidi="ar-SA"/>
        </w:rPr>
        <w:t xml:space="preserve"> 11 </w:t>
      </w:r>
      <w:r>
        <w:rPr>
          <w:rFonts w:hint="eastAsia" w:ascii="仿宋" w:hAnsi="仿宋" w:eastAsia="仿宋" w:cs="仿宋"/>
          <w:b w:val="0"/>
          <w:i w:val="0"/>
          <w:color w:val="auto"/>
          <w:kern w:val="2"/>
          <w:sz w:val="24"/>
          <w:szCs w:val="24"/>
          <w:highlight w:val="none"/>
          <w:lang w:val="en-US" w:eastAsia="zh-CN" w:bidi="ar-SA"/>
        </w:rPr>
        <w:t>月</w:t>
      </w:r>
      <w:r>
        <w:rPr>
          <w:rFonts w:hint="eastAsia" w:ascii="仿宋" w:hAnsi="仿宋" w:eastAsia="仿宋" w:cs="仿宋"/>
          <w:b w:val="0"/>
          <w:i w:val="0"/>
          <w:color w:val="auto"/>
          <w:kern w:val="2"/>
          <w:sz w:val="24"/>
          <w:szCs w:val="24"/>
          <w:highlight w:val="none"/>
          <w:u w:val="single"/>
          <w:lang w:val="en-US" w:eastAsia="zh-CN" w:bidi="ar-SA"/>
        </w:rPr>
        <w:t xml:space="preserve"> 01 </w:t>
      </w:r>
      <w:r>
        <w:rPr>
          <w:rFonts w:hint="eastAsia" w:ascii="仿宋" w:hAnsi="仿宋" w:eastAsia="仿宋" w:cs="仿宋"/>
          <w:b w:val="0"/>
          <w:i w:val="0"/>
          <w:color w:val="auto"/>
          <w:kern w:val="2"/>
          <w:sz w:val="24"/>
          <w:szCs w:val="24"/>
          <w:highlight w:val="none"/>
          <w:lang w:val="en-US" w:eastAsia="zh-CN" w:bidi="ar-SA"/>
        </w:rPr>
        <w:t>日</w:t>
      </w:r>
      <w:r>
        <w:rPr>
          <w:rFonts w:hint="eastAsia" w:ascii="仿宋" w:hAnsi="仿宋" w:eastAsia="仿宋" w:cs="仿宋"/>
          <w:b w:val="0"/>
          <w:i w:val="0"/>
          <w:color w:val="auto"/>
          <w:kern w:val="2"/>
          <w:sz w:val="24"/>
          <w:szCs w:val="24"/>
          <w:highlight w:val="none"/>
          <w:u w:val="single"/>
          <w:lang w:val="en-US" w:eastAsia="zh-CN" w:bidi="ar-SA"/>
        </w:rPr>
        <w:t>11</w:t>
      </w:r>
      <w:r>
        <w:rPr>
          <w:rFonts w:hint="eastAsia" w:ascii="仿宋" w:hAnsi="仿宋" w:eastAsia="仿宋" w:cs="仿宋"/>
          <w:b w:val="0"/>
          <w:i w:val="0"/>
          <w:color w:val="auto"/>
          <w:kern w:val="2"/>
          <w:sz w:val="24"/>
          <w:szCs w:val="24"/>
          <w:highlight w:val="none"/>
          <w:lang w:val="en-US" w:eastAsia="zh-CN" w:bidi="ar-SA"/>
        </w:rPr>
        <w:t>点</w:t>
      </w:r>
      <w:r>
        <w:rPr>
          <w:rFonts w:hint="eastAsia" w:ascii="仿宋" w:hAnsi="仿宋" w:eastAsia="仿宋" w:cs="仿宋"/>
          <w:b w:val="0"/>
          <w:i w:val="0"/>
          <w:color w:val="auto"/>
          <w:kern w:val="2"/>
          <w:sz w:val="24"/>
          <w:szCs w:val="24"/>
          <w:highlight w:val="none"/>
          <w:u w:val="single"/>
          <w:lang w:val="en-US" w:eastAsia="zh-CN" w:bidi="ar-SA"/>
        </w:rPr>
        <w:t>00</w:t>
      </w:r>
      <w:r>
        <w:rPr>
          <w:rFonts w:hint="eastAsia" w:ascii="仿宋" w:hAnsi="仿宋" w:eastAsia="仿宋" w:cs="仿宋"/>
          <w:b w:val="0"/>
          <w:i w:val="0"/>
          <w:color w:val="auto"/>
          <w:kern w:val="2"/>
          <w:sz w:val="24"/>
          <w:szCs w:val="24"/>
          <w:highlight w:val="none"/>
          <w:lang w:val="en-US" w:eastAsia="zh-CN" w:bidi="ar-SA"/>
        </w:rPr>
        <w:t>分（北京时间）前提交响应文件。</w:t>
      </w:r>
    </w:p>
    <w:p>
      <w:pPr>
        <w:keepLines w:val="0"/>
        <w:pageBreakBefore w:val="0"/>
        <w:numPr>
          <w:ilvl w:val="0"/>
          <w:numId w:val="0"/>
        </w:numPr>
        <w:tabs>
          <w:tab w:val="left" w:pos="576"/>
        </w:tabs>
        <w:kinsoku/>
        <w:wordWrap/>
        <w:overflowPunct/>
        <w:topLinePunct w:val="0"/>
        <w:autoSpaceDE/>
        <w:autoSpaceDN/>
        <w:bidi w:val="0"/>
        <w:adjustRightInd/>
        <w:snapToGrid/>
        <w:spacing w:before="0" w:after="0" w:line="360" w:lineRule="auto"/>
        <w:ind w:leftChars="0" w:firstLine="482" w:firstLineChars="200"/>
        <w:textAlignment w:val="auto"/>
        <w:outlineLvl w:val="9"/>
        <w:rPr>
          <w:rFonts w:hint="eastAsia" w:ascii="仿宋" w:hAnsi="仿宋" w:eastAsia="仿宋" w:cs="仿宋"/>
          <w:b/>
          <w:bCs/>
          <w:i w:val="0"/>
          <w:color w:val="auto"/>
          <w:kern w:val="2"/>
          <w:sz w:val="24"/>
          <w:szCs w:val="24"/>
          <w:highlight w:val="none"/>
          <w:lang w:val="en-US" w:eastAsia="zh-CN" w:bidi="ar-SA"/>
        </w:rPr>
      </w:pPr>
      <w:bookmarkStart w:id="1" w:name="_Toc35393798"/>
      <w:bookmarkStart w:id="2" w:name="_Toc28359089"/>
      <w:bookmarkStart w:id="3" w:name="_Toc28359012"/>
      <w:bookmarkStart w:id="4" w:name="_Toc35393629"/>
      <w:r>
        <w:rPr>
          <w:rFonts w:hint="eastAsia" w:ascii="仿宋" w:hAnsi="仿宋" w:eastAsia="仿宋" w:cs="仿宋"/>
          <w:b/>
          <w:bCs/>
          <w:i w:val="0"/>
          <w:color w:val="auto"/>
          <w:kern w:val="2"/>
          <w:sz w:val="24"/>
          <w:szCs w:val="24"/>
          <w:highlight w:val="none"/>
          <w:lang w:val="en-US" w:eastAsia="zh-CN" w:bidi="ar-SA"/>
        </w:rPr>
        <w:t>一、项目基本情况</w:t>
      </w:r>
      <w:bookmarkEnd w:id="1"/>
      <w:bookmarkEnd w:id="2"/>
      <w:bookmarkEnd w:id="3"/>
      <w:bookmarkEnd w:id="4"/>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项目编号：HYGS-ZC-2023-89</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项目名称：</w:t>
      </w:r>
      <w:r>
        <w:rPr>
          <w:rStyle w:val="28"/>
          <w:rFonts w:hint="eastAsia" w:ascii="仿宋" w:hAnsi="仿宋" w:eastAsia="仿宋" w:cs="仿宋"/>
          <w:b w:val="0"/>
          <w:bCs w:val="0"/>
          <w:color w:val="auto"/>
          <w:sz w:val="24"/>
          <w:szCs w:val="24"/>
          <w:highlight w:val="none"/>
          <w:lang w:eastAsia="zh-CN"/>
        </w:rPr>
        <w:t>小拐乡肉羊养殖场设备及农机采购项目</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采购方式：竞争性谈判</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预算金额：196.90万元</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最高限价：196.90万元</w:t>
      </w:r>
    </w:p>
    <w:p>
      <w:pPr>
        <w:keepLines w:val="0"/>
        <w:pageBreakBefore w:val="0"/>
        <w:tabs>
          <w:tab w:val="left" w:pos="6403"/>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采购需求：详见竞争性谈判文件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bookmarkStart w:id="5" w:name="_Toc28359013"/>
      <w:bookmarkStart w:id="6" w:name="_Toc28359090"/>
      <w:bookmarkStart w:id="7" w:name="_Toc35393630"/>
      <w:bookmarkStart w:id="8" w:name="_Toc35393799"/>
      <w:r>
        <w:rPr>
          <w:rFonts w:hint="eastAsia" w:ascii="仿宋" w:hAnsi="仿宋" w:eastAsia="仿宋" w:cs="仿宋"/>
          <w:b w:val="0"/>
          <w:i w:val="0"/>
          <w:color w:val="auto"/>
          <w:kern w:val="2"/>
          <w:sz w:val="24"/>
          <w:szCs w:val="24"/>
          <w:highlight w:val="none"/>
          <w:lang w:val="en-US" w:eastAsia="zh-CN" w:bidi="ar-SA"/>
        </w:rPr>
        <w:t>合同履约期限：自接到成交通知书之日起20日（日历日）内供货并完成安装调试。</w:t>
      </w:r>
    </w:p>
    <w:p>
      <w:pPr>
        <w:spacing w:line="360" w:lineRule="auto"/>
        <w:ind w:firstLine="480" w:firstLineChars="200"/>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本项目不接受联合体。</w:t>
      </w:r>
    </w:p>
    <w:p>
      <w:pPr>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bCs/>
          <w:i w:val="0"/>
          <w:color w:val="auto"/>
          <w:kern w:val="2"/>
          <w:sz w:val="24"/>
          <w:szCs w:val="24"/>
          <w:highlight w:val="none"/>
          <w:lang w:val="en-US" w:eastAsia="zh-CN" w:bidi="ar-SA"/>
        </w:rPr>
        <w:t>二、申请人的资格要求：</w:t>
      </w:r>
      <w:bookmarkEnd w:id="5"/>
      <w:bookmarkEnd w:id="6"/>
      <w:bookmarkEnd w:id="7"/>
      <w:bookmarkEnd w:id="8"/>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bookmarkStart w:id="9" w:name="_Toc35393800"/>
      <w:bookmarkStart w:id="10" w:name="_Toc35393631"/>
      <w:bookmarkStart w:id="11" w:name="_Toc28359091"/>
      <w:bookmarkStart w:id="12" w:name="_Toc28359014"/>
      <w:r>
        <w:rPr>
          <w:rFonts w:hint="eastAsia" w:ascii="仿宋" w:hAnsi="仿宋" w:eastAsia="仿宋" w:cs="仿宋"/>
          <w:color w:val="auto"/>
          <w:kern w:val="2"/>
          <w:sz w:val="24"/>
          <w:szCs w:val="24"/>
          <w:highlight w:val="none"/>
          <w:lang w:val="en-US" w:eastAsia="zh-CN" w:bidi="ar-SA"/>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2.落实政府采购政策需满足的资格要求：供应商为中小企业；</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3、本项目的特定资格要求：无   </w:t>
      </w:r>
    </w:p>
    <w:p>
      <w:pPr>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i w:val="0"/>
          <w:color w:val="auto"/>
          <w:kern w:val="2"/>
          <w:sz w:val="24"/>
          <w:szCs w:val="24"/>
          <w:highlight w:val="none"/>
          <w:lang w:val="en-US" w:eastAsia="zh-CN" w:bidi="ar-SA"/>
        </w:rPr>
      </w:pPr>
      <w:r>
        <w:rPr>
          <w:rFonts w:hint="eastAsia" w:ascii="仿宋" w:hAnsi="仿宋" w:eastAsia="仿宋" w:cs="仿宋"/>
          <w:b/>
          <w:bCs/>
          <w:i w:val="0"/>
          <w:color w:val="auto"/>
          <w:kern w:val="2"/>
          <w:sz w:val="24"/>
          <w:szCs w:val="24"/>
          <w:highlight w:val="none"/>
          <w:lang w:val="en-US" w:eastAsia="zh-CN" w:bidi="ar-SA"/>
        </w:rPr>
        <w:t>三、获取采购文件</w:t>
      </w:r>
      <w:bookmarkEnd w:id="9"/>
      <w:bookmarkEnd w:id="10"/>
      <w:bookmarkEnd w:id="11"/>
      <w:bookmarkEnd w:id="12"/>
    </w:p>
    <w:p>
      <w:pPr>
        <w:keepLines w:val="0"/>
        <w:pageBreakBefore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10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27</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10</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13:30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16:00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19：30</w:t>
      </w:r>
      <w:r>
        <w:rPr>
          <w:rFonts w:hint="eastAsia" w:ascii="仿宋" w:hAnsi="仿宋" w:eastAsia="仿宋" w:cs="仿宋"/>
          <w:color w:val="auto"/>
          <w:sz w:val="24"/>
          <w:szCs w:val="24"/>
          <w:highlight w:val="none"/>
        </w:rPr>
        <w:t>（北京时间，法定节假日除外 ）</w:t>
      </w:r>
    </w:p>
    <w:p>
      <w:pPr>
        <w:keepLines w:val="0"/>
        <w:pageBreakBefore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val="0"/>
          <w:bCs w:val="0"/>
          <w:i w:val="0"/>
          <w:color w:val="auto"/>
          <w:kern w:val="2"/>
          <w:sz w:val="24"/>
          <w:szCs w:val="24"/>
          <w:highlight w:val="none"/>
          <w:lang w:val="en-US" w:eastAsia="zh-CN" w:bidi="ar-SA"/>
        </w:rPr>
      </w:pPr>
      <w:bookmarkStart w:id="13" w:name="_Toc28359092"/>
      <w:bookmarkStart w:id="14" w:name="_Toc35393801"/>
      <w:bookmarkStart w:id="15" w:name="_Toc35393632"/>
      <w:bookmarkStart w:id="16" w:name="_Toc28359015"/>
      <w:r>
        <w:rPr>
          <w:rFonts w:hint="eastAsia" w:ascii="仿宋" w:hAnsi="仿宋" w:eastAsia="仿宋" w:cs="仿宋"/>
          <w:b w:val="0"/>
          <w:bCs w:val="0"/>
          <w:i w:val="0"/>
          <w:color w:val="auto"/>
          <w:kern w:val="2"/>
          <w:sz w:val="24"/>
          <w:szCs w:val="24"/>
          <w:highlight w:val="none"/>
          <w:lang w:val="en-US" w:eastAsia="zh-CN" w:bidi="ar-SA"/>
        </w:rPr>
        <w:t>地点：新疆政府采购网政采云平台（www.zcygov.cn）</w:t>
      </w:r>
    </w:p>
    <w:p>
      <w:pPr>
        <w:keepLines w:val="0"/>
        <w:pageBreakBefore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keepLines w:val="0"/>
        <w:pageBreakBefore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售价：0.00元</w:t>
      </w:r>
    </w:p>
    <w:p>
      <w:pPr>
        <w:keepLines w:val="0"/>
        <w:pageBreakBefore w:val="0"/>
        <w:kinsoku/>
        <w:wordWrap/>
        <w:overflowPunct/>
        <w:topLinePunct w:val="0"/>
        <w:autoSpaceDE/>
        <w:autoSpaceDN/>
        <w:bidi w:val="0"/>
        <w:adjustRightInd/>
        <w:snapToGrid/>
        <w:spacing w:line="360" w:lineRule="auto"/>
        <w:ind w:firstLine="54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bCs/>
          <w:i w:val="0"/>
          <w:color w:val="auto"/>
          <w:kern w:val="2"/>
          <w:sz w:val="24"/>
          <w:szCs w:val="24"/>
          <w:highlight w:val="none"/>
          <w:lang w:val="en-US" w:eastAsia="zh-CN" w:bidi="ar-SA"/>
        </w:rPr>
        <w:t>四、响应文件提交</w:t>
      </w:r>
      <w:bookmarkEnd w:id="13"/>
      <w:bookmarkEnd w:id="14"/>
      <w:bookmarkEnd w:id="15"/>
      <w:bookmarkEnd w:id="16"/>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11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（北京时间）</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点：</w:t>
      </w:r>
      <w:bookmarkStart w:id="17" w:name="_Toc35393633"/>
      <w:bookmarkStart w:id="18" w:name="_Toc28359016"/>
      <w:bookmarkStart w:id="19" w:name="_Toc28359093"/>
      <w:bookmarkStart w:id="20" w:name="_Toc35393802"/>
      <w:r>
        <w:rPr>
          <w:rFonts w:hint="eastAsia" w:ascii="仿宋" w:hAnsi="仿宋" w:eastAsia="仿宋" w:cs="仿宋"/>
          <w:color w:val="auto"/>
          <w:sz w:val="24"/>
          <w:szCs w:val="24"/>
          <w:highlight w:val="none"/>
        </w:rPr>
        <w:t>新疆政府采购网政采云平台（www.zcygov.cn）</w:t>
      </w:r>
    </w:p>
    <w:p>
      <w:pPr>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val="0"/>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highlight w:val="none"/>
          <w:lang w:val="en-US" w:eastAsia="zh-CN" w:bidi="ar-SA"/>
        </w:rPr>
        <w:t>五、开启</w:t>
      </w:r>
      <w:bookmarkEnd w:id="17"/>
      <w:bookmarkEnd w:id="18"/>
      <w:bookmarkEnd w:id="19"/>
      <w:bookmarkEnd w:id="20"/>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01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点</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w:t>
      </w:r>
      <w:r>
        <w:rPr>
          <w:rFonts w:hint="eastAsia" w:ascii="仿宋" w:hAnsi="仿宋" w:eastAsia="仿宋" w:cs="仿宋"/>
          <w:color w:val="auto"/>
          <w:sz w:val="24"/>
          <w:szCs w:val="24"/>
          <w:highlight w:val="none"/>
        </w:rPr>
        <w:t>（北京时间）</w:t>
      </w:r>
    </w:p>
    <w:p>
      <w:pPr>
        <w:pStyle w:val="22"/>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Style w:val="28"/>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地点：</w:t>
      </w:r>
      <w:bookmarkStart w:id="21" w:name="_Toc35393803"/>
      <w:bookmarkStart w:id="22" w:name="_Toc35393634"/>
      <w:bookmarkStart w:id="23" w:name="_Toc28359094"/>
      <w:bookmarkStart w:id="24" w:name="_Toc28359017"/>
      <w:r>
        <w:rPr>
          <w:rFonts w:hint="eastAsia" w:ascii="仿宋" w:hAnsi="仿宋" w:eastAsia="仿宋" w:cs="仿宋"/>
          <w:color w:val="auto"/>
          <w:sz w:val="24"/>
          <w:szCs w:val="24"/>
          <w:highlight w:val="none"/>
        </w:rPr>
        <w:t>克拉玛依市恒隆广场A座412-1室</w:t>
      </w:r>
    </w:p>
    <w:p>
      <w:pPr>
        <w:pStyle w:val="22"/>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9"/>
        <w:rPr>
          <w:rFonts w:hint="eastAsia" w:ascii="仿宋" w:hAnsi="仿宋" w:eastAsia="仿宋" w:cs="仿宋"/>
          <w:b/>
          <w:bCs/>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highlight w:val="none"/>
          <w:lang w:val="en-US" w:eastAsia="zh-CN" w:bidi="ar-SA"/>
        </w:rPr>
        <w:t>六、公告期限</w:t>
      </w:r>
      <w:bookmarkEnd w:id="21"/>
      <w:bookmarkEnd w:id="22"/>
      <w:bookmarkEnd w:id="23"/>
      <w:bookmarkEnd w:id="24"/>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w:t>
      </w:r>
      <w:bookmarkStart w:id="25" w:name="_Toc35393635"/>
      <w:bookmarkStart w:id="26" w:name="_Toc35393804"/>
    </w:p>
    <w:p>
      <w:pPr>
        <w:keepLines w:val="0"/>
        <w:pageBreakBefore w:val="0"/>
        <w:numPr>
          <w:ilvl w:val="0"/>
          <w:numId w:val="3"/>
        </w:numPr>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i w:val="0"/>
          <w:color w:val="auto"/>
          <w:kern w:val="0"/>
          <w:sz w:val="24"/>
          <w:szCs w:val="24"/>
          <w:highlight w:val="none"/>
          <w:lang w:val="en-US" w:eastAsia="zh-CN" w:bidi="ar-SA"/>
        </w:rPr>
      </w:pPr>
      <w:r>
        <w:rPr>
          <w:rFonts w:hint="eastAsia" w:ascii="仿宋" w:hAnsi="仿宋" w:eastAsia="仿宋" w:cs="仿宋"/>
          <w:b/>
          <w:bCs/>
          <w:i w:val="0"/>
          <w:color w:val="auto"/>
          <w:kern w:val="0"/>
          <w:sz w:val="24"/>
          <w:szCs w:val="24"/>
          <w:highlight w:val="none"/>
          <w:lang w:val="en-US" w:eastAsia="zh-CN" w:bidi="ar-SA"/>
        </w:rPr>
        <w:t>其他补充事宜</w:t>
      </w:r>
      <w:bookmarkEnd w:id="25"/>
      <w:bookmarkEnd w:id="26"/>
    </w:p>
    <w:p>
      <w:pPr>
        <w:spacing w:line="360" w:lineRule="auto"/>
        <w:ind w:firstLine="480" w:firstLineChars="200"/>
        <w:outlineLvl w:val="9"/>
        <w:rPr>
          <w:rFonts w:hint="eastAsia" w:ascii="仿宋" w:hAnsi="仿宋" w:eastAsia="仿宋" w:cs="仿宋"/>
          <w:color w:val="auto"/>
          <w:sz w:val="24"/>
          <w:szCs w:val="24"/>
          <w:highlight w:val="none"/>
        </w:rPr>
      </w:pPr>
      <w:bookmarkStart w:id="27" w:name="_Toc35393636"/>
      <w:bookmarkStart w:id="28" w:name="_Toc35393805"/>
      <w:bookmarkStart w:id="29" w:name="_Toc28359018"/>
      <w:bookmarkStart w:id="30" w:name="_Toc28359095"/>
      <w:r>
        <w:rPr>
          <w:rFonts w:hint="eastAsia" w:ascii="仿宋" w:hAnsi="仿宋" w:eastAsia="仿宋" w:cs="仿宋"/>
          <w:color w:val="auto"/>
          <w:sz w:val="24"/>
          <w:szCs w:val="24"/>
          <w:highlight w:val="none"/>
        </w:rPr>
        <w:t xml:space="preserve">1.本项目为电子招投标项目，供应商需要使用CA 加密设备，凡参加本项目供应商可通过新疆数字证书认证中心官网 (https://www.xjca.com.cn/) 或下载“新疆政务通”APP 自行进行线上申领，或前往新疆克拉玛依市克拉玛依区迎宾路75号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中国银行大厦 11 楼营业部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或新疆克拉玛依市独山子区大庆东路 3039号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市民服务中心三楼大厅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进行线下办理。如有操作性问题可与政采云在线客服进行咨询，咨询电话：</w:t>
      </w:r>
      <w:r>
        <w:rPr>
          <w:rFonts w:hint="eastAsia" w:ascii="仿宋" w:hAnsi="仿宋" w:eastAsia="仿宋" w:cs="仿宋"/>
          <w:color w:val="auto"/>
          <w:sz w:val="24"/>
          <w:szCs w:val="24"/>
          <w:highlight w:val="none"/>
          <w:lang w:val="en-US" w:eastAsia="zh-CN"/>
        </w:rPr>
        <w:t>95673</w:t>
      </w:r>
      <w:r>
        <w:rPr>
          <w:rFonts w:hint="eastAsia" w:ascii="仿宋" w:hAnsi="仿宋" w:eastAsia="仿宋" w:cs="仿宋"/>
          <w:color w:val="auto"/>
          <w:sz w:val="24"/>
          <w:szCs w:val="24"/>
          <w:highlight w:val="none"/>
        </w:rPr>
        <w:t>。</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2.本项目实行网上投标，采用电子响应文件，若供应商参与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，应自行承担</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一切费用。</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前应确保成为新疆政府采购网正式注册入库供应商，并完成 CA 数字 证书申领。因未注册入库、未办理 CA 数字证书等原因造成无法投标或投标失败等后果由供应商自行承担。</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4.供应商应使用最新版本的 CA 驱动和政采云投标客户端，客户端下载、安装完成后，可通过账号密码或 CA 登录客户端进行响应文件制作。在使用政采云投标客户端时，建议使用谷歌浏览器，电脑配置满足 win7+64 位以上操作系统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不能用mac 或者 linux 系统) 。客户端请至新疆政府采购网 (www.ccgp-xinjiang.gov.cn) 下载专区查看，如有问题可拨打政采云客户服务热线</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进行咨询。</w:t>
      </w:r>
    </w:p>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5.供应商应当在递交响应文件截止时间前，将生成的“电子加密响应文件”上传递交至“政府采购云平台”，递交响应文件截止时间后上传递交的响应文件将被“政府采购云平台”拒收。</w:t>
      </w:r>
    </w:p>
    <w:p>
      <w:pPr>
        <w:spacing w:line="360" w:lineRule="auto"/>
        <w:ind w:firstLine="480" w:firstLineChars="200"/>
        <w:outlineLvl w:val="9"/>
        <w:rPr>
          <w:rFonts w:hint="eastAsia" w:ascii="仿宋" w:hAnsi="仿宋" w:eastAsia="仿宋" w:cs="仿宋"/>
          <w:b/>
          <w:bCs/>
          <w:color w:val="auto"/>
          <w:kern w:val="0"/>
          <w:sz w:val="24"/>
          <w:szCs w:val="24"/>
          <w:highlight w:val="none"/>
        </w:rPr>
      </w:pPr>
      <w:r>
        <w:rPr>
          <w:rFonts w:hint="eastAsia" w:ascii="仿宋" w:hAnsi="仿宋" w:eastAsia="仿宋" w:cs="仿宋"/>
          <w:color w:val="auto"/>
          <w:sz w:val="24"/>
          <w:szCs w:val="24"/>
          <w:highlight w:val="none"/>
        </w:rPr>
        <w:t>6.供应商登录政采云平台，在开标时间后30分钟内用“项目采购-开标评标”功能进行解密响应文件。若供应商在规定时间内未按时解密的，视为无效响应。解密与加密响应文件须使用同一个 CA。</w:t>
      </w:r>
    </w:p>
    <w:p>
      <w:pPr>
        <w:pStyle w:val="22"/>
        <w:keepLines w:val="0"/>
        <w:pageBreakBefore w:val="0"/>
        <w:numPr>
          <w:ilvl w:val="0"/>
          <w:numId w:val="4"/>
        </w:numPr>
        <w:kinsoku/>
        <w:wordWrap/>
        <w:overflowPunct/>
        <w:topLinePunct w:val="0"/>
        <w:autoSpaceDE/>
        <w:autoSpaceDN/>
        <w:bidi w:val="0"/>
        <w:adjustRightInd/>
        <w:snapToGrid/>
        <w:spacing w:before="0" w:beforeAutospacing="0" w:after="0" w:afterAutospacing="0" w:line="360" w:lineRule="auto"/>
        <w:textAlignment w:val="auto"/>
        <w:outlineLvl w:val="9"/>
        <w:rPr>
          <w:rFonts w:hint="eastAsia" w:ascii="仿宋" w:hAnsi="仿宋" w:eastAsia="仿宋" w:cs="仿宋"/>
          <w:b/>
          <w:bCs/>
          <w:i w:val="0"/>
          <w:color w:val="auto"/>
          <w:kern w:val="0"/>
          <w:sz w:val="24"/>
          <w:szCs w:val="24"/>
          <w:highlight w:val="none"/>
          <w:u w:val="none"/>
          <w:lang w:val="en-US" w:eastAsia="zh-CN" w:bidi="ar-SA"/>
        </w:rPr>
      </w:pPr>
      <w:r>
        <w:rPr>
          <w:rFonts w:hint="eastAsia" w:ascii="仿宋" w:hAnsi="仿宋" w:eastAsia="仿宋" w:cs="仿宋"/>
          <w:b/>
          <w:bCs/>
          <w:i w:val="0"/>
          <w:color w:val="auto"/>
          <w:kern w:val="0"/>
          <w:sz w:val="24"/>
          <w:szCs w:val="24"/>
          <w:highlight w:val="none"/>
          <w:u w:val="none"/>
          <w:lang w:val="en-US" w:eastAsia="zh-CN" w:bidi="ar-SA"/>
        </w:rPr>
        <w:t>凡对本次采购提出询问，请按以下方式联系。</w:t>
      </w:r>
      <w:bookmarkEnd w:id="27"/>
      <w:bookmarkEnd w:id="28"/>
      <w:bookmarkEnd w:id="29"/>
      <w:bookmarkEnd w:id="30"/>
      <w:bookmarkStart w:id="31" w:name="_Toc28359019"/>
      <w:bookmarkStart w:id="32" w:name="_Toc28359096"/>
      <w:bookmarkStart w:id="33" w:name="_Toc35393637"/>
      <w:bookmarkStart w:id="34" w:name="_Toc35393806"/>
    </w:p>
    <w:bookmarkEnd w:id="31"/>
    <w:bookmarkEnd w:id="32"/>
    <w:bookmarkEnd w:id="33"/>
    <w:bookmarkEnd w:id="34"/>
    <w:p>
      <w:pPr>
        <w:keepLines w:val="0"/>
        <w:pageBreakBefore w:val="0"/>
        <w:numPr>
          <w:ilvl w:val="0"/>
          <w:numId w:val="0"/>
        </w:numPr>
        <w:tabs>
          <w:tab w:val="left" w:pos="576"/>
        </w:tabs>
        <w:kinsoku/>
        <w:wordWrap/>
        <w:overflowPunct/>
        <w:topLinePunct w:val="0"/>
        <w:autoSpaceDE/>
        <w:autoSpaceDN/>
        <w:bidi w:val="0"/>
        <w:adjustRightInd/>
        <w:snapToGrid/>
        <w:spacing w:before="0" w:line="360" w:lineRule="auto"/>
        <w:ind w:firstLine="480" w:firstLineChars="200"/>
        <w:textAlignment w:val="auto"/>
        <w:outlineLvl w:val="9"/>
        <w:rPr>
          <w:rFonts w:hint="eastAsia" w:ascii="仿宋" w:hAnsi="仿宋" w:eastAsia="仿宋" w:cs="仿宋"/>
          <w:b w:val="0"/>
          <w:i w:val="0"/>
          <w:color w:val="auto"/>
          <w:kern w:val="0"/>
          <w:sz w:val="24"/>
          <w:szCs w:val="24"/>
          <w:highlight w:val="none"/>
          <w:lang w:val="en-US" w:eastAsia="zh-CN" w:bidi="ar-SA"/>
        </w:rPr>
      </w:pPr>
      <w:r>
        <w:rPr>
          <w:rFonts w:hint="eastAsia" w:ascii="仿宋" w:hAnsi="仿宋" w:eastAsia="仿宋" w:cs="仿宋"/>
          <w:b w:val="0"/>
          <w:i w:val="0"/>
          <w:color w:val="auto"/>
          <w:kern w:val="0"/>
          <w:sz w:val="24"/>
          <w:szCs w:val="24"/>
          <w:highlight w:val="none"/>
          <w:lang w:val="en-US" w:eastAsia="zh-CN" w:bidi="ar-SA"/>
        </w:rPr>
        <w:t>1.采购人信息</w:t>
      </w:r>
    </w:p>
    <w:p>
      <w:pPr>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i w:val="0"/>
          <w:color w:val="auto"/>
          <w:kern w:val="0"/>
          <w:sz w:val="24"/>
          <w:szCs w:val="24"/>
          <w:highlight w:val="none"/>
          <w:lang w:val="en-US" w:eastAsia="zh-CN" w:bidi="ar-SA"/>
        </w:rPr>
      </w:pPr>
      <w:r>
        <w:rPr>
          <w:rFonts w:hint="eastAsia" w:ascii="仿宋" w:hAnsi="仿宋" w:eastAsia="仿宋" w:cs="仿宋"/>
          <w:b w:val="0"/>
          <w:i w:val="0"/>
          <w:color w:val="auto"/>
          <w:kern w:val="0"/>
          <w:sz w:val="24"/>
          <w:szCs w:val="24"/>
          <w:highlight w:val="none"/>
          <w:lang w:val="en-US" w:eastAsia="zh-CN" w:bidi="ar-SA"/>
        </w:rPr>
        <w:t>名    称：</w:t>
      </w:r>
      <w:r>
        <w:rPr>
          <w:rFonts w:hint="eastAsia" w:ascii="仿宋" w:hAnsi="仿宋" w:eastAsia="仿宋" w:cs="仿宋"/>
          <w:b w:val="0"/>
          <w:i w:val="0"/>
          <w:color w:val="auto"/>
          <w:kern w:val="0"/>
          <w:sz w:val="24"/>
          <w:szCs w:val="24"/>
          <w:highlight w:val="none"/>
          <w:u w:val="single"/>
          <w:lang w:val="en-US" w:eastAsia="zh-CN" w:bidi="ar-SA"/>
        </w:rPr>
        <w:t>克拉玛依市克拉玛依区小拐乡人民政府</w:t>
      </w:r>
      <w:r>
        <w:rPr>
          <w:rFonts w:hint="eastAsia" w:ascii="仿宋" w:hAnsi="仿宋" w:eastAsia="仿宋" w:cs="仿宋"/>
          <w:b w:val="0"/>
          <w:i w:val="0"/>
          <w:color w:val="auto"/>
          <w:kern w:val="0"/>
          <w:sz w:val="24"/>
          <w:szCs w:val="24"/>
          <w:highlight w:val="none"/>
          <w:lang w:val="en-US" w:eastAsia="zh-CN" w:bidi="ar-SA"/>
        </w:rPr>
        <w:t>　</w:t>
      </w:r>
    </w:p>
    <w:p>
      <w:pPr>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i w:val="0"/>
          <w:color w:val="auto"/>
          <w:kern w:val="0"/>
          <w:sz w:val="24"/>
          <w:szCs w:val="24"/>
          <w:highlight w:val="none"/>
          <w:lang w:val="en-US" w:eastAsia="zh-CN" w:bidi="ar-SA"/>
        </w:rPr>
      </w:pPr>
      <w:r>
        <w:rPr>
          <w:rFonts w:hint="eastAsia" w:ascii="仿宋" w:hAnsi="仿宋" w:eastAsia="仿宋" w:cs="仿宋"/>
          <w:b w:val="0"/>
          <w:i w:val="0"/>
          <w:color w:val="auto"/>
          <w:kern w:val="0"/>
          <w:sz w:val="24"/>
          <w:szCs w:val="24"/>
          <w:highlight w:val="none"/>
          <w:lang w:val="en-US" w:eastAsia="zh-CN" w:bidi="ar-SA"/>
        </w:rPr>
        <w:t>地    址：</w:t>
      </w:r>
      <w:r>
        <w:rPr>
          <w:rFonts w:hint="eastAsia" w:ascii="仿宋" w:hAnsi="仿宋" w:eastAsia="仿宋" w:cs="仿宋"/>
          <w:b w:val="0"/>
          <w:i w:val="0"/>
          <w:color w:val="auto"/>
          <w:kern w:val="0"/>
          <w:sz w:val="24"/>
          <w:szCs w:val="24"/>
          <w:highlight w:val="none"/>
          <w:u w:val="single"/>
          <w:lang w:val="en-US" w:eastAsia="zh-CN" w:bidi="ar-SA"/>
        </w:rPr>
        <w:t>克拉玛依市克拉玛依区小拐乡</w:t>
      </w:r>
      <w:r>
        <w:rPr>
          <w:rFonts w:hint="eastAsia" w:ascii="仿宋" w:hAnsi="仿宋" w:eastAsia="仿宋" w:cs="仿宋"/>
          <w:b w:val="0"/>
          <w:i w:val="0"/>
          <w:color w:val="auto"/>
          <w:kern w:val="0"/>
          <w:sz w:val="24"/>
          <w:szCs w:val="24"/>
          <w:highlight w:val="none"/>
          <w:lang w:val="en-US" w:eastAsia="zh-CN" w:bidi="ar-SA"/>
        </w:rPr>
        <w:t>　　</w:t>
      </w:r>
    </w:p>
    <w:p>
      <w:pPr>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仿宋" w:hAnsi="仿宋" w:eastAsia="仿宋" w:cs="仿宋"/>
          <w:b w:val="0"/>
          <w:i w:val="0"/>
          <w:color w:val="0000FF"/>
          <w:kern w:val="0"/>
          <w:sz w:val="24"/>
          <w:szCs w:val="24"/>
          <w:highlight w:val="none"/>
          <w:u w:val="single"/>
          <w:lang w:val="en-US" w:eastAsia="zh-CN" w:bidi="ar-SA"/>
        </w:rPr>
      </w:pPr>
      <w:r>
        <w:rPr>
          <w:rFonts w:hint="eastAsia" w:ascii="仿宋" w:hAnsi="仿宋" w:eastAsia="仿宋" w:cs="仿宋"/>
          <w:b w:val="0"/>
          <w:i w:val="0"/>
          <w:color w:val="auto"/>
          <w:kern w:val="0"/>
          <w:sz w:val="24"/>
          <w:szCs w:val="24"/>
          <w:highlight w:val="none"/>
          <w:lang w:val="en-US" w:eastAsia="zh-CN" w:bidi="ar-SA"/>
        </w:rPr>
        <w:t xml:space="preserve">联系方式：13364990789 </w:t>
      </w:r>
      <w:r>
        <w:rPr>
          <w:rFonts w:hint="eastAsia" w:ascii="仿宋" w:hAnsi="仿宋" w:eastAsia="仿宋" w:cs="仿宋"/>
          <w:b w:val="0"/>
          <w:i w:val="0"/>
          <w:color w:val="0000FF"/>
          <w:kern w:val="0"/>
          <w:sz w:val="24"/>
          <w:szCs w:val="24"/>
          <w:highlight w:val="none"/>
          <w:u w:val="single"/>
          <w:lang w:val="en-US" w:eastAsia="zh-CN" w:bidi="ar-SA"/>
        </w:rPr>
        <w:t xml:space="preserve">    </w:t>
      </w:r>
    </w:p>
    <w:p>
      <w:pPr>
        <w:keepLines w:val="0"/>
        <w:pageBreakBefore w:val="0"/>
        <w:numPr>
          <w:ilvl w:val="0"/>
          <w:numId w:val="0"/>
        </w:numPr>
        <w:tabs>
          <w:tab w:val="left" w:pos="576"/>
        </w:tabs>
        <w:kinsoku/>
        <w:wordWrap/>
        <w:overflowPunct/>
        <w:topLinePunct w:val="0"/>
        <w:autoSpaceDE/>
        <w:autoSpaceDN/>
        <w:bidi w:val="0"/>
        <w:adjustRightInd/>
        <w:snapToGrid/>
        <w:spacing w:before="0" w:line="360" w:lineRule="auto"/>
        <w:ind w:firstLine="480" w:firstLineChars="200"/>
        <w:textAlignment w:val="auto"/>
        <w:outlineLvl w:val="9"/>
        <w:rPr>
          <w:rFonts w:hint="eastAsia" w:ascii="仿宋" w:hAnsi="仿宋" w:eastAsia="仿宋" w:cs="仿宋"/>
          <w:b w:val="0"/>
          <w:i w:val="0"/>
          <w:color w:val="auto"/>
          <w:kern w:val="0"/>
          <w:sz w:val="24"/>
          <w:szCs w:val="24"/>
          <w:highlight w:val="none"/>
          <w:lang w:val="en-US" w:eastAsia="zh-CN" w:bidi="ar-SA"/>
        </w:rPr>
      </w:pPr>
      <w:bookmarkStart w:id="35" w:name="_Toc35393638"/>
      <w:bookmarkStart w:id="36" w:name="_Toc28359097"/>
      <w:bookmarkStart w:id="37" w:name="_Toc28359020"/>
      <w:bookmarkStart w:id="38" w:name="_Toc35393807"/>
      <w:r>
        <w:rPr>
          <w:rFonts w:hint="eastAsia" w:ascii="仿宋" w:hAnsi="仿宋" w:eastAsia="仿宋" w:cs="仿宋"/>
          <w:b w:val="0"/>
          <w:i w:val="0"/>
          <w:color w:val="auto"/>
          <w:kern w:val="0"/>
          <w:sz w:val="24"/>
          <w:szCs w:val="24"/>
          <w:highlight w:val="none"/>
          <w:lang w:val="en-US" w:eastAsia="zh-CN" w:bidi="ar-SA"/>
        </w:rPr>
        <w:t>2.采购代理机构信息</w:t>
      </w:r>
      <w:bookmarkEnd w:id="35"/>
      <w:bookmarkEnd w:id="36"/>
      <w:bookmarkEnd w:id="37"/>
      <w:bookmarkEnd w:id="38"/>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val="en-US" w:eastAsia="zh-CN"/>
        </w:rPr>
        <w:t>新疆宏宇建设工程项目管理有限责任公司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lang w:val="en-US" w:eastAsia="zh-CN"/>
        </w:rPr>
        <w:t>克拉玛依市恒隆广场A座401-1室</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lang w:val="en-US" w:eastAsia="zh-CN"/>
        </w:rPr>
        <w:t>0990-6608599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0"/>
          <w:sz w:val="24"/>
          <w:szCs w:val="24"/>
          <w:highlight w:val="none"/>
          <w:lang w:val="en-US" w:eastAsia="zh-CN" w:bidi="ar-SA"/>
        </w:rPr>
      </w:pPr>
      <w:bookmarkStart w:id="39" w:name="_Toc28359098"/>
      <w:bookmarkStart w:id="40" w:name="_Toc28359021"/>
      <w:bookmarkStart w:id="41" w:name="_Toc35393639"/>
      <w:bookmarkStart w:id="42" w:name="_Toc35393808"/>
      <w:r>
        <w:rPr>
          <w:rFonts w:hint="eastAsia" w:ascii="仿宋" w:hAnsi="仿宋" w:eastAsia="仿宋" w:cs="仿宋"/>
          <w:b w:val="0"/>
          <w:i w:val="0"/>
          <w:color w:val="auto"/>
          <w:kern w:val="0"/>
          <w:sz w:val="24"/>
          <w:szCs w:val="24"/>
          <w:highlight w:val="none"/>
          <w:lang w:val="en-US" w:eastAsia="zh-CN" w:bidi="ar-SA"/>
        </w:rPr>
        <w:t>3.项目联系方式</w:t>
      </w:r>
      <w:bookmarkEnd w:id="39"/>
      <w:bookmarkEnd w:id="40"/>
      <w:bookmarkEnd w:id="41"/>
      <w:bookmarkEnd w:id="42"/>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i w:val="0"/>
          <w:color w:val="auto"/>
          <w:kern w:val="0"/>
          <w:sz w:val="24"/>
          <w:szCs w:val="24"/>
          <w:highlight w:val="none"/>
          <w:u w:val="single"/>
          <w:lang w:val="en-US" w:eastAsia="zh-CN" w:bidi="ar-SA"/>
        </w:rPr>
      </w:pPr>
      <w:r>
        <w:rPr>
          <w:rFonts w:hint="eastAsia" w:ascii="仿宋" w:hAnsi="仿宋" w:eastAsia="仿宋" w:cs="仿宋"/>
          <w:b w:val="0"/>
          <w:i w:val="0"/>
          <w:color w:val="auto"/>
          <w:kern w:val="0"/>
          <w:sz w:val="24"/>
          <w:szCs w:val="24"/>
          <w:highlight w:val="none"/>
          <w:lang w:val="en-US" w:eastAsia="zh-CN" w:bidi="ar-SA"/>
        </w:rPr>
        <w:t>项目联系人：</w:t>
      </w:r>
      <w:r>
        <w:rPr>
          <w:rFonts w:hint="eastAsia" w:ascii="仿宋" w:hAnsi="仿宋" w:eastAsia="仿宋" w:cs="仿宋"/>
          <w:b w:val="0"/>
          <w:i w:val="0"/>
          <w:color w:val="auto"/>
          <w:kern w:val="0"/>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lang w:val="en-US" w:eastAsia="zh-CN" w:bidi="ar-SA"/>
        </w:rPr>
        <w:t>梁娅洁  杨童艳、赵苗苗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i w:val="0"/>
          <w:color w:val="auto"/>
          <w:kern w:val="0"/>
          <w:sz w:val="24"/>
          <w:szCs w:val="24"/>
          <w:highlight w:val="none"/>
          <w:lang w:val="en-US" w:eastAsia="zh-CN" w:bidi="ar-SA"/>
        </w:rPr>
        <w:t>电　　 话：</w:t>
      </w:r>
      <w:r>
        <w:rPr>
          <w:rFonts w:hint="eastAsia" w:ascii="仿宋" w:hAnsi="仿宋" w:eastAsia="仿宋" w:cs="仿宋"/>
          <w:b w:val="0"/>
          <w:i w:val="0"/>
          <w:color w:val="auto"/>
          <w:kern w:val="0"/>
          <w:sz w:val="24"/>
          <w:szCs w:val="24"/>
          <w:highlight w:val="none"/>
          <w:u w:val="single"/>
          <w:lang w:val="en-US" w:eastAsia="zh-CN" w:bidi="ar-SA"/>
        </w:rPr>
        <w:t xml:space="preserve"> 13364990789    0990-6608599  </w:t>
      </w:r>
      <w:r>
        <w:rPr>
          <w:rFonts w:hint="eastAsia" w:ascii="仿宋" w:hAnsi="仿宋" w:eastAsia="仿宋" w:cs="仿宋"/>
          <w:b w:val="0"/>
          <w:i w:val="0"/>
          <w:color w:val="auto"/>
          <w:kern w:val="0"/>
          <w:sz w:val="24"/>
          <w:szCs w:val="24"/>
          <w:highlight w:val="none"/>
          <w:lang w:val="en-US" w:eastAsia="zh-CN" w:bidi="ar-SA"/>
        </w:rPr>
        <w:t>　　　　　　　　　</w:t>
      </w:r>
    </w:p>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4"/>
          <w:szCs w:val="24"/>
          <w:highlight w:val="none"/>
        </w:rPr>
      </w:pPr>
      <w:bookmarkStart w:id="43" w:name="_Toc415483389"/>
    </w:p>
    <w:p>
      <w:pPr>
        <w:pageBreakBefore w:val="0"/>
        <w:kinsoku/>
        <w:overflowPunct/>
        <w:topLinePunct w:val="0"/>
        <w:autoSpaceDE/>
        <w:autoSpaceDN/>
        <w:bidi w:val="0"/>
        <w:spacing w:line="360" w:lineRule="auto"/>
        <w:jc w:val="both"/>
        <w:outlineLvl w:val="9"/>
        <w:rPr>
          <w:rFonts w:hint="eastAsia" w:ascii="仿宋" w:hAnsi="仿宋" w:eastAsia="仿宋" w:cs="仿宋"/>
          <w:b/>
          <w:color w:val="auto"/>
          <w:sz w:val="24"/>
          <w:szCs w:val="24"/>
          <w:highlight w:val="none"/>
        </w:rPr>
      </w:pPr>
    </w:p>
    <w:p>
      <w:pPr>
        <w:pageBreakBefore w:val="0"/>
        <w:kinsoku/>
        <w:overflowPunct/>
        <w:topLinePunct w:val="0"/>
        <w:autoSpaceDE/>
        <w:autoSpaceDN/>
        <w:bidi w:val="0"/>
        <w:spacing w:line="360" w:lineRule="auto"/>
        <w:jc w:val="both"/>
        <w:outlineLvl w:val="9"/>
        <w:rPr>
          <w:rFonts w:hint="eastAsia" w:ascii="仿宋" w:hAnsi="仿宋" w:eastAsia="仿宋" w:cs="仿宋"/>
          <w:b/>
          <w:color w:val="auto"/>
          <w:sz w:val="24"/>
          <w:szCs w:val="24"/>
          <w:highlight w:val="none"/>
        </w:rPr>
      </w:pPr>
    </w:p>
    <w:p>
      <w:pP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pageBreakBefore w:val="0"/>
        <w:kinsoku/>
        <w:overflowPunct/>
        <w:topLinePunct w:val="0"/>
        <w:autoSpaceDE/>
        <w:autoSpaceDN/>
        <w:bidi w:val="0"/>
        <w:spacing w:line="360" w:lineRule="auto"/>
        <w:jc w:val="center"/>
        <w:outlineLvl w:val="0"/>
        <w:rPr>
          <w:rFonts w:hint="eastAsia" w:ascii="仿宋" w:hAnsi="仿宋" w:eastAsia="仿宋" w:cs="仿宋"/>
          <w:b/>
          <w:color w:val="auto"/>
          <w:sz w:val="44"/>
          <w:szCs w:val="44"/>
          <w:highlight w:val="none"/>
        </w:rPr>
      </w:pPr>
      <w:bookmarkStart w:id="44" w:name="_Toc12272"/>
      <w:r>
        <w:rPr>
          <w:rFonts w:hint="eastAsia" w:ascii="仿宋" w:hAnsi="仿宋" w:eastAsia="仿宋" w:cs="仿宋"/>
          <w:b/>
          <w:color w:val="auto"/>
          <w:sz w:val="44"/>
          <w:szCs w:val="44"/>
          <w:highlight w:val="none"/>
        </w:rPr>
        <w:t xml:space="preserve">第二章  </w:t>
      </w:r>
      <w:r>
        <w:rPr>
          <w:rFonts w:hint="eastAsia" w:ascii="仿宋" w:hAnsi="仿宋" w:eastAsia="仿宋" w:cs="仿宋"/>
          <w:b/>
          <w:color w:val="auto"/>
          <w:sz w:val="44"/>
          <w:szCs w:val="44"/>
          <w:highlight w:val="none"/>
          <w:lang w:eastAsia="zh-CN"/>
        </w:rPr>
        <w:t>供应商</w:t>
      </w:r>
      <w:r>
        <w:rPr>
          <w:rFonts w:hint="eastAsia" w:ascii="仿宋" w:hAnsi="仿宋" w:eastAsia="仿宋" w:cs="仿宋"/>
          <w:b/>
          <w:color w:val="auto"/>
          <w:sz w:val="44"/>
          <w:szCs w:val="44"/>
          <w:highlight w:val="none"/>
        </w:rPr>
        <w:t>须知</w:t>
      </w:r>
      <w:bookmarkEnd w:id="43"/>
      <w:bookmarkEnd w:id="44"/>
    </w:p>
    <w:p>
      <w:pPr>
        <w:pageBreakBefore w:val="0"/>
        <w:kinsoku/>
        <w:overflowPunct/>
        <w:topLinePunct w:val="0"/>
        <w:autoSpaceDE/>
        <w:autoSpaceDN/>
        <w:bidi w:val="0"/>
        <w:spacing w:line="360" w:lineRule="auto"/>
        <w:jc w:val="center"/>
        <w:outlineLvl w:val="9"/>
        <w:rPr>
          <w:rFonts w:hint="eastAsia" w:ascii="仿宋" w:hAnsi="仿宋" w:eastAsia="仿宋" w:cs="仿宋"/>
          <w:color w:val="auto"/>
        </w:rPr>
      </w:pPr>
      <w:r>
        <w:rPr>
          <w:rFonts w:hint="eastAsia" w:ascii="仿宋" w:hAnsi="仿宋" w:eastAsia="仿宋" w:cs="仿宋"/>
          <w:b/>
          <w:color w:val="auto"/>
          <w:sz w:val="32"/>
          <w:szCs w:val="32"/>
          <w:highlight w:val="none"/>
        </w:rPr>
        <w:t>一、</w:t>
      </w:r>
      <w:r>
        <w:rPr>
          <w:rFonts w:hint="eastAsia" w:ascii="仿宋" w:hAnsi="仿宋" w:eastAsia="仿宋" w:cs="仿宋"/>
          <w:b/>
          <w:color w:val="auto"/>
          <w:sz w:val="32"/>
          <w:szCs w:val="32"/>
          <w:highlight w:val="none"/>
          <w:lang w:eastAsia="zh-CN"/>
        </w:rPr>
        <w:t>供应商</w:t>
      </w:r>
      <w:r>
        <w:rPr>
          <w:rFonts w:hint="eastAsia" w:ascii="仿宋" w:hAnsi="仿宋" w:eastAsia="仿宋" w:cs="仿宋"/>
          <w:b/>
          <w:color w:val="auto"/>
          <w:sz w:val="32"/>
          <w:szCs w:val="32"/>
          <w:highlight w:val="none"/>
        </w:rPr>
        <w:t>须知前附表</w:t>
      </w:r>
    </w:p>
    <w:p>
      <w:pPr>
        <w:pStyle w:val="45"/>
        <w:pageBreakBefore w:val="0"/>
        <w:kinsoku/>
        <w:overflowPunct/>
        <w:topLinePunct w:val="0"/>
        <w:autoSpaceDE/>
        <w:autoSpaceDN/>
        <w:bidi w:val="0"/>
        <w:spacing w:line="360" w:lineRule="auto"/>
        <w:jc w:val="both"/>
        <w:outlineLvl w:val="9"/>
        <w:rPr>
          <w:rFonts w:hint="eastAsia" w:ascii="仿宋" w:hAnsi="仿宋" w:eastAsia="仿宋" w:cs="仿宋"/>
          <w:color w:val="auto"/>
          <w:highlight w:val="none"/>
        </w:rPr>
      </w:pPr>
      <w:bookmarkStart w:id="45" w:name="_Toc213396946"/>
      <w:bookmarkStart w:id="46" w:name="_Toc460703949"/>
      <w:bookmarkStart w:id="47" w:name="_Toc213397010"/>
      <w:bookmarkStart w:id="48" w:name="_Toc189727030"/>
      <w:bookmarkStart w:id="49" w:name="_Toc213496268"/>
      <w:bookmarkStart w:id="50" w:name="_Toc263352864"/>
      <w:bookmarkStart w:id="51" w:name="_Toc213396760"/>
      <w:bookmarkStart w:id="52" w:name="_Toc217446032"/>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谈判</w:t>
      </w:r>
      <w:r>
        <w:rPr>
          <w:rFonts w:hint="eastAsia" w:ascii="仿宋" w:hAnsi="仿宋" w:eastAsia="仿宋" w:cs="仿宋"/>
          <w:color w:val="auto"/>
          <w:highlight w:val="none"/>
        </w:rPr>
        <w:t>须知前附表</w:t>
      </w:r>
      <w:bookmarkEnd w:id="45"/>
      <w:bookmarkEnd w:id="46"/>
      <w:bookmarkEnd w:id="47"/>
      <w:bookmarkEnd w:id="48"/>
      <w:bookmarkEnd w:id="49"/>
      <w:bookmarkEnd w:id="50"/>
      <w:bookmarkEnd w:id="51"/>
      <w:bookmarkEnd w:id="52"/>
    </w:p>
    <w:tbl>
      <w:tblPr>
        <w:tblStyle w:val="25"/>
        <w:tblW w:w="10058"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6"/>
        <w:gridCol w:w="2251"/>
        <w:gridCol w:w="6981"/>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3" w:hRule="atLeast"/>
          <w:tblHeader/>
          <w:jc w:val="center"/>
        </w:trPr>
        <w:tc>
          <w:tcPr>
            <w:tcW w:w="826"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序号 </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条款名称</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val="en-US" w:eastAsia="zh-CN"/>
              </w:rPr>
              <w:t>克拉玛依市克拉玛依区小拐乡人民政府</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399"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称：新疆宏宇建设工程项目管理有限责任公司</w:t>
            </w:r>
          </w:p>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址：克拉玛依市恒隆广场A座401-1室</w:t>
            </w:r>
          </w:p>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eastAsia="zh-CN"/>
              </w:rPr>
              <w:t>杨童艳、</w:t>
            </w:r>
            <w:r>
              <w:rPr>
                <w:rFonts w:hint="eastAsia" w:ascii="仿宋" w:hAnsi="仿宋" w:eastAsia="仿宋" w:cs="仿宋"/>
                <w:color w:val="auto"/>
                <w:sz w:val="24"/>
                <w:highlight w:val="none"/>
                <w:lang w:val="en-US" w:eastAsia="zh-CN"/>
              </w:rPr>
              <w:t xml:space="preserve">赵苗苗  </w:t>
            </w:r>
          </w:p>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话：0990-6608599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66"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251" w:type="dxa"/>
            <w:noWrap w:val="0"/>
            <w:vAlign w:val="center"/>
          </w:tcPr>
          <w:p>
            <w:pPr>
              <w:pageBreakBefore w:val="0"/>
              <w:kinsoku/>
              <w:overflowPunct/>
              <w:topLinePunct w:val="0"/>
              <w:autoSpaceDE/>
              <w:autoSpaceDN/>
              <w:bidi w:val="0"/>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981" w:type="dxa"/>
            <w:noWrap w:val="0"/>
            <w:vAlign w:val="center"/>
          </w:tcPr>
          <w:p>
            <w:pPr>
              <w:pageBreakBefore w:val="0"/>
              <w:kinsoku/>
              <w:overflowPunct/>
              <w:topLinePunct w:val="0"/>
              <w:autoSpaceDE/>
              <w:autoSpaceDN/>
              <w:bidi w:val="0"/>
              <w:spacing w:line="360" w:lineRule="auto"/>
              <w:jc w:val="left"/>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小拐乡肉羊养殖场设备及农机采购项目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采购文件编号</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eastAsia="zh-CN"/>
              </w:rPr>
              <w:t>HYGS-ZC-2023-89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66"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采购项目预算金额</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196.90万元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75"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竞争性</w:t>
            </w:r>
            <w:r>
              <w:rPr>
                <w:rFonts w:hint="eastAsia" w:ascii="仿宋" w:hAnsi="仿宋" w:eastAsia="仿宋" w:cs="仿宋"/>
                <w:color w:val="auto"/>
                <w:sz w:val="24"/>
                <w:highlight w:val="none"/>
                <w:lang w:val="en-US" w:eastAsia="zh-CN"/>
              </w:rPr>
              <w:t>谈判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5"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评审方法</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最低评标价法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2251" w:type="dxa"/>
            <w:noWrap w:val="0"/>
            <w:vAlign w:val="center"/>
          </w:tcPr>
          <w:p>
            <w:pPr>
              <w:pageBreakBefore w:val="0"/>
              <w:kinsoku/>
              <w:overflowPunct/>
              <w:topLinePunct w:val="0"/>
              <w:autoSpaceDE/>
              <w:autoSpaceDN/>
              <w:bidi w:val="0"/>
              <w:spacing w:line="360" w:lineRule="auto"/>
              <w:jc w:val="left"/>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供货期限</w:t>
            </w:r>
          </w:p>
        </w:tc>
        <w:tc>
          <w:tcPr>
            <w:tcW w:w="6981" w:type="dxa"/>
            <w:noWrap w:val="0"/>
            <w:vAlign w:val="center"/>
          </w:tcPr>
          <w:p>
            <w:pPr>
              <w:pageBreakBefore w:val="0"/>
              <w:kinsoku/>
              <w:overflowPunct/>
              <w:topLinePunct w:val="0"/>
              <w:autoSpaceDE/>
              <w:autoSpaceDN/>
              <w:bidi w:val="0"/>
              <w:spacing w:line="360" w:lineRule="auto"/>
              <w:jc w:val="left"/>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自接到成交通知书之日起20日（日历日）内供货并完成安装调试。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981" w:type="dxa"/>
            <w:noWrap w:val="0"/>
            <w:vAlign w:val="center"/>
          </w:tcPr>
          <w:p>
            <w:pPr>
              <w:pageBreakBefore w:val="0"/>
              <w:kinsoku/>
              <w:overflowPunct/>
              <w:topLinePunct w:val="0"/>
              <w:autoSpaceDE/>
              <w:autoSpaceDN/>
              <w:bidi w:val="0"/>
              <w:spacing w:line="360" w:lineRule="auto"/>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color w:val="auto"/>
                <w:sz w:val="24"/>
                <w:highlight w:val="none"/>
                <w:lang w:val="en-US" w:eastAsia="zh-CN"/>
              </w:rPr>
              <w:t>谈判文件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5"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联合体投标</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不允许联合体参加</w:t>
            </w:r>
            <w:r>
              <w:rPr>
                <w:rFonts w:hint="eastAsia" w:ascii="仿宋" w:hAnsi="仿宋" w:eastAsia="仿宋" w:cs="仿宋"/>
                <w:color w:val="auto"/>
                <w:sz w:val="24"/>
                <w:highlight w:val="none"/>
                <w:lang w:eastAsia="zh-CN"/>
              </w:rPr>
              <w:t>谈判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5"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供应商提出问题的截止时间</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若有疑问，请于</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规定的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截止时间3</w:t>
            </w:r>
            <w:r>
              <w:rPr>
                <w:rFonts w:hint="eastAsia" w:ascii="仿宋" w:hAnsi="仿宋" w:eastAsia="仿宋" w:cs="仿宋"/>
                <w:color w:val="auto"/>
                <w:sz w:val="24"/>
                <w:highlight w:val="none"/>
                <w:lang w:eastAsia="zh-CN"/>
              </w:rPr>
              <w:t>个工作</w:t>
            </w:r>
            <w:r>
              <w:rPr>
                <w:rFonts w:hint="eastAsia" w:ascii="仿宋" w:hAnsi="仿宋" w:eastAsia="仿宋" w:cs="仿宋"/>
                <w:color w:val="auto"/>
                <w:sz w:val="24"/>
                <w:highlight w:val="none"/>
              </w:rPr>
              <w:t>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050"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225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采购人说明澄清的时间</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采购人、采购代理机构可以对已发出的</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进行必要的澄清或者修改，采购人、采购代理机构应当在提交首次响应文件截止时间至少</w:t>
            </w:r>
            <w:r>
              <w:rPr>
                <w:rFonts w:hint="eastAsia" w:ascii="仿宋" w:hAnsi="仿宋" w:eastAsia="仿宋" w:cs="仿宋"/>
                <w:color w:val="auto"/>
                <w:sz w:val="24"/>
                <w:highlight w:val="none"/>
                <w:lang w:val="en-US" w:eastAsia="zh-CN"/>
              </w:rPr>
              <w:t>3个工作</w:t>
            </w:r>
            <w:r>
              <w:rPr>
                <w:rFonts w:hint="eastAsia" w:ascii="仿宋" w:hAnsi="仿宋" w:eastAsia="仿宋" w:cs="仿宋"/>
                <w:color w:val="auto"/>
                <w:sz w:val="24"/>
                <w:highlight w:val="none"/>
              </w:rPr>
              <w:t>日前，以书面形式通知所有获取</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的供应商；不足</w:t>
            </w:r>
            <w:r>
              <w:rPr>
                <w:rFonts w:hint="eastAsia" w:ascii="仿宋" w:hAnsi="仿宋" w:eastAsia="仿宋" w:cs="仿宋"/>
                <w:color w:val="auto"/>
                <w:sz w:val="24"/>
                <w:highlight w:val="none"/>
                <w:lang w:val="en-US" w:eastAsia="zh-CN"/>
              </w:rPr>
              <w:t>3个工作</w:t>
            </w:r>
            <w:r>
              <w:rPr>
                <w:rFonts w:hint="eastAsia" w:ascii="仿宋" w:hAnsi="仿宋" w:eastAsia="仿宋" w:cs="仿宋"/>
                <w:color w:val="auto"/>
                <w:sz w:val="24"/>
                <w:highlight w:val="none"/>
              </w:rPr>
              <w:t>日的，采购人、采购代理机构应当顺延提交首次响应文件截止时间。</w:t>
            </w:r>
          </w:p>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04"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10"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25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构成</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的其他文件</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的澄清、修改书及有关补充通知为</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77"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投标截止时间</w:t>
            </w:r>
          </w:p>
        </w:tc>
        <w:tc>
          <w:tcPr>
            <w:tcW w:w="6981" w:type="dxa"/>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递交截止时间：2023年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4"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有效期</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1"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保证金</w:t>
            </w:r>
          </w:p>
        </w:tc>
        <w:tc>
          <w:tcPr>
            <w:tcW w:w="6981" w:type="dxa"/>
            <w:noWrap w:val="0"/>
            <w:vAlign w:val="center"/>
          </w:tcPr>
          <w:p>
            <w:pPr>
              <w:pageBreakBefore w:val="0"/>
              <w:widowControl/>
              <w:kinsoku/>
              <w:overflowPunct/>
              <w:topLinePunct w:val="0"/>
              <w:autoSpaceDE/>
              <w:autoSpaceDN/>
              <w:bidi w:val="0"/>
              <w:spacing w:line="240" w:lineRule="auto"/>
              <w:outlineLvl w:val="9"/>
              <w:rPr>
                <w:rFonts w:hint="eastAsia" w:ascii="仿宋" w:hAnsi="仿宋" w:eastAsia="仿宋" w:cs="仿宋"/>
                <w:color w:val="auto"/>
                <w:sz w:val="24"/>
                <w:highlight w:val="none"/>
                <w:lang w:eastAsia="zh-CN"/>
              </w:rPr>
            </w:pPr>
            <w:bookmarkStart w:id="53" w:name="OLE_LINK1"/>
            <w:bookmarkStart w:id="54" w:name="OLE_LINK2"/>
            <w:bookmarkStart w:id="55" w:name="OLE_LINK3"/>
            <w:r>
              <w:rPr>
                <w:rFonts w:hint="eastAsia" w:ascii="仿宋" w:hAnsi="仿宋" w:eastAsia="仿宋" w:cs="仿宋"/>
                <w:color w:val="auto"/>
                <w:sz w:val="24"/>
                <w:highlight w:val="none"/>
              </w:rPr>
              <w:t>投标保证金缴纳金额：</w:t>
            </w:r>
            <w:r>
              <w:rPr>
                <w:rFonts w:hint="eastAsia" w:ascii="仿宋" w:hAnsi="仿宋" w:eastAsia="仿宋" w:cs="仿宋"/>
                <w:color w:val="auto"/>
                <w:sz w:val="24"/>
                <w:highlight w:val="none"/>
                <w:lang w:eastAsia="zh-CN"/>
              </w:rPr>
              <w:t>无</w:t>
            </w:r>
          </w:p>
          <w:p>
            <w:pPr>
              <w:pageBreakBefore w:val="0"/>
              <w:widowControl/>
              <w:kinsoku/>
              <w:overflowPunct/>
              <w:topLinePunct w:val="0"/>
              <w:autoSpaceDE/>
              <w:autoSpaceDN/>
              <w:bidi w:val="0"/>
              <w:spacing w:line="24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账户名称：新疆宏宇建设工程项目管理有限责任公司克拉玛依分公司</w:t>
            </w:r>
          </w:p>
          <w:p>
            <w:pPr>
              <w:pageBreakBefore w:val="0"/>
              <w:widowControl/>
              <w:kinsoku/>
              <w:overflowPunct/>
              <w:topLinePunct w:val="0"/>
              <w:autoSpaceDE/>
              <w:autoSpaceDN/>
              <w:bidi w:val="0"/>
              <w:spacing w:line="24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开 户 行：</w:t>
            </w:r>
            <w:r>
              <w:rPr>
                <w:rFonts w:hint="eastAsia" w:ascii="仿宋" w:hAnsi="仿宋" w:eastAsia="仿宋" w:cs="仿宋"/>
                <w:color w:val="auto"/>
                <w:sz w:val="24"/>
                <w:highlight w:val="none"/>
                <w:lang w:eastAsia="zh-CN"/>
              </w:rPr>
              <w:t>中</w:t>
            </w:r>
            <w:r>
              <w:rPr>
                <w:rFonts w:hint="eastAsia" w:ascii="仿宋" w:hAnsi="仿宋" w:eastAsia="仿宋" w:cs="仿宋"/>
                <w:color w:val="auto"/>
                <w:sz w:val="24"/>
                <w:highlight w:val="none"/>
              </w:rPr>
              <w:t xml:space="preserve">建设银行股份有限公司克拉玛依石油分行营业室   </w:t>
            </w:r>
          </w:p>
          <w:p>
            <w:pPr>
              <w:pageBreakBefore w:val="0"/>
              <w:widowControl/>
              <w:kinsoku/>
              <w:overflowPunct/>
              <w:topLinePunct w:val="0"/>
              <w:autoSpaceDE/>
              <w:autoSpaceDN/>
              <w:bidi w:val="0"/>
              <w:spacing w:line="24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号：65001890100052509391</w:t>
            </w:r>
          </w:p>
          <w:p>
            <w:pPr>
              <w:pageBreakBefore w:val="0"/>
              <w:kinsoku/>
              <w:overflowPunct/>
              <w:topLinePunct w:val="0"/>
              <w:autoSpaceDE/>
              <w:autoSpaceDN/>
              <w:bidi w:val="0"/>
              <w:spacing w:line="24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行    号：10588120020  联系电话： 0990-6608599</w:t>
            </w:r>
            <w:bookmarkEnd w:id="53"/>
            <w:bookmarkEnd w:id="54"/>
            <w:bookmarkEnd w:id="55"/>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82"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备选方案</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38"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签字盖章</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竞标人必须按照</w:t>
            </w:r>
            <w:r>
              <w:rPr>
                <w:rFonts w:hint="eastAsia" w:ascii="仿宋" w:hAnsi="仿宋" w:eastAsia="仿宋" w:cs="仿宋"/>
                <w:color w:val="auto"/>
                <w:sz w:val="24"/>
                <w:highlight w:val="none"/>
                <w:lang w:eastAsia="zh-CN"/>
              </w:rPr>
              <w:t>谈判文件</w:t>
            </w:r>
            <w:r>
              <w:rPr>
                <w:rFonts w:hint="eastAsia" w:ascii="仿宋" w:hAnsi="仿宋" w:eastAsia="仿宋" w:cs="仿宋"/>
                <w:color w:val="auto"/>
                <w:sz w:val="24"/>
                <w:highlight w:val="none"/>
              </w:rPr>
              <w:t>的规定和要求签字、盖章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p>
        </w:tc>
        <w:tc>
          <w:tcPr>
            <w:tcW w:w="2251" w:type="dxa"/>
            <w:noWrap w:val="0"/>
            <w:vAlign w:val="center"/>
          </w:tcPr>
          <w:p>
            <w:pPr>
              <w:pageBreakBefore w:val="0"/>
              <w:kinsoku/>
              <w:overflowPunct/>
              <w:topLinePunct w:val="0"/>
              <w:autoSpaceDE/>
              <w:autoSpaceDN/>
              <w:bidi w:val="0"/>
              <w:spacing w:line="360" w:lineRule="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响应文件</w:t>
            </w:r>
            <w:r>
              <w:rPr>
                <w:rFonts w:hint="eastAsia" w:ascii="仿宋" w:hAnsi="仿宋" w:eastAsia="仿宋" w:cs="仿宋"/>
                <w:color w:val="auto"/>
                <w:sz w:val="24"/>
                <w:highlight w:val="none"/>
                <w:lang w:val="en-US" w:eastAsia="zh-CN"/>
              </w:rPr>
              <w:t>的递交</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本项目采用电子投标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递交响应文件地点</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新疆政府采购网政采云平台（www.zcygov.cn）</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91"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时间和地点</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时间：2023年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地点：克拉玛依市恒隆广场A座41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088" w:hRule="atLeast"/>
          <w:jc w:val="center"/>
        </w:trPr>
        <w:tc>
          <w:tcPr>
            <w:tcW w:w="826"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lang w:val="en-US" w:eastAsia="zh-CN"/>
              </w:rPr>
            </w:pPr>
            <w:bookmarkStart w:id="56" w:name="_Toc415483390"/>
            <w:r>
              <w:rPr>
                <w:rFonts w:hint="eastAsia" w:ascii="仿宋" w:hAnsi="仿宋" w:eastAsia="仿宋" w:cs="仿宋"/>
                <w:color w:val="auto"/>
                <w:sz w:val="24"/>
                <w:highlight w:val="none"/>
                <w:lang w:val="en-US" w:eastAsia="zh-CN"/>
              </w:rPr>
              <w:t>25</w:t>
            </w:r>
          </w:p>
        </w:tc>
        <w:tc>
          <w:tcPr>
            <w:tcW w:w="225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b/>
                <w:color w:val="auto"/>
                <w:sz w:val="24"/>
                <w:highlight w:val="none"/>
              </w:rPr>
            </w:pPr>
            <w:r>
              <w:rPr>
                <w:rFonts w:hint="eastAsia" w:ascii="仿宋" w:hAnsi="仿宋" w:eastAsia="仿宋" w:cs="仿宋"/>
                <w:b/>
                <w:bCs w:val="0"/>
                <w:color w:val="auto"/>
                <w:kern w:val="2"/>
                <w:sz w:val="24"/>
                <w:szCs w:val="24"/>
                <w:highlight w:val="none"/>
                <w:lang w:val="en-US" w:eastAsia="zh-CN" w:bidi="ar"/>
              </w:rPr>
              <w:t>重要提示</w:t>
            </w:r>
          </w:p>
        </w:tc>
        <w:tc>
          <w:tcPr>
            <w:tcW w:w="698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b/>
                <w:color w:val="auto"/>
                <w:sz w:val="24"/>
                <w:highlight w:val="none"/>
              </w:rPr>
            </w:pPr>
            <w:r>
              <w:rPr>
                <w:rFonts w:hint="eastAsia" w:ascii="仿宋" w:hAnsi="仿宋" w:eastAsia="仿宋" w:cs="仿宋"/>
                <w:b/>
                <w:color w:val="auto"/>
                <w:sz w:val="24"/>
                <w:szCs w:val="24"/>
                <w:highlight w:val="none"/>
                <w:lang w:val="en-US" w:eastAsia="zh-CN"/>
              </w:rPr>
              <w:t>供应商在投标截止时间前若放弃投标的，需将弃标函在开标截止时间前发送至招标代理机构，如影响开、评标工作正常进行的，由供应商自行承担相应责任。</w:t>
            </w:r>
          </w:p>
        </w:tc>
      </w:tr>
    </w:tbl>
    <w:p>
      <w:pPr>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二、投标须知</w:t>
      </w:r>
      <w:bookmarkEnd w:id="56"/>
    </w:p>
    <w:p>
      <w:pPr>
        <w:keepLines w:val="0"/>
        <w:pageBreakBefore w:val="0"/>
        <w:numPr>
          <w:ilvl w:val="0"/>
          <w:numId w:val="0"/>
        </w:numPr>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bookmarkStart w:id="57" w:name="_Toc424059475"/>
      <w:bookmarkStart w:id="58" w:name="_Toc424211805"/>
      <w:bookmarkStart w:id="59" w:name="_Toc460703951"/>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适用范围</w:t>
      </w:r>
      <w:bookmarkEnd w:id="57"/>
      <w:bookmarkEnd w:id="58"/>
      <w:bookmarkEnd w:id="59"/>
    </w:p>
    <w:p>
      <w:pPr>
        <w:keepNext/>
        <w:keepLines w:val="0"/>
        <w:pageBreakBefore w:val="0"/>
        <w:widowControl/>
        <w:numPr>
          <w:ilvl w:val="0"/>
          <w:numId w:val="0"/>
        </w:numPr>
        <w:tabs>
          <w:tab w:val="left" w:pos="720"/>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1、本谈判文件仅适用于本次采购项目。</w:t>
      </w:r>
    </w:p>
    <w:p>
      <w:pPr>
        <w:keepNext/>
        <w:keepLines w:val="0"/>
        <w:pageBreakBefore w:val="0"/>
        <w:widowControl/>
        <w:numPr>
          <w:ilvl w:val="0"/>
          <w:numId w:val="0"/>
        </w:numPr>
        <w:tabs>
          <w:tab w:val="left" w:pos="720"/>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2、本谈判文件是根据《中华人民</w:t>
      </w:r>
      <w:r>
        <w:rPr>
          <w:rFonts w:hint="eastAsia" w:ascii="仿宋" w:hAnsi="仿宋" w:eastAsia="仿宋" w:cs="仿宋"/>
          <w:b w:val="0"/>
          <w:bCs/>
          <w:color w:val="auto"/>
          <w:kern w:val="2"/>
          <w:sz w:val="24"/>
          <w:szCs w:val="24"/>
          <w:highlight w:val="none"/>
        </w:rPr>
        <w:t>共和国政府采购法》、《中华人民共和国政府采购法实施条例》、《政府采购非招标采购方式管理暂行办法》（中华人民共和国财政部令第74号）及其他相关法律、法规编制。</w:t>
      </w:r>
      <w:bookmarkStart w:id="60" w:name="_Toc239822484"/>
      <w:bookmarkStart w:id="61" w:name="_Toc239822599"/>
      <w:bookmarkStart w:id="62" w:name="_Toc424211807"/>
      <w:bookmarkStart w:id="63" w:name="_Toc460703953"/>
      <w:bookmarkStart w:id="64" w:name="_Toc424059477"/>
    </w:p>
    <w:p>
      <w:pPr>
        <w:keepNext/>
        <w:keepLines w:val="0"/>
        <w:pageBreakBefore w:val="0"/>
        <w:widowControl/>
        <w:numPr>
          <w:ilvl w:val="0"/>
          <w:numId w:val="0"/>
        </w:numPr>
        <w:tabs>
          <w:tab w:val="left" w:pos="720"/>
        </w:tabs>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项目概况：</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小拐乡肉羊养殖场设备及农机采购项目</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采购范围：</w:t>
      </w:r>
      <w:r>
        <w:rPr>
          <w:rFonts w:hint="eastAsia" w:ascii="仿宋" w:hAnsi="仿宋" w:eastAsia="仿宋" w:cs="仿宋"/>
          <w:color w:val="auto"/>
          <w:sz w:val="24"/>
          <w:szCs w:val="24"/>
          <w:highlight w:val="none"/>
          <w:lang w:eastAsia="zh-CN"/>
        </w:rPr>
        <w:t>小拐乡肉羊养殖场设备及农机采购项目供货期限</w:t>
      </w:r>
      <w:r>
        <w:rPr>
          <w:rFonts w:hint="eastAsia" w:ascii="仿宋" w:hAnsi="仿宋" w:eastAsia="仿宋" w:cs="仿宋"/>
          <w:color w:val="auto"/>
          <w:sz w:val="24"/>
          <w:szCs w:val="24"/>
          <w:highlight w:val="none"/>
        </w:rPr>
        <w:t>内提供服务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等内容以及合同条款、技术规范及标准、项目采购需求、本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约定的全部内容及责任和义务。</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供货期限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自接到成交通知书之日起20日（日历日）内供货并完成安装调试。</w:t>
      </w:r>
    </w:p>
    <w:bookmarkEnd w:id="60"/>
    <w:bookmarkEnd w:id="61"/>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合格的供应商应符合以下条件</w:t>
      </w:r>
      <w:bookmarkEnd w:id="62"/>
      <w:bookmarkEnd w:id="63"/>
      <w:bookmarkEnd w:id="64"/>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bookmarkStart w:id="65" w:name="_Toc239822485"/>
      <w:bookmarkStart w:id="66" w:name="_Toc239822600"/>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公告”第</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条规定的条件；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向采购代理机构领取了</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并登记。</w:t>
      </w:r>
    </w:p>
    <w:p>
      <w:pPr>
        <w:pStyle w:val="5"/>
        <w:numPr>
          <w:ilvl w:val="0"/>
          <w:numId w:val="0"/>
        </w:numPr>
        <w:spacing w:before="0" w:after="0" w:line="360" w:lineRule="auto"/>
        <w:rPr>
          <w:rFonts w:hint="eastAsia" w:ascii="仿宋" w:hAnsi="仿宋" w:eastAsia="仿宋" w:cs="仿宋"/>
          <w:b w:val="0"/>
          <w:bCs/>
          <w:color w:val="auto"/>
          <w:sz w:val="24"/>
          <w:szCs w:val="24"/>
        </w:rPr>
      </w:pPr>
      <w:bookmarkStart w:id="67" w:name="_Toc424211808"/>
      <w:bookmarkStart w:id="68" w:name="_Toc460703954"/>
      <w:bookmarkStart w:id="69" w:name="_Toc424059478"/>
      <w:r>
        <w:rPr>
          <w:rFonts w:hint="eastAsia" w:ascii="仿宋" w:hAnsi="仿宋" w:eastAsia="仿宋" w:cs="仿宋"/>
          <w:b w:val="0"/>
          <w:bCs/>
          <w:color w:val="auto"/>
          <w:sz w:val="24"/>
          <w:szCs w:val="24"/>
          <w:highlight w:val="none"/>
          <w:lang w:eastAsia="zh-CN"/>
        </w:rPr>
        <w:t>（四）</w:t>
      </w:r>
      <w:bookmarkEnd w:id="65"/>
      <w:bookmarkEnd w:id="66"/>
      <w:bookmarkEnd w:id="67"/>
      <w:bookmarkEnd w:id="68"/>
      <w:bookmarkEnd w:id="69"/>
      <w:r>
        <w:rPr>
          <w:rFonts w:hint="eastAsia" w:ascii="仿宋" w:hAnsi="仿宋" w:eastAsia="仿宋" w:cs="仿宋"/>
          <w:b w:val="0"/>
          <w:bCs/>
          <w:color w:val="auto"/>
          <w:sz w:val="24"/>
          <w:szCs w:val="24"/>
        </w:rPr>
        <w:t>购有关规定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1、供应商负责人为同一人或者存在直接控股、管理关系的不同供应商，不得参加同一合同项下的政府采购活动。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2、为采购项目提供整体设计、规范编制或者项目管理、监理、检测等服务的供应商，不得再参加该采购项目的其他采购活动。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3、在单一品目的货物采购中，同一品牌同一型号的产品有多家供应商参加采购，只能按照一家供应商计算。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4、同一分包的货物，制造商参与采购的，不得再委托代理商参与采购。</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5、回避。政府采购活动中，采购人员及相关人员与供应商有下列利害关系之一的，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应当回避：</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5.1参加采购活动前3年内与供应商存在劳动关系；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5.2参加采购活动前3年内担任供应商的董事、监事；</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5.3参加采购活动前3年内是供应商的控股股东或者实际控制人；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5.4与供应商的法定代表人或者负责人有夫妻、直系血亲、三代以内旁系血亲或者近姻亲关系；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5.5与供应商有其他可能影响政府采购活动公平、公正进行的关系。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仿宋" w:hAnsi="仿宋" w:eastAsia="仿宋" w:cs="仿宋"/>
          <w:color w:val="auto"/>
          <w:sz w:val="24"/>
          <w:lang w:val="en-US" w:eastAsia="zh-CN"/>
        </w:rPr>
        <w:t>谈判</w:t>
      </w:r>
      <w:r>
        <w:rPr>
          <w:rFonts w:hint="eastAsia" w:ascii="仿宋" w:hAnsi="仿宋" w:eastAsia="仿宋" w:cs="仿宋"/>
          <w:color w:val="auto"/>
          <w:sz w:val="24"/>
        </w:rPr>
        <w:t>小组成员。</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bookmarkStart w:id="70" w:name="_Toc424059479"/>
      <w:bookmarkStart w:id="71" w:name="_Toc424211809"/>
      <w:bookmarkStart w:id="72" w:name="_Toc460703955"/>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代理服务费</w:t>
      </w:r>
      <w:bookmarkEnd w:id="70"/>
      <w:bookmarkEnd w:id="71"/>
      <w:r>
        <w:rPr>
          <w:rFonts w:hint="eastAsia" w:ascii="仿宋" w:hAnsi="仿宋" w:eastAsia="仿宋" w:cs="仿宋"/>
          <w:color w:val="auto"/>
          <w:sz w:val="24"/>
          <w:szCs w:val="24"/>
          <w:highlight w:val="none"/>
        </w:rPr>
        <w:t xml:space="preserve"> </w:t>
      </w:r>
      <w:bookmarkEnd w:id="72"/>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bookmarkStart w:id="73" w:name="_Toc424211810"/>
      <w:bookmarkStart w:id="74" w:name="_Toc424059480"/>
      <w:bookmarkStart w:id="75" w:name="_Toc460703956"/>
      <w:r>
        <w:rPr>
          <w:rFonts w:hint="eastAsia" w:ascii="仿宋" w:hAnsi="仿宋" w:eastAsia="仿宋" w:cs="仿宋"/>
          <w:color w:val="auto"/>
          <w:sz w:val="24"/>
          <w:szCs w:val="24"/>
          <w:highlight w:val="none"/>
        </w:rPr>
        <w:t>本项目采购代理费经与采购人协调，确定由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进行支付，招标代理费</w:t>
      </w:r>
      <w:r>
        <w:rPr>
          <w:rFonts w:hint="eastAsia" w:ascii="仿宋" w:hAnsi="仿宋" w:eastAsia="仿宋" w:cs="仿宋"/>
          <w:color w:val="auto"/>
          <w:sz w:val="24"/>
          <w:szCs w:val="24"/>
          <w:highlight w:val="none"/>
          <w:lang w:val="en-US" w:eastAsia="zh-CN"/>
        </w:rPr>
        <w:t>为0.77万元（大写：柒仟柒佰元整）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领取成交通知书时支付采购代理费。</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竞争性</w:t>
      </w:r>
      <w:bookmarkEnd w:id="73"/>
      <w:bookmarkEnd w:id="74"/>
      <w:bookmarkEnd w:id="75"/>
      <w:r>
        <w:rPr>
          <w:rFonts w:hint="eastAsia" w:ascii="仿宋" w:hAnsi="仿宋" w:eastAsia="仿宋" w:cs="仿宋"/>
          <w:color w:val="auto"/>
          <w:sz w:val="24"/>
          <w:szCs w:val="24"/>
          <w:highlight w:val="none"/>
          <w:lang w:eastAsia="zh-CN"/>
        </w:rPr>
        <w:t>谈判</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是指采购人、政府采购代理机构通过组建竞争性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小组与符合条件的供应商就采购服务事宜进行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，供应商按照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的要求提交响应文件和报价，采购人从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小组评审后提出的候选供应商名单中确定成交供应商的采购方式。</w:t>
      </w:r>
      <w:bookmarkStart w:id="76" w:name="_Toc239822602"/>
      <w:bookmarkStart w:id="77" w:name="_Toc460703957"/>
      <w:bookmarkStart w:id="78" w:name="_Toc239822487"/>
    </w:p>
    <w:p>
      <w:pPr>
        <w:spacing w:line="360" w:lineRule="auto"/>
        <w:rPr>
          <w:rFonts w:hint="eastAsia" w:ascii="仿宋" w:hAnsi="仿宋" w:eastAsia="仿宋" w:cs="仿宋"/>
          <w:b/>
          <w:color w:val="auto"/>
          <w:kern w:val="0"/>
          <w:sz w:val="24"/>
        </w:rPr>
      </w:pPr>
      <w:r>
        <w:rPr>
          <w:rFonts w:hint="eastAsia" w:ascii="仿宋" w:hAnsi="仿宋" w:eastAsia="仿宋" w:cs="仿宋"/>
          <w:b/>
          <w:color w:val="auto"/>
          <w:kern w:val="0"/>
          <w:sz w:val="24"/>
        </w:rPr>
        <w:t>（</w:t>
      </w:r>
      <w:r>
        <w:rPr>
          <w:rFonts w:hint="eastAsia" w:ascii="仿宋" w:hAnsi="仿宋" w:eastAsia="仿宋" w:cs="仿宋"/>
          <w:color w:val="auto"/>
          <w:sz w:val="24"/>
          <w:szCs w:val="24"/>
          <w:highlight w:val="none"/>
        </w:rPr>
        <w:t>七）法律适用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1、本次</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活动及由本次</w:t>
      </w:r>
      <w:r>
        <w:rPr>
          <w:rFonts w:hint="eastAsia" w:ascii="仿宋" w:hAnsi="仿宋" w:eastAsia="仿宋" w:cs="仿宋"/>
          <w:color w:val="auto"/>
          <w:sz w:val="24"/>
          <w:lang w:val="en-US" w:eastAsia="zh-CN"/>
        </w:rPr>
        <w:t>谈判</w:t>
      </w:r>
      <w:r>
        <w:rPr>
          <w:rFonts w:hint="eastAsia" w:ascii="仿宋" w:hAnsi="仿宋" w:eastAsia="仿宋" w:cs="仿宋"/>
          <w:color w:val="auto"/>
          <w:sz w:val="24"/>
        </w:rPr>
        <w:t>产生的合同受中国法律制约和保护。</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lang w:val="en-US" w:eastAsia="zh-CN"/>
        </w:rPr>
        <w:t>谈判</w:t>
      </w:r>
      <w:r>
        <w:rPr>
          <w:rFonts w:hint="eastAsia" w:ascii="仿宋" w:hAnsi="仿宋" w:eastAsia="仿宋" w:cs="仿宋"/>
          <w:color w:val="auto"/>
          <w:sz w:val="24"/>
          <w:szCs w:val="24"/>
          <w:highlight w:val="none"/>
        </w:rPr>
        <w:t>文件的约束力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1、供应商若成交，即被认为接受了本</w:t>
      </w: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文件中的所有条件和规定。是采购人与成交供应商签订合同的依据且是合同的组成部分。</w:t>
      </w:r>
    </w:p>
    <w:p>
      <w:pPr>
        <w:pStyle w:val="24"/>
        <w:spacing w:line="360" w:lineRule="auto"/>
        <w:ind w:left="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（九）其他</w:t>
      </w:r>
    </w:p>
    <w:p>
      <w:pPr>
        <w:pStyle w:val="24"/>
        <w:spacing w:line="360" w:lineRule="auto"/>
        <w:ind w:left="0" w:firstLine="480"/>
        <w:rPr>
          <w:rFonts w:hint="eastAsia" w:ascii="仿宋" w:hAnsi="仿宋" w:eastAsia="仿宋" w:cs="仿宋"/>
          <w:color w:val="auto"/>
          <w:szCs w:val="24"/>
        </w:rPr>
      </w:pPr>
      <w:r>
        <w:rPr>
          <w:rFonts w:hint="eastAsia" w:ascii="仿宋" w:hAnsi="仿宋" w:eastAsia="仿宋" w:cs="仿宋"/>
          <w:color w:val="auto"/>
          <w:szCs w:val="24"/>
        </w:rPr>
        <w:t>1、现场考察和答疑会</w:t>
      </w:r>
    </w:p>
    <w:p>
      <w:pPr>
        <w:pStyle w:val="24"/>
        <w:spacing w:line="360" w:lineRule="auto"/>
        <w:ind w:left="0" w:firstLine="480"/>
        <w:rPr>
          <w:rFonts w:hint="eastAsia" w:ascii="仿宋" w:hAnsi="仿宋" w:eastAsia="仿宋" w:cs="仿宋"/>
          <w:color w:val="auto"/>
          <w:szCs w:val="24"/>
        </w:rPr>
      </w:pPr>
      <w:r>
        <w:rPr>
          <w:rFonts w:hint="eastAsia" w:ascii="仿宋" w:hAnsi="仿宋" w:eastAsia="仿宋" w:cs="仿宋"/>
          <w:color w:val="auto"/>
          <w:szCs w:val="24"/>
        </w:rPr>
        <w:t>1.1</w:t>
      </w:r>
      <w:r>
        <w:rPr>
          <w:rFonts w:hint="eastAsia" w:ascii="仿宋" w:hAnsi="仿宋" w:eastAsia="仿宋" w:cs="仿宋"/>
          <w:color w:val="auto"/>
          <w:szCs w:val="24"/>
          <w:lang w:eastAsia="zh-CN"/>
        </w:rPr>
        <w:t>采购人</w:t>
      </w:r>
      <w:r>
        <w:rPr>
          <w:rFonts w:hint="eastAsia" w:ascii="仿宋" w:hAnsi="仿宋" w:eastAsia="仿宋" w:cs="仿宋"/>
          <w:color w:val="auto"/>
          <w:szCs w:val="24"/>
        </w:rPr>
        <w:t xml:space="preserve">不统一组织踏勘现场，投标人应派人员自行踏勘服务现场，对服务现场和周围环境进行考察，以获取须投标人自己负责的有关投标准备和签署本工程合同所需的所有资料。  </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1.2</w:t>
      </w:r>
      <w:r>
        <w:rPr>
          <w:rFonts w:hint="eastAsia" w:ascii="仿宋" w:hAnsi="仿宋" w:eastAsia="仿宋" w:cs="仿宋"/>
          <w:color w:val="auto"/>
          <w:szCs w:val="24"/>
          <w:lang w:eastAsia="zh-CN"/>
        </w:rPr>
        <w:t>采购人</w:t>
      </w:r>
      <w:r>
        <w:rPr>
          <w:rFonts w:hint="eastAsia" w:ascii="仿宋" w:hAnsi="仿宋" w:eastAsia="仿宋" w:cs="仿宋"/>
          <w:color w:val="auto"/>
          <w:szCs w:val="24"/>
        </w:rPr>
        <w:t>向投标人提供的有关服务现场的资料和数据，是</w:t>
      </w:r>
      <w:r>
        <w:rPr>
          <w:rFonts w:hint="eastAsia" w:ascii="仿宋" w:hAnsi="仿宋" w:eastAsia="仿宋" w:cs="仿宋"/>
          <w:color w:val="auto"/>
          <w:szCs w:val="24"/>
          <w:lang w:eastAsia="zh-CN"/>
        </w:rPr>
        <w:t>采购人</w:t>
      </w:r>
      <w:r>
        <w:rPr>
          <w:rFonts w:hint="eastAsia" w:ascii="仿宋" w:hAnsi="仿宋" w:eastAsia="仿宋" w:cs="仿宋"/>
          <w:color w:val="auto"/>
          <w:szCs w:val="24"/>
        </w:rPr>
        <w:t>现有的能使投标人利用的资料。投标人由此而做出的推论、理解和结论以及对</w:t>
      </w:r>
      <w:r>
        <w:rPr>
          <w:rFonts w:hint="eastAsia" w:ascii="仿宋" w:hAnsi="仿宋" w:eastAsia="仿宋" w:cs="仿宋"/>
          <w:color w:val="auto"/>
          <w:szCs w:val="24"/>
          <w:lang w:eastAsia="zh-CN"/>
        </w:rPr>
        <w:t>采购人</w:t>
      </w:r>
      <w:r>
        <w:rPr>
          <w:rFonts w:hint="eastAsia" w:ascii="仿宋" w:hAnsi="仿宋" w:eastAsia="仿宋" w:cs="仿宋"/>
          <w:color w:val="auto"/>
          <w:szCs w:val="24"/>
        </w:rPr>
        <w:t>或招标代理机构有关问题的口头解释的推证所造成的后果均由投标人自行负责。</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1.3</w:t>
      </w:r>
      <w:r>
        <w:rPr>
          <w:rFonts w:hint="eastAsia" w:ascii="仿宋" w:hAnsi="仿宋" w:eastAsia="仿宋" w:cs="仿宋"/>
          <w:color w:val="auto"/>
          <w:szCs w:val="24"/>
          <w:lang w:eastAsia="zh-CN"/>
        </w:rPr>
        <w:t>采购人</w:t>
      </w:r>
      <w:r>
        <w:rPr>
          <w:rFonts w:hint="eastAsia" w:ascii="仿宋" w:hAnsi="仿宋" w:eastAsia="仿宋" w:cs="仿宋"/>
          <w:color w:val="auto"/>
          <w:szCs w:val="24"/>
        </w:rPr>
        <w:t>将统一组织招标答疑，各投标人应按时派人员参加，以提出与投标有关的问题，逾期责任自负。</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1.4投标人提出的与投标有关的任何问题须在前附表第6项规定的招标疑问截止日期前，以书面形式加盖公章后按规定要求提交给招标代理机构（并将疑问电子版发至邮箱</w:t>
      </w:r>
      <w:r>
        <w:rPr>
          <w:rFonts w:hint="eastAsia" w:ascii="仿宋" w:hAnsi="仿宋" w:eastAsia="仿宋" w:cs="仿宋"/>
          <w:color w:val="auto"/>
          <w:szCs w:val="24"/>
          <w:lang w:val="en-US" w:eastAsia="zh-CN"/>
        </w:rPr>
        <w:t>3406932046@qq.com</w:t>
      </w:r>
      <w:r>
        <w:rPr>
          <w:rFonts w:hint="eastAsia" w:ascii="仿宋" w:hAnsi="仿宋" w:eastAsia="仿宋" w:cs="仿宋"/>
          <w:color w:val="auto"/>
          <w:szCs w:val="24"/>
        </w:rPr>
        <w:t>）。</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1.5各投标人如不在答疑会上提出自己的疑点，</w:t>
      </w:r>
      <w:r>
        <w:rPr>
          <w:rFonts w:hint="eastAsia" w:ascii="仿宋" w:hAnsi="仿宋" w:eastAsia="仿宋" w:cs="仿宋"/>
          <w:color w:val="auto"/>
          <w:szCs w:val="24"/>
          <w:lang w:eastAsia="zh-CN"/>
        </w:rPr>
        <w:t>采购人</w:t>
      </w:r>
      <w:r>
        <w:rPr>
          <w:rFonts w:hint="eastAsia" w:ascii="仿宋" w:hAnsi="仿宋" w:eastAsia="仿宋" w:cs="仿宋"/>
          <w:color w:val="auto"/>
          <w:szCs w:val="24"/>
        </w:rPr>
        <w:t>将不个别给予任何解释。</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1.6答疑会会议纪要包括所有需要回答的问题和答复，各投标人按前附表规定的发放补遗文件时间及地点领取。会议纪要将作为</w:t>
      </w:r>
      <w:r>
        <w:rPr>
          <w:rFonts w:hint="eastAsia" w:ascii="仿宋" w:hAnsi="仿宋" w:eastAsia="仿宋" w:cs="仿宋"/>
          <w:color w:val="auto"/>
          <w:szCs w:val="24"/>
          <w:lang w:eastAsia="zh-CN"/>
        </w:rPr>
        <w:t>竞争性谈判文件</w:t>
      </w:r>
      <w:r>
        <w:rPr>
          <w:rFonts w:hint="eastAsia" w:ascii="仿宋" w:hAnsi="仿宋" w:eastAsia="仿宋" w:cs="仿宋"/>
          <w:color w:val="auto"/>
          <w:szCs w:val="24"/>
        </w:rPr>
        <w:t>的补充文件，与</w:t>
      </w:r>
      <w:r>
        <w:rPr>
          <w:rFonts w:hint="eastAsia" w:ascii="仿宋" w:hAnsi="仿宋" w:eastAsia="仿宋" w:cs="仿宋"/>
          <w:color w:val="auto"/>
          <w:szCs w:val="24"/>
          <w:lang w:eastAsia="zh-CN"/>
        </w:rPr>
        <w:t>竞争性谈判文件</w:t>
      </w:r>
      <w:r>
        <w:rPr>
          <w:rFonts w:hint="eastAsia" w:ascii="仿宋" w:hAnsi="仿宋" w:eastAsia="仿宋" w:cs="仿宋"/>
          <w:color w:val="auto"/>
          <w:szCs w:val="24"/>
        </w:rPr>
        <w:t>具有同等法律效力。</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2、投标有效期</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2.1投标有效期为投标须知前附表规定的自递交响应文件截止之日起90天（日历日），在明确规定的有效期期限内，所有响应文件保持有效。确定中标人并合同签订后，中标人的响应文件的投标有效期至服务期结束。</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2.2在特殊情况下，</w:t>
      </w:r>
      <w:r>
        <w:rPr>
          <w:rFonts w:hint="eastAsia" w:ascii="仿宋" w:hAnsi="仿宋" w:eastAsia="仿宋" w:cs="仿宋"/>
          <w:color w:val="auto"/>
          <w:szCs w:val="24"/>
          <w:lang w:eastAsia="zh-CN"/>
        </w:rPr>
        <w:t>采购人</w:t>
      </w:r>
      <w:r>
        <w:rPr>
          <w:rFonts w:hint="eastAsia" w:ascii="仿宋" w:hAnsi="仿宋" w:eastAsia="仿宋" w:cs="仿宋"/>
          <w:color w:val="auto"/>
          <w:szCs w:val="24"/>
        </w:rPr>
        <w:t>在原定响应文件有效期内可以根据需要向投标人提出延长响应文件有效期的要求，投标人应在</w:t>
      </w:r>
      <w:r>
        <w:rPr>
          <w:rFonts w:hint="eastAsia" w:ascii="仿宋" w:hAnsi="仿宋" w:eastAsia="仿宋" w:cs="仿宋"/>
          <w:color w:val="auto"/>
          <w:szCs w:val="24"/>
          <w:lang w:eastAsia="zh-CN"/>
        </w:rPr>
        <w:t>采购人</w:t>
      </w:r>
      <w:r>
        <w:rPr>
          <w:rFonts w:hint="eastAsia" w:ascii="仿宋" w:hAnsi="仿宋" w:eastAsia="仿宋" w:cs="仿宋"/>
          <w:color w:val="auto"/>
          <w:szCs w:val="24"/>
        </w:rPr>
        <w:t>规定的时间内对此作出书面答复。</w:t>
      </w:r>
      <w:r>
        <w:rPr>
          <w:rFonts w:hint="eastAsia" w:ascii="仿宋" w:hAnsi="仿宋" w:eastAsia="仿宋" w:cs="仿宋"/>
          <w:color w:val="auto"/>
          <w:szCs w:val="24"/>
          <w:lang w:eastAsia="zh-CN"/>
        </w:rPr>
        <w:t>采购人</w:t>
      </w:r>
      <w:r>
        <w:rPr>
          <w:rFonts w:hint="eastAsia" w:ascii="仿宋" w:hAnsi="仿宋" w:eastAsia="仿宋" w:cs="仿宋"/>
          <w:color w:val="auto"/>
          <w:szCs w:val="24"/>
        </w:rPr>
        <w:t>的要求和投标人的答复，均需以加盖公章的书面文字传真或信函通知对方。若投标人不在</w:t>
      </w:r>
      <w:r>
        <w:rPr>
          <w:rFonts w:hint="eastAsia" w:ascii="仿宋" w:hAnsi="仿宋" w:eastAsia="仿宋" w:cs="仿宋"/>
          <w:color w:val="auto"/>
          <w:szCs w:val="24"/>
          <w:lang w:eastAsia="zh-CN"/>
        </w:rPr>
        <w:t>采购人</w:t>
      </w:r>
      <w:r>
        <w:rPr>
          <w:rFonts w:hint="eastAsia" w:ascii="仿宋" w:hAnsi="仿宋" w:eastAsia="仿宋" w:cs="仿宋"/>
          <w:color w:val="auto"/>
          <w:szCs w:val="24"/>
        </w:rPr>
        <w:t>规定的时间内对此做出书面答复，视为同意延长响应文件有效期。</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3、投标保证金的交纳与退还</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3.1投标保证金的交纳</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3.1.1为了确保招投标工作的顺利进行，投标人在投标截止时间前需交纳</w:t>
      </w:r>
      <w:r>
        <w:rPr>
          <w:rFonts w:hint="eastAsia" w:ascii="仿宋" w:hAnsi="仿宋" w:eastAsia="仿宋" w:cs="仿宋"/>
          <w:color w:val="auto"/>
          <w:szCs w:val="24"/>
          <w:lang w:val="en-US" w:eastAsia="zh-CN"/>
        </w:rPr>
        <w:t>/</w:t>
      </w:r>
      <w:r>
        <w:rPr>
          <w:rFonts w:hint="eastAsia" w:ascii="仿宋" w:hAnsi="仿宋" w:eastAsia="仿宋" w:cs="仿宋"/>
          <w:color w:val="auto"/>
          <w:szCs w:val="24"/>
          <w:lang w:eastAsia="zh-CN"/>
        </w:rPr>
        <w:t>银行转账</w:t>
      </w:r>
      <w:r>
        <w:rPr>
          <w:rFonts w:hint="eastAsia" w:ascii="仿宋" w:hAnsi="仿宋" w:eastAsia="仿宋" w:cs="仿宋"/>
          <w:color w:val="auto"/>
          <w:szCs w:val="24"/>
        </w:rPr>
        <w:t>支票、银行电汇的形式或银行保函形式提交投标保证金）；采用</w:t>
      </w:r>
      <w:r>
        <w:rPr>
          <w:rFonts w:hint="eastAsia" w:ascii="仿宋" w:hAnsi="仿宋" w:eastAsia="仿宋" w:cs="仿宋"/>
          <w:color w:val="auto"/>
          <w:szCs w:val="24"/>
          <w:lang w:eastAsia="zh-CN"/>
        </w:rPr>
        <w:t>银行转账</w:t>
      </w:r>
      <w:r>
        <w:rPr>
          <w:rFonts w:hint="eastAsia" w:ascii="仿宋" w:hAnsi="仿宋" w:eastAsia="仿宋" w:cs="仿宋"/>
          <w:color w:val="auto"/>
          <w:szCs w:val="24"/>
        </w:rPr>
        <w:t>支票或银行电汇的形式提交投标保证金必须从投标人基本账户转出，投标保证金有效期与投标有效期一致；采用银行保函形式提交投标保证金，保函有效期不得少于投标有效期；</w:t>
      </w:r>
      <w:r>
        <w:rPr>
          <w:rFonts w:hint="eastAsia" w:ascii="仿宋" w:hAnsi="仿宋" w:eastAsia="仿宋" w:cs="仿宋"/>
          <w:color w:val="auto"/>
          <w:szCs w:val="24"/>
          <w:lang w:eastAsia="zh-CN"/>
        </w:rPr>
        <w:t>采购人</w:t>
      </w:r>
      <w:r>
        <w:rPr>
          <w:rFonts w:hint="eastAsia" w:ascii="仿宋" w:hAnsi="仿宋" w:eastAsia="仿宋" w:cs="仿宋"/>
          <w:color w:val="auto"/>
          <w:szCs w:val="24"/>
        </w:rPr>
        <w:t>不接受投标人授权或委托他人或分支机构代交投标保证金；</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单位名称：新疆宏宇建设工程项目管理有限责任公司克拉玛依一分公司</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开户行:昆仑银行股份有限公司克拉玛依分行</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lang w:eastAsia="zh-CN"/>
        </w:rPr>
        <w:t>开户行账号</w:t>
      </w:r>
      <w:r>
        <w:rPr>
          <w:rFonts w:hint="eastAsia" w:ascii="仿宋" w:hAnsi="仿宋" w:eastAsia="仿宋" w:cs="仿宋"/>
          <w:color w:val="auto"/>
          <w:szCs w:val="24"/>
        </w:rPr>
        <w:t xml:space="preserve">:88202101033670000025      </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3.1.2投标保证金有效期不得少于投标有效期。</w:t>
      </w:r>
      <w:r>
        <w:rPr>
          <w:rFonts w:hint="eastAsia" w:ascii="仿宋" w:hAnsi="仿宋" w:eastAsia="仿宋" w:cs="仿宋"/>
          <w:color w:val="auto"/>
          <w:szCs w:val="24"/>
          <w:lang w:eastAsia="zh-CN"/>
        </w:rPr>
        <w:t>采购人</w:t>
      </w:r>
      <w:r>
        <w:rPr>
          <w:rFonts w:hint="eastAsia" w:ascii="仿宋" w:hAnsi="仿宋" w:eastAsia="仿宋" w:cs="仿宋"/>
          <w:color w:val="auto"/>
          <w:szCs w:val="24"/>
        </w:rPr>
        <w:t>如按规定延长了投标有效期，则投标保证金的有效期也相应延长。</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3.2投标保证金的退还</w:t>
      </w:r>
    </w:p>
    <w:p>
      <w:pPr>
        <w:pStyle w:val="24"/>
        <w:ind w:left="479" w:leftChars="228" w:firstLine="0" w:firstLineChars="0"/>
        <w:rPr>
          <w:rFonts w:hint="eastAsia" w:ascii="仿宋" w:hAnsi="仿宋" w:eastAsia="仿宋" w:cs="仿宋"/>
          <w:color w:val="auto"/>
          <w:szCs w:val="24"/>
        </w:rPr>
      </w:pPr>
      <w:r>
        <w:rPr>
          <w:rFonts w:hint="eastAsia" w:ascii="仿宋" w:hAnsi="仿宋" w:eastAsia="仿宋" w:cs="仿宋"/>
          <w:color w:val="auto"/>
          <w:szCs w:val="24"/>
        </w:rPr>
        <w:t>3.2.1未中标的投标人的投标保证金将在确定中标人后，同时归还了招标资料后归还。</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3.2.2</w:t>
      </w:r>
      <w:r>
        <w:rPr>
          <w:rFonts w:hint="eastAsia" w:ascii="仿宋" w:hAnsi="仿宋" w:eastAsia="仿宋" w:cs="仿宋"/>
          <w:color w:val="auto"/>
          <w:szCs w:val="24"/>
          <w:lang w:eastAsia="zh-CN"/>
        </w:rPr>
        <w:t>采购人</w:t>
      </w:r>
      <w:r>
        <w:rPr>
          <w:rFonts w:hint="eastAsia" w:ascii="仿宋" w:hAnsi="仿宋" w:eastAsia="仿宋" w:cs="仿宋"/>
          <w:color w:val="auto"/>
          <w:szCs w:val="24"/>
        </w:rPr>
        <w:t>或招标代理机构最迟应当在签订书面合同后5日内向中标人和未中标的投标人退还投标保证金。</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3.2.3符合退还投标保证金条件的中标人和未中标的投标人应及时到</w:t>
      </w:r>
      <w:r>
        <w:rPr>
          <w:rFonts w:hint="eastAsia" w:ascii="仿宋" w:hAnsi="仿宋" w:eastAsia="仿宋" w:cs="仿宋"/>
          <w:color w:val="auto"/>
          <w:szCs w:val="24"/>
          <w:lang w:eastAsia="zh-CN"/>
        </w:rPr>
        <w:t>采购人</w:t>
      </w:r>
      <w:r>
        <w:rPr>
          <w:rFonts w:hint="eastAsia" w:ascii="仿宋" w:hAnsi="仿宋" w:eastAsia="仿宋" w:cs="仿宋"/>
          <w:color w:val="auto"/>
          <w:szCs w:val="24"/>
        </w:rPr>
        <w:t>或招标代理机构办理退还手续，如中标人和未中标的投标人因自身原因逾期办理投标保证金退还的，</w:t>
      </w:r>
      <w:r>
        <w:rPr>
          <w:rFonts w:hint="eastAsia" w:ascii="仿宋" w:hAnsi="仿宋" w:eastAsia="仿宋" w:cs="仿宋"/>
          <w:color w:val="auto"/>
          <w:szCs w:val="24"/>
          <w:lang w:eastAsia="zh-CN"/>
        </w:rPr>
        <w:t>采购人</w:t>
      </w:r>
      <w:r>
        <w:rPr>
          <w:rFonts w:hint="eastAsia" w:ascii="仿宋" w:hAnsi="仿宋" w:eastAsia="仿宋" w:cs="仿宋"/>
          <w:color w:val="auto"/>
          <w:szCs w:val="24"/>
        </w:rPr>
        <w:t>或招标代理机构不承担逾期退还的责任。</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3.3如投标人有下列情况之一，将不予退还投标保证金：</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3.3.1投标人在投标有效期内撤回或修改其响应文件；</w:t>
      </w:r>
    </w:p>
    <w:p>
      <w:pPr>
        <w:pStyle w:val="24"/>
        <w:ind w:left="0" w:firstLine="480"/>
        <w:rPr>
          <w:rFonts w:hint="eastAsia" w:ascii="仿宋" w:hAnsi="仿宋" w:eastAsia="仿宋" w:cs="仿宋"/>
          <w:color w:val="auto"/>
          <w:szCs w:val="24"/>
        </w:rPr>
      </w:pPr>
      <w:r>
        <w:rPr>
          <w:rFonts w:hint="eastAsia" w:ascii="仿宋" w:hAnsi="仿宋" w:eastAsia="仿宋" w:cs="仿宋"/>
          <w:color w:val="auto"/>
          <w:szCs w:val="24"/>
        </w:rPr>
        <w:t>3.3.2中标人无正当理由拒签合同或未按</w:t>
      </w:r>
      <w:r>
        <w:rPr>
          <w:rFonts w:hint="eastAsia" w:ascii="仿宋" w:hAnsi="仿宋" w:eastAsia="仿宋" w:cs="仿宋"/>
          <w:color w:val="auto"/>
          <w:szCs w:val="24"/>
          <w:lang w:eastAsia="zh-CN"/>
        </w:rPr>
        <w:t>竞争性谈判文件</w:t>
      </w:r>
      <w:r>
        <w:rPr>
          <w:rFonts w:hint="eastAsia" w:ascii="仿宋" w:hAnsi="仿宋" w:eastAsia="仿宋" w:cs="仿宋"/>
          <w:color w:val="auto"/>
          <w:szCs w:val="24"/>
        </w:rPr>
        <w:t>规定提交履约保证金；</w:t>
      </w:r>
    </w:p>
    <w:p>
      <w:pPr>
        <w:pStyle w:val="24"/>
        <w:ind w:left="0" w:firstLine="480"/>
        <w:rPr>
          <w:rFonts w:hint="eastAsia"/>
          <w:color w:val="auto"/>
        </w:rPr>
      </w:pPr>
      <w:r>
        <w:rPr>
          <w:rFonts w:hint="eastAsia" w:ascii="仿宋" w:hAnsi="仿宋" w:eastAsia="仿宋" w:cs="仿宋"/>
          <w:color w:val="auto"/>
          <w:szCs w:val="24"/>
        </w:rPr>
        <w:t>3.3.3《</w:t>
      </w:r>
      <w:r>
        <w:rPr>
          <w:rFonts w:hint="eastAsia" w:ascii="仿宋" w:hAnsi="仿宋" w:eastAsia="仿宋" w:cs="仿宋"/>
          <w:color w:val="auto"/>
          <w:szCs w:val="24"/>
          <w:lang w:val="en-US" w:eastAsia="zh-CN"/>
        </w:rPr>
        <w:t>政府采购法</w:t>
      </w:r>
      <w:r>
        <w:rPr>
          <w:rFonts w:hint="eastAsia" w:ascii="仿宋" w:hAnsi="仿宋" w:eastAsia="仿宋" w:cs="仿宋"/>
          <w:color w:val="auto"/>
          <w:szCs w:val="24"/>
        </w:rPr>
        <w:t>》及相关法律、法规及</w:t>
      </w:r>
      <w:r>
        <w:rPr>
          <w:rFonts w:hint="eastAsia" w:ascii="仿宋" w:hAnsi="仿宋" w:eastAsia="仿宋" w:cs="仿宋"/>
          <w:color w:val="auto"/>
          <w:szCs w:val="24"/>
          <w:lang w:eastAsia="zh-CN"/>
        </w:rPr>
        <w:t>竞争性谈判文件</w:t>
      </w:r>
      <w:r>
        <w:rPr>
          <w:rFonts w:hint="eastAsia" w:ascii="仿宋" w:hAnsi="仿宋" w:eastAsia="仿宋" w:cs="仿宋"/>
          <w:color w:val="auto"/>
          <w:szCs w:val="24"/>
        </w:rPr>
        <w:t>规定的不予退还投标保证金其它情形。</w:t>
      </w:r>
    </w:p>
    <w:p>
      <w:pPr>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2"/>
          <w:szCs w:val="32"/>
          <w:highlight w:val="none"/>
          <w:lang w:eastAsia="zh-CN"/>
        </w:rPr>
      </w:pPr>
    </w:p>
    <w:p>
      <w:pPr>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2"/>
          <w:szCs w:val="32"/>
          <w:highlight w:val="none"/>
          <w:lang w:eastAsia="zh-CN"/>
        </w:rPr>
      </w:pPr>
    </w:p>
    <w:p>
      <w:pPr>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三、谈判文件</w:t>
      </w:r>
      <w:r>
        <w:rPr>
          <w:rFonts w:hint="eastAsia" w:ascii="仿宋" w:hAnsi="仿宋" w:eastAsia="仿宋" w:cs="仿宋"/>
          <w:b/>
          <w:color w:val="auto"/>
          <w:sz w:val="32"/>
          <w:szCs w:val="32"/>
          <w:highlight w:val="none"/>
        </w:rPr>
        <w:t>说明</w:t>
      </w:r>
      <w:bookmarkEnd w:id="76"/>
      <w:bookmarkEnd w:id="77"/>
      <w:bookmarkEnd w:id="78"/>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79" w:name="_Toc424059482"/>
      <w:bookmarkStart w:id="80" w:name="_Toc239822603"/>
      <w:bookmarkStart w:id="81" w:name="_Toc460703958"/>
      <w:bookmarkStart w:id="82" w:name="_Toc424211812"/>
      <w:bookmarkStart w:id="83" w:name="_Toc239822488"/>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概述</w:t>
      </w:r>
      <w:bookmarkEnd w:id="79"/>
      <w:bookmarkEnd w:id="80"/>
      <w:bookmarkEnd w:id="81"/>
      <w:bookmarkEnd w:id="82"/>
      <w:bookmarkEnd w:id="83"/>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阐明了供应商所需提供项目范围和项目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的程序，是本次采购活动具有法律效力的文件。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供应商应认真阅读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中所有的事项、格式条款和规范等要求。供应商没有按照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要求提交资料，或者响应文件没有对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做出实质性响应而导致发生影响竞争、响应文件被拒绝或按照无效标处理的不利后果，由供应商自行承担相关风险。</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84" w:name="_Toc239648850"/>
      <w:bookmarkStart w:id="85" w:name="_Toc239649748"/>
      <w:bookmarkStart w:id="86" w:name="_Toc239651303"/>
      <w:bookmarkStart w:id="87" w:name="_Toc239822489"/>
      <w:bookmarkStart w:id="88" w:name="_Toc239822604"/>
      <w:bookmarkStart w:id="89" w:name="_Toc424059483"/>
      <w:bookmarkStart w:id="90" w:name="_Toc239649296"/>
      <w:bookmarkStart w:id="91" w:name="_Toc239648584"/>
      <w:bookmarkStart w:id="92" w:name="_Toc239650584"/>
      <w:bookmarkStart w:id="93" w:name="_Toc424211813"/>
      <w:bookmarkStart w:id="94" w:name="_Toc239649372"/>
      <w:bookmarkStart w:id="95" w:name="_Toc460703959"/>
      <w:r>
        <w:rPr>
          <w:rFonts w:hint="eastAsia" w:ascii="仿宋" w:hAnsi="仿宋" w:eastAsia="仿宋" w:cs="仿宋"/>
          <w:color w:val="auto"/>
          <w:sz w:val="24"/>
          <w:szCs w:val="24"/>
          <w:highlight w:val="none"/>
          <w:lang w:eastAsia="zh-CN"/>
        </w:rPr>
        <w:t>（二）谈判文件</w:t>
      </w:r>
      <w:r>
        <w:rPr>
          <w:rFonts w:hint="eastAsia" w:ascii="仿宋" w:hAnsi="仿宋" w:eastAsia="仿宋" w:cs="仿宋"/>
          <w:color w:val="auto"/>
          <w:sz w:val="24"/>
          <w:szCs w:val="24"/>
          <w:highlight w:val="none"/>
        </w:rPr>
        <w:t>的构成</w:t>
      </w:r>
      <w:bookmarkEnd w:id="84"/>
      <w:bookmarkEnd w:id="85"/>
      <w:bookmarkEnd w:id="86"/>
      <w:bookmarkEnd w:id="87"/>
      <w:bookmarkEnd w:id="88"/>
      <w:bookmarkEnd w:id="89"/>
      <w:bookmarkEnd w:id="90"/>
      <w:bookmarkEnd w:id="91"/>
      <w:bookmarkEnd w:id="92"/>
      <w:bookmarkEnd w:id="93"/>
      <w:bookmarkEnd w:id="94"/>
      <w:bookmarkEnd w:id="95"/>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总目录所列内容组成（不限于）：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bookmarkStart w:id="96" w:name="_Toc239648851"/>
      <w:bookmarkStart w:id="97" w:name="_Toc239650585"/>
      <w:bookmarkStart w:id="98" w:name="_Toc239651304"/>
      <w:bookmarkStart w:id="99" w:name="_Toc239822605"/>
      <w:bookmarkStart w:id="100" w:name="_Toc239649749"/>
      <w:bookmarkStart w:id="101" w:name="_Toc239649297"/>
      <w:bookmarkStart w:id="102" w:name="_Toc239648585"/>
      <w:bookmarkStart w:id="103" w:name="_Toc239649373"/>
      <w:bookmarkStart w:id="104" w:name="_Toc239822490"/>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2、投标</w:t>
      </w:r>
      <w:r>
        <w:rPr>
          <w:rFonts w:hint="eastAsia" w:ascii="仿宋" w:hAnsi="仿宋" w:eastAsia="仿宋" w:cs="仿宋"/>
          <w:color w:val="auto"/>
          <w:sz w:val="24"/>
          <w:szCs w:val="24"/>
          <w:highlight w:val="none"/>
        </w:rPr>
        <w:t>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采购项目需求书；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合同主要条款；</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附件。</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105" w:name="_Toc460703960"/>
      <w:bookmarkStart w:id="106" w:name="_Toc424211814"/>
      <w:bookmarkStart w:id="107" w:name="_Toc424059484"/>
      <w:r>
        <w:rPr>
          <w:rFonts w:hint="eastAsia" w:ascii="仿宋" w:hAnsi="仿宋" w:eastAsia="仿宋" w:cs="仿宋"/>
          <w:color w:val="auto"/>
          <w:sz w:val="24"/>
          <w:szCs w:val="24"/>
          <w:highlight w:val="none"/>
          <w:lang w:eastAsia="zh-CN"/>
        </w:rPr>
        <w:t>（三）谈判文件</w:t>
      </w:r>
      <w:r>
        <w:rPr>
          <w:rFonts w:hint="eastAsia" w:ascii="仿宋" w:hAnsi="仿宋" w:eastAsia="仿宋" w:cs="仿宋"/>
          <w:color w:val="auto"/>
          <w:sz w:val="24"/>
          <w:szCs w:val="24"/>
          <w:highlight w:val="none"/>
        </w:rPr>
        <w:t>的澄清或修改</w:t>
      </w:r>
      <w:bookmarkEnd w:id="96"/>
      <w:bookmarkEnd w:id="97"/>
      <w:bookmarkEnd w:id="98"/>
      <w:bookmarkEnd w:id="99"/>
      <w:bookmarkEnd w:id="100"/>
      <w:bookmarkEnd w:id="101"/>
      <w:bookmarkEnd w:id="102"/>
      <w:bookmarkEnd w:id="103"/>
      <w:bookmarkEnd w:id="104"/>
      <w:bookmarkEnd w:id="105"/>
      <w:bookmarkEnd w:id="106"/>
      <w:bookmarkEnd w:id="107"/>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提交首次响应文件截止之日前，采购人、采购代理机构或者</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小组可以对已发出的</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进行必要的澄清或者修改，澄清或者修改的内容作为</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的组成部分。澄清或者修改的内容影响响应文件编制的，采购人、采购代理机构应当在提交首次响应文件截止时间至少</w:t>
      </w:r>
      <w:r>
        <w:rPr>
          <w:rFonts w:hint="eastAsia" w:ascii="仿宋" w:hAnsi="仿宋" w:eastAsia="仿宋" w:cs="仿宋"/>
          <w:color w:val="auto"/>
          <w:sz w:val="24"/>
          <w:szCs w:val="24"/>
          <w:highlight w:val="none"/>
          <w:lang w:val="en-US" w:eastAsia="zh-CN"/>
        </w:rPr>
        <w:t>3个工作</w:t>
      </w:r>
      <w:r>
        <w:rPr>
          <w:rFonts w:hint="eastAsia" w:ascii="仿宋" w:hAnsi="仿宋" w:eastAsia="仿宋" w:cs="仿宋"/>
          <w:color w:val="auto"/>
          <w:sz w:val="24"/>
          <w:szCs w:val="24"/>
          <w:highlight w:val="none"/>
        </w:rPr>
        <w:t>日前，通知所有获取</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的供应商；不足</w:t>
      </w:r>
      <w:r>
        <w:rPr>
          <w:rFonts w:hint="eastAsia" w:ascii="仿宋" w:hAnsi="仿宋" w:eastAsia="仿宋" w:cs="仿宋"/>
          <w:color w:val="auto"/>
          <w:sz w:val="24"/>
          <w:szCs w:val="24"/>
          <w:highlight w:val="none"/>
          <w:lang w:val="en-US" w:eastAsia="zh-CN"/>
        </w:rPr>
        <w:t>3个工作</w:t>
      </w:r>
      <w:r>
        <w:rPr>
          <w:rFonts w:hint="eastAsia" w:ascii="仿宋" w:hAnsi="仿宋" w:eastAsia="仿宋" w:cs="仿宋"/>
          <w:color w:val="auto"/>
          <w:sz w:val="24"/>
          <w:szCs w:val="24"/>
          <w:highlight w:val="none"/>
        </w:rPr>
        <w:t>日的，采购人、采购代理机构应当顺延提交首次响应文件截止时间。</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的澄清或修改将以发布澄清或变更公告为准（同招标公告发布网站），所有供应商应关注网站及时查看，采购人不再进行书面或其他形式通知，未看变更或澄清公告并由此导致的一切后果均由投标供应商自负。</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有多次澄清或修改时，以最后发出的澄清或修改公告为准。</w:t>
      </w:r>
    </w:p>
    <w:p>
      <w:pPr>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2"/>
          <w:szCs w:val="32"/>
          <w:highlight w:val="none"/>
          <w:lang w:eastAsia="zh-CN"/>
        </w:rPr>
      </w:pPr>
      <w:bookmarkStart w:id="108" w:name="_Toc239822491"/>
      <w:bookmarkStart w:id="109" w:name="_Toc239822606"/>
      <w:bookmarkStart w:id="110" w:name="_Toc460703961"/>
      <w:bookmarkStart w:id="111" w:name="_Toc239649375"/>
      <w:bookmarkStart w:id="112" w:name="_Toc239649751"/>
      <w:bookmarkStart w:id="113" w:name="_Toc239650587"/>
      <w:bookmarkStart w:id="114" w:name="_Toc239822607"/>
      <w:bookmarkStart w:id="115" w:name="_Toc239649299"/>
      <w:bookmarkStart w:id="116" w:name="_Toc239822492"/>
      <w:bookmarkStart w:id="117" w:name="_Toc239648587"/>
      <w:bookmarkStart w:id="118" w:name="_Toc239648853"/>
      <w:bookmarkStart w:id="119" w:name="_Toc239651306"/>
      <w:r>
        <w:rPr>
          <w:rFonts w:hint="eastAsia" w:ascii="仿宋" w:hAnsi="仿宋" w:eastAsia="仿宋" w:cs="仿宋"/>
          <w:b/>
          <w:color w:val="auto"/>
          <w:sz w:val="32"/>
          <w:szCs w:val="32"/>
          <w:highlight w:val="none"/>
          <w:lang w:eastAsia="zh-CN"/>
        </w:rPr>
        <w:t>四、响应文件的编写与递交</w:t>
      </w:r>
      <w:bookmarkEnd w:id="108"/>
      <w:bookmarkEnd w:id="109"/>
      <w:bookmarkEnd w:id="110"/>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120" w:name="_Toc424211816"/>
      <w:bookmarkStart w:id="121" w:name="_Toc424059486"/>
      <w:bookmarkStart w:id="122" w:name="_Toc460703962"/>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响应文件的组成</w:t>
      </w:r>
      <w:bookmarkEnd w:id="111"/>
      <w:bookmarkEnd w:id="112"/>
      <w:bookmarkEnd w:id="113"/>
      <w:bookmarkEnd w:id="114"/>
      <w:bookmarkEnd w:id="115"/>
      <w:bookmarkEnd w:id="116"/>
      <w:bookmarkEnd w:id="117"/>
      <w:bookmarkEnd w:id="118"/>
      <w:bookmarkEnd w:id="119"/>
      <w:bookmarkEnd w:id="120"/>
      <w:bookmarkEnd w:id="121"/>
      <w:bookmarkEnd w:id="122"/>
    </w:p>
    <w:p>
      <w:pPr>
        <w:keepLines w:val="0"/>
        <w:pageBreakBefore w:val="0"/>
        <w:kinsoku/>
        <w:wordWrap/>
        <w:overflowPunct/>
        <w:topLinePunct w:val="0"/>
        <w:autoSpaceDE/>
        <w:autoSpaceDN/>
        <w:bidi w:val="0"/>
        <w:adjustRightInd/>
        <w:snapToGrid/>
        <w:spacing w:line="360" w:lineRule="auto"/>
        <w:ind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供应商必须严格按下列内容和顺序自编目录并标注响应文件页码后装订成册，响应文件应包括以下部分（缺少任何一项证明文件，供应商将承担其响应文件无效的风险：</w:t>
      </w:r>
    </w:p>
    <w:p>
      <w:pPr>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bookmarkStart w:id="123" w:name="_Toc239822493"/>
      <w:bookmarkStart w:id="124" w:name="_Toc239651307"/>
      <w:bookmarkStart w:id="125" w:name="_Toc239648854"/>
      <w:bookmarkStart w:id="126" w:name="_Toc239649300"/>
      <w:bookmarkStart w:id="127" w:name="_Toc239648588"/>
      <w:bookmarkStart w:id="128" w:name="_Toc239822608"/>
      <w:bookmarkStart w:id="129" w:name="_Toc239650588"/>
      <w:bookmarkStart w:id="130" w:name="_Toc239649752"/>
      <w:bookmarkStart w:id="131" w:name="_Toc239649376"/>
      <w:r>
        <w:rPr>
          <w:rFonts w:hint="eastAsia" w:ascii="仿宋" w:hAnsi="仿宋" w:eastAsia="仿宋" w:cs="仿宋"/>
          <w:color w:val="auto"/>
          <w:sz w:val="24"/>
          <w:szCs w:val="24"/>
          <w:highlight w:val="none"/>
          <w:lang w:val="en-US" w:eastAsia="zh-CN"/>
        </w:rPr>
        <w:t>1、</w:t>
      </w:r>
      <w:r>
        <w:rPr>
          <w:rFonts w:hint="eastAsia" w:ascii="仿宋" w:hAnsi="仿宋" w:eastAsia="仿宋" w:cs="仿宋"/>
          <w:b/>
          <w:color w:val="auto"/>
          <w:sz w:val="24"/>
          <w:szCs w:val="24"/>
          <w:highlight w:val="none"/>
        </w:rPr>
        <w:t>商务文件：</w:t>
      </w:r>
    </w:p>
    <w:p>
      <w:pPr>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（1）响应函（详见格式1）；</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商务报价一览表（首次）（详见格式2）；</w:t>
      </w:r>
    </w:p>
    <w:p>
      <w:pPr>
        <w:keepLines w:val="0"/>
        <w:pageBreakBefore w:val="0"/>
        <w:kinsoku/>
        <w:wordWrap/>
        <w:overflowPunct/>
        <w:topLinePunct w:val="0"/>
        <w:autoSpaceDE/>
        <w:autoSpaceDN/>
        <w:bidi w:val="0"/>
        <w:adjustRightInd/>
        <w:snapToGrid/>
        <w:spacing w:line="360" w:lineRule="auto"/>
        <w:ind w:firstLine="723" w:firstLineChars="3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技术文件：</w:t>
      </w:r>
    </w:p>
    <w:p>
      <w:pPr>
        <w:keepLines w:val="0"/>
        <w:pageBreakBefore w:val="0"/>
        <w:numPr>
          <w:ilvl w:val="1"/>
          <w:numId w:val="0"/>
        </w:numPr>
        <w:tabs>
          <w:tab w:val="left" w:pos="576"/>
        </w:tabs>
        <w:kinsoku/>
        <w:wordWrap/>
        <w:overflowPunct/>
        <w:topLinePunct w:val="0"/>
        <w:autoSpaceDE/>
        <w:autoSpaceDN/>
        <w:bidi w:val="0"/>
        <w:adjustRightInd/>
        <w:snapToGrid/>
        <w:spacing w:before="0" w:after="0"/>
        <w:ind w:leftChars="0" w:firstLine="480" w:firstLineChars="200"/>
        <w:textAlignment w:val="auto"/>
        <w:outlineLvl w:val="9"/>
        <w:rPr>
          <w:rFonts w:hint="eastAsia" w:ascii="仿宋" w:hAnsi="仿宋" w:eastAsia="仿宋" w:cs="仿宋"/>
          <w:b w:val="0"/>
          <w:i w:val="0"/>
          <w:color w:val="auto"/>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（1）中小企业声明函（货物）（详见格式3）；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）法定代表人资格证明书（详见格式</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）法定代表人授权书（详见格式</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）供应商资格声明（详见格式</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）项目管理、服务及其它人员情况表（详见格式</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）近三年（</w:t>
      </w:r>
      <w:r>
        <w:rPr>
          <w:rFonts w:hint="eastAsia" w:ascii="仿宋" w:hAnsi="仿宋" w:eastAsia="仿宋" w:cs="仿宋"/>
          <w:color w:val="auto"/>
          <w:sz w:val="24"/>
          <w:szCs w:val="24"/>
          <w:highlight w:val="none"/>
          <w:lang w:val="en-US" w:eastAsia="zh-CN"/>
        </w:rPr>
        <w:t>2020</w:t>
      </w:r>
      <w:r>
        <w:rPr>
          <w:rFonts w:hint="eastAsia" w:ascii="仿宋" w:hAnsi="仿宋" w:eastAsia="仿宋" w:cs="仿宋"/>
          <w:color w:val="auto"/>
          <w:sz w:val="24"/>
          <w:szCs w:val="24"/>
          <w:highlight w:val="none"/>
          <w:lang w:eastAsia="zh-CN"/>
        </w:rPr>
        <w:t>年1月1日至今）同类项目业绩表（详见格式</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）资格性/符合性自查表（详见文件格式</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政府采购诚信承诺书</w:t>
      </w:r>
      <w:r>
        <w:rPr>
          <w:rFonts w:hint="eastAsia" w:ascii="仿宋" w:hAnsi="仿宋" w:eastAsia="仿宋" w:cs="仿宋"/>
          <w:color w:val="auto"/>
          <w:sz w:val="24"/>
          <w:szCs w:val="24"/>
          <w:highlight w:val="none"/>
          <w:lang w:eastAsia="zh-CN"/>
        </w:rPr>
        <w:t>（详见文件格式</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）有效期内的三证合一企业营业执照（复印件）；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供应商根据政府采购公告中提供相应的证明材料；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）供货方案；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）体现企业组织能力、管理水平、技术力量、设备配备的相关证明资料；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）近三年（自</w:t>
      </w:r>
      <w:r>
        <w:rPr>
          <w:rFonts w:hint="eastAsia" w:ascii="仿宋" w:hAnsi="仿宋" w:eastAsia="仿宋" w:cs="仿宋"/>
          <w:color w:val="auto"/>
          <w:sz w:val="24"/>
          <w:szCs w:val="24"/>
          <w:highlight w:val="none"/>
          <w:lang w:val="en-US" w:eastAsia="zh-CN"/>
        </w:rPr>
        <w:t>2020</w:t>
      </w:r>
      <w:r>
        <w:rPr>
          <w:rFonts w:hint="eastAsia" w:ascii="仿宋" w:hAnsi="仿宋" w:eastAsia="仿宋" w:cs="仿宋"/>
          <w:color w:val="auto"/>
          <w:sz w:val="24"/>
          <w:szCs w:val="24"/>
          <w:highlight w:val="none"/>
          <w:lang w:eastAsia="zh-CN"/>
        </w:rPr>
        <w:t>年1月1日至今）的获奖、荣誉证书等能够体现企业信誉及其它与本项目有关的能证明企业实力的各项证明资料；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）提供上一年度的财务报表/财务报告（包括资产负债表、损益表及经营状况；新成立的公司提供说明）；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）上一年度依法缴纳税收和社会保障资金的良好记录的证明材料（附复印件）；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）其它与本项目有关的能证明企业实力的各项证明资料。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）谈判文件要求提供的其它材料以及供应商认为需要提交的材料。</w:t>
      </w:r>
    </w:p>
    <w:p>
      <w:pPr>
        <w:pStyle w:val="15"/>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特别说明：①上述各种证件、证书复印件须加盖供应商公章。如未按要求加盖供应商公章者，导致其响应文件无效。</w:t>
      </w:r>
    </w:p>
    <w:p>
      <w:pPr>
        <w:pStyle w:val="15"/>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②供应商应如实提供资料，并保证真实可靠，不得弄虚作假。如供应商隐瞒事实真相、弄虚作假，一经查实，取消该供应商的</w:t>
      </w:r>
      <w:r>
        <w:rPr>
          <w:rFonts w:hint="eastAsia" w:ascii="仿宋" w:hAnsi="仿宋" w:eastAsia="仿宋" w:cs="仿宋"/>
          <w:b/>
          <w:color w:val="auto"/>
          <w:sz w:val="24"/>
          <w:szCs w:val="24"/>
          <w:highlight w:val="none"/>
          <w:lang w:eastAsia="zh-CN"/>
        </w:rPr>
        <w:t>谈判</w:t>
      </w:r>
      <w:r>
        <w:rPr>
          <w:rFonts w:hint="eastAsia" w:ascii="仿宋" w:hAnsi="仿宋" w:eastAsia="仿宋" w:cs="仿宋"/>
          <w:b/>
          <w:color w:val="auto"/>
          <w:sz w:val="24"/>
          <w:szCs w:val="24"/>
          <w:highlight w:val="none"/>
        </w:rPr>
        <w:t>资格，若成交的，取消其成交资格。</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132" w:name="_Toc460703963"/>
      <w:bookmarkStart w:id="133" w:name="_Toc424211817"/>
      <w:bookmarkStart w:id="134" w:name="_Toc424059487"/>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响应文件格式</w:t>
      </w:r>
      <w:bookmarkEnd w:id="123"/>
      <w:bookmarkEnd w:id="124"/>
      <w:bookmarkEnd w:id="125"/>
      <w:bookmarkEnd w:id="126"/>
      <w:bookmarkEnd w:id="127"/>
      <w:bookmarkEnd w:id="128"/>
      <w:bookmarkEnd w:id="129"/>
      <w:bookmarkEnd w:id="130"/>
      <w:bookmarkEnd w:id="131"/>
      <w:bookmarkEnd w:id="132"/>
      <w:bookmarkEnd w:id="133"/>
      <w:bookmarkEnd w:id="134"/>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本章“1、响应文件的组成”中的要求提供响应文件，文件格式可参考第五部分“响应文件格式”。若表格的栏目设计不够，供应商可按照同一格式自制表格填写；未提出的格式，供应商应自行拟定格式佐证响应。</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135" w:name="_Toc424059488"/>
      <w:bookmarkStart w:id="136" w:name="_Toc239648589"/>
      <w:bookmarkStart w:id="137" w:name="_Toc239649753"/>
      <w:bookmarkStart w:id="138" w:name="_Toc239648855"/>
      <w:bookmarkStart w:id="139" w:name="_Toc460703964"/>
      <w:bookmarkStart w:id="140" w:name="_Toc239649377"/>
      <w:bookmarkStart w:id="141" w:name="_Toc239650589"/>
      <w:bookmarkStart w:id="142" w:name="_Toc239649301"/>
      <w:bookmarkStart w:id="143" w:name="_Toc239822494"/>
      <w:bookmarkStart w:id="144" w:name="_Toc239822609"/>
      <w:bookmarkStart w:id="145" w:name="_Toc239651308"/>
      <w:bookmarkStart w:id="146" w:name="_Toc424211818"/>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w:t>
      </w:r>
      <w:bookmarkEnd w:id="135"/>
      <w:bookmarkEnd w:id="136"/>
      <w:bookmarkEnd w:id="137"/>
      <w:bookmarkEnd w:id="138"/>
      <w:bookmarkEnd w:id="139"/>
      <w:bookmarkEnd w:id="140"/>
      <w:bookmarkEnd w:id="141"/>
      <w:bookmarkEnd w:id="142"/>
      <w:bookmarkEnd w:id="143"/>
      <w:bookmarkEnd w:id="144"/>
      <w:bookmarkEnd w:id="145"/>
      <w:bookmarkEnd w:id="146"/>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bookmarkStart w:id="147" w:name="_Toc239651311"/>
      <w:bookmarkStart w:id="148" w:name="_Toc239649756"/>
      <w:bookmarkStart w:id="149" w:name="_Toc239648858"/>
      <w:bookmarkStart w:id="150" w:name="_Toc239822612"/>
      <w:bookmarkStart w:id="151" w:name="_Toc239822497"/>
      <w:bookmarkStart w:id="152" w:name="_Toc239649380"/>
      <w:bookmarkStart w:id="153" w:name="_Toc239649304"/>
      <w:bookmarkStart w:id="154" w:name="_Toc239648592"/>
      <w:bookmarkStart w:id="155" w:name="_Toc239650592"/>
      <w:r>
        <w:rPr>
          <w:rFonts w:hint="eastAsia" w:ascii="仿宋" w:hAnsi="仿宋" w:eastAsia="仿宋" w:cs="仿宋"/>
          <w:color w:val="auto"/>
          <w:sz w:val="24"/>
          <w:szCs w:val="24"/>
          <w:highlight w:val="none"/>
          <w:lang w:val="en-US" w:eastAsia="zh-CN"/>
        </w:rPr>
        <w:t>谈判轮数和最后报价的其他要求：</w:t>
      </w:r>
    </w:p>
    <w:p>
      <w:pPr>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4.1、谈判轮数:二次或二次以上；</w:t>
      </w:r>
    </w:p>
    <w:p>
      <w:pPr>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4.2、最后一轮谈判结束后，所有仍在参加谈判的供应商按照谈判小组的要求做最后报价（含修正的响应文件，如有）。</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4.3第一次报价为投标书书面报价；第二次报价在谈判时供应商可根据谈判</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情况给予让利优惠，也可以保持不变</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w:t>
      </w:r>
      <w:r>
        <w:rPr>
          <w:rFonts w:hint="eastAsia" w:ascii="仿宋" w:hAnsi="仿宋" w:eastAsia="仿宋" w:cs="仿宋"/>
          <w:color w:val="auto"/>
          <w:sz w:val="24"/>
          <w:szCs w:val="24"/>
          <w:highlight w:val="none"/>
        </w:rPr>
        <w:t>供应商的商务报价应是为采购人提供全部合同服务，并保证货物验收合格并正常使用以及质量保修期内的维保、售后服务等以及合同条款、技术规范及标准、项目采购需求、本竞争性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约定的所有费用的总和（包括：项目所涉及的现场调研、技术支持、售后服务、质保及相关劳务支出、利润、税金、保险、专家评审费及政策性规定等所有相关费用）。</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任何因供应商忽视或误解采购范围、技术规范及标准、项目采购需求、合同条款和项目现场情况，若成交，采购人将不予批准由此而产生的索赔或</w:t>
      </w:r>
      <w:r>
        <w:rPr>
          <w:rFonts w:hint="eastAsia" w:ascii="仿宋" w:hAnsi="仿宋" w:eastAsia="仿宋" w:cs="仿宋"/>
          <w:color w:val="auto"/>
          <w:sz w:val="24"/>
          <w:szCs w:val="24"/>
          <w:highlight w:val="none"/>
          <w:lang w:eastAsia="zh-CN"/>
        </w:rPr>
        <w:t>供货期限</w:t>
      </w:r>
      <w:r>
        <w:rPr>
          <w:rFonts w:hint="eastAsia" w:ascii="仿宋" w:hAnsi="仿宋" w:eastAsia="仿宋" w:cs="仿宋"/>
          <w:color w:val="auto"/>
          <w:sz w:val="24"/>
          <w:szCs w:val="24"/>
          <w:highlight w:val="none"/>
        </w:rPr>
        <w:t>延长申请。</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商务报价中不得包含合同条款、技术规范及标准、项目采购需求、本竞争性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要求以外的其他内容。</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4.7</w:t>
      </w:r>
      <w:r>
        <w:rPr>
          <w:rFonts w:hint="eastAsia" w:ascii="仿宋" w:hAnsi="仿宋" w:eastAsia="仿宋" w:cs="仿宋"/>
          <w:color w:val="auto"/>
          <w:sz w:val="24"/>
          <w:szCs w:val="24"/>
          <w:highlight w:val="none"/>
        </w:rPr>
        <w:t>商务报价总价应包括的内容和计价因素</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（1）报价包含的内容： 配合采购人完成与此服务相关的全部工作及采购需求约定的全部内容涉及的费用。</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（2）供应商根据对本竞争性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（3）供应商认为需包含的其它费用。</w:t>
      </w:r>
    </w:p>
    <w:p>
      <w:pPr>
        <w:pStyle w:val="15"/>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供应商应按照竞争性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所附的格式完整地填写商务报价一览表。供应商应对采购范围内的全部内容进行报价。</w:t>
      </w:r>
    </w:p>
    <w:p>
      <w:pPr>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供应商</w:t>
      </w:r>
      <w:bookmarkStart w:id="156" w:name="_Toc424059489"/>
      <w:bookmarkStart w:id="157" w:name="_Toc460703965"/>
      <w:bookmarkStart w:id="158" w:name="_Toc424211819"/>
      <w:r>
        <w:rPr>
          <w:rFonts w:hint="eastAsia" w:ascii="仿宋" w:hAnsi="仿宋" w:eastAsia="仿宋" w:cs="仿宋"/>
          <w:b/>
          <w:color w:val="auto"/>
          <w:kern w:val="0"/>
          <w:sz w:val="24"/>
          <w:szCs w:val="24"/>
          <w:highlight w:val="none"/>
        </w:rPr>
        <w:t>响应文件的编写</w:t>
      </w:r>
      <w:bookmarkEnd w:id="147"/>
      <w:bookmarkEnd w:id="148"/>
      <w:bookmarkEnd w:id="149"/>
      <w:bookmarkEnd w:id="150"/>
      <w:bookmarkEnd w:id="151"/>
      <w:bookmarkEnd w:id="152"/>
      <w:bookmarkEnd w:id="153"/>
      <w:bookmarkEnd w:id="154"/>
      <w:bookmarkEnd w:id="155"/>
      <w:bookmarkEnd w:id="156"/>
      <w:bookmarkEnd w:id="157"/>
      <w:bookmarkEnd w:id="158"/>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供应商应按本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所规定的格式、内容等编制响应文件。</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bookmarkStart w:id="159" w:name="_Toc239822498"/>
      <w:bookmarkStart w:id="160" w:name="_Toc239648593"/>
      <w:bookmarkStart w:id="161" w:name="_Toc460703966"/>
      <w:bookmarkStart w:id="162" w:name="_Toc239649305"/>
      <w:bookmarkStart w:id="163" w:name="_Toc239822613"/>
      <w:bookmarkStart w:id="164" w:name="_Toc239651312"/>
      <w:bookmarkStart w:id="165" w:name="_Toc239650593"/>
      <w:bookmarkStart w:id="166" w:name="_Toc424211820"/>
      <w:bookmarkStart w:id="167" w:name="_Toc239649381"/>
      <w:bookmarkStart w:id="168" w:name="_Toc239649757"/>
      <w:bookmarkStart w:id="169" w:name="_Toc424059490"/>
      <w:bookmarkStart w:id="170" w:name="_Toc239648859"/>
      <w:bookmarkStart w:id="171" w:name="_Toc239822614"/>
      <w:bookmarkStart w:id="172" w:name="_Toc239822499"/>
      <w:bookmarkStart w:id="173" w:name="_Toc460703967"/>
      <w:r>
        <w:rPr>
          <w:rFonts w:hint="eastAsia" w:ascii="仿宋" w:hAnsi="仿宋" w:eastAsia="仿宋" w:cs="仿宋"/>
          <w:color w:val="auto"/>
          <w:sz w:val="24"/>
          <w:szCs w:val="24"/>
          <w:highlight w:val="none"/>
        </w:rPr>
        <w:t>6、响应文件的递交</w:t>
      </w:r>
      <w:bookmarkEnd w:id="159"/>
      <w:bookmarkEnd w:id="160"/>
      <w:bookmarkEnd w:id="161"/>
      <w:bookmarkEnd w:id="162"/>
      <w:bookmarkEnd w:id="163"/>
      <w:bookmarkEnd w:id="164"/>
      <w:bookmarkEnd w:id="165"/>
      <w:bookmarkEnd w:id="166"/>
      <w:bookmarkEnd w:id="167"/>
      <w:bookmarkEnd w:id="168"/>
      <w:bookmarkEnd w:id="169"/>
      <w:bookmarkEnd w:id="170"/>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6.1递交响应文件截止时间</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所有加密电子版响应文件都必须按采购文件供应商须知前附表中规定的递交响应文件截止时间之前上传至新疆政府采购网政采云平台(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HYPERLINK"http://www.zcygov.cn"</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6.2出现因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文件的修改推迟截止日期时，则按采购代理机构修改通知规定的时间递交加密电子版响应文件。在此情况下，采购人和采购代理机构与供应商之间受截止期制约的所有权利和义务应延长至新的截止期。</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6.3供应商提交的响应文件必须唯一有效，响应文件内要求有盖章及签字的必须有盖章签字，所盖章必须是红章。</w:t>
      </w:r>
    </w:p>
    <w:p>
      <w:pPr>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7、逾期递交的响应文件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7.1采购人将拒绝接收在规定的递交响应文件截止时间后上传至新疆政府采购网政采云平台(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HYPERLINK"http://www.zcygov.cn"</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)的加密电子版响应文件。</w:t>
      </w:r>
    </w:p>
    <w:p>
      <w:pPr>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8、递交响应文件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8.1供应商应按本供应商须知前附表规定的时间及地点上传加密电子版响应文件。</w:t>
      </w:r>
    </w:p>
    <w:p>
      <w:pPr>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五、竞争性</w:t>
      </w:r>
      <w:bookmarkEnd w:id="171"/>
      <w:bookmarkEnd w:id="172"/>
      <w:r>
        <w:rPr>
          <w:rFonts w:hint="eastAsia" w:ascii="仿宋" w:hAnsi="仿宋" w:eastAsia="仿宋" w:cs="仿宋"/>
          <w:b/>
          <w:color w:val="auto"/>
          <w:sz w:val="32"/>
          <w:szCs w:val="32"/>
          <w:highlight w:val="none"/>
          <w:lang w:val="en-US" w:eastAsia="zh-CN"/>
        </w:rPr>
        <w:t>谈判程序和成交标准</w:t>
      </w:r>
      <w:bookmarkEnd w:id="173"/>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（一）谈判小组</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根据本项目的特点，依照《中华人民共和国政府采购法》、《中华人民共和国政府采购法实施条例》、《政府采购非招标采购方式管理暂行办法》（中华人民共和国财政部令第74号）的有关规定组建谈判小组，成员人数为3人（含）以上单数，包括技术、经济（金融）、法律等相关专业专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次采用网上评标系统，供应商在线参加谈判(无需到开标现场)。谈判前供应商完成设备测试，保证摄像头及麦克风正常使用。自谈判时间起至评审结束，供应商须登录新疆政府采购网政采云平台并保持网络畅通，随时答复谈判小组的疑问。若供应商未在规定时间内答复的，由此产生的后果将由供应商自行承担。</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3、供应商登录政采云平台，在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lang w:val="en-US" w:eastAsia="zh-CN"/>
        </w:rPr>
        <w:t>时间后30分钟内用“项目采购-开标评标”功能进行解密电子版响应文件。若供应商在规定时间内未按时解密的，视为无效响应。解密与加密电子版响应文件须使用同一个CA。</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4、谈判会议由采购代理机构组织并主持。</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5、在谈判过程中，工作人员如发现响应文件组成部分不齐全，由谈判小组认定其有效性。谈判小组认定的无效响应文件将不进入谈判、评审阶段。</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 回避</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评审专家不得参加与自己有利害关系的政府采购项目的评审活动。对与自己有利害关系的评审项目，如受到邀请，应主动提出回避。财政部门、采购人或采购代理机构也可要求该评审专家回避。</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程序</w:t>
      </w:r>
    </w:p>
    <w:p>
      <w:pPr>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小组将依照以下程序进行</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审，首先对响应文件进行初审</w:t>
      </w:r>
      <w:r>
        <w:rPr>
          <w:rFonts w:hint="eastAsia" w:ascii="仿宋" w:hAnsi="仿宋" w:eastAsia="仿宋" w:cs="仿宋"/>
          <w:color w:val="auto"/>
          <w:sz w:val="24"/>
          <w:highlight w:val="none"/>
          <w:lang w:eastAsia="zh-CN"/>
        </w:rPr>
        <w:t>，初审</w:t>
      </w:r>
      <w:r>
        <w:rPr>
          <w:rFonts w:hint="eastAsia" w:ascii="仿宋" w:hAnsi="仿宋" w:eastAsia="仿宋" w:cs="仿宋"/>
          <w:color w:val="auto"/>
          <w:sz w:val="24"/>
          <w:highlight w:val="none"/>
        </w:rPr>
        <w:t>分为资格性审查和符合性审查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未通过初审的供应商其响应文件将按照无效</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处理。</w:t>
      </w:r>
    </w:p>
    <w:p>
      <w:pPr>
        <w:spacing w:line="360" w:lineRule="auto"/>
        <w:ind w:firstLine="480" w:firstLineChars="20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信用查询：按照《财政部关于在政府采购活动中查询及使用信用记录有关问题的通知》(财库〔2016〕125号)的要求，根据开标当日“信用中国”网站(</w:t>
      </w:r>
      <w:r>
        <w:rPr>
          <w:rFonts w:hint="eastAsia" w:ascii="仿宋" w:hAnsi="仿宋" w:eastAsia="仿宋" w:cs="仿宋"/>
          <w:color w:val="auto"/>
          <w:sz w:val="24"/>
          <w:szCs w:val="24"/>
          <w:highlight w:val="none"/>
          <w:lang w:val="zh-CN"/>
        </w:rPr>
        <w:fldChar w:fldCharType="begin"/>
      </w:r>
      <w:r>
        <w:rPr>
          <w:rFonts w:hint="eastAsia" w:ascii="仿宋" w:hAnsi="仿宋" w:eastAsia="仿宋" w:cs="仿宋"/>
          <w:color w:val="auto"/>
          <w:sz w:val="24"/>
          <w:szCs w:val="24"/>
          <w:highlight w:val="none"/>
          <w:lang w:val="zh-CN"/>
        </w:rPr>
        <w:instrText xml:space="preserve">HYPERLINK"qq://txfile/"</w:instrText>
      </w:r>
      <w:r>
        <w:rPr>
          <w:rFonts w:hint="eastAsia" w:ascii="仿宋" w:hAnsi="仿宋" w:eastAsia="仿宋" w:cs="仿宋"/>
          <w:color w:val="auto"/>
          <w:sz w:val="24"/>
          <w:szCs w:val="24"/>
          <w:highlight w:val="none"/>
          <w:lang w:val="zh-CN"/>
        </w:rPr>
        <w:fldChar w:fldCharType="separate"/>
      </w:r>
      <w:r>
        <w:rPr>
          <w:rFonts w:hint="eastAsia" w:ascii="仿宋" w:hAnsi="仿宋" w:eastAsia="仿宋" w:cs="仿宋"/>
          <w:color w:val="auto"/>
          <w:sz w:val="24"/>
          <w:szCs w:val="24"/>
          <w:highlight w:val="none"/>
          <w:lang w:val="zh-CN"/>
        </w:rPr>
        <w:t>www.creditchina.gov.cn</w:t>
      </w:r>
      <w:r>
        <w:rPr>
          <w:rFonts w:hint="eastAsia" w:ascii="仿宋" w:hAnsi="仿宋" w:eastAsia="仿宋" w:cs="仿宋"/>
          <w:color w:val="auto"/>
          <w:sz w:val="24"/>
          <w:szCs w:val="24"/>
          <w:highlight w:val="none"/>
          <w:lang w:val="zh-CN"/>
        </w:rPr>
        <w:fldChar w:fldCharType="end"/>
      </w:r>
      <w:r>
        <w:rPr>
          <w:rFonts w:hint="eastAsia" w:ascii="仿宋" w:hAnsi="仿宋" w:eastAsia="仿宋" w:cs="仿宋"/>
          <w:color w:val="auto"/>
          <w:sz w:val="24"/>
          <w:szCs w:val="24"/>
          <w:highlight w:val="none"/>
          <w:lang w:val="zh-CN"/>
        </w:rPr>
        <w:t>)、中国政府采购网(</w:t>
      </w:r>
      <w:r>
        <w:rPr>
          <w:rFonts w:hint="eastAsia" w:ascii="仿宋" w:hAnsi="仿宋" w:eastAsia="仿宋" w:cs="仿宋"/>
          <w:color w:val="auto"/>
          <w:sz w:val="24"/>
          <w:szCs w:val="24"/>
          <w:highlight w:val="none"/>
          <w:lang w:val="zh-CN"/>
        </w:rPr>
        <w:fldChar w:fldCharType="begin"/>
      </w:r>
      <w:r>
        <w:rPr>
          <w:rFonts w:hint="eastAsia" w:ascii="仿宋" w:hAnsi="仿宋" w:eastAsia="仿宋" w:cs="仿宋"/>
          <w:color w:val="auto"/>
          <w:sz w:val="24"/>
          <w:szCs w:val="24"/>
          <w:highlight w:val="none"/>
          <w:lang w:val="zh-CN"/>
        </w:rPr>
        <w:instrText xml:space="preserve">HYPERLINK"qq://txfile/"</w:instrText>
      </w:r>
      <w:r>
        <w:rPr>
          <w:rFonts w:hint="eastAsia" w:ascii="仿宋" w:hAnsi="仿宋" w:eastAsia="仿宋" w:cs="仿宋"/>
          <w:color w:val="auto"/>
          <w:sz w:val="24"/>
          <w:szCs w:val="24"/>
          <w:highlight w:val="none"/>
          <w:lang w:val="zh-CN"/>
        </w:rPr>
        <w:fldChar w:fldCharType="separate"/>
      </w:r>
      <w:r>
        <w:rPr>
          <w:rFonts w:hint="eastAsia" w:ascii="仿宋" w:hAnsi="仿宋" w:eastAsia="仿宋" w:cs="仿宋"/>
          <w:color w:val="auto"/>
          <w:sz w:val="24"/>
          <w:szCs w:val="24"/>
          <w:highlight w:val="none"/>
          <w:lang w:val="zh-CN"/>
        </w:rPr>
        <w:t>www.ccgp.gov.cn</w:t>
      </w:r>
      <w:r>
        <w:rPr>
          <w:rFonts w:hint="eastAsia" w:ascii="仿宋" w:hAnsi="仿宋" w:eastAsia="仿宋" w:cs="仿宋"/>
          <w:color w:val="auto"/>
          <w:sz w:val="24"/>
          <w:szCs w:val="24"/>
          <w:highlight w:val="none"/>
          <w:lang w:val="zh-CN"/>
        </w:rPr>
        <w:fldChar w:fldCharType="end"/>
      </w:r>
      <w:r>
        <w:rPr>
          <w:rFonts w:hint="eastAsia" w:ascii="仿宋" w:hAnsi="仿宋" w:eastAsia="仿宋" w:cs="仿宋"/>
          <w:color w:val="auto"/>
          <w:sz w:val="24"/>
          <w:szCs w:val="24"/>
          <w:highlight w:val="none"/>
          <w:lang w:val="zh-CN"/>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资格性检查</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小组依据法律法规和</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的规定,对响应文件中的资格证明文件是否齐全、以及证件有效性进行审查,以确定供应商是否具合格供应商资格：</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 xml:space="preserve"> 供应商资料（包括供应商单位基本情况表、企业情况简介等）；</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供应商的营业执照副本、组织机构代码证副本、税务登记证副本、基本户开户许可证、授权委托书、行业资质证书；</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的供应商以他人的名义参加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、串通、以行贿手段谋取成交或者以其他弄虚作假方式参加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的，该参与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的供应商的响应文件将作无效响应文件处理。</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符合性检查</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的规定，从响应文件的有效性、完整性和对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的响应程度进行审查，以确定是否对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的实质性要求作出响应。符合性审查的内容包括：</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响应文件内容是否齐全；</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是否按照要求提交</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保证金；</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 是否按照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的要求密封、签署、盖章；</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 响应文件是否有采购人不能接收的条件；</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.5 其他法律、法规及本竞争性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规定的属响应无效的情形。</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过程和评标准则</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zh-CN"/>
        </w:rPr>
        <w:t>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lang w:val="zh-CN"/>
        </w:rPr>
        <w:t>开始前，按</w:t>
      </w:r>
      <w:r>
        <w:rPr>
          <w:rFonts w:hint="eastAsia" w:ascii="仿宋" w:hAnsi="仿宋" w:eastAsia="仿宋" w:cs="仿宋"/>
          <w:color w:val="auto"/>
          <w:sz w:val="24"/>
          <w:szCs w:val="24"/>
          <w:highlight w:val="none"/>
        </w:rPr>
        <w:t>签到的逆向</w:t>
      </w:r>
      <w:r>
        <w:rPr>
          <w:rFonts w:hint="eastAsia" w:ascii="仿宋" w:hAnsi="仿宋" w:eastAsia="仿宋" w:cs="仿宋"/>
          <w:color w:val="auto"/>
          <w:spacing w:val="-6"/>
          <w:sz w:val="24"/>
          <w:szCs w:val="24"/>
          <w:highlight w:val="none"/>
        </w:rPr>
        <w:t>顺序确定</w:t>
      </w:r>
      <w:r>
        <w:rPr>
          <w:rFonts w:hint="eastAsia" w:ascii="仿宋" w:hAnsi="仿宋" w:eastAsia="仿宋" w:cs="仿宋"/>
          <w:color w:val="auto"/>
          <w:sz w:val="24"/>
          <w:szCs w:val="24"/>
          <w:highlight w:val="none"/>
          <w:lang w:val="zh-CN"/>
        </w:rPr>
        <w:t>决定谈判顺序。</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谈判过程将按照如下步骤进行：</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第一轮次：评审及应答阶段。</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一，谈判小组从本项目技术方案、实施方案的可行性、先进性、安全性、实用性等方面对用户需求的满意程度（含同类项目业绩，实施本项目的资金能力、技术能力、履约能力和用户信誉等方面的从业表现，及伴随服务等方面）进行评审。</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第二，谈判小组对技术方案与实施方案是否满足用户方要求进行评审。</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第三，谈判小组根据评审、评议情况，要求谈判供应商就商务、技术、服务等偏离情况做出进一步解释和承诺。</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第四，重复上述过程，直至谈判双方均认为准确、完全表达了自身的谈判意向。经此过程后，对于仍不能满足用户需求的供应商将被淘汰，未被淘汰的被认定为候选供应商。</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bookmarkStart w:id="174" w:name="_Toc245897308"/>
      <w:bookmarkStart w:id="175" w:name="_Toc233274847"/>
      <w:bookmarkStart w:id="176" w:name="_Toc243906348"/>
      <w:bookmarkStart w:id="177" w:name="_Toc243907609"/>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评审</w:t>
      </w:r>
      <w:bookmarkEnd w:id="174"/>
      <w:bookmarkEnd w:id="175"/>
      <w:bookmarkEnd w:id="176"/>
      <w:bookmarkEnd w:id="177"/>
      <w:r>
        <w:rPr>
          <w:rFonts w:hint="eastAsia" w:ascii="仿宋" w:hAnsi="仿宋" w:eastAsia="仿宋" w:cs="仿宋"/>
          <w:color w:val="auto"/>
          <w:sz w:val="24"/>
          <w:szCs w:val="24"/>
          <w:highlight w:val="none"/>
        </w:rPr>
        <w:t>标准</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5.1</w:t>
      </w:r>
      <w:r>
        <w:rPr>
          <w:rFonts w:hint="eastAsia" w:ascii="仿宋" w:hAnsi="仿宋" w:eastAsia="仿宋" w:cs="仿宋"/>
          <w:color w:val="auto"/>
          <w:sz w:val="24"/>
          <w:szCs w:val="24"/>
          <w:highlight w:val="none"/>
        </w:rPr>
        <w:t>本项目评审严格按照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的要求和条件进行。</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澄清有关问题。对响应文件中含义不明确、同类问题表述不一致或者有明显文字和计算错误的内容，</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0" w:firstLineChars="200"/>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5.3商务报价错误的修正</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如果发现商务报价存在计算或表达上错误，则按下列原则进行修正：</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5.3.1</w:t>
      </w:r>
      <w:r>
        <w:rPr>
          <w:rFonts w:hint="eastAsia" w:ascii="仿宋" w:hAnsi="仿宋" w:eastAsia="仿宋" w:cs="仿宋"/>
          <w:sz w:val="24"/>
          <w:highlight w:val="none"/>
        </w:rPr>
        <w:t>用数字表示的数额与用文字表示的数额不一致时，以文字数额为准；</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5.3.2</w:t>
      </w:r>
      <w:r>
        <w:rPr>
          <w:rFonts w:hint="eastAsia" w:ascii="仿宋" w:hAnsi="仿宋" w:eastAsia="仿宋" w:cs="仿宋"/>
          <w:sz w:val="24"/>
          <w:highlight w:val="none"/>
        </w:rPr>
        <w:t>单价汇总金额与总价之间不一致时，以单价金额计算结果为准。若单价有明显小数点错位，应以总价为准，并修正单价。</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5.3.3</w:t>
      </w:r>
      <w:r>
        <w:rPr>
          <w:rFonts w:hint="eastAsia" w:ascii="仿宋" w:hAnsi="仿宋" w:eastAsia="仿宋" w:cs="仿宋"/>
          <w:sz w:val="24"/>
          <w:highlight w:val="none"/>
        </w:rPr>
        <w:t>报价一览表总价与报价明细表汇总数不一致的，以报价一览表为准；</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5.3.4</w:t>
      </w:r>
      <w:r>
        <w:rPr>
          <w:rFonts w:hint="eastAsia" w:ascii="仿宋" w:hAnsi="仿宋" w:eastAsia="仿宋" w:cs="仿宋"/>
          <w:sz w:val="24"/>
          <w:highlight w:val="none"/>
        </w:rPr>
        <w:t>对不同文字响应文件的解释发生异议的，以中文为准。</w:t>
      </w:r>
    </w:p>
    <w:p>
      <w:pPr>
        <w:spacing w:line="360" w:lineRule="auto"/>
        <w:ind w:firstLine="480" w:firstLineChars="200"/>
        <w:outlineLvl w:val="9"/>
        <w:rPr>
          <w:rFonts w:hint="eastAsia" w:ascii="仿宋" w:hAnsi="仿宋" w:eastAsia="仿宋" w:cs="仿宋"/>
          <w:sz w:val="24"/>
          <w:szCs w:val="20"/>
          <w:highlight w:val="none"/>
        </w:rPr>
      </w:pPr>
      <w:r>
        <w:rPr>
          <w:rFonts w:hint="eastAsia" w:ascii="仿宋" w:hAnsi="仿宋" w:eastAsia="仿宋" w:cs="仿宋"/>
          <w:sz w:val="24"/>
          <w:highlight w:val="none"/>
          <w:lang w:val="en-US" w:eastAsia="zh-CN"/>
        </w:rPr>
        <w:t>5.4</w:t>
      </w:r>
      <w:r>
        <w:rPr>
          <w:rFonts w:hint="eastAsia" w:ascii="仿宋" w:hAnsi="仿宋" w:eastAsia="仿宋" w:cs="仿宋"/>
          <w:color w:val="auto"/>
          <w:sz w:val="24"/>
          <w:highlight w:val="none"/>
          <w:lang w:val="en-US" w:eastAsia="zh-CN"/>
        </w:rPr>
        <w:t>谈判</w:t>
      </w:r>
      <w:r>
        <w:rPr>
          <w:rFonts w:hint="eastAsia" w:ascii="仿宋" w:hAnsi="仿宋" w:eastAsia="仿宋" w:cs="仿宋"/>
          <w:sz w:val="24"/>
          <w:highlight w:val="none"/>
        </w:rPr>
        <w:t>小组将按第</w:t>
      </w:r>
      <w:r>
        <w:rPr>
          <w:rFonts w:hint="eastAsia" w:ascii="仿宋" w:hAnsi="仿宋" w:eastAsia="仿宋" w:cs="仿宋"/>
          <w:sz w:val="24"/>
          <w:highlight w:val="none"/>
          <w:lang w:val="en-US" w:eastAsia="zh-CN"/>
        </w:rPr>
        <w:t>5.3</w:t>
      </w:r>
      <w:r>
        <w:rPr>
          <w:rFonts w:hint="eastAsia" w:ascii="仿宋" w:hAnsi="仿宋" w:eastAsia="仿宋" w:cs="仿宋"/>
          <w:sz w:val="24"/>
          <w:highlight w:val="none"/>
        </w:rPr>
        <w:t>条原则修正商务报价，并要求供应商进行确认。确认后的报价和文件将对供应商具有约束力。并以修正后的报价作为评审的依据。</w:t>
      </w:r>
    </w:p>
    <w:p>
      <w:pPr>
        <w:spacing w:line="360" w:lineRule="auto"/>
        <w:ind w:firstLine="480" w:firstLineChars="200"/>
        <w:outlineLvl w:val="9"/>
        <w:rPr>
          <w:rFonts w:hint="eastAsia" w:ascii="仿宋" w:hAnsi="仿宋" w:eastAsia="仿宋" w:cs="仿宋"/>
          <w:sz w:val="24"/>
          <w:highlight w:val="none"/>
        </w:rPr>
      </w:pPr>
      <w:bookmarkStart w:id="178" w:name="_Toc233274845"/>
      <w:bookmarkStart w:id="179" w:name="_Toc245897306"/>
      <w:bookmarkStart w:id="180" w:name="_Toc243907607"/>
      <w:bookmarkStart w:id="181" w:name="_Toc243906346"/>
      <w:r>
        <w:rPr>
          <w:rFonts w:hint="eastAsia" w:ascii="仿宋" w:hAnsi="仿宋" w:eastAsia="仿宋" w:cs="仿宋"/>
          <w:sz w:val="24"/>
          <w:highlight w:val="none"/>
          <w:lang w:val="en-US" w:eastAsia="zh-CN"/>
        </w:rPr>
        <w:t>6</w:t>
      </w:r>
      <w:r>
        <w:rPr>
          <w:rFonts w:hint="eastAsia" w:ascii="仿宋" w:hAnsi="仿宋" w:eastAsia="仿宋" w:cs="仿宋"/>
          <w:sz w:val="24"/>
          <w:highlight w:val="none"/>
        </w:rPr>
        <w:t>、重大偏离</w:t>
      </w:r>
      <w:bookmarkEnd w:id="178"/>
      <w:bookmarkEnd w:id="179"/>
      <w:bookmarkEnd w:id="180"/>
      <w:bookmarkEnd w:id="181"/>
    </w:p>
    <w:p>
      <w:pPr>
        <w:spacing w:line="360" w:lineRule="auto"/>
        <w:ind w:firstLine="480" w:firstLineChars="200"/>
        <w:outlineLvl w:val="9"/>
        <w:rPr>
          <w:rFonts w:hint="eastAsia" w:ascii="仿宋" w:hAnsi="仿宋" w:eastAsia="仿宋" w:cs="仿宋"/>
          <w:sz w:val="24"/>
          <w:highlight w:val="none"/>
        </w:rPr>
      </w:pPr>
      <w:bookmarkStart w:id="182" w:name="_Toc243906347"/>
      <w:bookmarkStart w:id="183" w:name="_Toc245897307"/>
      <w:bookmarkStart w:id="184" w:name="_Toc233274846"/>
      <w:bookmarkStart w:id="185" w:name="_Toc243907608"/>
      <w:r>
        <w:rPr>
          <w:rFonts w:hint="eastAsia" w:ascii="仿宋" w:hAnsi="仿宋" w:eastAsia="仿宋" w:cs="仿宋"/>
          <w:sz w:val="24"/>
          <w:highlight w:val="none"/>
        </w:rPr>
        <w:t>重大偏离是指实质上影响合同的采购范围、服务期、质量和性能等，或者实质上不满足</w:t>
      </w:r>
      <w:r>
        <w:rPr>
          <w:rFonts w:hint="eastAsia" w:ascii="仿宋" w:hAnsi="仿宋" w:eastAsia="仿宋" w:cs="仿宋"/>
          <w:sz w:val="24"/>
          <w:highlight w:val="none"/>
          <w:lang w:eastAsia="zh-CN"/>
        </w:rPr>
        <w:t>竞争性谈判文件</w:t>
      </w:r>
      <w:r>
        <w:rPr>
          <w:rFonts w:hint="eastAsia" w:ascii="仿宋" w:hAnsi="仿宋" w:eastAsia="仿宋" w:cs="仿宋"/>
          <w:sz w:val="24"/>
          <w:highlight w:val="none"/>
        </w:rPr>
        <w:t>的要求，而且限制了采购人的权力或减轻了供应商的义务。纠正或承认这些偏离将会对其他实质上响应要求的供应商合理的竞争地位产生不公正的影响。</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w:t>
      </w:r>
      <w:bookmarkEnd w:id="182"/>
      <w:bookmarkEnd w:id="183"/>
      <w:bookmarkEnd w:id="184"/>
      <w:bookmarkEnd w:id="185"/>
      <w:r>
        <w:rPr>
          <w:rFonts w:hint="eastAsia" w:ascii="仿宋" w:hAnsi="仿宋" w:eastAsia="仿宋" w:cs="仿宋"/>
          <w:sz w:val="24"/>
          <w:highlight w:val="none"/>
        </w:rPr>
        <w:t>无效响应文件</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响应文件有下列情形之一的，由</w:t>
      </w:r>
      <w:r>
        <w:rPr>
          <w:rFonts w:hint="eastAsia" w:ascii="仿宋" w:hAnsi="仿宋" w:eastAsia="仿宋" w:cs="仿宋"/>
          <w:sz w:val="24"/>
          <w:highlight w:val="none"/>
          <w:lang w:eastAsia="zh-CN"/>
        </w:rPr>
        <w:t>谈判小组</w:t>
      </w:r>
      <w:r>
        <w:rPr>
          <w:rFonts w:hint="eastAsia" w:ascii="仿宋" w:hAnsi="仿宋" w:eastAsia="仿宋" w:cs="仿宋"/>
          <w:sz w:val="24"/>
          <w:highlight w:val="none"/>
        </w:rPr>
        <w:t>评审后按无效响应文件处理：</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.1供应商的商务报价高于采购项目预算；</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.2响应文件附有采购人不能接受条件的；</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.3出现重大偏离的；</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.4对</w:t>
      </w:r>
      <w:r>
        <w:rPr>
          <w:rFonts w:hint="eastAsia" w:ascii="仿宋" w:hAnsi="仿宋" w:eastAsia="仿宋" w:cs="仿宋"/>
          <w:sz w:val="24"/>
          <w:highlight w:val="none"/>
          <w:lang w:eastAsia="zh-CN"/>
        </w:rPr>
        <w:t>竞争性谈判文件</w:t>
      </w:r>
      <w:r>
        <w:rPr>
          <w:rFonts w:hint="eastAsia" w:ascii="仿宋" w:hAnsi="仿宋" w:eastAsia="仿宋" w:cs="仿宋"/>
          <w:sz w:val="24"/>
          <w:highlight w:val="none"/>
        </w:rPr>
        <w:t>提出的实质性要求和条件未能实质性响应；</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.5响应文件未按照规定加密的；</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.6因供应商自身原因造成响应文件无法解密的；</w:t>
      </w:r>
    </w:p>
    <w:p>
      <w:pPr>
        <w:spacing w:line="360" w:lineRule="auto"/>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7</w:t>
      </w:r>
      <w:r>
        <w:rPr>
          <w:rFonts w:hint="eastAsia" w:ascii="仿宋" w:hAnsi="仿宋" w:eastAsia="仿宋" w:cs="仿宋"/>
          <w:sz w:val="24"/>
          <w:highlight w:val="none"/>
        </w:rPr>
        <w:t>.7</w:t>
      </w:r>
      <w:r>
        <w:rPr>
          <w:rFonts w:hint="eastAsia" w:ascii="仿宋" w:hAnsi="仿宋" w:eastAsia="仿宋" w:cs="仿宋"/>
          <w:color w:val="auto"/>
          <w:sz w:val="24"/>
          <w:szCs w:val="24"/>
          <w:highlight w:val="none"/>
          <w:lang w:val="en-US" w:eastAsia="zh-CN"/>
        </w:rPr>
        <w:t>《中华人民共和国政府采购法》、《中华人民共和国政府采购法实施条例》、《政府采购非招标采购方式管理暂行办法》（中华人民共和国财政部令第74号）</w:t>
      </w:r>
      <w:r>
        <w:rPr>
          <w:rFonts w:hint="eastAsia" w:ascii="仿宋" w:hAnsi="仿宋" w:eastAsia="仿宋" w:cs="仿宋"/>
          <w:sz w:val="24"/>
          <w:highlight w:val="none"/>
        </w:rPr>
        <w:t>及相关法律法规及竞争性</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文件明确规定可以作无效响应的其他情形。</w:t>
      </w:r>
    </w:p>
    <w:p>
      <w:pPr>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pPr>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lang w:val="zh-CN"/>
        </w:rPr>
        <w:t>评分标准如下：</w:t>
      </w:r>
      <w:bookmarkStart w:id="186" w:name="_Toc415483391"/>
    </w:p>
    <w:p>
      <w:pPr>
        <w:pageBreakBefore w:val="0"/>
        <w:kinsoku/>
        <w:overflowPunct/>
        <w:topLinePunct w:val="0"/>
        <w:autoSpaceDE/>
        <w:autoSpaceDN/>
        <w:bidi w:val="0"/>
        <w:spacing w:line="360" w:lineRule="auto"/>
        <w:jc w:val="left"/>
        <w:outlineLvl w:val="9"/>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8.1</w:t>
      </w:r>
      <w:r>
        <w:rPr>
          <w:rFonts w:hint="eastAsia" w:ascii="仿宋" w:hAnsi="仿宋" w:eastAsia="仿宋" w:cs="仿宋"/>
          <w:b/>
          <w:bCs/>
          <w:color w:val="auto"/>
          <w:sz w:val="28"/>
          <w:szCs w:val="28"/>
          <w:highlight w:val="none"/>
        </w:rPr>
        <w:t>资格性审查</w:t>
      </w:r>
    </w:p>
    <w:tbl>
      <w:tblPr>
        <w:tblStyle w:val="25"/>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367"/>
        <w:gridCol w:w="5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10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序号</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评审因素</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0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基本条件</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0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落实政府采购政策</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供应商为中小企业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0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w:t>
            </w:r>
          </w:p>
        </w:tc>
        <w:tc>
          <w:tcPr>
            <w:tcW w:w="56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本项目不接受联合体供应商</w:t>
            </w:r>
          </w:p>
        </w:tc>
      </w:tr>
    </w:tbl>
    <w:p>
      <w:pPr>
        <w:pageBreakBefore w:val="0"/>
        <w:kinsoku/>
        <w:overflowPunct/>
        <w:topLinePunct w:val="0"/>
        <w:autoSpaceDE/>
        <w:autoSpaceDN/>
        <w:bidi w:val="0"/>
        <w:spacing w:line="360" w:lineRule="auto"/>
        <w:jc w:val="left"/>
        <w:outlineLvl w:val="9"/>
        <w:rPr>
          <w:rFonts w:hint="eastAsia" w:ascii="仿宋" w:hAnsi="仿宋" w:eastAsia="仿宋" w:cs="仿宋"/>
          <w:b/>
          <w:bCs/>
          <w:color w:val="auto"/>
          <w:sz w:val="24"/>
          <w:highlight w:val="none"/>
        </w:rPr>
      </w:pPr>
      <w:r>
        <w:rPr>
          <w:rFonts w:hint="eastAsia" w:ascii="仿宋" w:hAnsi="仿宋" w:eastAsia="仿宋" w:cs="仿宋"/>
          <w:b/>
          <w:color w:val="auto"/>
          <w:sz w:val="24"/>
          <w:szCs w:val="24"/>
          <w:highlight w:val="none"/>
        </w:rPr>
        <w:t>注：未通过</w:t>
      </w:r>
      <w:r>
        <w:rPr>
          <w:rFonts w:hint="eastAsia" w:ascii="仿宋" w:hAnsi="仿宋" w:eastAsia="仿宋" w:cs="仿宋"/>
          <w:b/>
          <w:color w:val="auto"/>
          <w:sz w:val="24"/>
          <w:szCs w:val="24"/>
          <w:highlight w:val="none"/>
          <w:lang w:eastAsia="zh-CN"/>
        </w:rPr>
        <w:t>资格性审查</w:t>
      </w:r>
      <w:r>
        <w:rPr>
          <w:rFonts w:hint="eastAsia" w:ascii="仿宋" w:hAnsi="仿宋" w:eastAsia="仿宋" w:cs="仿宋"/>
          <w:b/>
          <w:color w:val="auto"/>
          <w:sz w:val="24"/>
          <w:szCs w:val="24"/>
          <w:highlight w:val="none"/>
        </w:rPr>
        <w:t>的其响应文件将按照无效响应处理。</w:t>
      </w:r>
      <w:r>
        <w:rPr>
          <w:rFonts w:hint="eastAsia" w:ascii="仿宋" w:hAnsi="仿宋" w:eastAsia="仿宋" w:cs="仿宋"/>
          <w:b/>
          <w:bCs/>
          <w:color w:val="auto"/>
          <w:sz w:val="24"/>
          <w:highlight w:val="none"/>
        </w:rPr>
        <w:br w:type="page"/>
      </w:r>
      <w:r>
        <w:rPr>
          <w:rFonts w:hint="eastAsia" w:ascii="仿宋" w:hAnsi="仿宋" w:eastAsia="仿宋" w:cs="仿宋"/>
          <w:b/>
          <w:bCs/>
          <w:color w:val="auto"/>
          <w:sz w:val="28"/>
          <w:szCs w:val="28"/>
          <w:highlight w:val="none"/>
          <w:lang w:val="en-US" w:eastAsia="zh-CN"/>
        </w:rPr>
        <w:t>8.2</w:t>
      </w:r>
      <w:r>
        <w:rPr>
          <w:rFonts w:hint="eastAsia" w:ascii="仿宋" w:hAnsi="仿宋" w:eastAsia="仿宋" w:cs="仿宋"/>
          <w:b/>
          <w:bCs/>
          <w:color w:val="auto"/>
          <w:sz w:val="28"/>
          <w:szCs w:val="28"/>
          <w:highlight w:val="none"/>
        </w:rPr>
        <w:t>符合性审查</w:t>
      </w:r>
    </w:p>
    <w:tbl>
      <w:tblPr>
        <w:tblStyle w:val="2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66"/>
        <w:gridCol w:w="2108"/>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序号</w:t>
            </w:r>
          </w:p>
        </w:tc>
        <w:tc>
          <w:tcPr>
            <w:tcW w:w="327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评审因素</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有效性审查</w:t>
            </w: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签署</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法定代表人身份证明及授权委托书</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法定代表人身份证明及授权委托书有效，且符合采购文件规定的格式。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完整性审查</w:t>
            </w: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响应文件份数</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响应文件正本、副本、电子版等响应文件数量符合</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响应文件内容</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9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116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eastAsia="zh-CN"/>
              </w:rPr>
              <w:t>谈判文件的响应程度审查</w:t>
            </w: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内容</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对谈判文件规定的内容全部做出响应。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质量技术</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供货期限</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w:t>
            </w:r>
            <w:r>
              <w:rPr>
                <w:rFonts w:hint="eastAsia" w:ascii="仿宋" w:hAnsi="仿宋" w:eastAsia="仿宋" w:cs="仿宋"/>
                <w:color w:val="auto"/>
                <w:sz w:val="24"/>
                <w:szCs w:val="24"/>
                <w:highlight w:val="none"/>
                <w:lang w:val="zh-CN"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116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val="zh-CN" w:eastAsia="zh-CN"/>
              </w:rPr>
            </w:pPr>
          </w:p>
        </w:tc>
        <w:tc>
          <w:tcPr>
            <w:tcW w:w="21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响应文件</w:t>
            </w:r>
            <w:r>
              <w:rPr>
                <w:rFonts w:hint="eastAsia" w:ascii="仿宋" w:hAnsi="仿宋" w:eastAsia="仿宋" w:cs="仿宋"/>
                <w:color w:val="auto"/>
                <w:sz w:val="24"/>
                <w:szCs w:val="24"/>
                <w:highlight w:val="none"/>
                <w:lang w:eastAsia="zh-CN"/>
              </w:rPr>
              <w:t>有效期</w:t>
            </w:r>
          </w:p>
        </w:tc>
        <w:tc>
          <w:tcPr>
            <w:tcW w:w="48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w:t>
            </w:r>
            <w:r>
              <w:rPr>
                <w:rFonts w:hint="eastAsia" w:ascii="仿宋" w:hAnsi="仿宋" w:eastAsia="仿宋" w:cs="仿宋"/>
                <w:color w:val="auto"/>
                <w:sz w:val="24"/>
                <w:szCs w:val="24"/>
                <w:highlight w:val="none"/>
                <w:lang w:val="zh-CN"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p>
        </w:tc>
        <w:tc>
          <w:tcPr>
            <w:tcW w:w="1166"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val="zh-CN" w:eastAsia="zh-CN"/>
              </w:rPr>
            </w:pPr>
          </w:p>
        </w:tc>
        <w:tc>
          <w:tcPr>
            <w:tcW w:w="210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485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满足谈判文件相关</w:t>
            </w:r>
            <w:r>
              <w:rPr>
                <w:rFonts w:hint="eastAsia" w:ascii="仿宋" w:hAnsi="仿宋" w:eastAsia="仿宋" w:cs="仿宋"/>
                <w:color w:val="auto"/>
                <w:sz w:val="24"/>
                <w:szCs w:val="24"/>
                <w:highlight w:val="none"/>
                <w:lang w:val="zh-CN" w:eastAsia="zh-CN"/>
              </w:rPr>
              <w:t>规定。</w:t>
            </w:r>
          </w:p>
        </w:tc>
      </w:tr>
    </w:tbl>
    <w:p>
      <w:pPr>
        <w:pageBreakBefore w:val="0"/>
        <w:kinsoku/>
        <w:overflowPunct/>
        <w:topLinePunct w:val="0"/>
        <w:autoSpaceDE/>
        <w:autoSpaceDN/>
        <w:bidi w:val="0"/>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注：未通过</w:t>
      </w:r>
      <w:r>
        <w:rPr>
          <w:rFonts w:hint="eastAsia" w:ascii="仿宋" w:hAnsi="仿宋" w:eastAsia="仿宋" w:cs="仿宋"/>
          <w:b/>
          <w:color w:val="auto"/>
          <w:sz w:val="24"/>
          <w:szCs w:val="24"/>
          <w:highlight w:val="none"/>
          <w:lang w:eastAsia="zh-CN"/>
        </w:rPr>
        <w:t>符合性审查</w:t>
      </w:r>
      <w:r>
        <w:rPr>
          <w:rFonts w:hint="eastAsia" w:ascii="仿宋" w:hAnsi="仿宋" w:eastAsia="仿宋" w:cs="仿宋"/>
          <w:b/>
          <w:color w:val="auto"/>
          <w:sz w:val="24"/>
          <w:szCs w:val="24"/>
          <w:highlight w:val="none"/>
        </w:rPr>
        <w:t>的其响应文件将按照无效响应处理。</w:t>
      </w:r>
    </w:p>
    <w:p>
      <w:pPr>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终止竞争性</w:t>
      </w:r>
      <w:r>
        <w:rPr>
          <w:rFonts w:hint="eastAsia" w:ascii="仿宋" w:hAnsi="仿宋" w:eastAsia="仿宋" w:cs="仿宋"/>
          <w:b/>
          <w:bCs/>
          <w:color w:val="auto"/>
          <w:sz w:val="24"/>
          <w:szCs w:val="24"/>
          <w:highlight w:val="none"/>
          <w:lang w:eastAsia="zh-CN"/>
        </w:rPr>
        <w:t>谈判</w:t>
      </w:r>
      <w:r>
        <w:rPr>
          <w:rFonts w:hint="eastAsia" w:ascii="仿宋" w:hAnsi="仿宋" w:eastAsia="仿宋" w:cs="仿宋"/>
          <w:b/>
          <w:bCs/>
          <w:color w:val="auto"/>
          <w:sz w:val="24"/>
          <w:szCs w:val="24"/>
          <w:highlight w:val="none"/>
        </w:rPr>
        <w:t>采购活动的条款</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出现下列情形之一的，采购中心将终止竞争性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采购活动，发布项目终止公告并说明原因，重新开展采购活动：</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 因情况变化，不再符合规定的竞争性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采购方式适用情形的；</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 出现影响采购公正的违法、违规行为的；</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.3 在采购过程中符合要求的供应商不足3家的。</w:t>
      </w:r>
    </w:p>
    <w:p>
      <w:pPr>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color w:val="auto"/>
          <w:sz w:val="24"/>
          <w:szCs w:val="24"/>
          <w:highlight w:val="none"/>
        </w:rPr>
      </w:pPr>
      <w:bookmarkStart w:id="187" w:name="_Toc460703971"/>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lang w:eastAsia="zh-CN"/>
        </w:rPr>
        <w:t>谈判</w:t>
      </w:r>
      <w:r>
        <w:rPr>
          <w:rFonts w:hint="eastAsia" w:ascii="仿宋" w:hAnsi="仿宋" w:eastAsia="仿宋" w:cs="仿宋"/>
          <w:b/>
          <w:bCs/>
          <w:color w:val="auto"/>
          <w:sz w:val="24"/>
          <w:szCs w:val="24"/>
          <w:highlight w:val="none"/>
        </w:rPr>
        <w:t>评审的纪律与注意事项</w:t>
      </w:r>
      <w:bookmarkEnd w:id="187"/>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.2 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过程中，</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小组可以根据</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情况实质性变动采购需求中的技术、服务要求以及合同草案条款，但不得变动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中的其他内容。对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作出的实质性变动是</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的有效组成部分，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小组应当及时以书面形式同时通知所有参加</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的供应商。供应商应当按照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的变动情况和</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小组的要求重新提交响应文件，并由其法定代表人或授权代表签字或者加盖公章。</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3 已提交响应文件的供应商，在提交最后报价之前，可以根据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情况退出</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。采购人、采购代理机构应当退还退出</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的供应商的</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保证金。</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双方可以就</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项目所涉价格、服务等进行实质性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的任何一方不得透露与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有关的其他供应商的资料、价格和其他信息。</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结果由</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小组成员在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记录上签字。</w:t>
      </w:r>
    </w:p>
    <w:p>
      <w:pPr>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eastAsia="zh-CN"/>
        </w:rPr>
      </w:pPr>
      <w:bookmarkStart w:id="188" w:name="_Toc460703972"/>
      <w:r>
        <w:rPr>
          <w:rFonts w:hint="eastAsia" w:ascii="仿宋" w:hAnsi="仿宋" w:eastAsia="仿宋" w:cs="仿宋"/>
          <w:b/>
          <w:bCs/>
          <w:color w:val="auto"/>
          <w:sz w:val="24"/>
          <w:szCs w:val="24"/>
          <w:highlight w:val="none"/>
          <w:lang w:val="en-US" w:eastAsia="zh-CN"/>
        </w:rPr>
        <w:t>11、</w:t>
      </w:r>
      <w:r>
        <w:rPr>
          <w:rFonts w:hint="eastAsia" w:ascii="仿宋" w:hAnsi="仿宋" w:eastAsia="仿宋" w:cs="仿宋"/>
          <w:b/>
          <w:bCs/>
          <w:color w:val="auto"/>
          <w:sz w:val="24"/>
          <w:szCs w:val="24"/>
          <w:highlight w:val="none"/>
          <w:lang w:eastAsia="zh-CN"/>
        </w:rPr>
        <w:t>成交</w:t>
      </w:r>
      <w:bookmarkEnd w:id="188"/>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bookmarkStart w:id="189" w:name="_Toc460703973"/>
      <w:r>
        <w:rPr>
          <w:rFonts w:hint="eastAsia" w:ascii="仿宋" w:hAnsi="仿宋" w:eastAsia="仿宋" w:cs="仿宋"/>
          <w:color w:val="auto"/>
          <w:sz w:val="24"/>
          <w:szCs w:val="24"/>
          <w:highlight w:val="none"/>
          <w:lang w:val="en-US" w:eastAsia="zh-CN"/>
        </w:rPr>
        <w:t>谈判小组应当从质量和服务均能满足谈判文件实质性响应要求的供应商中，</w:t>
      </w:r>
    </w:p>
    <w:p>
      <w:pPr>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按照报价由低到高的顺序提出前3名为成交候选人，</w:t>
      </w:r>
      <w:r>
        <w:rPr>
          <w:rFonts w:hint="eastAsia" w:ascii="仿宋" w:hAnsi="仿宋" w:eastAsia="仿宋" w:cs="仿宋"/>
          <w:color w:val="auto"/>
          <w:sz w:val="24"/>
          <w:highlight w:val="none"/>
          <w:lang w:val="zh-CN"/>
        </w:rPr>
        <w:t>排名第一的为第一成交候选人</w:t>
      </w:r>
      <w:r>
        <w:rPr>
          <w:rFonts w:hint="eastAsia" w:ascii="仿宋" w:hAnsi="仿宋" w:eastAsia="仿宋" w:cs="仿宋"/>
          <w:color w:val="auto"/>
          <w:sz w:val="24"/>
          <w:szCs w:val="24"/>
          <w:highlight w:val="none"/>
          <w:lang w:val="en-US" w:eastAsia="zh-CN"/>
        </w:rPr>
        <w:t>。成交供应商在履约过程中不能满足采购单位实际需求，服务不达标、提供项目结果低劣，以次充好或服务不到位，一经发现采购单位可按评标排名顺序选择第二成交候选人提供服务。</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供应商拒绝签订政府采购合同的，采购人可以按照上述规定的原则确定其他供应商作为成交供应商并签订政府采购合同，也可以重新开展采购活动。拒绝签订政府采购合同的成交供应商不得参加对该项目重新开展的采购活动。</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12、供应商需要注意的其它事项</w:t>
      </w:r>
      <w:bookmarkEnd w:id="189"/>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 供应商必须由法定代表人或其代理人参加竞争性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，法定代表人委托代理人参加竞争性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必须提供法定代表人授权委托书（原件）和代理人身份证（复印件）。随时接受</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小组的询问，并予以解答问题。</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 供应商应遵守有关法律、法规，不得采取不正当的竞争手段，否则，其后果由供应商自负。</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.3 在</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会直至宣布结果之前，供应商不得向</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评审专家询问</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情况，不得进行旨在影响成交结果的活动，否则，其竞争性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无效并追究法律责任。</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本</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的未尽事项，按现行的有关法律、法规及规章执行。</w:t>
      </w:r>
    </w:p>
    <w:p>
      <w:pPr>
        <w:keepLines w:val="0"/>
        <w:pageBreakBefore w:val="0"/>
        <w:numPr>
          <w:ilvl w:val="0"/>
          <w:numId w:val="0"/>
        </w:numPr>
        <w:tabs>
          <w:tab w:val="left" w:pos="576"/>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i w:val="0"/>
          <w:color w:val="auto"/>
          <w:sz w:val="24"/>
          <w:szCs w:val="24"/>
          <w:highlight w:val="none"/>
        </w:rPr>
      </w:pPr>
      <w:bookmarkStart w:id="190" w:name="_Toc239822619"/>
      <w:bookmarkStart w:id="191" w:name="_Toc460703974"/>
      <w:bookmarkStart w:id="192" w:name="_Toc239822504"/>
      <w:r>
        <w:rPr>
          <w:rFonts w:hint="eastAsia" w:ascii="仿宋" w:hAnsi="仿宋" w:eastAsia="仿宋" w:cs="仿宋"/>
          <w:i w:val="0"/>
          <w:color w:val="auto"/>
          <w:sz w:val="24"/>
          <w:szCs w:val="24"/>
          <w:highlight w:val="none"/>
          <w:lang w:val="en-US" w:eastAsia="zh-CN"/>
        </w:rPr>
        <w:t>13、</w:t>
      </w:r>
      <w:r>
        <w:rPr>
          <w:rFonts w:hint="eastAsia" w:ascii="仿宋" w:hAnsi="仿宋" w:eastAsia="仿宋" w:cs="仿宋"/>
          <w:i w:val="0"/>
          <w:color w:val="auto"/>
          <w:sz w:val="24"/>
          <w:szCs w:val="24"/>
          <w:highlight w:val="none"/>
        </w:rPr>
        <w:t>授予合同</w:t>
      </w:r>
      <w:bookmarkEnd w:id="190"/>
      <w:bookmarkEnd w:id="191"/>
      <w:bookmarkEnd w:id="192"/>
      <w:bookmarkStart w:id="193" w:name="_Toc239649388"/>
      <w:bookmarkStart w:id="194" w:name="_Toc239651319"/>
      <w:bookmarkStart w:id="195" w:name="_Toc424211825"/>
      <w:bookmarkStart w:id="196" w:name="_Toc460703975"/>
      <w:bookmarkStart w:id="197" w:name="_Toc239648866"/>
      <w:bookmarkStart w:id="198" w:name="_Toc424059497"/>
      <w:bookmarkStart w:id="199" w:name="_Toc239649764"/>
      <w:bookmarkStart w:id="200" w:name="_Toc239822505"/>
      <w:bookmarkStart w:id="201" w:name="_Toc239822620"/>
      <w:bookmarkStart w:id="202" w:name="_Toc239648600"/>
      <w:bookmarkStart w:id="203" w:name="_Toc239650600"/>
      <w:bookmarkStart w:id="204" w:name="_Toc239649312"/>
    </w:p>
    <w:p>
      <w:pPr>
        <w:keepLines w:val="0"/>
        <w:pageBreakBefore w:val="0"/>
        <w:numPr>
          <w:ilvl w:val="0"/>
          <w:numId w:val="0"/>
        </w:numPr>
        <w:tabs>
          <w:tab w:val="left" w:pos="576"/>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b/>
          <w:i w:val="0"/>
          <w:color w:val="auto"/>
          <w:sz w:val="24"/>
          <w:szCs w:val="24"/>
          <w:highlight w:val="none"/>
          <w:lang w:val="en-US" w:eastAsia="zh-CN"/>
        </w:rPr>
      </w:pPr>
      <w:r>
        <w:rPr>
          <w:rFonts w:hint="eastAsia" w:ascii="仿宋" w:hAnsi="仿宋" w:eastAsia="仿宋" w:cs="仿宋"/>
          <w:b/>
          <w:i w:val="0"/>
          <w:color w:val="auto"/>
          <w:sz w:val="24"/>
          <w:szCs w:val="24"/>
          <w:highlight w:val="none"/>
          <w:lang w:val="en-US" w:eastAsia="zh-CN"/>
        </w:rPr>
        <w:t>13.1成交通知</w:t>
      </w:r>
      <w:bookmarkEnd w:id="193"/>
      <w:bookmarkEnd w:id="194"/>
      <w:bookmarkEnd w:id="195"/>
      <w:bookmarkEnd w:id="196"/>
      <w:bookmarkEnd w:id="197"/>
      <w:bookmarkEnd w:id="198"/>
      <w:bookmarkEnd w:id="199"/>
      <w:bookmarkEnd w:id="200"/>
      <w:bookmarkEnd w:id="201"/>
      <w:bookmarkEnd w:id="202"/>
      <w:bookmarkEnd w:id="203"/>
      <w:bookmarkEnd w:id="204"/>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确定成交供应商后，采购代理机构向供应商发出成交通知书，并将成交结果依法公告。</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成交通知书将作为签订合同的依据。如果成交供应商没有按</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的规定执行，成交供应商的成交资格将被取消，并对由此产生的一切后果负责。</w:t>
      </w:r>
    </w:p>
    <w:p>
      <w:pPr>
        <w:keepLines w:val="0"/>
        <w:pageBreakBefore w:val="0"/>
        <w:numPr>
          <w:ilvl w:val="0"/>
          <w:numId w:val="0"/>
        </w:numPr>
        <w:tabs>
          <w:tab w:val="left" w:pos="720"/>
        </w:tabs>
        <w:kinsoku/>
        <w:wordWrap/>
        <w:overflowPunct/>
        <w:topLinePunct w:val="0"/>
        <w:autoSpaceDE/>
        <w:autoSpaceDN/>
        <w:bidi w:val="0"/>
        <w:adjustRightInd/>
        <w:snapToGrid/>
        <w:spacing w:before="0" w:after="0" w:line="360" w:lineRule="auto"/>
        <w:ind w:leftChars="0"/>
        <w:textAlignment w:val="auto"/>
        <w:outlineLvl w:val="9"/>
        <w:rPr>
          <w:rFonts w:hint="eastAsia" w:ascii="仿宋" w:hAnsi="仿宋" w:eastAsia="仿宋" w:cs="仿宋"/>
          <w:color w:val="auto"/>
          <w:sz w:val="24"/>
          <w:szCs w:val="24"/>
          <w:highlight w:val="none"/>
        </w:rPr>
      </w:pPr>
      <w:bookmarkStart w:id="205" w:name="_Toc239649389"/>
      <w:bookmarkStart w:id="206" w:name="_Toc239648867"/>
      <w:bookmarkStart w:id="207" w:name="_Toc239822506"/>
      <w:bookmarkStart w:id="208" w:name="_Toc239648601"/>
      <w:bookmarkStart w:id="209" w:name="_Toc424211826"/>
      <w:bookmarkStart w:id="210" w:name="_Toc424059498"/>
      <w:bookmarkStart w:id="211" w:name="_Toc239649313"/>
      <w:bookmarkStart w:id="212" w:name="_Toc239650601"/>
      <w:bookmarkStart w:id="213" w:name="_Toc239651320"/>
      <w:bookmarkStart w:id="214" w:name="_Toc460703976"/>
      <w:bookmarkStart w:id="215" w:name="_Toc239649765"/>
      <w:bookmarkStart w:id="216" w:name="_Toc239822621"/>
      <w:r>
        <w:rPr>
          <w:rFonts w:hint="eastAsia" w:ascii="仿宋" w:hAnsi="仿宋" w:eastAsia="仿宋" w:cs="仿宋"/>
          <w:color w:val="auto"/>
          <w:sz w:val="24"/>
          <w:szCs w:val="24"/>
          <w:highlight w:val="none"/>
          <w:lang w:val="en-US" w:eastAsia="zh-CN"/>
        </w:rPr>
        <w:t>13.2</w:t>
      </w:r>
      <w:r>
        <w:rPr>
          <w:rFonts w:hint="eastAsia" w:ascii="仿宋" w:hAnsi="仿宋" w:eastAsia="仿宋" w:cs="仿宋"/>
          <w:color w:val="auto"/>
          <w:sz w:val="24"/>
          <w:szCs w:val="24"/>
          <w:highlight w:val="none"/>
        </w:rPr>
        <w:t>签订合同</w:t>
      </w:r>
      <w:bookmarkEnd w:id="205"/>
      <w:bookmarkEnd w:id="206"/>
      <w:bookmarkEnd w:id="207"/>
      <w:bookmarkEnd w:id="208"/>
      <w:bookmarkEnd w:id="209"/>
      <w:bookmarkEnd w:id="210"/>
      <w:bookmarkEnd w:id="211"/>
      <w:bookmarkEnd w:id="212"/>
      <w:bookmarkEnd w:id="213"/>
      <w:bookmarkEnd w:id="214"/>
      <w:bookmarkEnd w:id="215"/>
      <w:bookmarkEnd w:id="216"/>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、成交供应商的响应文件及修改或澄清文件等，均为签订合同的依据。</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采购人与成交供应商应当在成交通知书发出之日起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日内，按照</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确定的合同文本以及采购标的、采购金额、技术和服务要求等事项签订政府采购合同。</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采购人不得向成交供应商提出超出</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以外的任何要求作为签订合同的条件，不得与成交供应商订立背离</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确定的合同文本以及采购标的、采购金额、技术和服务要求等实质性内容的协议。</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所附《合同主要条款》是采购人与成交供应商签订合同的基本条款，成交供应商应认真阅读，在没有实质性违反</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及响应文件的前提下，采购人有权在合同签订前对合同条款进行适当修改、增加、删除，成交供应商不得以此为由拒绝签订合同。对此，请供应商参加竞争性</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前慎重考虑相关商业风险。</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合同签订后不允许将合同转与其他单位。</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合同履行中，需追加与合同标的相同的货物或者服务的，在不改变合同其他条款的前提下，报财政部门审核、批准后，可与成交供应商协商签订补充合同，但所有补充合同的采购金额按国家相关规定执行。</w:t>
      </w:r>
    </w:p>
    <w:p>
      <w:pPr>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成交供应商因不可抗力或者自身原因不能履行政府采购合同的，采购人可以与排位在成交供应商之后第一位的成交候选人签订政府采购合同，或重新组织采购。</w:t>
      </w:r>
    </w:p>
    <w:p>
      <w:pPr>
        <w:snapToGrid w:val="0"/>
        <w:spacing w:beforeAutospacing="0" w:afterAutospacing="0" w:line="360" w:lineRule="auto"/>
        <w:ind w:firstLine="482"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、询问、质疑、投诉</w:t>
      </w:r>
    </w:p>
    <w:p>
      <w:pPr>
        <w:snapToGrid w:val="0"/>
        <w:spacing w:beforeAutospacing="0" w:afterAutospacing="0" w:line="360" w:lineRule="auto"/>
        <w:ind w:firstLine="482"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14.1</w:t>
      </w:r>
      <w:r>
        <w:rPr>
          <w:rFonts w:hint="eastAsia" w:ascii="仿宋" w:hAnsi="仿宋" w:eastAsia="仿宋" w:cs="仿宋"/>
          <w:b/>
          <w:bCs/>
          <w:color w:val="auto"/>
          <w:sz w:val="24"/>
          <w:szCs w:val="24"/>
          <w:highlight w:val="none"/>
        </w:rPr>
        <w:t>、询问</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color w:val="auto"/>
          <w:sz w:val="24"/>
          <w:szCs w:val="24"/>
          <w:highlight w:val="none"/>
        </w:rPr>
        <w:t>.1供应商对</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活动事项有疑问的，可以向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提出询问，</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应当在三个工作日内对供应商依法提出的询问作出答复，但答复的内容不得涉及商业秘密。</w:t>
      </w:r>
    </w:p>
    <w:p>
      <w:pPr>
        <w:spacing w:beforeAutospacing="0" w:afterAutospacing="0"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14.2</w:t>
      </w:r>
      <w:r>
        <w:rPr>
          <w:rFonts w:hint="eastAsia" w:ascii="仿宋" w:hAnsi="仿宋" w:eastAsia="仿宋" w:cs="仿宋"/>
          <w:b/>
          <w:color w:val="auto"/>
          <w:sz w:val="24"/>
          <w:szCs w:val="24"/>
          <w:highlight w:val="none"/>
        </w:rPr>
        <w:t>、质疑</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.1供应商认为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、响应过程和</w:t>
      </w:r>
      <w:r>
        <w:rPr>
          <w:rFonts w:hint="eastAsia" w:ascii="仿宋" w:hAnsi="仿宋" w:eastAsia="仿宋" w:cs="仿宋"/>
          <w:color w:val="auto"/>
          <w:sz w:val="24"/>
          <w:szCs w:val="24"/>
          <w:highlight w:val="none"/>
          <w:lang w:eastAsia="zh-CN"/>
        </w:rPr>
        <w:t>成交结果</w:t>
      </w:r>
      <w:r>
        <w:rPr>
          <w:rFonts w:hint="eastAsia" w:ascii="仿宋" w:hAnsi="仿宋" w:eastAsia="仿宋" w:cs="仿宋"/>
          <w:color w:val="auto"/>
          <w:sz w:val="24"/>
          <w:szCs w:val="24"/>
          <w:highlight w:val="none"/>
        </w:rPr>
        <w:t>使自己的合法权益受到损害的，可以在知道或者应知其权益受到损害之日起七个工作日内，将质疑文件原件和必要的证明材料书面送达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.2供应商如对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技术指标、参数、评分标准有质疑，向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按相关规定做出答复或委托</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代为答复。供应商如对响应过程和结果有质疑，向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按相关规定作出答复。</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3上述应知其权益受到损害之日是指：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提出质疑的，为</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 xml:space="preserve">公告期限届满之日起计算；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（2）对项目过程提出质疑的，自项目程序环节结束之日起计算；</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w:t>
      </w:r>
      <w:r>
        <w:rPr>
          <w:rFonts w:hint="eastAsia" w:ascii="仿宋" w:hAnsi="仿宋" w:eastAsia="仿宋" w:cs="仿宋"/>
          <w:color w:val="auto"/>
          <w:sz w:val="24"/>
          <w:szCs w:val="24"/>
          <w:highlight w:val="none"/>
          <w:lang w:eastAsia="zh-CN"/>
        </w:rPr>
        <w:t>成交结果</w:t>
      </w:r>
      <w:r>
        <w:rPr>
          <w:rFonts w:hint="eastAsia" w:ascii="仿宋" w:hAnsi="仿宋" w:eastAsia="仿宋" w:cs="仿宋"/>
          <w:color w:val="auto"/>
          <w:sz w:val="24"/>
          <w:szCs w:val="24"/>
          <w:highlight w:val="none"/>
        </w:rPr>
        <w:t>提出质疑的，自</w:t>
      </w:r>
      <w:r>
        <w:rPr>
          <w:rFonts w:hint="eastAsia" w:ascii="仿宋" w:hAnsi="仿宋" w:eastAsia="仿宋" w:cs="仿宋"/>
          <w:color w:val="auto"/>
          <w:sz w:val="24"/>
          <w:szCs w:val="24"/>
          <w:highlight w:val="none"/>
          <w:lang w:eastAsia="zh-CN"/>
        </w:rPr>
        <w:t>成交结果</w:t>
      </w:r>
      <w:r>
        <w:rPr>
          <w:rFonts w:hint="eastAsia" w:ascii="仿宋" w:hAnsi="仿宋" w:eastAsia="仿宋" w:cs="仿宋"/>
          <w:color w:val="auto"/>
          <w:sz w:val="24"/>
          <w:szCs w:val="24"/>
          <w:highlight w:val="none"/>
        </w:rPr>
        <w:t>公告期限届满之日起计算。</w:t>
      </w:r>
    </w:p>
    <w:p>
      <w:pPr>
        <w:spacing w:beforeAutospacing="0" w:afterAutospacing="0" w:line="360" w:lineRule="auto"/>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14.2</w:t>
      </w:r>
      <w:r>
        <w:rPr>
          <w:rFonts w:hint="eastAsia" w:ascii="仿宋" w:hAnsi="仿宋" w:eastAsia="仿宋" w:cs="仿宋"/>
          <w:b/>
          <w:bCs/>
          <w:color w:val="auto"/>
          <w:sz w:val="24"/>
          <w:szCs w:val="24"/>
          <w:highlight w:val="none"/>
        </w:rPr>
        <w:t>.4质疑供应商在法定质疑期内应当一次性提出针对同一项目环节提出质疑。</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.5质疑文件应包括以下主要内容，并按照“谁主张、谁举证”的原则，附上相关证明材料。否则，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不予受理。</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（1）供应商的姓名或者名称、地址、邮编、联系人及联系电话（包括座机、手机、传真号码等）；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（2）质疑项目的名称、项目编号、包号、项目公告发布时间、递交响应文件或响应文件截止时间；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（3）具体、明确的质疑事项和与质疑事项相关的请求；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（4）事实依据（具体条款，认为自己合法权益受到损害或可能受到损害的相关证据材料。如涉及到产品功能或技术指标的，应出具相关制造商的证明文件）；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（5）必要的法律依据； </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（6）提起质疑的日期；</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（7）质疑文件应当署名，质疑人为自然人的，应当由本人签字并附有效身份证明；质疑人为法人或其他组织的，应当由法定代表人签字并加盖单位公章；</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（8）供应商委托代理质疑的，应当提交授权委托书，并载明代理人的姓名或者名称、代理事项、 具体权限、期限和相关事项。</w:t>
      </w:r>
    </w:p>
    <w:p>
      <w:pPr>
        <w:tabs>
          <w:tab w:val="left" w:pos="4200"/>
        </w:tabs>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.6质疑供应商是指直接参加本项目项活动的供应商，未参加采购活动的供应商或在采购活动中自身权益未受到损害的供应商所提出的质疑不予受理。</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14.2</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在收到供应商的书面质疑后将及时组织调查核实，在七个工作日内作出答复，并以书面形式通知质疑供应商和其他有关供应商，答复的内容不涉及商业秘密。</w:t>
      </w:r>
    </w:p>
    <w:p>
      <w:pPr>
        <w:spacing w:beforeAutospacing="0" w:afterAutospacing="0"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14.13</w:t>
      </w:r>
      <w:r>
        <w:rPr>
          <w:rFonts w:hint="eastAsia" w:ascii="仿宋" w:hAnsi="仿宋" w:eastAsia="仿宋" w:cs="仿宋"/>
          <w:b/>
          <w:color w:val="auto"/>
          <w:sz w:val="24"/>
          <w:szCs w:val="24"/>
          <w:highlight w:val="none"/>
        </w:rPr>
        <w:t>、投诉</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14.13</w:t>
      </w:r>
      <w:r>
        <w:rPr>
          <w:rFonts w:hint="eastAsia" w:ascii="仿宋" w:hAnsi="仿宋" w:eastAsia="仿宋" w:cs="仿宋"/>
          <w:color w:val="auto"/>
          <w:sz w:val="24"/>
          <w:szCs w:val="24"/>
          <w:highlight w:val="none"/>
        </w:rPr>
        <w:t>.1 质疑供应商对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的答复不满意，或</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未在规定的时间内作出答复的，可以在答复期满后十五个工作日内向采购项目同级财政部门提起投诉。</w:t>
      </w:r>
    </w:p>
    <w:p>
      <w:pPr>
        <w:spacing w:beforeAutospacing="0" w:afterAutospacing="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14.13</w:t>
      </w:r>
      <w:r>
        <w:rPr>
          <w:rFonts w:hint="eastAsia" w:ascii="仿宋" w:hAnsi="仿宋" w:eastAsia="仿宋" w:cs="仿宋"/>
          <w:color w:val="auto"/>
          <w:sz w:val="24"/>
          <w:szCs w:val="24"/>
          <w:highlight w:val="none"/>
        </w:rPr>
        <w:t>.2供应商投诉的事项不得超出已质疑事项的范围，但基于质疑答复内容提出的投诉事项除外。</w:t>
      </w:r>
    </w:p>
    <w:p>
      <w:pPr>
        <w:spacing w:beforeAutospacing="0" w:afterAutospacing="0" w:line="360" w:lineRule="auto"/>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14.14</w:t>
      </w:r>
      <w:r>
        <w:rPr>
          <w:rFonts w:hint="eastAsia" w:ascii="仿宋" w:hAnsi="仿宋" w:eastAsia="仿宋" w:cs="仿宋"/>
          <w:b/>
          <w:color w:val="auto"/>
          <w:sz w:val="24"/>
          <w:szCs w:val="24"/>
          <w:highlight w:val="none"/>
        </w:rPr>
        <w:t>、诚实信用</w:t>
      </w:r>
    </w:p>
    <w:p>
      <w:pPr>
        <w:pageBreakBefore w:val="0"/>
        <w:kinsoku/>
        <w:overflowPunct/>
        <w:topLinePunct w:val="0"/>
        <w:autoSpaceDE/>
        <w:autoSpaceDN/>
        <w:bidi w:val="0"/>
        <w:spacing w:line="360" w:lineRule="auto"/>
        <w:ind w:firstLine="480" w:firstLineChars="200"/>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14.14</w:t>
      </w:r>
      <w:r>
        <w:rPr>
          <w:rFonts w:hint="eastAsia" w:ascii="仿宋" w:hAnsi="仿宋" w:eastAsia="仿宋" w:cs="仿宋"/>
          <w:color w:val="auto"/>
          <w:sz w:val="24"/>
          <w:szCs w:val="24"/>
          <w:highlight w:val="none"/>
        </w:rPr>
        <w:t>.1 供应商不得虚假承诺，否则，按照提供虚假材料谋取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处理。</w:t>
      </w:r>
    </w:p>
    <w:bookmarkEnd w:id="186"/>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44"/>
          <w:szCs w:val="44"/>
          <w:highlight w:val="none"/>
          <w:lang w:eastAsia="zh-CN"/>
        </w:rPr>
      </w:pPr>
    </w:p>
    <w:p>
      <w:pPr>
        <w:outlineLvl w:val="9"/>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lang w:eastAsia="zh-CN"/>
        </w:rPr>
        <w:br w:type="page"/>
      </w:r>
    </w:p>
    <w:p>
      <w:pPr>
        <w:pageBreakBefore w:val="0"/>
        <w:kinsoku/>
        <w:overflowPunct/>
        <w:topLinePunct w:val="0"/>
        <w:autoSpaceDE/>
        <w:autoSpaceDN/>
        <w:bidi w:val="0"/>
        <w:spacing w:line="360" w:lineRule="auto"/>
        <w:jc w:val="center"/>
        <w:outlineLvl w:val="0"/>
        <w:rPr>
          <w:rFonts w:hint="eastAsia" w:ascii="仿宋" w:hAnsi="仿宋" w:eastAsia="仿宋" w:cs="仿宋"/>
          <w:b/>
          <w:color w:val="auto"/>
          <w:sz w:val="44"/>
          <w:szCs w:val="44"/>
          <w:highlight w:val="none"/>
        </w:rPr>
      </w:pPr>
      <w:bookmarkStart w:id="217" w:name="_Toc8036"/>
      <w:r>
        <w:rPr>
          <w:rFonts w:hint="eastAsia" w:ascii="仿宋" w:hAnsi="仿宋" w:eastAsia="仿宋" w:cs="仿宋"/>
          <w:b/>
          <w:color w:val="auto"/>
          <w:sz w:val="44"/>
          <w:szCs w:val="44"/>
          <w:highlight w:val="none"/>
          <w:lang w:eastAsia="zh-CN"/>
        </w:rPr>
        <w:t>第三章</w:t>
      </w:r>
      <w:r>
        <w:rPr>
          <w:rFonts w:hint="eastAsia" w:ascii="仿宋" w:hAnsi="仿宋" w:eastAsia="仿宋" w:cs="仿宋"/>
          <w:b/>
          <w:color w:val="auto"/>
          <w:sz w:val="44"/>
          <w:szCs w:val="44"/>
          <w:highlight w:val="none"/>
        </w:rPr>
        <w:t xml:space="preserve"> 采购需求</w:t>
      </w:r>
      <w:bookmarkEnd w:id="217"/>
    </w:p>
    <w:p>
      <w:pPr>
        <w:pageBreakBefore w:val="0"/>
        <w:kinsoku/>
        <w:overflowPunct/>
        <w:topLinePunct w:val="0"/>
        <w:autoSpaceDE/>
        <w:autoSpaceDN/>
        <w:bidi w:val="0"/>
        <w:spacing w:line="360" w:lineRule="auto"/>
        <w:ind w:firstLine="482"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一、采购内容及要求</w:t>
      </w:r>
      <w:bookmarkStart w:id="218" w:name="_Toc438456195"/>
    </w:p>
    <w:p>
      <w:pPr>
        <w:pageBreakBefore w:val="0"/>
        <w:kinsoku/>
        <w:overflowPunct/>
        <w:topLinePunct w:val="0"/>
        <w:autoSpaceDE/>
        <w:autoSpaceDN/>
        <w:bidi w:val="0"/>
        <w:spacing w:line="360" w:lineRule="auto"/>
        <w:ind w:firstLine="520" w:firstLineChars="200"/>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（一）</w:t>
      </w:r>
      <w:bookmarkEnd w:id="218"/>
      <w:bookmarkStart w:id="219" w:name="_Toc490672253"/>
      <w:r>
        <w:rPr>
          <w:rFonts w:hint="eastAsia" w:ascii="仿宋" w:hAnsi="仿宋" w:eastAsia="仿宋" w:cs="仿宋"/>
          <w:b w:val="0"/>
          <w:bCs w:val="0"/>
          <w:color w:val="auto"/>
          <w:spacing w:val="10"/>
          <w:kern w:val="2"/>
          <w:sz w:val="24"/>
          <w:szCs w:val="24"/>
          <w:highlight w:val="none"/>
          <w:lang w:val="en-US" w:eastAsia="zh-CN" w:bidi="ar-SA"/>
        </w:rPr>
        <w:t>招标项目</w:t>
      </w:r>
      <w:bookmarkEnd w:id="219"/>
      <w:r>
        <w:rPr>
          <w:rFonts w:hint="eastAsia" w:ascii="仿宋" w:hAnsi="仿宋" w:eastAsia="仿宋" w:cs="仿宋"/>
          <w:b w:val="0"/>
          <w:bCs w:val="0"/>
          <w:color w:val="auto"/>
          <w:spacing w:val="10"/>
          <w:kern w:val="2"/>
          <w:sz w:val="24"/>
          <w:szCs w:val="24"/>
          <w:highlight w:val="none"/>
          <w:lang w:val="en-US" w:eastAsia="zh-CN" w:bidi="ar-SA"/>
        </w:rPr>
        <w:t>名称、预算、供货期限</w:t>
      </w:r>
    </w:p>
    <w:tbl>
      <w:tblPr>
        <w:tblStyle w:val="2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402"/>
        <w:gridCol w:w="1621"/>
        <w:gridCol w:w="262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3" w:type="dxa"/>
            <w:noWrap w:val="0"/>
            <w:vAlign w:val="center"/>
          </w:tcPr>
          <w:p>
            <w:pPr>
              <w:pStyle w:val="14"/>
              <w:pageBreakBefore w:val="0"/>
              <w:kinsoku/>
              <w:overflowPunct/>
              <w:topLinePunct w:val="0"/>
              <w:autoSpaceDE/>
              <w:autoSpaceDN/>
              <w:bidi w:val="0"/>
              <w:spacing w:line="240" w:lineRule="auto"/>
              <w:ind w:left="0"/>
              <w:jc w:val="center"/>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序号</w:t>
            </w:r>
          </w:p>
        </w:tc>
        <w:tc>
          <w:tcPr>
            <w:tcW w:w="2402" w:type="dxa"/>
            <w:noWrap w:val="0"/>
            <w:vAlign w:val="center"/>
          </w:tcPr>
          <w:p>
            <w:pPr>
              <w:pStyle w:val="14"/>
              <w:pageBreakBefore w:val="0"/>
              <w:kinsoku/>
              <w:overflowPunct/>
              <w:topLinePunct w:val="0"/>
              <w:autoSpaceDE/>
              <w:autoSpaceDN/>
              <w:bidi w:val="0"/>
              <w:spacing w:line="240" w:lineRule="auto"/>
              <w:ind w:left="0"/>
              <w:jc w:val="center"/>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项目名称</w:t>
            </w:r>
          </w:p>
        </w:tc>
        <w:tc>
          <w:tcPr>
            <w:tcW w:w="1621" w:type="dxa"/>
            <w:noWrap w:val="0"/>
            <w:vAlign w:val="center"/>
          </w:tcPr>
          <w:p>
            <w:pPr>
              <w:pStyle w:val="14"/>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采购预算</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（万元）</w:t>
            </w:r>
          </w:p>
        </w:tc>
        <w:tc>
          <w:tcPr>
            <w:tcW w:w="2625" w:type="dxa"/>
            <w:noWrap w:val="0"/>
            <w:vAlign w:val="center"/>
          </w:tcPr>
          <w:p>
            <w:pPr>
              <w:pStyle w:val="14"/>
              <w:pageBreakBefore w:val="0"/>
              <w:kinsoku/>
              <w:overflowPunct/>
              <w:topLinePunct w:val="0"/>
              <w:autoSpaceDE/>
              <w:autoSpaceDN/>
              <w:bidi w:val="0"/>
              <w:spacing w:line="240" w:lineRule="auto"/>
              <w:ind w:left="0"/>
              <w:jc w:val="center"/>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供货期限</w:t>
            </w:r>
          </w:p>
        </w:tc>
        <w:tc>
          <w:tcPr>
            <w:tcW w:w="977" w:type="dxa"/>
            <w:noWrap w:val="0"/>
            <w:vAlign w:val="center"/>
          </w:tcPr>
          <w:p>
            <w:pPr>
              <w:pStyle w:val="14"/>
              <w:pageBreakBefore w:val="0"/>
              <w:kinsoku/>
              <w:overflowPunct/>
              <w:topLinePunct w:val="0"/>
              <w:autoSpaceDE/>
              <w:autoSpaceDN/>
              <w:bidi w:val="0"/>
              <w:spacing w:line="360" w:lineRule="auto"/>
              <w:ind w:left="0"/>
              <w:jc w:val="center"/>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923" w:type="dxa"/>
            <w:noWrap w:val="0"/>
            <w:vAlign w:val="center"/>
          </w:tcPr>
          <w:p>
            <w:pPr>
              <w:pStyle w:val="14"/>
              <w:pageBreakBefore w:val="0"/>
              <w:kinsoku/>
              <w:overflowPunct/>
              <w:topLinePunct w:val="0"/>
              <w:autoSpaceDE/>
              <w:autoSpaceDN/>
              <w:bidi w:val="0"/>
              <w:spacing w:line="240" w:lineRule="auto"/>
              <w:ind w:left="0"/>
              <w:jc w:val="center"/>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1</w:t>
            </w:r>
          </w:p>
        </w:tc>
        <w:tc>
          <w:tcPr>
            <w:tcW w:w="24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小拐乡肉羊养殖场设备及农机采购项目</w:t>
            </w:r>
          </w:p>
        </w:tc>
        <w:tc>
          <w:tcPr>
            <w:tcW w:w="1621" w:type="dxa"/>
            <w:noWrap w:val="0"/>
            <w:vAlign w:val="center"/>
          </w:tcPr>
          <w:p>
            <w:pPr>
              <w:pStyle w:val="14"/>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i w:val="0"/>
                <w:color w:val="auto"/>
                <w:kern w:val="2"/>
                <w:sz w:val="24"/>
                <w:szCs w:val="24"/>
                <w:highlight w:val="none"/>
                <w:lang w:val="en-US" w:eastAsia="zh-CN" w:bidi="ar-SA"/>
              </w:rPr>
              <w:t>196.90</w:t>
            </w:r>
          </w:p>
        </w:tc>
        <w:tc>
          <w:tcPr>
            <w:tcW w:w="2625" w:type="dxa"/>
            <w:noWrap w:val="0"/>
            <w:vAlign w:val="center"/>
          </w:tcPr>
          <w:p>
            <w:pPr>
              <w:pStyle w:val="14"/>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自接到成交通知书之日起20日（日历日）内供货并完成安装调试。</w:t>
            </w:r>
          </w:p>
        </w:tc>
        <w:tc>
          <w:tcPr>
            <w:tcW w:w="977" w:type="dxa"/>
            <w:noWrap w:val="0"/>
            <w:vAlign w:val="center"/>
          </w:tcPr>
          <w:p>
            <w:pPr>
              <w:pStyle w:val="14"/>
              <w:pageBreakBefore w:val="0"/>
              <w:kinsoku/>
              <w:overflowPunct/>
              <w:topLinePunct w:val="0"/>
              <w:autoSpaceDE/>
              <w:autoSpaceDN/>
              <w:bidi w:val="0"/>
              <w:spacing w:line="360" w:lineRule="auto"/>
              <w:ind w:left="0" w:leftChars="0" w:firstLine="0" w:firstLineChars="0"/>
              <w:jc w:val="center"/>
              <w:outlineLvl w:val="9"/>
              <w:rPr>
                <w:rFonts w:hint="eastAsia" w:ascii="仿宋" w:hAnsi="仿宋" w:eastAsia="仿宋" w:cs="仿宋"/>
                <w:b w:val="0"/>
                <w:bCs w:val="0"/>
                <w:color w:val="auto"/>
                <w:spacing w:val="10"/>
                <w:kern w:val="2"/>
                <w:sz w:val="24"/>
                <w:szCs w:val="24"/>
                <w:highlight w:val="none"/>
                <w:lang w:val="en-US" w:eastAsia="zh-CN" w:bidi="ar-SA"/>
              </w:rPr>
            </w:pPr>
            <w:r>
              <w:rPr>
                <w:rFonts w:hint="eastAsia" w:ascii="仿宋" w:hAnsi="仿宋" w:eastAsia="仿宋" w:cs="仿宋"/>
                <w:b w:val="0"/>
                <w:bCs w:val="0"/>
                <w:color w:val="auto"/>
                <w:spacing w:val="10"/>
                <w:kern w:val="2"/>
                <w:sz w:val="24"/>
                <w:szCs w:val="24"/>
                <w:highlight w:val="none"/>
                <w:lang w:val="en-US" w:eastAsia="zh-CN" w:bidi="ar-SA"/>
              </w:rPr>
              <w:t>无</w:t>
            </w:r>
          </w:p>
        </w:tc>
      </w:tr>
    </w:tbl>
    <w:p>
      <w:pPr>
        <w:spacing w:line="460" w:lineRule="exact"/>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（二）是否接受进口产品投标</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1.本项目不接受进口产品投标（进口产品是指通过中国海关报关，验放进入中国境内，且产自关境外的产品）。</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w:t>
      </w:r>
      <w:r>
        <w:rPr>
          <w:rFonts w:hint="eastAsia" w:ascii="仿宋" w:hAnsi="仿宋" w:eastAsia="仿宋" w:cs="仿宋"/>
          <w:color w:val="auto"/>
          <w:sz w:val="24"/>
          <w:szCs w:val="24"/>
          <w:lang w:val="en-US" w:eastAsia="zh-CN"/>
        </w:rPr>
        <w:t>货物一览表：</w:t>
      </w:r>
    </w:p>
    <w:tbl>
      <w:tblPr>
        <w:tblStyle w:val="26"/>
        <w:tblW w:w="8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37"/>
        <w:gridCol w:w="3573"/>
        <w:gridCol w:w="604"/>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94" w:type="dxa"/>
            <w:noWrap w:val="0"/>
            <w:vAlign w:val="center"/>
          </w:tcPr>
          <w:p>
            <w:pPr>
              <w:pStyle w:val="2"/>
              <w:jc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2037"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物品名称</w:t>
            </w:r>
          </w:p>
        </w:tc>
        <w:tc>
          <w:tcPr>
            <w:tcW w:w="3573"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主要参数</w:t>
            </w:r>
          </w:p>
        </w:tc>
        <w:tc>
          <w:tcPr>
            <w:tcW w:w="604"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1481"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4" w:type="dxa"/>
            <w:noWrap w:val="0"/>
            <w:vAlign w:val="center"/>
          </w:tcPr>
          <w:p>
            <w:pPr>
              <w:pStyle w:val="2"/>
              <w:jc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2037"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电采暖锅炉(HBDGL-60kw)及安装</w:t>
            </w:r>
          </w:p>
        </w:tc>
        <w:tc>
          <w:tcPr>
            <w:tcW w:w="3573" w:type="dxa"/>
            <w:noWrap w:val="0"/>
            <w:vAlign w:val="center"/>
          </w:tcPr>
          <w:p>
            <w:pPr>
              <w:keepNext w:val="0"/>
              <w:keepLines w:val="0"/>
              <w:widowControl/>
              <w:suppressLineNumbers w:val="0"/>
              <w:jc w:val="both"/>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额定功率：≥60KW，</w:t>
            </w:r>
          </w:p>
          <w:p>
            <w:pPr>
              <w:pStyle w:val="2"/>
              <w:rPr>
                <w:rFonts w:hint="default"/>
                <w:color w:val="auto"/>
                <w:lang w:val="en-US" w:eastAsia="zh-CN"/>
              </w:rPr>
            </w:pPr>
            <w:r>
              <w:rPr>
                <w:rFonts w:hint="eastAsia" w:ascii="仿宋" w:hAnsi="仿宋" w:eastAsia="仿宋" w:cs="仿宋"/>
                <w:color w:val="auto"/>
                <w:kern w:val="2"/>
                <w:sz w:val="24"/>
                <w:szCs w:val="24"/>
                <w:lang w:val="en-US" w:eastAsia="zh-CN" w:bidi="ar-SA"/>
              </w:rPr>
              <w:t>供暖面积：≥450㎡</w:t>
            </w:r>
          </w:p>
          <w:p>
            <w:pPr>
              <w:keepNext w:val="0"/>
              <w:keepLines w:val="0"/>
              <w:widowControl/>
              <w:suppressLineNumbers w:val="0"/>
              <w:jc w:val="both"/>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布线安装：带施工安装kgv3x35+2x20电缆大约275米至箱变处。</w:t>
            </w:r>
          </w:p>
        </w:tc>
        <w:tc>
          <w:tcPr>
            <w:tcW w:w="604" w:type="dxa"/>
            <w:noWrap w:val="0"/>
            <w:vAlign w:val="center"/>
          </w:tcPr>
          <w:p>
            <w:pPr>
              <w:keepNext w:val="0"/>
              <w:keepLines w:val="0"/>
              <w:widowControl/>
              <w:suppressLineNumbers w:val="0"/>
              <w:jc w:val="center"/>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481" w:type="dxa"/>
            <w:noWrap w:val="0"/>
            <w:vAlign w:val="center"/>
          </w:tcPr>
          <w:p>
            <w:pPr>
              <w:keepNext w:val="0"/>
              <w:keepLines w:val="0"/>
              <w:widowControl/>
              <w:suppressLineNumbers w:val="0"/>
              <w:jc w:val="center"/>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4" w:type="dxa"/>
            <w:noWrap w:val="0"/>
            <w:vAlign w:val="center"/>
          </w:tcPr>
          <w:p>
            <w:pPr>
              <w:pStyle w:val="2"/>
              <w:jc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2037"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饲草料粉碎机</w:t>
            </w:r>
          </w:p>
        </w:tc>
        <w:tc>
          <w:tcPr>
            <w:tcW w:w="3573" w:type="dxa"/>
            <w:noWrap w:val="0"/>
            <w:vAlign w:val="center"/>
          </w:tcPr>
          <w:p>
            <w:pPr>
              <w:keepNext w:val="0"/>
              <w:keepLines w:val="0"/>
              <w:widowControl/>
              <w:suppressLineNumbers w:val="0"/>
              <w:jc w:val="both"/>
              <w:textAlignment w:val="center"/>
              <w:outlineLvl w:val="9"/>
              <w:rPr>
                <w:rFonts w:hint="default"/>
                <w:color w:val="auto"/>
                <w:lang w:val="en-US" w:eastAsia="zh-CN"/>
              </w:rPr>
            </w:pPr>
            <w:r>
              <w:rPr>
                <w:rFonts w:hint="eastAsia" w:ascii="仿宋" w:hAnsi="仿宋" w:eastAsia="仿宋" w:cs="仿宋"/>
                <w:b/>
                <w:bCs/>
                <w:color w:val="auto"/>
                <w:kern w:val="2"/>
                <w:sz w:val="24"/>
                <w:szCs w:val="24"/>
                <w:lang w:val="en-US" w:eastAsia="zh-CN" w:bidi="ar-SA"/>
              </w:rPr>
              <w:t>仓体最大容积：</w:t>
            </w:r>
            <w:r>
              <w:rPr>
                <w:rFonts w:hint="eastAsia" w:ascii="仿宋" w:hAnsi="仿宋" w:eastAsia="仿宋" w:cs="仿宋"/>
                <w:color w:val="auto"/>
                <w:kern w:val="2"/>
                <w:sz w:val="24"/>
                <w:szCs w:val="24"/>
                <w:lang w:val="en-US" w:eastAsia="zh-CN" w:bidi="ar-SA"/>
              </w:rPr>
              <w:t>≥2方</w:t>
            </w:r>
            <w:r>
              <w:rPr>
                <w:rFonts w:hint="default"/>
                <w:color w:val="auto"/>
                <w:lang w:val="en-US" w:eastAsia="zh-CN"/>
              </w:rPr>
              <w:br w:type="textWrapping"/>
            </w:r>
            <w:r>
              <w:rPr>
                <w:rFonts w:hint="default" w:ascii="仿宋" w:hAnsi="仿宋" w:eastAsia="仿宋" w:cs="仿宋"/>
                <w:b/>
                <w:bCs/>
                <w:color w:val="auto"/>
                <w:kern w:val="2"/>
                <w:sz w:val="24"/>
                <w:szCs w:val="24"/>
                <w:lang w:val="en-US" w:eastAsia="zh-CN" w:bidi="ar-SA"/>
              </w:rPr>
              <w:t>适用作物</w:t>
            </w:r>
            <w:r>
              <w:rPr>
                <w:rFonts w:hint="eastAsia" w:ascii="仿宋" w:hAnsi="仿宋" w:eastAsia="仿宋" w:cs="仿宋"/>
                <w:b/>
                <w:bCs/>
                <w:color w:val="auto"/>
                <w:kern w:val="2"/>
                <w:sz w:val="24"/>
                <w:szCs w:val="24"/>
                <w:lang w:val="en-US" w:eastAsia="zh-CN" w:bidi="ar-SA"/>
              </w:rPr>
              <w:t>：</w:t>
            </w:r>
            <w:r>
              <w:rPr>
                <w:rFonts w:hint="eastAsia" w:ascii="仿宋" w:hAnsi="仿宋" w:eastAsia="仿宋" w:cs="仿宋"/>
                <w:color w:val="auto"/>
                <w:kern w:val="2"/>
                <w:sz w:val="24"/>
                <w:szCs w:val="24"/>
                <w:lang w:val="en-US" w:eastAsia="zh-CN" w:bidi="ar-SA"/>
              </w:rPr>
              <w:t>玉米秸秆，麦秸，稻草，精饲料等</w:t>
            </w:r>
          </w:p>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p>
        </w:tc>
        <w:tc>
          <w:tcPr>
            <w:tcW w:w="604" w:type="dxa"/>
            <w:noWrap w:val="0"/>
            <w:vAlign w:val="center"/>
          </w:tcPr>
          <w:p>
            <w:pPr>
              <w:keepNext w:val="0"/>
              <w:keepLines w:val="0"/>
              <w:widowControl/>
              <w:suppressLineNumbers w:val="0"/>
              <w:jc w:val="center"/>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481"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4" w:type="dxa"/>
            <w:noWrap w:val="0"/>
            <w:vAlign w:val="center"/>
          </w:tcPr>
          <w:p>
            <w:pPr>
              <w:pStyle w:val="2"/>
              <w:jc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2037"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卧式饲草料搅拌机</w:t>
            </w:r>
          </w:p>
        </w:tc>
        <w:tc>
          <w:tcPr>
            <w:tcW w:w="3573" w:type="dxa"/>
            <w:noWrap w:val="0"/>
            <w:vAlign w:val="center"/>
          </w:tcPr>
          <w:p>
            <w:pPr>
              <w:keepNext w:val="0"/>
              <w:keepLines w:val="0"/>
              <w:widowControl/>
              <w:suppressLineNumbers w:val="0"/>
              <w:jc w:val="both"/>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搅拌仓最大容积：</w:t>
            </w:r>
            <w:r>
              <w:rPr>
                <w:rFonts w:hint="eastAsia" w:ascii="仿宋" w:hAnsi="仿宋" w:eastAsia="仿宋" w:cs="仿宋"/>
                <w:color w:val="auto"/>
                <w:kern w:val="2"/>
                <w:sz w:val="24"/>
                <w:szCs w:val="24"/>
                <w:lang w:val="en-US" w:eastAsia="zh-CN" w:bidi="ar-SA"/>
              </w:rPr>
              <w:t>≥9方</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结构型式：</w:t>
            </w:r>
            <w:r>
              <w:rPr>
                <w:rFonts w:hint="eastAsia" w:ascii="仿宋" w:hAnsi="仿宋" w:eastAsia="仿宋" w:cs="仿宋"/>
                <w:color w:val="auto"/>
                <w:kern w:val="2"/>
                <w:sz w:val="24"/>
                <w:szCs w:val="24"/>
                <w:lang w:val="en-US" w:eastAsia="zh-CN" w:bidi="ar-SA"/>
              </w:rPr>
              <w:t>固定卧式</w:t>
            </w:r>
          </w:p>
          <w:p>
            <w:pPr>
              <w:rPr>
                <w:rFonts w:hint="default"/>
                <w:color w:val="auto"/>
                <w:lang w:val="en-US" w:eastAsia="zh-CN"/>
              </w:rPr>
            </w:pPr>
            <w:r>
              <w:rPr>
                <w:rFonts w:hint="eastAsia" w:ascii="仿宋" w:hAnsi="仿宋" w:eastAsia="仿宋" w:cs="仿宋"/>
                <w:b/>
                <w:bCs/>
                <w:color w:val="auto"/>
                <w:kern w:val="2"/>
                <w:sz w:val="24"/>
                <w:szCs w:val="24"/>
                <w:lang w:val="en-US" w:eastAsia="zh-CN" w:bidi="ar-SA"/>
              </w:rPr>
              <w:t>配套动力：</w:t>
            </w:r>
            <w:r>
              <w:rPr>
                <w:rFonts w:hint="eastAsia" w:ascii="仿宋" w:hAnsi="仿宋" w:eastAsia="仿宋" w:cs="仿宋"/>
                <w:color w:val="auto"/>
                <w:kern w:val="2"/>
                <w:sz w:val="24"/>
                <w:szCs w:val="24"/>
                <w:lang w:val="en-US" w:eastAsia="zh-CN" w:bidi="ar-SA"/>
              </w:rPr>
              <w:t>≥37KW</w:t>
            </w:r>
          </w:p>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p>
        </w:tc>
        <w:tc>
          <w:tcPr>
            <w:tcW w:w="604" w:type="dxa"/>
            <w:noWrap w:val="0"/>
            <w:vAlign w:val="center"/>
          </w:tcPr>
          <w:p>
            <w:pPr>
              <w:keepNext w:val="0"/>
              <w:keepLines w:val="0"/>
              <w:widowControl/>
              <w:suppressLineNumbers w:val="0"/>
              <w:jc w:val="center"/>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481" w:type="dxa"/>
            <w:noWrap w:val="0"/>
            <w:vAlign w:val="center"/>
          </w:tcPr>
          <w:p>
            <w:pPr>
              <w:keepNext w:val="0"/>
              <w:keepLines w:val="0"/>
              <w:widowControl/>
              <w:suppressLineNumbers w:val="0"/>
              <w:jc w:val="center"/>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4" w:type="dxa"/>
            <w:noWrap w:val="0"/>
            <w:vAlign w:val="center"/>
          </w:tcPr>
          <w:p>
            <w:pPr>
              <w:pStyle w:val="2"/>
              <w:jc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2037"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饲草料电动撒料车</w:t>
            </w:r>
          </w:p>
        </w:tc>
        <w:tc>
          <w:tcPr>
            <w:tcW w:w="3573" w:type="dxa"/>
            <w:noWrap w:val="0"/>
            <w:vAlign w:val="center"/>
          </w:tcPr>
          <w:p>
            <w:pPr>
              <w:keepNext w:val="0"/>
              <w:keepLines w:val="0"/>
              <w:widowControl/>
              <w:suppressLineNumbers w:val="0"/>
              <w:jc w:val="both"/>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仓体最大容积：</w:t>
            </w:r>
            <w:r>
              <w:rPr>
                <w:rFonts w:hint="eastAsia" w:ascii="仿宋" w:hAnsi="仿宋" w:eastAsia="仿宋" w:cs="仿宋"/>
                <w:color w:val="auto"/>
                <w:kern w:val="2"/>
                <w:sz w:val="24"/>
                <w:szCs w:val="24"/>
                <w:lang w:val="en-US" w:eastAsia="zh-CN" w:bidi="ar-SA"/>
              </w:rPr>
              <w:t>≥3方</w:t>
            </w:r>
          </w:p>
          <w:p>
            <w:pPr>
              <w:keepNext w:val="0"/>
              <w:keepLines w:val="0"/>
              <w:widowControl/>
              <w:suppressLineNumbers w:val="0"/>
              <w:jc w:val="left"/>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b/>
                <w:bCs/>
                <w:color w:val="auto"/>
                <w:kern w:val="2"/>
                <w:sz w:val="24"/>
                <w:szCs w:val="24"/>
                <w:lang w:val="en-US" w:eastAsia="zh-CN" w:bidi="ar-SA"/>
              </w:rPr>
              <w:t>电瓶：</w:t>
            </w:r>
            <w:r>
              <w:rPr>
                <w:rFonts w:hint="eastAsia" w:ascii="仿宋" w:hAnsi="仿宋" w:eastAsia="仿宋" w:cs="仿宋"/>
                <w:color w:val="auto"/>
                <w:kern w:val="2"/>
                <w:sz w:val="24"/>
                <w:szCs w:val="24"/>
                <w:lang w:val="en-US" w:eastAsia="zh-CN" w:bidi="ar-SA"/>
              </w:rPr>
              <w:t>≥6块免维护干电瓶</w:t>
            </w:r>
          </w:p>
          <w:p>
            <w:pPr>
              <w:pStyle w:val="2"/>
              <w:rPr>
                <w:rFonts w:hint="default"/>
                <w:lang w:val="en-US" w:eastAsia="zh-CN"/>
              </w:rPr>
            </w:pPr>
            <w:r>
              <w:rPr>
                <w:rFonts w:hint="eastAsia" w:ascii="仿宋" w:hAnsi="仿宋" w:eastAsia="仿宋" w:cs="仿宋"/>
                <w:color w:val="auto"/>
                <w:kern w:val="2"/>
                <w:sz w:val="24"/>
                <w:szCs w:val="24"/>
                <w:lang w:val="en-US" w:eastAsia="zh-CN" w:bidi="ar-SA"/>
              </w:rPr>
              <w:t>尺寸要求：宽≤1.7M、高≤1.95M</w:t>
            </w:r>
          </w:p>
          <w:p>
            <w:pPr>
              <w:pStyle w:val="2"/>
              <w:rPr>
                <w:rFonts w:hint="eastAsia"/>
                <w:color w:val="auto"/>
                <w:lang w:val="en-US" w:eastAsia="zh-CN"/>
              </w:rPr>
            </w:pPr>
            <w:r>
              <w:rPr>
                <w:rFonts w:hint="eastAsia" w:ascii="仿宋" w:hAnsi="仿宋" w:eastAsia="仿宋" w:cs="仿宋"/>
                <w:b/>
                <w:bCs/>
                <w:color w:val="auto"/>
                <w:kern w:val="2"/>
                <w:sz w:val="24"/>
                <w:szCs w:val="24"/>
                <w:lang w:val="en-US" w:eastAsia="zh-CN" w:bidi="ar-SA"/>
              </w:rPr>
              <w:t>出料方式：</w:t>
            </w:r>
            <w:r>
              <w:rPr>
                <w:rFonts w:hint="eastAsia" w:ascii="仿宋" w:hAnsi="仿宋" w:eastAsia="仿宋" w:cs="仿宋"/>
                <w:color w:val="auto"/>
                <w:kern w:val="2"/>
                <w:sz w:val="24"/>
                <w:szCs w:val="24"/>
                <w:lang w:val="en-US" w:eastAsia="zh-CN" w:bidi="ar-SA"/>
              </w:rPr>
              <w:t>两侧出料，不同时出料</w:t>
            </w:r>
          </w:p>
        </w:tc>
        <w:tc>
          <w:tcPr>
            <w:tcW w:w="604" w:type="dxa"/>
            <w:noWrap w:val="0"/>
            <w:vAlign w:val="center"/>
          </w:tcPr>
          <w:p>
            <w:pPr>
              <w:keepNext w:val="0"/>
              <w:keepLines w:val="0"/>
              <w:widowControl/>
              <w:suppressLineNumbers w:val="0"/>
              <w:jc w:val="center"/>
              <w:textAlignment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481"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4" w:type="dxa"/>
            <w:noWrap w:val="0"/>
            <w:vAlign w:val="center"/>
          </w:tcPr>
          <w:p>
            <w:pPr>
              <w:pStyle w:val="2"/>
              <w:jc w:val="center"/>
              <w:outlineLvl w:val="9"/>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2037"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大功率拖拉机</w:t>
            </w:r>
          </w:p>
        </w:tc>
        <w:tc>
          <w:tcPr>
            <w:tcW w:w="3573" w:type="dxa"/>
            <w:noWrap w:val="0"/>
            <w:vAlign w:val="center"/>
          </w:tcPr>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1、发动机额定马力：≥340马力；</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2、发动机型式及排放标准：≥6缸，国Ⅳ排放；</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3、油箱容积：≥630L；</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4、变速箱型式：区域（间）动力换挡、全动力换挡或无级变速；</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5、轮胎配置：前后宽胎；共6轮，</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6、轴距：≥2880mm；</w:t>
            </w:r>
          </w:p>
          <w:p>
            <w:pPr>
              <w:pStyle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7、驱动形式：四轮驱动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60" w:leftChars="0" w:right="257" w:rightChars="0"/>
              <w:rPr>
                <w:rFonts w:hint="default" w:ascii="仿宋" w:hAnsi="仿宋" w:eastAsia="仿宋" w:cs="仿宋"/>
                <w:color w:val="auto"/>
                <w:kern w:val="2"/>
                <w:sz w:val="24"/>
                <w:szCs w:val="24"/>
                <w:lang w:val="en-US" w:eastAsia="zh-CN" w:bidi="ar-SA"/>
              </w:rPr>
            </w:pPr>
          </w:p>
        </w:tc>
        <w:tc>
          <w:tcPr>
            <w:tcW w:w="604"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481" w:type="dxa"/>
            <w:noWrap w:val="0"/>
            <w:vAlign w:val="center"/>
          </w:tcPr>
          <w:p>
            <w:pPr>
              <w:keepNext w:val="0"/>
              <w:keepLines w:val="0"/>
              <w:widowControl/>
              <w:suppressLineNumbers w:val="0"/>
              <w:jc w:val="center"/>
              <w:textAlignment w:val="center"/>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bl>
    <w:p>
      <w:pPr>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9"/>
        <w:rPr>
          <w:rFonts w:hint="eastAsia" w:ascii="仿宋" w:hAnsi="仿宋" w:eastAsia="仿宋" w:cs="仿宋"/>
          <w:b/>
          <w:color w:val="auto"/>
          <w:sz w:val="24"/>
          <w:szCs w:val="24"/>
          <w:lang w:eastAsia="zh-CN"/>
        </w:rPr>
      </w:pPr>
      <w:r>
        <w:rPr>
          <w:rFonts w:hint="eastAsia" w:ascii="仿宋" w:hAnsi="仿宋" w:eastAsia="仿宋" w:cs="仿宋"/>
          <w:b/>
          <w:bCs/>
          <w:color w:val="auto"/>
          <w:kern w:val="0"/>
          <w:sz w:val="24"/>
          <w:szCs w:val="24"/>
          <w:lang w:eastAsia="zh-CN"/>
        </w:rPr>
        <w:t>二</w:t>
      </w:r>
      <w:r>
        <w:rPr>
          <w:rFonts w:hint="eastAsia" w:ascii="仿宋" w:hAnsi="仿宋" w:eastAsia="仿宋" w:cs="仿宋"/>
          <w:b/>
          <w:bCs/>
          <w:color w:val="auto"/>
          <w:kern w:val="0"/>
          <w:sz w:val="24"/>
          <w:szCs w:val="24"/>
        </w:rPr>
        <w:t>、</w:t>
      </w:r>
      <w:r>
        <w:rPr>
          <w:rFonts w:hint="eastAsia" w:ascii="仿宋" w:hAnsi="仿宋" w:eastAsia="仿宋" w:cs="仿宋"/>
          <w:b/>
          <w:color w:val="auto"/>
          <w:sz w:val="24"/>
          <w:szCs w:val="24"/>
          <w:lang w:eastAsia="zh-CN"/>
        </w:rPr>
        <w:t>供货期限</w:t>
      </w:r>
    </w:p>
    <w:p>
      <w:pPr>
        <w:pStyle w:val="48"/>
        <w:keepNext w:val="0"/>
        <w:keepLines w:val="0"/>
        <w:pageBreakBefore w:val="0"/>
        <w:widowControl w:val="0"/>
        <w:kinsoku/>
        <w:wordWrap/>
        <w:overflowPunct/>
        <w:topLinePunct w:val="0"/>
        <w:autoSpaceDE/>
        <w:autoSpaceDN/>
        <w:bidi w:val="0"/>
        <w:adjustRightInd/>
        <w:snapToGrid/>
        <w:spacing w:line="360" w:lineRule="auto"/>
        <w:ind w:left="0" w:firstLine="64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自接到成交通知书之日起20日（日历日）内供货并完成安装调试</w:t>
      </w:r>
      <w:r>
        <w:rPr>
          <w:rFonts w:hint="eastAsia" w:ascii="仿宋" w:hAnsi="仿宋" w:eastAsia="仿宋" w:cs="仿宋"/>
          <w:color w:val="auto"/>
          <w:sz w:val="24"/>
          <w:szCs w:val="24"/>
        </w:rPr>
        <w:t>。</w:t>
      </w:r>
    </w:p>
    <w:p>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三、</w:t>
      </w:r>
      <w:r>
        <w:rPr>
          <w:rFonts w:hint="eastAsia" w:ascii="仿宋" w:hAnsi="仿宋" w:eastAsia="仿宋" w:cs="仿宋"/>
          <w:b/>
          <w:color w:val="auto"/>
          <w:sz w:val="24"/>
          <w:szCs w:val="24"/>
        </w:rPr>
        <w:t>交货地点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克拉玛依市克拉玛依区小拐乡（采购人指定地点）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、验收方式</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1、货物到达现场后，</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应在使用单位人员在场情况下当面开箱，共同清点、检查外观，作出开箱记录，双方签字确认。</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应保证货物到达采购人所在地完好无损，如有缺漏、损坏，由供应商负责调换、补齐或赔偿。</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应提供完备的技术资料、装箱单和合格证等，并派遣专业技术人员进行现场安装调试。验收合格条件如下：</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3.1设备技术参数与采购合同一致，性能指标达到规定的标准。</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3.2货物技术资料、装箱单、合格证等资料齐全。</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3.3在系统试运行期间所出现的问题得到解决，并运行正常。</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3.4在规定时间内交货和验收，并经采购人确认。</w:t>
      </w:r>
    </w:p>
    <w:p>
      <w:pPr>
        <w:spacing w:line="360" w:lineRule="auto"/>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4、产品在安装调试并试运行符合要求后，才作为最终验收。</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5、供应商提供的货物未达到招标文件规定要求，且对采购人造成损失的，由供应商承担一切责任，并赔偿所造成的损失。</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6、大型或者复杂的政府采购项目，采购人应当邀请国家认可的质量检测机构参加验收工作。</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7、采购人需要制造商对</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交付的产品（包括质量、技术参数等）进行确认的，制造商应予以配合，并出具书面意见。</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8、产品包装材料归采购人所有。</w:t>
      </w:r>
    </w:p>
    <w:p>
      <w:pPr>
        <w:pStyle w:val="48"/>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五</w:t>
      </w:r>
      <w:r>
        <w:rPr>
          <w:rFonts w:hint="eastAsia" w:ascii="仿宋" w:hAnsi="仿宋" w:eastAsia="仿宋" w:cs="仿宋"/>
          <w:b/>
          <w:color w:val="auto"/>
          <w:sz w:val="24"/>
          <w:szCs w:val="24"/>
        </w:rPr>
        <w:t>、产品质量保证期</w:t>
      </w:r>
    </w:p>
    <w:p>
      <w:pPr>
        <w:keepNext w:val="0"/>
        <w:keepLines w:val="0"/>
        <w:pageBreakBefore w:val="0"/>
        <w:widowControl w:val="0"/>
        <w:kinsoku/>
        <w:wordWrap/>
        <w:overflowPunct/>
        <w:topLinePunct w:val="0"/>
        <w:autoSpaceDE/>
        <w:autoSpaceDN/>
        <w:bidi w:val="0"/>
        <w:adjustRightInd/>
        <w:snapToGrid/>
        <w:spacing w:line="360" w:lineRule="auto"/>
        <w:ind w:left="0" w:firstLine="424" w:firstLineChars="177"/>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1、投标产品质量保证期</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p>
    <w:p>
      <w:pPr>
        <w:keepNext w:val="0"/>
        <w:keepLines w:val="0"/>
        <w:pageBreakBefore w:val="0"/>
        <w:widowControl w:val="0"/>
        <w:kinsoku/>
        <w:wordWrap/>
        <w:overflowPunct/>
        <w:topLinePunct w:val="0"/>
        <w:autoSpaceDE/>
        <w:autoSpaceDN/>
        <w:bidi w:val="0"/>
        <w:adjustRightInd/>
        <w:snapToGrid/>
        <w:spacing w:line="360" w:lineRule="auto"/>
        <w:ind w:left="0" w:firstLine="424" w:firstLineChars="177"/>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snapToGrid/>
        <w:spacing w:line="360" w:lineRule="auto"/>
        <w:ind w:left="0" w:firstLine="424" w:firstLineChars="177"/>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的质量保证期承诺优于国家“三包”规定的，按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实际承诺执行。</w:t>
      </w:r>
    </w:p>
    <w:p>
      <w:pPr>
        <w:pStyle w:val="48"/>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六</w:t>
      </w:r>
      <w:r>
        <w:rPr>
          <w:rFonts w:hint="eastAsia" w:ascii="仿宋" w:hAnsi="仿宋" w:eastAsia="仿宋" w:cs="仿宋"/>
          <w:b/>
          <w:color w:val="auto"/>
          <w:sz w:val="24"/>
          <w:szCs w:val="24"/>
        </w:rPr>
        <w:t>、售后服务内容</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（一）供应商</w:t>
      </w:r>
      <w:r>
        <w:rPr>
          <w:rFonts w:hint="eastAsia" w:ascii="仿宋" w:hAnsi="仿宋" w:eastAsia="仿宋" w:cs="仿宋"/>
          <w:color w:val="auto"/>
          <w:sz w:val="24"/>
          <w:szCs w:val="24"/>
        </w:rPr>
        <w:t>和制造商在质量保证期内应当为采购人提供以下技术支持和服务：</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1.1电话咨询</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和制造商应当为采购人提供技术援助电话</w:t>
      </w:r>
      <w:r>
        <w:rPr>
          <w:rFonts w:hint="eastAsia" w:ascii="仿宋" w:hAnsi="仿宋" w:eastAsia="仿宋" w:cs="仿宋"/>
          <w:color w:val="auto"/>
          <w:sz w:val="24"/>
          <w:szCs w:val="24"/>
          <w:lang w:val="en-US" w:eastAsia="zh-CN"/>
        </w:rPr>
        <w:t>及使用人员的培训</w:t>
      </w:r>
      <w:r>
        <w:rPr>
          <w:rFonts w:hint="eastAsia" w:ascii="仿宋" w:hAnsi="仿宋" w:eastAsia="仿宋" w:cs="仿宋"/>
          <w:color w:val="auto"/>
          <w:sz w:val="24"/>
          <w:szCs w:val="24"/>
        </w:rPr>
        <w:t>，解答采购人在使用中遇到的问题，及时为采购人提出解决问题的建议。</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1.2现场响应</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采购人遇到使用及技术问题，电话咨询不能解决的，</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和</w:t>
      </w:r>
      <w:r>
        <w:rPr>
          <w:rFonts w:hint="eastAsia" w:ascii="仿宋" w:hAnsi="仿宋" w:eastAsia="仿宋" w:cs="仿宋"/>
          <w:color w:val="auto"/>
          <w:sz w:val="24"/>
          <w:szCs w:val="24"/>
          <w:highlight w:val="none"/>
        </w:rPr>
        <w:t>制造商应在24小</w:t>
      </w:r>
      <w:r>
        <w:rPr>
          <w:rFonts w:hint="eastAsia" w:ascii="仿宋" w:hAnsi="仿宋" w:eastAsia="仿宋" w:cs="仿宋"/>
          <w:color w:val="auto"/>
          <w:sz w:val="24"/>
          <w:szCs w:val="24"/>
        </w:rPr>
        <w:t>时内到达现场进行处理，确保产品正常工作。</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1.3技术升级</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在质保期内，如果</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和制造商的产品技术升级，供应商应及时通知采购人，如采购人有相应要求，</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和制造商应对采购人购买的产品进行升级服务。</w:t>
      </w:r>
    </w:p>
    <w:p>
      <w:pPr>
        <w:spacing w:line="460" w:lineRule="exact"/>
        <w:ind w:firstLine="424" w:firstLineChars="177"/>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1.4人员培训</w:t>
      </w:r>
    </w:p>
    <w:p>
      <w:pPr>
        <w:spacing w:line="460" w:lineRule="exact"/>
        <w:ind w:firstLine="424" w:firstLineChars="177"/>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为采购人</w:t>
      </w:r>
      <w:r>
        <w:rPr>
          <w:rFonts w:hint="eastAsia" w:ascii="仿宋" w:hAnsi="仿宋" w:eastAsia="仿宋" w:cs="仿宋"/>
          <w:color w:val="auto"/>
          <w:sz w:val="24"/>
          <w:szCs w:val="24"/>
          <w:lang w:val="en-US" w:eastAsia="zh-CN"/>
        </w:rPr>
        <w:t>提供餐厅设备使用人员的培训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协助</w:t>
      </w:r>
      <w:r>
        <w:rPr>
          <w:rFonts w:hint="eastAsia" w:ascii="仿宋" w:hAnsi="仿宋" w:eastAsia="仿宋" w:cs="仿宋"/>
          <w:color w:val="auto"/>
          <w:sz w:val="24"/>
          <w:szCs w:val="24"/>
        </w:rPr>
        <w:t>采购人</w:t>
      </w:r>
      <w:r>
        <w:rPr>
          <w:rFonts w:hint="eastAsia" w:ascii="仿宋" w:hAnsi="仿宋" w:eastAsia="仿宋" w:cs="仿宋"/>
          <w:color w:val="auto"/>
          <w:sz w:val="24"/>
          <w:szCs w:val="24"/>
          <w:lang w:val="en-US" w:eastAsia="zh-CN"/>
        </w:rPr>
        <w:t>正常使用设备</w:t>
      </w:r>
      <w:r>
        <w:rPr>
          <w:rFonts w:hint="eastAsia" w:ascii="仿宋" w:hAnsi="仿宋" w:eastAsia="仿宋" w:cs="仿宋"/>
          <w:color w:val="auto"/>
          <w:sz w:val="24"/>
          <w:szCs w:val="24"/>
        </w:rPr>
        <w:t>。</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质保期外服务要求</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2.1质量保证期过后，供应商和制造商应同样提供免费电话咨询服务，并应承诺提供产品上门维护服务。</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2.2质量保证期过后，采购人需要继续由原供应商和制造商提供售后服务的，该供应商和制造商应以优惠价格提供售后服务。</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rPr>
        <w:t>3、备品备件及易损件</w:t>
      </w:r>
    </w:p>
    <w:p>
      <w:pPr>
        <w:spacing w:line="460" w:lineRule="exact"/>
        <w:ind w:firstLine="424" w:firstLineChars="177"/>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和制造商售后服务中，维修使用的备品备件及易损件应为原厂配件，未经采购人同意不得使用非原厂配件，常用的、容易损坏的备品备件及易损件的价格清单须在投标文件中列出。</w:t>
      </w:r>
    </w:p>
    <w:p>
      <w:pPr>
        <w:pStyle w:val="48"/>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七</w:t>
      </w:r>
      <w:r>
        <w:rPr>
          <w:rFonts w:hint="eastAsia" w:ascii="仿宋" w:hAnsi="仿宋" w:eastAsia="仿宋" w:cs="仿宋"/>
          <w:b/>
          <w:color w:val="auto"/>
          <w:sz w:val="24"/>
          <w:szCs w:val="24"/>
        </w:rPr>
        <w:t>、付款方式</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按使用单位订单交货，经验收合格后，采购人向</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支付采购金额9</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%的货款。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提交采购合同、发票等材料，向采购人申请付款。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（三）采购人对</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提交的付款资料审核通过后，以转账方式向</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付款。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仿宋" w:hAnsi="仿宋" w:eastAsia="仿宋" w:cs="仿宋"/>
          <w:color w:val="0000FF"/>
          <w:sz w:val="24"/>
          <w:szCs w:val="24"/>
          <w:lang w:eastAsia="zh-CN"/>
        </w:rPr>
      </w:pPr>
      <w:r>
        <w:rPr>
          <w:rFonts w:hint="eastAsia" w:ascii="仿宋" w:hAnsi="仿宋" w:eastAsia="仿宋" w:cs="仿宋"/>
          <w:color w:val="auto"/>
          <w:sz w:val="24"/>
          <w:szCs w:val="24"/>
        </w:rPr>
        <w:t>（四）使用单位经评定，货物质量合格，签字后，采购人向</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支付采购金额</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%的尾款</w:t>
      </w:r>
      <w:r>
        <w:rPr>
          <w:rFonts w:hint="eastAsia" w:ascii="仿宋" w:hAnsi="仿宋" w:eastAsia="仿宋" w:cs="仿宋"/>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outlineLvl w:val="9"/>
        <w:rPr>
          <w:rFonts w:hint="eastAsia" w:ascii="仿宋" w:hAnsi="仿宋" w:eastAsia="仿宋" w:cs="仿宋"/>
          <w:b/>
          <w:color w:val="0000FF"/>
          <w:sz w:val="28"/>
          <w:szCs w:val="28"/>
          <w:highlight w:val="none"/>
          <w:lang w:eastAsia="zh-CN"/>
        </w:rPr>
      </w:pPr>
      <w:r>
        <w:rPr>
          <w:rFonts w:hint="eastAsia" w:ascii="仿宋" w:hAnsi="仿宋" w:eastAsia="仿宋" w:cs="仿宋"/>
          <w:b/>
          <w:color w:val="0000FF"/>
          <w:sz w:val="28"/>
          <w:szCs w:val="28"/>
          <w:highlight w:val="none"/>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outlineLvl w:val="9"/>
        <w:rPr>
          <w:rFonts w:hint="eastAsia" w:ascii="仿宋" w:hAnsi="仿宋" w:eastAsia="仿宋" w:cs="仿宋"/>
          <w:b/>
          <w:color w:val="auto"/>
          <w:sz w:val="28"/>
          <w:szCs w:val="28"/>
          <w:highlight w:val="none"/>
          <w:lang w:eastAsia="zh-CN"/>
        </w:rPr>
      </w:pPr>
    </w:p>
    <w:p>
      <w:pPr>
        <w:spacing w:line="520" w:lineRule="atLeast"/>
        <w:ind w:right="32"/>
        <w:jc w:val="center"/>
        <w:outlineLvl w:val="0"/>
        <w:rPr>
          <w:rFonts w:hint="eastAsia" w:ascii="仿宋" w:hAnsi="仿宋" w:eastAsia="仿宋" w:cs="仿宋"/>
          <w:b/>
          <w:bCs/>
          <w:color w:val="auto"/>
          <w:sz w:val="44"/>
          <w:szCs w:val="44"/>
        </w:rPr>
      </w:pPr>
      <w:bookmarkStart w:id="220" w:name="_Toc18127"/>
      <w:bookmarkStart w:id="221" w:name="_Toc460703983"/>
      <w:r>
        <w:rPr>
          <w:rFonts w:hint="eastAsia" w:ascii="仿宋" w:hAnsi="仿宋" w:eastAsia="仿宋" w:cs="仿宋"/>
          <w:b/>
          <w:bCs/>
          <w:color w:val="auto"/>
          <w:sz w:val="44"/>
          <w:szCs w:val="44"/>
        </w:rPr>
        <w:t>第四章  采购合同</w:t>
      </w:r>
      <w:bookmarkEnd w:id="220"/>
    </w:p>
    <w:p>
      <w:pPr>
        <w:spacing w:line="520" w:lineRule="atLeast"/>
        <w:ind w:right="32"/>
        <w:jc w:val="right"/>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合同编号：YG-GX(SB)-</w:t>
      </w:r>
    </w:p>
    <w:p>
      <w:pPr>
        <w:spacing w:line="520" w:lineRule="atLeast"/>
        <w:ind w:right="32"/>
        <w:outlineLvl w:val="9"/>
        <w:rPr>
          <w:rFonts w:hint="eastAsia" w:ascii="仿宋" w:hAnsi="仿宋" w:eastAsia="仿宋" w:cs="仿宋"/>
          <w:b/>
          <w:bCs/>
          <w:color w:val="auto"/>
          <w:sz w:val="32"/>
          <w:szCs w:val="32"/>
        </w:rPr>
      </w:pPr>
    </w:p>
    <w:p>
      <w:pPr>
        <w:spacing w:line="360" w:lineRule="auto"/>
        <w:outlineLvl w:val="9"/>
        <w:rPr>
          <w:rFonts w:hint="eastAsia" w:ascii="仿宋" w:hAnsi="仿宋" w:eastAsia="仿宋" w:cs="仿宋"/>
          <w:b/>
          <w:bCs/>
          <w:color w:val="auto"/>
          <w:sz w:val="36"/>
          <w:szCs w:val="44"/>
        </w:rPr>
      </w:pPr>
    </w:p>
    <w:p>
      <w:pPr>
        <w:spacing w:line="360" w:lineRule="auto"/>
        <w:jc w:val="center"/>
        <w:outlineLvl w:val="9"/>
        <w:rPr>
          <w:rFonts w:hint="eastAsia" w:ascii="仿宋" w:hAnsi="仿宋" w:eastAsia="仿宋" w:cs="仿宋"/>
          <w:b/>
          <w:bCs/>
          <w:color w:val="auto"/>
          <w:sz w:val="36"/>
          <w:szCs w:val="44"/>
        </w:rPr>
      </w:pPr>
    </w:p>
    <w:p>
      <w:pPr>
        <w:spacing w:line="360" w:lineRule="auto"/>
        <w:jc w:val="center"/>
        <w:outlineLvl w:val="9"/>
        <w:rPr>
          <w:rFonts w:hint="eastAsia" w:ascii="仿宋" w:hAnsi="仿宋" w:eastAsia="仿宋" w:cs="仿宋"/>
          <w:b/>
          <w:bCs/>
          <w:color w:val="auto"/>
          <w:sz w:val="44"/>
          <w:szCs w:val="44"/>
        </w:rPr>
      </w:pPr>
    </w:p>
    <w:p>
      <w:pPr>
        <w:spacing w:line="360" w:lineRule="auto"/>
        <w:outlineLvl w:val="9"/>
        <w:rPr>
          <w:rFonts w:hint="eastAsia" w:ascii="仿宋" w:hAnsi="仿宋" w:eastAsia="仿宋" w:cs="仿宋"/>
          <w:b/>
          <w:bCs/>
          <w:color w:val="auto"/>
          <w:sz w:val="44"/>
          <w:szCs w:val="44"/>
        </w:rPr>
      </w:pPr>
    </w:p>
    <w:p>
      <w:pPr>
        <w:spacing w:line="360" w:lineRule="auto"/>
        <w:jc w:val="center"/>
        <w:outlineLvl w:val="9"/>
        <w:rPr>
          <w:rFonts w:hint="eastAsia" w:ascii="仿宋" w:hAnsi="仿宋" w:eastAsia="仿宋" w:cs="仿宋"/>
          <w:b/>
          <w:bCs/>
          <w:color w:val="auto"/>
          <w:sz w:val="44"/>
          <w:szCs w:val="44"/>
        </w:rPr>
      </w:pPr>
      <w:r>
        <w:rPr>
          <w:rStyle w:val="51"/>
          <w:rFonts w:hint="eastAsia" w:ascii="仿宋" w:hAnsi="仿宋" w:eastAsia="仿宋" w:cs="仿宋"/>
          <w:color w:val="auto"/>
          <w:sz w:val="24"/>
          <w:u w:val="single"/>
        </w:rPr>
        <w:t xml:space="preserve">             </w:t>
      </w:r>
      <w:r>
        <w:rPr>
          <w:rFonts w:hint="eastAsia" w:ascii="仿宋" w:hAnsi="仿宋" w:eastAsia="仿宋" w:cs="仿宋"/>
          <w:b/>
          <w:bCs/>
          <w:color w:val="auto"/>
          <w:sz w:val="44"/>
          <w:szCs w:val="44"/>
        </w:rPr>
        <w:t>采购合同</w:t>
      </w:r>
    </w:p>
    <w:p>
      <w:pPr>
        <w:spacing w:line="360" w:lineRule="auto"/>
        <w:jc w:val="center"/>
        <w:outlineLvl w:val="9"/>
        <w:rPr>
          <w:rFonts w:hint="eastAsia" w:ascii="仿宋" w:hAnsi="仿宋" w:eastAsia="仿宋" w:cs="仿宋"/>
          <w:b/>
          <w:bCs/>
          <w:color w:val="auto"/>
          <w:sz w:val="32"/>
          <w:szCs w:val="32"/>
        </w:rPr>
      </w:pPr>
    </w:p>
    <w:p>
      <w:pPr>
        <w:spacing w:line="360" w:lineRule="auto"/>
        <w:jc w:val="center"/>
        <w:outlineLvl w:val="9"/>
        <w:rPr>
          <w:rFonts w:hint="eastAsia" w:ascii="仿宋" w:hAnsi="仿宋" w:eastAsia="仿宋" w:cs="仿宋"/>
          <w:b/>
          <w:bCs/>
          <w:color w:val="auto"/>
          <w:sz w:val="32"/>
          <w:szCs w:val="32"/>
        </w:rPr>
      </w:pPr>
    </w:p>
    <w:p>
      <w:pPr>
        <w:spacing w:line="360" w:lineRule="auto"/>
        <w:outlineLvl w:val="9"/>
        <w:rPr>
          <w:rFonts w:hint="eastAsia" w:ascii="仿宋" w:hAnsi="仿宋" w:eastAsia="仿宋" w:cs="仿宋"/>
          <w:b/>
          <w:bCs/>
          <w:color w:val="auto"/>
          <w:sz w:val="32"/>
          <w:szCs w:val="32"/>
        </w:rPr>
      </w:pPr>
    </w:p>
    <w:p>
      <w:pPr>
        <w:spacing w:line="360" w:lineRule="auto"/>
        <w:jc w:val="center"/>
        <w:outlineLvl w:val="9"/>
        <w:rPr>
          <w:rFonts w:hint="eastAsia" w:ascii="仿宋" w:hAnsi="仿宋" w:eastAsia="仿宋" w:cs="仿宋"/>
          <w:b/>
          <w:bCs/>
          <w:color w:val="auto"/>
          <w:sz w:val="32"/>
          <w:szCs w:val="32"/>
        </w:rPr>
      </w:pPr>
    </w:p>
    <w:p>
      <w:pPr>
        <w:spacing w:line="360" w:lineRule="auto"/>
        <w:ind w:firstLine="643" w:firstLineChars="200"/>
        <w:outlineLvl w:val="9"/>
        <w:rPr>
          <w:rFonts w:hint="eastAsia" w:ascii="仿宋" w:hAnsi="仿宋" w:eastAsia="仿宋" w:cs="仿宋"/>
          <w:b/>
          <w:bCs/>
          <w:color w:val="auto"/>
          <w:sz w:val="32"/>
          <w:szCs w:val="32"/>
          <w:u w:val="single"/>
          <w:lang w:eastAsia="zh-CN"/>
        </w:rPr>
      </w:pPr>
      <w:r>
        <w:rPr>
          <w:rFonts w:hint="eastAsia" w:ascii="仿宋" w:hAnsi="仿宋" w:eastAsia="仿宋" w:cs="仿宋"/>
          <w:b/>
          <w:bCs/>
          <w:color w:val="auto"/>
          <w:sz w:val="32"/>
          <w:szCs w:val="32"/>
        </w:rPr>
        <w:t>买方：</w:t>
      </w:r>
      <w:r>
        <w:rPr>
          <w:rFonts w:hint="eastAsia" w:ascii="仿宋" w:hAnsi="仿宋" w:eastAsia="仿宋" w:cs="仿宋"/>
          <w:b/>
          <w:color w:val="auto"/>
          <w:sz w:val="32"/>
          <w:szCs w:val="32"/>
          <w:u w:val="single"/>
          <w:lang w:eastAsia="zh-CN"/>
        </w:rPr>
        <w:t>克拉玛依市克拉玛依区小拐乡人民政府</w:t>
      </w:r>
    </w:p>
    <w:p>
      <w:pPr>
        <w:spacing w:line="360" w:lineRule="auto"/>
        <w:ind w:firstLine="643" w:firstLineChars="200"/>
        <w:outlineLvl w:val="9"/>
        <w:rPr>
          <w:rFonts w:hint="eastAsia" w:ascii="仿宋" w:hAnsi="仿宋" w:eastAsia="仿宋" w:cs="仿宋"/>
          <w:b/>
          <w:bCs/>
          <w:color w:val="auto"/>
          <w:sz w:val="32"/>
          <w:szCs w:val="32"/>
          <w:u w:val="single"/>
        </w:rPr>
      </w:pPr>
      <w:r>
        <w:rPr>
          <w:rFonts w:hint="eastAsia" w:ascii="仿宋" w:hAnsi="仿宋" w:eastAsia="仿宋" w:cs="仿宋"/>
          <w:b/>
          <w:bCs/>
          <w:color w:val="auto"/>
          <w:sz w:val="32"/>
          <w:szCs w:val="32"/>
        </w:rPr>
        <w:t xml:space="preserve">卖方：                   </w:t>
      </w:r>
    </w:p>
    <w:p>
      <w:pPr>
        <w:spacing w:line="360" w:lineRule="auto"/>
        <w:ind w:firstLine="636" w:firstLineChars="198"/>
        <w:outlineLvl w:val="9"/>
        <w:rPr>
          <w:rFonts w:hint="eastAsia" w:ascii="仿宋" w:hAnsi="仿宋" w:eastAsia="仿宋" w:cs="仿宋"/>
          <w:b/>
          <w:bCs/>
          <w:color w:val="auto"/>
          <w:sz w:val="32"/>
          <w:szCs w:val="32"/>
        </w:rPr>
      </w:pPr>
    </w:p>
    <w:p>
      <w:pPr>
        <w:spacing w:line="360" w:lineRule="auto"/>
        <w:ind w:firstLine="643" w:firstLineChars="200"/>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签订日期：    年   月   日</w:t>
      </w:r>
    </w:p>
    <w:p>
      <w:pPr>
        <w:spacing w:line="360" w:lineRule="auto"/>
        <w:ind w:firstLine="643" w:firstLineChars="200"/>
        <w:outlineLvl w:val="9"/>
        <w:rPr>
          <w:rFonts w:hint="eastAsia" w:ascii="仿宋" w:hAnsi="仿宋" w:eastAsia="仿宋" w:cs="仿宋"/>
          <w:b/>
          <w:bCs/>
          <w:color w:val="auto"/>
          <w:sz w:val="32"/>
          <w:szCs w:val="32"/>
        </w:rPr>
        <w:sectPr>
          <w:footerReference r:id="rId5" w:type="default"/>
          <w:footerReference r:id="rId6" w:type="even"/>
          <w:pgSz w:w="11906" w:h="16838"/>
          <w:pgMar w:top="1440" w:right="1800" w:bottom="1440" w:left="1800" w:header="851" w:footer="992" w:gutter="0"/>
          <w:pgNumType w:fmt="decimal" w:start="1"/>
          <w:cols w:space="720" w:num="1"/>
          <w:docGrid w:type="lines" w:linePitch="312" w:charSpace="0"/>
        </w:sectPr>
      </w:pPr>
      <w:r>
        <w:rPr>
          <w:rFonts w:hint="eastAsia" w:ascii="仿宋" w:hAnsi="仿宋" w:eastAsia="仿宋" w:cs="仿宋"/>
          <w:b/>
          <w:bCs/>
          <w:color w:val="auto"/>
          <w:sz w:val="32"/>
          <w:szCs w:val="32"/>
        </w:rPr>
        <w:t>签订地点：</w:t>
      </w:r>
      <w:r>
        <w:rPr>
          <w:rFonts w:hint="eastAsia" w:ascii="仿宋" w:hAnsi="仿宋" w:eastAsia="仿宋" w:cs="仿宋"/>
          <w:b/>
          <w:bCs/>
          <w:color w:val="auto"/>
          <w:sz w:val="32"/>
          <w:szCs w:val="32"/>
          <w:u w:val="single"/>
        </w:rPr>
        <w:t>克拉玛依市克拉玛依区</w:t>
      </w:r>
    </w:p>
    <w:p>
      <w:pPr>
        <w:spacing w:line="580" w:lineRule="exact"/>
        <w:jc w:val="center"/>
        <w:outlineLvl w:val="9"/>
        <w:rPr>
          <w:rFonts w:hint="eastAsia" w:ascii="仿宋" w:hAnsi="仿宋" w:eastAsia="仿宋" w:cs="仿宋"/>
          <w:b/>
          <w:color w:val="auto"/>
          <w:sz w:val="32"/>
          <w:szCs w:val="32"/>
        </w:rPr>
      </w:pPr>
      <w:r>
        <w:rPr>
          <w:rFonts w:hint="eastAsia" w:ascii="仿宋" w:hAnsi="仿宋" w:eastAsia="仿宋" w:cs="仿宋"/>
          <w:b/>
          <w:color w:val="auto"/>
          <w:sz w:val="32"/>
          <w:szCs w:val="32"/>
        </w:rPr>
        <w:t>采购合同</w:t>
      </w:r>
    </w:p>
    <w:p>
      <w:pPr>
        <w:spacing w:line="580" w:lineRule="exact"/>
        <w:jc w:val="center"/>
        <w:outlineLvl w:val="9"/>
        <w:rPr>
          <w:rFonts w:hint="eastAsia" w:ascii="仿宋" w:hAnsi="仿宋" w:eastAsia="仿宋" w:cs="仿宋"/>
          <w:bCs/>
          <w:color w:val="auto"/>
          <w:sz w:val="32"/>
          <w:szCs w:val="32"/>
        </w:rPr>
      </w:pPr>
    </w:p>
    <w:p>
      <w:pPr>
        <w:adjustRightInd w:val="0"/>
        <w:snapToGrid w:val="0"/>
        <w:spacing w:line="360" w:lineRule="auto"/>
        <w:outlineLvl w:val="9"/>
        <w:rPr>
          <w:rFonts w:hint="eastAsia" w:ascii="仿宋" w:hAnsi="仿宋" w:eastAsia="仿宋" w:cs="仿宋"/>
          <w:color w:val="auto"/>
          <w:sz w:val="24"/>
          <w:u w:val="single"/>
          <w:lang w:eastAsia="zh-CN"/>
        </w:rPr>
      </w:pPr>
      <w:r>
        <w:rPr>
          <w:rFonts w:hint="eastAsia" w:ascii="仿宋" w:hAnsi="仿宋" w:eastAsia="仿宋" w:cs="仿宋"/>
          <w:color w:val="auto"/>
          <w:sz w:val="24"/>
        </w:rPr>
        <w:t xml:space="preserve">买方（简称“甲方”）： </w:t>
      </w:r>
      <w:r>
        <w:rPr>
          <w:rFonts w:hint="eastAsia" w:ascii="仿宋" w:hAnsi="仿宋" w:eastAsia="仿宋" w:cs="仿宋"/>
          <w:color w:val="auto"/>
          <w:sz w:val="24"/>
          <w:lang w:eastAsia="zh-CN"/>
        </w:rPr>
        <w:t>克拉玛依市克拉玛依区小拐乡人民政府</w:t>
      </w:r>
    </w:p>
    <w:p>
      <w:pPr>
        <w:adjustRightInd w:val="0"/>
        <w:snapToGrid w:val="0"/>
        <w:spacing w:line="360" w:lineRule="auto"/>
        <w:outlineLvl w:val="9"/>
        <w:rPr>
          <w:rFonts w:hint="eastAsia" w:ascii="仿宋" w:hAnsi="仿宋" w:eastAsia="仿宋" w:cs="仿宋"/>
          <w:color w:val="auto"/>
          <w:sz w:val="24"/>
          <w:lang w:eastAsia="zh-CN"/>
        </w:rPr>
      </w:pPr>
      <w:r>
        <w:rPr>
          <w:rFonts w:hint="eastAsia" w:ascii="仿宋" w:hAnsi="仿宋" w:eastAsia="仿宋" w:cs="仿宋"/>
          <w:color w:val="auto"/>
          <w:sz w:val="24"/>
        </w:rPr>
        <w:t>住所地：</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统一社会信用代码：</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联系人：</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联系电话：</w:t>
      </w:r>
    </w:p>
    <w:p>
      <w:pPr>
        <w:adjustRightInd w:val="0"/>
        <w:snapToGrid w:val="0"/>
        <w:spacing w:line="360" w:lineRule="auto"/>
        <w:outlineLvl w:val="9"/>
        <w:rPr>
          <w:rFonts w:hint="eastAsia" w:ascii="仿宋" w:hAnsi="仿宋" w:eastAsia="仿宋" w:cs="仿宋"/>
          <w:color w:val="auto"/>
          <w:sz w:val="24"/>
        </w:rPr>
      </w:pP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卖方（简称“乙方”）：_____________________</w:t>
      </w:r>
    </w:p>
    <w:p>
      <w:pPr>
        <w:adjustRightInd w:val="0"/>
        <w:snapToGrid w:val="0"/>
        <w:spacing w:line="360" w:lineRule="auto"/>
        <w:outlineLvl w:val="9"/>
        <w:rPr>
          <w:rFonts w:hint="eastAsia" w:ascii="仿宋" w:hAnsi="仿宋" w:eastAsia="仿宋" w:cs="仿宋"/>
          <w:color w:val="auto"/>
          <w:sz w:val="24"/>
          <w:u w:val="single"/>
        </w:rPr>
      </w:pPr>
      <w:r>
        <w:rPr>
          <w:rFonts w:hint="eastAsia" w:ascii="仿宋" w:hAnsi="仿宋" w:eastAsia="仿宋" w:cs="仿宋"/>
          <w:color w:val="auto"/>
          <w:sz w:val="24"/>
        </w:rPr>
        <w:t>住所地：_____________________</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 xml:space="preserve">统一社会信用代码：_____________________  </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法定代表人（负责人）：_____________________</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联系人：</w:t>
      </w:r>
    </w:p>
    <w:p>
      <w:pPr>
        <w:adjustRightInd w:val="0"/>
        <w:snapToGrid w:val="0"/>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联系电话：_____________________</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买方和卖方以下合称为“双方”，单独称为“买方”、“卖方”或“甲方”、“乙方”。</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根据</w:t>
      </w:r>
      <w:r>
        <w:rPr>
          <w:rStyle w:val="51"/>
          <w:rFonts w:hint="eastAsia" w:ascii="仿宋" w:hAnsi="仿宋" w:eastAsia="仿宋" w:cs="仿宋"/>
          <w:color w:val="auto"/>
          <w:sz w:val="24"/>
          <w:u w:val="single"/>
        </w:rPr>
        <w:t>《中华人民共和国民法典》</w:t>
      </w:r>
      <w:r>
        <w:rPr>
          <w:rStyle w:val="51"/>
          <w:rFonts w:hint="eastAsia" w:ascii="仿宋" w:hAnsi="仿宋" w:eastAsia="仿宋" w:cs="仿宋"/>
          <w:color w:val="auto"/>
          <w:sz w:val="24"/>
        </w:rPr>
        <w:t>及相关法律法规的规定，双方本着自愿、平等、公平、诚实信用的原则，甲方就【</w:t>
      </w:r>
      <w:r>
        <w:rPr>
          <w:rStyle w:val="51"/>
          <w:rFonts w:hint="eastAsia" w:ascii="仿宋" w:hAnsi="仿宋" w:eastAsia="仿宋" w:cs="仿宋"/>
          <w:color w:val="auto"/>
          <w:sz w:val="24"/>
          <w:u w:val="single"/>
        </w:rPr>
        <w:t xml:space="preserve">             采购】</w:t>
      </w:r>
      <w:r>
        <w:rPr>
          <w:rStyle w:val="51"/>
          <w:rFonts w:hint="eastAsia" w:ascii="仿宋" w:hAnsi="仿宋" w:eastAsia="仿宋" w:cs="仿宋"/>
          <w:color w:val="auto"/>
          <w:sz w:val="24"/>
        </w:rPr>
        <w:t>事宜协商一致，订立本合同，以资共同遵守。</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中加粗字体内容,乙方也已充分了解并同意。</w:t>
      </w:r>
    </w:p>
    <w:p>
      <w:pPr>
        <w:spacing w:line="360" w:lineRule="auto"/>
        <w:outlineLvl w:val="9"/>
        <w:rPr>
          <w:rFonts w:hint="eastAsia" w:ascii="仿宋" w:hAnsi="仿宋" w:eastAsia="仿宋" w:cs="仿宋"/>
          <w:b/>
          <w:bCs/>
          <w:color w:val="auto"/>
          <w:sz w:val="24"/>
        </w:rPr>
      </w:pPr>
      <w:bookmarkStart w:id="222" w:name="_Toc460920302"/>
      <w:bookmarkStart w:id="223" w:name="_Toc460587736"/>
      <w:bookmarkStart w:id="224" w:name="_Toc460851391"/>
      <w:r>
        <w:rPr>
          <w:rFonts w:hint="eastAsia" w:ascii="仿宋" w:hAnsi="仿宋" w:eastAsia="仿宋" w:cs="仿宋"/>
          <w:b/>
          <w:bCs/>
          <w:color w:val="auto"/>
          <w:sz w:val="24"/>
        </w:rPr>
        <w:t>1、合同标的及质量要求</w:t>
      </w:r>
      <w:bookmarkEnd w:id="222"/>
      <w:bookmarkEnd w:id="223"/>
      <w:bookmarkEnd w:id="224"/>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1.1合同标的</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本合同的标的为：</w:t>
      </w:r>
      <w:r>
        <w:rPr>
          <w:rStyle w:val="51"/>
          <w:rFonts w:hint="eastAsia" w:ascii="仿宋" w:hAnsi="仿宋" w:eastAsia="仿宋" w:cs="仿宋"/>
          <w:color w:val="auto"/>
          <w:sz w:val="24"/>
          <w:u w:val="single"/>
        </w:rPr>
        <w:t xml:space="preserve">                           </w:t>
      </w:r>
      <w:r>
        <w:rPr>
          <w:rStyle w:val="51"/>
          <w:rFonts w:hint="eastAsia" w:ascii="仿宋" w:hAnsi="仿宋" w:eastAsia="仿宋" w:cs="仿宋"/>
          <w:color w:val="auto"/>
          <w:sz w:val="24"/>
        </w:rPr>
        <w:t>。</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1.2数量</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买方在本合同项下向卖方采购的货物明细为：</w:t>
      </w:r>
      <w:r>
        <w:rPr>
          <w:rStyle w:val="51"/>
          <w:rFonts w:hint="eastAsia" w:ascii="仿宋" w:hAnsi="仿宋" w:eastAsia="仿宋" w:cs="仿宋"/>
          <w:color w:val="auto"/>
          <w:sz w:val="24"/>
          <w:u w:val="single"/>
        </w:rPr>
        <w:t>见附件一《货物明细表》。</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1.3质量要求</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1.3.1</w:t>
      </w:r>
      <w:r>
        <w:rPr>
          <w:rStyle w:val="51"/>
          <w:rFonts w:hint="eastAsia" w:ascii="仿宋" w:hAnsi="仿宋" w:eastAsia="仿宋" w:cs="仿宋"/>
          <w:b/>
          <w:color w:val="auto"/>
          <w:sz w:val="24"/>
        </w:rPr>
        <w:t>货物的质量标准必须符合下列标准</w:t>
      </w:r>
      <w:r>
        <w:rPr>
          <w:rStyle w:val="51"/>
          <w:rFonts w:hint="eastAsia" w:ascii="仿宋" w:hAnsi="仿宋" w:eastAsia="仿宋" w:cs="仿宋"/>
          <w:color w:val="auto"/>
          <w:sz w:val="24"/>
        </w:rPr>
        <w:t>：</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1.3.1.1 甲方提出的产品接收标准及要求(详见附件一《货物明细表》);</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1.3.1.2 国家及产品生产、运输及出售地有关部门法律、法规、规章、规范性文件等规定的标准及要求;</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1.3.1.3 行业通用的或者依照产品性质应具备的质量、技术标准及要求;</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1.3.1.4 以上各标准及要求不一致的,以较高者为准。</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1.3.2卖方应从生产商或指定生产商采购符合法律规定及双方约定的标准及技术参数的货物，向买方提供产品合格证明，并对货物的质量负责。卖方是代理商而非生产商的，应当提供相应生产商的授权销售证明并提供复印件在买方处备案；</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1.3.3卖方应保证提供的货物（含配套货物（如有）等）均为全新、未经使用；</w:t>
      </w:r>
    </w:p>
    <w:p>
      <w:pPr>
        <w:spacing w:line="360" w:lineRule="auto"/>
        <w:ind w:firstLine="482" w:firstLineChars="200"/>
        <w:outlineLvl w:val="9"/>
        <w:rPr>
          <w:rStyle w:val="51"/>
          <w:rFonts w:hint="eastAsia" w:ascii="仿宋" w:hAnsi="仿宋" w:eastAsia="仿宋" w:cs="仿宋"/>
          <w:b/>
          <w:bCs/>
          <w:color w:val="auto"/>
          <w:sz w:val="24"/>
        </w:rPr>
      </w:pPr>
      <w:r>
        <w:rPr>
          <w:rStyle w:val="51"/>
          <w:rFonts w:hint="eastAsia" w:ascii="仿宋" w:hAnsi="仿宋" w:eastAsia="仿宋" w:cs="仿宋"/>
          <w:b/>
          <w:bCs/>
          <w:color w:val="auto"/>
          <w:sz w:val="24"/>
        </w:rPr>
        <w:t>1.3.4卖方承诺本合同项下的产品与投标文件、书面/口头承诺、谈判过程中的展示样品（如有）完全一致或更好。</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1.4 质量保证</w:t>
      </w:r>
    </w:p>
    <w:p>
      <w:pPr>
        <w:spacing w:line="360" w:lineRule="auto"/>
        <w:ind w:firstLine="482" w:firstLineChars="200"/>
        <w:outlineLvl w:val="9"/>
        <w:rPr>
          <w:rFonts w:hint="eastAsia" w:ascii="仿宋" w:hAnsi="仿宋" w:eastAsia="仿宋" w:cs="仿宋"/>
          <w:b/>
          <w:color w:val="auto"/>
          <w:sz w:val="24"/>
        </w:rPr>
      </w:pPr>
      <w:r>
        <w:rPr>
          <w:rFonts w:hint="eastAsia" w:ascii="仿宋" w:hAnsi="仿宋" w:eastAsia="仿宋" w:cs="仿宋"/>
          <w:b/>
          <w:color w:val="auto"/>
          <w:sz w:val="24"/>
        </w:rPr>
        <w:t>1.4.1 乙方应保证其向甲方提供的产品质量,不给甲方造成名誉、商誉等方面的负面影响,如乙方产品发生问题,甲方应于得知后以书面、邮件、微信等方式通知乙方。乙方应予积极协调解决,否则,因此导致甲方下列商誉损失的,乙方除赔偿实际损失外,还应按甲方实际损失的2倍向甲方承担违约金。甲方商誉损失包括:</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1.4.1.1司法机关出具判处甲方因此承担责任的生效判决书、裁定书或向甲方发出司法建议函；</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 xml:space="preserve">1.4.1.2 甲方因此被行政机关下达处罚通知书; </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 xml:space="preserve">1.4.1.3 甲方因此被媒体曝光;或虽未被曝光,但社会公众已知悉乙方提供的产品或服务存在问题的; </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 xml:space="preserve">1.4.1.4 所涉产品或服务可能被有关部门、机构、质量监督部门等公告的; </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 xml:space="preserve">1.4.1.5 累计造成三起或以上的投诉且经甲方初步判定投诉成立。 </w:t>
      </w:r>
    </w:p>
    <w:p>
      <w:pPr>
        <w:spacing w:line="360" w:lineRule="auto"/>
        <w:ind w:firstLine="482" w:firstLineChars="200"/>
        <w:outlineLvl w:val="9"/>
        <w:rPr>
          <w:rFonts w:hint="eastAsia" w:ascii="仿宋" w:hAnsi="仿宋" w:eastAsia="仿宋" w:cs="仿宋"/>
          <w:b/>
          <w:color w:val="auto"/>
          <w:sz w:val="24"/>
        </w:rPr>
      </w:pPr>
      <w:r>
        <w:rPr>
          <w:rFonts w:hint="eastAsia" w:ascii="仿宋" w:hAnsi="仿宋" w:eastAsia="仿宋" w:cs="仿宋"/>
          <w:b/>
          <w:color w:val="auto"/>
          <w:sz w:val="24"/>
        </w:rPr>
        <w:t>1.4.2 为避免损失的扩大,甲方有权自行与第三方在国家司法机关,或行政机关或其他有关部门主持下达成调解或和解(甲方应通知乙方参与调解或和解过程,乙方应予以参加)。同时甲方有权从乙方未结货款中直接扣除前述调解或和解相应金额款项直接支付给第三方, 如乙方未结货款不足以支付前述调解或和解款项的,甲方有权根据调解书或和解书要求乙方直接付款给第三方。但无论甲方是否自行和解,均不免除乙方赔偿甲方实际损失和商誉损失(如有)的义务。</w:t>
      </w:r>
    </w:p>
    <w:p>
      <w:pPr>
        <w:spacing w:line="360" w:lineRule="auto"/>
        <w:ind w:firstLine="482" w:firstLineChars="200"/>
        <w:outlineLvl w:val="9"/>
        <w:rPr>
          <w:rFonts w:hint="eastAsia" w:ascii="仿宋" w:hAnsi="仿宋" w:eastAsia="仿宋" w:cs="仿宋"/>
          <w:b/>
          <w:color w:val="auto"/>
          <w:sz w:val="24"/>
        </w:rPr>
      </w:pPr>
      <w:r>
        <w:rPr>
          <w:rFonts w:hint="eastAsia" w:ascii="仿宋" w:hAnsi="仿宋" w:eastAsia="仿宋" w:cs="仿宋"/>
          <w:b/>
          <w:color w:val="auto"/>
          <w:sz w:val="24"/>
        </w:rPr>
        <w:t>1.4.3 乙方了解并同意,甲方对乙方产品及相关资质证明、权利文件等的要求、审查、检测, 均属于形式审查,并不能排除或减轻乙方产品质量问题及相关资质证明、权利文件虚假等违约责任,由此给甲方及其他相关方造成损失的,乙方应按本合同约定承担全部赔偿责任, 且不得以经过甲方相关审查、检测等作为其责任减免的理由。</w:t>
      </w:r>
    </w:p>
    <w:p>
      <w:pPr>
        <w:spacing w:line="360" w:lineRule="auto"/>
        <w:ind w:firstLine="482" w:firstLineChars="200"/>
        <w:outlineLvl w:val="9"/>
        <w:rPr>
          <w:rFonts w:hint="eastAsia" w:ascii="仿宋" w:hAnsi="仿宋" w:eastAsia="仿宋" w:cs="仿宋"/>
          <w:b/>
          <w:color w:val="auto"/>
          <w:sz w:val="24"/>
        </w:rPr>
      </w:pPr>
      <w:r>
        <w:rPr>
          <w:rFonts w:hint="eastAsia" w:ascii="仿宋" w:hAnsi="仿宋" w:eastAsia="仿宋" w:cs="仿宋"/>
          <w:b/>
          <w:color w:val="auto"/>
          <w:sz w:val="24"/>
        </w:rPr>
        <w:t xml:space="preserve">1.4.4 甲方有权自行或委托有资质的检验机构,不定期地对乙方供应的产品进行采样抽检，对抽检不合格的产品,乙方承担检测费用。且甲方有权立即取消乙方供应商资格。 </w:t>
      </w:r>
    </w:p>
    <w:p>
      <w:pPr>
        <w:spacing w:line="360" w:lineRule="auto"/>
        <w:ind w:firstLine="482" w:firstLineChars="200"/>
        <w:outlineLvl w:val="9"/>
        <w:rPr>
          <w:rStyle w:val="51"/>
          <w:rFonts w:hint="eastAsia" w:ascii="仿宋" w:hAnsi="仿宋" w:eastAsia="仿宋" w:cs="仿宋"/>
          <w:b/>
          <w:color w:val="auto"/>
          <w:sz w:val="24"/>
        </w:rPr>
      </w:pPr>
    </w:p>
    <w:p>
      <w:pPr>
        <w:spacing w:line="360" w:lineRule="auto"/>
        <w:outlineLvl w:val="9"/>
        <w:rPr>
          <w:rStyle w:val="51"/>
          <w:rFonts w:hint="eastAsia" w:ascii="仿宋" w:hAnsi="仿宋" w:eastAsia="仿宋" w:cs="仿宋"/>
          <w:b/>
          <w:color w:val="auto"/>
          <w:sz w:val="24"/>
        </w:rPr>
      </w:pPr>
      <w:bookmarkStart w:id="225" w:name="_Toc460920303"/>
      <w:bookmarkStart w:id="226" w:name="_Toc460587737"/>
      <w:bookmarkStart w:id="227" w:name="_Toc460851392"/>
      <w:r>
        <w:rPr>
          <w:rStyle w:val="51"/>
          <w:rFonts w:hint="eastAsia" w:ascii="仿宋" w:hAnsi="仿宋" w:eastAsia="仿宋" w:cs="仿宋"/>
          <w:b/>
          <w:color w:val="auto"/>
          <w:sz w:val="24"/>
        </w:rPr>
        <w:t>2、货物包装</w:t>
      </w:r>
      <w:bookmarkEnd w:id="225"/>
      <w:bookmarkEnd w:id="226"/>
      <w:bookmarkEnd w:id="227"/>
    </w:p>
    <w:p>
      <w:pPr>
        <w:spacing w:line="360" w:lineRule="auto"/>
        <w:ind w:firstLine="480" w:firstLineChars="200"/>
        <w:outlineLvl w:val="9"/>
        <w:rPr>
          <w:rStyle w:val="51"/>
          <w:rFonts w:hint="eastAsia" w:ascii="仿宋" w:hAnsi="仿宋" w:eastAsia="仿宋" w:cs="仿宋"/>
          <w:b/>
          <w:bCs/>
          <w:color w:val="auto"/>
          <w:sz w:val="24"/>
        </w:rPr>
      </w:pPr>
      <w:r>
        <w:rPr>
          <w:rStyle w:val="51"/>
          <w:rFonts w:hint="eastAsia" w:ascii="仿宋" w:hAnsi="仿宋" w:eastAsia="仿宋" w:cs="仿宋"/>
          <w:color w:val="auto"/>
          <w:sz w:val="24"/>
        </w:rPr>
        <w:t>2.1包装标准：本合同中约定的货物包装【必须符合国家规定的包装标准】，货物必须使用适于原厂标准出厂包装。包装费用由乙方单独承担,不得向甲方另计另收。包装必须坚固，适合远程及多次搬运，适宜于长途运输，防湿、防潮、防锈、防蚀、防震荡。</w:t>
      </w:r>
      <w:r>
        <w:rPr>
          <w:rStyle w:val="51"/>
          <w:rFonts w:hint="eastAsia" w:ascii="仿宋" w:hAnsi="仿宋" w:eastAsia="仿宋" w:cs="仿宋"/>
          <w:b/>
          <w:bCs/>
          <w:color w:val="auto"/>
          <w:sz w:val="24"/>
        </w:rPr>
        <w:t>凡由于对货物包装不当或采取防护措施不充分致使货物损坏、丢失以致影响买方对货物的使用时，买方有权选择要求卖方降低价格或者在收到买方通知后</w:t>
      </w:r>
      <w:r>
        <w:rPr>
          <w:rStyle w:val="51"/>
          <w:rFonts w:hint="eastAsia" w:ascii="仿宋" w:hAnsi="仿宋" w:eastAsia="仿宋" w:cs="仿宋"/>
          <w:b/>
          <w:bCs/>
          <w:color w:val="auto"/>
          <w:sz w:val="24"/>
          <w:u w:val="single"/>
        </w:rPr>
        <w:t>3</w:t>
      </w:r>
      <w:r>
        <w:rPr>
          <w:rStyle w:val="51"/>
          <w:rFonts w:hint="eastAsia" w:ascii="仿宋" w:hAnsi="仿宋" w:eastAsia="仿宋" w:cs="仿宋"/>
          <w:b/>
          <w:bCs/>
          <w:color w:val="auto"/>
          <w:sz w:val="24"/>
        </w:rPr>
        <w:t>日内予以免费的修理、更换或补发货，并承担因此给买方造成的全部损失，否则，卖方应承担本合同第十三条约定的违约责任。</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2.2 包装物及标识的具体要求：</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2.2.1包括松散配件在内的所有包装箱应由卖方做出标记，注明合同号且应在包装箱的两侧显著标明下列内容：合同号、货物名称及件数、运输标记、收货人、目的地、箱号、毛重／净重、尺寸（长X宽X高）。此外，包装箱内应附有产品合格证或报关单、商检证、使用说明书或操作指南等说明。</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2.2.2按运输中每个集装箱的特性及不同要求，包装还应标明“小心轻放”，“此面向上”，“保持干燥”等中文字样。</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2.2.3卖方应对包装箱内的每种配件和辅料（如有）进行标签，注明“备件”或“工具”，并注明合同号、箱号，如任何配件与标的物分装，则该配件须注明配件名称、相应的标的物名称及其在安装图纸的编号。</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2.2.4如果包装箱内货物较重或体积较大，卖方应在包装箱上用行业贸易中通用的运输标志标出其重心位置和起吊位置，便于装卸和搬运。</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2.2.5如果卖方供应的货物属于易燃、易爆、有毒、有腐蚀性、有放射性的危险货物，则卖方应按国家有关危险货物规定对危险物品妥善包装，作出危险物的标志和标签，并将有关危险物品的名称、性质和防范措施书面材料提交买方。</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2.3每个包装箱应由卖方附装箱清单。</w:t>
      </w:r>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2.4</w:t>
      </w:r>
      <w:r>
        <w:rPr>
          <w:rStyle w:val="51"/>
          <w:rFonts w:hint="eastAsia" w:ascii="仿宋" w:hAnsi="仿宋" w:eastAsia="仿宋" w:cs="仿宋"/>
          <w:b/>
          <w:color w:val="auto"/>
          <w:sz w:val="24"/>
        </w:rPr>
        <w:t>除双方另有约定外，上述货物包装费用由卖方承担。</w:t>
      </w:r>
    </w:p>
    <w:p>
      <w:pPr>
        <w:spacing w:line="360" w:lineRule="auto"/>
        <w:ind w:firstLine="482" w:firstLineChars="200"/>
        <w:outlineLvl w:val="9"/>
        <w:rPr>
          <w:rFonts w:hint="eastAsia" w:ascii="仿宋" w:hAnsi="仿宋" w:eastAsia="仿宋" w:cs="仿宋"/>
          <w:b/>
          <w:color w:val="auto"/>
          <w:sz w:val="24"/>
        </w:rPr>
      </w:pPr>
      <w:r>
        <w:rPr>
          <w:rStyle w:val="51"/>
          <w:rFonts w:hint="eastAsia" w:ascii="仿宋" w:hAnsi="仿宋" w:eastAsia="仿宋" w:cs="仿宋"/>
          <w:b/>
          <w:color w:val="auto"/>
          <w:sz w:val="24"/>
        </w:rPr>
        <w:t xml:space="preserve">2.5 </w:t>
      </w:r>
      <w:r>
        <w:rPr>
          <w:rFonts w:hint="eastAsia" w:ascii="仿宋" w:hAnsi="仿宋" w:eastAsia="仿宋" w:cs="仿宋"/>
          <w:b/>
          <w:color w:val="auto"/>
          <w:sz w:val="24"/>
        </w:rPr>
        <w:t>包装物的回收由卖方负责，卖方未按照约定回收包装物或回收不当的，买受人有权委托第三方对包装物进行回收，由此产生的回收费用由卖方承担，同时买方有权按照合同金额5%要求卖方支付违约金。</w:t>
      </w:r>
    </w:p>
    <w:p>
      <w:pPr>
        <w:spacing w:line="360" w:lineRule="auto"/>
        <w:outlineLvl w:val="9"/>
        <w:rPr>
          <w:rStyle w:val="51"/>
          <w:rFonts w:hint="eastAsia" w:ascii="仿宋" w:hAnsi="仿宋" w:eastAsia="仿宋" w:cs="仿宋"/>
          <w:b/>
          <w:color w:val="auto"/>
          <w:sz w:val="24"/>
        </w:rPr>
      </w:pPr>
      <w:bookmarkStart w:id="228" w:name="_Toc460920304"/>
      <w:bookmarkStart w:id="229" w:name="_Toc460851393"/>
      <w:bookmarkStart w:id="230" w:name="_Toc460587738"/>
      <w:r>
        <w:rPr>
          <w:rStyle w:val="51"/>
          <w:rFonts w:hint="eastAsia" w:ascii="仿宋" w:hAnsi="仿宋" w:eastAsia="仿宋" w:cs="仿宋"/>
          <w:b/>
          <w:color w:val="auto"/>
          <w:sz w:val="24"/>
        </w:rPr>
        <w:t>3、货物运输和保险</w:t>
      </w:r>
      <w:bookmarkEnd w:id="228"/>
      <w:bookmarkEnd w:id="229"/>
      <w:bookmarkEnd w:id="230"/>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3.1运输方式：本合同下货物运输方式为</w:t>
      </w:r>
      <w:r>
        <w:rPr>
          <w:rStyle w:val="51"/>
          <w:rFonts w:hint="eastAsia" w:ascii="仿宋" w:hAnsi="仿宋" w:eastAsia="仿宋" w:cs="仿宋"/>
          <w:color w:val="auto"/>
          <w:sz w:val="24"/>
          <w:u w:val="single"/>
        </w:rPr>
        <w:t>航空/陆运</w:t>
      </w:r>
      <w:r>
        <w:rPr>
          <w:rStyle w:val="51"/>
          <w:rFonts w:hint="eastAsia" w:ascii="仿宋" w:hAnsi="仿宋" w:eastAsia="仿宋" w:cs="仿宋"/>
          <w:color w:val="auto"/>
          <w:sz w:val="24"/>
        </w:rPr>
        <w:t>。</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3.2货运信息：</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3.2.1货物发送地点：</w:t>
      </w:r>
    </w:p>
    <w:p>
      <w:pPr>
        <w:spacing w:line="360" w:lineRule="auto"/>
        <w:ind w:firstLine="480" w:firstLineChars="200"/>
        <w:outlineLvl w:val="9"/>
        <w:rPr>
          <w:rStyle w:val="51"/>
          <w:rFonts w:hint="eastAsia" w:ascii="仿宋" w:hAnsi="仿宋" w:eastAsia="仿宋" w:cs="仿宋"/>
          <w:color w:val="auto"/>
          <w:sz w:val="24"/>
          <w:u w:val="single"/>
          <w:lang w:eastAsia="zh-CN"/>
        </w:rPr>
      </w:pPr>
      <w:r>
        <w:rPr>
          <w:rStyle w:val="51"/>
          <w:rFonts w:hint="eastAsia" w:ascii="仿宋" w:hAnsi="仿宋" w:eastAsia="仿宋" w:cs="仿宋"/>
          <w:color w:val="auto"/>
          <w:sz w:val="24"/>
        </w:rPr>
        <w:t>3.2.2货物到达地点：</w:t>
      </w:r>
    </w:p>
    <w:p>
      <w:pPr>
        <w:spacing w:line="360" w:lineRule="auto"/>
        <w:ind w:firstLine="480" w:firstLineChars="200"/>
        <w:outlineLvl w:val="9"/>
        <w:rPr>
          <w:rStyle w:val="51"/>
          <w:rFonts w:hint="eastAsia" w:ascii="仿宋" w:hAnsi="仿宋" w:eastAsia="仿宋" w:cs="仿宋"/>
          <w:color w:val="auto"/>
          <w:sz w:val="24"/>
          <w:u w:val="single"/>
        </w:rPr>
      </w:pPr>
      <w:r>
        <w:rPr>
          <w:rStyle w:val="51"/>
          <w:rFonts w:hint="eastAsia" w:ascii="仿宋" w:hAnsi="仿宋" w:eastAsia="仿宋" w:cs="仿宋"/>
          <w:color w:val="auto"/>
          <w:sz w:val="24"/>
        </w:rPr>
        <w:t>3.2.3收货人名称：</w:t>
      </w:r>
    </w:p>
    <w:p>
      <w:pPr>
        <w:spacing w:line="360" w:lineRule="auto"/>
        <w:ind w:firstLine="480" w:firstLineChars="200"/>
        <w:outlineLvl w:val="9"/>
        <w:rPr>
          <w:rStyle w:val="51"/>
          <w:rFonts w:hint="eastAsia" w:ascii="仿宋" w:hAnsi="仿宋" w:eastAsia="仿宋" w:cs="仿宋"/>
          <w:color w:val="auto"/>
          <w:sz w:val="24"/>
          <w:u w:val="single"/>
        </w:rPr>
      </w:pPr>
      <w:r>
        <w:rPr>
          <w:rStyle w:val="51"/>
          <w:rFonts w:hint="eastAsia" w:ascii="仿宋" w:hAnsi="仿宋" w:eastAsia="仿宋" w:cs="仿宋"/>
          <w:color w:val="auto"/>
          <w:sz w:val="24"/>
        </w:rPr>
        <w:t>3.2.4卖方交货时间（到货时间）：</w:t>
      </w:r>
      <w:r>
        <w:rPr>
          <w:rStyle w:val="51"/>
          <w:rFonts w:hint="eastAsia" w:ascii="仿宋" w:hAnsi="仿宋" w:eastAsia="仿宋" w:cs="仿宋"/>
          <w:color w:val="auto"/>
          <w:sz w:val="24"/>
          <w:u w:val="single"/>
        </w:rPr>
        <w:t>详见附件一《货物明细表》</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3.3装运条款</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3.3.1未经买方书面同意，卖方不得改变约定的或通常的运输路线、收货人及收货地点，否则引起的一切费用应由卖方承担。</w:t>
      </w:r>
    </w:p>
    <w:p>
      <w:pPr>
        <w:pStyle w:val="52"/>
        <w:tabs>
          <w:tab w:val="left" w:pos="360"/>
        </w:tabs>
        <w:spacing w:before="0" w:after="0" w:line="360" w:lineRule="auto"/>
        <w:ind w:firstLine="480" w:firstLineChars="200"/>
        <w:outlineLvl w:val="9"/>
        <w:rPr>
          <w:rFonts w:hint="eastAsia" w:ascii="仿宋" w:hAnsi="仿宋" w:eastAsia="仿宋" w:cs="仿宋"/>
          <w:color w:val="auto"/>
          <w:kern w:val="2"/>
          <w:sz w:val="24"/>
          <w:szCs w:val="24"/>
          <w:lang w:eastAsia="zh-CN"/>
        </w:rPr>
      </w:pPr>
      <w:r>
        <w:rPr>
          <w:rStyle w:val="51"/>
          <w:rFonts w:hint="eastAsia" w:ascii="仿宋" w:hAnsi="仿宋" w:eastAsia="仿宋" w:cs="仿宋"/>
          <w:color w:val="auto"/>
          <w:sz w:val="24"/>
          <w:lang w:eastAsia="zh-CN"/>
        </w:rPr>
        <w:t>3.3.2</w:t>
      </w:r>
      <w:r>
        <w:rPr>
          <w:rFonts w:hint="eastAsia" w:ascii="仿宋" w:hAnsi="仿宋" w:eastAsia="仿宋" w:cs="仿宋"/>
          <w:color w:val="auto"/>
          <w:sz w:val="24"/>
          <w:lang w:eastAsia="zh-CN"/>
        </w:rPr>
        <w:t>卖方</w:t>
      </w:r>
      <w:r>
        <w:rPr>
          <w:rStyle w:val="51"/>
          <w:rFonts w:hint="eastAsia" w:ascii="仿宋" w:hAnsi="仿宋" w:eastAsia="仿宋" w:cs="仿宋"/>
          <w:color w:val="auto"/>
          <w:sz w:val="24"/>
          <w:lang w:eastAsia="zh-CN"/>
        </w:rPr>
        <w:t>应于完成货物装运后</w:t>
      </w:r>
      <w:r>
        <w:rPr>
          <w:rStyle w:val="51"/>
          <w:rFonts w:hint="eastAsia" w:ascii="仿宋" w:hAnsi="仿宋" w:eastAsia="仿宋" w:cs="仿宋"/>
          <w:color w:val="auto"/>
          <w:sz w:val="24"/>
          <w:u w:val="single"/>
          <w:lang w:eastAsia="zh-CN"/>
        </w:rPr>
        <w:t>24</w:t>
      </w:r>
      <w:r>
        <w:rPr>
          <w:rStyle w:val="51"/>
          <w:rFonts w:hint="eastAsia" w:ascii="仿宋" w:hAnsi="仿宋" w:eastAsia="仿宋" w:cs="仿宋"/>
          <w:color w:val="auto"/>
          <w:sz w:val="24"/>
          <w:lang w:eastAsia="zh-CN"/>
        </w:rPr>
        <w:t>小时内发出装运通知，通知包括买方合同号、货物名称、数量、包装件数、毛重、净重、尺寸、运载工具名称、启运日期、单证号、承运人联系方式以及预计抵达目的地（港）日期等，</w:t>
      </w:r>
      <w:r>
        <w:rPr>
          <w:rFonts w:hint="eastAsia" w:ascii="仿宋" w:hAnsi="仿宋" w:eastAsia="仿宋" w:cs="仿宋"/>
          <w:color w:val="auto"/>
          <w:sz w:val="24"/>
          <w:lang w:eastAsia="zh-CN"/>
        </w:rPr>
        <w:t>以便买方安排接收货物。</w:t>
      </w:r>
      <w:r>
        <w:rPr>
          <w:rStyle w:val="51"/>
          <w:rFonts w:hint="eastAsia" w:ascii="仿宋" w:hAnsi="仿宋" w:eastAsia="仿宋" w:cs="仿宋"/>
          <w:color w:val="auto"/>
          <w:kern w:val="2"/>
          <w:sz w:val="24"/>
          <w:szCs w:val="24"/>
          <w:lang w:eastAsia="zh-CN"/>
        </w:rPr>
        <w:t>如因卖方未按时发出装运通知造成买方无法安排通关和接收货物等相关事宜，买方由此受到的所有损失和产生的所有费用应由卖方承担。</w:t>
      </w:r>
    </w:p>
    <w:p>
      <w:pPr>
        <w:tabs>
          <w:tab w:val="left" w:pos="900"/>
        </w:tabs>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 xml:space="preserve">3.3.3 </w:t>
      </w:r>
      <w:r>
        <w:rPr>
          <w:rStyle w:val="51"/>
          <w:rFonts w:hint="eastAsia" w:ascii="仿宋" w:hAnsi="仿宋" w:eastAsia="仿宋" w:cs="仿宋"/>
          <w:b/>
          <w:color w:val="auto"/>
          <w:sz w:val="24"/>
        </w:rPr>
        <w:t>本合同项下的货物由卖方自行或委托有资质的第三方装运送货，卖方应按照本合同约定将货物运至【</w:t>
      </w:r>
      <w:r>
        <w:rPr>
          <w:rStyle w:val="51"/>
          <w:rFonts w:hint="eastAsia" w:ascii="仿宋" w:hAnsi="仿宋" w:eastAsia="仿宋" w:cs="仿宋"/>
          <w:b/>
          <w:color w:val="auto"/>
          <w:sz w:val="24"/>
          <w:lang w:eastAsia="zh-CN"/>
        </w:rPr>
        <w:t>克拉玛依市克拉玛依区小拐乡人民政府</w:t>
      </w:r>
      <w:r>
        <w:rPr>
          <w:rStyle w:val="51"/>
          <w:rFonts w:hint="eastAsia" w:ascii="仿宋" w:hAnsi="仿宋" w:eastAsia="仿宋" w:cs="仿宋"/>
          <w:b/>
          <w:color w:val="auto"/>
          <w:sz w:val="24"/>
        </w:rPr>
        <w:t>或买方指定地点】，并承担货物交付前的全部风险和费用。因卖方的原因导致货物在运输过程中受损的，卖方应赔偿因此给买方造成的全部损失。乙方在送货和取货时,需要自行负责货物的运输和装卸,并自行承担相应的费用,并根据甲方的指令或订单要求将货物送至指定地点,甲方有权根据实际情况对交货地点予以变更或新增,乙方对此不持有异议。</w:t>
      </w:r>
    </w:p>
    <w:p>
      <w:pPr>
        <w:spacing w:line="360" w:lineRule="auto"/>
        <w:outlineLvl w:val="9"/>
        <w:rPr>
          <w:rStyle w:val="51"/>
          <w:rFonts w:hint="eastAsia" w:ascii="仿宋" w:hAnsi="仿宋" w:eastAsia="仿宋" w:cs="仿宋"/>
          <w:b/>
          <w:color w:val="auto"/>
          <w:sz w:val="24"/>
        </w:rPr>
      </w:pPr>
      <w:bookmarkStart w:id="231" w:name="_Toc460851394"/>
      <w:bookmarkStart w:id="232" w:name="_Toc460587739"/>
      <w:bookmarkStart w:id="233" w:name="_Toc460920305"/>
      <w:r>
        <w:rPr>
          <w:rStyle w:val="51"/>
          <w:rFonts w:hint="eastAsia" w:ascii="仿宋" w:hAnsi="仿宋" w:eastAsia="仿宋" w:cs="仿宋"/>
          <w:b/>
          <w:color w:val="auto"/>
          <w:sz w:val="24"/>
        </w:rPr>
        <w:t>4、货物交付</w:t>
      </w:r>
      <w:bookmarkEnd w:id="231"/>
      <w:bookmarkEnd w:id="232"/>
      <w:bookmarkEnd w:id="233"/>
      <w:r>
        <w:rPr>
          <w:rStyle w:val="51"/>
          <w:rFonts w:hint="eastAsia" w:ascii="仿宋" w:hAnsi="仿宋" w:eastAsia="仿宋" w:cs="仿宋"/>
          <w:b/>
          <w:color w:val="auto"/>
          <w:sz w:val="24"/>
        </w:rPr>
        <w:t>与安装</w:t>
      </w:r>
    </w:p>
    <w:p>
      <w:pPr>
        <w:pStyle w:val="52"/>
        <w:tabs>
          <w:tab w:val="left" w:pos="360"/>
        </w:tabs>
        <w:spacing w:before="0" w:after="0" w:line="360" w:lineRule="auto"/>
        <w:ind w:firstLine="480" w:firstLineChars="200"/>
        <w:outlineLvl w:val="9"/>
        <w:rPr>
          <w:rStyle w:val="51"/>
          <w:rFonts w:hint="eastAsia" w:ascii="仿宋" w:hAnsi="仿宋" w:eastAsia="仿宋" w:cs="仿宋"/>
          <w:color w:val="auto"/>
          <w:kern w:val="2"/>
          <w:sz w:val="24"/>
          <w:szCs w:val="24"/>
          <w:lang w:eastAsia="zh-CN"/>
        </w:rPr>
      </w:pPr>
      <w:r>
        <w:rPr>
          <w:rStyle w:val="51"/>
          <w:rFonts w:hint="eastAsia" w:ascii="仿宋" w:hAnsi="仿宋" w:eastAsia="仿宋" w:cs="仿宋"/>
          <w:color w:val="auto"/>
          <w:sz w:val="24"/>
          <w:szCs w:val="24"/>
          <w:lang w:eastAsia="zh-CN"/>
        </w:rPr>
        <w:t>4.1</w:t>
      </w:r>
      <w:r>
        <w:rPr>
          <w:rStyle w:val="51"/>
          <w:rFonts w:hint="eastAsia" w:ascii="仿宋" w:hAnsi="仿宋" w:eastAsia="仿宋" w:cs="仿宋"/>
          <w:color w:val="auto"/>
          <w:kern w:val="2"/>
          <w:sz w:val="24"/>
          <w:szCs w:val="24"/>
          <w:lang w:eastAsia="zh-CN"/>
        </w:rPr>
        <w:t>在交付货物时，卖方应同时向买方提供货物出厂测试记录、质量合格证和产地证明，以及涉及该等货物安装、测试、运行等方面的技术文件。</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4.2 如果卖方交付的货物不符合合同约定的，买方有权选择完全拒收已交付货物，或接受已交付货物并要求卖方在买方要求的特定时间内补足交货不足部分。卖方补足交货不足部分应被视作本合同项下的延迟交货，买方有权根据本合同约定要求卖方承担违约责任。</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4.3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买方如果就其中一批货物解除合同，该批货物与其他各批货物相互依存的，有权就已经交付和未交付的各批货物解除合同。</w:t>
      </w:r>
    </w:p>
    <w:p>
      <w:pPr>
        <w:spacing w:line="360" w:lineRule="auto"/>
        <w:ind w:firstLine="480" w:firstLineChars="200"/>
        <w:outlineLvl w:val="9"/>
        <w:rPr>
          <w:rFonts w:hint="eastAsia" w:ascii="仿宋" w:hAnsi="仿宋" w:eastAsia="仿宋" w:cs="仿宋"/>
          <w:color w:val="auto"/>
          <w:sz w:val="24"/>
        </w:rPr>
      </w:pPr>
      <w:r>
        <w:rPr>
          <w:rStyle w:val="51"/>
          <w:rFonts w:hint="eastAsia" w:ascii="仿宋" w:hAnsi="仿宋" w:eastAsia="仿宋" w:cs="仿宋"/>
          <w:color w:val="auto"/>
          <w:sz w:val="24"/>
        </w:rPr>
        <w:t>4.4</w:t>
      </w:r>
      <w:r>
        <w:rPr>
          <w:rFonts w:hint="eastAsia" w:ascii="仿宋" w:hAnsi="仿宋" w:eastAsia="仿宋" w:cs="仿宋"/>
          <w:color w:val="auto"/>
          <w:sz w:val="24"/>
        </w:rPr>
        <w:t>安装与调试</w:t>
      </w:r>
      <w:r>
        <w:rPr>
          <w:rStyle w:val="51"/>
          <w:rFonts w:hint="eastAsia" w:ascii="仿宋" w:hAnsi="仿宋" w:eastAsia="仿宋" w:cs="仿宋"/>
          <w:color w:val="auto"/>
          <w:sz w:val="24"/>
        </w:rPr>
        <w:t>（设备类）</w:t>
      </w:r>
      <w:r>
        <w:rPr>
          <w:rFonts w:hint="eastAsia" w:ascii="仿宋" w:hAnsi="仿宋" w:eastAsia="仿宋" w:cs="仿宋"/>
          <w:color w:val="auto"/>
          <w:sz w:val="24"/>
        </w:rPr>
        <w:t>：设备交货后3日内，卖方完成安装调试工作。卖方须派代表到现场进行技术服务，进行安装、调试和启动，并负责解决设备在安装调试、试运行中发现的制造质量及性能等有关问题。</w:t>
      </w:r>
    </w:p>
    <w:p>
      <w:pPr>
        <w:spacing w:line="360" w:lineRule="auto"/>
        <w:ind w:firstLine="480" w:firstLineChars="200"/>
        <w:outlineLvl w:val="9"/>
        <w:rPr>
          <w:rStyle w:val="51"/>
          <w:rFonts w:hint="eastAsia" w:ascii="仿宋" w:hAnsi="仿宋" w:eastAsia="仿宋" w:cs="仿宋"/>
          <w:color w:val="auto"/>
          <w:sz w:val="24"/>
        </w:rPr>
      </w:pPr>
    </w:p>
    <w:p>
      <w:pPr>
        <w:spacing w:line="360" w:lineRule="auto"/>
        <w:outlineLvl w:val="9"/>
        <w:rPr>
          <w:rStyle w:val="51"/>
          <w:rFonts w:hint="eastAsia" w:ascii="仿宋" w:hAnsi="仿宋" w:eastAsia="仿宋" w:cs="仿宋"/>
          <w:b/>
          <w:color w:val="auto"/>
          <w:sz w:val="24"/>
        </w:rPr>
      </w:pPr>
      <w:bookmarkStart w:id="234" w:name="_Toc460920306"/>
      <w:bookmarkStart w:id="235" w:name="_Toc460587740"/>
      <w:bookmarkStart w:id="236" w:name="_Toc460851395"/>
      <w:r>
        <w:rPr>
          <w:rStyle w:val="51"/>
          <w:rFonts w:hint="eastAsia" w:ascii="仿宋" w:hAnsi="仿宋" w:eastAsia="仿宋" w:cs="仿宋"/>
          <w:b/>
          <w:color w:val="auto"/>
          <w:sz w:val="24"/>
        </w:rPr>
        <w:t>5、合同价款及支付方式</w:t>
      </w:r>
      <w:bookmarkEnd w:id="234"/>
      <w:bookmarkEnd w:id="235"/>
      <w:bookmarkEnd w:id="236"/>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5.1双方确认，本合同附件一中所列明的货物单价即为本合同约定的货物单价。本合同价款总计为人民币</w:t>
      </w:r>
      <w:r>
        <w:rPr>
          <w:rStyle w:val="51"/>
          <w:rFonts w:hint="eastAsia" w:ascii="仿宋" w:hAnsi="仿宋" w:eastAsia="仿宋" w:cs="仿宋"/>
          <w:color w:val="auto"/>
          <w:sz w:val="24"/>
          <w:u w:val="single"/>
        </w:rPr>
        <w:t xml:space="preserve">          </w:t>
      </w:r>
      <w:r>
        <w:rPr>
          <w:rStyle w:val="51"/>
          <w:rFonts w:hint="eastAsia" w:ascii="仿宋" w:hAnsi="仿宋" w:eastAsia="仿宋" w:cs="仿宋"/>
          <w:color w:val="auto"/>
          <w:sz w:val="24"/>
        </w:rPr>
        <w:t>元（大写：</w:t>
      </w:r>
      <w:r>
        <w:rPr>
          <w:rStyle w:val="51"/>
          <w:rFonts w:hint="eastAsia" w:ascii="仿宋" w:hAnsi="仿宋" w:eastAsia="仿宋" w:cs="仿宋"/>
          <w:color w:val="auto"/>
          <w:sz w:val="24"/>
          <w:u w:val="single"/>
        </w:rPr>
        <w:t xml:space="preserve">           </w:t>
      </w:r>
      <w:r>
        <w:rPr>
          <w:rStyle w:val="51"/>
          <w:rFonts w:hint="eastAsia" w:ascii="仿宋" w:hAnsi="仿宋" w:eastAsia="仿宋" w:cs="仿宋"/>
          <w:color w:val="auto"/>
          <w:sz w:val="24"/>
        </w:rPr>
        <w:t>元整）（“合同价款”含增值税）。</w:t>
      </w:r>
      <w:r>
        <w:rPr>
          <w:rStyle w:val="51"/>
          <w:rFonts w:hint="eastAsia" w:ascii="仿宋" w:hAnsi="仿宋" w:eastAsia="仿宋" w:cs="仿宋"/>
          <w:b/>
          <w:color w:val="auto"/>
          <w:sz w:val="24"/>
        </w:rPr>
        <w:t>包括本合同项下货物及相关配件、辅件的价格、增值税及其他相关税费、运输费、保险费、装卸费、包装费、包装物回收费以及安装及调试过程中发生的一切费用。</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5.2双方确认，合同价款按如下进度支付：</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（一）</w:t>
      </w:r>
      <w:r>
        <w:rPr>
          <w:rStyle w:val="51"/>
          <w:rFonts w:hint="eastAsia" w:ascii="仿宋" w:hAnsi="仿宋" w:eastAsia="仿宋" w:cs="仿宋"/>
          <w:color w:val="auto"/>
          <w:sz w:val="24"/>
          <w:lang w:eastAsia="zh-CN"/>
        </w:rPr>
        <w:t>成交人</w:t>
      </w:r>
      <w:r>
        <w:rPr>
          <w:rStyle w:val="51"/>
          <w:rFonts w:hint="eastAsia" w:ascii="仿宋" w:hAnsi="仿宋" w:eastAsia="仿宋" w:cs="仿宋"/>
          <w:color w:val="auto"/>
          <w:sz w:val="24"/>
        </w:rPr>
        <w:t>按使用单位订单交货，经验收合格后，采购人向</w:t>
      </w:r>
      <w:r>
        <w:rPr>
          <w:rStyle w:val="51"/>
          <w:rFonts w:hint="eastAsia" w:ascii="仿宋" w:hAnsi="仿宋" w:eastAsia="仿宋" w:cs="仿宋"/>
          <w:color w:val="auto"/>
          <w:sz w:val="24"/>
          <w:lang w:eastAsia="zh-CN"/>
        </w:rPr>
        <w:t>成交人</w:t>
      </w:r>
      <w:r>
        <w:rPr>
          <w:rStyle w:val="51"/>
          <w:rFonts w:hint="eastAsia" w:ascii="仿宋" w:hAnsi="仿宋" w:eastAsia="仿宋" w:cs="仿宋"/>
          <w:color w:val="auto"/>
          <w:sz w:val="24"/>
        </w:rPr>
        <w:t>支付采购金额90%的货款。</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（二）</w:t>
      </w:r>
      <w:r>
        <w:rPr>
          <w:rStyle w:val="51"/>
          <w:rFonts w:hint="eastAsia" w:ascii="仿宋" w:hAnsi="仿宋" w:eastAsia="仿宋" w:cs="仿宋"/>
          <w:color w:val="auto"/>
          <w:sz w:val="24"/>
          <w:lang w:eastAsia="zh-CN"/>
        </w:rPr>
        <w:t>成交人</w:t>
      </w:r>
      <w:r>
        <w:rPr>
          <w:rStyle w:val="51"/>
          <w:rFonts w:hint="eastAsia" w:ascii="仿宋" w:hAnsi="仿宋" w:eastAsia="仿宋" w:cs="仿宋"/>
          <w:color w:val="auto"/>
          <w:sz w:val="24"/>
        </w:rPr>
        <w:t>提交采购合同、发票等材料，向采购人申请付款。</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（三）采购人对</w:t>
      </w:r>
      <w:r>
        <w:rPr>
          <w:rStyle w:val="51"/>
          <w:rFonts w:hint="eastAsia" w:ascii="仿宋" w:hAnsi="仿宋" w:eastAsia="仿宋" w:cs="仿宋"/>
          <w:color w:val="auto"/>
          <w:sz w:val="24"/>
          <w:lang w:eastAsia="zh-CN"/>
        </w:rPr>
        <w:t>成交人</w:t>
      </w:r>
      <w:r>
        <w:rPr>
          <w:rStyle w:val="51"/>
          <w:rFonts w:hint="eastAsia" w:ascii="仿宋" w:hAnsi="仿宋" w:eastAsia="仿宋" w:cs="仿宋"/>
          <w:color w:val="auto"/>
          <w:sz w:val="24"/>
        </w:rPr>
        <w:t>提交的付款资料审核通过后，以转账方式向</w:t>
      </w:r>
      <w:r>
        <w:rPr>
          <w:rStyle w:val="51"/>
          <w:rFonts w:hint="eastAsia" w:ascii="仿宋" w:hAnsi="仿宋" w:eastAsia="仿宋" w:cs="仿宋"/>
          <w:color w:val="auto"/>
          <w:sz w:val="24"/>
          <w:lang w:eastAsia="zh-CN"/>
        </w:rPr>
        <w:t>成交人</w:t>
      </w:r>
      <w:r>
        <w:rPr>
          <w:rStyle w:val="51"/>
          <w:rFonts w:hint="eastAsia" w:ascii="仿宋" w:hAnsi="仿宋" w:eastAsia="仿宋" w:cs="仿宋"/>
          <w:color w:val="auto"/>
          <w:sz w:val="24"/>
        </w:rPr>
        <w:t>付款。</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 xml:space="preserve">（四） </w:t>
      </w:r>
      <w:r>
        <w:rPr>
          <w:rFonts w:hint="eastAsia" w:ascii="仿宋" w:hAnsi="仿宋" w:eastAsia="仿宋" w:cs="仿宋"/>
          <w:color w:val="auto"/>
          <w:sz w:val="24"/>
          <w:szCs w:val="24"/>
        </w:rPr>
        <w:t>使用单位经评定，货物质量合格，签字后，采购人向</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支付采购金额10%的尾款</w:t>
      </w:r>
      <w:r>
        <w:rPr>
          <w:rFonts w:hint="eastAsia" w:ascii="仿宋" w:hAnsi="仿宋" w:eastAsia="仿宋" w:cs="仿宋"/>
          <w:color w:val="auto"/>
          <w:sz w:val="24"/>
          <w:szCs w:val="24"/>
          <w:lang w:eastAsia="zh-CN"/>
        </w:rPr>
        <w:t>。</w:t>
      </w:r>
    </w:p>
    <w:p>
      <w:pPr>
        <w:spacing w:line="360" w:lineRule="auto"/>
        <w:ind w:firstLine="482" w:firstLineChars="200"/>
        <w:outlineLvl w:val="9"/>
        <w:rPr>
          <w:rStyle w:val="51"/>
          <w:rFonts w:hint="eastAsia" w:ascii="仿宋" w:hAnsi="仿宋" w:eastAsia="仿宋" w:cs="仿宋"/>
          <w:b/>
          <w:bCs/>
          <w:color w:val="auto"/>
          <w:sz w:val="24"/>
        </w:rPr>
      </w:pPr>
      <w:r>
        <w:rPr>
          <w:rStyle w:val="51"/>
          <w:rFonts w:hint="eastAsia" w:ascii="仿宋" w:hAnsi="仿宋" w:eastAsia="仿宋" w:cs="仿宋"/>
          <w:b/>
          <w:bCs/>
          <w:color w:val="auto"/>
          <w:sz w:val="24"/>
        </w:rPr>
        <w:t>5.3卖方提交单证的数量及内容应完整准确。如因卖方未按本合同约定提供单证致使买方不能通关及接收货物，买方由此受到的所有损失和产生的所有费用应由卖方承担。</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5.4本合同项下的价款由买方通过银行转账方式支付至卖方指定的下述银行账户，卖方应对其指定的下列账户信息的真实性、安全性、准确性负责。</w:t>
      </w:r>
    </w:p>
    <w:p>
      <w:pPr>
        <w:spacing w:line="360" w:lineRule="auto"/>
        <w:ind w:firstLine="480" w:firstLineChars="200"/>
        <w:outlineLvl w:val="9"/>
        <w:rPr>
          <w:rStyle w:val="51"/>
          <w:rFonts w:hint="eastAsia" w:ascii="仿宋" w:hAnsi="仿宋" w:eastAsia="仿宋" w:cs="仿宋"/>
          <w:color w:val="auto"/>
          <w:sz w:val="24"/>
          <w:u w:val="single"/>
        </w:rPr>
      </w:pPr>
      <w:r>
        <w:rPr>
          <w:rStyle w:val="51"/>
          <w:rFonts w:hint="eastAsia" w:ascii="仿宋" w:hAnsi="仿宋" w:eastAsia="仿宋" w:cs="仿宋"/>
          <w:color w:val="auto"/>
          <w:sz w:val="24"/>
        </w:rPr>
        <w:t xml:space="preserve">收款人：                 </w:t>
      </w:r>
    </w:p>
    <w:p>
      <w:pPr>
        <w:spacing w:line="360" w:lineRule="auto"/>
        <w:ind w:firstLine="480" w:firstLineChars="200"/>
        <w:outlineLvl w:val="9"/>
        <w:rPr>
          <w:rStyle w:val="51"/>
          <w:rFonts w:hint="eastAsia" w:ascii="仿宋" w:hAnsi="仿宋" w:eastAsia="仿宋" w:cs="仿宋"/>
          <w:color w:val="auto"/>
          <w:sz w:val="24"/>
          <w:u w:val="single"/>
        </w:rPr>
      </w:pPr>
      <w:r>
        <w:rPr>
          <w:rStyle w:val="51"/>
          <w:rFonts w:hint="eastAsia" w:ascii="仿宋" w:hAnsi="仿宋" w:eastAsia="仿宋" w:cs="仿宋"/>
          <w:color w:val="auto"/>
          <w:sz w:val="24"/>
        </w:rPr>
        <w:t xml:space="preserve">开户行：                 </w:t>
      </w:r>
    </w:p>
    <w:p>
      <w:pPr>
        <w:spacing w:line="360" w:lineRule="auto"/>
        <w:ind w:firstLine="480" w:firstLineChars="200"/>
        <w:outlineLvl w:val="9"/>
        <w:rPr>
          <w:rStyle w:val="51"/>
          <w:rFonts w:hint="eastAsia" w:ascii="仿宋" w:hAnsi="仿宋" w:eastAsia="仿宋" w:cs="仿宋"/>
          <w:color w:val="auto"/>
          <w:sz w:val="24"/>
          <w:u w:val="single"/>
        </w:rPr>
      </w:pPr>
      <w:r>
        <w:rPr>
          <w:rStyle w:val="51"/>
          <w:rFonts w:hint="eastAsia" w:ascii="仿宋" w:hAnsi="仿宋" w:eastAsia="仿宋" w:cs="仿宋"/>
          <w:color w:val="auto"/>
          <w:sz w:val="24"/>
        </w:rPr>
        <w:t xml:space="preserve">帐  号：                 </w:t>
      </w:r>
    </w:p>
    <w:p>
      <w:pPr>
        <w:spacing w:line="360" w:lineRule="auto"/>
        <w:ind w:firstLine="480" w:firstLineChars="200"/>
        <w:outlineLvl w:val="9"/>
        <w:rPr>
          <w:rStyle w:val="51"/>
          <w:rFonts w:hint="eastAsia" w:ascii="仿宋" w:hAnsi="仿宋" w:eastAsia="仿宋" w:cs="仿宋"/>
          <w:color w:val="auto"/>
          <w:sz w:val="24"/>
          <w:u w:val="single"/>
        </w:rPr>
      </w:pPr>
      <w:r>
        <w:rPr>
          <w:rStyle w:val="51"/>
          <w:rFonts w:hint="eastAsia" w:ascii="仿宋" w:hAnsi="仿宋" w:eastAsia="仿宋" w:cs="仿宋"/>
          <w:color w:val="auto"/>
          <w:sz w:val="24"/>
        </w:rPr>
        <w:t xml:space="preserve">税  号:                  </w:t>
      </w:r>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如果卖方的开户银行和/或账号发生变更，卖方应于本合同约定的买方相关付款期限</w:t>
      </w:r>
      <w:r>
        <w:rPr>
          <w:rStyle w:val="51"/>
          <w:rFonts w:hint="eastAsia" w:ascii="仿宋" w:hAnsi="仿宋" w:eastAsia="仿宋" w:cs="仿宋"/>
          <w:color w:val="auto"/>
          <w:sz w:val="24"/>
          <w:u w:val="single"/>
        </w:rPr>
        <w:t>30</w:t>
      </w:r>
      <w:r>
        <w:rPr>
          <w:rStyle w:val="51"/>
          <w:rFonts w:hint="eastAsia" w:ascii="仿宋" w:hAnsi="仿宋" w:eastAsia="仿宋" w:cs="仿宋"/>
          <w:color w:val="auto"/>
          <w:sz w:val="24"/>
        </w:rPr>
        <w:t>日前，就该变化书面通知买方。</w:t>
      </w:r>
      <w:r>
        <w:rPr>
          <w:rStyle w:val="51"/>
          <w:rFonts w:hint="eastAsia" w:ascii="仿宋" w:hAnsi="仿宋" w:eastAsia="仿宋" w:cs="仿宋"/>
          <w:b/>
          <w:color w:val="auto"/>
          <w:sz w:val="24"/>
        </w:rPr>
        <w:t>如因卖方未及时通知或通知有误而影响买方支付相应款项，买方将不承担逾期付款的任何责任。如因卖方未及时通知，导致买方按上述约定开户银行名称、地址和帐号完成付款后即视为买方已向卖方履行完付款义务。</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5.5 甲乙双方签订的合同及协议中所列费用、违约金及其它乙方应付款项以账扣方式实现,并且甲方不需另行通知乙方。甲方支付给乙方的货款可先扣除已对账的乙方应付款项(包括但不限于:各项费用、违约金,退货款等)及双方确认的质保金,若乙方结算后的账款余额不足抵扣质保金和未支付的乙方应付款项(即结算时,已发生但未对账的费用),则不足部分的金额由乙方于 10 日内另行支付。但甲乙双方另有约定适用付现方式的不适用本条。</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5.6 乙方在收到甲方付款后的 60 日内对当期付款中进货、退货、已扣除款项应详细审核,若有异议应在该 60 日内向甲方书面提出异议,若乙方没有在该 60 日内提出任何异议,即视为乙方接受且放弃向甲方再主张该款项的权利</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5.7 账款确认函:是由乙方确认,截止该对账日期之前的,</w:t>
      </w:r>
      <w:r>
        <w:rPr>
          <w:rFonts w:hint="eastAsia" w:ascii="仿宋" w:hAnsi="仿宋" w:eastAsia="仿宋" w:cs="仿宋"/>
          <w:color w:val="auto"/>
          <w:sz w:val="19"/>
          <w:szCs w:val="19"/>
          <w:shd w:val="clear" w:color="auto" w:fill="FFFFFF"/>
        </w:rPr>
        <w:t xml:space="preserve"> </w:t>
      </w:r>
      <w:r>
        <w:rPr>
          <w:rStyle w:val="51"/>
          <w:rFonts w:hint="eastAsia" w:ascii="仿宋" w:hAnsi="仿宋" w:eastAsia="仿宋" w:cs="仿宋"/>
          <w:b/>
          <w:color w:val="auto"/>
          <w:sz w:val="24"/>
        </w:rPr>
        <w:t>甲方已支付的款项、甲方从应付款中扣除的款项及由乙方提供了相应服务部分甲方未支付的款项。除对账确认函确认的未结款外,甲乙双方在该对账日期以前的业务往来中的债权债务已经全部结清、付清。该账款确认函作为双方在该对账之前账款已经核对清楚的证明,双方对于账款确认函已确认的部分无需再重新对账。乙方应予每年年底和停止合作时交付账款确认函,未按约定提交的,甲方有权暂停支付货款。</w:t>
      </w:r>
    </w:p>
    <w:p>
      <w:pPr>
        <w:spacing w:line="360" w:lineRule="auto"/>
        <w:ind w:firstLine="482" w:firstLineChars="200"/>
        <w:outlineLvl w:val="9"/>
        <w:rPr>
          <w:rStyle w:val="51"/>
          <w:rFonts w:hint="eastAsia" w:ascii="仿宋" w:hAnsi="仿宋" w:eastAsia="仿宋" w:cs="仿宋"/>
          <w:b/>
          <w:color w:val="auto"/>
          <w:sz w:val="24"/>
        </w:rPr>
      </w:pPr>
      <w:bookmarkStart w:id="237" w:name="_Toc460851396"/>
      <w:bookmarkStart w:id="238" w:name="_Toc460920307"/>
      <w:bookmarkStart w:id="239" w:name="_Toc460587741"/>
      <w:r>
        <w:rPr>
          <w:rStyle w:val="51"/>
          <w:rFonts w:hint="eastAsia" w:ascii="仿宋" w:hAnsi="仿宋" w:eastAsia="仿宋" w:cs="仿宋"/>
          <w:b/>
          <w:color w:val="auto"/>
          <w:sz w:val="24"/>
        </w:rPr>
        <w:t>6、到货验收</w:t>
      </w:r>
      <w:bookmarkEnd w:id="237"/>
      <w:bookmarkEnd w:id="238"/>
      <w:bookmarkEnd w:id="239"/>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6.1买卖双方应在货物交付后进行到货验收（设备类应经卖方调试完毕，正常运行后进行验收），买方如发现货物有短缺、损坏或不符合本合同及其附件规定的情形，双方应作详细的记录并签字。该记录应被视作买方向卖方提出减少合同价格、更换、修理、补充或索赔的有效依据。</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6.3如发现因非买方的原因导致的短缺、损坏或不符合本合同及其附件规定的质量标准的情形，买方有权选择要求卖方减少合同价格、更换、修理或补充。如卖方未能在</w:t>
      </w:r>
      <w:r>
        <w:rPr>
          <w:rStyle w:val="51"/>
          <w:rFonts w:hint="eastAsia" w:ascii="仿宋" w:hAnsi="仿宋" w:eastAsia="仿宋" w:cs="仿宋"/>
          <w:color w:val="auto"/>
          <w:sz w:val="24"/>
          <w:lang w:eastAsia="zh-CN"/>
        </w:rPr>
        <w:t>供货期限</w:t>
      </w:r>
      <w:r>
        <w:rPr>
          <w:rStyle w:val="51"/>
          <w:rFonts w:hint="eastAsia" w:ascii="仿宋" w:hAnsi="仿宋" w:eastAsia="仿宋" w:cs="仿宋"/>
          <w:color w:val="auto"/>
          <w:sz w:val="24"/>
        </w:rPr>
        <w:t>内更换、修理或补充合同货物，则被视为迟延交付，卖方应承担违约责任。因更换，修理或补充货物所发生的所有运输费、风险和检验费用均将由卖方承担。因迟延交付给买方造成的全部损失，应由卖方承担。</w:t>
      </w:r>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6.4</w:t>
      </w:r>
      <w:r>
        <w:rPr>
          <w:rStyle w:val="51"/>
          <w:rFonts w:hint="eastAsia" w:ascii="仿宋" w:hAnsi="仿宋" w:eastAsia="仿宋" w:cs="仿宋"/>
          <w:b/>
          <w:color w:val="auto"/>
          <w:sz w:val="24"/>
        </w:rPr>
        <w:t>如果买方有合理的初步证据表明，货物不符合标准，买方有权委托公证、商检机构对所交付的所有货物进行商检，卖方无条件认可买方所选择的公证、商检机构。对不符合标准的货物，有权要求卖方承担违约责任并就因此所受损失向卖方要求赔偿，买方所支付的公证、商检费用应由卖方承担。</w:t>
      </w:r>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6.5</w:t>
      </w:r>
      <w:r>
        <w:rPr>
          <w:rStyle w:val="51"/>
          <w:rFonts w:hint="eastAsia" w:ascii="仿宋" w:hAnsi="仿宋" w:eastAsia="仿宋" w:cs="仿宋"/>
          <w:b/>
          <w:color w:val="auto"/>
          <w:sz w:val="24"/>
        </w:rPr>
        <w:t>如果卖方不能在开箱检验日参加开箱检验，将被视为委托买方检验并认同买方单方开箱检验的结果，买方将有权单方开箱检验，检验的法律效力等同于本合同第6.1款约定的双方检验。</w:t>
      </w:r>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6.6</w:t>
      </w:r>
      <w:r>
        <w:rPr>
          <w:rStyle w:val="51"/>
          <w:rFonts w:hint="eastAsia" w:ascii="仿宋" w:hAnsi="仿宋" w:eastAsia="仿宋" w:cs="仿宋"/>
          <w:b/>
          <w:color w:val="auto"/>
          <w:sz w:val="24"/>
        </w:rPr>
        <w:t>如开箱验收后买方发现货物不符合本合同约定，买方以书面的形式通知卖方。卖方应在接到通知后</w:t>
      </w:r>
      <w:r>
        <w:rPr>
          <w:rStyle w:val="51"/>
          <w:rFonts w:hint="eastAsia" w:ascii="仿宋" w:hAnsi="仿宋" w:eastAsia="仿宋" w:cs="仿宋"/>
          <w:b/>
          <w:color w:val="auto"/>
          <w:sz w:val="24"/>
          <w:u w:val="single"/>
        </w:rPr>
        <w:t>3</w:t>
      </w:r>
      <w:r>
        <w:rPr>
          <w:rStyle w:val="51"/>
          <w:rFonts w:hint="eastAsia" w:ascii="仿宋" w:hAnsi="仿宋" w:eastAsia="仿宋" w:cs="仿宋"/>
          <w:b/>
          <w:color w:val="auto"/>
          <w:sz w:val="24"/>
        </w:rPr>
        <w:t>日内答复，如逾期没有答复，以买方验收结果为准。如卖方对买方提出的索赔要求有异议，应在收到索赔通知的</w:t>
      </w:r>
      <w:r>
        <w:rPr>
          <w:rStyle w:val="51"/>
          <w:rFonts w:hint="eastAsia" w:ascii="仿宋" w:hAnsi="仿宋" w:eastAsia="仿宋" w:cs="仿宋"/>
          <w:b/>
          <w:color w:val="auto"/>
          <w:sz w:val="24"/>
          <w:u w:val="single"/>
        </w:rPr>
        <w:t>2</w:t>
      </w:r>
      <w:r>
        <w:rPr>
          <w:rStyle w:val="51"/>
          <w:rFonts w:hint="eastAsia" w:ascii="仿宋" w:hAnsi="仿宋" w:eastAsia="仿宋" w:cs="仿宋"/>
          <w:b/>
          <w:color w:val="auto"/>
          <w:sz w:val="24"/>
        </w:rPr>
        <w:t>日内采用书面的方式提出异议。如卖方未能在上述期限内提出书面异议，卖方将被视为接受了买方提出的上述索赔要求。</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6.7买方依据本合同拒收的货物应由卖方自费运回，买方可以协助保管这些货物直到卖方做好运输准备（不得超过7日），但是买方无此等协助保管的义务，且买方协助保管所发生的场地占用费、人员看管费等全部费用应有卖方承担。</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6.8甲乙双方均认可,甲方对产品验收仅是初步的,甲方初步验收并签发《货物验收合格证明》的行为,仅系对所提交货物的数量、外箱包装、品项等表面状态的确认,不应被视为认可乙方所送产品，甲方在仓储、使用过程中任一相关环节发现产品质量不符合约定标准或存在瑕疵现象的均视为乙方违约交货。</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6.9</w:t>
      </w:r>
      <w:r>
        <w:rPr>
          <w:rFonts w:hint="eastAsia" w:ascii="仿宋" w:hAnsi="仿宋" w:eastAsia="仿宋" w:cs="仿宋"/>
          <w:b/>
          <w:color w:val="auto"/>
          <w:sz w:val="24"/>
        </w:rPr>
        <w:t>标的物所有权自货物安装调试完毕且买方验收合格起转移。在此之前货物的毁损、灭失均由乙方承担。</w:t>
      </w:r>
    </w:p>
    <w:p>
      <w:pPr>
        <w:spacing w:line="360" w:lineRule="auto"/>
        <w:outlineLvl w:val="9"/>
        <w:rPr>
          <w:rStyle w:val="51"/>
          <w:rFonts w:hint="eastAsia" w:ascii="仿宋" w:hAnsi="仿宋" w:eastAsia="仿宋" w:cs="仿宋"/>
          <w:b/>
          <w:color w:val="auto"/>
          <w:sz w:val="24"/>
        </w:rPr>
      </w:pPr>
      <w:bookmarkStart w:id="240" w:name="_Toc460851397"/>
      <w:bookmarkStart w:id="241" w:name="_Toc460587743"/>
      <w:bookmarkStart w:id="242" w:name="_Toc460920308"/>
      <w:r>
        <w:rPr>
          <w:rStyle w:val="51"/>
          <w:rFonts w:hint="eastAsia" w:ascii="仿宋" w:hAnsi="仿宋" w:eastAsia="仿宋" w:cs="仿宋"/>
          <w:b/>
          <w:color w:val="auto"/>
          <w:sz w:val="24"/>
        </w:rPr>
        <w:t>7、双方的一般权利义务</w:t>
      </w:r>
      <w:bookmarkEnd w:id="240"/>
      <w:bookmarkEnd w:id="241"/>
      <w:bookmarkEnd w:id="242"/>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7.1买方的权利义务</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7.1.1要求卖方按照本合同确定的时间、地点、数量、价格、质量标准交付货物。</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7.1.2卖方或其委托的第三方将货物交付收货人之前，买方有权要求卖方中止运输、变更到达地或变更收货人，由此而导致的运输或储存费用变动的，按照多退少补的原则处理。</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7.1.3要求卖方按照本合同第2条的约定妥善包装货物。</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7.1.4买方有权根据本合同第6条的约定，就卖方提供货物存在的所有瑕疵通知卖方，并要求卖方承担相应的赔偿、更换、修理或补充责任。</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7.1.5按约定支付货物价款。</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7.1.6买方有权在设备出厂前派遣技术人员前往卖方工厂进行厂验和/或参与出厂测试。买方的上述行为并不免除卖方根据本合同及其附件应当承担的任何责任，并且买方检验人员届时对设备表示的任何意见，均不代表买方对设备质量的认可。</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7.1.7买方有权委任</w:t>
      </w:r>
      <w:r>
        <w:rPr>
          <w:rStyle w:val="51"/>
          <w:rFonts w:hint="eastAsia" w:ascii="仿宋" w:hAnsi="仿宋" w:eastAsia="仿宋" w:cs="仿宋"/>
          <w:color w:val="auto"/>
          <w:sz w:val="24"/>
          <w:u w:val="single"/>
        </w:rPr>
        <w:t xml:space="preserve">  无   </w:t>
      </w:r>
      <w:r>
        <w:rPr>
          <w:rStyle w:val="51"/>
          <w:rFonts w:hint="eastAsia" w:ascii="仿宋" w:hAnsi="仿宋" w:eastAsia="仿宋" w:cs="仿宋"/>
          <w:color w:val="auto"/>
          <w:sz w:val="24"/>
        </w:rPr>
        <w:t>作为买方的授权代表，在本合同有效期内决定与本合同履行有关的事项，具体授权范围为：（注：本合同第七条项下的权利义务）。买方及买方的授权代表以外的任何第三方对卖方及卖方的授权代表作出的意思表示对本合同当事人均无约束力。</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7.2卖方的权利义务</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7.2.1按照约定的时间、质量标准交付货物，并向买方发出到货通知，办理相应的交接手续。如果卖方没有通知或没有及时通知，对因没有通知或没有及时通知造成的损失应承担责任。</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7.2.2 按照本合同第2条的约定妥善包装、保管货物。</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7.2.3应就双方约定的某种货物和备品备件保持足够库存，以确保买方对该货物的必要使用量。</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7.2.4卖方保证拥有货物的完整所有权（对货物中涉及/包括的部分第三方软件，卖方已取得其权利人合法有效授权，并有权转许可给买方使用），卖方有权将货物及货物中涉及/包括的部分第三方软件出售/许可给买方并具有提供货物及安装、技术支持等服务的本合同规定的履约能力。任何第三人不会基于所有权、抵押权、质押权、留置权或任何其他对货物的担保利益而向买方主张对货物的权利。并保证货物无任何偷漏税、走私、其他能够造成任何行政扣押或者司法冻结、查封的违法行为，否则卖方应自行承担因此而产生的法律责任，并赔偿买方的全部损失。</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7.2.5卖方承诺，其出售的货物为全新的，适合本合同的目的并符合本合同及技术协议（若有）规定的技术规格和质量标准。</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7.2.6卖方应及时参加货物（安装、调试）验收。否则，由此而造成的货物不能按期投入正常运行的责任，应由卖方承担。</w:t>
      </w:r>
    </w:p>
    <w:p>
      <w:pPr>
        <w:spacing w:line="360" w:lineRule="auto"/>
        <w:ind w:firstLine="480" w:firstLineChars="200"/>
        <w:outlineLvl w:val="9"/>
        <w:rPr>
          <w:rStyle w:val="51"/>
          <w:rFonts w:hint="eastAsia" w:ascii="仿宋" w:hAnsi="仿宋" w:eastAsia="仿宋" w:cs="仿宋"/>
          <w:b/>
          <w:bCs/>
          <w:color w:val="auto"/>
          <w:sz w:val="24"/>
        </w:rPr>
      </w:pPr>
      <w:r>
        <w:rPr>
          <w:rStyle w:val="51"/>
          <w:rFonts w:hint="eastAsia" w:ascii="仿宋" w:hAnsi="仿宋" w:eastAsia="仿宋" w:cs="仿宋"/>
          <w:color w:val="auto"/>
          <w:sz w:val="24"/>
        </w:rPr>
        <w:t>7.2.7卖方有权委任</w:t>
      </w:r>
      <w:r>
        <w:rPr>
          <w:rStyle w:val="51"/>
          <w:rFonts w:hint="eastAsia" w:ascii="仿宋" w:hAnsi="仿宋" w:eastAsia="仿宋" w:cs="仿宋"/>
          <w:color w:val="auto"/>
          <w:sz w:val="24"/>
          <w:u w:val="single"/>
        </w:rPr>
        <w:t xml:space="preserve">     </w:t>
      </w:r>
      <w:r>
        <w:rPr>
          <w:rStyle w:val="51"/>
          <w:rFonts w:hint="eastAsia" w:ascii="仿宋" w:hAnsi="仿宋" w:eastAsia="仿宋" w:cs="仿宋"/>
          <w:color w:val="auto"/>
          <w:sz w:val="24"/>
        </w:rPr>
        <w:t>作为卖方的授权代表，在本合同有效期内决定与本合同履行有关的事项，</w:t>
      </w:r>
      <w:r>
        <w:rPr>
          <w:rStyle w:val="51"/>
          <w:rFonts w:hint="eastAsia" w:ascii="仿宋" w:hAnsi="仿宋" w:eastAsia="仿宋" w:cs="仿宋"/>
          <w:b/>
          <w:bCs/>
          <w:color w:val="auto"/>
          <w:sz w:val="24"/>
        </w:rPr>
        <w:t>具体授权事宜由卖方向买方提交授权委托书。卖方应对其授权代表的行为承担责任。卖方更换授权代表，应在3日内以书面形式通知买方。</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7.2.8在产品的合理使用期内，对未经使用不能被发现的隐藏质量瑕疵或缺陷，出卖人应承担产品质量保证责任。</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7.2.9 卖方</w:t>
      </w:r>
      <w:r>
        <w:rPr>
          <w:rFonts w:hint="eastAsia" w:ascii="仿宋" w:hAnsi="仿宋" w:eastAsia="仿宋" w:cs="仿宋"/>
          <w:color w:val="auto"/>
          <w:sz w:val="24"/>
        </w:rPr>
        <w:t>应在安装调试完成后，提供相应的技术指导、技术配合、技术培训等全过程的服务。</w:t>
      </w:r>
    </w:p>
    <w:p>
      <w:pPr>
        <w:spacing w:line="360" w:lineRule="auto"/>
        <w:outlineLvl w:val="9"/>
        <w:rPr>
          <w:rStyle w:val="51"/>
          <w:rFonts w:hint="eastAsia" w:ascii="仿宋" w:hAnsi="仿宋" w:eastAsia="仿宋" w:cs="仿宋"/>
          <w:b/>
          <w:color w:val="auto"/>
          <w:sz w:val="24"/>
        </w:rPr>
      </w:pPr>
      <w:bookmarkStart w:id="243" w:name="_Toc460920309"/>
      <w:bookmarkStart w:id="244" w:name="_Toc460587744"/>
      <w:bookmarkStart w:id="245" w:name="_Toc460851398"/>
      <w:r>
        <w:rPr>
          <w:rStyle w:val="51"/>
          <w:rFonts w:hint="eastAsia" w:ascii="仿宋" w:hAnsi="仿宋" w:eastAsia="仿宋" w:cs="仿宋"/>
          <w:b/>
          <w:color w:val="auto"/>
          <w:sz w:val="24"/>
        </w:rPr>
        <w:t>8、质量保修</w:t>
      </w:r>
      <w:bookmarkEnd w:id="243"/>
      <w:bookmarkEnd w:id="244"/>
      <w:bookmarkEnd w:id="245"/>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8.1卖方保证对所提供货物提供保修。质量保修期为买方按照技术规范书、本合同及买方签发《验收单》之日起</w:t>
      </w:r>
      <w:r>
        <w:rPr>
          <w:rStyle w:val="51"/>
          <w:rFonts w:hint="eastAsia" w:ascii="仿宋" w:hAnsi="仿宋" w:eastAsia="仿宋" w:cs="仿宋"/>
          <w:color w:val="auto"/>
          <w:sz w:val="24"/>
          <w:u w:val="single"/>
        </w:rPr>
        <w:t xml:space="preserve">     </w:t>
      </w:r>
      <w:r>
        <w:rPr>
          <w:rStyle w:val="51"/>
          <w:rFonts w:hint="eastAsia" w:ascii="仿宋" w:hAnsi="仿宋" w:eastAsia="仿宋" w:cs="仿宋"/>
          <w:color w:val="auto"/>
          <w:sz w:val="24"/>
        </w:rPr>
        <w:t>个月。</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8.2.保修期内，卖方提供免费保修服务，不论是否因卖方原因，只要卖方提供的货物出现任何毁损、故障以及任何其他可能或者已经影响该货物的通常用途的情形，卖方均应在买方发出通知之后</w:t>
      </w:r>
      <w:r>
        <w:rPr>
          <w:rStyle w:val="51"/>
          <w:rFonts w:hint="eastAsia" w:ascii="仿宋" w:hAnsi="仿宋" w:eastAsia="仿宋" w:cs="仿宋"/>
          <w:color w:val="auto"/>
          <w:sz w:val="24"/>
          <w:u w:val="single"/>
        </w:rPr>
        <w:t>24</w:t>
      </w:r>
      <w:r>
        <w:rPr>
          <w:rStyle w:val="51"/>
          <w:rFonts w:hint="eastAsia" w:ascii="仿宋" w:hAnsi="仿宋" w:eastAsia="仿宋" w:cs="仿宋"/>
          <w:color w:val="auto"/>
          <w:sz w:val="24"/>
        </w:rPr>
        <w:t>小时之内予以响应，并负责在收到买方书面通知</w:t>
      </w:r>
      <w:r>
        <w:rPr>
          <w:rStyle w:val="51"/>
          <w:rFonts w:hint="eastAsia" w:ascii="仿宋" w:hAnsi="仿宋" w:eastAsia="仿宋" w:cs="仿宋"/>
          <w:color w:val="auto"/>
          <w:sz w:val="24"/>
          <w:u w:val="single"/>
        </w:rPr>
        <w:t>3</w:t>
      </w:r>
      <w:r>
        <w:rPr>
          <w:rStyle w:val="51"/>
          <w:rFonts w:hint="eastAsia" w:ascii="仿宋" w:hAnsi="仿宋" w:eastAsia="仿宋" w:cs="仿宋"/>
          <w:color w:val="auto"/>
          <w:sz w:val="24"/>
        </w:rPr>
        <w:t>日之内将该货物修复恢复使用。此外，卖方应负责在修理该货物期间，根据具体情况，向买方提供替代货物或部件，以确保满足买方的正常使用，否则，卖方应赔偿买方因此遭受的一切损失。发生部件损坏返修的情况时，该部件的保修期将重新起算。</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8.3若卖方未能按照前款约定及时开始或完成维修工作，买方可聘请第三方完成该等工作，相应的费用从质量保证金中扣除，质量保证金不足以支付该等维修费用的，不足部分应由卖方承担，于发生后15日内向买方支付。</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8.4在质量保修期结束后的</w:t>
      </w:r>
      <w:r>
        <w:rPr>
          <w:rStyle w:val="51"/>
          <w:rFonts w:hint="eastAsia" w:ascii="仿宋" w:hAnsi="仿宋" w:eastAsia="仿宋" w:cs="仿宋"/>
          <w:color w:val="auto"/>
          <w:sz w:val="24"/>
          <w:u w:val="single"/>
        </w:rPr>
        <w:t>30</w:t>
      </w:r>
      <w:r>
        <w:rPr>
          <w:rStyle w:val="51"/>
          <w:rFonts w:hint="eastAsia" w:ascii="仿宋" w:hAnsi="仿宋" w:eastAsia="仿宋" w:cs="仿宋"/>
          <w:color w:val="auto"/>
          <w:sz w:val="24"/>
        </w:rPr>
        <w:t>日内，卖方应协助买方完成对货物及货物的运行状况的全面检修，检修后确认货物处于良好运行状态的，买方应在检修完成后的</w:t>
      </w:r>
      <w:r>
        <w:rPr>
          <w:rStyle w:val="51"/>
          <w:rFonts w:hint="eastAsia" w:ascii="仿宋" w:hAnsi="仿宋" w:eastAsia="仿宋" w:cs="仿宋"/>
          <w:color w:val="auto"/>
          <w:sz w:val="24"/>
          <w:u w:val="single"/>
        </w:rPr>
        <w:t>7</w:t>
      </w:r>
      <w:r>
        <w:rPr>
          <w:rStyle w:val="51"/>
          <w:rFonts w:hint="eastAsia" w:ascii="仿宋" w:hAnsi="仿宋" w:eastAsia="仿宋" w:cs="仿宋"/>
          <w:color w:val="auto"/>
          <w:sz w:val="24"/>
        </w:rPr>
        <w:t>日内，向卖方签发《质保金验收单》。</w:t>
      </w:r>
    </w:p>
    <w:p>
      <w:pPr>
        <w:spacing w:line="360" w:lineRule="auto"/>
        <w:outlineLvl w:val="9"/>
        <w:rPr>
          <w:rStyle w:val="51"/>
          <w:rFonts w:hint="eastAsia" w:ascii="仿宋" w:hAnsi="仿宋" w:eastAsia="仿宋" w:cs="仿宋"/>
          <w:b/>
          <w:color w:val="auto"/>
          <w:sz w:val="24"/>
        </w:rPr>
      </w:pPr>
      <w:bookmarkStart w:id="246" w:name="_Toc460851399"/>
      <w:bookmarkStart w:id="247" w:name="_Toc460587746"/>
      <w:bookmarkStart w:id="248" w:name="_Toc460920310"/>
      <w:r>
        <w:rPr>
          <w:rStyle w:val="51"/>
          <w:rFonts w:hint="eastAsia" w:ascii="仿宋" w:hAnsi="仿宋" w:eastAsia="仿宋" w:cs="仿宋"/>
          <w:b/>
          <w:color w:val="auto"/>
          <w:sz w:val="24"/>
        </w:rPr>
        <w:t>9、</w:t>
      </w:r>
      <w:bookmarkEnd w:id="246"/>
      <w:bookmarkEnd w:id="247"/>
      <w:bookmarkEnd w:id="248"/>
      <w:bookmarkStart w:id="249" w:name="_Toc460920311"/>
      <w:bookmarkStart w:id="250" w:name="_Toc460851400"/>
      <w:bookmarkStart w:id="251" w:name="_Toc460587747"/>
      <w:r>
        <w:rPr>
          <w:rStyle w:val="51"/>
          <w:rFonts w:hint="eastAsia" w:ascii="仿宋" w:hAnsi="仿宋" w:eastAsia="仿宋" w:cs="仿宋"/>
          <w:b/>
          <w:color w:val="auto"/>
          <w:sz w:val="24"/>
        </w:rPr>
        <w:t>税费</w:t>
      </w:r>
      <w:bookmarkEnd w:id="249"/>
      <w:bookmarkEnd w:id="250"/>
      <w:bookmarkEnd w:id="251"/>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9.1主管政府部门依据中国法律和规定向买方所征缴的与本合同的签订及对货物的购买、占有及使用有关的税费将由买方承担并缴纳。</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9.2主管政府部门依据中国法律和规定向卖方征收的与本合同有关的或在本合同履行过程中向卖方征收的所有税费将由卖方承担并缴纳。</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9.3主管政府部门向卖方征收的与本合同有关的或在本合同履行过程中向卖方征收的所有税费，按照中国有关部门的规定，需要由买方代扣代缴的，买方将按有关规定从应支付给卖方的款项中预扣并代扣代缴。</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9.4在中国境外产生的与本合同有关的和/或与本合同执行有关的一切税费将由卖方承担并缴纳。</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9.5合同执行过程中，双方约定增值税税率如与法律法规不符，按照不含税价格不变的原则，遵从法律规定适用增值税税率，重新计算确定合同价税合计金额。</w:t>
      </w:r>
    </w:p>
    <w:p>
      <w:pPr>
        <w:spacing w:line="360" w:lineRule="auto"/>
        <w:outlineLvl w:val="9"/>
        <w:rPr>
          <w:rStyle w:val="51"/>
          <w:rFonts w:hint="eastAsia" w:ascii="仿宋" w:hAnsi="仿宋" w:eastAsia="仿宋" w:cs="仿宋"/>
          <w:b/>
          <w:color w:val="auto"/>
          <w:sz w:val="24"/>
        </w:rPr>
      </w:pPr>
      <w:bookmarkStart w:id="252" w:name="_Toc460587748"/>
      <w:bookmarkStart w:id="253" w:name="_Toc460851401"/>
      <w:bookmarkStart w:id="254" w:name="_Toc460920312"/>
      <w:r>
        <w:rPr>
          <w:rStyle w:val="51"/>
          <w:rFonts w:hint="eastAsia" w:ascii="仿宋" w:hAnsi="仿宋" w:eastAsia="仿宋" w:cs="仿宋"/>
          <w:b/>
          <w:color w:val="auto"/>
          <w:sz w:val="24"/>
        </w:rPr>
        <w:t>10、保密</w:t>
      </w:r>
      <w:bookmarkEnd w:id="252"/>
      <w:bookmarkEnd w:id="253"/>
      <w:bookmarkEnd w:id="254"/>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pPr>
        <w:spacing w:line="360" w:lineRule="auto"/>
        <w:outlineLvl w:val="9"/>
        <w:rPr>
          <w:rStyle w:val="51"/>
          <w:rFonts w:hint="eastAsia" w:ascii="仿宋" w:hAnsi="仿宋" w:eastAsia="仿宋" w:cs="仿宋"/>
          <w:b/>
          <w:color w:val="auto"/>
          <w:sz w:val="24"/>
        </w:rPr>
      </w:pPr>
      <w:bookmarkStart w:id="255" w:name="_Toc460587749"/>
      <w:bookmarkStart w:id="256" w:name="_Toc460920313"/>
      <w:bookmarkStart w:id="257" w:name="_Toc460851402"/>
      <w:r>
        <w:rPr>
          <w:rStyle w:val="51"/>
          <w:rFonts w:hint="eastAsia" w:ascii="仿宋" w:hAnsi="仿宋" w:eastAsia="仿宋" w:cs="仿宋"/>
          <w:b/>
          <w:color w:val="auto"/>
          <w:sz w:val="24"/>
        </w:rPr>
        <w:t>11、知识产权</w:t>
      </w:r>
      <w:bookmarkEnd w:id="255"/>
      <w:bookmarkEnd w:id="256"/>
      <w:bookmarkEnd w:id="257"/>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11.1卖方确认，卖方基于本合同的约定向买方提供的货物（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等私力救济途径打击侵权行为）打击对卖方知识产权的侵害，因上述软件的知识产权侵权引发的一切法律后果由卖方自行承担。</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11.2卖方承诺在本合同中所采用的和提供给买方所有和/或使用的一切软件、硬件设备以及技术、方法、手段不存在任何权利瑕疵，不侵犯任何第三方的合法权益。卖方应承担因此给买方造成的一切损失。</w:t>
      </w:r>
    </w:p>
    <w:p>
      <w:pPr>
        <w:spacing w:line="360" w:lineRule="auto"/>
        <w:outlineLvl w:val="9"/>
        <w:rPr>
          <w:rStyle w:val="51"/>
          <w:rFonts w:hint="eastAsia" w:ascii="仿宋" w:hAnsi="仿宋" w:eastAsia="仿宋" w:cs="仿宋"/>
          <w:b/>
          <w:color w:val="auto"/>
          <w:sz w:val="24"/>
        </w:rPr>
      </w:pPr>
      <w:bookmarkStart w:id="258" w:name="_Toc460851403"/>
      <w:bookmarkStart w:id="259" w:name="_Toc460920314"/>
      <w:bookmarkStart w:id="260" w:name="_Toc460587750"/>
      <w:r>
        <w:rPr>
          <w:rStyle w:val="51"/>
          <w:rFonts w:hint="eastAsia" w:ascii="仿宋" w:hAnsi="仿宋" w:eastAsia="仿宋" w:cs="仿宋"/>
          <w:b/>
          <w:color w:val="auto"/>
          <w:sz w:val="24"/>
        </w:rPr>
        <w:t>12、不可抗力</w:t>
      </w:r>
      <w:bookmarkEnd w:id="258"/>
      <w:bookmarkEnd w:id="259"/>
      <w:bookmarkEnd w:id="260"/>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12.1本合同所称不可抗力事件指合同当事人不能预见、不能避免、不能克服的客观情况，包括但不限于地震、水灾、雷击、雪灾等天灾，战争、恐怖袭击、内乱、严重威胁健康或安全的情形，火灾、极端恶劣天气。</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12.2由于不可抗力原因，使双方或任何一方不能履行合同义务时，应采取有效措施，尽量避免或减少损失，将损失降低到最低程度。并在不可抗力发生后二十四小时内以书面形式通知对方，并在其后十日内向对方提供有效证明文件。</w:t>
      </w:r>
      <w:r>
        <w:rPr>
          <w:rFonts w:hint="eastAsia" w:ascii="仿宋" w:hAnsi="仿宋" w:eastAsia="仿宋" w:cs="仿宋"/>
          <w:color w:val="auto"/>
          <w:sz w:val="24"/>
        </w:rPr>
        <w:t>一方未尽通知义务或未采取措施避免、减少损失的，应就扩大的损失承担相应的赔偿责任。</w:t>
      </w:r>
    </w:p>
    <w:p>
      <w:pPr>
        <w:spacing w:line="360" w:lineRule="auto"/>
        <w:ind w:firstLine="360" w:firstLineChars="15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12.3</w:t>
      </w:r>
      <w:r>
        <w:rPr>
          <w:rFonts w:hint="eastAsia" w:ascii="仿宋" w:hAnsi="仿宋" w:eastAsia="仿宋" w:cs="仿宋"/>
          <w:color w:val="auto"/>
          <w:sz w:val="24"/>
        </w:rPr>
        <w:t>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12.4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pPr>
        <w:spacing w:line="360" w:lineRule="auto"/>
        <w:outlineLvl w:val="9"/>
        <w:rPr>
          <w:rStyle w:val="51"/>
          <w:rFonts w:hint="eastAsia" w:ascii="仿宋" w:hAnsi="仿宋" w:eastAsia="仿宋" w:cs="仿宋"/>
          <w:b/>
          <w:color w:val="auto"/>
          <w:sz w:val="24"/>
        </w:rPr>
      </w:pPr>
      <w:bookmarkStart w:id="261" w:name="_Toc460920315"/>
      <w:bookmarkStart w:id="262" w:name="_Toc460851404"/>
      <w:bookmarkStart w:id="263" w:name="_Toc460587751"/>
      <w:r>
        <w:rPr>
          <w:rStyle w:val="51"/>
          <w:rFonts w:hint="eastAsia" w:ascii="仿宋" w:hAnsi="仿宋" w:eastAsia="仿宋" w:cs="仿宋"/>
          <w:b/>
          <w:color w:val="auto"/>
          <w:sz w:val="24"/>
        </w:rPr>
        <w:t>13、违约责任</w:t>
      </w:r>
      <w:bookmarkEnd w:id="261"/>
      <w:bookmarkEnd w:id="262"/>
      <w:bookmarkEnd w:id="263"/>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13.1在检验、验收和质量保修期内，如发现货物存在质量瑕疵或不符合合同约定，买方有权向卖方提出索赔。卖方应根据买方的选择，采取下列一种或几种方式相结合解决上述索赔：</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13.1.1卖方同意退货并在收到货物后的</w:t>
      </w:r>
      <w:r>
        <w:rPr>
          <w:rStyle w:val="51"/>
          <w:rFonts w:hint="eastAsia" w:ascii="仿宋" w:hAnsi="仿宋" w:eastAsia="仿宋" w:cs="仿宋"/>
          <w:b/>
          <w:color w:val="auto"/>
          <w:sz w:val="24"/>
          <w:u w:val="single"/>
        </w:rPr>
        <w:t>10</w:t>
      </w:r>
      <w:r>
        <w:rPr>
          <w:rStyle w:val="51"/>
          <w:rFonts w:hint="eastAsia" w:ascii="仿宋" w:hAnsi="仿宋" w:eastAsia="仿宋" w:cs="仿宋"/>
          <w:b/>
          <w:color w:val="auto"/>
          <w:sz w:val="24"/>
        </w:rPr>
        <w:t>日内以合同约定的同种货币将价款退还买方，并承担由此发生的一切损失和费用，包括利息、银行手续费、运费、保险费、检验费、仓储费、装卸费以及为保管和保护退回货物所需的其他必要费用，并承担合同总金额</w:t>
      </w:r>
      <w:r>
        <w:rPr>
          <w:rStyle w:val="51"/>
          <w:rFonts w:hint="eastAsia" w:ascii="仿宋" w:hAnsi="仿宋" w:eastAsia="仿宋" w:cs="仿宋"/>
          <w:b/>
          <w:color w:val="auto"/>
          <w:sz w:val="24"/>
          <w:u w:val="single"/>
        </w:rPr>
        <w:t>20%</w:t>
      </w:r>
      <w:r>
        <w:rPr>
          <w:rStyle w:val="51"/>
          <w:rFonts w:hint="eastAsia" w:ascii="仿宋" w:hAnsi="仿宋" w:eastAsia="仿宋" w:cs="仿宋"/>
          <w:b/>
          <w:color w:val="auto"/>
          <w:sz w:val="24"/>
        </w:rPr>
        <w:t>的违约金。</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13.1.2根据货物质量问题可能使买方受到损失的情况，在收到买方通知后</w:t>
      </w:r>
      <w:r>
        <w:rPr>
          <w:rStyle w:val="51"/>
          <w:rFonts w:hint="eastAsia" w:ascii="仿宋" w:hAnsi="仿宋" w:eastAsia="仿宋" w:cs="仿宋"/>
          <w:b/>
          <w:color w:val="auto"/>
          <w:sz w:val="24"/>
          <w:u w:val="single"/>
        </w:rPr>
        <w:t>5</w:t>
      </w:r>
      <w:r>
        <w:rPr>
          <w:rStyle w:val="51"/>
          <w:rFonts w:hint="eastAsia" w:ascii="仿宋" w:hAnsi="仿宋" w:eastAsia="仿宋" w:cs="仿宋"/>
          <w:b/>
          <w:color w:val="auto"/>
          <w:sz w:val="24"/>
        </w:rPr>
        <w:t>日内或在买方提出要求之日起</w:t>
      </w:r>
      <w:r>
        <w:rPr>
          <w:rStyle w:val="51"/>
          <w:rFonts w:hint="eastAsia" w:ascii="仿宋" w:hAnsi="仿宋" w:eastAsia="仿宋" w:cs="仿宋"/>
          <w:b/>
          <w:color w:val="auto"/>
          <w:sz w:val="24"/>
          <w:u w:val="single"/>
        </w:rPr>
        <w:t>5</w:t>
      </w:r>
      <w:r>
        <w:rPr>
          <w:rStyle w:val="51"/>
          <w:rFonts w:hint="eastAsia" w:ascii="仿宋" w:hAnsi="仿宋" w:eastAsia="仿宋" w:cs="仿宋"/>
          <w:b/>
          <w:color w:val="auto"/>
          <w:sz w:val="24"/>
        </w:rPr>
        <w:t>日内修补或更换存在质量问题的货物，承担由此产生的一切费用，赔偿买方受到的全部损失，并承担合同总金额</w:t>
      </w:r>
      <w:r>
        <w:rPr>
          <w:rStyle w:val="51"/>
          <w:rFonts w:hint="eastAsia" w:ascii="仿宋" w:hAnsi="仿宋" w:eastAsia="仿宋" w:cs="仿宋"/>
          <w:b/>
          <w:color w:val="auto"/>
          <w:sz w:val="24"/>
          <w:u w:val="single"/>
        </w:rPr>
        <w:t>20%</w:t>
      </w:r>
      <w:r>
        <w:rPr>
          <w:rStyle w:val="51"/>
          <w:rFonts w:hint="eastAsia" w:ascii="仿宋" w:hAnsi="仿宋" w:eastAsia="仿宋" w:cs="仿宋"/>
          <w:b/>
          <w:color w:val="auto"/>
          <w:sz w:val="24"/>
        </w:rPr>
        <w:t>的违约金。卖方应相应顺延所更换货物的质量保修期。</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13.2如卖方自接到买方索赔通知之日起</w:t>
      </w:r>
      <w:r>
        <w:rPr>
          <w:rStyle w:val="51"/>
          <w:rFonts w:hint="eastAsia" w:ascii="仿宋" w:hAnsi="仿宋" w:eastAsia="仿宋" w:cs="仿宋"/>
          <w:b/>
          <w:color w:val="auto"/>
          <w:sz w:val="24"/>
          <w:u w:val="single"/>
        </w:rPr>
        <w:t>5</w:t>
      </w:r>
      <w:r>
        <w:rPr>
          <w:rStyle w:val="51"/>
          <w:rFonts w:hint="eastAsia" w:ascii="仿宋" w:hAnsi="仿宋" w:eastAsia="仿宋" w:cs="仿宋"/>
          <w:b/>
          <w:color w:val="auto"/>
          <w:sz w:val="24"/>
        </w:rPr>
        <w:t>日内未做出任何答复，则视为卖方已接受买方提出的索赔。</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13.3除不可抗力外，如因卖方原因造成迟延交货、安装调试的，每迟延</w:t>
      </w:r>
      <w:r>
        <w:rPr>
          <w:rStyle w:val="51"/>
          <w:rFonts w:hint="eastAsia" w:ascii="仿宋" w:hAnsi="仿宋" w:eastAsia="仿宋" w:cs="仿宋"/>
          <w:b/>
          <w:color w:val="auto"/>
          <w:sz w:val="24"/>
          <w:u w:val="single"/>
        </w:rPr>
        <w:t>1</w:t>
      </w:r>
      <w:r>
        <w:rPr>
          <w:rStyle w:val="51"/>
          <w:rFonts w:hint="eastAsia" w:ascii="仿宋" w:hAnsi="仿宋" w:eastAsia="仿宋" w:cs="仿宋"/>
          <w:b/>
          <w:color w:val="auto"/>
          <w:sz w:val="24"/>
        </w:rPr>
        <w:t>日，卖方应向买方支付相当于迟延货物总价的</w:t>
      </w:r>
      <w:r>
        <w:rPr>
          <w:rStyle w:val="51"/>
          <w:rFonts w:hint="eastAsia" w:ascii="仿宋" w:hAnsi="仿宋" w:eastAsia="仿宋" w:cs="仿宋"/>
          <w:b/>
          <w:color w:val="auto"/>
          <w:sz w:val="24"/>
          <w:u w:val="single"/>
        </w:rPr>
        <w:t>万分之五</w:t>
      </w:r>
      <w:r>
        <w:rPr>
          <w:rStyle w:val="51"/>
          <w:rFonts w:hint="eastAsia" w:ascii="仿宋" w:hAnsi="仿宋" w:eastAsia="仿宋" w:cs="仿宋"/>
          <w:b/>
          <w:color w:val="auto"/>
          <w:sz w:val="24"/>
        </w:rPr>
        <w:t>的违约金。上述违约金的支付不解除卖方的发货/交货责任。如果卖方未能在约定的发货/</w:t>
      </w:r>
      <w:r>
        <w:rPr>
          <w:rStyle w:val="51"/>
          <w:rFonts w:hint="eastAsia" w:ascii="仿宋" w:hAnsi="仿宋" w:eastAsia="仿宋" w:cs="仿宋"/>
          <w:b/>
          <w:color w:val="auto"/>
          <w:sz w:val="24"/>
          <w:lang w:eastAsia="zh-CN"/>
        </w:rPr>
        <w:t>供货期限</w:t>
      </w:r>
      <w:r>
        <w:rPr>
          <w:rStyle w:val="51"/>
          <w:rFonts w:hint="eastAsia" w:ascii="仿宋" w:hAnsi="仿宋" w:eastAsia="仿宋" w:cs="仿宋"/>
          <w:b/>
          <w:color w:val="auto"/>
          <w:sz w:val="24"/>
        </w:rPr>
        <w:t>内按时交货，如该等违约金不足以弥补买方因此遭受的损失，卖方还应赔偿买方因此遭受的一切损失。</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13.4如果迟延交货超过</w:t>
      </w:r>
      <w:r>
        <w:rPr>
          <w:rStyle w:val="51"/>
          <w:rFonts w:hint="eastAsia" w:ascii="仿宋" w:hAnsi="仿宋" w:eastAsia="仿宋" w:cs="仿宋"/>
          <w:b/>
          <w:color w:val="auto"/>
          <w:sz w:val="24"/>
          <w:u w:val="single"/>
        </w:rPr>
        <w:t>30</w:t>
      </w:r>
      <w:r>
        <w:rPr>
          <w:rStyle w:val="51"/>
          <w:rFonts w:hint="eastAsia" w:ascii="仿宋" w:hAnsi="仿宋" w:eastAsia="仿宋" w:cs="仿宋"/>
          <w:b/>
          <w:color w:val="auto"/>
          <w:sz w:val="24"/>
        </w:rPr>
        <w:t>日，则买方有权解除本合同。在买方解除本合同的情况下，卖方应退还买方已支付全部款项及自付款之日起至返还之日间的利息（按全国银行间同业拆借中心公布的贷款市场报价利率（LPR），赔偿买方受到的其他全部损失，并承担合同总金额20%的违约金。</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13.5当卖方违反标的物瑕疵担保义务，提交了不符合合同规定的标的物时，买方可以采取减少价金的救济方法，且不论价款是否已经支付，买方都可以要求减少价金。减价按实际交付的标的物在交付时的价值与符合合同的标的物在同一时间的价值两者之间的比例计算，具体由双方另行协商确定。</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13.6在产品的合理使用期限内，因卖方交付的标的物部分或全部存在缺陷或瑕疵或不符合合同约定的，导致买方或第三方的人员伤亡、财产损失或其他侵权事件发生，卖方还应承担全部损害赔偿责任。</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13.7卖方交付标的物的数量超出合同约定时，买方有权拒绝接收多交部分，卖方应当承担买方代为保管期间产生的人工、仓储等保管费用以及非因买方故意或重大过失造成的损失。</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13.8买方有权从合同价款的任何一笔付款中直接扣除卖方应付给买方的违约金或赔偿金。</w:t>
      </w:r>
    </w:p>
    <w:p>
      <w:pPr>
        <w:spacing w:line="360" w:lineRule="auto"/>
        <w:ind w:firstLine="482" w:firstLineChars="200"/>
        <w:outlineLvl w:val="9"/>
        <w:rPr>
          <w:rFonts w:hint="eastAsia" w:ascii="仿宋" w:hAnsi="仿宋" w:eastAsia="仿宋" w:cs="仿宋"/>
          <w:b/>
          <w:color w:val="auto"/>
          <w:sz w:val="24"/>
        </w:rPr>
      </w:pPr>
      <w:r>
        <w:rPr>
          <w:rStyle w:val="51"/>
          <w:rFonts w:hint="eastAsia" w:ascii="仿宋" w:hAnsi="仿宋" w:eastAsia="仿宋" w:cs="仿宋"/>
          <w:b/>
          <w:color w:val="auto"/>
          <w:sz w:val="24"/>
        </w:rPr>
        <w:t>13.9合同期内，非因乙方原因，甲方无理由逾期付款的，乙方有权以未付金额为基数，按照全国银行间同业拆借中心公布的贷款市场报价利率（LPR）的2倍计算至款项付清为止</w:t>
      </w:r>
      <w:r>
        <w:rPr>
          <w:rFonts w:hint="eastAsia" w:ascii="仿宋" w:hAnsi="仿宋" w:eastAsia="仿宋" w:cs="仿宋"/>
          <w:b/>
          <w:color w:val="auto"/>
          <w:sz w:val="24"/>
        </w:rPr>
        <w:t>。</w:t>
      </w:r>
    </w:p>
    <w:p>
      <w:pPr>
        <w:spacing w:line="360" w:lineRule="auto"/>
        <w:ind w:firstLine="482" w:firstLineChars="200"/>
        <w:outlineLvl w:val="9"/>
        <w:rPr>
          <w:rFonts w:hint="eastAsia" w:ascii="仿宋" w:hAnsi="仿宋" w:eastAsia="仿宋" w:cs="仿宋"/>
          <w:b/>
          <w:color w:val="auto"/>
        </w:rPr>
      </w:pPr>
      <w:r>
        <w:rPr>
          <w:rStyle w:val="51"/>
          <w:rFonts w:hint="eastAsia" w:ascii="仿宋" w:hAnsi="仿宋" w:eastAsia="仿宋" w:cs="仿宋"/>
          <w:b/>
          <w:color w:val="auto"/>
          <w:sz w:val="24"/>
        </w:rPr>
        <w:t>13.10 甲乙双方确认,本合同项下甲方的损失包括全部直接和间接损失,赔偿范围包括但不限于因乙方的违约使甲方产生或支出的赔偿金、罚款罚金、和解费用、诉讼费、仲裁费、律师费、公证费、调查费、差旅费、食宿费等。</w:t>
      </w:r>
    </w:p>
    <w:p>
      <w:pPr>
        <w:spacing w:line="360" w:lineRule="auto"/>
        <w:outlineLvl w:val="9"/>
        <w:rPr>
          <w:rStyle w:val="51"/>
          <w:rFonts w:hint="eastAsia" w:ascii="仿宋" w:hAnsi="仿宋" w:eastAsia="仿宋" w:cs="仿宋"/>
          <w:b/>
          <w:color w:val="auto"/>
          <w:sz w:val="24"/>
        </w:rPr>
      </w:pPr>
      <w:bookmarkStart w:id="264" w:name="_Toc460920316"/>
      <w:bookmarkStart w:id="265" w:name="_Toc460587752"/>
      <w:bookmarkStart w:id="266" w:name="_Toc460851405"/>
      <w:r>
        <w:rPr>
          <w:rStyle w:val="51"/>
          <w:rFonts w:hint="eastAsia" w:ascii="仿宋" w:hAnsi="仿宋" w:eastAsia="仿宋" w:cs="仿宋"/>
          <w:b/>
          <w:color w:val="auto"/>
          <w:sz w:val="24"/>
        </w:rPr>
        <w:t>14、合同的变更与解除</w:t>
      </w:r>
      <w:bookmarkEnd w:id="264"/>
      <w:bookmarkEnd w:id="265"/>
      <w:bookmarkEnd w:id="266"/>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14.1经双方协商一致，可对本合同的条款和条件做出变更。合同变更应以书面方式作出。</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14.2卖方严重违反其在本合同项下的义务或责任，自收到买方的违约通知之日起</w:t>
      </w:r>
      <w:r>
        <w:rPr>
          <w:rStyle w:val="51"/>
          <w:rFonts w:hint="eastAsia" w:ascii="仿宋" w:hAnsi="仿宋" w:eastAsia="仿宋" w:cs="仿宋"/>
          <w:b/>
          <w:color w:val="auto"/>
          <w:sz w:val="24"/>
          <w:u w:val="single"/>
        </w:rPr>
        <w:t>10</w:t>
      </w:r>
      <w:r>
        <w:rPr>
          <w:rStyle w:val="51"/>
          <w:rFonts w:hint="eastAsia" w:ascii="仿宋" w:hAnsi="仿宋" w:eastAsia="仿宋" w:cs="仿宋"/>
          <w:b/>
          <w:color w:val="auto"/>
          <w:sz w:val="24"/>
        </w:rPr>
        <w:t>日内仍未能改正的，买方有权书面通知卖方全部或部分解除本合同。</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14.3本合同全部或部分终止并不免除违约方应承担的违约责任，包括但不限于定金罚则、支付违约金、赔偿金。</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14.4卖方破产或因其他原因丧失清偿能力，在不损害或影响买方的任何行动权利和已采取或将采取的对买方补救措施的条件下，买方可在任何时候书面通知卖方终止合同而无须向卖方作任何补偿。</w:t>
      </w:r>
    </w:p>
    <w:p>
      <w:pPr>
        <w:spacing w:line="360" w:lineRule="auto"/>
        <w:ind w:firstLine="482" w:firstLineChars="200"/>
        <w:outlineLvl w:val="9"/>
        <w:rPr>
          <w:rStyle w:val="51"/>
          <w:rFonts w:hint="eastAsia" w:ascii="仿宋" w:hAnsi="仿宋" w:eastAsia="仿宋" w:cs="仿宋"/>
          <w:b/>
          <w:color w:val="auto"/>
          <w:sz w:val="24"/>
        </w:rPr>
      </w:pPr>
      <w:r>
        <w:rPr>
          <w:rStyle w:val="51"/>
          <w:rFonts w:hint="eastAsia" w:ascii="仿宋" w:hAnsi="仿宋" w:eastAsia="仿宋" w:cs="仿宋"/>
          <w:b/>
          <w:color w:val="auto"/>
          <w:sz w:val="24"/>
        </w:rPr>
        <w:t xml:space="preserve">14.5 本合同因任何原因终止或解除后,双方均应办理退货/对账/结算等手续。具体包括: </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 xml:space="preserve">14.5.1乙方应办理完毕产品清退事宜并经与甲方对账后,向甲方提交乙方盖章的《账款确认函》; </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 xml:space="preserve">14.5.2 如有未结货款,在乙方办理完毕产品清退事宜并且提交《账款确认函》及相应未结货款的增值税票及本合同约定的其它结算手续(如有)后,甲方按照合同规定付款期限支付。 </w:t>
      </w:r>
    </w:p>
    <w:p>
      <w:pPr>
        <w:spacing w:line="360" w:lineRule="auto"/>
        <w:ind w:firstLine="482" w:firstLineChars="200"/>
        <w:outlineLvl w:val="9"/>
        <w:rPr>
          <w:rFonts w:hint="eastAsia" w:ascii="仿宋" w:hAnsi="仿宋" w:eastAsia="仿宋" w:cs="仿宋"/>
          <w:b/>
          <w:color w:val="auto"/>
          <w:sz w:val="24"/>
        </w:rPr>
      </w:pPr>
      <w:r>
        <w:rPr>
          <w:rStyle w:val="51"/>
          <w:rFonts w:hint="eastAsia" w:ascii="仿宋" w:hAnsi="仿宋" w:eastAsia="仿宋" w:cs="仿宋"/>
          <w:b/>
          <w:color w:val="auto"/>
          <w:sz w:val="24"/>
        </w:rPr>
        <w:t>乙方未办理完毕产品清退手续、未提交相应增值税票及其它约定手续或者未提交《账款确认函》的,甲方有权暂停向乙方支</w:t>
      </w:r>
      <w:r>
        <w:rPr>
          <w:rFonts w:hint="eastAsia" w:ascii="仿宋" w:hAnsi="仿宋" w:eastAsia="仿宋" w:cs="仿宋"/>
          <w:b/>
          <w:color w:val="auto"/>
          <w:sz w:val="24"/>
        </w:rPr>
        <w:t>付货款,甲方不属于违约不需承担延迟付款的责任。</w:t>
      </w:r>
    </w:p>
    <w:p>
      <w:pPr>
        <w:spacing w:line="360" w:lineRule="auto"/>
        <w:ind w:firstLine="482" w:firstLineChars="200"/>
        <w:outlineLvl w:val="9"/>
        <w:rPr>
          <w:rStyle w:val="51"/>
          <w:rFonts w:hint="eastAsia" w:ascii="仿宋" w:hAnsi="仿宋" w:eastAsia="仿宋" w:cs="仿宋"/>
          <w:color w:val="auto"/>
          <w:sz w:val="24"/>
        </w:rPr>
      </w:pPr>
      <w:r>
        <w:rPr>
          <w:rFonts w:hint="eastAsia" w:ascii="仿宋" w:hAnsi="仿宋" w:eastAsia="仿宋" w:cs="仿宋"/>
          <w:b/>
          <w:color w:val="auto"/>
          <w:sz w:val="24"/>
        </w:rPr>
        <w:t>14.5.3 《账款确认函》需明确未结货款金额(如有),乙方承诺,除该笔未结货款外(如有),其它包括但不限于货款、费用、退货等问题均已核对清楚并已结清,乙方已无异议, 乙方若仍有遗漏或未核对的业务往来票据、单据一律作废,乙方放弃前述票据、单据所代表的全部债权。本承诺为不可撤销及不可更改。</w:t>
      </w:r>
    </w:p>
    <w:p>
      <w:pPr>
        <w:spacing w:line="360" w:lineRule="auto"/>
        <w:outlineLvl w:val="9"/>
        <w:rPr>
          <w:rStyle w:val="51"/>
          <w:rFonts w:hint="eastAsia" w:ascii="仿宋" w:hAnsi="仿宋" w:eastAsia="仿宋" w:cs="仿宋"/>
          <w:b/>
          <w:color w:val="auto"/>
          <w:sz w:val="24"/>
        </w:rPr>
      </w:pPr>
      <w:bookmarkStart w:id="267" w:name="_Toc460920317"/>
      <w:bookmarkStart w:id="268" w:name="_Toc460587753"/>
      <w:bookmarkStart w:id="269" w:name="_Toc460851406"/>
      <w:r>
        <w:rPr>
          <w:rStyle w:val="51"/>
          <w:rFonts w:hint="eastAsia" w:ascii="仿宋" w:hAnsi="仿宋" w:eastAsia="仿宋" w:cs="仿宋"/>
          <w:b/>
          <w:color w:val="auto"/>
          <w:sz w:val="24"/>
        </w:rPr>
        <w:t>15、完整性</w:t>
      </w:r>
      <w:bookmarkEnd w:id="267"/>
      <w:bookmarkEnd w:id="268"/>
      <w:bookmarkEnd w:id="269"/>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竞争性</w:t>
      </w:r>
      <w:r>
        <w:rPr>
          <w:rFonts w:hint="eastAsia" w:ascii="仿宋" w:hAnsi="仿宋" w:eastAsia="仿宋" w:cs="仿宋"/>
          <w:color w:val="auto"/>
          <w:sz w:val="24"/>
          <w:szCs w:val="24"/>
          <w:highlight w:val="none"/>
          <w:lang w:eastAsia="zh-CN"/>
        </w:rPr>
        <w:t>谈判</w:t>
      </w:r>
      <w:r>
        <w:rPr>
          <w:rStyle w:val="51"/>
          <w:rFonts w:hint="eastAsia" w:ascii="仿宋" w:hAnsi="仿宋" w:eastAsia="仿宋" w:cs="仿宋"/>
          <w:color w:val="auto"/>
          <w:sz w:val="24"/>
        </w:rPr>
        <w:t>文件、投标文件、评标过程中的承诺文件、</w:t>
      </w:r>
      <w:r>
        <w:rPr>
          <w:rStyle w:val="51"/>
          <w:rFonts w:hint="eastAsia" w:ascii="仿宋" w:hAnsi="仿宋" w:eastAsia="仿宋" w:cs="仿宋"/>
          <w:color w:val="auto"/>
          <w:sz w:val="24"/>
          <w:lang w:val="en-US" w:eastAsia="zh-CN"/>
        </w:rPr>
        <w:t>成交</w:t>
      </w:r>
      <w:r>
        <w:rPr>
          <w:rStyle w:val="51"/>
          <w:rFonts w:hint="eastAsia" w:ascii="仿宋" w:hAnsi="仿宋" w:eastAsia="仿宋" w:cs="仿宋"/>
          <w:color w:val="auto"/>
          <w:sz w:val="24"/>
        </w:rPr>
        <w:t>/入围通知书及本合同提及的相关文件或附于本合同的附件是本合同的组成部分，且与本合同约定具有同等法律效力，本合同及其附件构成完整协议，并取代双方先前就本合同标的做出的一切口头及书面协议、传真和会议纪要。如附件与本合同不一致，以本合同为准。</w:t>
      </w:r>
    </w:p>
    <w:p>
      <w:pPr>
        <w:spacing w:line="360" w:lineRule="auto"/>
        <w:outlineLvl w:val="9"/>
        <w:rPr>
          <w:rStyle w:val="51"/>
          <w:rFonts w:hint="eastAsia" w:ascii="仿宋" w:hAnsi="仿宋" w:eastAsia="仿宋" w:cs="仿宋"/>
          <w:b/>
          <w:color w:val="auto"/>
          <w:sz w:val="24"/>
        </w:rPr>
      </w:pPr>
      <w:bookmarkStart w:id="270" w:name="_Toc460920318"/>
      <w:bookmarkStart w:id="271" w:name="_Toc460587754"/>
      <w:bookmarkStart w:id="272" w:name="_Toc460851407"/>
      <w:r>
        <w:rPr>
          <w:rStyle w:val="51"/>
          <w:rFonts w:hint="eastAsia" w:ascii="仿宋" w:hAnsi="仿宋" w:eastAsia="仿宋" w:cs="仿宋"/>
          <w:b/>
          <w:color w:val="auto"/>
          <w:sz w:val="24"/>
        </w:rPr>
        <w:t>16、修订</w:t>
      </w:r>
      <w:bookmarkEnd w:id="270"/>
      <w:bookmarkEnd w:id="271"/>
      <w:bookmarkEnd w:id="272"/>
    </w:p>
    <w:p>
      <w:pPr>
        <w:spacing w:line="360" w:lineRule="auto"/>
        <w:ind w:firstLine="480" w:firstLineChars="200"/>
        <w:outlineLvl w:val="9"/>
        <w:rPr>
          <w:rStyle w:val="51"/>
          <w:rFonts w:hint="eastAsia" w:ascii="仿宋" w:hAnsi="仿宋" w:eastAsia="仿宋" w:cs="仿宋"/>
          <w:b/>
          <w:color w:val="auto"/>
          <w:sz w:val="24"/>
        </w:rPr>
      </w:pPr>
      <w:r>
        <w:rPr>
          <w:rStyle w:val="51"/>
          <w:rFonts w:hint="eastAsia" w:ascii="仿宋" w:hAnsi="仿宋" w:eastAsia="仿宋" w:cs="仿宋"/>
          <w:color w:val="auto"/>
          <w:sz w:val="24"/>
        </w:rPr>
        <w:t>任何对本合同的补充和条款的修改，都应经双方协商一致后，由双方授权代表签署书面协议。</w:t>
      </w:r>
    </w:p>
    <w:p>
      <w:pPr>
        <w:spacing w:line="360" w:lineRule="auto"/>
        <w:outlineLvl w:val="9"/>
        <w:rPr>
          <w:rStyle w:val="51"/>
          <w:rFonts w:hint="eastAsia" w:ascii="仿宋" w:hAnsi="仿宋" w:eastAsia="仿宋" w:cs="仿宋"/>
          <w:b/>
          <w:color w:val="auto"/>
          <w:sz w:val="24"/>
        </w:rPr>
      </w:pPr>
      <w:bookmarkStart w:id="273" w:name="_Toc460851408"/>
      <w:bookmarkStart w:id="274" w:name="_Toc460587755"/>
      <w:bookmarkStart w:id="275" w:name="_Toc460920319"/>
      <w:r>
        <w:rPr>
          <w:rStyle w:val="51"/>
          <w:rFonts w:hint="eastAsia" w:ascii="仿宋" w:hAnsi="仿宋" w:eastAsia="仿宋" w:cs="仿宋"/>
          <w:b/>
          <w:color w:val="auto"/>
          <w:sz w:val="24"/>
        </w:rPr>
        <w:t>17、适用法律及争议解决</w:t>
      </w:r>
      <w:bookmarkEnd w:id="273"/>
      <w:bookmarkEnd w:id="274"/>
      <w:bookmarkEnd w:id="275"/>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17.1本合同的订立、解释、履行及效力均受中国法律管辖。</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17.2凡因执行本合同发生的与本合同有关的一切争议，双方应首先尽最大努力友好协商解决。</w:t>
      </w:r>
    </w:p>
    <w:p>
      <w:pPr>
        <w:spacing w:line="360" w:lineRule="auto"/>
        <w:ind w:firstLine="480" w:firstLineChars="200"/>
        <w:outlineLvl w:val="9"/>
        <w:rPr>
          <w:rFonts w:hint="eastAsia" w:ascii="仿宋" w:hAnsi="仿宋" w:eastAsia="仿宋" w:cs="仿宋"/>
          <w:bCs/>
          <w:color w:val="auto"/>
          <w:sz w:val="24"/>
        </w:rPr>
      </w:pPr>
      <w:r>
        <w:rPr>
          <w:rStyle w:val="51"/>
          <w:rFonts w:hint="eastAsia" w:ascii="仿宋" w:hAnsi="仿宋" w:eastAsia="仿宋" w:cs="仿宋"/>
          <w:color w:val="auto"/>
          <w:sz w:val="24"/>
        </w:rPr>
        <w:t>17.3</w:t>
      </w:r>
      <w:r>
        <w:rPr>
          <w:rFonts w:hint="eastAsia" w:ascii="仿宋" w:hAnsi="仿宋" w:eastAsia="仿宋" w:cs="仿宋"/>
          <w:bCs/>
          <w:color w:val="auto"/>
          <w:sz w:val="24"/>
        </w:rPr>
        <w:t>因本合同引起的或与本合同有关的任何争议，双方自行协商解决；协商不成的，按以下第</w:t>
      </w:r>
      <w:r>
        <w:rPr>
          <w:rFonts w:hint="eastAsia" w:ascii="仿宋" w:hAnsi="仿宋" w:eastAsia="仿宋" w:cs="仿宋"/>
          <w:bCs/>
          <w:color w:val="auto"/>
          <w:sz w:val="24"/>
          <w:u w:val="single"/>
        </w:rPr>
        <w:t>（1）</w:t>
      </w:r>
      <w:r>
        <w:rPr>
          <w:rFonts w:hint="eastAsia" w:ascii="仿宋" w:hAnsi="仿宋" w:eastAsia="仿宋" w:cs="仿宋"/>
          <w:bCs/>
          <w:color w:val="auto"/>
          <w:sz w:val="24"/>
        </w:rPr>
        <w:t>种方式解决：</w:t>
      </w:r>
    </w:p>
    <w:p>
      <w:pPr>
        <w:spacing w:line="360" w:lineRule="auto"/>
        <w:ind w:firstLine="480" w:firstLineChars="200"/>
        <w:outlineLvl w:val="9"/>
        <w:rPr>
          <w:rFonts w:hint="eastAsia" w:ascii="仿宋" w:hAnsi="仿宋" w:eastAsia="仿宋" w:cs="仿宋"/>
          <w:bCs/>
          <w:color w:val="auto"/>
          <w:sz w:val="24"/>
        </w:rPr>
      </w:pPr>
      <w:r>
        <w:rPr>
          <w:rFonts w:hint="eastAsia" w:ascii="仿宋" w:hAnsi="仿宋" w:eastAsia="仿宋" w:cs="仿宋"/>
          <w:bCs/>
          <w:color w:val="auto"/>
          <w:sz w:val="24"/>
        </w:rPr>
        <w:t>（1）向</w:t>
      </w:r>
      <w:r>
        <w:rPr>
          <w:rFonts w:hint="eastAsia" w:ascii="仿宋" w:hAnsi="仿宋" w:eastAsia="仿宋" w:cs="仿宋"/>
          <w:bCs/>
          <w:color w:val="auto"/>
          <w:sz w:val="24"/>
          <w:u w:val="single"/>
        </w:rPr>
        <w:t>买方住所地</w:t>
      </w:r>
      <w:r>
        <w:rPr>
          <w:rFonts w:hint="eastAsia" w:ascii="仿宋" w:hAnsi="仿宋" w:eastAsia="仿宋" w:cs="仿宋"/>
          <w:bCs/>
          <w:color w:val="auto"/>
          <w:sz w:val="24"/>
        </w:rPr>
        <w:t>人民法院提起诉讼。</w:t>
      </w:r>
    </w:p>
    <w:p>
      <w:pPr>
        <w:spacing w:line="360" w:lineRule="auto"/>
        <w:ind w:firstLine="480" w:firstLineChars="200"/>
        <w:outlineLvl w:val="9"/>
        <w:rPr>
          <w:rStyle w:val="51"/>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Cs/>
          <w:color w:val="auto"/>
          <w:sz w:val="24"/>
        </w:rPr>
        <w:t>2）因关联交易合同发生争议，提交双方上级机关协调解决</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17.4在仲裁或诉讼期间或调解期间，除提交仲裁或诉讼或调解的争议事项外，双方应继续履行本合同及本合同附件的其他内容。</w:t>
      </w:r>
    </w:p>
    <w:p>
      <w:pPr>
        <w:spacing w:line="360" w:lineRule="auto"/>
        <w:outlineLvl w:val="9"/>
        <w:rPr>
          <w:rStyle w:val="51"/>
          <w:rFonts w:hint="eastAsia" w:ascii="仿宋" w:hAnsi="仿宋" w:eastAsia="仿宋" w:cs="仿宋"/>
          <w:b/>
          <w:color w:val="auto"/>
          <w:sz w:val="24"/>
        </w:rPr>
      </w:pPr>
      <w:bookmarkStart w:id="276" w:name="_Toc460587756"/>
      <w:bookmarkStart w:id="277" w:name="_Toc460920320"/>
      <w:bookmarkStart w:id="278" w:name="_Toc460851409"/>
      <w:r>
        <w:rPr>
          <w:rStyle w:val="51"/>
          <w:rFonts w:hint="eastAsia" w:ascii="仿宋" w:hAnsi="仿宋" w:eastAsia="仿宋" w:cs="仿宋"/>
          <w:b/>
          <w:color w:val="auto"/>
          <w:sz w:val="24"/>
        </w:rPr>
        <w:t>18、通知</w:t>
      </w:r>
      <w:bookmarkEnd w:id="276"/>
      <w:bookmarkEnd w:id="277"/>
      <w:bookmarkEnd w:id="278"/>
    </w:p>
    <w:p>
      <w:pPr>
        <w:spacing w:line="360" w:lineRule="auto"/>
        <w:ind w:firstLine="360" w:firstLineChars="150"/>
        <w:outlineLvl w:val="9"/>
        <w:rPr>
          <w:rFonts w:hint="eastAsia" w:ascii="仿宋" w:hAnsi="仿宋" w:eastAsia="仿宋" w:cs="仿宋"/>
          <w:color w:val="auto"/>
          <w:sz w:val="24"/>
        </w:rPr>
      </w:pPr>
      <w:r>
        <w:rPr>
          <w:rFonts w:hint="eastAsia" w:ascii="仿宋" w:hAnsi="仿宋" w:eastAsia="仿宋" w:cs="仿宋"/>
          <w:color w:val="auto"/>
          <w:sz w:val="24"/>
        </w:rPr>
        <w:t>任何与本合同有关的各类文书（包括但不限于函件、通知、法律文书等）应按照合同扉页填写的联系信息以书面形式作出，由本合同一方以专人递送、电子邮件、邮递方式发出。通知以专人递送，于递交时视为送达；以电子邮件方式发出，于发件人邮箱显示邮件已发出时视为送达；以邮递方式发出，于邮件寄出后的第3个工作日视为送达。任何通知一经送达即行生效。</w:t>
      </w:r>
    </w:p>
    <w:p>
      <w:pPr>
        <w:spacing w:line="360" w:lineRule="auto"/>
        <w:ind w:firstLine="480" w:firstLineChars="200"/>
        <w:outlineLvl w:val="9"/>
        <w:rPr>
          <w:rStyle w:val="51"/>
          <w:rFonts w:hint="eastAsia" w:ascii="仿宋" w:hAnsi="仿宋" w:eastAsia="仿宋" w:cs="仿宋"/>
          <w:color w:val="auto"/>
          <w:sz w:val="24"/>
        </w:rPr>
      </w:pPr>
      <w:r>
        <w:rPr>
          <w:rFonts w:hint="eastAsia" w:ascii="仿宋" w:hAnsi="仿宋" w:eastAsia="仿宋" w:cs="仿宋"/>
          <w:color w:val="auto"/>
          <w:sz w:val="24"/>
        </w:rPr>
        <w:t>任何一方对以上记载的联络及通讯方式信息作出修改、更换或变更的，必须3日内书面通知对方。如未书面通知的，任何一方以合同中记载的联络及通讯方式信息进行通知、函告、邮寄等活动均视为送达。</w:t>
      </w:r>
    </w:p>
    <w:p>
      <w:pPr>
        <w:spacing w:line="360" w:lineRule="auto"/>
        <w:outlineLvl w:val="9"/>
        <w:rPr>
          <w:rStyle w:val="51"/>
          <w:rFonts w:hint="eastAsia" w:ascii="仿宋" w:hAnsi="仿宋" w:eastAsia="仿宋" w:cs="仿宋"/>
          <w:b/>
          <w:color w:val="auto"/>
          <w:sz w:val="24"/>
        </w:rPr>
      </w:pPr>
      <w:bookmarkStart w:id="279" w:name="_Toc460587757"/>
      <w:bookmarkStart w:id="280" w:name="_Toc460851410"/>
      <w:bookmarkStart w:id="281" w:name="_Toc460920321"/>
      <w:r>
        <w:rPr>
          <w:rStyle w:val="51"/>
          <w:rFonts w:hint="eastAsia" w:ascii="仿宋" w:hAnsi="仿宋" w:eastAsia="仿宋" w:cs="仿宋"/>
          <w:b/>
          <w:color w:val="auto"/>
          <w:sz w:val="24"/>
        </w:rPr>
        <w:t>19、合同效力及其他约定</w:t>
      </w:r>
      <w:bookmarkEnd w:id="279"/>
      <w:bookmarkEnd w:id="280"/>
      <w:bookmarkEnd w:id="281"/>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19.1本合同的履行地为</w:t>
      </w:r>
      <w:r>
        <w:rPr>
          <w:rStyle w:val="51"/>
          <w:rFonts w:hint="eastAsia" w:ascii="仿宋" w:hAnsi="仿宋" w:eastAsia="仿宋" w:cs="仿宋"/>
          <w:color w:val="auto"/>
          <w:sz w:val="24"/>
          <w:u w:val="single"/>
        </w:rPr>
        <w:t>新疆克拉玛依市克拉玛依区</w:t>
      </w:r>
      <w:r>
        <w:rPr>
          <w:rStyle w:val="51"/>
          <w:rFonts w:hint="eastAsia" w:ascii="仿宋" w:hAnsi="仿宋" w:eastAsia="仿宋" w:cs="仿宋"/>
          <w:color w:val="auto"/>
          <w:sz w:val="24"/>
        </w:rPr>
        <w:t>。</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19.2本合同自双方法定代表人/负责人或其授权代表签字并加盖合同专用章之日起生效，至双方合同权利义务全部履行完毕之日终止。</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19.3本合同附件是本合同的组成部分，具有与本合同同等的法律效力。</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19.4本合同有效存续期内，卖方应严格防控卖方或其员工进行的各类商业贿赂行为。一经发现，买方有权单方面解除本合同，并要求卖方赔偿买方因合同解除所造成的损失。</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19.5未经双方一致同意，任何一方不得将本合同项下的任何权利、义务转让与任何第三方。</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19.6本合同未尽事宜，由买卖双方另行协商。</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19.7对于本合同项下的任何修改、补充及变更，均应由本合同的双方协商一致并以书面形式作出，经本合同的双方授权的代表签字并加盖各自的合同专用章后方为有效。该等修改、补充及变更的书面协议将构成本合同的组成部分，与本合同具有同等法律效力</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19.8本合同一式</w:t>
      </w:r>
      <w:r>
        <w:rPr>
          <w:rStyle w:val="51"/>
          <w:rFonts w:hint="eastAsia" w:ascii="仿宋" w:hAnsi="仿宋" w:eastAsia="仿宋" w:cs="仿宋"/>
          <w:color w:val="auto"/>
          <w:sz w:val="24"/>
          <w:u w:val="single"/>
        </w:rPr>
        <w:t xml:space="preserve"> 陆  </w:t>
      </w:r>
      <w:r>
        <w:rPr>
          <w:rStyle w:val="51"/>
          <w:rFonts w:hint="eastAsia" w:ascii="仿宋" w:hAnsi="仿宋" w:eastAsia="仿宋" w:cs="仿宋"/>
          <w:color w:val="auto"/>
          <w:sz w:val="24"/>
        </w:rPr>
        <w:t>份，买方执</w:t>
      </w:r>
      <w:r>
        <w:rPr>
          <w:rStyle w:val="51"/>
          <w:rFonts w:hint="eastAsia" w:ascii="仿宋" w:hAnsi="仿宋" w:eastAsia="仿宋" w:cs="仿宋"/>
          <w:color w:val="auto"/>
          <w:sz w:val="24"/>
          <w:u w:val="single"/>
        </w:rPr>
        <w:t xml:space="preserve">  伍 </w:t>
      </w:r>
      <w:r>
        <w:rPr>
          <w:rStyle w:val="51"/>
          <w:rFonts w:hint="eastAsia" w:ascii="仿宋" w:hAnsi="仿宋" w:eastAsia="仿宋" w:cs="仿宋"/>
          <w:color w:val="auto"/>
          <w:sz w:val="24"/>
        </w:rPr>
        <w:t>份，卖方执</w:t>
      </w:r>
      <w:r>
        <w:rPr>
          <w:rStyle w:val="51"/>
          <w:rFonts w:hint="eastAsia" w:ascii="仿宋" w:hAnsi="仿宋" w:eastAsia="仿宋" w:cs="仿宋"/>
          <w:color w:val="auto"/>
          <w:sz w:val="24"/>
          <w:u w:val="single"/>
        </w:rPr>
        <w:t xml:space="preserve"> 壹 </w:t>
      </w:r>
      <w:r>
        <w:rPr>
          <w:rStyle w:val="51"/>
          <w:rFonts w:hint="eastAsia" w:ascii="仿宋" w:hAnsi="仿宋" w:eastAsia="仿宋" w:cs="仿宋"/>
          <w:color w:val="auto"/>
          <w:sz w:val="24"/>
        </w:rPr>
        <w:t>份，各份具有同等法律效力。</w:t>
      </w:r>
    </w:p>
    <w:p>
      <w:pPr>
        <w:spacing w:line="360" w:lineRule="auto"/>
        <w:ind w:firstLine="480" w:firstLineChars="200"/>
        <w:outlineLvl w:val="9"/>
        <w:rPr>
          <w:rStyle w:val="51"/>
          <w:rFonts w:hint="eastAsia" w:ascii="仿宋" w:hAnsi="仿宋" w:eastAsia="仿宋" w:cs="仿宋"/>
          <w:color w:val="auto"/>
          <w:sz w:val="24"/>
        </w:rPr>
      </w:pPr>
      <w:r>
        <w:rPr>
          <w:rStyle w:val="51"/>
          <w:rFonts w:hint="eastAsia" w:ascii="仿宋" w:hAnsi="仿宋" w:eastAsia="仿宋" w:cs="仿宋"/>
          <w:color w:val="auto"/>
          <w:sz w:val="24"/>
        </w:rPr>
        <w:t>19.9其他约定：</w:t>
      </w:r>
      <w:r>
        <w:rPr>
          <w:rStyle w:val="51"/>
          <w:rFonts w:hint="eastAsia" w:ascii="仿宋" w:hAnsi="仿宋" w:eastAsia="仿宋" w:cs="仿宋"/>
          <w:color w:val="auto"/>
          <w:sz w:val="24"/>
          <w:u w:val="single"/>
        </w:rPr>
        <w:t xml:space="preserve">            无                   </w:t>
      </w:r>
      <w:r>
        <w:rPr>
          <w:rFonts w:hint="eastAsia" w:ascii="仿宋" w:hAnsi="仿宋" w:eastAsia="仿宋" w:cs="仿宋"/>
          <w:color w:val="auto"/>
          <w:sz w:val="24"/>
        </w:rPr>
        <w:t>。</w:t>
      </w:r>
    </w:p>
    <w:p>
      <w:pPr>
        <w:snapToGrid w:val="0"/>
        <w:spacing w:line="360" w:lineRule="auto"/>
        <w:outlineLvl w:val="9"/>
        <w:rPr>
          <w:rFonts w:hint="eastAsia" w:ascii="仿宋" w:hAnsi="仿宋" w:eastAsia="仿宋" w:cs="仿宋"/>
          <w:color w:val="auto"/>
          <w:sz w:val="24"/>
        </w:rPr>
      </w:pP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（以下无正文，为合同签署页及附件）</w:t>
      </w:r>
    </w:p>
    <w:p>
      <w:pPr>
        <w:spacing w:line="360" w:lineRule="auto"/>
        <w:outlineLvl w:val="9"/>
        <w:rPr>
          <w:rFonts w:hint="eastAsia" w:ascii="仿宋" w:hAnsi="仿宋" w:eastAsia="仿宋" w:cs="仿宋"/>
          <w:color w:val="auto"/>
          <w:sz w:val="4"/>
        </w:rPr>
      </w:pP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 xml:space="preserve">甲方（盖章）： </w:t>
      </w:r>
    </w:p>
    <w:p>
      <w:pPr>
        <w:spacing w:line="360" w:lineRule="auto"/>
        <w:ind w:firstLine="240" w:firstLineChars="100"/>
        <w:outlineLvl w:val="9"/>
        <w:rPr>
          <w:rFonts w:hint="eastAsia" w:ascii="仿宋" w:hAnsi="仿宋" w:eastAsia="仿宋" w:cs="仿宋"/>
          <w:color w:val="auto"/>
          <w:sz w:val="24"/>
        </w:rPr>
      </w:pP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日期：    年   月   日</w:t>
      </w:r>
    </w:p>
    <w:p>
      <w:pPr>
        <w:outlineLvl w:val="9"/>
        <w:rPr>
          <w:rFonts w:hint="eastAsia" w:ascii="仿宋" w:hAnsi="仿宋" w:eastAsia="仿宋" w:cs="仿宋"/>
          <w:color w:val="auto"/>
          <w:sz w:val="16"/>
        </w:rPr>
      </w:pPr>
    </w:p>
    <w:p>
      <w:pPr>
        <w:outlineLvl w:val="9"/>
        <w:rPr>
          <w:rFonts w:hint="eastAsia" w:ascii="仿宋" w:hAnsi="仿宋" w:eastAsia="仿宋" w:cs="仿宋"/>
          <w:color w:val="auto"/>
          <w:sz w:val="16"/>
        </w:rPr>
      </w:pP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 xml:space="preserve"> 乙方（盖章）：</w:t>
      </w:r>
    </w:p>
    <w:p>
      <w:pPr>
        <w:spacing w:line="360" w:lineRule="auto"/>
        <w:outlineLvl w:val="9"/>
        <w:rPr>
          <w:rFonts w:hint="eastAsia" w:ascii="仿宋" w:hAnsi="仿宋" w:eastAsia="仿宋" w:cs="仿宋"/>
          <w:color w:val="auto"/>
          <w:sz w:val="24"/>
        </w:rPr>
      </w:pP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法定代表人(负责人)（签字）：</w:t>
      </w:r>
    </w:p>
    <w:p>
      <w:pPr>
        <w:spacing w:line="360" w:lineRule="auto"/>
        <w:ind w:firstLine="240" w:firstLineChars="100"/>
        <w:outlineLvl w:val="9"/>
        <w:rPr>
          <w:rFonts w:hint="eastAsia" w:ascii="仿宋" w:hAnsi="仿宋" w:eastAsia="仿宋" w:cs="仿宋"/>
          <w:color w:val="auto"/>
          <w:sz w:val="24"/>
        </w:rPr>
      </w:pPr>
      <w:r>
        <w:rPr>
          <w:rFonts w:hint="eastAsia" w:ascii="仿宋" w:hAnsi="仿宋" w:eastAsia="仿宋" w:cs="仿宋"/>
          <w:color w:val="auto"/>
          <w:sz w:val="24"/>
        </w:rPr>
        <w:t>或授权代理人（签字）：</w:t>
      </w:r>
    </w:p>
    <w:p>
      <w:pPr>
        <w:spacing w:line="360" w:lineRule="auto"/>
        <w:ind w:firstLine="240" w:firstLineChars="100"/>
        <w:outlineLvl w:val="9"/>
        <w:rPr>
          <w:rFonts w:hint="eastAsia" w:ascii="仿宋" w:hAnsi="仿宋" w:eastAsia="仿宋" w:cs="仿宋"/>
          <w:color w:val="auto"/>
          <w:sz w:val="24"/>
        </w:rPr>
      </w:pPr>
    </w:p>
    <w:p>
      <w:pPr>
        <w:spacing w:line="360" w:lineRule="auto"/>
        <w:outlineLvl w:val="9"/>
        <w:rPr>
          <w:rFonts w:hint="eastAsia" w:ascii="仿宋" w:hAnsi="仿宋" w:eastAsia="仿宋" w:cs="仿宋"/>
          <w:color w:val="auto"/>
          <w:sz w:val="24"/>
        </w:rPr>
      </w:pPr>
      <w:r>
        <w:rPr>
          <w:rFonts w:hint="eastAsia" w:ascii="仿宋" w:hAnsi="仿宋" w:eastAsia="仿宋" w:cs="仿宋"/>
          <w:color w:val="auto"/>
          <w:sz w:val="24"/>
        </w:rPr>
        <w:t>日期：    年   月   日</w:t>
      </w:r>
    </w:p>
    <w:p>
      <w:pPr>
        <w:spacing w:line="360" w:lineRule="auto"/>
        <w:outlineLvl w:val="9"/>
        <w:rPr>
          <w:rStyle w:val="51"/>
          <w:rFonts w:hint="eastAsia" w:ascii="仿宋" w:hAnsi="仿宋" w:eastAsia="仿宋" w:cs="仿宋"/>
          <w:color w:val="auto"/>
          <w:szCs w:val="28"/>
        </w:rPr>
        <w:sectPr>
          <w:footerReference r:id="rId7" w:type="default"/>
          <w:pgSz w:w="11906" w:h="16838"/>
          <w:pgMar w:top="1440" w:right="1800" w:bottom="1440" w:left="1800" w:header="851" w:footer="992" w:gutter="0"/>
          <w:pgNumType w:fmt="decimal"/>
          <w:cols w:space="720" w:num="1"/>
          <w:docGrid w:type="lines" w:linePitch="312" w:charSpace="0"/>
        </w:sectPr>
      </w:pPr>
    </w:p>
    <w:p>
      <w:pPr>
        <w:pStyle w:val="53"/>
        <w:numPr>
          <w:ilvl w:val="0"/>
          <w:numId w:val="0"/>
        </w:numPr>
        <w:outlineLvl w:val="9"/>
        <w:rPr>
          <w:rFonts w:hint="eastAsia" w:ascii="仿宋" w:hAnsi="仿宋" w:eastAsia="仿宋" w:cs="仿宋"/>
          <w:color w:val="auto"/>
          <w:szCs w:val="28"/>
          <w:lang w:eastAsia="zh-CN"/>
        </w:rPr>
      </w:pPr>
      <w:bookmarkStart w:id="282" w:name="_Toc460851412"/>
      <w:bookmarkStart w:id="283" w:name="_Toc460920323"/>
      <w:bookmarkStart w:id="284" w:name="_Toc460587759"/>
      <w:bookmarkStart w:id="285" w:name="_Toc359080255"/>
      <w:bookmarkStart w:id="286" w:name="_Toc290842500"/>
      <w:bookmarkStart w:id="287" w:name="_Toc19244"/>
      <w:r>
        <w:rPr>
          <w:rFonts w:hint="eastAsia" w:ascii="仿宋" w:hAnsi="仿宋" w:eastAsia="仿宋" w:cs="仿宋"/>
          <w:color w:val="auto"/>
          <w:sz w:val="32"/>
          <w:szCs w:val="32"/>
          <w:lang w:eastAsia="zh-CN"/>
        </w:rPr>
        <w:t>附件一：货物明细</w:t>
      </w:r>
      <w:bookmarkEnd w:id="282"/>
      <w:bookmarkEnd w:id="283"/>
      <w:bookmarkEnd w:id="284"/>
      <w:bookmarkEnd w:id="285"/>
      <w:bookmarkEnd w:id="286"/>
      <w:r>
        <w:rPr>
          <w:rFonts w:hint="eastAsia" w:ascii="仿宋" w:hAnsi="仿宋" w:eastAsia="仿宋" w:cs="仿宋"/>
          <w:color w:val="auto"/>
          <w:sz w:val="32"/>
          <w:szCs w:val="32"/>
          <w:lang w:eastAsia="zh-CN"/>
        </w:rPr>
        <w:t>表</w:t>
      </w:r>
      <w:bookmarkEnd w:id="287"/>
    </w:p>
    <w:p>
      <w:pPr>
        <w:pStyle w:val="54"/>
        <w:numPr>
          <w:ilvl w:val="1"/>
          <w:numId w:val="0"/>
        </w:numPr>
        <w:ind w:right="480"/>
        <w:jc w:val="center"/>
        <w:outlineLvl w:val="9"/>
        <w:rPr>
          <w:rFonts w:hint="eastAsia" w:ascii="仿宋" w:hAnsi="仿宋" w:eastAsia="仿宋" w:cs="仿宋"/>
          <w:color w:val="auto"/>
          <w:sz w:val="28"/>
          <w:szCs w:val="28"/>
          <w:lang w:eastAsia="zh-CN"/>
        </w:rPr>
      </w:pPr>
      <w:r>
        <w:rPr>
          <w:rFonts w:hint="eastAsia" w:ascii="仿宋" w:hAnsi="仿宋" w:eastAsia="仿宋" w:cs="仿宋"/>
          <w:color w:val="auto"/>
          <w:kern w:val="2"/>
          <w:szCs w:val="24"/>
          <w:lang w:eastAsia="zh-CN"/>
        </w:rPr>
        <w:t xml:space="preserve"> </w:t>
      </w:r>
    </w:p>
    <w:tbl>
      <w:tblPr>
        <w:tblStyle w:val="25"/>
        <w:tblW w:w="8597" w:type="dxa"/>
        <w:jc w:val="center"/>
        <w:tblLayout w:type="fixed"/>
        <w:tblCellMar>
          <w:top w:w="0" w:type="dxa"/>
          <w:left w:w="108" w:type="dxa"/>
          <w:bottom w:w="0" w:type="dxa"/>
          <w:right w:w="108" w:type="dxa"/>
        </w:tblCellMar>
      </w:tblPr>
      <w:tblGrid>
        <w:gridCol w:w="748"/>
        <w:gridCol w:w="1230"/>
        <w:gridCol w:w="900"/>
        <w:gridCol w:w="1007"/>
        <w:gridCol w:w="876"/>
        <w:gridCol w:w="750"/>
        <w:gridCol w:w="793"/>
        <w:gridCol w:w="1136"/>
        <w:gridCol w:w="1157"/>
      </w:tblGrid>
      <w:tr>
        <w:tblPrEx>
          <w:tblCellMar>
            <w:top w:w="0" w:type="dxa"/>
            <w:left w:w="108" w:type="dxa"/>
            <w:bottom w:w="0" w:type="dxa"/>
            <w:right w:w="108" w:type="dxa"/>
          </w:tblCellMar>
        </w:tblPrEx>
        <w:trPr>
          <w:trHeight w:val="120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规格型号</w:t>
            </w:r>
          </w:p>
        </w:tc>
        <w:tc>
          <w:tcPr>
            <w:tcW w:w="1007"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生产厂家</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计量单位</w:t>
            </w:r>
          </w:p>
        </w:tc>
        <w:tc>
          <w:tcPr>
            <w:tcW w:w="750"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数量</w:t>
            </w:r>
          </w:p>
        </w:tc>
        <w:tc>
          <w:tcPr>
            <w:tcW w:w="793"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单价（含税）（元）</w:t>
            </w:r>
          </w:p>
        </w:tc>
        <w:tc>
          <w:tcPr>
            <w:tcW w:w="1136"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金额（元）</w:t>
            </w:r>
          </w:p>
        </w:tc>
        <w:tc>
          <w:tcPr>
            <w:tcW w:w="1157" w:type="dxa"/>
            <w:tcBorders>
              <w:top w:val="single" w:color="auto" w:sz="4" w:space="0"/>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b/>
                <w:color w:val="auto"/>
                <w:kern w:val="0"/>
                <w:sz w:val="24"/>
              </w:rPr>
            </w:pPr>
            <w:r>
              <w:rPr>
                <w:rFonts w:hint="eastAsia" w:ascii="仿宋" w:hAnsi="仿宋" w:eastAsia="仿宋" w:cs="仿宋"/>
                <w:b/>
                <w:color w:val="auto"/>
                <w:kern w:val="0"/>
                <w:sz w:val="24"/>
              </w:rPr>
              <w:t>交货时间</w:t>
            </w: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restart"/>
            <w:tcBorders>
              <w:top w:val="nil"/>
              <w:left w:val="nil"/>
              <w:right w:val="single" w:color="auto" w:sz="4" w:space="0"/>
            </w:tcBorders>
            <w:noWrap w:val="0"/>
            <w:vAlign w:val="center"/>
          </w:tcPr>
          <w:p>
            <w:pPr>
              <w:jc w:val="cente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continue"/>
            <w:tcBorders>
              <w:left w:val="nil"/>
              <w:right w:val="single" w:color="auto" w:sz="4" w:space="0"/>
            </w:tcBorders>
            <w:noWrap w:val="0"/>
            <w:vAlign w:val="top"/>
          </w:tcPr>
          <w:p>
            <w:pP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continue"/>
            <w:tcBorders>
              <w:left w:val="nil"/>
              <w:right w:val="single" w:color="auto" w:sz="4" w:space="0"/>
            </w:tcBorders>
            <w:noWrap w:val="0"/>
            <w:vAlign w:val="top"/>
          </w:tcPr>
          <w:p>
            <w:pP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continue"/>
            <w:tcBorders>
              <w:left w:val="nil"/>
              <w:right w:val="single" w:color="auto" w:sz="4" w:space="0"/>
            </w:tcBorders>
            <w:noWrap w:val="0"/>
            <w:vAlign w:val="top"/>
          </w:tcPr>
          <w:p>
            <w:pP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5</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continue"/>
            <w:tcBorders>
              <w:left w:val="nil"/>
              <w:right w:val="single" w:color="auto" w:sz="4" w:space="0"/>
            </w:tcBorders>
            <w:noWrap w:val="0"/>
            <w:vAlign w:val="top"/>
          </w:tcPr>
          <w:p>
            <w:pP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6</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continue"/>
            <w:tcBorders>
              <w:left w:val="nil"/>
              <w:right w:val="single" w:color="auto" w:sz="4" w:space="0"/>
            </w:tcBorders>
            <w:noWrap w:val="0"/>
            <w:vAlign w:val="top"/>
          </w:tcPr>
          <w:p>
            <w:pP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01"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7</w:t>
            </w:r>
          </w:p>
        </w:tc>
        <w:tc>
          <w:tcPr>
            <w:tcW w:w="123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900" w:type="dxa"/>
            <w:tcBorders>
              <w:top w:val="nil"/>
              <w:left w:val="single" w:color="auto" w:sz="4" w:space="0"/>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007"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876" w:type="dxa"/>
            <w:tcBorders>
              <w:top w:val="nil"/>
              <w:left w:val="nil"/>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sz w:val="24"/>
              </w:rPr>
            </w:pPr>
          </w:p>
        </w:tc>
        <w:tc>
          <w:tcPr>
            <w:tcW w:w="750"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793" w:type="dxa"/>
            <w:tcBorders>
              <w:top w:val="nil"/>
              <w:left w:val="nil"/>
              <w:bottom w:val="single" w:color="auto" w:sz="4" w:space="0"/>
              <w:right w:val="single" w:color="auto" w:sz="4" w:space="0"/>
            </w:tcBorders>
            <w:noWrap w:val="0"/>
            <w:vAlign w:val="center"/>
          </w:tcPr>
          <w:p>
            <w:pPr>
              <w:jc w:val="center"/>
              <w:outlineLvl w:val="9"/>
              <w:rPr>
                <w:rFonts w:hint="eastAsia" w:ascii="仿宋" w:hAnsi="仿宋" w:eastAsia="仿宋" w:cs="仿宋"/>
                <w:color w:val="auto"/>
                <w:sz w:val="24"/>
              </w:rPr>
            </w:pPr>
          </w:p>
        </w:tc>
        <w:tc>
          <w:tcPr>
            <w:tcW w:w="1136" w:type="dxa"/>
            <w:tcBorders>
              <w:top w:val="nil"/>
              <w:left w:val="nil"/>
              <w:bottom w:val="single" w:color="auto" w:sz="4" w:space="0"/>
              <w:right w:val="single" w:color="auto" w:sz="4" w:space="0"/>
            </w:tcBorders>
            <w:noWrap w:val="0"/>
            <w:vAlign w:val="center"/>
          </w:tcPr>
          <w:p>
            <w:pPr>
              <w:outlineLvl w:val="9"/>
              <w:rPr>
                <w:rFonts w:hint="eastAsia" w:ascii="仿宋" w:hAnsi="仿宋" w:eastAsia="仿宋" w:cs="仿宋"/>
                <w:color w:val="auto"/>
                <w:sz w:val="24"/>
              </w:rPr>
            </w:pPr>
          </w:p>
        </w:tc>
        <w:tc>
          <w:tcPr>
            <w:tcW w:w="1157" w:type="dxa"/>
            <w:vMerge w:val="continue"/>
            <w:tcBorders>
              <w:left w:val="nil"/>
              <w:bottom w:val="single" w:color="auto" w:sz="4" w:space="0"/>
              <w:right w:val="single" w:color="auto" w:sz="4" w:space="0"/>
            </w:tcBorders>
            <w:noWrap w:val="0"/>
            <w:vAlign w:val="top"/>
          </w:tcPr>
          <w:p>
            <w:pPr>
              <w:outlineLvl w:val="9"/>
              <w:rPr>
                <w:rFonts w:hint="eastAsia" w:ascii="仿宋" w:hAnsi="仿宋" w:eastAsia="仿宋" w:cs="仿宋"/>
                <w:color w:val="auto"/>
                <w:sz w:val="24"/>
              </w:rPr>
            </w:pPr>
          </w:p>
        </w:tc>
      </w:tr>
      <w:tr>
        <w:tblPrEx>
          <w:tblCellMar>
            <w:top w:w="0" w:type="dxa"/>
            <w:left w:w="108" w:type="dxa"/>
            <w:bottom w:w="0" w:type="dxa"/>
            <w:right w:w="108" w:type="dxa"/>
          </w:tblCellMar>
        </w:tblPrEx>
        <w:trPr>
          <w:trHeight w:val="620" w:hRule="atLeast"/>
          <w:jc w:val="center"/>
        </w:trPr>
        <w:tc>
          <w:tcPr>
            <w:tcW w:w="748" w:type="dxa"/>
            <w:tcBorders>
              <w:top w:val="nil"/>
              <w:left w:val="single" w:color="auto" w:sz="4" w:space="0"/>
              <w:bottom w:val="single" w:color="auto" w:sz="4" w:space="0"/>
              <w:right w:val="single" w:color="auto" w:sz="4" w:space="0"/>
            </w:tcBorders>
            <w:noWrap w:val="0"/>
            <w:vAlign w:val="center"/>
          </w:tcPr>
          <w:p>
            <w:pPr>
              <w:widowControl/>
              <w:jc w:val="center"/>
              <w:outlineLvl w:val="9"/>
              <w:rPr>
                <w:rFonts w:hint="eastAsia" w:ascii="仿宋" w:hAnsi="仿宋" w:eastAsia="仿宋" w:cs="仿宋"/>
                <w:color w:val="auto"/>
                <w:kern w:val="0"/>
                <w:sz w:val="24"/>
              </w:rPr>
            </w:pPr>
            <w:r>
              <w:rPr>
                <w:rFonts w:hint="eastAsia" w:ascii="仿宋" w:hAnsi="仿宋" w:eastAsia="仿宋" w:cs="仿宋"/>
                <w:color w:val="auto"/>
                <w:kern w:val="0"/>
                <w:sz w:val="24"/>
              </w:rPr>
              <w:t>合计</w:t>
            </w:r>
          </w:p>
        </w:tc>
        <w:tc>
          <w:tcPr>
            <w:tcW w:w="7849" w:type="dxa"/>
            <w:gridSpan w:val="8"/>
            <w:tcBorders>
              <w:top w:val="nil"/>
              <w:left w:val="single" w:color="auto" w:sz="4" w:space="0"/>
              <w:bottom w:val="single" w:color="auto" w:sz="4" w:space="0"/>
              <w:right w:val="single" w:color="auto" w:sz="4" w:space="0"/>
            </w:tcBorders>
            <w:noWrap w:val="0"/>
            <w:vAlign w:val="center"/>
          </w:tcPr>
          <w:p>
            <w:pPr>
              <w:outlineLvl w:val="9"/>
              <w:rPr>
                <w:rFonts w:hint="eastAsia" w:ascii="仿宋" w:hAnsi="仿宋" w:eastAsia="仿宋" w:cs="仿宋"/>
                <w:color w:val="auto"/>
                <w:sz w:val="24"/>
              </w:rPr>
            </w:pPr>
            <w:r>
              <w:rPr>
                <w:rFonts w:hint="eastAsia" w:ascii="仿宋" w:hAnsi="仿宋" w:eastAsia="仿宋" w:cs="仿宋"/>
                <w:color w:val="auto"/>
                <w:sz w:val="24"/>
              </w:rPr>
              <w:t xml:space="preserve"> 金额：      元（大写：          元整）</w:t>
            </w:r>
          </w:p>
        </w:tc>
      </w:tr>
    </w:tbl>
    <w:p>
      <w:pPr>
        <w:pStyle w:val="54"/>
        <w:numPr>
          <w:ilvl w:val="1"/>
          <w:numId w:val="0"/>
        </w:numPr>
        <w:outlineLvl w:val="9"/>
        <w:rPr>
          <w:rFonts w:hint="eastAsia" w:ascii="仿宋" w:hAnsi="仿宋" w:eastAsia="仿宋" w:cs="仿宋"/>
          <w:b/>
          <w:color w:val="auto"/>
          <w:sz w:val="28"/>
          <w:szCs w:val="28"/>
          <w:lang w:eastAsia="zh-CN"/>
        </w:rPr>
      </w:pPr>
    </w:p>
    <w:p>
      <w:pPr>
        <w:pStyle w:val="54"/>
        <w:numPr>
          <w:ilvl w:val="1"/>
          <w:numId w:val="0"/>
        </w:numPr>
        <w:outlineLvl w:val="9"/>
        <w:rPr>
          <w:rFonts w:hint="eastAsia" w:ascii="仿宋" w:hAnsi="仿宋" w:eastAsia="仿宋" w:cs="仿宋"/>
          <w:b/>
          <w:color w:val="auto"/>
          <w:sz w:val="28"/>
          <w:szCs w:val="28"/>
          <w:lang w:eastAsia="zh-CN"/>
        </w:rPr>
      </w:pPr>
    </w:p>
    <w:p>
      <w:pPr>
        <w:numPr>
          <w:ilvl w:val="0"/>
          <w:numId w:val="0"/>
        </w:numPr>
        <w:tabs>
          <w:tab w:val="left" w:pos="432"/>
        </w:tabs>
        <w:spacing w:line="240" w:lineRule="auto"/>
        <w:jc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附件二：货物配置</w:t>
      </w:r>
    </w:p>
    <w:p>
      <w:pPr>
        <w:outlineLvl w:val="9"/>
        <w:rPr>
          <w:rFonts w:hint="eastAsia" w:ascii="仿宋" w:hAnsi="仿宋" w:eastAsia="仿宋" w:cs="仿宋"/>
          <w:color w:val="auto"/>
          <w:sz w:val="32"/>
          <w:szCs w:val="32"/>
        </w:rPr>
      </w:pPr>
    </w:p>
    <w:p>
      <w:pPr>
        <w:pageBreakBefore w:val="0"/>
        <w:numPr>
          <w:ilvl w:val="0"/>
          <w:numId w:val="0"/>
        </w:numPr>
        <w:tabs>
          <w:tab w:val="left" w:pos="432"/>
        </w:tabs>
        <w:kinsoku/>
        <w:overflowPunct/>
        <w:topLinePunct w:val="0"/>
        <w:autoSpaceDE/>
        <w:autoSpaceDN/>
        <w:bidi w:val="0"/>
        <w:spacing w:line="360" w:lineRule="auto"/>
        <w:jc w:val="center"/>
        <w:outlineLvl w:val="9"/>
        <w:rPr>
          <w:rFonts w:hint="eastAsia" w:ascii="仿宋" w:hAnsi="仿宋" w:eastAsia="仿宋" w:cs="仿宋"/>
          <w:i w:val="0"/>
          <w:iCs w:val="0"/>
          <w:color w:val="auto"/>
          <w:sz w:val="44"/>
          <w:szCs w:val="44"/>
          <w:highlight w:val="none"/>
          <w:lang w:eastAsia="zh-CN"/>
        </w:rPr>
      </w:pPr>
    </w:p>
    <w:p>
      <w:pPr>
        <w:pageBreakBefore w:val="0"/>
        <w:numPr>
          <w:ilvl w:val="0"/>
          <w:numId w:val="0"/>
        </w:numPr>
        <w:tabs>
          <w:tab w:val="left" w:pos="432"/>
        </w:tabs>
        <w:kinsoku/>
        <w:overflowPunct/>
        <w:topLinePunct w:val="0"/>
        <w:autoSpaceDE/>
        <w:autoSpaceDN/>
        <w:bidi w:val="0"/>
        <w:spacing w:line="360" w:lineRule="auto"/>
        <w:jc w:val="center"/>
        <w:outlineLvl w:val="9"/>
        <w:rPr>
          <w:rFonts w:hint="eastAsia" w:ascii="仿宋" w:hAnsi="仿宋" w:eastAsia="仿宋" w:cs="仿宋"/>
          <w:i w:val="0"/>
          <w:iCs w:val="0"/>
          <w:color w:val="auto"/>
          <w:sz w:val="44"/>
          <w:szCs w:val="44"/>
          <w:highlight w:val="none"/>
          <w:lang w:eastAsia="zh-CN"/>
        </w:rPr>
      </w:pPr>
    </w:p>
    <w:p>
      <w:pPr>
        <w:pageBreakBefore w:val="0"/>
        <w:numPr>
          <w:ilvl w:val="0"/>
          <w:numId w:val="0"/>
        </w:numPr>
        <w:tabs>
          <w:tab w:val="left" w:pos="432"/>
        </w:tabs>
        <w:kinsoku/>
        <w:overflowPunct/>
        <w:topLinePunct w:val="0"/>
        <w:autoSpaceDE/>
        <w:autoSpaceDN/>
        <w:bidi w:val="0"/>
        <w:spacing w:line="360" w:lineRule="auto"/>
        <w:jc w:val="center"/>
        <w:outlineLvl w:val="9"/>
        <w:rPr>
          <w:rFonts w:hint="eastAsia" w:ascii="仿宋" w:hAnsi="仿宋" w:eastAsia="仿宋" w:cs="仿宋"/>
          <w:i w:val="0"/>
          <w:iCs w:val="0"/>
          <w:color w:val="auto"/>
          <w:sz w:val="44"/>
          <w:szCs w:val="44"/>
          <w:highlight w:val="none"/>
          <w:lang w:eastAsia="zh-CN"/>
        </w:rPr>
      </w:pPr>
    </w:p>
    <w:p>
      <w:pPr>
        <w:pageBreakBefore w:val="0"/>
        <w:numPr>
          <w:ilvl w:val="0"/>
          <w:numId w:val="0"/>
        </w:numPr>
        <w:tabs>
          <w:tab w:val="left" w:pos="432"/>
        </w:tabs>
        <w:kinsoku/>
        <w:overflowPunct/>
        <w:topLinePunct w:val="0"/>
        <w:autoSpaceDE/>
        <w:autoSpaceDN/>
        <w:bidi w:val="0"/>
        <w:spacing w:line="360" w:lineRule="auto"/>
        <w:jc w:val="center"/>
        <w:outlineLvl w:val="9"/>
        <w:rPr>
          <w:rFonts w:hint="eastAsia" w:ascii="仿宋" w:hAnsi="仿宋" w:eastAsia="仿宋" w:cs="仿宋"/>
          <w:i w:val="0"/>
          <w:iCs w:val="0"/>
          <w:color w:val="auto"/>
          <w:sz w:val="44"/>
          <w:szCs w:val="44"/>
          <w:highlight w:val="none"/>
          <w:lang w:eastAsia="zh-CN"/>
        </w:rPr>
      </w:pPr>
    </w:p>
    <w:p>
      <w:pPr>
        <w:pageBreakBefore w:val="0"/>
        <w:numPr>
          <w:ilvl w:val="0"/>
          <w:numId w:val="0"/>
        </w:numPr>
        <w:tabs>
          <w:tab w:val="left" w:pos="432"/>
        </w:tabs>
        <w:kinsoku/>
        <w:overflowPunct/>
        <w:topLinePunct w:val="0"/>
        <w:autoSpaceDE/>
        <w:autoSpaceDN/>
        <w:bidi w:val="0"/>
        <w:spacing w:line="360" w:lineRule="auto"/>
        <w:jc w:val="center"/>
        <w:outlineLvl w:val="0"/>
        <w:rPr>
          <w:rFonts w:hint="eastAsia" w:ascii="仿宋" w:hAnsi="仿宋" w:eastAsia="仿宋" w:cs="仿宋"/>
          <w:b/>
          <w:bCs/>
          <w:i w:val="0"/>
          <w:iCs w:val="0"/>
          <w:color w:val="auto"/>
          <w:highlight w:val="none"/>
        </w:rPr>
      </w:pPr>
      <w:bookmarkStart w:id="288" w:name="_Toc31339"/>
      <w:r>
        <w:rPr>
          <w:rFonts w:hint="eastAsia" w:ascii="仿宋" w:hAnsi="仿宋" w:eastAsia="仿宋" w:cs="仿宋"/>
          <w:b/>
          <w:bCs/>
          <w:i w:val="0"/>
          <w:iCs w:val="0"/>
          <w:color w:val="auto"/>
          <w:sz w:val="44"/>
          <w:szCs w:val="44"/>
          <w:highlight w:val="none"/>
          <w:lang w:eastAsia="zh-CN"/>
        </w:rPr>
        <w:t>第五章</w:t>
      </w:r>
      <w:r>
        <w:rPr>
          <w:rFonts w:hint="eastAsia" w:ascii="仿宋" w:hAnsi="仿宋" w:eastAsia="仿宋" w:cs="仿宋"/>
          <w:b/>
          <w:bCs/>
          <w:i w:val="0"/>
          <w:iCs w:val="0"/>
          <w:color w:val="auto"/>
          <w:sz w:val="44"/>
          <w:szCs w:val="44"/>
          <w:highlight w:val="none"/>
        </w:rPr>
        <w:t xml:space="preserve">  响应文件格式</w:t>
      </w:r>
      <w:bookmarkEnd w:id="221"/>
      <w:bookmarkEnd w:id="288"/>
    </w:p>
    <w:p>
      <w:pPr>
        <w:pageBreakBefore w:val="0"/>
        <w:kinsoku/>
        <w:overflowPunct/>
        <w:topLinePunct w:val="0"/>
        <w:autoSpaceDE/>
        <w:autoSpaceDN/>
        <w:bidi w:val="0"/>
        <w:spacing w:line="360" w:lineRule="auto"/>
        <w:outlineLvl w:val="9"/>
        <w:rPr>
          <w:rFonts w:hint="eastAsia" w:ascii="仿宋" w:hAnsi="仿宋" w:eastAsia="仿宋" w:cs="仿宋"/>
          <w:b/>
          <w:bCs/>
          <w:i w:val="0"/>
          <w:iCs w:val="0"/>
          <w:color w:val="auto"/>
          <w:sz w:val="28"/>
          <w:szCs w:val="28"/>
          <w:highlight w:val="none"/>
        </w:rPr>
      </w:pPr>
      <w:bookmarkStart w:id="289" w:name="_Toc424059521"/>
      <w:bookmarkStart w:id="290" w:name="_Toc239822514"/>
      <w:bookmarkStart w:id="291" w:name="_Toc239822629"/>
      <w:bookmarkStart w:id="292" w:name="_Toc239650612"/>
      <w:bookmarkStart w:id="293" w:name="_Toc239649773"/>
      <w:bookmarkStart w:id="294" w:name="_Toc239649321"/>
      <w:bookmarkStart w:id="295" w:name="_Toc239649397"/>
      <w:bookmarkStart w:id="296" w:name="_Toc424212005"/>
      <w:bookmarkStart w:id="297" w:name="_Toc239648609"/>
      <w:bookmarkStart w:id="298" w:name="_Toc239651331"/>
      <w:bookmarkStart w:id="299" w:name="_Toc239648875"/>
      <w:r>
        <w:rPr>
          <w:rFonts w:hint="eastAsia" w:ascii="仿宋" w:hAnsi="仿宋" w:eastAsia="仿宋" w:cs="仿宋"/>
          <w:b/>
          <w:bCs/>
          <w:i w:val="0"/>
          <w:i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645795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06pt;margin-top:50.85pt;height:39pt;width:135pt;z-index:251661312;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N+wO+/4BAAA6BAAADgAAAGRycy9lMm9Eb2MueG1srVPL&#10;ktMwELxTxT+odCe2wwZYV5w9EMKFgi0WPmAiy7aq9GKkxM7fM5JD9gGHHPDBblmjnume0fpuMpod&#10;JQblbMOrRcmZtMK1yvYN//lj9+YDZyGCbUE7Kxt+koHfbV6/Wo++lks3ON1KZERiQz36hg8x+roo&#10;ghikgbBwXlra7BwaiLTEvmgRRmI3uliW5btidNh6dEKGQH+38yY/M+I1hK7rlJBbJw5G2jizotQQ&#10;SVIYlA98k6vtOinit64LMjLdcFIa85uSEN6nd7FZQ90j+EGJcwlwTQkvNBlQlpJeqLYQgR1Q/UVl&#10;lEAXXBcXwpliFpIdIRVV+cKbhwG8zFrI6uAvpof/Ryu+Hu+RqZYmgTMLhhr+nUwD22vJlsme0Yea&#10;oh78PZ5XgWDSOnVo0pdUsClberpYKqfIBP2s3lc3q5LcFrR3c7t6S5hoisfTHkP8LJ1hCTQcKXt2&#10;Eo5fQpxD/4SkZMFp1e6U1nmB/f6jRnYEau8uP2f2Z2HasrHht6vliuoAmtmOZoWg8aQ72D7ne3Yi&#10;PCUu8/Mv4lTYFsIwF5AZUhjURkWJGQ0S2k+2ZfHkyVtLV4qnYoxsOdOSbmBCOTKC0tdEknfakoWp&#10;MXMrEorTfiKaBPeuPVFTR5pqkvfrAEg5Dx5VP5DBVRaS4mikcifO459m9uk6p3i88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4btnNgAAAALAQAADwAAAAAAAAABACAAAAAiAAAAZHJzL2Rvd25y&#10;ZXYueG1sUEsBAhQAFAAAAAgAh07iQDfsDvv+AQAAOgQAAA4AAAAAAAAAAQAgAAAAJwEAAGRycy9l&#10;Mm9Eb2MueG1sUEsFBgAAAAAGAAYAWQEAAJc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i w:val="0"/>
          <w:iCs w:val="0"/>
          <w:color w:val="auto"/>
          <w:sz w:val="28"/>
          <w:szCs w:val="28"/>
          <w:highlight w:val="none"/>
        </w:rPr>
        <w:t>封面格式</w:t>
      </w:r>
      <w:bookmarkEnd w:id="289"/>
      <w:bookmarkEnd w:id="290"/>
      <w:bookmarkEnd w:id="291"/>
      <w:bookmarkEnd w:id="292"/>
      <w:bookmarkEnd w:id="293"/>
      <w:bookmarkEnd w:id="294"/>
      <w:bookmarkEnd w:id="295"/>
      <w:bookmarkEnd w:id="296"/>
      <w:bookmarkEnd w:id="297"/>
      <w:bookmarkEnd w:id="298"/>
      <w:bookmarkEnd w:id="299"/>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响  应  文  件</w:t>
      </w: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项目编号：                         </w:t>
      </w: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项目名称：                         </w:t>
      </w: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供 应 商：                         </w:t>
      </w: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 xml:space="preserve">法定代表人或其委托代理人签字：       </w:t>
      </w: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p>
    <w:p>
      <w:pPr>
        <w:pageBreakBefore w:val="0"/>
        <w:kinsoku/>
        <w:overflowPunct/>
        <w:topLinePunct w:val="0"/>
        <w:autoSpaceDE/>
        <w:autoSpaceDN/>
        <w:bidi w:val="0"/>
        <w:spacing w:line="360" w:lineRule="auto"/>
        <w:outlineLvl w:val="9"/>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日期：   年    月    日</w:t>
      </w: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8"/>
          <w:szCs w:val="28"/>
          <w:highlight w:val="none"/>
        </w:rPr>
        <w:t>格式1  响  应  函</w:t>
      </w:r>
    </w:p>
    <w:p>
      <w:pPr>
        <w:pageBreakBefore w:val="0"/>
        <w:kinsoku/>
        <w:overflowPunct/>
        <w:topLinePunct w:val="0"/>
        <w:autoSpaceDE/>
        <w:autoSpaceDN/>
        <w:bidi w:val="0"/>
        <w:spacing w:line="360" w:lineRule="auto"/>
        <w:ind w:firstLine="438" w:firstLineChars="200"/>
        <w:outlineLvl w:val="9"/>
        <w:rPr>
          <w:rFonts w:hint="eastAsia" w:ascii="仿宋" w:hAnsi="仿宋" w:eastAsia="仿宋" w:cs="仿宋"/>
          <w:color w:val="auto"/>
          <w:kern w:val="0"/>
          <w:sz w:val="24"/>
          <w:highlight w:val="none"/>
        </w:rPr>
      </w:pPr>
    </w:p>
    <w:p>
      <w:pPr>
        <w:pageBreakBefore w:val="0"/>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b w:val="0"/>
          <w:bCs/>
          <w:color w:val="auto"/>
          <w:kern w:val="0"/>
          <w:sz w:val="24"/>
          <w:szCs w:val="24"/>
          <w:highlight w:val="none"/>
          <w:u w:val="single"/>
          <w:lang w:val="en-US" w:eastAsia="zh-CN" w:bidi="ar-SA"/>
        </w:rPr>
        <w:t xml:space="preserve">   （采购人名称）   </w:t>
      </w:r>
      <w:r>
        <w:rPr>
          <w:rFonts w:hint="eastAsia" w:ascii="仿宋" w:hAnsi="仿宋" w:eastAsia="仿宋" w:cs="仿宋"/>
          <w:b w:val="0"/>
          <w:bCs/>
          <w:color w:val="auto"/>
          <w:kern w:val="0"/>
          <w:sz w:val="24"/>
          <w:szCs w:val="24"/>
          <w:highlight w:val="none"/>
          <w:lang w:val="en-US" w:eastAsia="zh-CN" w:bidi="ar-SA"/>
        </w:rPr>
        <w:t>：</w:t>
      </w:r>
    </w:p>
    <w:p>
      <w:pPr>
        <w:pStyle w:val="17"/>
        <w:pageBreakBefore w:val="0"/>
        <w:kinsoku/>
        <w:overflowPunct/>
        <w:topLinePunct w:val="0"/>
        <w:autoSpaceDE/>
        <w:autoSpaceDN/>
        <w:bidi w:val="0"/>
        <w:spacing w:line="360" w:lineRule="auto"/>
        <w:ind w:left="0"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我方全面研究了 “</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”项目</w:t>
      </w:r>
      <w:r>
        <w:rPr>
          <w:rFonts w:hint="eastAsia" w:ascii="仿宋" w:hAnsi="仿宋" w:eastAsia="仿宋" w:cs="仿宋"/>
          <w:b w:val="0"/>
          <w:bCs/>
          <w:color w:val="auto"/>
          <w:highlight w:val="none"/>
          <w:lang w:eastAsia="zh-CN"/>
        </w:rPr>
        <w:t>谈判文件</w:t>
      </w:r>
      <w:r>
        <w:rPr>
          <w:rFonts w:hint="eastAsia" w:ascii="仿宋" w:hAnsi="仿宋" w:eastAsia="仿宋" w:cs="仿宋"/>
          <w:b w:val="0"/>
          <w:bCs/>
          <w:color w:val="auto"/>
          <w:highlight w:val="none"/>
        </w:rPr>
        <w:t>（文件编号：</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），决定参加本项目竞争性</w:t>
      </w:r>
      <w:r>
        <w:rPr>
          <w:rFonts w:hint="eastAsia" w:ascii="仿宋" w:hAnsi="仿宋" w:eastAsia="仿宋" w:cs="仿宋"/>
          <w:b w:val="0"/>
          <w:bCs/>
          <w:color w:val="auto"/>
          <w:highlight w:val="none"/>
          <w:lang w:eastAsia="zh-CN"/>
        </w:rPr>
        <w:t>谈判</w:t>
      </w:r>
      <w:r>
        <w:rPr>
          <w:rFonts w:hint="eastAsia" w:ascii="仿宋" w:hAnsi="仿宋" w:eastAsia="仿宋" w:cs="仿宋"/>
          <w:b w:val="0"/>
          <w:bCs/>
          <w:color w:val="auto"/>
          <w:highlight w:val="none"/>
        </w:rPr>
        <w:t>。我方授权</w:t>
      </w:r>
      <w:r>
        <w:rPr>
          <w:rFonts w:hint="eastAsia" w:ascii="仿宋" w:hAnsi="仿宋" w:eastAsia="仿宋" w:cs="仿宋"/>
          <w:b w:val="0"/>
          <w:bCs/>
          <w:color w:val="auto"/>
          <w:highlight w:val="none"/>
          <w:u w:val="single"/>
          <w:lang w:val="en-US" w:eastAsia="zh-CN"/>
        </w:rPr>
        <w:t xml:space="preserve">  </w:t>
      </w:r>
      <w:r>
        <w:rPr>
          <w:rFonts w:hint="eastAsia" w:ascii="仿宋" w:hAnsi="仿宋" w:eastAsia="仿宋" w:cs="仿宋"/>
          <w:b w:val="0"/>
          <w:bCs/>
          <w:color w:val="auto"/>
          <w:highlight w:val="none"/>
          <w:u w:val="single"/>
        </w:rPr>
        <w:t>（姓名、职务）</w:t>
      </w:r>
      <w:r>
        <w:rPr>
          <w:rFonts w:hint="eastAsia" w:ascii="仿宋" w:hAnsi="仿宋" w:eastAsia="仿宋" w:cs="仿宋"/>
          <w:b w:val="0"/>
          <w:bCs/>
          <w:color w:val="auto"/>
          <w:highlight w:val="none"/>
          <w:u w:val="single"/>
          <w:lang w:val="en-US" w:eastAsia="zh-CN"/>
        </w:rPr>
        <w:t xml:space="preserve">  </w:t>
      </w:r>
      <w:r>
        <w:rPr>
          <w:rFonts w:hint="eastAsia" w:ascii="仿宋" w:hAnsi="仿宋" w:eastAsia="仿宋" w:cs="仿宋"/>
          <w:b w:val="0"/>
          <w:bCs/>
          <w:color w:val="auto"/>
          <w:highlight w:val="none"/>
        </w:rPr>
        <w:t>代表我方</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u w:val="single"/>
          <w:lang w:val="en-US" w:eastAsia="zh-CN"/>
        </w:rPr>
        <w:t xml:space="preserve">  </w:t>
      </w:r>
      <w:r>
        <w:rPr>
          <w:rFonts w:hint="eastAsia" w:ascii="仿宋" w:hAnsi="仿宋" w:eastAsia="仿宋" w:cs="仿宋"/>
          <w:b w:val="0"/>
          <w:bCs/>
          <w:color w:val="auto"/>
          <w:highlight w:val="none"/>
          <w:u w:val="single"/>
        </w:rPr>
        <w:t>（供应商的名称）</w:t>
      </w:r>
      <w:r>
        <w:rPr>
          <w:rFonts w:hint="eastAsia" w:ascii="仿宋" w:hAnsi="仿宋" w:eastAsia="仿宋" w:cs="仿宋"/>
          <w:b w:val="0"/>
          <w:bCs/>
          <w:color w:val="auto"/>
          <w:highlight w:val="none"/>
          <w:u w:val="single"/>
          <w:lang w:val="en-US" w:eastAsia="zh-CN"/>
        </w:rPr>
        <w:t xml:space="preserve">  </w:t>
      </w:r>
      <w:r>
        <w:rPr>
          <w:rFonts w:hint="eastAsia" w:ascii="仿宋" w:hAnsi="仿宋" w:eastAsia="仿宋" w:cs="仿宋"/>
          <w:b w:val="0"/>
          <w:bCs/>
          <w:color w:val="auto"/>
          <w:highlight w:val="none"/>
        </w:rPr>
        <w:t>全权处理本项目</w:t>
      </w:r>
      <w:r>
        <w:rPr>
          <w:rFonts w:hint="eastAsia" w:ascii="仿宋" w:hAnsi="仿宋" w:eastAsia="仿宋" w:cs="仿宋"/>
          <w:b w:val="0"/>
          <w:bCs/>
          <w:color w:val="auto"/>
          <w:highlight w:val="none"/>
          <w:lang w:eastAsia="zh-CN"/>
        </w:rPr>
        <w:t>谈判</w:t>
      </w:r>
      <w:r>
        <w:rPr>
          <w:rFonts w:hint="eastAsia" w:ascii="仿宋" w:hAnsi="仿宋" w:eastAsia="仿宋" w:cs="仿宋"/>
          <w:b w:val="0"/>
          <w:bCs/>
          <w:color w:val="auto"/>
          <w:highlight w:val="none"/>
        </w:rPr>
        <w:t>的有关事宜。</w:t>
      </w:r>
    </w:p>
    <w:p>
      <w:pPr>
        <w:pStyle w:val="17"/>
        <w:pageBreakBefore w:val="0"/>
        <w:kinsoku/>
        <w:overflowPunct/>
        <w:topLinePunct w:val="0"/>
        <w:autoSpaceDE/>
        <w:autoSpaceDN/>
        <w:bidi w:val="0"/>
        <w:spacing w:line="360" w:lineRule="auto"/>
        <w:ind w:left="0"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1、我方自愿按照</w:t>
      </w:r>
      <w:r>
        <w:rPr>
          <w:rFonts w:hint="eastAsia" w:ascii="仿宋" w:hAnsi="仿宋" w:eastAsia="仿宋" w:cs="仿宋"/>
          <w:b w:val="0"/>
          <w:bCs/>
          <w:color w:val="auto"/>
          <w:highlight w:val="none"/>
          <w:lang w:eastAsia="zh-CN"/>
        </w:rPr>
        <w:t>谈判文件</w:t>
      </w:r>
      <w:r>
        <w:rPr>
          <w:rFonts w:hint="eastAsia" w:ascii="仿宋" w:hAnsi="仿宋" w:eastAsia="仿宋" w:cs="仿宋"/>
          <w:b w:val="0"/>
          <w:bCs/>
          <w:color w:val="auto"/>
          <w:highlight w:val="none"/>
        </w:rPr>
        <w:t>规定的各项要求向采购人提供所需</w:t>
      </w:r>
      <w:r>
        <w:rPr>
          <w:rFonts w:hint="eastAsia" w:ascii="仿宋" w:hAnsi="仿宋" w:eastAsia="仿宋" w:cs="仿宋"/>
          <w:b w:val="0"/>
          <w:bCs/>
          <w:color w:val="auto"/>
          <w:highlight w:val="none"/>
          <w:lang w:eastAsia="zh-CN"/>
        </w:rPr>
        <w:t>货物</w:t>
      </w:r>
      <w:r>
        <w:rPr>
          <w:rFonts w:hint="eastAsia" w:ascii="仿宋" w:hAnsi="仿宋" w:eastAsia="仿宋" w:cs="仿宋"/>
          <w:b w:val="0"/>
          <w:bCs/>
          <w:color w:val="auto"/>
          <w:highlight w:val="none"/>
        </w:rPr>
        <w:t>。商务报价为</w:t>
      </w:r>
      <w:r>
        <w:rPr>
          <w:rFonts w:hint="eastAsia" w:ascii="仿宋" w:hAnsi="仿宋" w:eastAsia="仿宋" w:cs="仿宋"/>
          <w:b w:val="0"/>
          <w:bCs/>
          <w:color w:val="auto"/>
          <w:szCs w:val="21"/>
          <w:highlight w:val="none"/>
        </w:rPr>
        <w:t>￥</w:t>
      </w:r>
      <w:r>
        <w:rPr>
          <w:rFonts w:hint="eastAsia" w:ascii="仿宋" w:hAnsi="仿宋" w:eastAsia="仿宋" w:cs="仿宋"/>
          <w:b w:val="0"/>
          <w:bCs/>
          <w:color w:val="auto"/>
          <w:szCs w:val="21"/>
          <w:highlight w:val="none"/>
          <w:u w:val="single"/>
          <w:lang w:eastAsia="zh-CN"/>
        </w:rPr>
        <w:t xml:space="preserve"> </w:t>
      </w:r>
      <w:r>
        <w:rPr>
          <w:rFonts w:hint="eastAsia" w:ascii="仿宋" w:hAnsi="仿宋" w:eastAsia="仿宋" w:cs="仿宋"/>
          <w:b w:val="0"/>
          <w:bCs/>
          <w:color w:val="auto"/>
          <w:szCs w:val="21"/>
          <w:highlight w:val="none"/>
          <w:u w:val="single"/>
          <w:lang w:val="en-US" w:eastAsia="zh-CN"/>
        </w:rPr>
        <w:t xml:space="preserve"> </w:t>
      </w:r>
      <w:r>
        <w:rPr>
          <w:rFonts w:hint="eastAsia" w:ascii="仿宋" w:hAnsi="仿宋" w:eastAsia="仿宋" w:cs="仿宋"/>
          <w:b w:val="0"/>
          <w:bCs/>
          <w:color w:val="auto"/>
          <w:szCs w:val="21"/>
          <w:highlight w:val="none"/>
          <w:u w:val="none"/>
          <w:lang w:val="en-US" w:eastAsia="zh-CN"/>
        </w:rPr>
        <w:t>万</w:t>
      </w:r>
      <w:r>
        <w:rPr>
          <w:rFonts w:hint="eastAsia" w:ascii="仿宋" w:hAnsi="仿宋" w:eastAsia="仿宋" w:cs="仿宋"/>
          <w:b w:val="0"/>
          <w:bCs/>
          <w:color w:val="auto"/>
          <w:highlight w:val="none"/>
          <w:u w:val="none"/>
        </w:rPr>
        <w:t>元</w:t>
      </w:r>
      <w:r>
        <w:rPr>
          <w:rFonts w:hint="eastAsia" w:ascii="仿宋" w:hAnsi="仿宋" w:eastAsia="仿宋" w:cs="仿宋"/>
          <w:b w:val="0"/>
          <w:bCs/>
          <w:color w:val="auto"/>
          <w:highlight w:val="none"/>
        </w:rPr>
        <w:t>（大写：人民币</w:t>
      </w:r>
      <w:r>
        <w:rPr>
          <w:rFonts w:hint="eastAsia" w:ascii="仿宋" w:hAnsi="仿宋" w:eastAsia="仿宋" w:cs="仿宋"/>
          <w:b w:val="0"/>
          <w:bCs/>
          <w:color w:val="auto"/>
          <w:highlight w:val="none"/>
          <w:u w:val="single"/>
        </w:rPr>
        <w:t xml:space="preserve">      </w:t>
      </w:r>
      <w:r>
        <w:rPr>
          <w:rFonts w:hint="eastAsia" w:ascii="仿宋" w:hAnsi="仿宋" w:eastAsia="仿宋" w:cs="仿宋"/>
          <w:b w:val="0"/>
          <w:bCs/>
          <w:color w:val="auto"/>
          <w:highlight w:val="none"/>
        </w:rPr>
        <w:t>）。</w:t>
      </w:r>
    </w:p>
    <w:p>
      <w:pPr>
        <w:pStyle w:val="17"/>
        <w:pageBreakBefore w:val="0"/>
        <w:kinsoku/>
        <w:overflowPunct/>
        <w:topLinePunct w:val="0"/>
        <w:autoSpaceDE/>
        <w:autoSpaceDN/>
        <w:bidi w:val="0"/>
        <w:spacing w:line="360" w:lineRule="auto"/>
        <w:ind w:left="0"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2、一旦我方</w:t>
      </w:r>
      <w:r>
        <w:rPr>
          <w:rFonts w:hint="eastAsia" w:ascii="仿宋" w:hAnsi="仿宋" w:eastAsia="仿宋" w:cs="仿宋"/>
          <w:b w:val="0"/>
          <w:bCs/>
          <w:color w:val="auto"/>
          <w:highlight w:val="none"/>
          <w:lang w:eastAsia="zh-CN"/>
        </w:rPr>
        <w:t>成交</w:t>
      </w:r>
      <w:r>
        <w:rPr>
          <w:rFonts w:hint="eastAsia" w:ascii="仿宋" w:hAnsi="仿宋" w:eastAsia="仿宋" w:cs="仿宋"/>
          <w:b w:val="0"/>
          <w:bCs/>
          <w:color w:val="auto"/>
          <w:highlight w:val="none"/>
        </w:rPr>
        <w:t>，我方将严格履行合同规定的责任和义务，保证</w:t>
      </w:r>
      <w:r>
        <w:rPr>
          <w:rFonts w:hint="eastAsia" w:ascii="仿宋" w:hAnsi="仿宋" w:eastAsia="仿宋" w:cs="仿宋"/>
          <w:b w:val="0"/>
          <w:bCs/>
          <w:color w:val="auto"/>
          <w:highlight w:val="none"/>
          <w:lang w:eastAsia="zh-CN"/>
        </w:rPr>
        <w:t>按采购人要求及我方承诺</w:t>
      </w:r>
      <w:r>
        <w:rPr>
          <w:rFonts w:hint="eastAsia" w:ascii="仿宋" w:hAnsi="仿宋" w:eastAsia="仿宋" w:cs="仿宋"/>
          <w:b w:val="0"/>
          <w:bCs/>
          <w:color w:val="auto"/>
          <w:highlight w:val="none"/>
        </w:rPr>
        <w:t>完成所需服务及应尽义务。</w:t>
      </w:r>
    </w:p>
    <w:p>
      <w:pPr>
        <w:pStyle w:val="17"/>
        <w:pageBreakBefore w:val="0"/>
        <w:kinsoku/>
        <w:overflowPunct/>
        <w:topLinePunct w:val="0"/>
        <w:autoSpaceDE/>
        <w:autoSpaceDN/>
        <w:bidi w:val="0"/>
        <w:spacing w:line="360" w:lineRule="auto"/>
        <w:ind w:left="0" w:firstLine="438" w:firstLineChars="200"/>
        <w:outlineLvl w:val="9"/>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rPr>
        <w:t>3、我方为本项目提交的投标文件电子版一份</w:t>
      </w:r>
      <w:r>
        <w:rPr>
          <w:rFonts w:hint="eastAsia" w:ascii="仿宋" w:hAnsi="仿宋" w:eastAsia="仿宋" w:cs="仿宋"/>
          <w:b w:val="0"/>
          <w:bCs/>
          <w:color w:val="auto"/>
          <w:highlight w:val="none"/>
          <w:lang w:eastAsia="zh-CN"/>
        </w:rPr>
        <w:t>。</w:t>
      </w:r>
    </w:p>
    <w:p>
      <w:pPr>
        <w:pStyle w:val="17"/>
        <w:pageBreakBefore w:val="0"/>
        <w:kinsoku/>
        <w:overflowPunct/>
        <w:topLinePunct w:val="0"/>
        <w:autoSpaceDE/>
        <w:autoSpaceDN/>
        <w:bidi w:val="0"/>
        <w:spacing w:line="360" w:lineRule="auto"/>
        <w:ind w:left="0"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4、我方愿意提供采购人另外要求的，与</w:t>
      </w:r>
      <w:r>
        <w:rPr>
          <w:rFonts w:hint="eastAsia" w:ascii="仿宋" w:hAnsi="仿宋" w:eastAsia="仿宋" w:cs="仿宋"/>
          <w:b w:val="0"/>
          <w:bCs/>
          <w:color w:val="auto"/>
          <w:highlight w:val="none"/>
          <w:lang w:eastAsia="zh-CN"/>
        </w:rPr>
        <w:t>谈判</w:t>
      </w:r>
      <w:r>
        <w:rPr>
          <w:rFonts w:hint="eastAsia" w:ascii="仿宋" w:hAnsi="仿宋" w:eastAsia="仿宋" w:cs="仿宋"/>
          <w:b w:val="0"/>
          <w:bCs/>
          <w:color w:val="auto"/>
          <w:highlight w:val="none"/>
        </w:rPr>
        <w:t>有关的文件资料，并保证我方已提供和将要提供的文件资料是真实、准确的。</w:t>
      </w:r>
    </w:p>
    <w:p>
      <w:pPr>
        <w:pStyle w:val="17"/>
        <w:pageBreakBefore w:val="0"/>
        <w:kinsoku/>
        <w:overflowPunct/>
        <w:topLinePunct w:val="0"/>
        <w:autoSpaceDE/>
        <w:autoSpaceDN/>
        <w:bidi w:val="0"/>
        <w:spacing w:line="360" w:lineRule="auto"/>
        <w:ind w:left="756" w:leftChars="228" w:hanging="326" w:hangingChars="149"/>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5、我方完全理解你们将不受必须接受其它任何投标文件的约束。</w:t>
      </w:r>
    </w:p>
    <w:p>
      <w:pPr>
        <w:pStyle w:val="17"/>
        <w:ind w:left="756" w:leftChars="228" w:hanging="326" w:hangingChars="149"/>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lang w:val="en-US" w:eastAsia="zh-CN"/>
        </w:rPr>
        <w:t>6、投标有限期：自投标截止之日起90天。</w:t>
      </w:r>
    </w:p>
    <w:p>
      <w:pPr>
        <w:pStyle w:val="17"/>
        <w:pageBreakBefore w:val="0"/>
        <w:kinsoku/>
        <w:overflowPunct/>
        <w:topLinePunct w:val="0"/>
        <w:autoSpaceDE/>
        <w:autoSpaceDN/>
        <w:bidi w:val="0"/>
        <w:spacing w:line="360" w:lineRule="auto"/>
        <w:ind w:left="756" w:leftChars="228" w:hanging="326" w:hangingChars="149"/>
        <w:outlineLvl w:val="9"/>
        <w:rPr>
          <w:rFonts w:hint="eastAsia" w:ascii="仿宋" w:hAnsi="仿宋" w:eastAsia="仿宋" w:cs="仿宋"/>
          <w:b w:val="0"/>
          <w:bCs/>
          <w:color w:val="auto"/>
          <w:highlight w:val="none"/>
        </w:rPr>
      </w:pP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供应商名称：        （盖章）</w:t>
      </w: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法定代表人或授权代表（签字）或盖章：</w:t>
      </w: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通讯地址：</w:t>
      </w: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邮政编码：</w:t>
      </w: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联系电话：</w:t>
      </w: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传    真：</w:t>
      </w:r>
    </w:p>
    <w:p>
      <w:pPr>
        <w:pStyle w:val="17"/>
        <w:pageBreakBefore w:val="0"/>
        <w:kinsoku/>
        <w:overflowPunct/>
        <w:topLinePunct w:val="0"/>
        <w:autoSpaceDE/>
        <w:autoSpaceDN/>
        <w:bidi w:val="0"/>
        <w:spacing w:line="360" w:lineRule="auto"/>
        <w:ind w:left="838" w:firstLine="438" w:firstLineChars="200"/>
        <w:outlineLvl w:val="9"/>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日    期：</w:t>
      </w:r>
      <w:r>
        <w:rPr>
          <w:rFonts w:hint="eastAsia" w:ascii="仿宋" w:hAnsi="仿宋" w:eastAsia="仿宋" w:cs="仿宋"/>
          <w:b w:val="0"/>
          <w:bCs/>
          <w:color w:val="auto"/>
          <w:highlight w:val="none"/>
          <w:lang w:val="en-US" w:eastAsia="zh-CN"/>
        </w:rPr>
        <w:t xml:space="preserve">    </w:t>
      </w:r>
      <w:r>
        <w:rPr>
          <w:rFonts w:hint="eastAsia" w:ascii="仿宋" w:hAnsi="仿宋" w:eastAsia="仿宋" w:cs="仿宋"/>
          <w:b w:val="0"/>
          <w:bCs/>
          <w:color w:val="auto"/>
          <w:highlight w:val="none"/>
        </w:rPr>
        <w:t>年  月  日</w:t>
      </w: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格式2  商务报价一览表</w:t>
      </w:r>
      <w:r>
        <w:rPr>
          <w:rFonts w:hint="eastAsia" w:ascii="仿宋" w:hAnsi="仿宋" w:eastAsia="仿宋" w:cs="仿宋"/>
          <w:b/>
          <w:bCs/>
          <w:color w:val="auto"/>
          <w:sz w:val="28"/>
          <w:szCs w:val="28"/>
          <w:highlight w:val="none"/>
          <w:lang w:eastAsia="zh-CN"/>
        </w:rPr>
        <w:t>（首次）</w:t>
      </w:r>
    </w:p>
    <w:p>
      <w:pPr>
        <w:pageBreakBefore w:val="0"/>
        <w:kinsoku/>
        <w:overflowPunct/>
        <w:topLinePunct w:val="0"/>
        <w:autoSpaceDE/>
        <w:autoSpaceDN/>
        <w:bidi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项目名称：                                                   币种：人民币（万元）</w:t>
      </w:r>
    </w:p>
    <w:tbl>
      <w:tblPr>
        <w:tblStyle w:val="25"/>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9"/>
        <w:gridCol w:w="3612"/>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atLeast"/>
        </w:trPr>
        <w:tc>
          <w:tcPr>
            <w:tcW w:w="769" w:type="dxa"/>
            <w:tcBorders>
              <w:top w:val="single" w:color="000000" w:sz="2" w:space="0"/>
              <w:left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612" w:type="dxa"/>
            <w:tcBorders>
              <w:top w:val="single" w:color="000000" w:sz="2" w:space="0"/>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p>
        </w:tc>
        <w:tc>
          <w:tcPr>
            <w:tcW w:w="5137" w:type="dxa"/>
            <w:tcBorders>
              <w:top w:val="single" w:color="000000" w:sz="2" w:space="0"/>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trPr>
        <w:tc>
          <w:tcPr>
            <w:tcW w:w="769" w:type="dxa"/>
            <w:vMerge w:val="restart"/>
            <w:tcBorders>
              <w:top w:val="single" w:color="auto" w:sz="4" w:space="0"/>
              <w:left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612" w:type="dxa"/>
            <w:vMerge w:val="restart"/>
            <w:tcBorders>
              <w:top w:val="single" w:color="auto" w:sz="4" w:space="0"/>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投标报价（万元）</w:t>
            </w:r>
          </w:p>
        </w:tc>
        <w:tc>
          <w:tcPr>
            <w:tcW w:w="5137" w:type="dxa"/>
            <w:tcBorders>
              <w:top w:val="single" w:color="auto" w:sz="4" w:space="0"/>
              <w:left w:val="single" w:color="auto" w:sz="4" w:space="0"/>
              <w:right w:val="single" w:color="000000" w:sz="2" w:space="0"/>
            </w:tcBorders>
            <w:noWrap w:val="0"/>
            <w:vAlign w:val="center"/>
          </w:tcPr>
          <w:p>
            <w:pPr>
              <w:pageBreakBefore w:val="0"/>
              <w:widowControl/>
              <w:kinsoku/>
              <w:overflowPunct/>
              <w:topLinePunct w:val="0"/>
              <w:autoSpaceDE/>
              <w:autoSpaceDN/>
              <w:bidi w:val="0"/>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769" w:type="dxa"/>
            <w:vMerge w:val="continue"/>
            <w:tcBorders>
              <w:left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p>
        </w:tc>
        <w:tc>
          <w:tcPr>
            <w:tcW w:w="3612" w:type="dxa"/>
            <w:vMerge w:val="continue"/>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p>
        </w:tc>
        <w:tc>
          <w:tcPr>
            <w:tcW w:w="5137" w:type="dxa"/>
            <w:tcBorders>
              <w:top w:val="single" w:color="auto" w:sz="4" w:space="0"/>
              <w:left w:val="single" w:color="auto" w:sz="4" w:space="0"/>
              <w:right w:val="single" w:color="000000" w:sz="2" w:space="0"/>
            </w:tcBorders>
            <w:noWrap w:val="0"/>
            <w:vAlign w:val="center"/>
          </w:tcPr>
          <w:p>
            <w:pPr>
              <w:pageBreakBefore w:val="0"/>
              <w:widowControl/>
              <w:kinsoku/>
              <w:overflowPunct/>
              <w:topLinePunct w:val="0"/>
              <w:autoSpaceDE/>
              <w:autoSpaceDN/>
              <w:bidi w:val="0"/>
              <w:spacing w:line="360" w:lineRule="auto"/>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769" w:type="dxa"/>
            <w:tcBorders>
              <w:left w:val="single" w:color="000000" w:sz="2"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612" w:type="dxa"/>
            <w:tcBorders>
              <w:top w:val="single" w:color="auto" w:sz="4" w:space="0"/>
              <w:left w:val="single" w:color="auto" w:sz="4" w:space="0"/>
              <w:bottom w:val="single" w:color="000000" w:sz="2"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供货期限</w:t>
            </w:r>
          </w:p>
        </w:tc>
        <w:tc>
          <w:tcPr>
            <w:tcW w:w="5137"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自接到成交通知书之日起20日（日历日）内供货并完成安装调试。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769" w:type="dxa"/>
            <w:tcBorders>
              <w:left w:val="single" w:color="000000" w:sz="2"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3612" w:type="dxa"/>
            <w:tcBorders>
              <w:top w:val="single" w:color="auto" w:sz="4" w:space="0"/>
              <w:left w:val="single" w:color="auto" w:sz="4" w:space="0"/>
              <w:bottom w:val="single" w:color="000000" w:sz="2"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质保期</w:t>
            </w:r>
          </w:p>
        </w:tc>
        <w:tc>
          <w:tcPr>
            <w:tcW w:w="5137"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atLeast"/>
        </w:trPr>
        <w:tc>
          <w:tcPr>
            <w:tcW w:w="769" w:type="dxa"/>
            <w:tcBorders>
              <w:top w:val="single" w:color="auto" w:sz="4" w:space="0"/>
              <w:left w:val="single" w:color="000000" w:sz="2"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3612"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ind w:firstLine="9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项目负责人</w:t>
            </w:r>
          </w:p>
        </w:tc>
        <w:tc>
          <w:tcPr>
            <w:tcW w:w="5137"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1" w:hRule="atLeast"/>
        </w:trPr>
        <w:tc>
          <w:tcPr>
            <w:tcW w:w="769" w:type="dxa"/>
            <w:tcBorders>
              <w:top w:val="single" w:color="auto" w:sz="4" w:space="0"/>
              <w:left w:val="single" w:color="000000" w:sz="2"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612"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91"/>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供应商其它说明（由各供应商根据本采购项目要求自行列出需说明及承诺内容）</w:t>
            </w:r>
          </w:p>
        </w:tc>
        <w:tc>
          <w:tcPr>
            <w:tcW w:w="5137"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8" w:hRule="exact"/>
        </w:trPr>
        <w:tc>
          <w:tcPr>
            <w:tcW w:w="9518" w:type="dxa"/>
            <w:gridSpan w:val="3"/>
            <w:tcBorders>
              <w:top w:val="single" w:color="auto" w:sz="4" w:space="0"/>
              <w:left w:val="single" w:color="000000" w:sz="2" w:space="0"/>
              <w:bottom w:val="single" w:color="000000" w:sz="2" w:space="0"/>
              <w:right w:val="single" w:color="000000" w:sz="2" w:space="0"/>
            </w:tcBorders>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ind w:firstLine="438"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w:t>
            </w:r>
            <w:r>
              <w:rPr>
                <w:rFonts w:hint="eastAsia" w:ascii="仿宋" w:hAnsi="仿宋" w:eastAsia="仿宋" w:cs="仿宋"/>
                <w:color w:val="auto"/>
                <w:sz w:val="24"/>
                <w:lang w:val="en-US" w:eastAsia="zh-CN"/>
              </w:rPr>
              <w:t>价包含的内容：</w:t>
            </w:r>
            <w:r>
              <w:rPr>
                <w:rFonts w:hint="eastAsia" w:ascii="仿宋" w:hAnsi="仿宋" w:eastAsia="仿宋" w:cs="仿宋"/>
                <w:color w:val="auto"/>
                <w:sz w:val="24"/>
                <w:lang w:eastAsia="zh-CN"/>
              </w:rPr>
              <w:t>小拐乡肉羊养殖场设备及农机采购项目设备</w:t>
            </w:r>
            <w:r>
              <w:rPr>
                <w:rFonts w:hint="eastAsia" w:ascii="仿宋" w:hAnsi="仿宋" w:eastAsia="仿宋" w:cs="仿宋"/>
                <w:color w:val="auto"/>
                <w:sz w:val="24"/>
              </w:rPr>
              <w:t>所需设备的供应、保险、税费、仓储运输、现场搬运（含二次搬运）、现场装卸（卸至需方指定地点）及保管，检验及验收、移交、安装调试、培训等工作，向采购人提交设备技术参数、缺陷修补、质量保修期内的维保、售后服务等以及合同条款、技术规范及标准、项目采购需求、本采购文件约定的全部内容及保修责任和义务。</w:t>
            </w:r>
          </w:p>
        </w:tc>
      </w:tr>
    </w:tbl>
    <w:p>
      <w:pPr>
        <w:pageBreakBefore w:val="0"/>
        <w:kinsoku/>
        <w:overflowPunct/>
        <w:topLinePunct w:val="0"/>
        <w:autoSpaceDE/>
        <w:autoSpaceDN/>
        <w:bidi w:val="0"/>
        <w:spacing w:line="360" w:lineRule="auto"/>
        <w:ind w:firstLine="219"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供应商(盖章)： </w:t>
      </w:r>
    </w:p>
    <w:p>
      <w:pPr>
        <w:pageBreakBefore w:val="0"/>
        <w:kinsoku/>
        <w:overflowPunct/>
        <w:topLinePunct w:val="0"/>
        <w:autoSpaceDE/>
        <w:autoSpaceDN/>
        <w:bidi w:val="0"/>
        <w:spacing w:line="360" w:lineRule="auto"/>
        <w:ind w:firstLine="219"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pPr>
        <w:pageBreakBefore w:val="0"/>
        <w:kinsoku/>
        <w:overflowPunct/>
        <w:topLinePunct w:val="0"/>
        <w:autoSpaceDE/>
        <w:autoSpaceDN/>
        <w:bidi w:val="0"/>
        <w:spacing w:line="360" w:lineRule="auto"/>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报价日期：   年  月   日</w:t>
      </w:r>
    </w:p>
    <w:p>
      <w:pPr>
        <w:pStyle w:val="13"/>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注：1、供应商须按本商务报价一览表格式制作“</w:t>
      </w:r>
      <w:r>
        <w:rPr>
          <w:rFonts w:hint="eastAsia" w:ascii="仿宋" w:hAnsi="仿宋" w:eastAsia="仿宋" w:cs="仿宋"/>
          <w:b/>
          <w:bCs/>
          <w:color w:val="auto"/>
          <w:sz w:val="24"/>
          <w:szCs w:val="24"/>
          <w:highlight w:val="none"/>
          <w:lang w:val="en-US" w:eastAsia="zh-CN"/>
        </w:rPr>
        <w:t>商务报价一览表</w:t>
      </w:r>
      <w:r>
        <w:rPr>
          <w:rFonts w:hint="eastAsia" w:ascii="仿宋" w:hAnsi="仿宋" w:eastAsia="仿宋" w:cs="仿宋"/>
          <w:b/>
          <w:bCs/>
          <w:color w:val="auto"/>
          <w:sz w:val="24"/>
          <w:szCs w:val="24"/>
          <w:highlight w:val="none"/>
          <w:lang w:eastAsia="zh-CN"/>
        </w:rPr>
        <w:t>（最终）</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highlight w:val="none"/>
        </w:rPr>
        <w:t>并加盖单位公章后自行上传至政采云平台，</w:t>
      </w:r>
      <w:r>
        <w:rPr>
          <w:rFonts w:hint="eastAsia" w:ascii="仿宋" w:hAnsi="仿宋" w:eastAsia="仿宋" w:cs="仿宋"/>
          <w:b/>
          <w:bCs/>
          <w:color w:val="auto"/>
          <w:sz w:val="24"/>
          <w:szCs w:val="24"/>
          <w:highlight w:val="none"/>
        </w:rPr>
        <w:t>经</w:t>
      </w:r>
      <w:r>
        <w:rPr>
          <w:rFonts w:hint="eastAsia" w:ascii="仿宋" w:hAnsi="仿宋" w:eastAsia="仿宋" w:cs="仿宋"/>
          <w:b/>
          <w:bCs/>
          <w:color w:val="auto"/>
          <w:sz w:val="24"/>
          <w:szCs w:val="24"/>
          <w:highlight w:val="none"/>
          <w:lang w:val="en-US" w:eastAsia="zh-CN"/>
        </w:rPr>
        <w:t>谈判</w:t>
      </w:r>
      <w:r>
        <w:rPr>
          <w:rFonts w:hint="eastAsia" w:ascii="仿宋" w:hAnsi="仿宋" w:eastAsia="仿宋" w:cs="仿宋"/>
          <w:b/>
          <w:bCs/>
          <w:color w:val="auto"/>
          <w:sz w:val="24"/>
          <w:szCs w:val="24"/>
          <w:highlight w:val="none"/>
        </w:rPr>
        <w:t>后由各供应商填写</w:t>
      </w:r>
      <w:r>
        <w:rPr>
          <w:rFonts w:hint="eastAsia" w:ascii="仿宋" w:hAnsi="仿宋" w:eastAsia="仿宋" w:cs="仿宋"/>
          <w:b/>
          <w:bCs/>
          <w:color w:val="auto"/>
          <w:sz w:val="24"/>
          <w:szCs w:val="24"/>
          <w:highlight w:val="none"/>
          <w:lang w:val="en-US" w:eastAsia="zh-CN"/>
        </w:rPr>
        <w:t>最终商务报价一览表</w:t>
      </w:r>
      <w:r>
        <w:rPr>
          <w:rFonts w:hint="eastAsia" w:ascii="仿宋" w:hAnsi="仿宋" w:eastAsia="仿宋" w:cs="仿宋"/>
          <w:b/>
          <w:bCs/>
          <w:color w:val="auto"/>
          <w:sz w:val="24"/>
          <w:szCs w:val="24"/>
          <w:highlight w:val="none"/>
        </w:rPr>
        <w:t>。</w:t>
      </w:r>
    </w:p>
    <w:p>
      <w:pPr>
        <w:pageBreakBefore w:val="0"/>
        <w:kinsoku/>
        <w:overflowPunct/>
        <w:topLinePunct w:val="0"/>
        <w:autoSpaceDE/>
        <w:autoSpaceDN/>
        <w:bidi w:val="0"/>
        <w:spacing w:line="360" w:lineRule="auto"/>
        <w:jc w:val="right"/>
        <w:outlineLvl w:val="9"/>
        <w:rPr>
          <w:rFonts w:hint="eastAsia" w:ascii="仿宋" w:hAnsi="仿宋" w:eastAsia="仿宋" w:cs="仿宋"/>
          <w:color w:val="auto"/>
          <w:sz w:val="24"/>
          <w:szCs w:val="24"/>
          <w:highlight w:val="none"/>
        </w:rPr>
      </w:pPr>
    </w:p>
    <w:p>
      <w:pPr>
        <w:outlineLvl w:val="9"/>
        <w:rPr>
          <w:rFonts w:hint="eastAsia" w:ascii="仿宋" w:hAnsi="仿宋" w:eastAsia="仿宋" w:cs="仿宋"/>
          <w:b/>
          <w:color w:val="auto"/>
          <w:sz w:val="24"/>
        </w:rPr>
      </w:pPr>
      <w:r>
        <w:rPr>
          <w:rFonts w:hint="eastAsia" w:ascii="仿宋" w:hAnsi="仿宋" w:eastAsia="仿宋" w:cs="仿宋"/>
          <w:b/>
          <w:color w:val="auto"/>
          <w:sz w:val="24"/>
        </w:rPr>
        <w:br w:type="page"/>
      </w: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格式2</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 xml:space="preserve"> 投标价格明细表</w:t>
      </w:r>
      <w:r>
        <w:rPr>
          <w:rFonts w:hint="eastAsia" w:ascii="仿宋" w:hAnsi="仿宋" w:eastAsia="仿宋" w:cs="仿宋"/>
          <w:b/>
          <w:bCs/>
          <w:color w:val="auto"/>
          <w:sz w:val="28"/>
          <w:szCs w:val="28"/>
          <w:highlight w:val="none"/>
          <w:lang w:eastAsia="zh-CN"/>
        </w:rPr>
        <w:t>（首次）</w:t>
      </w:r>
    </w:p>
    <w:p>
      <w:pPr>
        <w:widowControl/>
        <w:jc w:val="left"/>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eastAsia="zh-CN" w:bidi="ar"/>
        </w:rPr>
        <w:t>供应商</w:t>
      </w:r>
      <w:r>
        <w:rPr>
          <w:rFonts w:hint="eastAsia" w:ascii="仿宋" w:hAnsi="仿宋" w:eastAsia="仿宋" w:cs="仿宋"/>
          <w:color w:val="auto"/>
          <w:kern w:val="0"/>
          <w:sz w:val="21"/>
          <w:szCs w:val="21"/>
          <w:highlight w:val="none"/>
          <w:lang w:bidi="ar"/>
        </w:rPr>
        <w:t>名称：                                             货币单位：人民币元</w:t>
      </w:r>
    </w:p>
    <w:tbl>
      <w:tblPr>
        <w:tblStyle w:val="25"/>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681"/>
        <w:gridCol w:w="1020"/>
        <w:gridCol w:w="1680"/>
        <w:gridCol w:w="720"/>
        <w:gridCol w:w="825"/>
        <w:gridCol w:w="189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83" w:type="dxa"/>
            <w:vMerge w:val="restart"/>
            <w:noWrap w:val="0"/>
            <w:textDirection w:val="tbRlV"/>
            <w:vAlign w:val="center"/>
          </w:tcPr>
          <w:p>
            <w:pPr>
              <w:widowControl/>
              <w:ind w:left="113" w:right="113"/>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序  号</w:t>
            </w: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bCs/>
                <w:color w:val="auto"/>
                <w:sz w:val="21"/>
                <w:szCs w:val="21"/>
                <w:highlight w:val="none"/>
              </w:rPr>
              <w:t>①</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②</w:t>
            </w: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③</w:t>
            </w: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④</w:t>
            </w: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⑤</w:t>
            </w: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⑥</w:t>
            </w: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83" w:type="dxa"/>
            <w:vMerge w:val="continue"/>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货物名称</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规格型号</w:t>
            </w: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品牌</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制造商、原产地、国别</w:t>
            </w: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单位</w:t>
            </w: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数量</w:t>
            </w: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到货价格（含运保费、卸至需方指定地点费用）</w:t>
            </w: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noWrap w:val="0"/>
            <w:vAlign w:val="center"/>
          </w:tcPr>
          <w:p>
            <w:pPr>
              <w:widowControl/>
              <w:tabs>
                <w:tab w:val="left" w:pos="420"/>
              </w:tabs>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电采暖锅炉</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w:t>
            </w: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饲草料粉碎机</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w:t>
            </w: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卧式饲草料搅拌机</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w:t>
            </w: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饲草料电动撒料车</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w:t>
            </w: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大功率拖拉机</w:t>
            </w:r>
            <w:bookmarkStart w:id="300" w:name="_GoBack"/>
            <w:bookmarkEnd w:id="300"/>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val="en-US" w:eastAsia="zh-CN" w:bidi="ar"/>
              </w:rPr>
            </w:pPr>
          </w:p>
        </w:tc>
        <w:tc>
          <w:tcPr>
            <w:tcW w:w="168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7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825"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89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93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3"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681"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6045" w:type="dxa"/>
            <w:gridSpan w:val="5"/>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64" w:type="dxa"/>
            <w:gridSpan w:val="2"/>
            <w:noWrap w:val="0"/>
            <w:vAlign w:val="center"/>
          </w:tcPr>
          <w:p>
            <w:pPr>
              <w:widowControl/>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总合计</w:t>
            </w:r>
          </w:p>
        </w:tc>
        <w:tc>
          <w:tcPr>
            <w:tcW w:w="1020" w:type="dxa"/>
            <w:noWrap w:val="0"/>
            <w:vAlign w:val="center"/>
          </w:tcPr>
          <w:p>
            <w:pPr>
              <w:widowControl/>
              <w:jc w:val="center"/>
              <w:outlineLvl w:val="9"/>
              <w:rPr>
                <w:rFonts w:hint="eastAsia" w:ascii="仿宋" w:hAnsi="仿宋" w:eastAsia="仿宋" w:cs="仿宋"/>
                <w:color w:val="auto"/>
                <w:kern w:val="0"/>
                <w:sz w:val="21"/>
                <w:szCs w:val="21"/>
                <w:highlight w:val="none"/>
                <w:lang w:bidi="ar"/>
              </w:rPr>
            </w:pPr>
          </w:p>
        </w:tc>
        <w:tc>
          <w:tcPr>
            <w:tcW w:w="6045" w:type="dxa"/>
            <w:gridSpan w:val="5"/>
            <w:noWrap w:val="0"/>
            <w:vAlign w:val="center"/>
          </w:tcPr>
          <w:p>
            <w:pPr>
              <w:widowControl/>
              <w:jc w:val="center"/>
              <w:outlineLvl w:val="9"/>
              <w:rPr>
                <w:rFonts w:hint="eastAsia" w:ascii="仿宋" w:hAnsi="仿宋" w:eastAsia="仿宋" w:cs="仿宋"/>
                <w:color w:val="auto"/>
                <w:kern w:val="0"/>
                <w:sz w:val="21"/>
                <w:szCs w:val="21"/>
                <w:highlight w:val="none"/>
                <w:lang w:bidi="ar"/>
              </w:rPr>
            </w:pPr>
          </w:p>
        </w:tc>
      </w:tr>
    </w:tbl>
    <w:p>
      <w:pPr>
        <w:widowControl/>
        <w:spacing w:line="400" w:lineRule="exact"/>
        <w:ind w:firstLine="438" w:firstLineChars="200"/>
        <w:jc w:val="left"/>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注：1、报价包含的内容：小拐乡肉羊养殖场设备及农机采购项目所需设备的供应、保险、税费、仓储运输、现场搬运（含二次搬运）、现场装卸（卸至需方指定地点）及保管，检验及验收、移交、安装调试、培训等工作，向采购人提交设备技术参数、缺陷修补、质量保修期内的维保、售后服务等以及合同条款、技术规范及标准、项目采购需求、本采购文件约定的全部内容及保修责任和义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b/>
          <w:bCs/>
          <w:color w:val="auto"/>
          <w:kern w:val="0"/>
          <w:sz w:val="24"/>
          <w:szCs w:val="24"/>
          <w:highlight w:val="none"/>
          <w:lang w:bidi="ar"/>
        </w:rPr>
        <w:t xml:space="preserve">  </w:t>
      </w:r>
      <w:r>
        <w:rPr>
          <w:rFonts w:hint="eastAsia" w:ascii="仿宋" w:hAnsi="仿宋" w:eastAsia="仿宋" w:cs="仿宋"/>
          <w:b/>
          <w:bCs/>
          <w:color w:val="auto"/>
          <w:kern w:val="0"/>
          <w:sz w:val="24"/>
          <w:szCs w:val="24"/>
          <w:highlight w:val="none"/>
          <w:lang w:val="en-US" w:eastAsia="zh-CN" w:bidi="ar"/>
        </w:rPr>
        <w:t>2</w:t>
      </w:r>
      <w:r>
        <w:rPr>
          <w:rFonts w:hint="eastAsia" w:ascii="仿宋" w:hAnsi="仿宋" w:eastAsia="仿宋" w:cs="仿宋"/>
          <w:b/>
          <w:bCs/>
          <w:color w:val="auto"/>
          <w:kern w:val="0"/>
          <w:sz w:val="24"/>
          <w:szCs w:val="24"/>
          <w:highlight w:val="none"/>
          <w:lang w:bidi="ar"/>
        </w:rPr>
        <w:t>、</w:t>
      </w:r>
      <w:r>
        <w:rPr>
          <w:rFonts w:hint="eastAsia" w:ascii="仿宋" w:hAnsi="仿宋" w:eastAsia="仿宋" w:cs="仿宋"/>
          <w:b/>
          <w:bCs/>
          <w:color w:val="auto"/>
          <w:kern w:val="0"/>
          <w:sz w:val="24"/>
          <w:szCs w:val="24"/>
          <w:highlight w:val="none"/>
          <w:lang w:eastAsia="zh-CN" w:bidi="ar"/>
        </w:rPr>
        <w:t>供应商</w:t>
      </w:r>
      <w:r>
        <w:rPr>
          <w:rFonts w:hint="eastAsia" w:ascii="仿宋" w:hAnsi="仿宋" w:eastAsia="仿宋" w:cs="仿宋"/>
          <w:b/>
          <w:bCs/>
          <w:color w:val="auto"/>
          <w:kern w:val="0"/>
          <w:sz w:val="24"/>
          <w:szCs w:val="24"/>
          <w:highlight w:val="none"/>
          <w:lang w:bidi="ar"/>
        </w:rPr>
        <w:t>在报价时不得虚报供货数量、如出现虚报供货数量,在评标时虚报部分报价不予扣减,若中成交,此部分报价将从成交价中扣减。由此所造成的一切后果均由</w:t>
      </w:r>
      <w:r>
        <w:rPr>
          <w:rFonts w:hint="eastAsia" w:ascii="仿宋" w:hAnsi="仿宋" w:eastAsia="仿宋" w:cs="仿宋"/>
          <w:b/>
          <w:bCs/>
          <w:color w:val="auto"/>
          <w:kern w:val="0"/>
          <w:sz w:val="24"/>
          <w:szCs w:val="24"/>
          <w:highlight w:val="none"/>
          <w:lang w:eastAsia="zh-CN" w:bidi="ar"/>
        </w:rPr>
        <w:t>供应商</w:t>
      </w:r>
      <w:r>
        <w:rPr>
          <w:rFonts w:hint="eastAsia" w:ascii="仿宋" w:hAnsi="仿宋" w:eastAsia="仿宋" w:cs="仿宋"/>
          <w:b/>
          <w:bCs/>
          <w:color w:val="auto"/>
          <w:kern w:val="0"/>
          <w:sz w:val="24"/>
          <w:szCs w:val="24"/>
          <w:highlight w:val="none"/>
          <w:lang w:bidi="ar"/>
        </w:rPr>
        <w:t>自负。</w:t>
      </w:r>
    </w:p>
    <w:p>
      <w:pPr>
        <w:widowControl/>
        <w:spacing w:line="400" w:lineRule="exact"/>
        <w:ind w:firstLine="438" w:firstLineChars="200"/>
        <w:jc w:val="left"/>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、各</w:t>
      </w:r>
      <w:r>
        <w:rPr>
          <w:rFonts w:hint="eastAsia" w:ascii="仿宋" w:hAnsi="仿宋" w:eastAsia="仿宋" w:cs="仿宋"/>
          <w:color w:val="auto"/>
          <w:kern w:val="0"/>
          <w:sz w:val="24"/>
          <w:szCs w:val="24"/>
          <w:highlight w:val="none"/>
          <w:lang w:eastAsia="zh-CN" w:bidi="ar"/>
        </w:rPr>
        <w:t>供应商</w:t>
      </w:r>
      <w:r>
        <w:rPr>
          <w:rFonts w:hint="eastAsia" w:ascii="仿宋" w:hAnsi="仿宋" w:eastAsia="仿宋" w:cs="仿宋"/>
          <w:color w:val="auto"/>
          <w:kern w:val="0"/>
          <w:sz w:val="24"/>
          <w:szCs w:val="24"/>
          <w:highlight w:val="none"/>
          <w:lang w:bidi="ar"/>
        </w:rPr>
        <w:t>按此表格式自行填写,表格不够时可自行添加。</w:t>
      </w:r>
    </w:p>
    <w:p>
      <w:pPr>
        <w:widowControl/>
        <w:spacing w:line="400" w:lineRule="exact"/>
        <w:jc w:val="left"/>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供应商</w:t>
      </w:r>
      <w:r>
        <w:rPr>
          <w:rFonts w:hint="eastAsia" w:ascii="仿宋" w:hAnsi="仿宋" w:eastAsia="仿宋" w:cs="仿宋"/>
          <w:color w:val="auto"/>
          <w:kern w:val="0"/>
          <w:sz w:val="24"/>
          <w:szCs w:val="24"/>
          <w:highlight w:val="none"/>
          <w:lang w:bidi="ar"/>
        </w:rPr>
        <w:t>(盖章)：</w:t>
      </w:r>
    </w:p>
    <w:p>
      <w:pPr>
        <w:widowControl/>
        <w:jc w:val="left"/>
        <w:outlineLvl w:val="9"/>
        <w:rPr>
          <w:rFonts w:hint="eastAsia" w:ascii="仿宋" w:hAnsi="仿宋" w:eastAsia="仿宋" w:cs="仿宋"/>
          <w:color w:val="auto"/>
          <w:kern w:val="0"/>
          <w:sz w:val="24"/>
          <w:szCs w:val="24"/>
          <w:highlight w:val="none"/>
          <w:lang w:bidi="ar"/>
        </w:rPr>
      </w:pPr>
    </w:p>
    <w:p>
      <w:pPr>
        <w:widowControl/>
        <w:jc w:val="both"/>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法定代表人或委托代理人签字或盖章：</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年    月    日</w:t>
      </w:r>
    </w:p>
    <w:p>
      <w:pPr>
        <w:widowControl/>
        <w:spacing w:line="360" w:lineRule="auto"/>
        <w:jc w:val="both"/>
        <w:outlineLvl w:val="9"/>
        <w:rPr>
          <w:rFonts w:hint="eastAsia" w:ascii="仿宋" w:hAnsi="仿宋" w:eastAsia="仿宋" w:cs="仿宋"/>
          <w:b/>
          <w:color w:val="auto"/>
          <w:sz w:val="24"/>
          <w:szCs w:val="24"/>
        </w:rPr>
      </w:pPr>
    </w:p>
    <w:p>
      <w:pPr>
        <w:pStyle w:val="13"/>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注：1、供应商须按本投标价格明细表格式制作“投标价格明细表</w:t>
      </w:r>
      <w:r>
        <w:rPr>
          <w:rFonts w:hint="eastAsia" w:ascii="仿宋" w:hAnsi="仿宋" w:eastAsia="仿宋" w:cs="仿宋"/>
          <w:b/>
          <w:bCs/>
          <w:color w:val="auto"/>
          <w:sz w:val="24"/>
          <w:szCs w:val="24"/>
          <w:highlight w:val="none"/>
          <w:lang w:eastAsia="zh-CN"/>
        </w:rPr>
        <w:t>（最终）</w:t>
      </w:r>
      <w:r>
        <w:rPr>
          <w:rFonts w:hint="eastAsia" w:ascii="仿宋" w:hAnsi="仿宋" w:eastAsia="仿宋" w:cs="仿宋"/>
          <w:b/>
          <w:bCs/>
          <w:color w:val="auto"/>
          <w:sz w:val="24"/>
          <w:szCs w:val="24"/>
          <w:highlight w:val="none"/>
        </w:rPr>
        <w:t>”，并加盖单位公章后自行上传至政采云平台，经</w:t>
      </w:r>
      <w:r>
        <w:rPr>
          <w:rFonts w:hint="eastAsia" w:ascii="仿宋" w:hAnsi="仿宋" w:eastAsia="仿宋" w:cs="仿宋"/>
          <w:b/>
          <w:bCs/>
          <w:color w:val="auto"/>
          <w:sz w:val="24"/>
          <w:szCs w:val="24"/>
          <w:highlight w:val="none"/>
          <w:lang w:val="en-US" w:eastAsia="zh-CN"/>
        </w:rPr>
        <w:t>谈判</w:t>
      </w:r>
      <w:r>
        <w:rPr>
          <w:rFonts w:hint="eastAsia" w:ascii="仿宋" w:hAnsi="仿宋" w:eastAsia="仿宋" w:cs="仿宋"/>
          <w:b/>
          <w:bCs/>
          <w:color w:val="auto"/>
          <w:sz w:val="24"/>
          <w:szCs w:val="24"/>
          <w:highlight w:val="none"/>
        </w:rPr>
        <w:t>后由各供应商填写</w:t>
      </w:r>
      <w:r>
        <w:rPr>
          <w:rFonts w:hint="eastAsia" w:ascii="仿宋" w:hAnsi="仿宋" w:eastAsia="仿宋" w:cs="仿宋"/>
          <w:b/>
          <w:bCs/>
          <w:color w:val="auto"/>
          <w:sz w:val="24"/>
          <w:szCs w:val="24"/>
          <w:highlight w:val="none"/>
          <w:lang w:val="en-US" w:eastAsia="zh-CN"/>
        </w:rPr>
        <w:t>最终</w:t>
      </w:r>
      <w:r>
        <w:rPr>
          <w:rFonts w:hint="eastAsia" w:ascii="仿宋" w:hAnsi="仿宋" w:eastAsia="仿宋" w:cs="仿宋"/>
          <w:b/>
          <w:bCs/>
          <w:color w:val="auto"/>
          <w:sz w:val="24"/>
          <w:szCs w:val="24"/>
          <w:highlight w:val="none"/>
        </w:rPr>
        <w:t>投标价格明细表。</w:t>
      </w:r>
    </w:p>
    <w:p>
      <w:pPr>
        <w:widowControl/>
        <w:spacing w:line="360" w:lineRule="auto"/>
        <w:jc w:val="center"/>
        <w:outlineLvl w:val="9"/>
        <w:rPr>
          <w:rFonts w:hint="eastAsia" w:ascii="仿宋" w:hAnsi="仿宋" w:eastAsia="仿宋" w:cs="仿宋"/>
          <w:b/>
          <w:color w:val="auto"/>
          <w:sz w:val="24"/>
        </w:rPr>
      </w:pP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 xml:space="preserve">格式2-2  </w:t>
      </w:r>
      <w:r>
        <w:rPr>
          <w:rFonts w:hint="eastAsia" w:ascii="仿宋" w:hAnsi="仿宋" w:eastAsia="仿宋" w:cs="仿宋"/>
          <w:b/>
          <w:bCs/>
          <w:color w:val="auto"/>
          <w:sz w:val="28"/>
          <w:szCs w:val="28"/>
          <w:highlight w:val="none"/>
        </w:rPr>
        <w:t>备品备件清单</w:t>
      </w:r>
    </w:p>
    <w:p>
      <w:pPr>
        <w:pStyle w:val="1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招标文件编号：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货币单位：</w:t>
      </w:r>
      <w:r>
        <w:rPr>
          <w:rFonts w:hint="eastAsia" w:ascii="仿宋" w:hAnsi="仿宋" w:eastAsia="仿宋" w:cs="仿宋"/>
          <w:color w:val="auto"/>
          <w:sz w:val="24"/>
          <w:szCs w:val="24"/>
          <w:highlight w:val="none"/>
          <w:u w:val="single"/>
        </w:rPr>
        <w:t>人民币元</w:t>
      </w:r>
    </w:p>
    <w:tbl>
      <w:tblPr>
        <w:tblStyle w:val="2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36"/>
        <w:gridCol w:w="2553"/>
        <w:gridCol w:w="1092"/>
        <w:gridCol w:w="1092"/>
        <w:gridCol w:w="1092"/>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pStyle w:val="15"/>
              <w:spacing w:line="240" w:lineRule="atLeast"/>
              <w:outlineLvl w:val="9"/>
              <w:rPr>
                <w:rFonts w:hint="eastAsia" w:ascii="仿宋" w:hAnsi="仿宋" w:eastAsia="仿宋" w:cs="仿宋"/>
                <w:color w:val="auto"/>
                <w:position w:val="-60"/>
                <w:sz w:val="24"/>
                <w:szCs w:val="24"/>
                <w:highlight w:val="none"/>
              </w:rPr>
            </w:pPr>
            <w:r>
              <w:rPr>
                <w:rFonts w:hint="eastAsia" w:ascii="仿宋" w:hAnsi="仿宋" w:eastAsia="仿宋" w:cs="仿宋"/>
                <w:color w:val="auto"/>
                <w:position w:val="-24"/>
                <w:sz w:val="24"/>
                <w:szCs w:val="24"/>
                <w:highlight w:val="none"/>
              </w:rPr>
              <w:t>序号</w:t>
            </w:r>
          </w:p>
        </w:tc>
        <w:tc>
          <w:tcPr>
            <w:tcW w:w="2036" w:type="dxa"/>
            <w:tcBorders>
              <w:left w:val="single" w:color="auto" w:sz="4" w:space="0"/>
            </w:tcBorders>
            <w:noWrap w:val="0"/>
            <w:vAlign w:val="center"/>
          </w:tcPr>
          <w:p>
            <w:pPr>
              <w:pStyle w:val="15"/>
              <w:spacing w:line="240" w:lineRule="atLeast"/>
              <w:jc w:val="center"/>
              <w:outlineLvl w:val="9"/>
              <w:rPr>
                <w:rFonts w:hint="eastAsia" w:ascii="仿宋" w:hAnsi="仿宋" w:eastAsia="仿宋" w:cs="仿宋"/>
                <w:color w:val="auto"/>
                <w:position w:val="-36"/>
                <w:sz w:val="24"/>
                <w:szCs w:val="24"/>
                <w:highlight w:val="none"/>
              </w:rPr>
            </w:pPr>
            <w:r>
              <w:rPr>
                <w:rFonts w:hint="eastAsia" w:ascii="仿宋" w:hAnsi="仿宋" w:eastAsia="仿宋" w:cs="仿宋"/>
                <w:color w:val="auto"/>
                <w:position w:val="-24"/>
                <w:sz w:val="24"/>
                <w:szCs w:val="24"/>
                <w:highlight w:val="none"/>
              </w:rPr>
              <w:t>名称、规格型号、品牌</w:t>
            </w:r>
          </w:p>
        </w:tc>
        <w:tc>
          <w:tcPr>
            <w:tcW w:w="2553" w:type="dxa"/>
            <w:noWrap w:val="0"/>
            <w:vAlign w:val="center"/>
          </w:tcPr>
          <w:p>
            <w:pPr>
              <w:pStyle w:val="15"/>
              <w:spacing w:line="240" w:lineRule="atLeast"/>
              <w:jc w:val="center"/>
              <w:outlineLvl w:val="9"/>
              <w:rPr>
                <w:rFonts w:hint="eastAsia" w:ascii="仿宋" w:hAnsi="仿宋" w:eastAsia="仿宋" w:cs="仿宋"/>
                <w:color w:val="auto"/>
                <w:position w:val="-60"/>
                <w:sz w:val="24"/>
                <w:szCs w:val="24"/>
                <w:highlight w:val="none"/>
              </w:rPr>
            </w:pPr>
            <w:r>
              <w:rPr>
                <w:rFonts w:hint="eastAsia" w:ascii="仿宋" w:hAnsi="仿宋" w:eastAsia="仿宋" w:cs="仿宋"/>
                <w:color w:val="auto"/>
                <w:position w:val="-24"/>
                <w:sz w:val="24"/>
                <w:szCs w:val="24"/>
                <w:highlight w:val="none"/>
              </w:rPr>
              <w:t>制造商、原产地、国别</w:t>
            </w:r>
          </w:p>
        </w:tc>
        <w:tc>
          <w:tcPr>
            <w:tcW w:w="1092" w:type="dxa"/>
            <w:noWrap w:val="0"/>
            <w:vAlign w:val="center"/>
          </w:tcPr>
          <w:p>
            <w:pPr>
              <w:pStyle w:val="15"/>
              <w:spacing w:line="240" w:lineRule="atLeast"/>
              <w:jc w:val="center"/>
              <w:outlineLvl w:val="9"/>
              <w:rPr>
                <w:rFonts w:hint="eastAsia" w:ascii="仿宋" w:hAnsi="仿宋" w:eastAsia="仿宋" w:cs="仿宋"/>
                <w:color w:val="auto"/>
                <w:position w:val="-60"/>
                <w:sz w:val="24"/>
                <w:szCs w:val="24"/>
                <w:highlight w:val="none"/>
              </w:rPr>
            </w:pPr>
            <w:r>
              <w:rPr>
                <w:rFonts w:hint="eastAsia" w:ascii="仿宋" w:hAnsi="仿宋" w:eastAsia="仿宋" w:cs="仿宋"/>
                <w:color w:val="auto"/>
                <w:position w:val="-24"/>
                <w:sz w:val="24"/>
                <w:szCs w:val="24"/>
                <w:highlight w:val="none"/>
              </w:rPr>
              <w:t>单位</w:t>
            </w:r>
          </w:p>
        </w:tc>
        <w:tc>
          <w:tcPr>
            <w:tcW w:w="1092" w:type="dxa"/>
            <w:noWrap w:val="0"/>
            <w:vAlign w:val="center"/>
          </w:tcPr>
          <w:p>
            <w:pPr>
              <w:pStyle w:val="15"/>
              <w:spacing w:line="240" w:lineRule="atLeast"/>
              <w:jc w:val="center"/>
              <w:outlineLvl w:val="9"/>
              <w:rPr>
                <w:rFonts w:hint="eastAsia" w:ascii="仿宋" w:hAnsi="仿宋" w:eastAsia="仿宋" w:cs="仿宋"/>
                <w:color w:val="auto"/>
                <w:position w:val="-24"/>
                <w:sz w:val="24"/>
                <w:szCs w:val="24"/>
                <w:highlight w:val="none"/>
              </w:rPr>
            </w:pPr>
            <w:r>
              <w:rPr>
                <w:rFonts w:hint="eastAsia" w:ascii="仿宋" w:hAnsi="仿宋" w:eastAsia="仿宋" w:cs="仿宋"/>
                <w:color w:val="auto"/>
                <w:position w:val="-24"/>
                <w:sz w:val="24"/>
                <w:szCs w:val="24"/>
                <w:highlight w:val="none"/>
              </w:rPr>
              <w:t>数量</w:t>
            </w:r>
          </w:p>
        </w:tc>
        <w:tc>
          <w:tcPr>
            <w:tcW w:w="1092" w:type="dxa"/>
            <w:noWrap w:val="0"/>
            <w:vAlign w:val="center"/>
          </w:tcPr>
          <w:p>
            <w:pPr>
              <w:pStyle w:val="15"/>
              <w:spacing w:line="240" w:lineRule="atLeas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1093" w:type="dxa"/>
            <w:noWrap w:val="0"/>
            <w:vAlign w:val="center"/>
          </w:tcPr>
          <w:p>
            <w:pPr>
              <w:pStyle w:val="15"/>
              <w:spacing w:line="240" w:lineRule="atLeas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tcBorders>
              <w:top w:val="single" w:color="auto" w:sz="4" w:space="0"/>
            </w:tcBorders>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97" w:type="dxa"/>
            <w:noWrap w:val="0"/>
            <w:vAlign w:val="top"/>
          </w:tcPr>
          <w:p>
            <w:pPr>
              <w:pStyle w:val="15"/>
              <w:outlineLvl w:val="9"/>
              <w:rPr>
                <w:rFonts w:hint="eastAsia" w:ascii="仿宋" w:hAnsi="仿宋" w:eastAsia="仿宋" w:cs="仿宋"/>
                <w:color w:val="auto"/>
                <w:sz w:val="24"/>
                <w:szCs w:val="24"/>
                <w:highlight w:val="none"/>
              </w:rPr>
            </w:pPr>
          </w:p>
        </w:tc>
        <w:tc>
          <w:tcPr>
            <w:tcW w:w="2036" w:type="dxa"/>
            <w:noWrap w:val="0"/>
            <w:vAlign w:val="top"/>
          </w:tcPr>
          <w:p>
            <w:pPr>
              <w:pStyle w:val="15"/>
              <w:outlineLvl w:val="9"/>
              <w:rPr>
                <w:rFonts w:hint="eastAsia" w:ascii="仿宋" w:hAnsi="仿宋" w:eastAsia="仿宋" w:cs="仿宋"/>
                <w:color w:val="auto"/>
                <w:sz w:val="24"/>
                <w:szCs w:val="24"/>
                <w:highlight w:val="none"/>
              </w:rPr>
            </w:pPr>
          </w:p>
        </w:tc>
        <w:tc>
          <w:tcPr>
            <w:tcW w:w="2553"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2" w:type="dxa"/>
            <w:noWrap w:val="0"/>
            <w:vAlign w:val="top"/>
          </w:tcPr>
          <w:p>
            <w:pPr>
              <w:pStyle w:val="15"/>
              <w:outlineLvl w:val="9"/>
              <w:rPr>
                <w:rFonts w:hint="eastAsia" w:ascii="仿宋" w:hAnsi="仿宋" w:eastAsia="仿宋" w:cs="仿宋"/>
                <w:color w:val="auto"/>
                <w:sz w:val="24"/>
                <w:szCs w:val="24"/>
                <w:highlight w:val="none"/>
              </w:rPr>
            </w:pPr>
          </w:p>
        </w:tc>
        <w:tc>
          <w:tcPr>
            <w:tcW w:w="1093" w:type="dxa"/>
            <w:noWrap w:val="0"/>
            <w:vAlign w:val="top"/>
          </w:tcPr>
          <w:p>
            <w:pPr>
              <w:pStyle w:val="15"/>
              <w:outlineLvl w:val="9"/>
              <w:rPr>
                <w:rFonts w:hint="eastAsia" w:ascii="仿宋" w:hAnsi="仿宋" w:eastAsia="仿宋" w:cs="仿宋"/>
                <w:color w:val="auto"/>
                <w:sz w:val="24"/>
                <w:szCs w:val="24"/>
                <w:highlight w:val="none"/>
              </w:rPr>
            </w:pPr>
          </w:p>
        </w:tc>
      </w:tr>
    </w:tbl>
    <w:p>
      <w:pPr>
        <w:spacing w:line="360" w:lineRule="auto"/>
        <w:ind w:firstLine="438"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应免费提供质量保修期内必备的备品、备件及专用工具。</w:t>
      </w:r>
    </w:p>
    <w:p>
      <w:pPr>
        <w:pStyle w:val="15"/>
        <w:spacing w:line="360" w:lineRule="auto"/>
        <w:ind w:firstLine="438" w:firstLineChars="200"/>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供应商应根据投标设备的技术状况列出详细的备品备件及专用工具清单，并附详细的使用说明。如在质量保修期内实际所需的数量超过了成交人在投标时预计和实际提供的数量时，成交人应负责免费供应。</w:t>
      </w:r>
    </w:p>
    <w:p>
      <w:pPr>
        <w:pStyle w:val="15"/>
        <w:spacing w:line="360" w:lineRule="auto"/>
        <w:ind w:firstLine="438" w:firstLineChars="200"/>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3、供应商按此表格式自行填写，表格不够时可自行添加。</w:t>
      </w:r>
    </w:p>
    <w:p>
      <w:pPr>
        <w:pStyle w:val="15"/>
        <w:spacing w:line="360" w:lineRule="auto"/>
        <w:ind w:firstLine="438" w:firstLineChars="200"/>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供应商（盖章）：</w:t>
      </w:r>
    </w:p>
    <w:p>
      <w:pPr>
        <w:pStyle w:val="15"/>
        <w:spacing w:line="360" w:lineRule="auto"/>
        <w:ind w:firstLine="438"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 xml:space="preserve">法定代表人或委托代理人（签字或盖章）：      </w:t>
      </w:r>
      <w:r>
        <w:rPr>
          <w:rFonts w:hint="eastAsia" w:ascii="仿宋" w:hAnsi="仿宋" w:eastAsia="仿宋" w:cs="仿宋"/>
          <w:color w:val="auto"/>
          <w:sz w:val="24"/>
          <w:szCs w:val="24"/>
          <w:highlight w:val="none"/>
          <w:u w:val="single"/>
        </w:rPr>
        <w:t xml:space="preserve">                          </w:t>
      </w:r>
    </w:p>
    <w:p>
      <w:pPr>
        <w:spacing w:line="360" w:lineRule="auto"/>
        <w:ind w:firstLine="438" w:firstLineChars="200"/>
        <w:jc w:val="center"/>
        <w:outlineLvl w:val="9"/>
        <w:rPr>
          <w:rFonts w:hint="eastAsia" w:ascii="仿宋" w:hAnsi="仿宋" w:eastAsia="仿宋" w:cs="仿宋"/>
          <w:color w:val="auto"/>
          <w:sz w:val="24"/>
          <w:szCs w:val="24"/>
          <w:highlight w:val="none"/>
        </w:rPr>
      </w:pPr>
    </w:p>
    <w:p>
      <w:pPr>
        <w:spacing w:line="360" w:lineRule="auto"/>
        <w:outlineLvl w:val="9"/>
        <w:rPr>
          <w:rFonts w:hint="eastAsia" w:ascii="仿宋" w:hAnsi="仿宋" w:eastAsia="仿宋" w:cs="仿宋"/>
          <w:color w:val="auto"/>
          <w:sz w:val="24"/>
          <w:szCs w:val="24"/>
          <w:highlight w:val="none"/>
          <w:lang w:val="en-US" w:eastAsia="zh-CN"/>
        </w:rPr>
        <w:sectPr>
          <w:pgSz w:w="11906" w:h="16838"/>
          <w:pgMar w:top="1440" w:right="1803" w:bottom="1440" w:left="1803" w:header="851" w:footer="992" w:gutter="0"/>
          <w:pgNumType w:fmt="decimal"/>
          <w:cols w:space="720" w:num="1"/>
          <w:docGrid w:type="linesAndChars" w:linePitch="290" w:charSpace="-4505"/>
        </w:sectPr>
      </w:pPr>
      <w:r>
        <w:rPr>
          <w:rFonts w:hint="eastAsia" w:ascii="仿宋" w:hAnsi="仿宋" w:eastAsia="仿宋" w:cs="仿宋"/>
          <w:color w:val="auto"/>
          <w:sz w:val="24"/>
          <w:szCs w:val="24"/>
          <w:highlight w:val="none"/>
        </w:rPr>
        <w:t xml:space="preserve">                                                      年    月   </w:t>
      </w:r>
      <w:r>
        <w:rPr>
          <w:rFonts w:hint="eastAsia" w:ascii="仿宋" w:hAnsi="仿宋" w:eastAsia="仿宋" w:cs="仿宋"/>
          <w:color w:val="auto"/>
          <w:sz w:val="24"/>
          <w:szCs w:val="24"/>
          <w:highlight w:val="none"/>
          <w:lang w:val="en-US" w:eastAsia="zh-CN"/>
        </w:rPr>
        <w:t>日</w:t>
      </w:r>
    </w:p>
    <w:p>
      <w:pPr>
        <w:pageBreakBefore w:val="0"/>
        <w:widowControl/>
        <w:kinsoku/>
        <w:overflowPunct/>
        <w:topLinePunct w:val="0"/>
        <w:autoSpaceDE/>
        <w:autoSpaceDN/>
        <w:bidi w:val="0"/>
        <w:spacing w:line="360" w:lineRule="auto"/>
        <w:jc w:val="center"/>
        <w:outlineLvl w:val="9"/>
        <w:rPr>
          <w:rFonts w:hint="eastAsia" w:ascii="仿宋" w:hAnsi="仿宋" w:eastAsia="仿宋" w:cs="仿宋"/>
          <w:b/>
          <w:color w:val="auto"/>
          <w:sz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格式3   中小企业声明函（货物）</w:t>
      </w:r>
    </w:p>
    <w:p>
      <w:pPr>
        <w:pStyle w:val="32"/>
        <w:spacing w:line="360" w:lineRule="auto"/>
        <w:outlineLvl w:val="9"/>
        <w:rPr>
          <w:rFonts w:hint="eastAsia" w:ascii="仿宋" w:hAnsi="仿宋" w:eastAsia="仿宋" w:cs="仿宋"/>
          <w:color w:val="auto"/>
          <w:highlight w:val="none"/>
        </w:rPr>
      </w:pPr>
    </w:p>
    <w:p>
      <w:pPr>
        <w:pStyle w:val="22"/>
        <w:spacing w:before="0" w:beforeAutospacing="0" w:after="0" w:afterAutospacing="0" w:line="360" w:lineRule="auto"/>
        <w:ind w:firstLine="480" w:firstLineChars="200"/>
        <w:outlineLvl w:val="9"/>
        <w:rPr>
          <w:rFonts w:hint="eastAsia" w:ascii="仿宋" w:hAnsi="仿宋" w:eastAsia="仿宋" w:cs="仿宋"/>
          <w:color w:val="auto"/>
          <w:kern w:val="2"/>
          <w:highlight w:val="none"/>
          <w:u w:val="single"/>
        </w:rPr>
      </w:pPr>
      <w:r>
        <w:rPr>
          <w:rFonts w:hint="eastAsia" w:ascii="仿宋" w:hAnsi="仿宋" w:eastAsia="仿宋" w:cs="仿宋"/>
          <w:color w:val="auto"/>
          <w:kern w:val="2"/>
          <w:highlight w:val="none"/>
        </w:rPr>
        <w:t>本公司（联合体）</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郑重声明，根据《政府采购促进中小企业发展管理办法》（财库﹝2020﹞46 号）的规定，本公司参加</w:t>
      </w:r>
      <w:r>
        <w:rPr>
          <w:rFonts w:hint="eastAsia" w:ascii="仿宋" w:hAnsi="仿宋" w:eastAsia="仿宋" w:cs="仿宋"/>
          <w:color w:val="auto"/>
          <w:kern w:val="2"/>
          <w:highlight w:val="none"/>
          <w:u w:val="single"/>
        </w:rPr>
        <w:t>（单位名称）</w:t>
      </w:r>
      <w:r>
        <w:rPr>
          <w:rFonts w:hint="eastAsia" w:ascii="仿宋" w:hAnsi="仿宋" w:eastAsia="仿宋" w:cs="仿宋"/>
          <w:color w:val="auto"/>
          <w:kern w:val="2"/>
          <w:highlight w:val="none"/>
        </w:rPr>
        <w:t>的</w:t>
      </w:r>
      <w:r>
        <w:rPr>
          <w:rFonts w:hint="eastAsia" w:ascii="仿宋" w:hAnsi="仿宋" w:eastAsia="仿宋" w:cs="仿宋"/>
          <w:color w:val="auto"/>
          <w:kern w:val="2"/>
          <w:highlight w:val="none"/>
          <w:u w:val="single"/>
        </w:rPr>
        <w:t>（项目名称）</w:t>
      </w:r>
      <w:r>
        <w:rPr>
          <w:rFonts w:hint="eastAsia" w:ascii="仿宋" w:hAnsi="仿宋" w:eastAsia="仿宋" w:cs="仿宋"/>
          <w:color w:val="auto"/>
          <w:kern w:val="2"/>
          <w:highlight w:val="none"/>
        </w:rPr>
        <w:t>采购活动，提供的货物全部由符合政策要求的中小企业制造。相关企业（含联合体中的中小</w:t>
      </w:r>
      <w:r>
        <w:rPr>
          <w:rFonts w:hint="eastAsia" w:ascii="仿宋" w:hAnsi="仿宋" w:eastAsia="仿宋" w:cs="仿宋"/>
          <w:color w:val="auto"/>
          <w:kern w:val="2"/>
          <w:highlight w:val="none"/>
          <w:u w:val="single"/>
        </w:rPr>
        <w:t>企业、签订分包意向协议的中小企业）的具体情况如下：</w:t>
      </w:r>
    </w:p>
    <w:p>
      <w:pPr>
        <w:pStyle w:val="22"/>
        <w:spacing w:before="0" w:beforeAutospacing="0" w:after="0" w:afterAutospacing="0" w:line="360" w:lineRule="auto"/>
        <w:ind w:firstLine="720" w:firstLineChars="300"/>
        <w:outlineLvl w:val="9"/>
        <w:rPr>
          <w:rFonts w:hint="eastAsia" w:ascii="仿宋" w:hAnsi="仿宋" w:eastAsia="仿宋" w:cs="仿宋"/>
          <w:color w:val="auto"/>
          <w:kern w:val="2"/>
          <w:highlight w:val="none"/>
        </w:rPr>
      </w:pPr>
      <w:r>
        <w:rPr>
          <w:rFonts w:hint="eastAsia" w:ascii="仿宋" w:hAnsi="仿宋" w:eastAsia="仿宋" w:cs="仿宋"/>
          <w:color w:val="auto"/>
          <w:kern w:val="2"/>
          <w:highlight w:val="none"/>
          <w:u w:val="single"/>
        </w:rPr>
        <w:t xml:space="preserve">      （标的名称） </w:t>
      </w:r>
      <w:r>
        <w:rPr>
          <w:rFonts w:hint="eastAsia" w:ascii="仿宋" w:hAnsi="仿宋" w:eastAsia="仿宋" w:cs="仿宋"/>
          <w:color w:val="auto"/>
          <w:kern w:val="2"/>
          <w:highlight w:val="none"/>
        </w:rPr>
        <w:t>，属于</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u w:val="single"/>
          <w:lang w:val="en-US" w:eastAsia="zh-CN"/>
        </w:rPr>
        <w:t xml:space="preserve"> 工业</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（采购文件中明确的所属行业）；制造商为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（企业名称），从业人员</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人，营业收入为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w:t>
      </w:r>
      <w:r>
        <w:rPr>
          <w:rFonts w:hint="eastAsia" w:ascii="仿宋" w:hAnsi="仿宋" w:eastAsia="仿宋" w:cs="仿宋"/>
          <w:color w:val="auto"/>
          <w:kern w:val="2"/>
          <w:highlight w:val="none"/>
          <w:vertAlign w:val="superscript"/>
        </w:rPr>
        <w:t>1</w:t>
      </w:r>
      <w:r>
        <w:rPr>
          <w:rFonts w:hint="eastAsia" w:ascii="仿宋" w:hAnsi="仿宋" w:eastAsia="仿宋" w:cs="仿宋"/>
          <w:color w:val="auto"/>
          <w:kern w:val="2"/>
          <w:highlight w:val="none"/>
        </w:rPr>
        <w:t>，资产总额为</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万元，属于</w:t>
      </w:r>
      <w:r>
        <w:rPr>
          <w:rFonts w:hint="eastAsia" w:ascii="仿宋" w:hAnsi="仿宋" w:eastAsia="仿宋" w:cs="仿宋"/>
          <w:color w:val="auto"/>
          <w:kern w:val="2"/>
          <w:highlight w:val="none"/>
          <w:u w:val="single"/>
        </w:rPr>
        <w:t xml:space="preserve">  </w:t>
      </w:r>
      <w:r>
        <w:rPr>
          <w:rFonts w:hint="eastAsia" w:ascii="仿宋" w:hAnsi="仿宋" w:eastAsia="仿宋" w:cs="仿宋"/>
          <w:color w:val="auto"/>
          <w:kern w:val="2"/>
          <w:highlight w:val="none"/>
        </w:rPr>
        <w:t xml:space="preserve">（中型企业、小型企业、微型企业）； </w:t>
      </w:r>
    </w:p>
    <w:p>
      <w:pPr>
        <w:pStyle w:val="22"/>
        <w:spacing w:before="0" w:beforeAutospacing="0" w:after="0" w:afterAutospacing="0" w:line="360" w:lineRule="auto"/>
        <w:ind w:firstLine="480" w:firstLineChars="200"/>
        <w:outlineLvl w:val="9"/>
        <w:rPr>
          <w:rFonts w:hint="eastAsia" w:ascii="仿宋" w:hAnsi="仿宋" w:eastAsia="仿宋" w:cs="仿宋"/>
          <w:color w:val="auto"/>
          <w:kern w:val="2"/>
          <w:highlight w:val="none"/>
        </w:rPr>
      </w:pPr>
      <w:r>
        <w:rPr>
          <w:rFonts w:hint="eastAsia" w:ascii="仿宋" w:hAnsi="仿宋" w:eastAsia="仿宋" w:cs="仿宋"/>
          <w:color w:val="auto"/>
          <w:kern w:val="2"/>
          <w:highlight w:val="none"/>
        </w:rPr>
        <w:t>以上企业，不属于大企业的分支机构，不存在控股股东为大企业的情形，也不存在与大企业的负责人为同一人的情形。</w:t>
      </w:r>
    </w:p>
    <w:p>
      <w:pPr>
        <w:pStyle w:val="22"/>
        <w:spacing w:before="0" w:beforeAutospacing="0" w:after="0" w:afterAutospacing="0" w:line="360" w:lineRule="auto"/>
        <w:ind w:left="420" w:leftChars="200"/>
        <w:outlineLvl w:val="9"/>
        <w:rPr>
          <w:rFonts w:hint="eastAsia" w:ascii="仿宋" w:hAnsi="仿宋" w:eastAsia="仿宋" w:cs="仿宋"/>
          <w:color w:val="auto"/>
          <w:kern w:val="2"/>
          <w:highlight w:val="none"/>
        </w:rPr>
      </w:pPr>
      <w:r>
        <w:rPr>
          <w:rFonts w:hint="eastAsia" w:ascii="仿宋" w:hAnsi="仿宋" w:eastAsia="仿宋" w:cs="仿宋"/>
          <w:color w:val="auto"/>
          <w:kern w:val="2"/>
          <w:highlight w:val="none"/>
        </w:rPr>
        <w:t>本企业对上述声明内容的真实性负责。如有虚假，将依法承担相应责任。</w:t>
      </w:r>
    </w:p>
    <w:p>
      <w:pPr>
        <w:spacing w:line="360" w:lineRule="auto"/>
        <w:jc w:val="right"/>
        <w:outlineLvl w:val="9"/>
        <w:rPr>
          <w:rFonts w:hint="eastAsia" w:ascii="仿宋" w:hAnsi="仿宋" w:eastAsia="仿宋" w:cs="仿宋"/>
          <w:b/>
          <w:bCs/>
          <w:color w:val="auto"/>
          <w:sz w:val="24"/>
          <w:highlight w:val="none"/>
        </w:rPr>
      </w:pPr>
    </w:p>
    <w:p>
      <w:pPr>
        <w:pStyle w:val="24"/>
        <w:spacing w:line="360" w:lineRule="auto"/>
        <w:ind w:firstLine="482"/>
        <w:outlineLvl w:val="9"/>
        <w:rPr>
          <w:rFonts w:hint="eastAsia" w:ascii="仿宋" w:hAnsi="仿宋" w:eastAsia="仿宋" w:cs="仿宋"/>
          <w:b/>
          <w:bCs/>
          <w:color w:val="auto"/>
          <w:highlight w:val="none"/>
        </w:rPr>
      </w:pPr>
    </w:p>
    <w:p>
      <w:pPr>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color w:val="auto"/>
          <w:sz w:val="24"/>
          <w:highlight w:val="none"/>
        </w:rPr>
        <w:t>企业名称（盖章）：</w:t>
      </w:r>
    </w:p>
    <w:p>
      <w:pPr>
        <w:pStyle w:val="24"/>
        <w:spacing w:line="360" w:lineRule="auto"/>
        <w:ind w:firstLine="480"/>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pStyle w:val="24"/>
        <w:spacing w:line="360" w:lineRule="auto"/>
        <w:ind w:firstLine="3600" w:firstLineChars="1500"/>
        <w:outlineLvl w:val="9"/>
        <w:rPr>
          <w:rFonts w:hint="eastAsia" w:ascii="仿宋" w:hAnsi="仿宋" w:eastAsia="仿宋" w:cs="仿宋"/>
          <w:color w:val="auto"/>
          <w:highlight w:val="none"/>
        </w:rPr>
      </w:pPr>
      <w:r>
        <w:rPr>
          <w:rFonts w:hint="eastAsia" w:ascii="仿宋" w:hAnsi="仿宋" w:eastAsia="仿宋" w:cs="仿宋"/>
          <w:color w:val="auto"/>
          <w:highlight w:val="none"/>
        </w:rPr>
        <w:t>日期：</w:t>
      </w:r>
    </w:p>
    <w:p>
      <w:pPr>
        <w:spacing w:line="360" w:lineRule="auto"/>
        <w:jc w:val="center"/>
        <w:outlineLvl w:val="9"/>
        <w:rPr>
          <w:rFonts w:hint="eastAsia" w:ascii="仿宋" w:hAnsi="仿宋" w:eastAsia="仿宋" w:cs="仿宋"/>
          <w:b/>
          <w:bCs/>
          <w:color w:val="auto"/>
          <w:sz w:val="28"/>
          <w:szCs w:val="28"/>
          <w:highlight w:val="none"/>
          <w:lang w:val="en-US" w:eastAsia="zh-CN"/>
        </w:rPr>
      </w:pPr>
    </w:p>
    <w:p>
      <w:pPr>
        <w:numPr>
          <w:ilvl w:val="0"/>
          <w:numId w:val="0"/>
        </w:numPr>
        <w:tabs>
          <w:tab w:val="left" w:pos="576"/>
        </w:tabs>
        <w:ind w:left="44" w:leftChars="0"/>
        <w:outlineLvl w:val="9"/>
        <w:rPr>
          <w:rFonts w:hint="eastAsia" w:ascii="仿宋" w:hAnsi="仿宋" w:eastAsia="仿宋" w:cs="仿宋"/>
          <w:color w:val="auto"/>
          <w:highlight w:val="none"/>
          <w:lang w:val="en-US" w:eastAsia="zh-CN"/>
        </w:rPr>
      </w:pPr>
    </w:p>
    <w:p>
      <w:pPr>
        <w:keepNext w:val="0"/>
        <w:keepLines w:val="0"/>
        <w:widowControl/>
        <w:suppressLineNumbers w:val="0"/>
        <w:ind w:firstLine="480" w:firstLineChars="200"/>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kern w:val="0"/>
          <w:sz w:val="24"/>
          <w:szCs w:val="24"/>
          <w:highlight w:val="none"/>
          <w:lang w:val="en-US" w:eastAsia="zh-CN" w:bidi="ar"/>
        </w:rPr>
        <w:t xml:space="preserve">注：1、从业人员、营业收入、资产总额填报上一年度数据，无上一年度数据的新成立企 </w:t>
      </w:r>
    </w:p>
    <w:p>
      <w:pPr>
        <w:keepNext w:val="0"/>
        <w:keepLines w:val="0"/>
        <w:widowControl/>
        <w:suppressLineNumbers w:val="0"/>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kern w:val="0"/>
          <w:sz w:val="24"/>
          <w:szCs w:val="24"/>
          <w:highlight w:val="none"/>
          <w:lang w:val="en-US" w:eastAsia="zh-CN" w:bidi="ar"/>
        </w:rPr>
        <w:t xml:space="preserve">业可不填报。 </w:t>
      </w:r>
    </w:p>
    <w:p>
      <w:pPr>
        <w:keepNext w:val="0"/>
        <w:keepLines w:val="0"/>
        <w:widowControl/>
        <w:suppressLineNumbers w:val="0"/>
        <w:ind w:firstLine="480" w:firstLineChars="200"/>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kern w:val="0"/>
          <w:sz w:val="24"/>
          <w:szCs w:val="24"/>
          <w:highlight w:val="none"/>
          <w:lang w:val="en-US" w:eastAsia="zh-CN" w:bidi="ar"/>
        </w:rPr>
        <w:t xml:space="preserve">2、各供应商参照《关于印发中小企业划型标准规定的通知工信部联企业〔2011〕300号》 中小企业划型标准规定中规定的行业以及划型标准对本企业进行划型。 </w:t>
      </w:r>
    </w:p>
    <w:p>
      <w:pPr>
        <w:keepNext w:val="0"/>
        <w:keepLines w:val="0"/>
        <w:widowControl/>
        <w:suppressLineNumbers w:val="0"/>
        <w:ind w:firstLine="480" w:firstLineChars="200"/>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kern w:val="0"/>
          <w:sz w:val="24"/>
          <w:szCs w:val="24"/>
          <w:highlight w:val="none"/>
          <w:lang w:val="en-US" w:eastAsia="zh-CN" w:bidi="ar"/>
        </w:rPr>
        <w:t xml:space="preserve">3、在货物采购项目中，供应商提供的货物既有中小企业制造货物，也有大型企业制造货 </w:t>
      </w:r>
    </w:p>
    <w:p>
      <w:pPr>
        <w:keepNext w:val="0"/>
        <w:keepLines w:val="0"/>
        <w:widowControl/>
        <w:suppressLineNumbers w:val="0"/>
        <w:jc w:val="left"/>
        <w:outlineLvl w:val="9"/>
        <w:rPr>
          <w:rFonts w:hint="eastAsia" w:ascii="仿宋" w:hAnsi="仿宋" w:eastAsia="仿宋" w:cs="仿宋"/>
          <w:b w:val="0"/>
          <w:bCs w:val="0"/>
          <w:color w:val="auto"/>
          <w:highlight w:val="none"/>
        </w:rPr>
      </w:pPr>
      <w:r>
        <w:rPr>
          <w:rFonts w:hint="eastAsia" w:ascii="仿宋" w:hAnsi="仿宋" w:eastAsia="仿宋" w:cs="仿宋"/>
          <w:b w:val="0"/>
          <w:bCs w:val="0"/>
          <w:color w:val="auto"/>
          <w:kern w:val="0"/>
          <w:sz w:val="24"/>
          <w:szCs w:val="24"/>
          <w:highlight w:val="none"/>
          <w:lang w:val="en-US" w:eastAsia="zh-CN" w:bidi="ar"/>
        </w:rPr>
        <w:t>物的，不享受本办法规定的中小企业扶持政策。 供应商如为代理商或经销商的，如不确定制造商企业划型，可在制造商注册地工信部门对制造商企业划型进行认定。</w:t>
      </w:r>
    </w:p>
    <w:p>
      <w:pPr>
        <w:spacing w:line="360" w:lineRule="auto"/>
        <w:jc w:val="center"/>
        <w:outlineLvl w:val="9"/>
        <w:rPr>
          <w:rFonts w:hint="eastAsia" w:ascii="仿宋" w:hAnsi="仿宋" w:eastAsia="仿宋" w:cs="仿宋"/>
          <w:b/>
          <w:bCs/>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格式</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法定代表人资格证明书</w:t>
      </w:r>
    </w:p>
    <w:p>
      <w:pPr>
        <w:pageBreakBefore w:val="0"/>
        <w:tabs>
          <w:tab w:val="left" w:pos="360"/>
          <w:tab w:val="left" w:pos="1800"/>
        </w:tabs>
        <w:kinsoku/>
        <w:overflowPunct/>
        <w:topLinePunct w:val="0"/>
        <w:autoSpaceDE/>
        <w:autoSpaceDN/>
        <w:bidi w:val="0"/>
        <w:spacing w:line="360" w:lineRule="auto"/>
        <w:ind w:left="540"/>
        <w:outlineLvl w:val="9"/>
        <w:rPr>
          <w:rFonts w:hint="eastAsia" w:ascii="仿宋" w:hAnsi="仿宋" w:eastAsia="仿宋" w:cs="仿宋"/>
          <w:bCs/>
          <w:color w:val="auto"/>
          <w:sz w:val="24"/>
          <w:highlight w:val="none"/>
        </w:rPr>
      </w:pP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pPr>
        <w:pageBreakBefore w:val="0"/>
        <w:tabs>
          <w:tab w:val="left" w:pos="360"/>
          <w:tab w:val="left" w:pos="720"/>
          <w:tab w:val="left" w:pos="90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姓名：        性别：       年龄：         职务： </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单位）的法定代表人。为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的服务，签署上述项目的响应文件、进行合同</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、签署合同和处理与之有关的一切事务。</w:t>
      </w:r>
    </w:p>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pageBreakBefore w:val="0"/>
        <w:tabs>
          <w:tab w:val="left" w:pos="360"/>
          <w:tab w:val="left" w:pos="1800"/>
        </w:tabs>
        <w:kinsoku/>
        <w:overflowPunct/>
        <w:topLinePunct w:val="0"/>
        <w:autoSpaceDE/>
        <w:autoSpaceDN/>
        <w:bidi w:val="0"/>
        <w:spacing w:line="360" w:lineRule="auto"/>
        <w:ind w:left="4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pageBreakBefore w:val="0"/>
        <w:tabs>
          <w:tab w:val="left" w:pos="360"/>
          <w:tab w:val="left" w:pos="1800"/>
        </w:tabs>
        <w:kinsoku/>
        <w:overflowPunct/>
        <w:topLinePunct w:val="0"/>
        <w:autoSpaceDE/>
        <w:autoSpaceDN/>
        <w:bidi w:val="0"/>
        <w:spacing w:line="360" w:lineRule="auto"/>
        <w:ind w:left="4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ageBreakBefore w:val="0"/>
        <w:tabs>
          <w:tab w:val="left" w:pos="360"/>
          <w:tab w:val="left" w:pos="1800"/>
        </w:tabs>
        <w:kinsoku/>
        <w:overflowPunct/>
        <w:topLinePunct w:val="0"/>
        <w:autoSpaceDE/>
        <w:autoSpaceDN/>
        <w:bidi w:val="0"/>
        <w:spacing w:line="360" w:lineRule="auto"/>
        <w:ind w:firstLine="6000" w:firstLineChars="2500"/>
        <w:outlineLvl w:val="9"/>
        <w:rPr>
          <w:rFonts w:hint="eastAsia" w:ascii="仿宋" w:hAnsi="仿宋" w:eastAsia="仿宋" w:cs="仿宋"/>
          <w:bCs/>
          <w:color w:val="auto"/>
          <w:sz w:val="24"/>
          <w:highlight w:val="none"/>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法定代表人身份证复印件或扫描件（正、反两面）</w:t>
            </w:r>
          </w:p>
        </w:tc>
      </w:tr>
    </w:tbl>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注：法定代表人身份证复印件或扫描件应反映出证件有效期等所载内容。</w:t>
      </w:r>
    </w:p>
    <w:p>
      <w:pPr>
        <w:pageBreakBefore w:val="0"/>
        <w:tabs>
          <w:tab w:val="left" w:pos="360"/>
          <w:tab w:val="left" w:pos="1800"/>
        </w:tabs>
        <w:kinsoku/>
        <w:overflowPunct/>
        <w:topLinePunct w:val="0"/>
        <w:autoSpaceDE/>
        <w:autoSpaceDN/>
        <w:bidi w:val="0"/>
        <w:spacing w:line="360" w:lineRule="auto"/>
        <w:ind w:left="1980" w:firstLine="1080"/>
        <w:outlineLvl w:val="9"/>
        <w:rPr>
          <w:rFonts w:hint="eastAsia" w:ascii="仿宋" w:hAnsi="仿宋" w:eastAsia="仿宋" w:cs="仿宋"/>
          <w:bCs/>
          <w:color w:val="auto"/>
          <w:highlight w:val="none"/>
        </w:rPr>
      </w:pPr>
    </w:p>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bCs/>
          <w:color w:val="auto"/>
          <w:sz w:val="24"/>
          <w:highlight w:val="none"/>
        </w:rPr>
      </w:pPr>
    </w:p>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bCs/>
          <w:color w:val="auto"/>
          <w:sz w:val="24"/>
          <w:highlight w:val="none"/>
        </w:rPr>
      </w:pPr>
    </w:p>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bCs/>
          <w:color w:val="auto"/>
          <w:sz w:val="24"/>
          <w:highlight w:val="none"/>
        </w:rPr>
      </w:pPr>
    </w:p>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bCs/>
          <w:color w:val="auto"/>
          <w:sz w:val="24"/>
          <w:highlight w:val="none"/>
        </w:rPr>
      </w:pPr>
    </w:p>
    <w:p>
      <w:pPr>
        <w:pageBreakBefore w:val="0"/>
        <w:kinsoku/>
        <w:overflowPunct/>
        <w:topLinePunct w:val="0"/>
        <w:autoSpaceDE/>
        <w:autoSpaceDN/>
        <w:bidi w:val="0"/>
        <w:spacing w:line="360" w:lineRule="auto"/>
        <w:jc w:val="both"/>
        <w:outlineLvl w:val="9"/>
        <w:rPr>
          <w:rFonts w:hint="eastAsia" w:ascii="仿宋" w:hAnsi="仿宋" w:eastAsia="仿宋" w:cs="仿宋"/>
          <w:b/>
          <w:bCs/>
          <w:color w:val="auto"/>
          <w:sz w:val="28"/>
          <w:szCs w:val="28"/>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格式</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 xml:space="preserve">  法定代表人授权书</w:t>
      </w:r>
    </w:p>
    <w:p>
      <w:pPr>
        <w:pageBreakBefore w:val="0"/>
        <w:tabs>
          <w:tab w:val="left" w:pos="360"/>
          <w:tab w:val="left" w:pos="1800"/>
        </w:tabs>
        <w:kinsoku/>
        <w:overflowPunct/>
        <w:topLinePunct w:val="0"/>
        <w:autoSpaceDE/>
        <w:autoSpaceDN/>
        <w:bidi w:val="0"/>
        <w:spacing w:line="360" w:lineRule="auto"/>
        <w:ind w:left="239" w:leftChars="114" w:firstLine="240" w:firstLineChars="100"/>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（姓名），其身份证号为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为我供应商代理人，以本供应商的名义参加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项目名称）的</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活动。</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代理人在递交响应文件、</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过程中所签署的一切文件和处理与之有关的一切事务，我均予以承认。</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本授权委托书期限自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日止。</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委托代理人无转委权。特此委托。</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            性别：           年龄：</w:t>
      </w:r>
    </w:p>
    <w:p>
      <w:pPr>
        <w:pageBreakBefore w:val="0"/>
        <w:tabs>
          <w:tab w:val="left" w:pos="360"/>
          <w:tab w:val="left" w:pos="1800"/>
        </w:tabs>
        <w:kinsoku/>
        <w:overflowPunct/>
        <w:topLinePunct w:val="0"/>
        <w:autoSpaceDE/>
        <w:autoSpaceDN/>
        <w:bidi w:val="0"/>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委托代理人：（签字或盖章）</w:t>
      </w: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ageBreakBefore w:val="0"/>
        <w:tabs>
          <w:tab w:val="left" w:pos="360"/>
          <w:tab w:val="left" w:pos="1800"/>
        </w:tabs>
        <w:kinsoku/>
        <w:overflowPunct/>
        <w:topLinePunct w:val="0"/>
        <w:autoSpaceDE/>
        <w:autoSpaceDN/>
        <w:bidi w:val="0"/>
        <w:spacing w:line="360" w:lineRule="auto"/>
        <w:ind w:firstLine="3600"/>
        <w:outlineLvl w:val="9"/>
        <w:rPr>
          <w:rFonts w:hint="eastAsia" w:ascii="仿宋" w:hAnsi="仿宋" w:eastAsia="仿宋" w:cs="仿宋"/>
          <w:color w:val="auto"/>
          <w:sz w:val="24"/>
          <w:highlight w:val="none"/>
        </w:rPr>
      </w:pPr>
    </w:p>
    <w:tbl>
      <w:tblPr>
        <w:tblStyle w:val="25"/>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委托代理人身份证复印件或扫描件（正、反两面）</w:t>
            </w:r>
          </w:p>
        </w:tc>
      </w:tr>
    </w:tbl>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注：法定代表人身份证复印件或扫描件应反映出证件有效期等所载内容。</w:t>
      </w:r>
    </w:p>
    <w:p>
      <w:pPr>
        <w:pageBreakBefore w:val="0"/>
        <w:numPr>
          <w:ilvl w:val="0"/>
          <w:numId w:val="0"/>
        </w:numPr>
        <w:tabs>
          <w:tab w:val="left" w:pos="720"/>
        </w:tabs>
        <w:kinsoku/>
        <w:overflowPunct/>
        <w:topLinePunct w:val="0"/>
        <w:autoSpaceDE/>
        <w:autoSpaceDN/>
        <w:bidi w:val="0"/>
        <w:spacing w:line="360" w:lineRule="auto"/>
        <w:ind w:leftChars="0"/>
        <w:jc w:val="center"/>
        <w:outlineLvl w:val="9"/>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格式6  供应商资格声明</w:t>
      </w:r>
    </w:p>
    <w:tbl>
      <w:tblPr>
        <w:tblStyle w:val="2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供应商名称</w:t>
            </w:r>
          </w:p>
        </w:tc>
        <w:tc>
          <w:tcPr>
            <w:tcW w:w="76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left"/>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地 址</w:t>
            </w:r>
          </w:p>
        </w:tc>
        <w:tc>
          <w:tcPr>
            <w:tcW w:w="76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主管部门</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法定代表人</w:t>
            </w: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职 务</w:t>
            </w:r>
          </w:p>
        </w:tc>
        <w:tc>
          <w:tcPr>
            <w:tcW w:w="1607"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注册时间</w:t>
            </w:r>
          </w:p>
        </w:tc>
        <w:tc>
          <w:tcPr>
            <w:tcW w:w="292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经济类型</w:t>
            </w:r>
          </w:p>
        </w:tc>
        <w:tc>
          <w:tcPr>
            <w:tcW w:w="319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营业执照号</w:t>
            </w:r>
          </w:p>
        </w:tc>
        <w:tc>
          <w:tcPr>
            <w:tcW w:w="4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近三年内（20</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eastAsia="zh-CN"/>
              </w:rPr>
              <w:t>至今</w:t>
            </w:r>
            <w:r>
              <w:rPr>
                <w:rFonts w:hint="eastAsia" w:ascii="仿宋" w:hAnsi="仿宋" w:eastAsia="仿宋" w:cs="仿宋"/>
                <w:bCs/>
                <w:color w:val="auto"/>
                <w:szCs w:val="21"/>
                <w:highlight w:val="none"/>
              </w:rPr>
              <w:t>）在经营活动中有无重大违法纪录</w:t>
            </w:r>
          </w:p>
        </w:tc>
        <w:tc>
          <w:tcPr>
            <w:tcW w:w="473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是否依法缴纳</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税收</w:t>
            </w:r>
          </w:p>
        </w:tc>
        <w:tc>
          <w:tcPr>
            <w:tcW w:w="292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是否依法缴纳社会保障资金</w:t>
            </w:r>
          </w:p>
        </w:tc>
        <w:tc>
          <w:tcPr>
            <w:tcW w:w="319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概</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况</w:t>
            </w: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注册资本</w:t>
            </w: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万元</w:t>
            </w: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占地面积</w:t>
            </w:r>
          </w:p>
        </w:tc>
        <w:tc>
          <w:tcPr>
            <w:tcW w:w="319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职工总数</w:t>
            </w: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人</w:t>
            </w: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建筑面积</w:t>
            </w:r>
          </w:p>
        </w:tc>
        <w:tc>
          <w:tcPr>
            <w:tcW w:w="319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1575" w:firstLineChars="750"/>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资产</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情况</w:t>
            </w: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净资产：        </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万元</w:t>
            </w:r>
          </w:p>
        </w:tc>
        <w:tc>
          <w:tcPr>
            <w:tcW w:w="3190" w:type="dxa"/>
            <w:gridSpan w:val="2"/>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固定资产原值：     </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 xml:space="preserve"> 万元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38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309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负 </w:t>
            </w: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债：         万元</w:t>
            </w:r>
          </w:p>
        </w:tc>
        <w:tc>
          <w:tcPr>
            <w:tcW w:w="3190" w:type="dxa"/>
            <w:gridSpan w:val="2"/>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05" w:firstLineChars="50"/>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财务状况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（最近三年20</w:t>
            </w:r>
            <w:r>
              <w:rPr>
                <w:rFonts w:hint="eastAsia" w:ascii="仿宋" w:hAnsi="仿宋" w:eastAsia="仿宋" w:cs="仿宋"/>
                <w:bCs/>
                <w:color w:val="auto"/>
                <w:szCs w:val="21"/>
                <w:highlight w:val="none"/>
                <w:lang w:val="en-US" w:eastAsia="zh-CN"/>
              </w:rPr>
              <w:t>20</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eastAsia="zh-CN"/>
              </w:rPr>
              <w:t>至今</w:t>
            </w:r>
            <w:r>
              <w:rPr>
                <w:rFonts w:hint="eastAsia" w:ascii="仿宋" w:hAnsi="仿宋" w:eastAsia="仿宋" w:cs="仿宋"/>
                <w:bCs/>
                <w:color w:val="auto"/>
                <w:szCs w:val="21"/>
                <w:highlight w:val="none"/>
              </w:rPr>
              <w:t>）</w:t>
            </w:r>
          </w:p>
        </w:tc>
        <w:tc>
          <w:tcPr>
            <w:tcW w:w="138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年份</w:t>
            </w: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主营收入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收入总额</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利润总额</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净利润</w:t>
            </w:r>
          </w:p>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8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607"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4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58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c>
          <w:tcPr>
            <w:tcW w:w="1607"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经营范围</w:t>
            </w:r>
          </w:p>
        </w:tc>
        <w:tc>
          <w:tcPr>
            <w:tcW w:w="76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c>
          <w:tcPr>
            <w:tcW w:w="766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仿宋" w:hAnsi="仿宋" w:eastAsia="仿宋" w:cs="仿宋"/>
                <w:bCs/>
                <w:color w:val="auto"/>
                <w:szCs w:val="21"/>
                <w:highlight w:val="none"/>
              </w:rPr>
            </w:pPr>
          </w:p>
        </w:tc>
      </w:tr>
    </w:tbl>
    <w:p>
      <w:pPr>
        <w:pageBreakBefore w:val="0"/>
        <w:kinsoku/>
        <w:overflowPunct/>
        <w:topLinePunct w:val="0"/>
        <w:autoSpaceDE/>
        <w:autoSpaceDN/>
        <w:bidi w:val="0"/>
        <w:spacing w:line="360" w:lineRule="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我们保证上述声明中的资料和数据是真实的、正确的，我们同意如贵方要求，可以出示相关证明文件。</w:t>
      </w:r>
    </w:p>
    <w:p>
      <w:pPr>
        <w:pageBreakBefore w:val="0"/>
        <w:kinsoku/>
        <w:overflowPunct/>
        <w:topLinePunct w:val="0"/>
        <w:autoSpaceDE/>
        <w:autoSpaceDN/>
        <w:bidi w:val="0"/>
        <w:spacing w:line="360" w:lineRule="auto"/>
        <w:outlineLvl w:val="9"/>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供应商（单位公章）：</w:t>
      </w:r>
    </w:p>
    <w:p>
      <w:pPr>
        <w:pageBreakBefore w:val="0"/>
        <w:kinsoku/>
        <w:overflowPunct/>
        <w:topLinePunct w:val="0"/>
        <w:autoSpaceDE/>
        <w:autoSpaceDN/>
        <w:bidi w:val="0"/>
        <w:spacing w:line="360" w:lineRule="auto"/>
        <w:outlineLvl w:val="9"/>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授权代表签字或盖章：</w:t>
      </w:r>
    </w:p>
    <w:p>
      <w:pPr>
        <w:pageBreakBefore w:val="0"/>
        <w:kinsoku/>
        <w:overflowPunct/>
        <w:topLinePunct w:val="0"/>
        <w:autoSpaceDE/>
        <w:autoSpaceDN/>
        <w:bidi w:val="0"/>
        <w:spacing w:line="360" w:lineRule="auto"/>
        <w:outlineLvl w:val="9"/>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rPr>
        <w:t>电话号和传真号：</w:t>
      </w:r>
    </w:p>
    <w:p>
      <w:pPr>
        <w:pageBreakBefore w:val="0"/>
        <w:kinsoku/>
        <w:wordWrap w:val="0"/>
        <w:overflowPunct/>
        <w:topLinePunct w:val="0"/>
        <w:autoSpaceDE/>
        <w:autoSpaceDN/>
        <w:bidi w:val="0"/>
        <w:spacing w:line="360" w:lineRule="auto"/>
        <w:ind w:firstLine="105" w:firstLineChars="50"/>
        <w:jc w:val="right"/>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日期</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日</w:t>
      </w:r>
    </w:p>
    <w:p>
      <w:pPr>
        <w:pStyle w:val="12"/>
        <w:pageBreakBefore w:val="0"/>
        <w:kinsoku/>
        <w:overflowPunct/>
        <w:topLinePunct w:val="0"/>
        <w:autoSpaceDE/>
        <w:autoSpaceDN/>
        <w:bidi w:val="0"/>
        <w:spacing w:line="360" w:lineRule="auto"/>
        <w:ind w:firstLine="0"/>
        <w:jc w:val="center"/>
        <w:outlineLvl w:val="9"/>
        <w:rPr>
          <w:rFonts w:hint="eastAsia" w:ascii="仿宋" w:hAnsi="仿宋" w:eastAsia="仿宋" w:cs="仿宋"/>
          <w:bCs/>
          <w:color w:val="auto"/>
          <w:szCs w:val="21"/>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kern w:val="2"/>
          <w:sz w:val="28"/>
          <w:szCs w:val="28"/>
          <w:highlight w:val="none"/>
          <w:lang w:val="en-US" w:eastAsia="zh-CN" w:bidi="ar-SA"/>
        </w:rPr>
        <w:t>格式7  项目管理、服务及其它人员情况表</w:t>
      </w:r>
    </w:p>
    <w:tbl>
      <w:tblPr>
        <w:tblStyle w:val="25"/>
        <w:tblpPr w:leftFromText="180" w:rightFromText="180" w:vertAnchor="text" w:horzAnchor="margin" w:tblpXSpec="center" w:tblpY="146"/>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证书</w:t>
            </w: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项目负责人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c>
          <w:tcPr>
            <w:tcW w:w="4192" w:type="dxa"/>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0"/>
            <w:vAlign w:val="center"/>
          </w:tcPr>
          <w:p>
            <w:pPr>
              <w:pageBreakBefore w:val="0"/>
              <w:tabs>
                <w:tab w:val="left" w:pos="360"/>
                <w:tab w:val="left" w:pos="1800"/>
              </w:tabs>
              <w:kinsoku/>
              <w:overflowPunct/>
              <w:topLinePunct w:val="0"/>
              <w:autoSpaceDE/>
              <w:autoSpaceDN/>
              <w:bidi w:val="0"/>
              <w:spacing w:line="360" w:lineRule="auto"/>
              <w:outlineLvl w:val="9"/>
              <w:rPr>
                <w:rFonts w:hint="eastAsia" w:ascii="仿宋" w:hAnsi="仿宋" w:eastAsia="仿宋" w:cs="仿宋"/>
                <w:color w:val="auto"/>
                <w:sz w:val="24"/>
                <w:highlight w:val="none"/>
              </w:rPr>
            </w:pPr>
            <w:r>
              <w:rPr>
                <w:rFonts w:hint="eastAsia" w:ascii="仿宋" w:hAnsi="仿宋" w:eastAsia="仿宋" w:cs="仿宋"/>
                <w:b/>
                <w:color w:val="auto"/>
                <w:sz w:val="24"/>
                <w:highlight w:val="none"/>
              </w:rPr>
              <w:t>注：需完整反映本项目要求的所有拟派人员信息，并提供相应证书，所提供的资料均附于本表后如合同及社保证明，作为本表的附件。</w:t>
            </w:r>
          </w:p>
        </w:tc>
      </w:tr>
    </w:tbl>
    <w:p>
      <w:pPr>
        <w:pageBreakBefore w:val="0"/>
        <w:kinsoku/>
        <w:overflowPunct/>
        <w:topLinePunct w:val="0"/>
        <w:autoSpaceDE/>
        <w:autoSpaceDN/>
        <w:bidi w:val="0"/>
        <w:snapToGrid w:val="0"/>
        <w:spacing w:line="360" w:lineRule="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供应商（盖章）：</w:t>
      </w:r>
    </w:p>
    <w:p>
      <w:pPr>
        <w:pageBreakBefore w:val="0"/>
        <w:kinsoku/>
        <w:overflowPunct/>
        <w:topLinePunct w:val="0"/>
        <w:autoSpaceDE/>
        <w:autoSpaceDN/>
        <w:bidi w:val="0"/>
        <w:snapToGrid w:val="0"/>
        <w:spacing w:line="360" w:lineRule="auto"/>
        <w:ind w:firstLine="420" w:firstLineChars="200"/>
        <w:outlineLvl w:val="9"/>
        <w:rPr>
          <w:rFonts w:hint="eastAsia" w:ascii="仿宋" w:hAnsi="仿宋" w:eastAsia="仿宋" w:cs="仿宋"/>
          <w:bCs/>
          <w:color w:val="auto"/>
          <w:szCs w:val="21"/>
          <w:highlight w:val="none"/>
        </w:rPr>
      </w:pPr>
    </w:p>
    <w:p>
      <w:pPr>
        <w:pageBreakBefore w:val="0"/>
        <w:kinsoku/>
        <w:overflowPunct/>
        <w:topLinePunct w:val="0"/>
        <w:autoSpaceDE/>
        <w:autoSpaceDN/>
        <w:bidi w:val="0"/>
        <w:snapToGrid w:val="0"/>
        <w:spacing w:line="360" w:lineRule="auto"/>
        <w:outlineLvl w:val="9"/>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法人代表人或委托代理人签字或盖章：</w:t>
      </w:r>
    </w:p>
    <w:p>
      <w:pPr>
        <w:pageBreakBefore w:val="0"/>
        <w:kinsoku/>
        <w:overflowPunct/>
        <w:topLinePunct w:val="0"/>
        <w:autoSpaceDE/>
        <w:autoSpaceDN/>
        <w:bidi w:val="0"/>
        <w:snapToGrid w:val="0"/>
        <w:spacing w:line="360" w:lineRule="auto"/>
        <w:jc w:val="center"/>
        <w:outlineLvl w:val="9"/>
        <w:rPr>
          <w:rFonts w:hint="eastAsia" w:ascii="仿宋" w:hAnsi="仿宋" w:eastAsia="仿宋" w:cs="仿宋"/>
          <w:bCs/>
          <w:color w:val="auto"/>
          <w:szCs w:val="21"/>
          <w:highlight w:val="none"/>
        </w:rPr>
      </w:pPr>
    </w:p>
    <w:p>
      <w:pPr>
        <w:pageBreakBefore w:val="0"/>
        <w:kinsoku/>
        <w:overflowPunct/>
        <w:topLinePunct w:val="0"/>
        <w:autoSpaceDE/>
        <w:autoSpaceDN/>
        <w:bidi w:val="0"/>
        <w:spacing w:line="360" w:lineRule="auto"/>
        <w:jc w:val="right"/>
        <w:outlineLvl w:val="9"/>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Cs/>
          <w:color w:val="auto"/>
          <w:szCs w:val="21"/>
          <w:highlight w:val="none"/>
        </w:rPr>
        <w:t>年  月</w:t>
      </w:r>
      <w:r>
        <w:rPr>
          <w:rFonts w:hint="eastAsia" w:ascii="仿宋" w:hAnsi="仿宋" w:eastAsia="仿宋" w:cs="仿宋"/>
          <w:color w:val="auto"/>
          <w:sz w:val="24"/>
          <w:highlight w:val="none"/>
        </w:rPr>
        <w:t xml:space="preserve">  日    </w:t>
      </w:r>
    </w:p>
    <w:p>
      <w:pPr>
        <w:pStyle w:val="12"/>
        <w:pageBreakBefore w:val="0"/>
        <w:kinsoku/>
        <w:overflowPunct/>
        <w:topLinePunct w:val="0"/>
        <w:autoSpaceDE/>
        <w:autoSpaceDN/>
        <w:bidi w:val="0"/>
        <w:spacing w:line="360" w:lineRule="auto"/>
        <w:ind w:firstLine="0"/>
        <w:jc w:val="both"/>
        <w:outlineLvl w:val="9"/>
        <w:rPr>
          <w:rFonts w:hint="eastAsia" w:ascii="仿宋" w:hAnsi="仿宋" w:eastAsia="仿宋" w:cs="仿宋"/>
          <w:b/>
          <w:bCs/>
          <w:color w:val="auto"/>
          <w:kern w:val="2"/>
          <w:sz w:val="28"/>
          <w:szCs w:val="28"/>
          <w:highlight w:val="none"/>
          <w:lang w:val="en-US" w:eastAsia="zh-CN" w:bidi="ar-SA"/>
        </w:rPr>
      </w:pPr>
    </w:p>
    <w:p>
      <w:pPr>
        <w:pStyle w:val="12"/>
        <w:pageBreakBefore w:val="0"/>
        <w:kinsoku/>
        <w:overflowPunct/>
        <w:topLinePunct w:val="0"/>
        <w:autoSpaceDE/>
        <w:autoSpaceDN/>
        <w:bidi w:val="0"/>
        <w:spacing w:line="360" w:lineRule="auto"/>
        <w:ind w:firstLine="0"/>
        <w:jc w:val="center"/>
        <w:outlineLvl w:val="9"/>
        <w:rPr>
          <w:rFonts w:hint="eastAsia" w:ascii="仿宋" w:hAnsi="仿宋" w:eastAsia="仿宋" w:cs="仿宋"/>
          <w:b/>
          <w:color w:val="auto"/>
          <w:sz w:val="24"/>
          <w:highlight w:val="none"/>
        </w:rPr>
      </w:pPr>
      <w:r>
        <w:rPr>
          <w:rFonts w:hint="eastAsia" w:ascii="仿宋" w:hAnsi="仿宋" w:eastAsia="仿宋" w:cs="仿宋"/>
          <w:b/>
          <w:bCs/>
          <w:color w:val="auto"/>
          <w:kern w:val="2"/>
          <w:sz w:val="28"/>
          <w:szCs w:val="28"/>
          <w:highlight w:val="none"/>
          <w:lang w:val="en-US" w:eastAsia="zh-CN" w:bidi="ar-SA"/>
        </w:rPr>
        <w:t>格式8  近三年（自2020年1月1日至今）同类项目业绩表</w:t>
      </w:r>
    </w:p>
    <w:tbl>
      <w:tblPr>
        <w:tblStyle w:val="25"/>
        <w:tblW w:w="98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442"/>
        <w:gridCol w:w="11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0"/>
            <w:vAlign w:val="center"/>
          </w:tcPr>
          <w:p>
            <w:pPr>
              <w:pageBreakBefore w:val="0"/>
              <w:kinsoku/>
              <w:overflowPunct/>
              <w:topLinePunct w:val="0"/>
              <w:autoSpaceDE/>
              <w:autoSpaceDN/>
              <w:bidi w:val="0"/>
              <w:spacing w:line="360" w:lineRule="auto"/>
              <w:ind w:firstLine="105" w:firstLineChars="50"/>
              <w:outlineLvl w:val="9"/>
              <w:rPr>
                <w:rFonts w:hint="eastAsia" w:ascii="仿宋" w:hAnsi="仿宋" w:eastAsia="仿宋" w:cs="仿宋"/>
                <w:b/>
                <w:color w:val="auto"/>
                <w:highlight w:val="none"/>
              </w:rPr>
            </w:pPr>
            <w:r>
              <w:rPr>
                <w:rFonts w:hint="eastAsia" w:ascii="仿宋" w:hAnsi="仿宋" w:eastAsia="仿宋" w:cs="仿宋"/>
                <w:b/>
                <w:color w:val="auto"/>
                <w:highlight w:val="none"/>
              </w:rPr>
              <w:t>年份</w:t>
            </w:r>
          </w:p>
        </w:tc>
        <w:tc>
          <w:tcPr>
            <w:tcW w:w="144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13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用户名称</w:t>
            </w: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完成时间</w:t>
            </w:r>
          </w:p>
        </w:tc>
        <w:tc>
          <w:tcPr>
            <w:tcW w:w="1260" w:type="dxa"/>
            <w:noWrap w:val="0"/>
            <w:vAlign w:val="center"/>
          </w:tcPr>
          <w:p>
            <w:pPr>
              <w:pageBreakBefore w:val="0"/>
              <w:kinsoku/>
              <w:overflowPunct/>
              <w:topLinePunct w:val="0"/>
              <w:autoSpaceDE/>
              <w:autoSpaceDN/>
              <w:bidi w:val="0"/>
              <w:spacing w:line="360" w:lineRule="auto"/>
              <w:ind w:firstLine="105" w:firstLineChars="50"/>
              <w:outlineLvl w:val="9"/>
              <w:rPr>
                <w:rFonts w:hint="eastAsia" w:ascii="仿宋" w:hAnsi="仿宋" w:eastAsia="仿宋" w:cs="仿宋"/>
                <w:b/>
                <w:color w:val="auto"/>
                <w:highlight w:val="none"/>
              </w:rPr>
            </w:pPr>
            <w:r>
              <w:rPr>
                <w:rFonts w:hint="eastAsia" w:ascii="仿宋" w:hAnsi="仿宋" w:eastAsia="仿宋" w:cs="仿宋"/>
                <w:b/>
                <w:color w:val="auto"/>
                <w:highlight w:val="none"/>
              </w:rPr>
              <w:t>合同金额</w:t>
            </w:r>
          </w:p>
        </w:tc>
        <w:tc>
          <w:tcPr>
            <w:tcW w:w="1374" w:type="dxa"/>
            <w:gridSpan w:val="3"/>
            <w:tcBorders>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b/>
                <w:color w:val="auto"/>
                <w:highlight w:val="none"/>
              </w:rPr>
            </w:pPr>
            <w:r>
              <w:rPr>
                <w:rFonts w:hint="eastAsia" w:ascii="仿宋" w:hAnsi="仿宋" w:eastAsia="仿宋" w:cs="仿宋"/>
                <w:b/>
                <w:color w:val="auto"/>
                <w:highlight w:val="none"/>
              </w:rPr>
              <w:t>完成项目质量</w:t>
            </w:r>
          </w:p>
        </w:tc>
        <w:tc>
          <w:tcPr>
            <w:tcW w:w="1442" w:type="dxa"/>
            <w:tcBorders>
              <w:lef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b/>
                <w:color w:val="auto"/>
                <w:sz w:val="18"/>
                <w:szCs w:val="18"/>
                <w:highlight w:val="none"/>
              </w:rPr>
            </w:pPr>
            <w:r>
              <w:rPr>
                <w:rFonts w:hint="eastAsia" w:ascii="仿宋" w:hAnsi="仿宋" w:eastAsia="仿宋" w:cs="仿宋"/>
                <w:b/>
                <w:color w:val="auto"/>
                <w:highlight w:val="none"/>
              </w:rPr>
              <w:t>用户联系电话</w:t>
            </w:r>
          </w:p>
        </w:tc>
        <w:tc>
          <w:tcPr>
            <w:tcW w:w="1168" w:type="dxa"/>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74" w:type="dxa"/>
            <w:gridSpan w:val="3"/>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2" w:type="dxa"/>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74" w:type="dxa"/>
            <w:gridSpan w:val="3"/>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2" w:type="dxa"/>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74" w:type="dxa"/>
            <w:gridSpan w:val="3"/>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2" w:type="dxa"/>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74" w:type="dxa"/>
            <w:gridSpan w:val="3"/>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2" w:type="dxa"/>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440" w:type="dxa"/>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320" w:type="dxa"/>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161" w:type="dxa"/>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269" w:type="dxa"/>
            <w:gridSpan w:val="2"/>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365" w:type="dxa"/>
            <w:gridSpan w:val="2"/>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442" w:type="dxa"/>
            <w:tcBorders>
              <w:lef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440"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320"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269" w:type="dxa"/>
            <w:gridSpan w:val="2"/>
            <w:tcBorders>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356" w:type="dxa"/>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451" w:type="dxa"/>
            <w:gridSpan w:val="2"/>
            <w:tcBorders>
              <w:left w:val="single" w:color="auto" w:sz="4" w:space="0"/>
            </w:tcBorders>
            <w:noWrap w:val="0"/>
            <w:vAlign w:val="center"/>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tcBorders>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tcBorders>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tcBorders>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left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left w:val="single" w:color="auto" w:sz="4" w:space="0"/>
              <w:bottom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top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top w:val="single" w:color="auto" w:sz="4" w:space="0"/>
              <w:left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top w:val="single" w:color="auto" w:sz="4" w:space="0"/>
              <w:left w:val="single" w:color="auto" w:sz="4" w:space="0"/>
              <w:bottom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top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top w:val="single" w:color="auto" w:sz="4" w:space="0"/>
              <w:left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top w:val="single" w:color="auto" w:sz="4" w:space="0"/>
              <w:left w:val="single" w:color="auto" w:sz="4" w:space="0"/>
              <w:bottom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tcBorders>
              <w:top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top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top w:val="single" w:color="auto" w:sz="4" w:space="0"/>
              <w:left w:val="single" w:color="auto" w:sz="4" w:space="0"/>
              <w:bottom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top w:val="single" w:color="auto" w:sz="4" w:space="0"/>
              <w:left w:val="single" w:color="auto" w:sz="4" w:space="0"/>
              <w:bottom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40" w:type="dxa"/>
            <w:tcBorders>
              <w:top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20" w:type="dxa"/>
            <w:tcBorders>
              <w:top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1" w:type="dxa"/>
            <w:tcBorders>
              <w:top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269" w:type="dxa"/>
            <w:gridSpan w:val="2"/>
            <w:tcBorders>
              <w:top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356" w:type="dxa"/>
            <w:tcBorders>
              <w:top w:val="single" w:color="auto" w:sz="4" w:space="0"/>
              <w:left w:val="single" w:color="auto" w:sz="4" w:space="0"/>
              <w:righ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451" w:type="dxa"/>
            <w:gridSpan w:val="2"/>
            <w:tcBorders>
              <w:top w:val="single" w:color="auto" w:sz="4" w:space="0"/>
              <w:left w:val="single" w:color="auto" w:sz="4" w:space="0"/>
            </w:tcBorders>
            <w:noWrap w:val="0"/>
            <w:vAlign w:val="center"/>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c>
          <w:tcPr>
            <w:tcW w:w="1168" w:type="dxa"/>
            <w:tcBorders>
              <w:top w:val="single" w:color="auto" w:sz="4" w:space="0"/>
              <w:left w:val="single" w:color="auto" w:sz="4" w:space="0"/>
            </w:tcBorders>
            <w:noWrap w:val="0"/>
            <w:vAlign w:val="top"/>
          </w:tcPr>
          <w:p>
            <w:pPr>
              <w:pageBreakBefore w:val="0"/>
              <w:kinsoku/>
              <w:overflowPunct/>
              <w:topLinePunct w:val="0"/>
              <w:autoSpaceDE/>
              <w:autoSpaceDN/>
              <w:bidi w:val="0"/>
              <w:spacing w:line="360" w:lineRule="auto"/>
              <w:jc w:val="center"/>
              <w:outlineLvl w:val="9"/>
              <w:rPr>
                <w:rFonts w:hint="eastAsia" w:ascii="仿宋" w:hAnsi="仿宋" w:eastAsia="仿宋" w:cs="仿宋"/>
                <w:color w:val="auto"/>
                <w:highlight w:val="none"/>
              </w:rPr>
            </w:pPr>
          </w:p>
        </w:tc>
      </w:tr>
    </w:tbl>
    <w:p>
      <w:pPr>
        <w:pageBreakBefore w:val="0"/>
        <w:tabs>
          <w:tab w:val="left" w:pos="555"/>
          <w:tab w:val="left" w:pos="2214"/>
          <w:tab w:val="left" w:pos="3774"/>
          <w:tab w:val="left" w:pos="4854"/>
          <w:tab w:val="left" w:pos="5934"/>
          <w:tab w:val="left" w:pos="7014"/>
          <w:tab w:val="left" w:pos="8214"/>
          <w:tab w:val="left" w:pos="10134"/>
          <w:tab w:val="left" w:pos="11124"/>
        </w:tabs>
        <w:kinsoku/>
        <w:overflowPunct/>
        <w:topLinePunct w:val="0"/>
        <w:autoSpaceDE/>
        <w:autoSpaceDN/>
        <w:bidi w:val="0"/>
        <w:spacing w:line="360" w:lineRule="auto"/>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注：供应商（仅限于供应商自身实施的）以上业绩需提供有关书面证明材料。“合同金额”需提供合同复印件；“完成项目质量”需提供合同验收合格或用户单位书面证明材料。</w:t>
      </w:r>
    </w:p>
    <w:p>
      <w:pPr>
        <w:pageBreakBefore w:val="0"/>
        <w:kinsoku/>
        <w:overflowPunct/>
        <w:topLinePunct w:val="0"/>
        <w:autoSpaceDE/>
        <w:autoSpaceDN/>
        <w:bidi w:val="0"/>
        <w:spacing w:line="360" w:lineRule="auto"/>
        <w:ind w:left="360"/>
        <w:jc w:val="center"/>
        <w:outlineLvl w:val="9"/>
        <w:rPr>
          <w:rFonts w:hint="eastAsia" w:ascii="仿宋" w:hAnsi="仿宋" w:eastAsia="仿宋" w:cs="仿宋"/>
          <w:color w:val="auto"/>
          <w:sz w:val="24"/>
          <w:highlight w:val="none"/>
        </w:rPr>
      </w:pPr>
    </w:p>
    <w:p>
      <w:pPr>
        <w:pageBreakBefore w:val="0"/>
        <w:kinsoku/>
        <w:overflowPunct/>
        <w:topLinePunct w:val="0"/>
        <w:autoSpaceDE/>
        <w:autoSpaceDN/>
        <w:bidi w:val="0"/>
        <w:spacing w:line="360" w:lineRule="auto"/>
        <w:ind w:left="360"/>
        <w:jc w:val="center"/>
        <w:outlineLvl w:val="9"/>
        <w:rPr>
          <w:rFonts w:hint="eastAsia" w:ascii="仿宋" w:hAnsi="仿宋" w:eastAsia="仿宋" w:cs="仿宋"/>
          <w:color w:val="auto"/>
          <w:highlight w:val="none"/>
        </w:rPr>
      </w:pP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供应商：（盖章）</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法定代表人或委托代理人（签字或盖章）</w:t>
      </w:r>
      <w:r>
        <w:rPr>
          <w:rFonts w:hint="eastAsia" w:ascii="仿宋" w:hAnsi="仿宋" w:eastAsia="仿宋" w:cs="仿宋"/>
          <w:bCs/>
          <w:color w:val="auto"/>
          <w:sz w:val="24"/>
          <w:highlight w:val="none"/>
        </w:rPr>
        <w:t>：</w:t>
      </w:r>
    </w:p>
    <w:p>
      <w:pPr>
        <w:pageBreakBefore w:val="0"/>
        <w:kinsoku/>
        <w:overflowPunct/>
        <w:topLinePunct w:val="0"/>
        <w:autoSpaceDE/>
        <w:autoSpaceDN/>
        <w:bidi w:val="0"/>
        <w:spacing w:line="360" w:lineRule="auto"/>
        <w:ind w:right="480" w:firstLine="480" w:firstLineChars="200"/>
        <w:jc w:val="center"/>
        <w:outlineLvl w:val="9"/>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 xml:space="preserve">                                    年  月  日</w:t>
      </w:r>
    </w:p>
    <w:p>
      <w:pPr>
        <w:pageBreakBefore w:val="0"/>
        <w:widowControl/>
        <w:kinsoku/>
        <w:overflowPunct/>
        <w:topLinePunct w:val="0"/>
        <w:autoSpaceDE/>
        <w:autoSpaceDN/>
        <w:bidi w:val="0"/>
        <w:spacing w:line="360" w:lineRule="auto"/>
        <w:jc w:val="left"/>
        <w:outlineLvl w:val="9"/>
        <w:rPr>
          <w:rFonts w:hint="eastAsia" w:ascii="仿宋" w:hAnsi="仿宋" w:eastAsia="仿宋" w:cs="仿宋"/>
          <w:color w:val="auto"/>
          <w:sz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color w:val="auto"/>
          <w:sz w:val="24"/>
          <w:highlight w:val="none"/>
        </w:rPr>
      </w:pPr>
    </w:p>
    <w:p>
      <w:pPr>
        <w:spacing w:line="360" w:lineRule="auto"/>
        <w:ind w:left="812" w:hanging="947" w:hangingChars="337"/>
        <w:jc w:val="center"/>
        <w:outlineLvl w:val="9"/>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格式9资格性/符合性自查表</w:t>
      </w:r>
    </w:p>
    <w:p>
      <w:pPr>
        <w:pStyle w:val="2"/>
        <w:outlineLvl w:val="9"/>
        <w:rPr>
          <w:rFonts w:hint="eastAsia" w:ascii="仿宋" w:hAnsi="仿宋" w:eastAsia="仿宋" w:cs="仿宋"/>
          <w:color w:val="auto"/>
          <w:highlight w:val="none"/>
        </w:rPr>
      </w:pPr>
    </w:p>
    <w:tbl>
      <w:tblPr>
        <w:tblStyle w:val="25"/>
        <w:tblW w:w="9382"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59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jc w:val="center"/>
              <w:outlineLvl w:val="9"/>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jc w:val="center"/>
              <w:outlineLvl w:val="9"/>
              <w:rPr>
                <w:rFonts w:hint="eastAsia" w:ascii="仿宋" w:hAnsi="仿宋" w:eastAsia="仿宋" w:cs="仿宋"/>
                <w:b/>
                <w:bCs/>
                <w:color w:val="auto"/>
                <w:spacing w:val="10"/>
                <w:sz w:val="24"/>
                <w:highlight w:val="none"/>
                <w:lang w:eastAsia="zh-CN"/>
              </w:rPr>
            </w:pPr>
            <w:r>
              <w:rPr>
                <w:rFonts w:hint="eastAsia" w:ascii="仿宋" w:hAnsi="仿宋" w:eastAsia="仿宋" w:cs="仿宋"/>
                <w:b/>
                <w:bCs/>
                <w:color w:val="auto"/>
                <w:spacing w:val="10"/>
                <w:sz w:val="24"/>
                <w:highlight w:val="none"/>
              </w:rPr>
              <w:t>采购文件要求</w:t>
            </w:r>
          </w:p>
          <w:p>
            <w:pPr>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jc w:val="center"/>
              <w:outlineLvl w:val="9"/>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自查结论</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jc w:val="center"/>
              <w:outlineLvl w:val="9"/>
              <w:rPr>
                <w:rFonts w:hint="eastAsia" w:ascii="仿宋" w:hAnsi="仿宋" w:eastAsia="仿宋" w:cs="仿宋"/>
                <w:color w:val="auto"/>
                <w:sz w:val="24"/>
                <w:highlight w:val="none"/>
              </w:rPr>
            </w:pPr>
            <w:r>
              <w:rPr>
                <w:rFonts w:hint="eastAsia" w:ascii="仿宋" w:hAnsi="仿宋" w:eastAsia="仿宋" w:cs="仿宋"/>
                <w:b/>
                <w:bCs/>
                <w:color w:val="auto"/>
                <w:spacing w:val="10"/>
                <w:sz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noWrap w:val="0"/>
            <w:vAlign w:val="center"/>
          </w:tcPr>
          <w:p>
            <w:pPr>
              <w:widowControl/>
              <w:spacing w:before="100" w:beforeAutospacing="1" w:after="100" w:afterAutospacing="1"/>
              <w:jc w:val="center"/>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outset" w:color="111111" w:sz="6" w:space="0"/>
              <w:left w:val="outset" w:color="111111" w:sz="6" w:space="0"/>
              <w:right w:val="outset" w:color="111111" w:sz="6" w:space="0"/>
            </w:tcBorders>
            <w:noWrap w:val="0"/>
            <w:vAlign w:val="center"/>
          </w:tcPr>
          <w:p>
            <w:pPr>
              <w:widowControl/>
              <w:spacing w:before="100" w:beforeAutospacing="1" w:after="100" w:afterAutospacing="1"/>
              <w:jc w:val="center"/>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符合性审查</w:t>
            </w: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3295"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p>
        </w:tc>
        <w:tc>
          <w:tcPr>
            <w:tcW w:w="2106"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□通过 □不通过</w:t>
            </w:r>
          </w:p>
        </w:tc>
        <w:tc>
          <w:tcPr>
            <w:tcW w:w="2590" w:type="dxa"/>
            <w:tcBorders>
              <w:top w:val="outset" w:color="111111" w:sz="6" w:space="0"/>
              <w:left w:val="outset" w:color="111111" w:sz="6" w:space="0"/>
              <w:bottom w:val="outset" w:color="111111" w:sz="6" w:space="0"/>
              <w:right w:val="outset" w:color="111111" w:sz="6" w:space="0"/>
            </w:tcBorders>
            <w:noWrap w:val="0"/>
            <w:vAlign w:val="center"/>
          </w:tcPr>
          <w:p>
            <w:pP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见响应文件第（）页</w:t>
            </w:r>
          </w:p>
        </w:tc>
      </w:tr>
    </w:tbl>
    <w:p>
      <w:pPr>
        <w:tabs>
          <w:tab w:val="left" w:pos="360"/>
          <w:tab w:val="left" w:pos="1800"/>
        </w:tabs>
        <w:spacing w:line="360" w:lineRule="auto"/>
        <w:ind w:firstLine="361" w:firstLineChars="150"/>
        <w:jc w:val="left"/>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材料将作为投标供应商有效性审核的重要内容之一，供应商必须严格按照其内容及序列要求在响应文件中对应如实提供，对资格性和符合性证明文件的任何缺漏和不符合项将会直接导致无效投标！供应商根据自查结论在对应的□打“√”。</w:t>
      </w:r>
    </w:p>
    <w:p>
      <w:pPr>
        <w:tabs>
          <w:tab w:val="left" w:pos="360"/>
          <w:tab w:val="left" w:pos="1800"/>
        </w:tabs>
        <w:spacing w:line="360" w:lineRule="auto"/>
        <w:ind w:firstLine="325" w:firstLineChars="150"/>
        <w:jc w:val="left"/>
        <w:outlineLvl w:val="9"/>
        <w:rPr>
          <w:rFonts w:hint="eastAsia" w:ascii="仿宋" w:hAnsi="仿宋" w:eastAsia="仿宋" w:cs="仿宋"/>
          <w:b/>
          <w:color w:val="auto"/>
          <w:w w:val="90"/>
          <w:sz w:val="24"/>
          <w:highlight w:val="none"/>
        </w:rPr>
      </w:pPr>
    </w:p>
    <w:p>
      <w:pPr>
        <w:tabs>
          <w:tab w:val="left" w:pos="6300"/>
        </w:tabs>
        <w:snapToGrid w:val="0"/>
        <w:spacing w:line="360" w:lineRule="auto"/>
        <w:jc w:val="center"/>
        <w:outlineLvl w:val="9"/>
        <w:rPr>
          <w:rFonts w:hint="eastAsia" w:ascii="仿宋" w:hAnsi="仿宋" w:eastAsia="仿宋" w:cs="仿宋"/>
          <w:b/>
          <w:color w:val="auto"/>
          <w:sz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格式10  政府采购诚信承诺书</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(单位名称或个人)，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统一社会信用代码（个人身份证号）是具备《政府采购法》第二十二条件的供应商，本单位在参加克拉玛依地区政府采购活动时，承诺如下：</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（一）严格遵守国家法律、法规和规章，全面履行应尽的责任和义务。</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（三）承诺本单位（个人）自觉接受行政管理部门、行业组织、社会公众、新闻舆论的监督。</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（四）承诺本单位（个人）将按照信用管理要求，按照规定通过克拉玛依诚信网向社会公示信用信息。</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（五）承诺本单位（个人）不制假售假、商标侵权、虚假宣传、违约毁约、价格欺诈、垄断和不正当竞争，守合同、重信用，维护经营者、消费者的合法权益。</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（六）失信主体承诺本单位（个人）依法依规接受处罚、主动积极整改、不再触犯相关法律法规、今后全面做到履约守信等。</w:t>
      </w:r>
    </w:p>
    <w:p>
      <w:pPr>
        <w:pageBreakBefore w:val="0"/>
        <w:kinsoku/>
        <w:overflowPunct/>
        <w:topLinePunct w:val="0"/>
        <w:autoSpaceDE/>
        <w:autoSpaceDN/>
        <w:bidi w:val="0"/>
        <w:adjustRightInd w:val="0"/>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p>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单位名称或个人(公章或签名)</w:t>
      </w:r>
    </w:p>
    <w:p>
      <w:pPr>
        <w:pageBreakBefore w:val="0"/>
        <w:kinsoku/>
        <w:overflowPunct/>
        <w:topLinePunct w:val="0"/>
        <w:autoSpaceDE/>
        <w:autoSpaceDN/>
        <w:bidi w:val="0"/>
        <w:spacing w:line="360" w:lineRule="auto"/>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ageBreakBefore w:val="0"/>
        <w:kinsoku/>
        <w:overflowPunct/>
        <w:topLinePunct w:val="0"/>
        <w:autoSpaceDE/>
        <w:autoSpaceDN/>
        <w:bidi w:val="0"/>
        <w:spacing w:line="360" w:lineRule="auto"/>
        <w:jc w:val="center"/>
        <w:outlineLvl w:val="9"/>
        <w:rPr>
          <w:rFonts w:hint="eastAsia" w:ascii="仿宋" w:hAnsi="仿宋" w:eastAsia="仿宋" w:cs="仿宋"/>
          <w:b/>
          <w:bCs/>
          <w:color w:val="auto"/>
          <w:kern w:val="2"/>
          <w:sz w:val="28"/>
          <w:szCs w:val="28"/>
          <w:highlight w:val="none"/>
          <w:lang w:val="en-US" w:eastAsia="zh-CN" w:bidi="ar-SA"/>
        </w:rPr>
      </w:pPr>
    </w:p>
    <w:p>
      <w:pPr>
        <w:pageBreakBefore w:val="0"/>
        <w:kinsoku/>
        <w:overflowPunct/>
        <w:topLinePunct w:val="0"/>
        <w:autoSpaceDE/>
        <w:autoSpaceDN/>
        <w:bidi w:val="0"/>
        <w:spacing w:line="360" w:lineRule="auto"/>
        <w:outlineLvl w:val="9"/>
        <w:rPr>
          <w:rFonts w:hint="eastAsia" w:ascii="仿宋" w:hAnsi="仿宋" w:eastAsia="仿宋" w:cs="仿宋"/>
          <w:color w:val="auto"/>
          <w:szCs w:val="21"/>
          <w:highlight w:val="none"/>
        </w:rPr>
      </w:pPr>
    </w:p>
    <w:sectPr>
      <w:footerReference r:id="rId8"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fldChar w:fldCharType="begin"/>
    </w:r>
    <w:r>
      <w:rPr>
        <w:rStyle w:val="29"/>
      </w:rPr>
      <w:instrText xml:space="preserve">PAGE  </w:instrTex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50</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3"/>
      <w:lvlText w:val="%1、"/>
      <w:lvlJc w:val="left"/>
      <w:pPr>
        <w:tabs>
          <w:tab w:val="left" w:pos="567"/>
        </w:tabs>
        <w:ind w:left="567" w:hanging="567"/>
      </w:pPr>
      <w:rPr>
        <w:rFonts w:hint="default"/>
      </w:rPr>
    </w:lvl>
    <w:lvl w:ilvl="1" w:tentative="0">
      <w:start w:val="1"/>
      <w:numFmt w:val="decimal"/>
      <w:pStyle w:val="54"/>
      <w:lvlText w:val="%2."/>
      <w:lvlJc w:val="left"/>
      <w:pPr>
        <w:tabs>
          <w:tab w:val="left" w:pos="1134"/>
        </w:tabs>
        <w:ind w:left="1134"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
    <w:nsid w:val="110A591B"/>
    <w:multiLevelType w:val="multilevel"/>
    <w:tmpl w:val="110A591B"/>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5.2.%4"/>
      <w:lvlJc w:val="left"/>
      <w:pPr>
        <w:tabs>
          <w:tab w:val="left" w:pos="1080"/>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49B69A78"/>
    <w:multiLevelType w:val="singleLevel"/>
    <w:tmpl w:val="49B69A78"/>
    <w:lvl w:ilvl="0" w:tentative="0">
      <w:start w:val="8"/>
      <w:numFmt w:val="chineseCounting"/>
      <w:suff w:val="nothing"/>
      <w:lvlText w:val="%1、"/>
      <w:lvlJc w:val="left"/>
      <w:rPr>
        <w:rFonts w:hint="eastAsia"/>
      </w:rPr>
    </w:lvl>
  </w:abstractNum>
  <w:abstractNum w:abstractNumId="3">
    <w:nsid w:val="5D99A561"/>
    <w:multiLevelType w:val="singleLevel"/>
    <w:tmpl w:val="5D99A561"/>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mZlYjNkNDk5NTJkYWZmZDlkNTdjNGRhMmRkMmQifQ=="/>
  </w:docVars>
  <w:rsids>
    <w:rsidRoot w:val="000126AB"/>
    <w:rsid w:val="00001471"/>
    <w:rsid w:val="000079A0"/>
    <w:rsid w:val="000126AB"/>
    <w:rsid w:val="00037C63"/>
    <w:rsid w:val="000401EA"/>
    <w:rsid w:val="0004063A"/>
    <w:rsid w:val="00043776"/>
    <w:rsid w:val="00054219"/>
    <w:rsid w:val="0006256E"/>
    <w:rsid w:val="000717D9"/>
    <w:rsid w:val="000914D5"/>
    <w:rsid w:val="00097D69"/>
    <w:rsid w:val="000A2E5E"/>
    <w:rsid w:val="000A4479"/>
    <w:rsid w:val="000B42CD"/>
    <w:rsid w:val="000C096C"/>
    <w:rsid w:val="000C14CB"/>
    <w:rsid w:val="000D0B6B"/>
    <w:rsid w:val="000D1B83"/>
    <w:rsid w:val="000D7239"/>
    <w:rsid w:val="000F7CAA"/>
    <w:rsid w:val="001172BF"/>
    <w:rsid w:val="001224B7"/>
    <w:rsid w:val="00141A36"/>
    <w:rsid w:val="0014333B"/>
    <w:rsid w:val="00150E25"/>
    <w:rsid w:val="001523E9"/>
    <w:rsid w:val="0016091B"/>
    <w:rsid w:val="0016355C"/>
    <w:rsid w:val="0016410D"/>
    <w:rsid w:val="00165CEB"/>
    <w:rsid w:val="00166614"/>
    <w:rsid w:val="001746EF"/>
    <w:rsid w:val="00174BFD"/>
    <w:rsid w:val="00186164"/>
    <w:rsid w:val="00191534"/>
    <w:rsid w:val="001A10F1"/>
    <w:rsid w:val="001A4E58"/>
    <w:rsid w:val="001A53E0"/>
    <w:rsid w:val="001A6CC5"/>
    <w:rsid w:val="001C0D25"/>
    <w:rsid w:val="001D23CA"/>
    <w:rsid w:val="001D64F6"/>
    <w:rsid w:val="001D7A21"/>
    <w:rsid w:val="001E7508"/>
    <w:rsid w:val="001E7719"/>
    <w:rsid w:val="001F4AF8"/>
    <w:rsid w:val="00207AC3"/>
    <w:rsid w:val="00210F23"/>
    <w:rsid w:val="00220EA0"/>
    <w:rsid w:val="002231E5"/>
    <w:rsid w:val="00224F00"/>
    <w:rsid w:val="00225AB6"/>
    <w:rsid w:val="00230A7B"/>
    <w:rsid w:val="00235A1E"/>
    <w:rsid w:val="00235E05"/>
    <w:rsid w:val="002419E0"/>
    <w:rsid w:val="00260A82"/>
    <w:rsid w:val="002665C9"/>
    <w:rsid w:val="002665F6"/>
    <w:rsid w:val="002806E3"/>
    <w:rsid w:val="00287CDC"/>
    <w:rsid w:val="002A10BC"/>
    <w:rsid w:val="002A2F3F"/>
    <w:rsid w:val="002A2FCB"/>
    <w:rsid w:val="002A3397"/>
    <w:rsid w:val="002B14DA"/>
    <w:rsid w:val="002B504A"/>
    <w:rsid w:val="002B7776"/>
    <w:rsid w:val="002C1256"/>
    <w:rsid w:val="002C1DD8"/>
    <w:rsid w:val="002D12EB"/>
    <w:rsid w:val="002E0916"/>
    <w:rsid w:val="002E5AC2"/>
    <w:rsid w:val="002E7C7C"/>
    <w:rsid w:val="002F0DD4"/>
    <w:rsid w:val="002F440D"/>
    <w:rsid w:val="00303D19"/>
    <w:rsid w:val="00313A4C"/>
    <w:rsid w:val="00321E95"/>
    <w:rsid w:val="00331961"/>
    <w:rsid w:val="0033470B"/>
    <w:rsid w:val="003371B5"/>
    <w:rsid w:val="00341762"/>
    <w:rsid w:val="00346350"/>
    <w:rsid w:val="00347A11"/>
    <w:rsid w:val="00353791"/>
    <w:rsid w:val="003641BD"/>
    <w:rsid w:val="00373408"/>
    <w:rsid w:val="00381695"/>
    <w:rsid w:val="0038506B"/>
    <w:rsid w:val="00390F0E"/>
    <w:rsid w:val="0039475A"/>
    <w:rsid w:val="003D5B81"/>
    <w:rsid w:val="003E1809"/>
    <w:rsid w:val="003F415A"/>
    <w:rsid w:val="003F68E4"/>
    <w:rsid w:val="00403DEA"/>
    <w:rsid w:val="00447741"/>
    <w:rsid w:val="00465B09"/>
    <w:rsid w:val="00474E57"/>
    <w:rsid w:val="00477FEA"/>
    <w:rsid w:val="00491ACD"/>
    <w:rsid w:val="004B70D8"/>
    <w:rsid w:val="004C47E0"/>
    <w:rsid w:val="004C61F6"/>
    <w:rsid w:val="004D07BB"/>
    <w:rsid w:val="004D31AC"/>
    <w:rsid w:val="0050137A"/>
    <w:rsid w:val="00512437"/>
    <w:rsid w:val="005276AC"/>
    <w:rsid w:val="00534CA5"/>
    <w:rsid w:val="00542F69"/>
    <w:rsid w:val="0056398F"/>
    <w:rsid w:val="00581EF8"/>
    <w:rsid w:val="00582F97"/>
    <w:rsid w:val="00590843"/>
    <w:rsid w:val="005914FA"/>
    <w:rsid w:val="005A62FB"/>
    <w:rsid w:val="005C36B1"/>
    <w:rsid w:val="005C4034"/>
    <w:rsid w:val="005C561C"/>
    <w:rsid w:val="005F3CFA"/>
    <w:rsid w:val="005F4D19"/>
    <w:rsid w:val="00601F9D"/>
    <w:rsid w:val="0061234A"/>
    <w:rsid w:val="00612D19"/>
    <w:rsid w:val="00631377"/>
    <w:rsid w:val="00652050"/>
    <w:rsid w:val="0066564A"/>
    <w:rsid w:val="006719CD"/>
    <w:rsid w:val="0068346A"/>
    <w:rsid w:val="006953D7"/>
    <w:rsid w:val="006B2BEE"/>
    <w:rsid w:val="006D61B6"/>
    <w:rsid w:val="006F1FB4"/>
    <w:rsid w:val="006F26E3"/>
    <w:rsid w:val="006F6DEB"/>
    <w:rsid w:val="00700A5F"/>
    <w:rsid w:val="00701076"/>
    <w:rsid w:val="007075B6"/>
    <w:rsid w:val="007077C9"/>
    <w:rsid w:val="0071033B"/>
    <w:rsid w:val="00711643"/>
    <w:rsid w:val="0071218C"/>
    <w:rsid w:val="00712884"/>
    <w:rsid w:val="00720781"/>
    <w:rsid w:val="00723FEF"/>
    <w:rsid w:val="007277C6"/>
    <w:rsid w:val="0073687E"/>
    <w:rsid w:val="00736C43"/>
    <w:rsid w:val="0074407F"/>
    <w:rsid w:val="007453EE"/>
    <w:rsid w:val="00750845"/>
    <w:rsid w:val="0077044A"/>
    <w:rsid w:val="00770663"/>
    <w:rsid w:val="00770691"/>
    <w:rsid w:val="0078641C"/>
    <w:rsid w:val="00793BA4"/>
    <w:rsid w:val="00797DAD"/>
    <w:rsid w:val="007B38FA"/>
    <w:rsid w:val="007B7C3E"/>
    <w:rsid w:val="007C3F8D"/>
    <w:rsid w:val="007D0D1E"/>
    <w:rsid w:val="007D3744"/>
    <w:rsid w:val="007E35B0"/>
    <w:rsid w:val="008046E4"/>
    <w:rsid w:val="00807CBF"/>
    <w:rsid w:val="00815834"/>
    <w:rsid w:val="00815BAB"/>
    <w:rsid w:val="00821573"/>
    <w:rsid w:val="00821F5D"/>
    <w:rsid w:val="00833AC2"/>
    <w:rsid w:val="008415EB"/>
    <w:rsid w:val="00842462"/>
    <w:rsid w:val="00846485"/>
    <w:rsid w:val="0085119A"/>
    <w:rsid w:val="008620B9"/>
    <w:rsid w:val="008665F2"/>
    <w:rsid w:val="00874CE8"/>
    <w:rsid w:val="00880B12"/>
    <w:rsid w:val="00886A4B"/>
    <w:rsid w:val="008A62FD"/>
    <w:rsid w:val="008A7AFC"/>
    <w:rsid w:val="008B4CDA"/>
    <w:rsid w:val="008C39A5"/>
    <w:rsid w:val="008C44D0"/>
    <w:rsid w:val="008E007A"/>
    <w:rsid w:val="008E00C4"/>
    <w:rsid w:val="008F00C1"/>
    <w:rsid w:val="008F2FC3"/>
    <w:rsid w:val="008F43C2"/>
    <w:rsid w:val="008F77B8"/>
    <w:rsid w:val="009041D5"/>
    <w:rsid w:val="00904AC6"/>
    <w:rsid w:val="0090693E"/>
    <w:rsid w:val="009155EE"/>
    <w:rsid w:val="00922E18"/>
    <w:rsid w:val="00924685"/>
    <w:rsid w:val="00931F8A"/>
    <w:rsid w:val="00942F9C"/>
    <w:rsid w:val="00945D70"/>
    <w:rsid w:val="0095263B"/>
    <w:rsid w:val="009536B7"/>
    <w:rsid w:val="00957333"/>
    <w:rsid w:val="009607D2"/>
    <w:rsid w:val="009735C0"/>
    <w:rsid w:val="00981102"/>
    <w:rsid w:val="00987FB8"/>
    <w:rsid w:val="00992ADA"/>
    <w:rsid w:val="00994D7E"/>
    <w:rsid w:val="009A1355"/>
    <w:rsid w:val="009A6318"/>
    <w:rsid w:val="009B559D"/>
    <w:rsid w:val="009C2CD4"/>
    <w:rsid w:val="009D10CC"/>
    <w:rsid w:val="009E7145"/>
    <w:rsid w:val="009E7711"/>
    <w:rsid w:val="00A06C88"/>
    <w:rsid w:val="00A207AF"/>
    <w:rsid w:val="00A26D8E"/>
    <w:rsid w:val="00A31237"/>
    <w:rsid w:val="00A32D34"/>
    <w:rsid w:val="00A330A9"/>
    <w:rsid w:val="00A44C18"/>
    <w:rsid w:val="00A57A0B"/>
    <w:rsid w:val="00A6471E"/>
    <w:rsid w:val="00A772DD"/>
    <w:rsid w:val="00A96831"/>
    <w:rsid w:val="00AB20B3"/>
    <w:rsid w:val="00AC05D5"/>
    <w:rsid w:val="00AC4202"/>
    <w:rsid w:val="00AC549A"/>
    <w:rsid w:val="00AC63A9"/>
    <w:rsid w:val="00AD20E7"/>
    <w:rsid w:val="00AD2616"/>
    <w:rsid w:val="00AD569C"/>
    <w:rsid w:val="00AE4FDE"/>
    <w:rsid w:val="00AF0942"/>
    <w:rsid w:val="00AF31EE"/>
    <w:rsid w:val="00AF6FDE"/>
    <w:rsid w:val="00B00F36"/>
    <w:rsid w:val="00B07EEE"/>
    <w:rsid w:val="00B17428"/>
    <w:rsid w:val="00B34E76"/>
    <w:rsid w:val="00B622A6"/>
    <w:rsid w:val="00B76C14"/>
    <w:rsid w:val="00B91ED8"/>
    <w:rsid w:val="00B95464"/>
    <w:rsid w:val="00BB6A96"/>
    <w:rsid w:val="00BC427D"/>
    <w:rsid w:val="00BC56AB"/>
    <w:rsid w:val="00BD381D"/>
    <w:rsid w:val="00BE1013"/>
    <w:rsid w:val="00BF1B7D"/>
    <w:rsid w:val="00BF4072"/>
    <w:rsid w:val="00BF6CDF"/>
    <w:rsid w:val="00C02835"/>
    <w:rsid w:val="00C13197"/>
    <w:rsid w:val="00C34712"/>
    <w:rsid w:val="00C36A49"/>
    <w:rsid w:val="00C5402E"/>
    <w:rsid w:val="00C65DED"/>
    <w:rsid w:val="00C814D6"/>
    <w:rsid w:val="00CA6ACE"/>
    <w:rsid w:val="00CB680F"/>
    <w:rsid w:val="00CD2CCE"/>
    <w:rsid w:val="00CD5E82"/>
    <w:rsid w:val="00CE7283"/>
    <w:rsid w:val="00CF3127"/>
    <w:rsid w:val="00CF5E47"/>
    <w:rsid w:val="00D04014"/>
    <w:rsid w:val="00D07857"/>
    <w:rsid w:val="00D15295"/>
    <w:rsid w:val="00D2564F"/>
    <w:rsid w:val="00D42A73"/>
    <w:rsid w:val="00D53AC2"/>
    <w:rsid w:val="00D67C67"/>
    <w:rsid w:val="00D71C5A"/>
    <w:rsid w:val="00D7563E"/>
    <w:rsid w:val="00D850A7"/>
    <w:rsid w:val="00DA121B"/>
    <w:rsid w:val="00DA49F8"/>
    <w:rsid w:val="00DC01FA"/>
    <w:rsid w:val="00DD727E"/>
    <w:rsid w:val="00E0250E"/>
    <w:rsid w:val="00E0358F"/>
    <w:rsid w:val="00E10621"/>
    <w:rsid w:val="00E1437B"/>
    <w:rsid w:val="00E17C75"/>
    <w:rsid w:val="00E26BC9"/>
    <w:rsid w:val="00E30764"/>
    <w:rsid w:val="00E30E37"/>
    <w:rsid w:val="00E31879"/>
    <w:rsid w:val="00E35260"/>
    <w:rsid w:val="00E47AF8"/>
    <w:rsid w:val="00E6026B"/>
    <w:rsid w:val="00E62C8A"/>
    <w:rsid w:val="00E7363A"/>
    <w:rsid w:val="00E86ACD"/>
    <w:rsid w:val="00E93B73"/>
    <w:rsid w:val="00EC1239"/>
    <w:rsid w:val="00EC64E5"/>
    <w:rsid w:val="00EE3AFD"/>
    <w:rsid w:val="00F125A5"/>
    <w:rsid w:val="00F15E73"/>
    <w:rsid w:val="00F24321"/>
    <w:rsid w:val="00F24B86"/>
    <w:rsid w:val="00F27C74"/>
    <w:rsid w:val="00F43EE8"/>
    <w:rsid w:val="00F44123"/>
    <w:rsid w:val="00F663CB"/>
    <w:rsid w:val="00F7303D"/>
    <w:rsid w:val="00F75866"/>
    <w:rsid w:val="00F75A29"/>
    <w:rsid w:val="00F94A6A"/>
    <w:rsid w:val="00FA50D6"/>
    <w:rsid w:val="00FA57A8"/>
    <w:rsid w:val="00FB1EC9"/>
    <w:rsid w:val="00FB275E"/>
    <w:rsid w:val="00FC22BC"/>
    <w:rsid w:val="00FC6BE0"/>
    <w:rsid w:val="00FD6D86"/>
    <w:rsid w:val="00FF109D"/>
    <w:rsid w:val="00FF6118"/>
    <w:rsid w:val="010F1418"/>
    <w:rsid w:val="0127789F"/>
    <w:rsid w:val="014120A8"/>
    <w:rsid w:val="0176488A"/>
    <w:rsid w:val="01CE2F75"/>
    <w:rsid w:val="01E53E2E"/>
    <w:rsid w:val="02384623"/>
    <w:rsid w:val="0252665D"/>
    <w:rsid w:val="02737A43"/>
    <w:rsid w:val="027A3ACB"/>
    <w:rsid w:val="03664EA1"/>
    <w:rsid w:val="037D4DCA"/>
    <w:rsid w:val="03AD11EC"/>
    <w:rsid w:val="03DF7CC1"/>
    <w:rsid w:val="03E807A5"/>
    <w:rsid w:val="040C218A"/>
    <w:rsid w:val="05071CB6"/>
    <w:rsid w:val="05077346"/>
    <w:rsid w:val="053358E8"/>
    <w:rsid w:val="05923DEA"/>
    <w:rsid w:val="05E36FE4"/>
    <w:rsid w:val="063D244B"/>
    <w:rsid w:val="06AC0501"/>
    <w:rsid w:val="06EE79C4"/>
    <w:rsid w:val="073B0122"/>
    <w:rsid w:val="07455FD8"/>
    <w:rsid w:val="07521F93"/>
    <w:rsid w:val="07604740"/>
    <w:rsid w:val="0809222C"/>
    <w:rsid w:val="08683C74"/>
    <w:rsid w:val="08914842"/>
    <w:rsid w:val="097D3F57"/>
    <w:rsid w:val="09A2783F"/>
    <w:rsid w:val="09B11056"/>
    <w:rsid w:val="09FC1F49"/>
    <w:rsid w:val="0A411EA1"/>
    <w:rsid w:val="0B960B81"/>
    <w:rsid w:val="0BD03C53"/>
    <w:rsid w:val="0BED48A0"/>
    <w:rsid w:val="0C294AFD"/>
    <w:rsid w:val="0C514E47"/>
    <w:rsid w:val="0CD00040"/>
    <w:rsid w:val="0D9745C3"/>
    <w:rsid w:val="0DDD52FC"/>
    <w:rsid w:val="0F697594"/>
    <w:rsid w:val="10AA4427"/>
    <w:rsid w:val="10C344B5"/>
    <w:rsid w:val="10E67546"/>
    <w:rsid w:val="11602BCB"/>
    <w:rsid w:val="12066A55"/>
    <w:rsid w:val="12476022"/>
    <w:rsid w:val="12535283"/>
    <w:rsid w:val="125911B1"/>
    <w:rsid w:val="140D0DCF"/>
    <w:rsid w:val="142F3AC7"/>
    <w:rsid w:val="143313C5"/>
    <w:rsid w:val="14EF1BF7"/>
    <w:rsid w:val="14F070C8"/>
    <w:rsid w:val="15515E69"/>
    <w:rsid w:val="1580416E"/>
    <w:rsid w:val="15DD2016"/>
    <w:rsid w:val="1652287C"/>
    <w:rsid w:val="16934899"/>
    <w:rsid w:val="16AE4E44"/>
    <w:rsid w:val="16B03628"/>
    <w:rsid w:val="16C05271"/>
    <w:rsid w:val="17180C70"/>
    <w:rsid w:val="17620593"/>
    <w:rsid w:val="182B7DBB"/>
    <w:rsid w:val="188449CB"/>
    <w:rsid w:val="18C56CA3"/>
    <w:rsid w:val="191E36D1"/>
    <w:rsid w:val="19C300B6"/>
    <w:rsid w:val="19D53132"/>
    <w:rsid w:val="19DD760E"/>
    <w:rsid w:val="19E30E1E"/>
    <w:rsid w:val="1A65539C"/>
    <w:rsid w:val="1AA65DBA"/>
    <w:rsid w:val="1AD55213"/>
    <w:rsid w:val="1AD97C94"/>
    <w:rsid w:val="1B025C18"/>
    <w:rsid w:val="1B360F86"/>
    <w:rsid w:val="1B6F54B3"/>
    <w:rsid w:val="1BE452B5"/>
    <w:rsid w:val="1C3041CB"/>
    <w:rsid w:val="1C4D12AE"/>
    <w:rsid w:val="1C513EFC"/>
    <w:rsid w:val="1CD031C6"/>
    <w:rsid w:val="1D035C66"/>
    <w:rsid w:val="1DBC6388"/>
    <w:rsid w:val="1DE1754B"/>
    <w:rsid w:val="1E9F0ACC"/>
    <w:rsid w:val="1FA93DB3"/>
    <w:rsid w:val="20A63420"/>
    <w:rsid w:val="20EC6113"/>
    <w:rsid w:val="21D678D7"/>
    <w:rsid w:val="21D73792"/>
    <w:rsid w:val="222E6571"/>
    <w:rsid w:val="2233679A"/>
    <w:rsid w:val="224D1A01"/>
    <w:rsid w:val="22A650E4"/>
    <w:rsid w:val="22AE5CB1"/>
    <w:rsid w:val="23103FE6"/>
    <w:rsid w:val="241035B6"/>
    <w:rsid w:val="24202FA0"/>
    <w:rsid w:val="2425685A"/>
    <w:rsid w:val="24AF79E7"/>
    <w:rsid w:val="24EB6AA1"/>
    <w:rsid w:val="258D1AFB"/>
    <w:rsid w:val="25BA0E73"/>
    <w:rsid w:val="25CB69FC"/>
    <w:rsid w:val="25D81889"/>
    <w:rsid w:val="26471689"/>
    <w:rsid w:val="266E4669"/>
    <w:rsid w:val="26E91234"/>
    <w:rsid w:val="276237A8"/>
    <w:rsid w:val="27C300CA"/>
    <w:rsid w:val="27E45CB9"/>
    <w:rsid w:val="284C0682"/>
    <w:rsid w:val="28FB0F45"/>
    <w:rsid w:val="290441D9"/>
    <w:rsid w:val="294D58D2"/>
    <w:rsid w:val="2A2950FE"/>
    <w:rsid w:val="2A445D45"/>
    <w:rsid w:val="2A5B5463"/>
    <w:rsid w:val="2A847B89"/>
    <w:rsid w:val="2BF109F0"/>
    <w:rsid w:val="2C7D570A"/>
    <w:rsid w:val="2CAB6B29"/>
    <w:rsid w:val="2CC51381"/>
    <w:rsid w:val="2CDA5C19"/>
    <w:rsid w:val="2CE42784"/>
    <w:rsid w:val="2DA04072"/>
    <w:rsid w:val="2E037C76"/>
    <w:rsid w:val="2F666452"/>
    <w:rsid w:val="2FCF25FE"/>
    <w:rsid w:val="301C26FD"/>
    <w:rsid w:val="3028070E"/>
    <w:rsid w:val="30717C09"/>
    <w:rsid w:val="308429AD"/>
    <w:rsid w:val="30BA7258"/>
    <w:rsid w:val="30C12A0F"/>
    <w:rsid w:val="30FF0771"/>
    <w:rsid w:val="3118158E"/>
    <w:rsid w:val="318A5E55"/>
    <w:rsid w:val="31A060DF"/>
    <w:rsid w:val="31AD2EC6"/>
    <w:rsid w:val="32002C9E"/>
    <w:rsid w:val="33042264"/>
    <w:rsid w:val="331D034F"/>
    <w:rsid w:val="341F4EB2"/>
    <w:rsid w:val="34324DB1"/>
    <w:rsid w:val="347E2DBF"/>
    <w:rsid w:val="349415D2"/>
    <w:rsid w:val="356D4E6F"/>
    <w:rsid w:val="356E6D37"/>
    <w:rsid w:val="358637CB"/>
    <w:rsid w:val="35BA5E24"/>
    <w:rsid w:val="35E57E6C"/>
    <w:rsid w:val="36086F35"/>
    <w:rsid w:val="369747CC"/>
    <w:rsid w:val="36C10205"/>
    <w:rsid w:val="36C429DD"/>
    <w:rsid w:val="36DE7D61"/>
    <w:rsid w:val="37200048"/>
    <w:rsid w:val="376804C0"/>
    <w:rsid w:val="378620FB"/>
    <w:rsid w:val="381E1465"/>
    <w:rsid w:val="387119F2"/>
    <w:rsid w:val="38DD29E1"/>
    <w:rsid w:val="38DF2326"/>
    <w:rsid w:val="390E33BA"/>
    <w:rsid w:val="3967059A"/>
    <w:rsid w:val="39B0777B"/>
    <w:rsid w:val="3B182C13"/>
    <w:rsid w:val="3B6563C1"/>
    <w:rsid w:val="3BE745AD"/>
    <w:rsid w:val="3C447E49"/>
    <w:rsid w:val="3C7428A1"/>
    <w:rsid w:val="3D632815"/>
    <w:rsid w:val="3DF34B41"/>
    <w:rsid w:val="3E24590B"/>
    <w:rsid w:val="3E81380C"/>
    <w:rsid w:val="3E8F544F"/>
    <w:rsid w:val="3EC47A6B"/>
    <w:rsid w:val="3F780868"/>
    <w:rsid w:val="3F9D7827"/>
    <w:rsid w:val="40301848"/>
    <w:rsid w:val="404D537E"/>
    <w:rsid w:val="40852F02"/>
    <w:rsid w:val="408C5F1B"/>
    <w:rsid w:val="40B9143D"/>
    <w:rsid w:val="40F650DF"/>
    <w:rsid w:val="412F0974"/>
    <w:rsid w:val="414C1CB1"/>
    <w:rsid w:val="41710BEB"/>
    <w:rsid w:val="41BB42A0"/>
    <w:rsid w:val="41BB4416"/>
    <w:rsid w:val="421045E9"/>
    <w:rsid w:val="421E0158"/>
    <w:rsid w:val="42B371E2"/>
    <w:rsid w:val="42BE464C"/>
    <w:rsid w:val="42D121EE"/>
    <w:rsid w:val="43725E6E"/>
    <w:rsid w:val="43A97591"/>
    <w:rsid w:val="43CB7585"/>
    <w:rsid w:val="43F74FBC"/>
    <w:rsid w:val="443E2003"/>
    <w:rsid w:val="446753C6"/>
    <w:rsid w:val="447545D7"/>
    <w:rsid w:val="44E0760E"/>
    <w:rsid w:val="44FD34CC"/>
    <w:rsid w:val="45B133F9"/>
    <w:rsid w:val="467341A1"/>
    <w:rsid w:val="478B797B"/>
    <w:rsid w:val="479F5DE4"/>
    <w:rsid w:val="47A73274"/>
    <w:rsid w:val="48B77E7E"/>
    <w:rsid w:val="48BC2DE1"/>
    <w:rsid w:val="491F6020"/>
    <w:rsid w:val="49766EA5"/>
    <w:rsid w:val="49B668C0"/>
    <w:rsid w:val="4A1A244C"/>
    <w:rsid w:val="4A904863"/>
    <w:rsid w:val="4B552E13"/>
    <w:rsid w:val="4B60569D"/>
    <w:rsid w:val="4B6C38AA"/>
    <w:rsid w:val="4B876AE9"/>
    <w:rsid w:val="4BAE0355"/>
    <w:rsid w:val="4BBD6D91"/>
    <w:rsid w:val="4C1E6886"/>
    <w:rsid w:val="4C451474"/>
    <w:rsid w:val="4C937900"/>
    <w:rsid w:val="4CE0702B"/>
    <w:rsid w:val="4CF12D9A"/>
    <w:rsid w:val="4D123D00"/>
    <w:rsid w:val="4D3E72D5"/>
    <w:rsid w:val="4E3B3B02"/>
    <w:rsid w:val="4E64039C"/>
    <w:rsid w:val="4E66332D"/>
    <w:rsid w:val="4EC93FD2"/>
    <w:rsid w:val="4EEA0D24"/>
    <w:rsid w:val="4F24394F"/>
    <w:rsid w:val="4FAB4C14"/>
    <w:rsid w:val="50AE6DAC"/>
    <w:rsid w:val="50BE3EB4"/>
    <w:rsid w:val="510A4C33"/>
    <w:rsid w:val="51600758"/>
    <w:rsid w:val="51732F43"/>
    <w:rsid w:val="524C47EB"/>
    <w:rsid w:val="52AE4E27"/>
    <w:rsid w:val="52C63E4A"/>
    <w:rsid w:val="52E24755"/>
    <w:rsid w:val="53E83D39"/>
    <w:rsid w:val="541B73F0"/>
    <w:rsid w:val="54512CE7"/>
    <w:rsid w:val="545B1EBE"/>
    <w:rsid w:val="54856055"/>
    <w:rsid w:val="55374EED"/>
    <w:rsid w:val="55696DDA"/>
    <w:rsid w:val="55A751FA"/>
    <w:rsid w:val="564659E8"/>
    <w:rsid w:val="56781A69"/>
    <w:rsid w:val="56EF3FEE"/>
    <w:rsid w:val="56F35E44"/>
    <w:rsid w:val="57B63E99"/>
    <w:rsid w:val="580D3184"/>
    <w:rsid w:val="58175C92"/>
    <w:rsid w:val="585A5481"/>
    <w:rsid w:val="587773AD"/>
    <w:rsid w:val="59192C0D"/>
    <w:rsid w:val="59D33450"/>
    <w:rsid w:val="5A030895"/>
    <w:rsid w:val="5A8B314B"/>
    <w:rsid w:val="5AAE4D59"/>
    <w:rsid w:val="5B930C64"/>
    <w:rsid w:val="5D4B2F91"/>
    <w:rsid w:val="5DA03AAA"/>
    <w:rsid w:val="5DD95E65"/>
    <w:rsid w:val="5DEB4E23"/>
    <w:rsid w:val="5E0D22F8"/>
    <w:rsid w:val="5E0F215D"/>
    <w:rsid w:val="5E671402"/>
    <w:rsid w:val="5ED97561"/>
    <w:rsid w:val="5F411085"/>
    <w:rsid w:val="606B4C2E"/>
    <w:rsid w:val="60F5583E"/>
    <w:rsid w:val="620E140D"/>
    <w:rsid w:val="62125E70"/>
    <w:rsid w:val="623576AB"/>
    <w:rsid w:val="62E555BB"/>
    <w:rsid w:val="62F00823"/>
    <w:rsid w:val="638A5BE2"/>
    <w:rsid w:val="641B6429"/>
    <w:rsid w:val="649A5F72"/>
    <w:rsid w:val="64B52FB5"/>
    <w:rsid w:val="64C34B80"/>
    <w:rsid w:val="64EF2752"/>
    <w:rsid w:val="650B3FD7"/>
    <w:rsid w:val="65160CA9"/>
    <w:rsid w:val="653852A2"/>
    <w:rsid w:val="65B42D25"/>
    <w:rsid w:val="65C71F86"/>
    <w:rsid w:val="667A67B0"/>
    <w:rsid w:val="667A759A"/>
    <w:rsid w:val="66A34FF2"/>
    <w:rsid w:val="66C14058"/>
    <w:rsid w:val="66F9482E"/>
    <w:rsid w:val="67465436"/>
    <w:rsid w:val="6763017E"/>
    <w:rsid w:val="67822552"/>
    <w:rsid w:val="67DF1219"/>
    <w:rsid w:val="68EB6FC1"/>
    <w:rsid w:val="69490748"/>
    <w:rsid w:val="695E7366"/>
    <w:rsid w:val="697BBEB9"/>
    <w:rsid w:val="6A046C7D"/>
    <w:rsid w:val="6A1C601F"/>
    <w:rsid w:val="6A7A197D"/>
    <w:rsid w:val="6ACF3DC7"/>
    <w:rsid w:val="6AF24656"/>
    <w:rsid w:val="6B0675CE"/>
    <w:rsid w:val="6B1618BB"/>
    <w:rsid w:val="6BCD1C8E"/>
    <w:rsid w:val="6BF90031"/>
    <w:rsid w:val="6C315378"/>
    <w:rsid w:val="6C437B03"/>
    <w:rsid w:val="6C7C2B89"/>
    <w:rsid w:val="6CA31156"/>
    <w:rsid w:val="6CF83DD4"/>
    <w:rsid w:val="6D167F4C"/>
    <w:rsid w:val="6D3632BC"/>
    <w:rsid w:val="6E11085C"/>
    <w:rsid w:val="6E1B3DFB"/>
    <w:rsid w:val="6E233634"/>
    <w:rsid w:val="6E5C6DBE"/>
    <w:rsid w:val="6F321DFD"/>
    <w:rsid w:val="6F9775A3"/>
    <w:rsid w:val="6FEA1AD0"/>
    <w:rsid w:val="70EA4CCC"/>
    <w:rsid w:val="711E699F"/>
    <w:rsid w:val="719F2E42"/>
    <w:rsid w:val="71D96859"/>
    <w:rsid w:val="720C017B"/>
    <w:rsid w:val="727C2FDE"/>
    <w:rsid w:val="72986411"/>
    <w:rsid w:val="72B55021"/>
    <w:rsid w:val="72B7043E"/>
    <w:rsid w:val="72F9325D"/>
    <w:rsid w:val="7358755E"/>
    <w:rsid w:val="73934A3E"/>
    <w:rsid w:val="73BF08D5"/>
    <w:rsid w:val="73D43285"/>
    <w:rsid w:val="740767F7"/>
    <w:rsid w:val="742F681F"/>
    <w:rsid w:val="74614F7E"/>
    <w:rsid w:val="748E6072"/>
    <w:rsid w:val="749444D3"/>
    <w:rsid w:val="74C347FE"/>
    <w:rsid w:val="755171A3"/>
    <w:rsid w:val="761E5DBC"/>
    <w:rsid w:val="76591296"/>
    <w:rsid w:val="76C13B94"/>
    <w:rsid w:val="775709F6"/>
    <w:rsid w:val="77D54546"/>
    <w:rsid w:val="77E75CD9"/>
    <w:rsid w:val="77EC5741"/>
    <w:rsid w:val="781B1D11"/>
    <w:rsid w:val="784E5888"/>
    <w:rsid w:val="78E375C5"/>
    <w:rsid w:val="78E42B46"/>
    <w:rsid w:val="78F85FA9"/>
    <w:rsid w:val="79287ADB"/>
    <w:rsid w:val="792923D3"/>
    <w:rsid w:val="793D5C03"/>
    <w:rsid w:val="79D835F4"/>
    <w:rsid w:val="79FA46C0"/>
    <w:rsid w:val="7A3364DC"/>
    <w:rsid w:val="7A3E5E06"/>
    <w:rsid w:val="7AC11246"/>
    <w:rsid w:val="7AC714F5"/>
    <w:rsid w:val="7AEC2FAA"/>
    <w:rsid w:val="7B0C233C"/>
    <w:rsid w:val="7B3C3708"/>
    <w:rsid w:val="7B88337E"/>
    <w:rsid w:val="7B93417A"/>
    <w:rsid w:val="7BF662EE"/>
    <w:rsid w:val="7C3407BB"/>
    <w:rsid w:val="7C5949A4"/>
    <w:rsid w:val="7C6E4CB3"/>
    <w:rsid w:val="7CBA6BA0"/>
    <w:rsid w:val="7DB75F0F"/>
    <w:rsid w:val="7DF693B9"/>
    <w:rsid w:val="7E152D0E"/>
    <w:rsid w:val="7ED632FE"/>
    <w:rsid w:val="7EDB79E6"/>
    <w:rsid w:val="7F360E38"/>
    <w:rsid w:val="7F5F4B19"/>
    <w:rsid w:val="7F607AF5"/>
    <w:rsid w:val="D70C636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1"/>
    <w:basedOn w:val="1"/>
    <w:next w:val="1"/>
    <w:link w:val="35"/>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4">
    <w:name w:val="heading 2"/>
    <w:basedOn w:val="1"/>
    <w:next w:val="1"/>
    <w:link w:val="37"/>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link w:val="42"/>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6">
    <w:name w:val="heading 4"/>
    <w:basedOn w:val="1"/>
    <w:next w:val="1"/>
    <w:link w:val="38"/>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7">
    <w:name w:val="heading 5"/>
    <w:basedOn w:val="1"/>
    <w:next w:val="1"/>
    <w:link w:val="33"/>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8">
    <w:name w:val="heading 6"/>
    <w:basedOn w:val="1"/>
    <w:next w:val="1"/>
    <w:link w:val="36"/>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9">
    <w:name w:val="heading 7"/>
    <w:basedOn w:val="1"/>
    <w:next w:val="1"/>
    <w:link w:val="34"/>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10">
    <w:name w:val="heading 8"/>
    <w:basedOn w:val="1"/>
    <w:next w:val="1"/>
    <w:link w:val="40"/>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1">
    <w:name w:val="heading 9"/>
    <w:basedOn w:val="1"/>
    <w:next w:val="1"/>
    <w:link w:val="41"/>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Normal Indent"/>
    <w:basedOn w:val="1"/>
    <w:qFormat/>
    <w:uiPriority w:val="0"/>
    <w:pPr>
      <w:adjustRightInd w:val="0"/>
      <w:spacing w:line="360" w:lineRule="atLeast"/>
      <w:ind w:firstLine="482"/>
      <w:textAlignment w:val="baseline"/>
    </w:pPr>
    <w:rPr>
      <w:rFonts w:eastAsia="宋体"/>
      <w:kern w:val="0"/>
      <w:sz w:val="24"/>
    </w:rPr>
  </w:style>
  <w:style w:type="paragraph" w:styleId="13">
    <w:name w:val="annotation text"/>
    <w:basedOn w:val="1"/>
    <w:qFormat/>
    <w:uiPriority w:val="0"/>
    <w:pPr>
      <w:jc w:val="left"/>
    </w:pPr>
  </w:style>
  <w:style w:type="paragraph" w:styleId="14">
    <w:name w:val="Body Text Indent"/>
    <w:basedOn w:val="1"/>
    <w:next w:val="6"/>
    <w:qFormat/>
    <w:uiPriority w:val="0"/>
    <w:pPr>
      <w:spacing w:line="520" w:lineRule="exact"/>
      <w:ind w:left="570"/>
    </w:pPr>
    <w:rPr>
      <w:rFonts w:ascii="方正仿宋简体" w:hAnsi="创艺简仿宋" w:eastAsia="方正仿宋简体" w:cs="Times New Roman"/>
      <w:sz w:val="24"/>
      <w:szCs w:val="20"/>
    </w:rPr>
  </w:style>
  <w:style w:type="paragraph" w:styleId="15">
    <w:name w:val="Plain Text"/>
    <w:basedOn w:val="1"/>
    <w:link w:val="39"/>
    <w:unhideWhenUsed/>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line="360" w:lineRule="auto"/>
      <w:ind w:left="839" w:hanging="839" w:hangingChars="355"/>
    </w:pPr>
    <w:rPr>
      <w:b/>
      <w:kern w:val="0"/>
      <w:sz w:val="24"/>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paragraph" w:styleId="24">
    <w:name w:val="Body Text First Indent 2"/>
    <w:basedOn w:val="14"/>
    <w:qFormat/>
    <w:uiPriority w:val="0"/>
    <w:pPr>
      <w:ind w:firstLine="420" w:firstLineChars="200"/>
    </w:pPr>
    <w:rPr>
      <w:rFonts w:ascii="Times New Roman" w:hAnsi="Times New Roman" w:eastAsia="宋体" w:cs="Times New Roman"/>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qFormat/>
    <w:uiPriority w:val="0"/>
    <w:rPr>
      <w:rFonts w:hint="eastAsia" w:ascii="宋体" w:hAnsi="宋体" w:eastAsia="宋体" w:cs="宋体"/>
      <w:color w:val="252525"/>
      <w:sz w:val="18"/>
      <w:szCs w:val="18"/>
      <w:u w:val="none"/>
    </w:rPr>
  </w:style>
  <w:style w:type="character" w:styleId="31">
    <w:name w:val="Hyperlink"/>
    <w:qFormat/>
    <w:uiPriority w:val="0"/>
    <w:rPr>
      <w:rFonts w:hint="eastAsia" w:ascii="宋体" w:hAnsi="宋体" w:eastAsia="宋体" w:cs="宋体"/>
      <w:color w:val="252525"/>
      <w:sz w:val="18"/>
      <w:szCs w:val="18"/>
      <w:u w:val="none"/>
    </w:rPr>
  </w:style>
  <w:style w:type="paragraph" w:customStyle="1" w:styleId="32">
    <w:name w:val="表格文字"/>
    <w:basedOn w:val="1"/>
    <w:qFormat/>
    <w:uiPriority w:val="0"/>
    <w:pPr>
      <w:jc w:val="left"/>
    </w:pPr>
    <w:rPr>
      <w:bCs/>
      <w:spacing w:val="10"/>
      <w:sz w:val="24"/>
    </w:rPr>
  </w:style>
  <w:style w:type="character" w:customStyle="1" w:styleId="33">
    <w:name w:val="标题 5 Char"/>
    <w:link w:val="7"/>
    <w:semiHidden/>
    <w:qFormat/>
    <w:uiPriority w:val="0"/>
    <w:rPr>
      <w:rFonts w:ascii="华文宋体" w:hAnsi="华文宋体" w:eastAsia="华文宋体" w:cs="宋体"/>
      <w:b/>
      <w:i/>
      <w:sz w:val="26"/>
    </w:rPr>
  </w:style>
  <w:style w:type="character" w:customStyle="1" w:styleId="34">
    <w:name w:val="标题 7 Char"/>
    <w:link w:val="9"/>
    <w:semiHidden/>
    <w:qFormat/>
    <w:uiPriority w:val="0"/>
    <w:rPr>
      <w:rFonts w:ascii="华文宋体" w:hAnsi="华文宋体" w:eastAsia="华文宋体"/>
      <w:sz w:val="24"/>
    </w:rPr>
  </w:style>
  <w:style w:type="character" w:customStyle="1" w:styleId="35">
    <w:name w:val="标题 1 Char"/>
    <w:link w:val="3"/>
    <w:qFormat/>
    <w:uiPriority w:val="0"/>
    <w:rPr>
      <w:rFonts w:ascii="宋体" w:hAnsi="华文宋体" w:cs="宋体"/>
      <w:b/>
      <w:kern w:val="44"/>
      <w:sz w:val="52"/>
    </w:rPr>
  </w:style>
  <w:style w:type="character" w:customStyle="1" w:styleId="36">
    <w:name w:val="标题 6 Char"/>
    <w:link w:val="8"/>
    <w:semiHidden/>
    <w:qFormat/>
    <w:uiPriority w:val="0"/>
    <w:rPr>
      <w:rFonts w:ascii="华文宋体" w:hAnsi="华文宋体" w:eastAsia="华文宋体" w:cs="宋体"/>
      <w:b/>
      <w:sz w:val="22"/>
    </w:rPr>
  </w:style>
  <w:style w:type="character" w:customStyle="1" w:styleId="37">
    <w:name w:val="标题 2 Char"/>
    <w:link w:val="4"/>
    <w:semiHidden/>
    <w:qFormat/>
    <w:uiPriority w:val="0"/>
    <w:rPr>
      <w:rFonts w:ascii="Arial" w:hAnsi="Arial" w:eastAsia="华文宋体"/>
      <w:b/>
      <w:i/>
      <w:sz w:val="28"/>
    </w:rPr>
  </w:style>
  <w:style w:type="character" w:customStyle="1" w:styleId="38">
    <w:name w:val="标题 4 Char"/>
    <w:link w:val="6"/>
    <w:semiHidden/>
    <w:qFormat/>
    <w:uiPriority w:val="0"/>
    <w:rPr>
      <w:rFonts w:ascii="华文宋体" w:hAnsi="华文宋体" w:eastAsia="华文宋体" w:cs="宋体"/>
      <w:sz w:val="24"/>
    </w:rPr>
  </w:style>
  <w:style w:type="character" w:customStyle="1" w:styleId="39">
    <w:name w:val="纯文本 Char"/>
    <w:link w:val="15"/>
    <w:qFormat/>
    <w:uiPriority w:val="0"/>
    <w:rPr>
      <w:rFonts w:ascii="宋体" w:hAnsi="Courier New"/>
      <w:kern w:val="2"/>
      <w:sz w:val="21"/>
    </w:rPr>
  </w:style>
  <w:style w:type="character" w:customStyle="1" w:styleId="40">
    <w:name w:val="标题 8 Char"/>
    <w:link w:val="10"/>
    <w:semiHidden/>
    <w:qFormat/>
    <w:uiPriority w:val="0"/>
    <w:rPr>
      <w:rFonts w:ascii="华文宋体" w:hAnsi="华文宋体" w:eastAsia="华文宋体"/>
      <w:i/>
      <w:sz w:val="24"/>
    </w:rPr>
  </w:style>
  <w:style w:type="character" w:customStyle="1" w:styleId="41">
    <w:name w:val="标题 9 Char"/>
    <w:link w:val="11"/>
    <w:semiHidden/>
    <w:qFormat/>
    <w:uiPriority w:val="0"/>
    <w:rPr>
      <w:rFonts w:ascii="Arial" w:hAnsi="Arial" w:eastAsia="华文宋体"/>
      <w:sz w:val="22"/>
    </w:rPr>
  </w:style>
  <w:style w:type="character" w:customStyle="1" w:styleId="42">
    <w:name w:val="标题 3 Char"/>
    <w:link w:val="5"/>
    <w:semiHidden/>
    <w:qFormat/>
    <w:uiPriority w:val="0"/>
    <w:rPr>
      <w:rFonts w:ascii="Arial" w:hAnsi="Arial" w:eastAsia="华文宋体"/>
      <w:b/>
      <w:sz w:val="26"/>
    </w:rPr>
  </w:style>
  <w:style w:type="paragraph" w:customStyle="1" w:styleId="43">
    <w:name w:val="样式 标题 4 + 行距: 固定值 20 磅"/>
    <w:basedOn w:val="6"/>
    <w:qFormat/>
    <w:uiPriority w:val="0"/>
    <w:pPr>
      <w:keepNext w:val="0"/>
      <w:keepLines w:val="0"/>
      <w:numPr>
        <w:ilvl w:val="3"/>
        <w:numId w:val="0"/>
      </w:numPr>
      <w:tabs>
        <w:tab w:val="left" w:pos="-854"/>
        <w:tab w:val="left" w:pos="1800"/>
      </w:tabs>
      <w:spacing w:before="0" w:beforeLines="0" w:beforeAutospacing="0" w:after="0" w:afterLines="0" w:afterAutospacing="0" w:line="400" w:lineRule="exact"/>
      <w:ind w:left="540"/>
    </w:pPr>
    <w:rPr>
      <w:rFonts w:ascii="Times New Roman" w:hAnsi="Times New Roman" w:eastAsia="宋体"/>
      <w:color w:val="000000"/>
      <w:sz w:val="24"/>
    </w:rPr>
  </w:style>
  <w:style w:type="paragraph" w:customStyle="1" w:styleId="44">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45">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46">
    <w:name w:val="列出段落1"/>
    <w:basedOn w:val="1"/>
    <w:qFormat/>
    <w:uiPriority w:val="0"/>
    <w:pPr>
      <w:ind w:firstLine="200" w:firstLineChars="200"/>
    </w:pPr>
    <w:rPr>
      <w:szCs w:val="21"/>
    </w:rPr>
  </w:style>
  <w:style w:type="paragraph" w:customStyle="1" w:styleId="4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styleId="48">
    <w:name w:val="List Paragraph"/>
    <w:basedOn w:val="1"/>
    <w:qFormat/>
    <w:uiPriority w:val="34"/>
    <w:pPr>
      <w:ind w:firstLine="420" w:firstLineChars="200"/>
    </w:pPr>
  </w:style>
  <w:style w:type="paragraph" w:customStyle="1" w:styleId="49">
    <w:name w:val="Bid_正文"/>
    <w:basedOn w:val="12"/>
    <w:qFormat/>
    <w:uiPriority w:val="0"/>
    <w:pPr>
      <w:spacing w:line="360" w:lineRule="auto"/>
      <w:ind w:firstLine="480"/>
    </w:pPr>
    <w:rPr>
      <w:rFonts w:ascii="Times New Roman" w:hAnsi="Times New Roman"/>
      <w:sz w:val="24"/>
    </w:rPr>
  </w:style>
  <w:style w:type="paragraph" w:customStyle="1" w:styleId="50">
    <w:name w:val="标准正文样式"/>
    <w:basedOn w:val="1"/>
    <w:qFormat/>
    <w:uiPriority w:val="0"/>
    <w:pPr>
      <w:spacing w:line="360" w:lineRule="auto"/>
      <w:ind w:firstLine="200" w:firstLineChars="200"/>
    </w:pPr>
    <w:rPr>
      <w:rFonts w:ascii="Times New Roman" w:hAnsi="Times New Roman" w:eastAsia="宋体" w:cs="Times New Roman"/>
      <w:sz w:val="24"/>
      <w:szCs w:val="20"/>
    </w:rPr>
  </w:style>
  <w:style w:type="character" w:customStyle="1" w:styleId="51">
    <w:name w:val="样式 宋体 四号"/>
    <w:qFormat/>
    <w:uiPriority w:val="0"/>
    <w:rPr>
      <w:rFonts w:ascii="宋体" w:hAnsi="宋体" w:eastAsia="仿宋_GB2312"/>
      <w:sz w:val="28"/>
    </w:rPr>
  </w:style>
  <w:style w:type="paragraph" w:customStyle="1" w:styleId="52">
    <w:name w:val="Instruction - Caution"/>
    <w:basedOn w:val="2"/>
    <w:qFormat/>
    <w:uiPriority w:val="0"/>
    <w:pPr>
      <w:widowControl/>
      <w:spacing w:before="60" w:after="60" w:line="200" w:lineRule="atLeast"/>
      <w:jc w:val="left"/>
    </w:pPr>
    <w:rPr>
      <w:rFonts w:ascii="Arial" w:hAnsi="Arial"/>
      <w:color w:val="000000"/>
      <w:kern w:val="0"/>
      <w:sz w:val="16"/>
      <w:szCs w:val="20"/>
      <w:lang w:eastAsia="en-US"/>
    </w:rPr>
  </w:style>
  <w:style w:type="paragraph" w:customStyle="1" w:styleId="53">
    <w:name w:val="K&amp;W heading 1"/>
    <w:basedOn w:val="1"/>
    <w:next w:val="54"/>
    <w:qFormat/>
    <w:uiPriority w:val="0"/>
    <w:pPr>
      <w:numPr>
        <w:ilvl w:val="0"/>
        <w:numId w:val="2"/>
      </w:numPr>
      <w:spacing w:after="360" w:line="320" w:lineRule="exact"/>
      <w:outlineLvl w:val="0"/>
    </w:pPr>
    <w:rPr>
      <w:rFonts w:ascii="Arial" w:hAnsi="Arial" w:eastAsia="楷体_GB2312"/>
      <w:b/>
      <w:kern w:val="0"/>
      <w:sz w:val="28"/>
      <w:szCs w:val="20"/>
      <w:lang w:eastAsia="en-US"/>
    </w:rPr>
  </w:style>
  <w:style w:type="paragraph" w:customStyle="1" w:styleId="54">
    <w:name w:val="K&amp;W heading 2"/>
    <w:basedOn w:val="1"/>
    <w:qFormat/>
    <w:uiPriority w:val="0"/>
    <w:pPr>
      <w:numPr>
        <w:ilvl w:val="1"/>
        <w:numId w:val="2"/>
      </w:numPr>
      <w:spacing w:after="360" w:line="320" w:lineRule="exact"/>
      <w:outlineLvl w:val="1"/>
    </w:pPr>
    <w:rPr>
      <w:rFonts w:ascii="Arial" w:hAnsi="Arial" w:eastAsia="楷体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53</Pages>
  <Words>25465</Words>
  <Characters>26744</Characters>
  <Lines>148</Lines>
  <Paragraphs>41</Paragraphs>
  <TotalTime>22</TotalTime>
  <ScaleCrop>false</ScaleCrop>
  <LinksUpToDate>false</LinksUpToDate>
  <CharactersWithSpaces>28089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2015-12-11T19:12:00Z</dcterms:created>
  <dc:creator>Administrator</dc:creator>
  <cp:lastModifiedBy>嘿</cp:lastModifiedBy>
  <cp:lastPrinted>2019-05-28T03:11:00Z</cp:lastPrinted>
  <dcterms:modified xsi:type="dcterms:W3CDTF">2023-10-26T09:59:56Z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49B28914ACD743C7A318EE4383CCA181_13</vt:lpwstr>
  </property>
</Properties>
</file>