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jc w:val="center"/>
        <w:textAlignment w:val="auto"/>
        <w:outlineLvl w:val="9"/>
        <w:rPr>
          <w:rFonts w:hint="eastAsia" w:ascii="仿宋" w:hAnsi="仿宋" w:eastAsia="仿宋" w:cs="仿宋"/>
          <w:b/>
          <w:bCs/>
          <w:color w:val="auto"/>
          <w:sz w:val="44"/>
          <w:szCs w:val="44"/>
          <w:highlight w:val="none"/>
          <w:lang w:eastAsia="zh-CN"/>
        </w:rPr>
      </w:pPr>
      <w:bookmarkStart w:id="0" w:name="_Toc23114"/>
      <w:r>
        <w:rPr>
          <w:rFonts w:hint="eastAsia" w:ascii="仿宋" w:hAnsi="仿宋" w:eastAsia="仿宋" w:cs="仿宋"/>
          <w:b/>
          <w:bCs/>
          <w:color w:val="auto"/>
          <w:sz w:val="44"/>
          <w:szCs w:val="44"/>
          <w:highlight w:val="none"/>
          <w:lang w:eastAsia="zh-CN"/>
        </w:rPr>
        <w:t>警用直升机外吊挂装置加改装项目</w:t>
      </w:r>
      <w:bookmarkEnd w:id="0"/>
    </w:p>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jc w:val="center"/>
        <w:textAlignment w:val="auto"/>
        <w:outlineLvl w:val="9"/>
        <w:rPr>
          <w:rFonts w:hint="eastAsia" w:ascii="仿宋" w:hAnsi="仿宋" w:eastAsia="仿宋" w:cs="仿宋"/>
          <w:b/>
          <w:bCs/>
          <w:color w:val="auto"/>
          <w:sz w:val="28"/>
          <w:szCs w:val="28"/>
          <w:highlight w:val="none"/>
          <w:lang w:val="en-US" w:eastAsia="zh-CN"/>
        </w:rPr>
      </w:pPr>
      <w:bookmarkStart w:id="1" w:name="_Toc31351"/>
      <w:r>
        <w:rPr>
          <w:rFonts w:hint="eastAsia" w:ascii="仿宋" w:hAnsi="仿宋" w:eastAsia="仿宋" w:cs="仿宋"/>
          <w:b/>
          <w:bCs/>
          <w:color w:val="auto"/>
          <w:sz w:val="28"/>
          <w:szCs w:val="28"/>
          <w:highlight w:val="none"/>
          <w:lang w:eastAsia="zh-CN"/>
        </w:rPr>
        <w:t>项目编号：SSQYZB-CG2023(AN)</w:t>
      </w:r>
      <w:r>
        <w:rPr>
          <w:rFonts w:hint="eastAsia" w:ascii="仿宋" w:hAnsi="仿宋" w:eastAsia="仿宋" w:cs="仿宋"/>
          <w:b/>
          <w:bCs/>
          <w:color w:val="auto"/>
          <w:sz w:val="28"/>
          <w:szCs w:val="28"/>
          <w:highlight w:val="none"/>
          <w:lang w:val="en-US" w:eastAsia="zh-CN"/>
        </w:rPr>
        <w:t>345</w:t>
      </w:r>
      <w:bookmarkEnd w:id="1"/>
    </w:p>
    <w:p>
      <w:pPr>
        <w:overflowPunct/>
        <w:bidi w:val="0"/>
        <w:spacing w:before="0" w:after="0"/>
        <w:ind w:left="0" w:leftChars="0" w:right="0" w:rightChars="0"/>
        <w:outlineLvl w:val="9"/>
        <w:rPr>
          <w:rFonts w:hint="eastAsia" w:ascii="仿宋" w:hAnsi="仿宋" w:eastAsia="仿宋" w:cs="仿宋"/>
          <w:color w:val="auto"/>
          <w:sz w:val="24"/>
          <w:szCs w:val="24"/>
          <w:highlight w:val="none"/>
          <w:lang w:val="en-US"/>
        </w:rPr>
      </w:pPr>
    </w:p>
    <w:p>
      <w:pPr>
        <w:overflowPunct/>
        <w:bidi w:val="0"/>
        <w:spacing w:before="0" w:after="0"/>
        <w:ind w:left="0" w:leftChars="0" w:right="0" w:rightChars="0"/>
        <w:rPr>
          <w:rFonts w:hint="eastAsia" w:ascii="仿宋" w:hAnsi="仿宋" w:eastAsia="仿宋" w:cs="仿宋"/>
          <w:color w:val="auto"/>
          <w:sz w:val="24"/>
          <w:szCs w:val="24"/>
          <w:highlight w:val="none"/>
          <w:lang w:val="en-US"/>
        </w:rPr>
      </w:pPr>
    </w:p>
    <w:p>
      <w:pPr>
        <w:overflowPunct/>
        <w:bidi w:val="0"/>
        <w:spacing w:before="0" w:after="0"/>
        <w:ind w:left="0" w:leftChars="0" w:right="0" w:rightChars="0"/>
        <w:outlineLvl w:val="9"/>
        <w:rPr>
          <w:rFonts w:hint="eastAsia" w:ascii="仿宋" w:hAnsi="仿宋" w:eastAsia="仿宋" w:cs="仿宋"/>
          <w:color w:val="auto"/>
          <w:sz w:val="24"/>
          <w:szCs w:val="24"/>
          <w:highlight w:val="none"/>
          <w:lang w:val="en-US"/>
        </w:rPr>
      </w:pPr>
    </w:p>
    <w:p>
      <w:pPr>
        <w:overflowPunct/>
        <w:bidi w:val="0"/>
        <w:spacing w:before="0" w:after="0"/>
        <w:ind w:left="0" w:leftChars="0" w:right="0" w:rightChars="0"/>
        <w:rPr>
          <w:rFonts w:hint="eastAsia" w:ascii="仿宋" w:hAnsi="仿宋" w:eastAsia="仿宋" w:cs="仿宋"/>
          <w:color w:val="auto"/>
          <w:sz w:val="24"/>
          <w:szCs w:val="24"/>
          <w:highlight w:val="none"/>
          <w:lang w:val="en-US"/>
        </w:rPr>
      </w:pPr>
    </w:p>
    <w:p>
      <w:pPr>
        <w:pStyle w:val="30"/>
        <w:numPr>
          <w:ilvl w:val="0"/>
          <w:numId w:val="0"/>
        </w:numPr>
        <w:tabs>
          <w:tab w:val="left" w:pos="780"/>
        </w:tabs>
        <w:overflowPunct/>
        <w:bidi w:val="0"/>
        <w:spacing w:before="0" w:after="0"/>
        <w:ind w:left="0" w:leftChars="0" w:right="0" w:rightChars="0"/>
        <w:rPr>
          <w:rFonts w:hint="eastAsia" w:ascii="仿宋" w:hAnsi="仿宋" w:eastAsia="仿宋" w:cs="仿宋"/>
          <w:color w:val="auto"/>
          <w:highlight w:val="none"/>
          <w:lang w:val="en-US"/>
        </w:rPr>
      </w:pPr>
    </w:p>
    <w:p>
      <w:pPr>
        <w:pStyle w:val="41"/>
        <w:overflowPunct/>
        <w:bidi w:val="0"/>
        <w:ind w:left="0" w:leftChars="0" w:right="0" w:rightChars="0"/>
        <w:rPr>
          <w:rFonts w:hint="eastAsia" w:ascii="仿宋" w:hAnsi="仿宋" w:eastAsia="仿宋" w:cs="仿宋"/>
          <w:color w:val="auto"/>
          <w:sz w:val="24"/>
          <w:szCs w:val="24"/>
          <w:highlight w:val="none"/>
        </w:rPr>
      </w:pPr>
    </w:p>
    <w:p>
      <w:pPr>
        <w:overflowPunct/>
        <w:bidi w:val="0"/>
        <w:spacing w:before="0" w:after="0"/>
        <w:ind w:left="0" w:leftChars="0" w:right="0" w:rightChars="0"/>
        <w:jc w:val="center"/>
        <w:outlineLvl w:val="9"/>
        <w:rPr>
          <w:rFonts w:hint="eastAsia" w:ascii="仿宋" w:hAnsi="仿宋" w:eastAsia="仿宋" w:cs="仿宋"/>
          <w:b/>
          <w:bCs/>
          <w:color w:val="auto"/>
          <w:sz w:val="72"/>
          <w:szCs w:val="72"/>
          <w:highlight w:val="none"/>
        </w:rPr>
      </w:pPr>
      <w:bookmarkStart w:id="2" w:name="_Toc10874"/>
      <w:bookmarkStart w:id="3" w:name="_Toc10918"/>
      <w:bookmarkStart w:id="4" w:name="_Toc7131"/>
      <w:bookmarkStart w:id="5" w:name="_Toc13408"/>
      <w:r>
        <w:rPr>
          <w:rFonts w:hint="eastAsia" w:ascii="仿宋" w:hAnsi="仿宋" w:eastAsia="仿宋" w:cs="仿宋"/>
          <w:b/>
          <w:bCs/>
          <w:color w:val="auto"/>
          <w:sz w:val="72"/>
          <w:szCs w:val="72"/>
          <w:highlight w:val="none"/>
        </w:rPr>
        <w:t>政府采购</w:t>
      </w:r>
      <w:bookmarkEnd w:id="2"/>
      <w:bookmarkEnd w:id="3"/>
      <w:bookmarkEnd w:id="4"/>
      <w:r>
        <w:rPr>
          <w:rFonts w:hint="eastAsia" w:ascii="仿宋" w:hAnsi="仿宋" w:eastAsia="仿宋" w:cs="仿宋"/>
          <w:b/>
          <w:bCs/>
          <w:color w:val="auto"/>
          <w:sz w:val="72"/>
          <w:szCs w:val="72"/>
          <w:highlight w:val="none"/>
          <w:lang w:val="en-US" w:eastAsia="zh-CN"/>
        </w:rPr>
        <w:t>项目</w:t>
      </w:r>
      <w:bookmarkEnd w:id="5"/>
    </w:p>
    <w:p>
      <w:pPr>
        <w:overflowPunct/>
        <w:bidi w:val="0"/>
        <w:spacing w:before="0" w:after="0"/>
        <w:ind w:left="0" w:leftChars="0" w:right="0" w:rightChars="0"/>
        <w:jc w:val="center"/>
        <w:outlineLvl w:val="9"/>
        <w:rPr>
          <w:rFonts w:hint="eastAsia" w:ascii="仿宋" w:hAnsi="仿宋" w:eastAsia="仿宋" w:cs="仿宋"/>
          <w:b/>
          <w:bCs/>
          <w:color w:val="auto"/>
          <w:sz w:val="72"/>
          <w:szCs w:val="72"/>
          <w:highlight w:val="none"/>
          <w:lang w:val="en-US" w:eastAsia="zh-CN"/>
        </w:rPr>
      </w:pPr>
      <w:bookmarkStart w:id="6" w:name="_Toc7812"/>
      <w:r>
        <w:rPr>
          <w:rFonts w:hint="eastAsia" w:ascii="仿宋" w:hAnsi="仿宋" w:eastAsia="仿宋" w:cs="仿宋"/>
          <w:b/>
          <w:bCs/>
          <w:color w:val="auto"/>
          <w:sz w:val="72"/>
          <w:szCs w:val="72"/>
          <w:highlight w:val="none"/>
          <w:lang w:val="en-US" w:eastAsia="zh-CN"/>
        </w:rPr>
        <w:t>竞争性谈判文件</w:t>
      </w:r>
      <w:bookmarkEnd w:id="6"/>
    </w:p>
    <w:p>
      <w:pPr>
        <w:pStyle w:val="41"/>
        <w:overflowPunct/>
        <w:bidi w:val="0"/>
        <w:ind w:left="0" w:leftChars="0" w:right="0" w:rightChars="0"/>
        <w:rPr>
          <w:rFonts w:hint="eastAsia" w:ascii="仿宋" w:hAnsi="仿宋" w:eastAsia="仿宋" w:cs="仿宋"/>
          <w:color w:val="auto"/>
          <w:sz w:val="24"/>
          <w:szCs w:val="24"/>
          <w:highlight w:val="none"/>
        </w:rPr>
      </w:pPr>
    </w:p>
    <w:p>
      <w:pPr>
        <w:pStyle w:val="41"/>
        <w:overflowPunct/>
        <w:bidi w:val="0"/>
        <w:ind w:left="0" w:leftChars="0" w:right="0" w:rightChars="0"/>
        <w:rPr>
          <w:rFonts w:hint="eastAsia" w:ascii="仿宋" w:hAnsi="仿宋" w:eastAsia="仿宋" w:cs="仿宋"/>
          <w:color w:val="auto"/>
          <w:sz w:val="24"/>
          <w:szCs w:val="24"/>
          <w:highlight w:val="none"/>
        </w:rPr>
      </w:pPr>
    </w:p>
    <w:p>
      <w:pPr>
        <w:pStyle w:val="41"/>
        <w:overflowPunct/>
        <w:bidi w:val="0"/>
        <w:ind w:left="0" w:leftChars="0" w:right="0" w:rightChars="0"/>
        <w:rPr>
          <w:rFonts w:hint="eastAsia" w:ascii="仿宋" w:hAnsi="仿宋" w:eastAsia="仿宋" w:cs="仿宋"/>
          <w:color w:val="auto"/>
          <w:sz w:val="24"/>
          <w:szCs w:val="24"/>
          <w:highlight w:val="none"/>
        </w:rPr>
      </w:pPr>
    </w:p>
    <w:p>
      <w:pPr>
        <w:pStyle w:val="41"/>
        <w:overflowPunct/>
        <w:bidi w:val="0"/>
        <w:ind w:left="0" w:leftChars="0" w:right="0" w:rightChars="0"/>
        <w:rPr>
          <w:rFonts w:hint="eastAsia" w:ascii="仿宋" w:hAnsi="仿宋" w:eastAsia="仿宋" w:cs="仿宋"/>
          <w:color w:val="auto"/>
          <w:sz w:val="24"/>
          <w:szCs w:val="24"/>
          <w:highlight w:val="none"/>
        </w:rPr>
      </w:pPr>
    </w:p>
    <w:p>
      <w:pPr>
        <w:pStyle w:val="41"/>
        <w:overflowPunct/>
        <w:bidi w:val="0"/>
        <w:ind w:left="0" w:leftChars="0" w:right="0" w:rightChars="0"/>
        <w:rPr>
          <w:rFonts w:hint="eastAsia" w:ascii="仿宋" w:hAnsi="仿宋" w:eastAsia="仿宋" w:cs="仿宋"/>
          <w:color w:val="auto"/>
          <w:sz w:val="24"/>
          <w:szCs w:val="24"/>
          <w:highlight w:val="none"/>
        </w:rPr>
      </w:pPr>
    </w:p>
    <w:p>
      <w:pPr>
        <w:pStyle w:val="41"/>
        <w:overflowPunct/>
        <w:bidi w:val="0"/>
        <w:ind w:left="0" w:leftChars="0" w:right="0" w:rightChars="0"/>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采购人：新疆维吾尔自治区公安厅</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联系人：慕警官</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联系电话：0991-5586575</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采购代理</w:t>
      </w:r>
      <w:r>
        <w:rPr>
          <w:rFonts w:hint="eastAsia" w:ascii="仿宋" w:hAnsi="仿宋" w:eastAsia="仿宋" w:cs="仿宋"/>
          <w:color w:val="auto"/>
          <w:sz w:val="28"/>
          <w:szCs w:val="28"/>
          <w:highlight w:val="none"/>
        </w:rPr>
        <w:t>机构：</w:t>
      </w:r>
      <w:r>
        <w:rPr>
          <w:rFonts w:hint="eastAsia" w:ascii="仿宋" w:hAnsi="仿宋" w:eastAsia="仿宋" w:cs="仿宋"/>
          <w:color w:val="auto"/>
          <w:sz w:val="28"/>
          <w:szCs w:val="28"/>
          <w:highlight w:val="none"/>
          <w:lang w:val="en-US" w:eastAsia="zh-CN"/>
        </w:rPr>
        <w:t>新疆盛世乾元工程项目管理咨询有限公司</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杨波</w:t>
      </w:r>
      <w:r>
        <w:rPr>
          <w:rFonts w:hint="eastAsia" w:ascii="仿宋" w:hAnsi="仿宋" w:eastAsia="仿宋" w:cs="仿宋"/>
          <w:color w:val="auto"/>
          <w:sz w:val="28"/>
          <w:szCs w:val="28"/>
          <w:highlight w:val="none"/>
          <w:lang w:val="en-US" w:eastAsia="zh-CN"/>
        </w:rPr>
        <w:t xml:space="preserve"> 王建刚</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联系电话:13999913943 17797940901</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700" w:lineRule="exact"/>
        <w:ind w:left="0" w:leftChars="0" w:right="0" w:rightChars="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编制日期：二〇二三年十月</w:t>
      </w:r>
    </w:p>
    <w:p>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pPr>
        <w:tabs>
          <w:tab w:val="left" w:pos="5196"/>
        </w:tabs>
        <w:jc w:val="center"/>
        <w:rPr>
          <w:rFonts w:hint="eastAsia" w:ascii="仿宋" w:hAnsi="仿宋" w:eastAsia="仿宋" w:cs="仿宋"/>
          <w:b/>
          <w:bCs/>
          <w:color w:val="auto"/>
          <w:highlight w:val="none"/>
        </w:rPr>
      </w:pPr>
      <w:r>
        <w:rPr>
          <w:rFonts w:hint="eastAsia" w:ascii="仿宋" w:hAnsi="仿宋" w:eastAsia="仿宋" w:cs="仿宋"/>
          <w:b/>
          <w:bCs/>
          <w:color w:val="auto"/>
          <w:sz w:val="32"/>
          <w:szCs w:val="32"/>
          <w:highlight w:val="none"/>
          <w:lang w:val="en-US" w:eastAsia="zh-CN"/>
        </w:rPr>
        <w:t>目录</w:t>
      </w:r>
    </w:p>
    <w:sdt>
      <w:sdtPr>
        <w:rPr>
          <w:rFonts w:hint="eastAsia" w:ascii="仿宋" w:hAnsi="仿宋" w:eastAsia="仿宋" w:cs="仿宋"/>
          <w:color w:val="auto"/>
          <w:kern w:val="2"/>
          <w:sz w:val="21"/>
          <w:szCs w:val="24"/>
          <w:lang w:val="en-US" w:eastAsia="zh-CN" w:bidi="ar-SA"/>
        </w:rPr>
        <w:id w:val="147461931"/>
        <w15:color w:val="DBDBDB"/>
        <w:docPartObj>
          <w:docPartGallery w:val="Table of Contents"/>
          <w:docPartUnique/>
        </w:docPartObj>
      </w:sdtPr>
      <w:sdtEndPr>
        <w:rPr>
          <w:rFonts w:hint="eastAsia" w:ascii="仿宋" w:hAnsi="仿宋" w:eastAsia="仿宋" w:cs="仿宋"/>
          <w:b/>
          <w:color w:val="auto"/>
          <w:kern w:val="44"/>
          <w:sz w:val="36"/>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rPr>
          </w:pPr>
          <w:bookmarkStart w:id="7" w:name="_Toc8277"/>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"1-3" \h \u </w:instrText>
          </w:r>
          <w:r>
            <w:rPr>
              <w:rFonts w:hint="eastAsia" w:ascii="仿宋" w:hAnsi="仿宋" w:eastAsia="仿宋" w:cs="仿宋"/>
              <w:color w:val="auto"/>
              <w:sz w:val="32"/>
              <w:szCs w:val="32"/>
              <w:highlight w:val="none"/>
            </w:rPr>
            <w:fldChar w:fldCharType="separate"/>
          </w:r>
        </w:p>
        <w:p>
          <w:pPr>
            <w:pStyle w:val="38"/>
            <w:tabs>
              <w:tab w:val="right" w:leader="dot" w:pos="9072"/>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_Toc28153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第一章竞争性谈判</w:t>
          </w:r>
          <w:r>
            <w:rPr>
              <w:rFonts w:hint="eastAsia" w:ascii="仿宋" w:hAnsi="仿宋" w:eastAsia="仿宋" w:cs="仿宋"/>
              <w:b/>
              <w:bCs/>
              <w:color w:val="auto"/>
              <w:sz w:val="24"/>
              <w:szCs w:val="48"/>
              <w:highlight w:val="none"/>
            </w:rPr>
            <w:t>公告</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_Toc28153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1</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_Toc25087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eastAsia="zh-CN"/>
            </w:rPr>
            <w:t>一、</w:t>
          </w:r>
          <w:r>
            <w:rPr>
              <w:rFonts w:hint="eastAsia" w:ascii="仿宋" w:hAnsi="仿宋" w:eastAsia="仿宋" w:cs="仿宋"/>
              <w:bCs/>
              <w:color w:val="auto"/>
              <w:sz w:val="24"/>
              <w:szCs w:val="36"/>
              <w:highlight w:val="none"/>
            </w:rPr>
            <w:t>项目基本情况</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_Toc25087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_Toc11393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eastAsia="zh-CN"/>
            </w:rPr>
            <w:t>二、</w:t>
          </w:r>
          <w:r>
            <w:rPr>
              <w:rFonts w:hint="eastAsia" w:ascii="仿宋" w:hAnsi="仿宋" w:eastAsia="仿宋" w:cs="仿宋"/>
              <w:bCs/>
              <w:color w:val="auto"/>
              <w:sz w:val="24"/>
              <w:szCs w:val="36"/>
              <w:highlight w:val="none"/>
            </w:rPr>
            <w:t>申请人的资格要求：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_Toc11393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_Toc736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val="en-US" w:eastAsia="zh-CN"/>
            </w:rPr>
            <w:t>三、获取采购文件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_Toc736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_Toc30078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val="en-US" w:eastAsia="zh-CN"/>
            </w:rPr>
            <w:t>四、响应文件提交</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_Toc30078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_Toc7640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val="en-US" w:eastAsia="zh-CN"/>
            </w:rPr>
            <w:t>五、响应文件开启</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_Toc7640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_Toc4005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val="en-US" w:eastAsia="zh-CN"/>
            </w:rPr>
            <w:t>六、公告期限</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_Toc4005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_Toc20322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val="en-US" w:eastAsia="zh-CN"/>
            </w:rPr>
            <w:t>七、其他补充事宜</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_Toc20322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_Toc4017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36"/>
              <w:highlight w:val="none"/>
              <w:lang w:eastAsia="zh-CN"/>
            </w:rPr>
            <w:t>八、</w:t>
          </w:r>
          <w:r>
            <w:rPr>
              <w:rFonts w:hint="eastAsia" w:ascii="仿宋" w:hAnsi="仿宋" w:eastAsia="仿宋" w:cs="仿宋"/>
              <w:bCs/>
              <w:color w:val="auto"/>
              <w:sz w:val="24"/>
              <w:szCs w:val="36"/>
              <w:highlight w:val="none"/>
            </w:rPr>
            <w:t>对本次采购提出询问，请按以下方式联系</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_Toc4017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8"/>
            <w:tabs>
              <w:tab w:val="right" w:leader="dot" w:pos="9072"/>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_Toc7778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第二章供应商须知</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_Toc7778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5</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_Toc29174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pacing w:val="0"/>
              <w:w w:val="100"/>
              <w:position w:val="0"/>
              <w:sz w:val="24"/>
              <w:szCs w:val="40"/>
              <w:highlight w:val="none"/>
              <w:lang w:val="en-US" w:eastAsia="zh-CN"/>
            </w:rPr>
            <w:t>供应商</w:t>
          </w:r>
          <w:r>
            <w:rPr>
              <w:rFonts w:hint="eastAsia" w:ascii="仿宋" w:hAnsi="仿宋" w:eastAsia="仿宋" w:cs="仿宋"/>
              <w:bCs/>
              <w:color w:val="auto"/>
              <w:spacing w:val="0"/>
              <w:w w:val="100"/>
              <w:position w:val="0"/>
              <w:sz w:val="24"/>
              <w:szCs w:val="40"/>
              <w:highlight w:val="none"/>
            </w:rPr>
            <w:t>须知前附表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_Toc29174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_Toc14889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rPr>
            <w:t>一、</w:t>
          </w:r>
          <w:r>
            <w:rPr>
              <w:rFonts w:hint="eastAsia" w:ascii="仿宋" w:hAnsi="仿宋" w:eastAsia="仿宋" w:cs="仿宋"/>
              <w:bCs/>
              <w:color w:val="auto"/>
              <w:sz w:val="24"/>
              <w:szCs w:val="40"/>
              <w:highlight w:val="none"/>
            </w:rPr>
            <w:t>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_Toc14889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_Toc7161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二、</w:t>
          </w:r>
          <w:r>
            <w:rPr>
              <w:rFonts w:hint="eastAsia" w:ascii="仿宋" w:hAnsi="仿宋" w:eastAsia="仿宋" w:cs="仿宋"/>
              <w:bCs/>
              <w:color w:val="auto"/>
              <w:sz w:val="24"/>
              <w:szCs w:val="40"/>
              <w:highlight w:val="none"/>
              <w:lang w:val="en-US" w:eastAsia="zh-CN"/>
            </w:rPr>
            <w:t>采购文件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_Toc7161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_Toc6303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三、</w:t>
          </w:r>
          <w:r>
            <w:rPr>
              <w:rFonts w:hint="eastAsia" w:ascii="仿宋" w:hAnsi="仿宋" w:eastAsia="仿宋" w:cs="仿宋"/>
              <w:bCs/>
              <w:color w:val="auto"/>
              <w:sz w:val="24"/>
              <w:szCs w:val="40"/>
              <w:highlight w:val="none"/>
              <w:lang w:val="en-US" w:eastAsia="zh-CN"/>
            </w:rPr>
            <w:t>响应文件的编制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_Toc6303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_Toc27621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四、</w:t>
          </w:r>
          <w:r>
            <w:rPr>
              <w:rFonts w:hint="eastAsia" w:ascii="仿宋" w:hAnsi="仿宋" w:eastAsia="仿宋" w:cs="仿宋"/>
              <w:bCs/>
              <w:color w:val="auto"/>
              <w:sz w:val="24"/>
              <w:szCs w:val="40"/>
              <w:highlight w:val="none"/>
              <w:lang w:val="en-US" w:eastAsia="zh-CN"/>
            </w:rPr>
            <w:t>响应文件的提交</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_Toc27621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_Toc19303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五、</w:t>
          </w:r>
          <w:r>
            <w:rPr>
              <w:rFonts w:hint="eastAsia" w:ascii="仿宋" w:hAnsi="仿宋" w:eastAsia="仿宋" w:cs="仿宋"/>
              <w:bCs/>
              <w:color w:val="auto"/>
              <w:sz w:val="24"/>
              <w:szCs w:val="40"/>
              <w:highlight w:val="none"/>
              <w:lang w:val="en-US" w:eastAsia="zh-CN"/>
            </w:rPr>
            <w:t>开标及评标</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_Toc19303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_Toc72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六、</w:t>
          </w:r>
          <w:r>
            <w:rPr>
              <w:rFonts w:hint="eastAsia" w:ascii="仿宋" w:hAnsi="仿宋" w:eastAsia="仿宋" w:cs="仿宋"/>
              <w:bCs/>
              <w:color w:val="auto"/>
              <w:sz w:val="24"/>
              <w:szCs w:val="40"/>
              <w:highlight w:val="none"/>
              <w:lang w:val="en-US" w:eastAsia="zh-CN"/>
            </w:rPr>
            <w:t>确定成交</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8"/>
            <w:tabs>
              <w:tab w:val="right" w:leader="dot" w:pos="9072"/>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_Toc9661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第三章政府采购合同</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_Toc9661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28</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8"/>
            <w:tabs>
              <w:tab w:val="right" w:leader="dot" w:pos="9072"/>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_Toc9587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第四章采购需求</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_Toc9587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39</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8"/>
            <w:tabs>
              <w:tab w:val="right" w:leader="dot" w:pos="9072"/>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_Toc1796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第五章评审方法和评审标准</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_Toc1796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43</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8"/>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44"/>
              <w:highlight w:val="none"/>
            </w:rPr>
            <w:fldChar w:fldCharType="begin"/>
          </w:r>
          <w:r>
            <w:rPr>
              <w:rFonts w:hint="eastAsia" w:ascii="仿宋" w:hAnsi="仿宋" w:eastAsia="仿宋" w:cs="仿宋"/>
              <w:b/>
              <w:bCs/>
              <w:color w:val="auto"/>
              <w:sz w:val="24"/>
              <w:szCs w:val="44"/>
              <w:highlight w:val="none"/>
            </w:rPr>
            <w:instrText xml:space="preserve"> HYPERLINK \l _Toc8350 </w:instrText>
          </w:r>
          <w:r>
            <w:rPr>
              <w:rFonts w:hint="eastAsia" w:ascii="仿宋" w:hAnsi="仿宋" w:eastAsia="仿宋" w:cs="仿宋"/>
              <w:b/>
              <w:bCs/>
              <w:color w:val="auto"/>
              <w:sz w:val="24"/>
              <w:szCs w:val="44"/>
              <w:highlight w:val="none"/>
            </w:rPr>
            <w:fldChar w:fldCharType="separate"/>
          </w:r>
          <w:r>
            <w:rPr>
              <w:rFonts w:hint="eastAsia" w:ascii="仿宋" w:hAnsi="仿宋" w:eastAsia="仿宋" w:cs="仿宋"/>
              <w:b/>
              <w:bCs/>
              <w:color w:val="auto"/>
              <w:sz w:val="24"/>
              <w:szCs w:val="48"/>
              <w:highlight w:val="none"/>
              <w:lang w:val="en-US" w:eastAsia="zh-CN"/>
            </w:rPr>
            <w:t>第六章响应文件格式</w:t>
          </w:r>
          <w:r>
            <w:rPr>
              <w:rFonts w:hint="eastAsia" w:ascii="仿宋" w:hAnsi="仿宋" w:eastAsia="仿宋" w:cs="仿宋"/>
              <w:b/>
              <w:bCs/>
              <w:color w:val="auto"/>
              <w:sz w:val="24"/>
              <w:szCs w:val="24"/>
            </w:rPr>
            <w:tab/>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PAGEREF _Toc8350 \h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50</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_Toc21567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1</w:t>
          </w:r>
          <w:r>
            <w:rPr>
              <w:rFonts w:hint="eastAsia" w:ascii="仿宋" w:hAnsi="仿宋" w:eastAsia="仿宋" w:cs="仿宋"/>
              <w:color w:val="auto"/>
              <w:sz w:val="24"/>
              <w:szCs w:val="24"/>
            </w:rPr>
            <w:t>响应函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_Toc21567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_Toc21654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2报价一览表及报价明细表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_Toc21654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_Toc3198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2.1报价一览表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_Toc3198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_Toc26479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sz w:val="24"/>
              <w:szCs w:val="40"/>
              <w:lang w:val="en-US" w:eastAsia="zh-CN"/>
            </w:rPr>
            <w:t>2.2报价明细表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_Toc26479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_Toc13197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3法定代表人身份证明及授权委托书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_Toc13197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_Toc29599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4资格证明文件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_Toc29599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_Toc26232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0"/>
              <w:highlight w:val="none"/>
              <w:lang w:val="en-US" w:eastAsia="zh-CN" w:bidi="ar"/>
            </w:rPr>
            <w:t>附件1-1具有独立承担民事责任的能力</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_Toc26232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_Toc29888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24"/>
              <w:highlight w:val="none"/>
              <w:lang w:bidi="ar"/>
            </w:rPr>
            <w:t>附件</w:t>
          </w:r>
          <w:r>
            <w:rPr>
              <w:rFonts w:hint="eastAsia" w:ascii="仿宋" w:hAnsi="仿宋" w:eastAsia="仿宋" w:cs="仿宋"/>
              <w:bCs/>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bidi="ar"/>
            </w:rPr>
            <w:t>-</w:t>
          </w:r>
          <w:r>
            <w:rPr>
              <w:rFonts w:hint="eastAsia" w:ascii="仿宋" w:hAnsi="仿宋" w:eastAsia="仿宋" w:cs="仿宋"/>
              <w:bCs/>
              <w:color w:val="auto"/>
              <w:kern w:val="0"/>
              <w:sz w:val="24"/>
              <w:szCs w:val="24"/>
              <w:highlight w:val="none"/>
              <w:lang w:val="en-US" w:eastAsia="zh-CN" w:bidi="ar"/>
            </w:rPr>
            <w:t>2具有良好的商业信誉和健全的财务会计制度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_Toc29888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_Toc19233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24"/>
              <w:highlight w:val="none"/>
              <w:lang w:bidi="ar"/>
            </w:rPr>
            <w:t>附件</w:t>
          </w:r>
          <w:r>
            <w:rPr>
              <w:rFonts w:hint="eastAsia" w:ascii="仿宋" w:hAnsi="仿宋" w:eastAsia="仿宋" w:cs="仿宋"/>
              <w:bCs/>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bidi="ar"/>
            </w:rPr>
            <w:t>-</w:t>
          </w:r>
          <w:r>
            <w:rPr>
              <w:rFonts w:hint="eastAsia" w:ascii="仿宋" w:hAnsi="仿宋" w:eastAsia="仿宋" w:cs="仿宋"/>
              <w:bCs/>
              <w:color w:val="auto"/>
              <w:kern w:val="0"/>
              <w:sz w:val="24"/>
              <w:szCs w:val="24"/>
              <w:highlight w:val="none"/>
              <w:lang w:val="en-US" w:eastAsia="zh-CN" w:bidi="ar"/>
            </w:rPr>
            <w:t>3具有履行合同所必需的设备和专业技术能力</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_Toc19233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60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_Toc11355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24"/>
              <w:highlight w:val="none"/>
              <w:lang w:bidi="ar"/>
            </w:rPr>
            <w:t>附件</w:t>
          </w:r>
          <w:r>
            <w:rPr>
              <w:rFonts w:hint="eastAsia" w:ascii="仿宋" w:hAnsi="仿宋" w:eastAsia="仿宋" w:cs="仿宋"/>
              <w:bCs/>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bidi="ar"/>
            </w:rPr>
            <w:t>-</w:t>
          </w:r>
          <w:r>
            <w:rPr>
              <w:rFonts w:hint="eastAsia" w:ascii="仿宋" w:hAnsi="仿宋" w:eastAsia="仿宋" w:cs="仿宋"/>
              <w:bCs/>
              <w:color w:val="auto"/>
              <w:kern w:val="0"/>
              <w:sz w:val="24"/>
              <w:szCs w:val="24"/>
              <w:highlight w:val="none"/>
              <w:lang w:val="en-US" w:eastAsia="zh-CN" w:bidi="ar"/>
            </w:rPr>
            <w:t>4有依法缴纳税收和社会保障资金的良好纪录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_Toc11355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61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_Toc13083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24"/>
              <w:highlight w:val="none"/>
              <w:lang w:bidi="ar"/>
            </w:rPr>
            <w:t>附件</w:t>
          </w:r>
          <w:r>
            <w:rPr>
              <w:rFonts w:hint="eastAsia" w:ascii="仿宋" w:hAnsi="仿宋" w:eastAsia="仿宋" w:cs="仿宋"/>
              <w:bCs/>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bidi="ar"/>
            </w:rPr>
            <w:t>-</w:t>
          </w:r>
          <w:r>
            <w:rPr>
              <w:rFonts w:hint="eastAsia" w:ascii="仿宋" w:hAnsi="仿宋" w:eastAsia="仿宋" w:cs="仿宋"/>
              <w:bCs/>
              <w:color w:val="auto"/>
              <w:kern w:val="0"/>
              <w:sz w:val="24"/>
              <w:szCs w:val="24"/>
              <w:highlight w:val="none"/>
              <w:lang w:val="en-US" w:eastAsia="zh-CN" w:bidi="ar"/>
            </w:rPr>
            <w:t>5参加政府采购活动近3年内，在经营活动中没有重大违法记录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_Toc13083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62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44"/>
              <w:highlight w:val="none"/>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_Toc30079 </w:instrText>
          </w:r>
          <w:r>
            <w:rPr>
              <w:rFonts w:hint="eastAsia" w:ascii="仿宋" w:hAnsi="仿宋" w:eastAsia="仿宋" w:cs="仿宋"/>
              <w:color w:val="auto"/>
              <w:sz w:val="24"/>
              <w:szCs w:val="44"/>
              <w:highlight w:val="none"/>
            </w:rPr>
            <w:fldChar w:fldCharType="separate"/>
          </w:r>
          <w:r>
            <w:rPr>
              <w:rFonts w:hint="eastAsia" w:ascii="仿宋" w:hAnsi="仿宋" w:eastAsia="仿宋" w:cs="仿宋"/>
              <w:color w:val="auto"/>
              <w:sz w:val="24"/>
              <w:szCs w:val="44"/>
              <w:highlight w:val="none"/>
            </w:rPr>
            <w:t>附件</w:t>
          </w:r>
          <w:r>
            <w:rPr>
              <w:rFonts w:hint="eastAsia" w:ascii="仿宋" w:hAnsi="仿宋" w:eastAsia="仿宋" w:cs="仿宋"/>
              <w:color w:val="auto"/>
              <w:sz w:val="24"/>
              <w:szCs w:val="44"/>
              <w:highlight w:val="none"/>
              <w:lang w:val="en-US" w:eastAsia="zh-CN"/>
            </w:rPr>
            <w:t>1</w:t>
          </w:r>
          <w:r>
            <w:rPr>
              <w:rFonts w:hint="eastAsia" w:ascii="仿宋" w:hAnsi="仿宋" w:eastAsia="仿宋" w:cs="仿宋"/>
              <w:color w:val="auto"/>
              <w:sz w:val="24"/>
              <w:szCs w:val="44"/>
              <w:highlight w:val="none"/>
            </w:rPr>
            <w:t>-</w:t>
          </w:r>
          <w:r>
            <w:rPr>
              <w:rFonts w:hint="eastAsia" w:ascii="仿宋" w:hAnsi="仿宋" w:eastAsia="仿宋" w:cs="仿宋"/>
              <w:color w:val="auto"/>
              <w:sz w:val="24"/>
              <w:szCs w:val="44"/>
              <w:highlight w:val="none"/>
              <w:lang w:val="en-US" w:eastAsia="zh-CN"/>
            </w:rPr>
            <w:t>6本项目的特定资格要求</w:t>
          </w:r>
          <w:r>
            <w:rPr>
              <w:rFonts w:hint="eastAsia" w:ascii="仿宋" w:hAnsi="仿宋" w:eastAsia="仿宋" w:cs="仿宋"/>
              <w:color w:val="auto"/>
              <w:sz w:val="24"/>
              <w:szCs w:val="44"/>
              <w:highlight w:val="none"/>
            </w:rPr>
            <w:tab/>
          </w: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PAGEREF _Toc30079 \h </w:instrText>
          </w:r>
          <w:r>
            <w:rPr>
              <w:rFonts w:hint="eastAsia" w:ascii="仿宋" w:hAnsi="仿宋" w:eastAsia="仿宋" w:cs="仿宋"/>
              <w:color w:val="auto"/>
              <w:sz w:val="24"/>
              <w:szCs w:val="44"/>
              <w:highlight w:val="none"/>
            </w:rPr>
            <w:fldChar w:fldCharType="separate"/>
          </w:r>
          <w:r>
            <w:rPr>
              <w:rFonts w:hint="eastAsia" w:ascii="仿宋" w:hAnsi="仿宋" w:eastAsia="仿宋" w:cs="仿宋"/>
              <w:color w:val="auto"/>
              <w:sz w:val="24"/>
              <w:szCs w:val="44"/>
              <w:highlight w:val="none"/>
            </w:rPr>
            <w:t>63</w:t>
          </w:r>
          <w:r>
            <w:rPr>
              <w:rFonts w:hint="eastAsia" w:ascii="仿宋" w:hAnsi="仿宋" w:eastAsia="仿宋" w:cs="仿宋"/>
              <w:color w:val="auto"/>
              <w:sz w:val="24"/>
              <w:szCs w:val="44"/>
              <w:highlight w:val="none"/>
            </w:rPr>
            <w:fldChar w:fldCharType="end"/>
          </w:r>
          <w:r>
            <w:rPr>
              <w:rFonts w:hint="eastAsia" w:ascii="仿宋" w:hAnsi="仿宋" w:eastAsia="仿宋" w:cs="仿宋"/>
              <w:color w:val="auto"/>
              <w:sz w:val="24"/>
              <w:szCs w:val="44"/>
              <w:highlight w:val="none"/>
            </w:rPr>
            <w:fldChar w:fldCharType="end"/>
          </w:r>
        </w:p>
        <w:p>
          <w:pPr>
            <w:pStyle w:val="4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_Toc18913 </w:instrText>
          </w:r>
          <w:r>
            <w:rPr>
              <w:rFonts w:hint="eastAsia" w:ascii="仿宋" w:hAnsi="仿宋" w:eastAsia="仿宋" w:cs="仿宋"/>
              <w:color w:val="auto"/>
              <w:sz w:val="24"/>
              <w:szCs w:val="44"/>
              <w:highlight w:val="none"/>
            </w:rPr>
            <w:fldChar w:fldCharType="separate"/>
          </w:r>
          <w:r>
            <w:rPr>
              <w:rFonts w:hint="eastAsia" w:ascii="仿宋" w:hAnsi="仿宋" w:eastAsia="仿宋" w:cs="仿宋"/>
              <w:color w:val="auto"/>
              <w:sz w:val="24"/>
              <w:szCs w:val="44"/>
              <w:highlight w:val="none"/>
              <w:lang w:val="en-US" w:eastAsia="zh-CN"/>
            </w:rPr>
            <w:t>附件1-7落实政府采购政策需满足的资格要求（如有）</w:t>
          </w:r>
          <w:r>
            <w:rPr>
              <w:rFonts w:hint="eastAsia" w:ascii="仿宋" w:hAnsi="仿宋" w:eastAsia="仿宋" w:cs="仿宋"/>
              <w:color w:val="auto"/>
              <w:sz w:val="24"/>
              <w:szCs w:val="44"/>
              <w:highlight w:val="none"/>
            </w:rPr>
            <w:tab/>
          </w: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PAGEREF _Toc18913 \h </w:instrText>
          </w:r>
          <w:r>
            <w:rPr>
              <w:rFonts w:hint="eastAsia" w:ascii="仿宋" w:hAnsi="仿宋" w:eastAsia="仿宋" w:cs="仿宋"/>
              <w:color w:val="auto"/>
              <w:sz w:val="24"/>
              <w:szCs w:val="44"/>
              <w:highlight w:val="none"/>
            </w:rPr>
            <w:fldChar w:fldCharType="separate"/>
          </w:r>
          <w:r>
            <w:rPr>
              <w:rFonts w:hint="eastAsia" w:ascii="仿宋" w:hAnsi="仿宋" w:eastAsia="仿宋" w:cs="仿宋"/>
              <w:color w:val="auto"/>
              <w:sz w:val="24"/>
              <w:szCs w:val="44"/>
              <w:highlight w:val="none"/>
            </w:rPr>
            <w:t>65</w:t>
          </w:r>
          <w:r>
            <w:rPr>
              <w:rFonts w:hint="eastAsia" w:ascii="仿宋" w:hAnsi="仿宋" w:eastAsia="仿宋" w:cs="仿宋"/>
              <w:color w:val="auto"/>
              <w:sz w:val="24"/>
              <w:szCs w:val="44"/>
              <w:highlight w:val="none"/>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_Toc6938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5谈判保证金凭证/交款单据电子件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_Toc6938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69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_Toc6595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6商务条款偏离表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_Toc6595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_Toc31504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7技术参数、功能偏离表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_Toc31504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_Toc4924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8拟投入本项目的人员一览表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_Toc4924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_Toc13974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9供应商主要业绩</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_Toc13974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_Toc31004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10货物说明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_Toc31004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_Toc19415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11响应产品附件、备品备件和专用工具清单（如有）</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_Toc19415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_Toc15531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12实施方案</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_Toc15531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39"/>
            <w:tabs>
              <w:tab w:val="right" w:leader="dot" w:pos="9072"/>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44"/>
              <w:highlight w:val="none"/>
            </w:rPr>
            <w:fldChar w:fldCharType="begin"/>
          </w:r>
          <w:r>
            <w:rPr>
              <w:rFonts w:hint="eastAsia" w:ascii="仿宋" w:hAnsi="仿宋" w:eastAsia="仿宋" w:cs="仿宋"/>
              <w:color w:val="auto"/>
              <w:sz w:val="24"/>
              <w:szCs w:val="44"/>
              <w:highlight w:val="none"/>
            </w:rPr>
            <w:instrText xml:space="preserve"> HYPERLINK \l _Toc25814 </w:instrText>
          </w:r>
          <w:r>
            <w:rPr>
              <w:rFonts w:hint="eastAsia" w:ascii="仿宋" w:hAnsi="仿宋" w:eastAsia="仿宋" w:cs="仿宋"/>
              <w:color w:val="auto"/>
              <w:sz w:val="24"/>
              <w:szCs w:val="44"/>
              <w:highlight w:val="none"/>
            </w:rPr>
            <w:fldChar w:fldCharType="separate"/>
          </w:r>
          <w:r>
            <w:rPr>
              <w:rFonts w:hint="eastAsia" w:ascii="仿宋" w:hAnsi="仿宋" w:eastAsia="仿宋" w:cs="仿宋"/>
              <w:bCs/>
              <w:color w:val="auto"/>
              <w:kern w:val="0"/>
              <w:sz w:val="24"/>
              <w:szCs w:val="44"/>
              <w:highlight w:val="none"/>
              <w:lang w:val="en-US" w:eastAsia="zh-CN" w:bidi="ar"/>
            </w:rPr>
            <w:t>13其他证明材料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_Toc25814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44"/>
              <w:highlight w:val="none"/>
            </w:rPr>
            <w:fldChar w:fldCharType="end"/>
          </w:r>
        </w:p>
        <w:p>
          <w:pPr>
            <w:pStyle w:val="2"/>
            <w:numPr>
              <w:ilvl w:val="0"/>
              <w:numId w:val="0"/>
            </w:numPr>
            <w:bidi w:val="0"/>
            <w:jc w:val="both"/>
            <w:rPr>
              <w:rFonts w:hint="eastAsia" w:ascii="仿宋" w:hAnsi="仿宋" w:eastAsia="仿宋" w:cs="仿宋"/>
              <w:color w:val="auto"/>
              <w:sz w:val="32"/>
              <w:szCs w:val="3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color w:val="auto"/>
              <w:szCs w:val="32"/>
              <w:highlight w:val="none"/>
            </w:rPr>
            <w:fldChar w:fldCharType="end"/>
          </w:r>
        </w:p>
      </w:sdtContent>
    </w:sdt>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6"/>
          <w:szCs w:val="36"/>
          <w:highlight w:val="none"/>
        </w:rPr>
      </w:pPr>
      <w:bookmarkStart w:id="8" w:name="_Toc25182"/>
      <w:bookmarkStart w:id="9" w:name="_Toc496"/>
      <w:bookmarkStart w:id="10" w:name="_Toc28153"/>
      <w:r>
        <w:rPr>
          <w:rFonts w:hint="eastAsia" w:ascii="仿宋" w:hAnsi="仿宋" w:eastAsia="仿宋" w:cs="仿宋"/>
          <w:color w:val="auto"/>
          <w:sz w:val="36"/>
          <w:szCs w:val="36"/>
          <w:highlight w:val="none"/>
          <w:lang w:val="en-US" w:eastAsia="zh-CN"/>
        </w:rPr>
        <w:t>第一章竞争性谈判</w:t>
      </w:r>
      <w:r>
        <w:rPr>
          <w:rFonts w:hint="eastAsia" w:ascii="仿宋" w:hAnsi="仿宋" w:eastAsia="仿宋" w:cs="仿宋"/>
          <w:color w:val="auto"/>
          <w:sz w:val="36"/>
          <w:szCs w:val="36"/>
          <w:highlight w:val="none"/>
        </w:rPr>
        <w:t>公告</w:t>
      </w:r>
      <w:bookmarkEnd w:id="7"/>
      <w:bookmarkEnd w:id="8"/>
      <w:bookmarkEnd w:id="9"/>
      <w:bookmarkEnd w:id="10"/>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noWrap w:val="0"/>
            <w:vAlign w:val="top"/>
          </w:tcPr>
          <w:p>
            <w:pPr>
              <w:keepNext w:val="0"/>
              <w:keepLines w:val="0"/>
              <w:suppressLineNumbers w:val="0"/>
              <w:overflowPunct/>
              <w:bidi w:val="0"/>
              <w:spacing w:before="0" w:beforeAutospacing="0" w:after="0" w:afterAutospacing="0"/>
              <w:ind w:left="0" w:leftChars="0" w:right="0" w:righ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项目概况</w:t>
            </w:r>
          </w:p>
          <w:p>
            <w:pPr>
              <w:keepNext w:val="0"/>
              <w:keepLines w:val="0"/>
              <w:suppressLineNumbers w:val="0"/>
              <w:overflowPunct/>
              <w:bidi w:val="0"/>
              <w:spacing w:before="0" w:beforeAutospacing="0" w:after="0" w:afterAutospacing="0"/>
              <w:ind w:left="0" w:right="0" w:rightChars="0" w:firstLine="480" w:firstLineChars="200"/>
              <w:jc w:val="both"/>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警用直升机外吊挂装置加改装项目的潜在供应商应在政采云平台线上获取获取采购文件，并于</w:t>
            </w:r>
            <w:r>
              <w:rPr>
                <w:rFonts w:hint="eastAsia" w:ascii="仿宋" w:hAnsi="仿宋" w:eastAsia="仿宋" w:cs="仿宋"/>
                <w:color w:val="auto"/>
                <w:sz w:val="24"/>
                <w:szCs w:val="24"/>
                <w:highlight w:val="none"/>
                <w:vertAlign w:val="baseline"/>
                <w:lang w:eastAsia="zh-CN"/>
              </w:rPr>
              <w:t>2023年</w:t>
            </w:r>
            <w:r>
              <w:rPr>
                <w:rFonts w:hint="eastAsia" w:ascii="仿宋" w:hAnsi="仿宋" w:eastAsia="仿宋" w:cs="仿宋"/>
                <w:color w:val="auto"/>
                <w:sz w:val="24"/>
                <w:szCs w:val="24"/>
                <w:highlight w:val="none"/>
                <w:vertAlign w:val="baseline"/>
                <w:lang w:val="en-US" w:eastAsia="zh-CN"/>
              </w:rPr>
              <w:t>11</w:t>
            </w:r>
            <w:r>
              <w:rPr>
                <w:rFonts w:hint="eastAsia" w:ascii="仿宋" w:hAnsi="仿宋" w:eastAsia="仿宋" w:cs="仿宋"/>
                <w:color w:val="auto"/>
                <w:sz w:val="24"/>
                <w:szCs w:val="24"/>
                <w:highlight w:val="none"/>
                <w:vertAlign w:val="baseline"/>
                <w:lang w:eastAsia="zh-CN"/>
              </w:rPr>
              <w:t>月</w:t>
            </w:r>
            <w:r>
              <w:rPr>
                <w:rFonts w:hint="eastAsia" w:ascii="仿宋" w:hAnsi="仿宋" w:eastAsia="仿宋" w:cs="仿宋"/>
                <w:color w:val="auto"/>
                <w:sz w:val="24"/>
                <w:szCs w:val="24"/>
                <w:highlight w:val="none"/>
                <w:vertAlign w:val="baseline"/>
                <w:lang w:val="en-US" w:eastAsia="zh-CN"/>
              </w:rPr>
              <w:t>02</w:t>
            </w:r>
            <w:r>
              <w:rPr>
                <w:rFonts w:hint="eastAsia" w:ascii="仿宋" w:hAnsi="仿宋" w:eastAsia="仿宋" w:cs="仿宋"/>
                <w:color w:val="auto"/>
                <w:sz w:val="24"/>
                <w:szCs w:val="24"/>
                <w:highlight w:val="none"/>
                <w:vertAlign w:val="baseline"/>
                <w:lang w:eastAsia="zh-CN"/>
              </w:rPr>
              <w:t>日</w:t>
            </w:r>
            <w:r>
              <w:rPr>
                <w:rFonts w:hint="eastAsia" w:ascii="仿宋" w:hAnsi="仿宋" w:eastAsia="仿宋" w:cs="仿宋"/>
                <w:color w:val="auto"/>
                <w:sz w:val="24"/>
                <w:szCs w:val="24"/>
                <w:highlight w:val="none"/>
                <w:vertAlign w:val="baseline"/>
                <w:lang w:val="en-US" w:eastAsia="zh-CN"/>
              </w:rPr>
              <w:t>11</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00</w:t>
            </w:r>
            <w:r>
              <w:rPr>
                <w:rFonts w:hint="eastAsia" w:ascii="仿宋" w:hAnsi="仿宋" w:eastAsia="仿宋" w:cs="仿宋"/>
                <w:color w:val="auto"/>
                <w:sz w:val="24"/>
                <w:szCs w:val="24"/>
                <w:highlight w:val="none"/>
                <w:vertAlign w:val="baseline"/>
                <w:lang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11" w:name="_Toc25087"/>
      <w:bookmarkStart w:id="12" w:name="_Toc24896"/>
      <w:bookmarkStart w:id="13" w:name="_Toc10600"/>
      <w:bookmarkStart w:id="14" w:name="_Toc4529"/>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项目基本情况</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SSQYZB-CG2023(AN)</w:t>
      </w:r>
      <w:r>
        <w:rPr>
          <w:rFonts w:hint="eastAsia" w:ascii="仿宋" w:hAnsi="仿宋" w:eastAsia="仿宋" w:cs="仿宋"/>
          <w:color w:val="auto"/>
          <w:sz w:val="24"/>
          <w:szCs w:val="24"/>
          <w:highlight w:val="none"/>
          <w:lang w:val="en-US" w:eastAsia="zh-CN"/>
        </w:rPr>
        <w:t>345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项目名称：警用直升机外吊挂装置加改装项目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640200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640200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采购需求：警用直升机外吊挂装置加改装项目</w:t>
      </w:r>
      <w:r>
        <w:rPr>
          <w:rFonts w:hint="eastAsia" w:ascii="仿宋" w:hAnsi="仿宋" w:eastAsia="仿宋" w:cs="仿宋"/>
          <w:color w:val="auto"/>
          <w:sz w:val="24"/>
          <w:szCs w:val="24"/>
          <w:highlight w:val="none"/>
          <w:lang w:eastAsia="zh-CN"/>
        </w:rPr>
        <w:t>，具体详见谈判文件。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合同履行期限（供货时间）：合同签订后，180个日历日内交付验收。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15" w:name="_Toc22225"/>
      <w:bookmarkStart w:id="16" w:name="_Toc11393"/>
      <w:bookmarkStart w:id="17" w:name="_Toc9558"/>
      <w:bookmarkStart w:id="18" w:name="_Toc11173"/>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申请人的资格要求</w:t>
      </w:r>
      <w:bookmarkEnd w:id="15"/>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bookmarkStart w:id="19" w:name="_Toc9900"/>
      <w:bookmarkStart w:id="20" w:name="_Toc19244"/>
      <w:bookmarkStart w:id="21" w:name="_Toc29840"/>
      <w:bookmarkStart w:id="22" w:name="_Toc21064"/>
      <w:r>
        <w:rPr>
          <w:rFonts w:hint="eastAsia" w:ascii="仿宋" w:hAnsi="仿宋" w:eastAsia="仿宋" w:cs="仿宋"/>
          <w:b w:val="0"/>
          <w:bCs w:val="0"/>
          <w:color w:val="auto"/>
          <w:sz w:val="24"/>
          <w:szCs w:val="24"/>
          <w:highlight w:val="none"/>
          <w:lang w:val="en-US" w:eastAsia="zh-CN"/>
        </w:rPr>
        <w:t>1．符合《中华人民共和国政府采购法》第二十二条规定条件；</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24"/>
          <w:lang w:val="en-US" w:eastAsia="zh-CN"/>
        </w:rPr>
      </w:pPr>
      <w:bookmarkStart w:id="23" w:name="_Toc710"/>
      <w:r>
        <w:rPr>
          <w:rFonts w:hint="eastAsia" w:ascii="仿宋" w:hAnsi="仿宋" w:eastAsia="仿宋" w:cs="仿宋"/>
          <w:b w:val="0"/>
          <w:bCs w:val="0"/>
          <w:color w:val="auto"/>
          <w:sz w:val="24"/>
          <w:szCs w:val="24"/>
          <w:highlight w:val="none"/>
          <w:lang w:val="en-US" w:eastAsia="zh-CN"/>
        </w:rPr>
        <w:t>2.落实政府采购政策需满足的资格要求：</w:t>
      </w:r>
      <w:bookmarkEnd w:id="23"/>
      <w:bookmarkStart w:id="24" w:name="_Toc18331"/>
      <w:r>
        <w:rPr>
          <w:rFonts w:ascii="仿宋" w:hAnsi="仿宋" w:eastAsia="仿宋" w:cs="仿宋"/>
          <w:i w:val="0"/>
          <w:iCs w:val="0"/>
          <w:caps w:val="0"/>
          <w:color w:val="auto"/>
          <w:spacing w:val="0"/>
          <w:sz w:val="27"/>
          <w:szCs w:val="27"/>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bookmarkEnd w:id="24"/>
      <w:r>
        <w:rPr>
          <w:rFonts w:ascii="仿宋" w:hAnsi="仿宋" w:eastAsia="仿宋" w:cs="仿宋"/>
          <w:i w:val="0"/>
          <w:iCs w:val="0"/>
          <w:caps w:val="0"/>
          <w:color w:val="auto"/>
          <w:spacing w:val="0"/>
          <w:sz w:val="27"/>
          <w:szCs w:val="27"/>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lang w:val="en-US" w:eastAsia="zh-CN"/>
        </w:rPr>
      </w:pPr>
      <w:bookmarkStart w:id="25" w:name="_Toc736"/>
      <w:r>
        <w:rPr>
          <w:rFonts w:hint="eastAsia" w:ascii="仿宋" w:hAnsi="仿宋" w:eastAsia="仿宋" w:cs="仿宋"/>
          <w:b/>
          <w:bCs/>
          <w:color w:val="auto"/>
          <w:sz w:val="24"/>
          <w:szCs w:val="24"/>
          <w:highlight w:val="none"/>
          <w:lang w:val="en-US" w:eastAsia="zh-CN"/>
        </w:rPr>
        <w:t>三、获取采购文件</w:t>
      </w:r>
      <w:bookmarkEnd w:id="20"/>
      <w:bookmarkEnd w:id="21"/>
      <w:bookmarkEnd w:id="22"/>
      <w:bookmarkEnd w:id="25"/>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26" w:name="_Toc31756"/>
      <w:r>
        <w:rPr>
          <w:rFonts w:hint="eastAsia" w:ascii="仿宋" w:hAnsi="仿宋" w:eastAsia="仿宋" w:cs="仿宋"/>
          <w:color w:val="auto"/>
          <w:sz w:val="24"/>
          <w:szCs w:val="24"/>
          <w:highlight w:val="none"/>
          <w:lang w:val="en-US" w:eastAsia="zh-CN"/>
        </w:rPr>
        <w:t>1.时间：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27</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01</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lang w:val="en-US" w:eastAsia="zh-CN"/>
        </w:rPr>
        <w:t>，每天上午10:00至13:30，下午15:30至19:00（北京时间）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bookmarkStart w:id="27" w:name="_Toc13362"/>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地点：政采云平台线上</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3.方式：供应商登录政采云平台https://www.zcygov.cn/在线申请获取采购文件（进入“项目采购”应用，在获取采购文件菜单中选择项目，申请获取采购文件）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b/>
          <w:bCs/>
          <w:color w:val="auto"/>
          <w:sz w:val="24"/>
          <w:szCs w:val="24"/>
          <w:highlight w:val="none"/>
          <w:lang w:val="en-US" w:eastAsia="zh-CN"/>
        </w:rPr>
      </w:pPr>
      <w:bookmarkStart w:id="28" w:name="_Toc13708"/>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售价（元）：0</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29" w:name="_Toc23388"/>
      <w:bookmarkStart w:id="30" w:name="_Toc2385"/>
      <w:bookmarkStart w:id="31" w:name="_Toc30078"/>
      <w:r>
        <w:rPr>
          <w:rFonts w:hint="eastAsia" w:ascii="仿宋" w:hAnsi="仿宋" w:eastAsia="仿宋" w:cs="仿宋"/>
          <w:b/>
          <w:bCs/>
          <w:color w:val="auto"/>
          <w:sz w:val="24"/>
          <w:szCs w:val="24"/>
          <w:highlight w:val="none"/>
          <w:lang w:val="en-US" w:eastAsia="zh-CN"/>
        </w:rPr>
        <w:t>四、响应文件提交</w:t>
      </w:r>
      <w:bookmarkEnd w:id="26"/>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color w:val="auto"/>
          <w:kern w:val="2"/>
          <w:sz w:val="24"/>
          <w:szCs w:val="24"/>
          <w:highlight w:val="none"/>
          <w:lang w:val="en-US" w:eastAsia="zh-CN" w:bidi="ar-SA"/>
        </w:rPr>
      </w:pPr>
      <w:bookmarkStart w:id="32" w:name="_Toc29746"/>
      <w:r>
        <w:rPr>
          <w:rFonts w:hint="eastAsia" w:ascii="仿宋" w:hAnsi="仿宋" w:eastAsia="仿宋" w:cs="仿宋"/>
          <w:b w:val="0"/>
          <w:color w:val="auto"/>
          <w:kern w:val="2"/>
          <w:sz w:val="24"/>
          <w:szCs w:val="24"/>
          <w:highlight w:val="none"/>
          <w:lang w:val="en-US" w:eastAsia="zh-CN" w:bidi="ar-SA"/>
        </w:rPr>
        <w:t>截止时间：</w:t>
      </w:r>
      <w:r>
        <w:rPr>
          <w:rFonts w:hint="eastAsia" w:ascii="仿宋" w:hAnsi="仿宋" w:eastAsia="仿宋" w:cs="仿宋"/>
          <w:b w:val="0"/>
          <w:color w:val="auto"/>
          <w:kern w:val="2"/>
          <w:sz w:val="24"/>
          <w:szCs w:val="24"/>
          <w:highlight w:val="none"/>
          <w:u w:val="single"/>
          <w:lang w:val="en-US" w:eastAsia="zh-CN" w:bidi="ar-SA"/>
        </w:rPr>
        <w:t>2023</w:t>
      </w:r>
      <w:r>
        <w:rPr>
          <w:rFonts w:hint="eastAsia" w:ascii="仿宋" w:hAnsi="仿宋" w:eastAsia="仿宋" w:cs="仿宋"/>
          <w:b w:val="0"/>
          <w:color w:val="auto"/>
          <w:kern w:val="2"/>
          <w:sz w:val="24"/>
          <w:szCs w:val="24"/>
          <w:highlight w:val="none"/>
          <w:u w:val="none"/>
          <w:lang w:val="en-US" w:eastAsia="zh-CN" w:bidi="ar-SA"/>
        </w:rPr>
        <w:t>年</w:t>
      </w:r>
      <w:r>
        <w:rPr>
          <w:rFonts w:hint="eastAsia" w:ascii="仿宋" w:hAnsi="仿宋" w:eastAsia="仿宋" w:cs="仿宋"/>
          <w:b w:val="0"/>
          <w:color w:val="auto"/>
          <w:kern w:val="2"/>
          <w:sz w:val="24"/>
          <w:szCs w:val="24"/>
          <w:highlight w:val="none"/>
          <w:u w:val="single"/>
          <w:lang w:val="en-US" w:eastAsia="zh-CN" w:bidi="ar-SA"/>
        </w:rPr>
        <w:t>11</w:t>
      </w:r>
      <w:r>
        <w:rPr>
          <w:rFonts w:hint="eastAsia" w:ascii="仿宋" w:hAnsi="仿宋" w:eastAsia="仿宋" w:cs="仿宋"/>
          <w:b w:val="0"/>
          <w:color w:val="auto"/>
          <w:kern w:val="2"/>
          <w:sz w:val="24"/>
          <w:szCs w:val="24"/>
          <w:highlight w:val="none"/>
          <w:u w:val="none"/>
          <w:lang w:val="en-US" w:eastAsia="zh-CN" w:bidi="ar-SA"/>
        </w:rPr>
        <w:t>月</w:t>
      </w:r>
      <w:r>
        <w:rPr>
          <w:rFonts w:hint="eastAsia" w:ascii="仿宋" w:hAnsi="仿宋" w:eastAsia="仿宋" w:cs="仿宋"/>
          <w:b w:val="0"/>
          <w:color w:val="auto"/>
          <w:kern w:val="2"/>
          <w:sz w:val="24"/>
          <w:szCs w:val="24"/>
          <w:highlight w:val="none"/>
          <w:u w:val="single"/>
          <w:lang w:val="en-US" w:eastAsia="zh-CN" w:bidi="ar-SA"/>
        </w:rPr>
        <w:t>02</w:t>
      </w:r>
      <w:r>
        <w:rPr>
          <w:rFonts w:hint="eastAsia" w:ascii="仿宋" w:hAnsi="仿宋" w:eastAsia="仿宋" w:cs="仿宋"/>
          <w:b w:val="0"/>
          <w:color w:val="auto"/>
          <w:kern w:val="2"/>
          <w:sz w:val="24"/>
          <w:szCs w:val="24"/>
          <w:highlight w:val="none"/>
          <w:u w:val="none"/>
          <w:lang w:val="en-US" w:eastAsia="zh-CN" w:bidi="ar-SA"/>
        </w:rPr>
        <w:t>日</w:t>
      </w:r>
      <w:r>
        <w:rPr>
          <w:rFonts w:hint="eastAsia" w:ascii="仿宋" w:hAnsi="仿宋" w:eastAsia="仿宋" w:cs="仿宋"/>
          <w:b w:val="0"/>
          <w:color w:val="auto"/>
          <w:kern w:val="2"/>
          <w:sz w:val="24"/>
          <w:szCs w:val="24"/>
          <w:highlight w:val="none"/>
          <w:u w:val="single"/>
          <w:lang w:val="en-US" w:eastAsia="zh-CN" w:bidi="ar-SA"/>
        </w:rPr>
        <w:t>11：00</w:t>
      </w:r>
      <w:r>
        <w:rPr>
          <w:rFonts w:hint="eastAsia" w:ascii="仿宋" w:hAnsi="仿宋" w:eastAsia="仿宋" w:cs="仿宋"/>
          <w:b w:val="0"/>
          <w:color w:val="auto"/>
          <w:kern w:val="2"/>
          <w:sz w:val="24"/>
          <w:szCs w:val="24"/>
          <w:highlight w:val="none"/>
          <w:lang w:val="en-US" w:eastAsia="zh-CN" w:bidi="ar-SA"/>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地点：请登录政采云投标客户端投标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33" w:name="_Toc29886"/>
      <w:bookmarkStart w:id="34" w:name="_Toc2664"/>
      <w:bookmarkStart w:id="35" w:name="_Toc7640"/>
      <w:r>
        <w:rPr>
          <w:rFonts w:hint="eastAsia" w:ascii="仿宋" w:hAnsi="仿宋" w:eastAsia="仿宋" w:cs="仿宋"/>
          <w:b/>
          <w:bCs/>
          <w:color w:val="auto"/>
          <w:sz w:val="24"/>
          <w:szCs w:val="24"/>
          <w:highlight w:val="none"/>
          <w:lang w:val="en-US" w:eastAsia="zh-CN"/>
        </w:rPr>
        <w:t>五、响应文件开启</w:t>
      </w:r>
      <w:bookmarkEnd w:id="32"/>
      <w:bookmarkEnd w:id="33"/>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开启时间：</w:t>
      </w:r>
      <w:r>
        <w:rPr>
          <w:rFonts w:hint="eastAsia" w:ascii="仿宋" w:hAnsi="仿宋" w:eastAsia="仿宋" w:cs="仿宋"/>
          <w:b w:val="0"/>
          <w:color w:val="auto"/>
          <w:kern w:val="2"/>
          <w:sz w:val="24"/>
          <w:szCs w:val="24"/>
          <w:highlight w:val="none"/>
          <w:u w:val="single"/>
          <w:lang w:val="en-US" w:eastAsia="zh-CN" w:bidi="ar-SA"/>
        </w:rPr>
        <w:t>2023</w:t>
      </w:r>
      <w:r>
        <w:rPr>
          <w:rFonts w:hint="eastAsia" w:ascii="仿宋" w:hAnsi="仿宋" w:eastAsia="仿宋" w:cs="仿宋"/>
          <w:b w:val="0"/>
          <w:color w:val="auto"/>
          <w:kern w:val="2"/>
          <w:sz w:val="24"/>
          <w:szCs w:val="24"/>
          <w:highlight w:val="none"/>
          <w:u w:val="none"/>
          <w:lang w:val="en-US" w:eastAsia="zh-CN" w:bidi="ar-SA"/>
        </w:rPr>
        <w:t>年</w:t>
      </w:r>
      <w:r>
        <w:rPr>
          <w:rFonts w:hint="eastAsia" w:ascii="仿宋" w:hAnsi="仿宋" w:eastAsia="仿宋" w:cs="仿宋"/>
          <w:b w:val="0"/>
          <w:color w:val="auto"/>
          <w:kern w:val="2"/>
          <w:sz w:val="24"/>
          <w:szCs w:val="24"/>
          <w:highlight w:val="none"/>
          <w:u w:val="single"/>
          <w:lang w:val="en-US" w:eastAsia="zh-CN" w:bidi="ar-SA"/>
        </w:rPr>
        <w:t>11</w:t>
      </w:r>
      <w:r>
        <w:rPr>
          <w:rFonts w:hint="eastAsia" w:ascii="仿宋" w:hAnsi="仿宋" w:eastAsia="仿宋" w:cs="仿宋"/>
          <w:b w:val="0"/>
          <w:color w:val="auto"/>
          <w:kern w:val="2"/>
          <w:sz w:val="24"/>
          <w:szCs w:val="24"/>
          <w:highlight w:val="none"/>
          <w:u w:val="none"/>
          <w:lang w:val="en-US" w:eastAsia="zh-CN" w:bidi="ar-SA"/>
        </w:rPr>
        <w:t>月</w:t>
      </w:r>
      <w:r>
        <w:rPr>
          <w:rFonts w:hint="eastAsia" w:ascii="仿宋" w:hAnsi="仿宋" w:eastAsia="仿宋" w:cs="仿宋"/>
          <w:b w:val="0"/>
          <w:color w:val="auto"/>
          <w:kern w:val="2"/>
          <w:sz w:val="24"/>
          <w:szCs w:val="24"/>
          <w:highlight w:val="none"/>
          <w:u w:val="single"/>
          <w:lang w:val="en-US" w:eastAsia="zh-CN" w:bidi="ar-SA"/>
        </w:rPr>
        <w:t>02</w:t>
      </w:r>
      <w:r>
        <w:rPr>
          <w:rFonts w:hint="eastAsia" w:ascii="仿宋" w:hAnsi="仿宋" w:eastAsia="仿宋" w:cs="仿宋"/>
          <w:b w:val="0"/>
          <w:color w:val="auto"/>
          <w:kern w:val="2"/>
          <w:sz w:val="24"/>
          <w:szCs w:val="24"/>
          <w:highlight w:val="none"/>
          <w:u w:val="none"/>
          <w:lang w:val="en-US" w:eastAsia="zh-CN" w:bidi="ar-SA"/>
        </w:rPr>
        <w:t>日</w:t>
      </w:r>
      <w:r>
        <w:rPr>
          <w:rFonts w:hint="eastAsia" w:ascii="仿宋" w:hAnsi="仿宋" w:eastAsia="仿宋" w:cs="仿宋"/>
          <w:b w:val="0"/>
          <w:color w:val="auto"/>
          <w:kern w:val="2"/>
          <w:sz w:val="24"/>
          <w:szCs w:val="24"/>
          <w:highlight w:val="none"/>
          <w:u w:val="single"/>
          <w:lang w:val="en-US" w:eastAsia="zh-CN" w:bidi="ar-SA"/>
        </w:rPr>
        <w:t>11：00</w:t>
      </w:r>
      <w:r>
        <w:rPr>
          <w:rFonts w:hint="eastAsia" w:ascii="仿宋" w:hAnsi="仿宋" w:eastAsia="仿宋" w:cs="仿宋"/>
          <w:b w:val="0"/>
          <w:color w:val="auto"/>
          <w:kern w:val="2"/>
          <w:sz w:val="24"/>
          <w:szCs w:val="24"/>
          <w:highlight w:val="none"/>
          <w:lang w:val="en-US" w:eastAsia="zh-CN" w:bidi="ar-SA"/>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地点：政采云平台https://www.zcygov.cn/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36" w:name="_Toc24448"/>
      <w:bookmarkStart w:id="37" w:name="_Toc3480"/>
      <w:bookmarkStart w:id="38" w:name="_Toc7609"/>
      <w:bookmarkStart w:id="39" w:name="_Toc4005"/>
      <w:r>
        <w:rPr>
          <w:rFonts w:hint="eastAsia" w:ascii="仿宋" w:hAnsi="仿宋" w:eastAsia="仿宋" w:cs="仿宋"/>
          <w:b/>
          <w:bCs/>
          <w:color w:val="auto"/>
          <w:sz w:val="24"/>
          <w:szCs w:val="24"/>
          <w:highlight w:val="none"/>
          <w:lang w:val="en-US" w:eastAsia="zh-CN"/>
        </w:rPr>
        <w:t>六、公告期限</w:t>
      </w:r>
      <w:bookmarkEnd w:id="36"/>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40" w:name="_Toc30287"/>
      <w:bookmarkStart w:id="41" w:name="_Toc21840"/>
      <w:bookmarkStart w:id="42" w:name="_Toc26644"/>
      <w:bookmarkStart w:id="43" w:name="_Toc20322"/>
      <w:r>
        <w:rPr>
          <w:rFonts w:hint="eastAsia" w:ascii="仿宋" w:hAnsi="仿宋" w:eastAsia="仿宋" w:cs="仿宋"/>
          <w:b/>
          <w:bCs/>
          <w:color w:val="auto"/>
          <w:sz w:val="24"/>
          <w:szCs w:val="24"/>
          <w:highlight w:val="none"/>
          <w:lang w:val="en-US" w:eastAsia="zh-CN"/>
        </w:rPr>
        <w:t>七、其他补充事宜</w:t>
      </w:r>
      <w:bookmarkEnd w:id="40"/>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bookmarkStart w:id="44" w:name="_Toc13852"/>
      <w:r>
        <w:rPr>
          <w:rFonts w:hint="eastAsia" w:ascii="仿宋" w:hAnsi="仿宋" w:eastAsia="仿宋" w:cs="仿宋"/>
          <w:b w:val="0"/>
          <w:bCs w:val="0"/>
          <w:color w:val="auto"/>
          <w:kern w:val="2"/>
          <w:sz w:val="24"/>
          <w:szCs w:val="24"/>
          <w:highlight w:val="none"/>
          <w:lang w:val="en-US" w:eastAsia="zh-CN" w:bidi="ar-SA"/>
        </w:rPr>
        <w:t>1.本公告在新疆政府采购网发布。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2.请各供应商随时关注本项目的变更、答疑、澄清文件。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3.本项目实行电子招投标，供应商须登录政采云平台申请获取谈判文件，并通过政采云电子投标客户端制作响应文件，同时自行承担与投标有关的一切费用。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4.各供应商应在开标前确保成为政采云正式注册入库供应商，并完成CA数字证书申领。因未注册入库、未办理CA数字证书等原因造成无法投标或投标失败等后果由供应商自行承担。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95763进行咨询。如因供应商自身原因导致在规定时间内无法正常解密的（如：浏览器故障、未安装客户端和相关驱动、网络故障、加密CA与解密CA不一致等）,代理机构不予异常处理,视为供应商自动放弃谈判资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6.本项目采用不见面开标，供应商须在投标截止时间前通过CA在政采云平台上传加密的电子响应文件。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bookmarkStart w:id="45" w:name="_Toc13591"/>
      <w:r>
        <w:rPr>
          <w:rFonts w:hint="eastAsia" w:ascii="仿宋" w:hAnsi="仿宋" w:eastAsia="仿宋" w:cs="仿宋"/>
          <w:b w:val="0"/>
          <w:bCs w:val="0"/>
          <w:color w:val="auto"/>
          <w:kern w:val="2"/>
          <w:sz w:val="24"/>
          <w:szCs w:val="24"/>
          <w:highlight w:val="none"/>
          <w:lang w:val="en-US" w:eastAsia="zh-CN"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bookmarkEnd w:id="45"/>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特别提示：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2、超过200万元的货物和服务采购项目，预留该部分采购项目预算总额的30%以上专门面向中小企业采购，其中预留给小微企业的比例不低于60%。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仿宋" w:hAnsi="仿宋" w:eastAsia="仿宋" w:cs="仿宋"/>
          <w:b/>
          <w:bCs/>
          <w:color w:val="auto"/>
          <w:sz w:val="24"/>
          <w:szCs w:val="24"/>
          <w:highlight w:val="none"/>
        </w:rPr>
      </w:pPr>
      <w:bookmarkStart w:id="46" w:name="_Toc4017"/>
      <w:bookmarkStart w:id="47" w:name="_Toc21007"/>
      <w:bookmarkStart w:id="48" w:name="_Toc2833"/>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对本次采购提出询问，请按以下方式联系</w:t>
      </w:r>
      <w:bookmarkEnd w:id="44"/>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b w:val="0"/>
          <w:color w:val="auto"/>
          <w:kern w:val="2"/>
          <w:sz w:val="24"/>
          <w:szCs w:val="24"/>
          <w:highlight w:val="none"/>
          <w:lang w:val="en-US" w:eastAsia="zh-CN" w:bidi="ar-SA"/>
        </w:rPr>
      </w:pPr>
      <w:bookmarkStart w:id="49" w:name="_Toc21342"/>
      <w:r>
        <w:rPr>
          <w:rFonts w:hint="eastAsia" w:ascii="仿宋" w:hAnsi="仿宋" w:eastAsia="仿宋" w:cs="仿宋"/>
          <w:b w:val="0"/>
          <w:color w:val="auto"/>
          <w:kern w:val="2"/>
          <w:sz w:val="24"/>
          <w:szCs w:val="24"/>
          <w:highlight w:val="none"/>
          <w:lang w:val="en-US" w:eastAsia="zh-CN" w:bidi="ar-SA"/>
        </w:rPr>
        <w:t>1.采购人信息</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名称：新疆维吾尔自治区公安厅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地址：乌鲁木齐市钱塘江路225号</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联系人：慕警官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w:t>
      </w:r>
      <w:bookmarkStart w:id="50" w:name="_Toc28359009"/>
      <w:bookmarkStart w:id="51" w:name="_Toc28359086"/>
      <w:r>
        <w:rPr>
          <w:rFonts w:hint="eastAsia" w:ascii="仿宋" w:hAnsi="仿宋" w:eastAsia="仿宋" w:cs="仿宋"/>
          <w:b w:val="0"/>
          <w:color w:val="auto"/>
          <w:kern w:val="2"/>
          <w:sz w:val="24"/>
          <w:szCs w:val="24"/>
          <w:highlight w:val="none"/>
          <w:lang w:val="en-US" w:eastAsia="zh-CN" w:bidi="ar-SA"/>
        </w:rPr>
        <w:t>0991-5586575</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b w:val="0"/>
          <w:color w:val="auto"/>
          <w:kern w:val="2"/>
          <w:sz w:val="24"/>
          <w:szCs w:val="24"/>
          <w:highlight w:val="none"/>
          <w:lang w:val="en-US" w:eastAsia="zh-CN" w:bidi="ar-SA"/>
        </w:rPr>
      </w:pPr>
      <w:bookmarkStart w:id="52" w:name="_Toc12535"/>
      <w:r>
        <w:rPr>
          <w:rFonts w:hint="eastAsia" w:ascii="仿宋" w:hAnsi="仿宋" w:eastAsia="仿宋" w:cs="仿宋"/>
          <w:b w:val="0"/>
          <w:color w:val="auto"/>
          <w:kern w:val="2"/>
          <w:sz w:val="24"/>
          <w:szCs w:val="24"/>
          <w:highlight w:val="none"/>
          <w:lang w:val="en-US" w:eastAsia="zh-CN" w:bidi="ar-SA"/>
        </w:rPr>
        <w:t>2.采购代理机构信息</w:t>
      </w:r>
      <w:bookmarkEnd w:id="50"/>
      <w:bookmarkEnd w:id="51"/>
      <w:bookmarkEnd w:id="52"/>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名称：新疆盛世乾元工程项目管理咨询有限公司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地址：乌鲁木齐市水磨沟区南湖北路1956号石湾大厦综合楼A座1603室</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联系人：杨波 王建刚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联系方式：13999913943 17797940901</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b w:val="0"/>
          <w:color w:val="auto"/>
          <w:kern w:val="2"/>
          <w:sz w:val="24"/>
          <w:szCs w:val="24"/>
          <w:highlight w:val="none"/>
          <w:lang w:val="en-US" w:eastAsia="zh-CN" w:bidi="ar-SA"/>
        </w:rPr>
      </w:pPr>
      <w:bookmarkStart w:id="53" w:name="_Toc15103"/>
      <w:r>
        <w:rPr>
          <w:rFonts w:hint="eastAsia" w:ascii="仿宋" w:hAnsi="仿宋" w:eastAsia="仿宋" w:cs="仿宋"/>
          <w:b w:val="0"/>
          <w:color w:val="auto"/>
          <w:kern w:val="2"/>
          <w:sz w:val="24"/>
          <w:szCs w:val="24"/>
          <w:highlight w:val="none"/>
          <w:lang w:val="en-US" w:eastAsia="zh-CN" w:bidi="ar-SA"/>
        </w:rPr>
        <w:t>3.项目联系方式</w:t>
      </w:r>
      <w:bookmarkEnd w:id="53"/>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项目联系人：杨波 王建刚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600" w:firstLineChars="250"/>
        <w:jc w:val="left"/>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联系方式：13999913943 17797940901</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6"/>
          <w:szCs w:val="36"/>
          <w:highlight w:val="none"/>
          <w:lang w:val="en-US" w:eastAsia="zh-CN"/>
        </w:rPr>
      </w:pPr>
      <w:bookmarkStart w:id="54" w:name="_Toc7778"/>
      <w:bookmarkStart w:id="55" w:name="_Toc30452"/>
      <w:bookmarkStart w:id="56" w:name="_Toc26148"/>
      <w:bookmarkStart w:id="57" w:name="_Toc20682"/>
      <w:r>
        <w:rPr>
          <w:rFonts w:hint="eastAsia" w:ascii="仿宋" w:hAnsi="仿宋" w:eastAsia="仿宋" w:cs="仿宋"/>
          <w:color w:val="auto"/>
          <w:sz w:val="36"/>
          <w:szCs w:val="36"/>
          <w:highlight w:val="none"/>
          <w:lang w:val="en-US" w:eastAsia="zh-CN"/>
        </w:rPr>
        <w:t>第二章供应商须知</w:t>
      </w:r>
      <w:bookmarkEnd w:id="54"/>
      <w:bookmarkEnd w:id="55"/>
      <w:bookmarkEnd w:id="56"/>
      <w:bookmarkEnd w:id="57"/>
    </w:p>
    <w:p>
      <w:pPr>
        <w:pStyle w:val="42"/>
        <w:keepNext w:val="0"/>
        <w:keepLines w:val="0"/>
        <w:widowControl w:val="0"/>
        <w:shd w:val="clear" w:color="auto" w:fill="auto"/>
        <w:overflowPunct/>
        <w:bidi w:val="0"/>
        <w:spacing w:before="0" w:after="0" w:line="360" w:lineRule="auto"/>
        <w:ind w:left="0" w:leftChars="0" w:right="0" w:rightChars="0"/>
        <w:jc w:val="center"/>
        <w:outlineLvl w:val="1"/>
        <w:rPr>
          <w:rFonts w:hint="eastAsia" w:ascii="仿宋" w:hAnsi="仿宋" w:eastAsia="仿宋" w:cs="仿宋"/>
          <w:b/>
          <w:bCs/>
          <w:color w:val="auto"/>
          <w:spacing w:val="0"/>
          <w:w w:val="100"/>
          <w:position w:val="0"/>
          <w:sz w:val="28"/>
          <w:szCs w:val="28"/>
          <w:highlight w:val="none"/>
        </w:rPr>
      </w:pPr>
      <w:bookmarkStart w:id="58" w:name="_Toc29174"/>
      <w:bookmarkStart w:id="59" w:name="_Toc27198"/>
      <w:bookmarkStart w:id="60" w:name="_Toc26183"/>
      <w:bookmarkStart w:id="61" w:name="_Toc15098"/>
      <w:bookmarkStart w:id="62" w:name="_Toc21959"/>
      <w:r>
        <w:rPr>
          <w:rFonts w:hint="eastAsia" w:ascii="仿宋" w:hAnsi="仿宋" w:eastAsia="仿宋" w:cs="仿宋"/>
          <w:b/>
          <w:bCs/>
          <w:color w:val="auto"/>
          <w:spacing w:val="0"/>
          <w:w w:val="100"/>
          <w:position w:val="0"/>
          <w:sz w:val="28"/>
          <w:szCs w:val="28"/>
          <w:highlight w:val="none"/>
          <w:lang w:val="en-US" w:eastAsia="zh-CN"/>
        </w:rPr>
        <w:t>供应商</w:t>
      </w:r>
      <w:r>
        <w:rPr>
          <w:rFonts w:hint="eastAsia" w:ascii="仿宋" w:hAnsi="仿宋" w:eastAsia="仿宋" w:cs="仿宋"/>
          <w:b/>
          <w:bCs/>
          <w:color w:val="auto"/>
          <w:spacing w:val="0"/>
          <w:w w:val="100"/>
          <w:position w:val="0"/>
          <w:sz w:val="28"/>
          <w:szCs w:val="28"/>
          <w:highlight w:val="none"/>
        </w:rPr>
        <w:t>须知前附表</w:t>
      </w:r>
      <w:bookmarkEnd w:id="58"/>
      <w:bookmarkEnd w:id="59"/>
      <w:bookmarkEnd w:id="60"/>
      <w:bookmarkEnd w:id="61"/>
      <w:bookmarkEnd w:id="62"/>
    </w:p>
    <w:p>
      <w:pPr>
        <w:pStyle w:val="4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40" w:firstLineChars="200"/>
        <w:jc w:val="left"/>
        <w:textAlignment w:val="auto"/>
        <w:outlineLvl w:val="9"/>
        <w:rPr>
          <w:rFonts w:hint="eastAsia" w:ascii="仿宋" w:hAnsi="仿宋" w:eastAsia="仿宋" w:cs="仿宋"/>
          <w:b w:val="0"/>
          <w:bCs w:val="0"/>
          <w:color w:val="auto"/>
          <w:spacing w:val="0"/>
          <w:w w:val="100"/>
          <w:position w:val="0"/>
          <w:sz w:val="22"/>
          <w:szCs w:val="22"/>
          <w:highlight w:val="none"/>
        </w:rPr>
      </w:pPr>
      <w:bookmarkStart w:id="63" w:name="_Toc14187"/>
      <w:r>
        <w:rPr>
          <w:rFonts w:hint="eastAsia" w:ascii="仿宋" w:hAnsi="仿宋" w:eastAsia="仿宋" w:cs="仿宋"/>
          <w:b w:val="0"/>
          <w:bCs w:val="0"/>
          <w:color w:val="auto"/>
          <w:spacing w:val="0"/>
          <w:w w:val="100"/>
          <w:position w:val="0"/>
          <w:sz w:val="22"/>
          <w:szCs w:val="22"/>
          <w:highlight w:val="none"/>
          <w:lang w:val="en-US" w:eastAsia="zh-CN"/>
        </w:rPr>
        <w:t>本表是对供应商须知的具体补充和修改，如有矛盾，均以本资料表为准。标记“■”的选项意为适用于本项目，标记“□”的选项意为不适用于本项目。</w:t>
      </w:r>
      <w:bookmarkEnd w:id="63"/>
    </w:p>
    <w:tbl>
      <w:tblPr>
        <w:tblStyle w:val="32"/>
        <w:tblW w:w="9593" w:type="dxa"/>
        <w:jc w:val="center"/>
        <w:tblLayout w:type="autofit"/>
        <w:tblCellMar>
          <w:top w:w="0" w:type="dxa"/>
          <w:left w:w="108" w:type="dxa"/>
          <w:bottom w:w="0" w:type="dxa"/>
          <w:right w:w="108" w:type="dxa"/>
        </w:tblCellMar>
      </w:tblPr>
      <w:tblGrid>
        <w:gridCol w:w="741"/>
        <w:gridCol w:w="1665"/>
        <w:gridCol w:w="7187"/>
      </w:tblGrid>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采购人信息</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名称：新疆维吾尔自治区公安厅</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地址：乌鲁木齐市钱塘江路225号</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联系人：慕警官</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联系方式：0991-5586575</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机构</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名称：新疆盛世乾元工程项目管理咨询有限公司</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地址：乌鲁木齐市水磨沟区南湖北路1956号石湾大厦综合楼A座1603室</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联系人：杨波 王建刚</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联系方式：13999913943 17797940901</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项目名称</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警用直升机外吊挂装置加改装项目</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项目编号</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SSQYZB-CG2023(AN)</w:t>
            </w:r>
            <w:r>
              <w:rPr>
                <w:rFonts w:hint="eastAsia" w:ascii="仿宋" w:hAnsi="仿宋" w:eastAsia="仿宋" w:cs="仿宋"/>
                <w:color w:val="auto"/>
                <w:sz w:val="24"/>
                <w:szCs w:val="24"/>
                <w:highlight w:val="none"/>
                <w:lang w:val="en-US" w:eastAsia="zh-CN"/>
              </w:rPr>
              <w:t>345</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预算金额（元）</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640200</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资金来源</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highlight w:val="none"/>
              </w:rPr>
              <w:t>财政资金</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付款方式</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按中标单位与采购单位签订合同的付款方式执行。</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166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警用直升机外吊挂装置加改装项目，具体详见谈判文件。</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合同履行期限</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（供货时间）</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合同签订后，180个日历日内交付验收。</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供货地点</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甲方指定地点</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服务质量</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0"/>
                <w:lang w:eastAsia="zh-CN" w:bidi="ar"/>
              </w:rPr>
              <w:t>达</w:t>
            </w:r>
            <w:r>
              <w:rPr>
                <w:rFonts w:hint="eastAsia" w:ascii="仿宋" w:hAnsi="仿宋" w:eastAsia="仿宋" w:cs="仿宋"/>
                <w:color w:val="auto"/>
                <w:kern w:val="0"/>
                <w:lang w:bidi="ar"/>
              </w:rPr>
              <w:t>到国家质量标准、行业质量标准要求，质保期1年。</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shd w:val="clear"/>
                <w:lang w:val="en-US" w:eastAsia="zh-CN"/>
              </w:rPr>
              <w:t>资格要求</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（1）具有独立承担民事责任的能力（提供营业执照）；</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（2）具有良好的商业信誉和健全的财务会计制度（提供会计事务所出具的2022年度财务审计报告，新成立不足一年的提供成立之日起至今的财务报表和基本开户银行出具的资信证明）；</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（3）具有履行合同所必需的设备和专业技术能力（提供声明）；</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（4）有依法缴纳税收和社会保障资金的良好纪录（提供近一年任意三个月纳税和社会保障资金的缴纳证明</w:t>
            </w:r>
            <w:r>
              <w:rPr>
                <w:rFonts w:hint="eastAsia" w:ascii="仿宋" w:hAnsi="仿宋" w:eastAsia="仿宋" w:cs="仿宋"/>
                <w:color w:val="auto"/>
                <w:kern w:val="0"/>
                <w:sz w:val="24"/>
                <w:highlight w:val="none"/>
                <w:u w:val="none"/>
                <w:lang w:val="en-US" w:eastAsia="zh-CN" w:bidi="ar"/>
              </w:rPr>
              <w:t>；</w:t>
            </w:r>
            <w:r>
              <w:rPr>
                <w:rFonts w:hint="eastAsia" w:ascii="仿宋" w:hAnsi="仿宋" w:eastAsia="仿宋" w:cs="仿宋"/>
                <w:b w:val="0"/>
                <w:bCs w:val="0"/>
                <w:color w:val="auto"/>
                <w:sz w:val="24"/>
                <w:szCs w:val="24"/>
                <w:highlight w:val="none"/>
                <w:lang w:val="en-US" w:eastAsia="zh-CN"/>
              </w:rPr>
              <w:t>注：依法免税或不需要缴纳社会保障金的供应商，应提供相关证明材料，包括相关法规要求原文及加盖公章的情况说明）；</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（5）参加政府采购活动近3年内，在经营活动中没有重大违法记录（提供声明）；</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（6）“信用中国”网站（http://www.creditchina.gov.cn/）、</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“中国政府采购网”网站（http://www.ccgp.gov.cn/）无重大违法违规行为纪录；</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（7）单位负责人为同一人或者存在直接控股、管理关系的不同供应商，不得参加同一合同项下的政府采购活动（提供承诺书）；</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（8）采购政策：本项目为专门面向中小企业采购，供应商所供产品生产厂家应均为中小微企业或监狱企业或残疾人福利性单位。</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信用查询</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1、查询渠道：信用中国（网址：http://www.creditchina.gov.cn）、中国政府采购网(网址：http://www.ccgp.gov.cn）。</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2、截止时点：开标后评标前。</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3、信用信息查询记录和证据留存的具体方式：由采购组织机构在规定查询时间内打印信用信息查询记录并归入项目档案。</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使用规则：对列入失信被执行人、重大税收违法失信主体、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overflowPunct/>
              <w:bidi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项目属性</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overflowPunct/>
              <w:bidi w:val="0"/>
              <w:spacing w:before="0" w:beforeAutospacing="0" w:after="0" w:afterAutospacing="0" w:line="240" w:lineRule="auto"/>
              <w:ind w:left="0" w:leftChars="0" w:right="0" w:right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项目属性：</w:t>
            </w:r>
          </w:p>
          <w:p>
            <w:pPr>
              <w:keepNext w:val="0"/>
              <w:keepLines w:val="0"/>
              <w:pageBreakBefore w:val="0"/>
              <w:suppressLineNumbers w:val="0"/>
              <w:shd w:val="clear" w:color="auto" w:fill="auto"/>
              <w:overflowPunct/>
              <w:bidi w:val="0"/>
              <w:spacing w:before="0" w:beforeAutospacing="0" w:after="0" w:afterAutospacing="0" w:line="240" w:lineRule="auto"/>
              <w:ind w:left="0" w:leftChars="0" w:right="0" w:right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w:t>
            </w:r>
          </w:p>
          <w:p>
            <w:pPr>
              <w:keepNext w:val="0"/>
              <w:keepLines w:val="0"/>
              <w:pageBreakBefore w:val="0"/>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■不组织</w:t>
            </w:r>
          </w:p>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□组织，考察时间：__年_月_日_点_分</w:t>
            </w:r>
          </w:p>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考察地点：____________。</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w:t>
            </w:r>
          </w:p>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前答疑会</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■不召开</w:t>
            </w:r>
          </w:p>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□召开，召开时间：__年_月_日_点_分</w:t>
            </w:r>
          </w:p>
          <w:p>
            <w:pPr>
              <w:keepNext w:val="0"/>
              <w:keepLines w:val="0"/>
              <w:pageBreakBefore w:val="0"/>
              <w:widowControl/>
              <w:suppressLineNumbers w:val="0"/>
              <w:shd w:val="clear" w:color="auto" w:fill="auto"/>
              <w:overflowPunct/>
              <w:bidi w:val="0"/>
              <w:spacing w:before="0" w:beforeAutospacing="0" w:after="0" w:afterAutospacing="0" w:line="240" w:lineRule="auto"/>
              <w:ind w:left="0" w:leftChars="0" w:right="0" w:rightChars="0" w:firstLine="0" w:firstLineChars="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召开地点：____________。</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是否接受联合体投标</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■不接受</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□接受</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是否允许递交备选投标方案</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■不允许</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□允许</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分包</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本项目的非主体、非关键性工作是否允许分包：</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■不允许</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□允许，具体要求：</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（1）可以分包履行的具体内容：_____；</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（2）允许分包的金额或者比例：_____；</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（3）其他要求：_____。</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要求澄清谈判文件的截止时间</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投标截止时间至少3日前</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响应（谈判）有效期</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90天</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谈判保证金</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谈判保证金须以电汇、银行转账、担保机构出具的保函等非现金形式（选择其中一种方式缴纳），从供应商基本账户转出，必须在投标截止时间前将交纳保证金的凭证放在响应文件中。</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谈判保证金：12000元（壹万贰仟元整）</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接受保证金的银行及帐号：</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开户名称：新疆盛世乾元工程项目管理咨询有限公司</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开户银行：中国农业银行股份有限公司乌鲁木齐南湖路（兵团）支行</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银行账号：30704501040008571</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行号：103881070457</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以电汇或银行转账形式缴纳保证金的供应商注意事项：</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在汇款附言（或银行摘要）中，标明项目编号、包号（如分包）。每个项目须按照分包分别提交谈判保证金。</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投标保函提交方式：供应商可通过"政采云平台金融服务中心"(https://jinrong.zcygov.cn/)，申请办理投标电子保函，成功出函的等效于缴纳谈判保证金。</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谈判保证金（投标电子保函）有效期与响应有效期一致。</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递交响应文件截止时间和地点</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截止时间：</w:t>
            </w:r>
            <w:r>
              <w:rPr>
                <w:rFonts w:hint="eastAsia" w:ascii="仿宋" w:hAnsi="仿宋" w:eastAsia="仿宋" w:cs="仿宋"/>
                <w:b w:val="0"/>
                <w:color w:val="auto"/>
                <w:kern w:val="2"/>
                <w:sz w:val="24"/>
                <w:szCs w:val="24"/>
                <w:highlight w:val="none"/>
                <w:u w:val="single"/>
                <w:lang w:val="en-US" w:eastAsia="zh-CN" w:bidi="ar-SA"/>
              </w:rPr>
              <w:t>2023</w:t>
            </w:r>
            <w:r>
              <w:rPr>
                <w:rFonts w:hint="eastAsia" w:ascii="仿宋" w:hAnsi="仿宋" w:eastAsia="仿宋" w:cs="仿宋"/>
                <w:b w:val="0"/>
                <w:color w:val="auto"/>
                <w:kern w:val="2"/>
                <w:sz w:val="24"/>
                <w:szCs w:val="24"/>
                <w:highlight w:val="none"/>
                <w:u w:val="none"/>
                <w:lang w:val="en-US" w:eastAsia="zh-CN" w:bidi="ar-SA"/>
              </w:rPr>
              <w:t>年</w:t>
            </w:r>
            <w:r>
              <w:rPr>
                <w:rFonts w:hint="eastAsia" w:ascii="仿宋" w:hAnsi="仿宋" w:eastAsia="仿宋" w:cs="仿宋"/>
                <w:b w:val="0"/>
                <w:color w:val="auto"/>
                <w:kern w:val="2"/>
                <w:sz w:val="24"/>
                <w:szCs w:val="24"/>
                <w:highlight w:val="none"/>
                <w:u w:val="single"/>
                <w:lang w:val="en-US" w:eastAsia="zh-CN" w:bidi="ar-SA"/>
              </w:rPr>
              <w:t>11</w:t>
            </w:r>
            <w:r>
              <w:rPr>
                <w:rFonts w:hint="eastAsia" w:ascii="仿宋" w:hAnsi="仿宋" w:eastAsia="仿宋" w:cs="仿宋"/>
                <w:b w:val="0"/>
                <w:color w:val="auto"/>
                <w:kern w:val="2"/>
                <w:sz w:val="24"/>
                <w:szCs w:val="24"/>
                <w:highlight w:val="none"/>
                <w:u w:val="none"/>
                <w:lang w:val="en-US" w:eastAsia="zh-CN" w:bidi="ar-SA"/>
              </w:rPr>
              <w:t>月</w:t>
            </w:r>
            <w:r>
              <w:rPr>
                <w:rFonts w:hint="eastAsia" w:ascii="仿宋" w:hAnsi="仿宋" w:eastAsia="仿宋" w:cs="仿宋"/>
                <w:b w:val="0"/>
                <w:color w:val="auto"/>
                <w:kern w:val="2"/>
                <w:sz w:val="24"/>
                <w:szCs w:val="24"/>
                <w:highlight w:val="none"/>
                <w:u w:val="single"/>
                <w:lang w:val="en-US" w:eastAsia="zh-CN" w:bidi="ar-SA"/>
              </w:rPr>
              <w:t>02</w:t>
            </w:r>
            <w:r>
              <w:rPr>
                <w:rFonts w:hint="eastAsia" w:ascii="仿宋" w:hAnsi="仿宋" w:eastAsia="仿宋" w:cs="仿宋"/>
                <w:b w:val="0"/>
                <w:color w:val="auto"/>
                <w:kern w:val="2"/>
                <w:sz w:val="24"/>
                <w:szCs w:val="24"/>
                <w:highlight w:val="none"/>
                <w:u w:val="none"/>
                <w:lang w:val="en-US" w:eastAsia="zh-CN" w:bidi="ar-SA"/>
              </w:rPr>
              <w:t>日</w:t>
            </w:r>
            <w:r>
              <w:rPr>
                <w:rFonts w:hint="eastAsia" w:ascii="仿宋" w:hAnsi="仿宋" w:eastAsia="仿宋" w:cs="仿宋"/>
                <w:b w:val="0"/>
                <w:color w:val="auto"/>
                <w:kern w:val="2"/>
                <w:sz w:val="24"/>
                <w:szCs w:val="24"/>
                <w:highlight w:val="none"/>
                <w:u w:val="single"/>
                <w:lang w:val="en-US" w:eastAsia="zh-CN" w:bidi="ar-SA"/>
              </w:rPr>
              <w:t>11：00</w:t>
            </w:r>
            <w:r>
              <w:rPr>
                <w:rFonts w:hint="eastAsia" w:ascii="仿宋" w:hAnsi="仿宋" w:eastAsia="仿宋" w:cs="仿宋"/>
                <w:b w:val="0"/>
                <w:color w:val="auto"/>
                <w:kern w:val="2"/>
                <w:sz w:val="24"/>
                <w:szCs w:val="24"/>
                <w:highlight w:val="none"/>
                <w:lang w:val="en-US" w:eastAsia="zh-CN" w:bidi="ar-SA"/>
              </w:rPr>
              <w:t>（北京时间）</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地点：请登录政采云投标客户端投标</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开启时间</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和地点</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开启时间：</w:t>
            </w:r>
            <w:r>
              <w:rPr>
                <w:rFonts w:hint="eastAsia" w:ascii="仿宋" w:hAnsi="仿宋" w:eastAsia="仿宋" w:cs="仿宋"/>
                <w:b w:val="0"/>
                <w:color w:val="auto"/>
                <w:kern w:val="2"/>
                <w:sz w:val="24"/>
                <w:szCs w:val="24"/>
                <w:highlight w:val="none"/>
                <w:u w:val="single"/>
                <w:lang w:val="en-US" w:eastAsia="zh-CN" w:bidi="ar-SA"/>
              </w:rPr>
              <w:t>2023</w:t>
            </w:r>
            <w:r>
              <w:rPr>
                <w:rFonts w:hint="eastAsia" w:ascii="仿宋" w:hAnsi="仿宋" w:eastAsia="仿宋" w:cs="仿宋"/>
                <w:b w:val="0"/>
                <w:color w:val="auto"/>
                <w:kern w:val="2"/>
                <w:sz w:val="24"/>
                <w:szCs w:val="24"/>
                <w:highlight w:val="none"/>
                <w:u w:val="none"/>
                <w:lang w:val="en-US" w:eastAsia="zh-CN" w:bidi="ar-SA"/>
              </w:rPr>
              <w:t>年</w:t>
            </w:r>
            <w:r>
              <w:rPr>
                <w:rFonts w:hint="eastAsia" w:ascii="仿宋" w:hAnsi="仿宋" w:eastAsia="仿宋" w:cs="仿宋"/>
                <w:b w:val="0"/>
                <w:color w:val="auto"/>
                <w:kern w:val="2"/>
                <w:sz w:val="24"/>
                <w:szCs w:val="24"/>
                <w:highlight w:val="none"/>
                <w:u w:val="single"/>
                <w:lang w:val="en-US" w:eastAsia="zh-CN" w:bidi="ar-SA"/>
              </w:rPr>
              <w:t>11</w:t>
            </w:r>
            <w:r>
              <w:rPr>
                <w:rFonts w:hint="eastAsia" w:ascii="仿宋" w:hAnsi="仿宋" w:eastAsia="仿宋" w:cs="仿宋"/>
                <w:b w:val="0"/>
                <w:color w:val="auto"/>
                <w:kern w:val="2"/>
                <w:sz w:val="24"/>
                <w:szCs w:val="24"/>
                <w:highlight w:val="none"/>
                <w:u w:val="none"/>
                <w:lang w:val="en-US" w:eastAsia="zh-CN" w:bidi="ar-SA"/>
              </w:rPr>
              <w:t>月</w:t>
            </w:r>
            <w:r>
              <w:rPr>
                <w:rFonts w:hint="eastAsia" w:ascii="仿宋" w:hAnsi="仿宋" w:eastAsia="仿宋" w:cs="仿宋"/>
                <w:b w:val="0"/>
                <w:color w:val="auto"/>
                <w:kern w:val="2"/>
                <w:sz w:val="24"/>
                <w:szCs w:val="24"/>
                <w:highlight w:val="none"/>
                <w:u w:val="single"/>
                <w:lang w:val="en-US" w:eastAsia="zh-CN" w:bidi="ar-SA"/>
              </w:rPr>
              <w:t>02</w:t>
            </w:r>
            <w:r>
              <w:rPr>
                <w:rFonts w:hint="eastAsia" w:ascii="仿宋" w:hAnsi="仿宋" w:eastAsia="仿宋" w:cs="仿宋"/>
                <w:b w:val="0"/>
                <w:color w:val="auto"/>
                <w:kern w:val="2"/>
                <w:sz w:val="24"/>
                <w:szCs w:val="24"/>
                <w:highlight w:val="none"/>
                <w:u w:val="none"/>
                <w:lang w:val="en-US" w:eastAsia="zh-CN" w:bidi="ar-SA"/>
              </w:rPr>
              <w:t>日</w:t>
            </w:r>
            <w:r>
              <w:rPr>
                <w:rFonts w:hint="eastAsia" w:ascii="仿宋" w:hAnsi="仿宋" w:eastAsia="仿宋" w:cs="仿宋"/>
                <w:b w:val="0"/>
                <w:color w:val="auto"/>
                <w:kern w:val="2"/>
                <w:sz w:val="24"/>
                <w:szCs w:val="24"/>
                <w:highlight w:val="none"/>
                <w:u w:val="single"/>
                <w:lang w:val="en-US" w:eastAsia="zh-CN" w:bidi="ar-SA"/>
              </w:rPr>
              <w:t>11：00</w:t>
            </w:r>
            <w:r>
              <w:rPr>
                <w:rFonts w:hint="eastAsia" w:ascii="仿宋" w:hAnsi="仿宋" w:eastAsia="仿宋" w:cs="仿宋"/>
                <w:b w:val="0"/>
                <w:color w:val="auto"/>
                <w:kern w:val="2"/>
                <w:sz w:val="24"/>
                <w:szCs w:val="24"/>
                <w:highlight w:val="none"/>
                <w:lang w:val="en-US" w:eastAsia="zh-CN" w:bidi="ar-SA"/>
              </w:rPr>
              <w:t>（北京时间）</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地点：政采云平台https://www.zcygov.cn/</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w:t>
            </w:r>
          </w:p>
        </w:tc>
        <w:tc>
          <w:tcPr>
            <w:tcW w:w="166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响应文件的上传和递交</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响应文件：响应文件制作完成并生成加密标书，在递交响应文件截止时间前，供应商需将加密的响应文件上传至政采云平台，在开标时间开始后，待采购组织机构发出解密通知后30分钟内解密响应文件。</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a.供应商未能在递交响应文件成功上传电子加密响应文件的投标无效。</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b.供应商成功上传电子加密响应文件后，可自行打印响应文件接收回执。</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c.远程开标前，供应商务必在政采云（https：//www.zcygov.cn/）将响应文件上传模块中使用“模拟解密”功能，验证本机远程自助解密环境。</w:t>
            </w:r>
          </w:p>
        </w:tc>
      </w:tr>
      <w:tr>
        <w:tblPrEx>
          <w:tblCellMar>
            <w:top w:w="0" w:type="dxa"/>
            <w:left w:w="108" w:type="dxa"/>
            <w:bottom w:w="0" w:type="dxa"/>
            <w:right w:w="108" w:type="dxa"/>
          </w:tblCellMar>
        </w:tblPrEx>
        <w:trPr>
          <w:trHeight w:val="23" w:hRule="atLeast"/>
          <w:jc w:val="center"/>
        </w:trPr>
        <w:tc>
          <w:tcPr>
            <w:tcW w:w="741"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w:t>
            </w:r>
          </w:p>
        </w:tc>
        <w:tc>
          <w:tcPr>
            <w:tcW w:w="1665"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注意事项</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（1）本项目采用远程不见面电子标的方式开标。</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（3）供应商操作指南详见政府采购网办事指南、操作指南。</w:t>
            </w:r>
          </w:p>
          <w:p>
            <w:pPr>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（4）系统操作问题请咨询技术支持电话0991-2899144，CA办理问题请咨询新疆CA服务电话0991-2819290，或加QQ号800175577。</w:t>
            </w:r>
          </w:p>
          <w:p>
            <w:pPr>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评标委员会的组建</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评标委员会由</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shd w:val="clear"/>
                <w:lang w:val="zh-CN" w:eastAsia="zh-CN"/>
              </w:rPr>
              <w:t>人以上单数组成。</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评审专家确定方式：评审专家由采购人在开标前从政采云专家库中随机抽取。</w:t>
            </w:r>
          </w:p>
        </w:tc>
      </w:tr>
      <w:tr>
        <w:tblPrEx>
          <w:tblCellMar>
            <w:top w:w="0" w:type="dxa"/>
            <w:left w:w="108" w:type="dxa"/>
            <w:bottom w:w="0" w:type="dxa"/>
            <w:right w:w="108" w:type="dxa"/>
          </w:tblCellMar>
        </w:tblPrEx>
        <w:trPr>
          <w:trHeight w:val="23" w:hRule="atLeast"/>
          <w:jc w:val="center"/>
        </w:trPr>
        <w:tc>
          <w:tcPr>
            <w:tcW w:w="741"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28</w:t>
            </w:r>
          </w:p>
        </w:tc>
        <w:tc>
          <w:tcPr>
            <w:tcW w:w="8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费收费标准：按照《国家发展改革委关于降低部分建设项目收费标准规范收费行为等有关问题的通知》发改价格[2011]534号文件要求、《国家发展改革委关于进一步放开建设项目专业服务价格的通知》协商按照发改价格[2015]299号文件下浮40%收取（由成交单位支付）。收费标准如下：</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1991"/>
              <w:gridCol w:w="245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458"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中标金额（万元）</w:t>
                  </w:r>
                </w:p>
              </w:tc>
              <w:tc>
                <w:tcPr>
                  <w:tcW w:w="1154"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货物招标</w:t>
                  </w:r>
                </w:p>
              </w:tc>
              <w:tc>
                <w:tcPr>
                  <w:tcW w:w="142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服务招标</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58"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100以下</w:t>
                  </w:r>
                </w:p>
              </w:tc>
              <w:tc>
                <w:tcPr>
                  <w:tcW w:w="1154"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1.50%</w:t>
                  </w:r>
                </w:p>
              </w:tc>
              <w:tc>
                <w:tcPr>
                  <w:tcW w:w="1423"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1.50%</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58"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100-500</w:t>
                  </w:r>
                </w:p>
              </w:tc>
              <w:tc>
                <w:tcPr>
                  <w:tcW w:w="1154"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1.10%</w:t>
                  </w:r>
                </w:p>
              </w:tc>
              <w:tc>
                <w:tcPr>
                  <w:tcW w:w="1423"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0.80%</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458"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w:t>
                  </w:r>
                </w:p>
              </w:tc>
              <w:tc>
                <w:tcPr>
                  <w:tcW w:w="1154"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0.80%</w:t>
                  </w:r>
                </w:p>
              </w:tc>
              <w:tc>
                <w:tcPr>
                  <w:tcW w:w="1423"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0.45%</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58"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1000-5000</w:t>
                  </w:r>
                </w:p>
              </w:tc>
              <w:tc>
                <w:tcPr>
                  <w:tcW w:w="1154"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0.50%</w:t>
                  </w:r>
                </w:p>
              </w:tc>
              <w:tc>
                <w:tcPr>
                  <w:tcW w:w="1423"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0.25%</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58"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5000-10000</w:t>
                  </w:r>
                </w:p>
              </w:tc>
              <w:tc>
                <w:tcPr>
                  <w:tcW w:w="1154"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0.25%</w:t>
                  </w:r>
                </w:p>
              </w:tc>
              <w:tc>
                <w:tcPr>
                  <w:tcW w:w="1423" w:type="pct"/>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0.1%</w:t>
                  </w:r>
                </w:p>
              </w:tc>
              <w:tc>
                <w:tcPr>
                  <w:tcW w:w="963" w:type="pct"/>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r>
          </w:tbl>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招标代理服务收费按差额定率累进法计算。例如：某项目招标代理业务中标金额为6000万元，计算招标代理服务收费额如下：</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100万元×1.50%=1.5（万元）；</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（500-100）万元×1.10%=4.4（万元）</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（1000-500）万元×0.80%=4.0（万元）</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（5000-1000）万元×0.50%=20.0（万元）</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（10000-5000）万元×0.50%=2.5（万元）</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合计收费=1.5+4.4+4.0+20.0+2.5=32.4(万元)</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29</w:t>
            </w:r>
          </w:p>
        </w:tc>
        <w:tc>
          <w:tcPr>
            <w:tcW w:w="166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u w:val="none" w:color="000000"/>
                <w:lang w:val="en-US" w:eastAsia="zh-CN" w:bidi="ar-SA"/>
              </w:rPr>
              <w:t>投标报价</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仿宋" w:hAnsi="仿宋" w:eastAsia="仿宋" w:cs="仿宋"/>
                <w:b/>
                <w:bCs/>
                <w:color w:val="auto"/>
                <w:kern w:val="0"/>
                <w:u w:val="none" w:color="auto"/>
              </w:rPr>
            </w:pPr>
            <w:r>
              <w:rPr>
                <w:rFonts w:hint="eastAsia" w:ascii="仿宋" w:hAnsi="仿宋" w:eastAsia="仿宋" w:cs="仿宋"/>
                <w:b/>
                <w:bCs/>
                <w:color w:val="auto"/>
                <w:kern w:val="0"/>
                <w:u w:val="none" w:color="auto"/>
                <w:lang w:val="en-US" w:eastAsia="zh-CN"/>
              </w:rPr>
              <w:t>1.</w:t>
            </w:r>
            <w:r>
              <w:rPr>
                <w:rFonts w:hint="eastAsia" w:ascii="仿宋" w:hAnsi="仿宋" w:eastAsia="仿宋" w:cs="仿宋"/>
                <w:b/>
                <w:bCs/>
                <w:color w:val="auto"/>
                <w:kern w:val="0"/>
                <w:u w:val="none" w:color="auto"/>
              </w:rPr>
              <w:t>投标报价：</w:t>
            </w:r>
            <w:r>
              <w:rPr>
                <w:rFonts w:hint="eastAsia" w:ascii="仿宋" w:hAnsi="仿宋" w:eastAsia="仿宋" w:cs="仿宋"/>
                <w:b/>
                <w:bCs/>
                <w:color w:val="auto"/>
                <w:kern w:val="0"/>
                <w:u w:val="none" w:color="auto"/>
              </w:rPr>
              <w:t>货物到达交货地点并完成服务的包干总价</w:t>
            </w:r>
            <w:r>
              <w:rPr>
                <w:rFonts w:hint="eastAsia" w:ascii="仿宋" w:hAnsi="仿宋" w:eastAsia="仿宋" w:cs="仿宋"/>
                <w:b/>
                <w:bCs/>
                <w:color w:val="auto"/>
                <w:kern w:val="0"/>
                <w:u w:val="none" w:color="auto"/>
              </w:rPr>
              <w:t>；本项目为竞争性谈判，最终报价2轮或两轮以上</w:t>
            </w:r>
            <w:r>
              <w:rPr>
                <w:rFonts w:hint="eastAsia" w:ascii="仿宋" w:hAnsi="仿宋" w:eastAsia="仿宋" w:cs="仿宋"/>
                <w:b/>
                <w:bCs/>
                <w:color w:val="auto"/>
                <w:kern w:val="0"/>
                <w:u w:val="none" w:color="auto"/>
                <w:lang w:eastAsia="zh-CN"/>
              </w:rPr>
              <w:t>，</w:t>
            </w:r>
            <w:r>
              <w:rPr>
                <w:rFonts w:hint="eastAsia" w:ascii="仿宋" w:hAnsi="仿宋" w:eastAsia="仿宋" w:cs="仿宋"/>
                <w:b/>
                <w:bCs/>
                <w:color w:val="auto"/>
                <w:spacing w:val="-6"/>
                <w:sz w:val="24"/>
              </w:rPr>
              <w:t>最后一次报价为谈判的最终报价</w:t>
            </w:r>
            <w:r>
              <w:rPr>
                <w:rFonts w:hint="eastAsia" w:ascii="仿宋" w:hAnsi="仿宋" w:eastAsia="仿宋" w:cs="仿宋"/>
                <w:b/>
                <w:bCs/>
                <w:color w:val="auto"/>
                <w:kern w:val="0"/>
                <w:u w:val="none" w:color="auto"/>
              </w:rPr>
              <w:t>；</w:t>
            </w:r>
          </w:p>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仿宋" w:hAnsi="仿宋" w:eastAsia="仿宋" w:cs="仿宋"/>
                <w:color w:val="auto"/>
                <w:kern w:val="0"/>
                <w:u w:val="none" w:color="auto"/>
              </w:rPr>
            </w:pPr>
            <w:r>
              <w:rPr>
                <w:rFonts w:hint="eastAsia" w:ascii="仿宋" w:hAnsi="仿宋" w:eastAsia="仿宋" w:cs="仿宋"/>
                <w:color w:val="auto"/>
                <w:kern w:val="0"/>
                <w:u w:val="none" w:color="auto"/>
              </w:rPr>
              <w:t>2</w:t>
            </w:r>
            <w:r>
              <w:rPr>
                <w:rFonts w:hint="eastAsia" w:ascii="仿宋" w:hAnsi="仿宋" w:eastAsia="仿宋" w:cs="仿宋"/>
                <w:color w:val="auto"/>
                <w:kern w:val="0"/>
                <w:u w:val="none" w:color="auto"/>
                <w:lang w:val="en-US" w:eastAsia="zh-CN"/>
              </w:rPr>
              <w:t>.</w:t>
            </w:r>
            <w:r>
              <w:rPr>
                <w:rFonts w:hint="eastAsia" w:ascii="仿宋" w:hAnsi="仿宋" w:eastAsia="仿宋" w:cs="仿宋"/>
                <w:color w:val="auto"/>
                <w:kern w:val="0"/>
                <w:u w:val="none" w:color="auto"/>
              </w:rPr>
              <w:t>投标报价应包括：有关本项目所需货物采购、货物验收、包装、运输、检测、安装、调试、培训、技术服务（包括技术资料、图纸的提供）、质保期保障和所有税费等一切支出。运输途中风险由中标供应商自行承担；</w:t>
            </w:r>
          </w:p>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仿宋" w:hAnsi="仿宋" w:eastAsia="仿宋" w:cs="仿宋"/>
                <w:color w:val="auto"/>
                <w:kern w:val="0"/>
                <w:u w:val="none" w:color="auto"/>
              </w:rPr>
            </w:pPr>
            <w:r>
              <w:rPr>
                <w:rFonts w:hint="eastAsia" w:ascii="仿宋" w:hAnsi="仿宋" w:eastAsia="仿宋" w:cs="仿宋"/>
                <w:color w:val="auto"/>
                <w:kern w:val="0"/>
                <w:u w:val="none" w:color="auto"/>
              </w:rPr>
              <w:t>3</w:t>
            </w:r>
            <w:r>
              <w:rPr>
                <w:rFonts w:hint="eastAsia" w:ascii="仿宋" w:hAnsi="仿宋" w:eastAsia="仿宋" w:cs="仿宋"/>
                <w:color w:val="auto"/>
                <w:kern w:val="0"/>
                <w:u w:val="none" w:color="auto"/>
                <w:lang w:val="en-US" w:eastAsia="zh-CN"/>
              </w:rPr>
              <w:t>.</w:t>
            </w:r>
            <w:r>
              <w:rPr>
                <w:rFonts w:hint="eastAsia" w:ascii="仿宋" w:hAnsi="仿宋" w:eastAsia="仿宋" w:cs="仿宋"/>
                <w:color w:val="auto"/>
                <w:kern w:val="0"/>
                <w:u w:val="none" w:color="auto"/>
              </w:rPr>
              <w:t>投标货币：人民币；</w:t>
            </w:r>
          </w:p>
          <w:p>
            <w:pPr>
              <w:pStyle w:val="13"/>
              <w:keepNext w:val="0"/>
              <w:keepLines w:val="0"/>
              <w:pageBreakBefore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kern w:val="0"/>
                <w:u w:val="none" w:color="auto"/>
                <w:lang w:val="en-US" w:eastAsia="zh-CN"/>
              </w:rPr>
            </w:pPr>
            <w:r>
              <w:rPr>
                <w:rFonts w:hint="eastAsia" w:ascii="仿宋" w:hAnsi="仿宋" w:eastAsia="仿宋" w:cs="仿宋"/>
                <w:b/>
                <w:bCs/>
                <w:color w:val="auto"/>
                <w:kern w:val="2"/>
                <w:sz w:val="24"/>
                <w:szCs w:val="24"/>
                <w:highlight w:val="none"/>
                <w:u w:val="none" w:color="auto"/>
                <w:lang w:val="en-US" w:eastAsia="zh-CN" w:bidi="ar-SA"/>
              </w:rPr>
              <w:t>4.投标报价高于最高限价按无效报价处理，请供应商注意！</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w:t>
            </w:r>
          </w:p>
        </w:tc>
        <w:tc>
          <w:tcPr>
            <w:tcW w:w="166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kern w:val="2"/>
                <w:sz w:val="24"/>
                <w:szCs w:val="24"/>
                <w:highlight w:val="none"/>
                <w:u w:val="none" w:color="000000"/>
                <w:lang w:val="en-US" w:eastAsia="zh-CN" w:bidi="ar-SA"/>
              </w:rPr>
            </w:pPr>
            <w:r>
              <w:rPr>
                <w:rFonts w:hint="eastAsia" w:ascii="仿宋" w:hAnsi="仿宋" w:eastAsia="仿宋" w:cs="仿宋"/>
                <w:b w:val="0"/>
                <w:bCs w:val="0"/>
                <w:color w:val="auto"/>
                <w:kern w:val="2"/>
                <w:sz w:val="24"/>
                <w:szCs w:val="24"/>
                <w:highlight w:val="none"/>
                <w:u w:val="none" w:color="000000"/>
                <w:lang w:val="en-US" w:eastAsia="zh-CN" w:bidi="ar-SA"/>
              </w:rPr>
              <w:t>低价认定</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仿宋" w:hAnsi="仿宋" w:eastAsia="仿宋" w:cs="仿宋"/>
                <w:color w:val="auto"/>
                <w:kern w:val="0"/>
                <w:u w:val="none" w:color="auto"/>
              </w:rPr>
            </w:pPr>
            <w:r>
              <w:rPr>
                <w:rFonts w:hint="eastAsia" w:ascii="仿宋" w:hAnsi="仿宋" w:eastAsia="仿宋" w:cs="仿宋"/>
                <w:b w:val="0"/>
                <w:bCs w:val="0"/>
                <w:color w:val="auto"/>
                <w:kern w:val="2"/>
                <w:sz w:val="24"/>
                <w:szCs w:val="24"/>
                <w:highlight w:val="none"/>
                <w:u w:val="none" w:color="auto"/>
                <w:lang w:val="en-US" w:eastAsia="zh-CN" w:bidi="zh-CN"/>
              </w:rPr>
              <w:t>根据中华人民共和国《政府采购货物和服务招标投标管理办法》（财政部令第87号）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CellMar>
            <w:top w:w="0" w:type="dxa"/>
            <w:left w:w="108" w:type="dxa"/>
            <w:bottom w:w="0" w:type="dxa"/>
            <w:right w:w="108" w:type="dxa"/>
          </w:tblCellMar>
        </w:tblPrEx>
        <w:trPr>
          <w:trHeight w:val="2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评标办法</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最低评标价法</w:t>
            </w:r>
          </w:p>
        </w:tc>
      </w:tr>
      <w:tr>
        <w:tblPrEx>
          <w:tblCellMar>
            <w:top w:w="0" w:type="dxa"/>
            <w:left w:w="108" w:type="dxa"/>
            <w:bottom w:w="0" w:type="dxa"/>
            <w:right w:w="108" w:type="dxa"/>
          </w:tblCellMar>
        </w:tblPrEx>
        <w:trPr>
          <w:trHeight w:val="23" w:hRule="atLeast"/>
          <w:jc w:val="center"/>
        </w:trPr>
        <w:tc>
          <w:tcPr>
            <w:tcW w:w="741"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w:t>
            </w:r>
          </w:p>
        </w:tc>
        <w:tc>
          <w:tcPr>
            <w:tcW w:w="1665"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提交履约保证金的时间：/</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履约保证金金额：/</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履约保证金形式：/</w:t>
            </w:r>
          </w:p>
        </w:tc>
      </w:tr>
      <w:tr>
        <w:tblPrEx>
          <w:tblCellMar>
            <w:top w:w="0" w:type="dxa"/>
            <w:left w:w="108" w:type="dxa"/>
            <w:bottom w:w="0" w:type="dxa"/>
            <w:right w:w="108" w:type="dxa"/>
          </w:tblCellMar>
        </w:tblPrEx>
        <w:trPr>
          <w:trHeight w:val="23" w:hRule="atLeast"/>
          <w:jc w:val="center"/>
        </w:trPr>
        <w:tc>
          <w:tcPr>
            <w:tcW w:w="741" w:type="dxa"/>
            <w:vMerge w:val="restart"/>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w:t>
            </w:r>
          </w:p>
        </w:tc>
        <w:tc>
          <w:tcPr>
            <w:tcW w:w="1665" w:type="dxa"/>
            <w:vMerge w:val="restart"/>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中小微企业政策文件</w:t>
            </w:r>
          </w:p>
        </w:tc>
        <w:tc>
          <w:tcPr>
            <w:tcW w:w="7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（1）根据《政府采购促进中小企业发展暂行办法》（财库〔2020〕46号）；《关于进一步加大政府采购支持中小企业力度的通知》（财库﹝2022﹞19号）；</w:t>
            </w:r>
          </w:p>
        </w:tc>
      </w:tr>
      <w:tr>
        <w:tblPrEx>
          <w:tblCellMar>
            <w:top w:w="0" w:type="dxa"/>
            <w:left w:w="108" w:type="dxa"/>
            <w:bottom w:w="0" w:type="dxa"/>
            <w:right w:w="108" w:type="dxa"/>
          </w:tblCellMar>
        </w:tblPrEx>
        <w:trPr>
          <w:trHeight w:val="23" w:hRule="atLeast"/>
          <w:jc w:val="center"/>
        </w:trPr>
        <w:tc>
          <w:tcPr>
            <w:tcW w:w="741" w:type="dxa"/>
            <w:vMerge w:val="continue"/>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c>
          <w:tcPr>
            <w:tcW w:w="1665" w:type="dxa"/>
            <w:vMerge w:val="continue"/>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p>
        </w:tc>
        <w:tc>
          <w:tcPr>
            <w:tcW w:w="7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23" w:hRule="atLeast"/>
          <w:jc w:val="center"/>
        </w:trPr>
        <w:tc>
          <w:tcPr>
            <w:tcW w:w="741" w:type="dxa"/>
            <w:vMerge w:val="continue"/>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c>
          <w:tcPr>
            <w:tcW w:w="16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p>
        </w:tc>
        <w:tc>
          <w:tcPr>
            <w:tcW w:w="7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根据财政部、民政部、中国残疾人联合会《关于促进残疾人就业政府采购政策的通知》（财库[2017]141号），在政府采购活动中，残疾人福利性单位视同小型、微型企业。供应商属于残疾人福利性单位的，按照谈判文件格式提供残疾人福利性单位声明函。</w:t>
            </w:r>
          </w:p>
        </w:tc>
      </w:tr>
      <w:tr>
        <w:tblPrEx>
          <w:tblCellMar>
            <w:top w:w="0" w:type="dxa"/>
            <w:left w:w="108" w:type="dxa"/>
            <w:bottom w:w="0" w:type="dxa"/>
            <w:right w:w="108" w:type="dxa"/>
          </w:tblCellMar>
        </w:tblPrEx>
        <w:trPr>
          <w:trHeight w:val="23" w:hRule="atLeast"/>
          <w:jc w:val="center"/>
        </w:trPr>
        <w:tc>
          <w:tcPr>
            <w:tcW w:w="741" w:type="dxa"/>
            <w:vMerge w:val="continue"/>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c>
          <w:tcPr>
            <w:tcW w:w="1665" w:type="dxa"/>
            <w:vMerge w:val="restart"/>
            <w:tcBorders>
              <w:left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中小微企业政策文件说明</w:t>
            </w:r>
          </w:p>
        </w:tc>
        <w:tc>
          <w:tcPr>
            <w:tcW w:w="71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23" w:hRule="atLeast"/>
          <w:jc w:val="center"/>
        </w:trPr>
        <w:tc>
          <w:tcPr>
            <w:tcW w:w="7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highlight w:val="none"/>
                <w:lang w:val="en-US" w:eastAsia="zh-CN"/>
              </w:rPr>
            </w:pPr>
          </w:p>
        </w:tc>
        <w:tc>
          <w:tcPr>
            <w:tcW w:w="16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本采购项目中小企业划分标准所属行业为：</w:t>
            </w:r>
            <w:r>
              <w:rPr>
                <w:rFonts w:hint="eastAsia" w:ascii="仿宋" w:hAnsi="仿宋" w:eastAsia="仿宋" w:cs="仿宋"/>
                <w:b/>
                <w:bCs/>
                <w:color w:val="auto"/>
                <w:sz w:val="24"/>
                <w:szCs w:val="24"/>
                <w:highlight w:val="none"/>
                <w:u w:val="single"/>
                <w:lang w:val="en-US" w:eastAsia="zh-CN"/>
              </w:rPr>
              <w:t>其他未列明行业；</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是否为专门面向中小企业采购：</w:t>
            </w:r>
            <w:r>
              <w:rPr>
                <w:rFonts w:hint="eastAsia" w:ascii="仿宋" w:hAnsi="仿宋" w:eastAsia="仿宋" w:cs="仿宋"/>
                <w:b/>
                <w:bCs/>
                <w:color w:val="auto"/>
                <w:sz w:val="24"/>
                <w:szCs w:val="24"/>
                <w:highlight w:val="none"/>
                <w:u w:val="single"/>
                <w:lang w:val="en-US" w:eastAsia="zh-CN"/>
              </w:rPr>
              <w:t>否；</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是否为本项目面向中小企业采购预留份额：</w:t>
            </w:r>
            <w:r>
              <w:rPr>
                <w:rFonts w:hint="eastAsia" w:ascii="仿宋" w:hAnsi="仿宋" w:eastAsia="仿宋" w:cs="仿宋"/>
                <w:b/>
                <w:bCs/>
                <w:color w:val="auto"/>
                <w:sz w:val="24"/>
                <w:szCs w:val="24"/>
                <w:highlight w:val="none"/>
                <w:u w:val="single"/>
                <w:lang w:val="en-US" w:eastAsia="zh-CN"/>
              </w:rPr>
              <w:t>否；</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预留份额：根据《政府采购促进中小企业发展暂行办法》（财库〔2020〕46号）；《关于进一步加大政府采购支持中小企业力度的通知》（财库﹝2022﹞19号）规定：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预算金额640200元，预留该部分采购项目预算总额的</w:t>
            </w:r>
            <w:r>
              <w:rPr>
                <w:rFonts w:hint="eastAsia" w:ascii="仿宋" w:hAnsi="仿宋" w:eastAsia="仿宋" w:cs="仿宋"/>
                <w:color w:val="auto"/>
                <w:sz w:val="24"/>
                <w:szCs w:val="24"/>
                <w:highlight w:val="none"/>
                <w:lang w:val="en-US" w:eastAsia="zh-CN"/>
              </w:rPr>
              <w:t xml:space="preserve">  %（不低于</w:t>
            </w:r>
            <w:r>
              <w:rPr>
                <w:rFonts w:hint="eastAsia" w:ascii="仿宋" w:hAnsi="仿宋" w:eastAsia="仿宋" w:cs="仿宋"/>
                <w:color w:val="auto"/>
                <w:sz w:val="24"/>
                <w:szCs w:val="24"/>
                <w:highlight w:val="none"/>
                <w:lang w:val="zh-CN" w:eastAsia="zh-CN"/>
              </w:rPr>
              <w:t>30%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专门面向中小企业采购，其中预留给小微企业的比例</w:t>
            </w:r>
            <w:r>
              <w:rPr>
                <w:rFonts w:hint="eastAsia" w:ascii="仿宋" w:hAnsi="仿宋" w:eastAsia="仿宋" w:cs="仿宋"/>
                <w:color w:val="auto"/>
                <w:sz w:val="24"/>
                <w:szCs w:val="24"/>
                <w:highlight w:val="none"/>
                <w:lang w:val="en-US" w:eastAsia="zh-CN"/>
              </w:rPr>
              <w:t xml:space="preserve">   %（不低于6</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2.对适宜由大型企业提供的采购项目和采购包，预留采购份额</w:t>
            </w:r>
            <w:r>
              <w:rPr>
                <w:rFonts w:hint="eastAsia" w:ascii="仿宋" w:hAnsi="仿宋" w:eastAsia="仿宋" w:cs="仿宋"/>
                <w:color w:val="auto"/>
                <w:sz w:val="24"/>
                <w:szCs w:val="24"/>
                <w:highlight w:val="none"/>
                <w:lang w:val="zh-CN" w:eastAsia="zh-CN"/>
              </w:rPr>
              <w:t xml:space="preserve">须将采购项目中的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（不低于40%）比例分包给一家或者多家中小企业,其中预留给小微企业的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eastAsia="zh-CN"/>
              </w:rPr>
              <w:t>（不低于60%）。</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highlight w:val="none"/>
                <w:lang w:val="zh-CN"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组成联合体或者接受分包合同的中小企业与联合体内其他企业、分包企业之间不得存在直接控股、管理关系。</w:t>
            </w:r>
          </w:p>
        </w:tc>
      </w:tr>
      <w:tr>
        <w:tblPrEx>
          <w:tblCellMar>
            <w:top w:w="0" w:type="dxa"/>
            <w:left w:w="108" w:type="dxa"/>
            <w:bottom w:w="0" w:type="dxa"/>
            <w:right w:w="108" w:type="dxa"/>
          </w:tblCellMar>
        </w:tblPrEx>
        <w:trPr>
          <w:trHeight w:val="23"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备注</w:t>
            </w:r>
          </w:p>
        </w:tc>
        <w:tc>
          <w:tcPr>
            <w:tcW w:w="7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着重提醒各供应商注意，并认真查看谈判文件中的每一个条款及要求，因误读谈判文件而造成的后果，采购人概不负责。</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2.供应商使用相同IP地址的，一经发现，相关部门将进一步核实，查实后按串通投标处理。</w:t>
            </w:r>
          </w:p>
          <w:p>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采购人若发现成交候选供应商在投标过程中提供虚假证明文件，故意隐瞒公司不良信誉和财务状况，以及其他可能对合同圆满履行造成风险的因素等，则按规定取消其成交资格，监管部门依法进行处理。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仿宋" w:hAnsi="仿宋" w:eastAsia="仿宋" w:cs="仿宋"/>
          <w:b/>
          <w:bCs/>
          <w:color w:val="auto"/>
          <w:sz w:val="28"/>
          <w:szCs w:val="28"/>
          <w:highlight w:val="none"/>
        </w:rPr>
      </w:pPr>
      <w:bookmarkStart w:id="64" w:name="_Toc14889"/>
      <w:bookmarkStart w:id="65" w:name="_Toc22972"/>
      <w:bookmarkStart w:id="66" w:name="_Toc15632"/>
      <w:bookmarkStart w:id="67" w:name="_Toc14758"/>
      <w:bookmarkStart w:id="68" w:name="_Toc12025"/>
      <w:bookmarkStart w:id="69" w:name="_Toc8596"/>
      <w:r>
        <w:rPr>
          <w:rFonts w:hint="eastAsia" w:ascii="仿宋" w:hAnsi="仿宋" w:eastAsia="仿宋" w:cs="仿宋"/>
          <w:b/>
          <w:bCs/>
          <w:color w:val="auto"/>
          <w:sz w:val="28"/>
          <w:szCs w:val="28"/>
          <w:highlight w:val="none"/>
        </w:rPr>
        <w:t>说明</w:t>
      </w:r>
      <w:bookmarkEnd w:id="64"/>
      <w:bookmarkEnd w:id="65"/>
      <w:bookmarkEnd w:id="66"/>
      <w:bookmarkEnd w:id="67"/>
      <w:bookmarkEnd w:id="68"/>
      <w:bookmarkEnd w:id="69"/>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highlight w:val="none"/>
        </w:rPr>
      </w:pPr>
      <w:bookmarkStart w:id="70" w:name="_Toc26022"/>
      <w:bookmarkStart w:id="71" w:name="_Toc22802"/>
      <w:bookmarkStart w:id="72" w:name="_Toc15753"/>
      <w:bookmarkStart w:id="73" w:name="_Toc469495725"/>
      <w:r>
        <w:rPr>
          <w:rFonts w:hint="eastAsia" w:ascii="仿宋" w:hAnsi="仿宋" w:eastAsia="仿宋" w:cs="仿宋"/>
          <w:b/>
          <w:bCs/>
          <w:color w:val="auto"/>
          <w:highlight w:val="none"/>
          <w:lang w:val="en-US" w:eastAsia="zh-CN"/>
        </w:rPr>
        <w:t>1.采购人、采购代理机构及合格的</w:t>
      </w:r>
      <w:bookmarkEnd w:id="70"/>
      <w:bookmarkEnd w:id="71"/>
      <w:r>
        <w:rPr>
          <w:rFonts w:hint="eastAsia" w:ascii="仿宋" w:hAnsi="仿宋" w:eastAsia="仿宋" w:cs="仿宋"/>
          <w:b/>
          <w:bCs/>
          <w:color w:val="auto"/>
          <w:highlight w:val="none"/>
          <w:lang w:val="en-US" w:eastAsia="zh-CN"/>
        </w:rPr>
        <w:t>供应商</w:t>
      </w:r>
      <w:bookmarkEnd w:id="72"/>
    </w:p>
    <w:bookmarkEnd w:id="73"/>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1.1采购人、采购代理机构：指依法进行政府采购的国家机关、事业单位、团体组织，及其委托的采购代理机构。本项目采购人、采购代理机构见《供应商须知资料表》。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1.2供应商（也称“供应商”）：指向采购人提供货物、工程或者服务的法人、其他组织或者自然人。</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1.3联合体：指两个以上的自然人、法人或者其他组织组成一个联合体，以一个供应商的身份共同参加政府采购。</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highlight w:val="none"/>
        </w:rPr>
      </w:pPr>
      <w:bookmarkStart w:id="74" w:name="_Toc16842"/>
      <w:r>
        <w:rPr>
          <w:rFonts w:hint="eastAsia" w:ascii="仿宋" w:hAnsi="仿宋" w:eastAsia="仿宋" w:cs="仿宋"/>
          <w:b/>
          <w:bCs/>
          <w:color w:val="auto"/>
          <w:highlight w:val="none"/>
        </w:rPr>
        <w:t>2资金来源、项目属性、科研仪器设备采购</w:t>
      </w:r>
      <w:bookmarkEnd w:id="74"/>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2.1资金来源为财政性资金和/或本项目采购中无法与财政性资金分割的非财政</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性资金。</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2.2项目属性见《供应商须知资料表》。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2.3是否属于科研仪器设备采购见《供应商须知资料表》。</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highlight w:val="none"/>
        </w:rPr>
      </w:pPr>
      <w:bookmarkStart w:id="75" w:name="_Toc13912"/>
      <w:r>
        <w:rPr>
          <w:rFonts w:hint="eastAsia" w:ascii="仿宋" w:hAnsi="仿宋" w:eastAsia="仿宋" w:cs="仿宋"/>
          <w:b/>
          <w:bCs/>
          <w:color w:val="auto"/>
          <w:highlight w:val="none"/>
        </w:rPr>
        <w:t>3现场考察、</w:t>
      </w: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前答疑会</w:t>
      </w:r>
      <w:bookmarkEnd w:id="75"/>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3.1若《供应商须知资料表》中规定了组织现场考察、召开谈判前答疑会，则供应商应按要求在规定的时间和地点参加。</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3.2由于未参加现场考察或谈判前答疑会而导致对项目实际情况不了解，影响响应文件编制、报价准确性、综合因素响应不全面等问题的，由供应商自行承担不利评审后果。</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highlight w:val="none"/>
        </w:rPr>
      </w:pPr>
      <w:bookmarkStart w:id="76" w:name="_Toc3953"/>
      <w:r>
        <w:rPr>
          <w:rFonts w:hint="eastAsia" w:ascii="仿宋" w:hAnsi="仿宋" w:eastAsia="仿宋" w:cs="仿宋"/>
          <w:b/>
          <w:bCs/>
          <w:color w:val="auto"/>
          <w:highlight w:val="none"/>
        </w:rPr>
        <w:t>4政府采购政策（包括但不限于下列具体政策要求）</w:t>
      </w:r>
      <w:bookmarkEnd w:id="76"/>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4.1进口产品</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本项目是否接受进口产品见第四章《采购需求》。</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4.2中小企业、监狱企业及残疾人福利性单位</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4.2.1中小企业定义：</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供应商提供的货物、工程或者服务符合下列情形的，享受中小企业扶持政策：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600" w:firstLineChars="25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在货物采购项目中，货物由中小企业制造，即货物由中小企业生产且使用该中小企业商号或者注册商标；</w:t>
      </w:r>
    </w:p>
    <w:p>
      <w:pPr>
        <w:keepNext w:val="0"/>
        <w:keepLines w:val="0"/>
        <w:pageBreakBefore w:val="0"/>
        <w:widowControl w:val="0"/>
        <w:kinsoku/>
        <w:wordWrap w:val="0"/>
        <w:overflowPunct/>
        <w:topLinePunct w:val="0"/>
        <w:autoSpaceDE/>
        <w:autoSpaceDN/>
        <w:bidi w:val="0"/>
        <w:adjustRightInd/>
        <w:snapToGrid/>
        <w:spacing w:line="360" w:lineRule="auto"/>
        <w:ind w:firstLine="600" w:firstLineChars="250"/>
        <w:textAlignment w:val="auto"/>
        <w:rPr>
          <w:rFonts w:hint="eastAsia" w:ascii="仿宋" w:hAnsi="仿宋" w:eastAsia="仿宋" w:cs="仿宋"/>
          <w:color w:val="auto"/>
          <w:highlight w:val="none"/>
        </w:rPr>
      </w:pPr>
      <w:r>
        <w:rPr>
          <w:rFonts w:hint="eastAsia" w:ascii="仿宋" w:hAnsi="仿宋" w:eastAsia="仿宋" w:cs="仿宋"/>
          <w:color w:val="auto"/>
          <w:highlight w:val="none"/>
        </w:rPr>
        <w:t>2）在工程采购项目中，工程由中小企业承建，即工程施工单位为中小企业；</w:t>
      </w:r>
    </w:p>
    <w:p>
      <w:pPr>
        <w:keepNext w:val="0"/>
        <w:keepLines w:val="0"/>
        <w:pageBreakBefore w:val="0"/>
        <w:widowControl w:val="0"/>
        <w:kinsoku/>
        <w:wordWrap w:val="0"/>
        <w:overflowPunct/>
        <w:topLinePunct w:val="0"/>
        <w:autoSpaceDE/>
        <w:autoSpaceDN/>
        <w:bidi w:val="0"/>
        <w:adjustRightInd/>
        <w:snapToGrid/>
        <w:spacing w:line="360" w:lineRule="auto"/>
        <w:ind w:firstLine="600" w:firstLineChars="250"/>
        <w:textAlignment w:val="auto"/>
        <w:rPr>
          <w:rFonts w:hint="eastAsia" w:ascii="仿宋" w:hAnsi="仿宋" w:eastAsia="仿宋" w:cs="仿宋"/>
          <w:color w:val="auto"/>
          <w:highlight w:val="none"/>
        </w:rPr>
      </w:pPr>
      <w:r>
        <w:rPr>
          <w:rFonts w:hint="eastAsia" w:ascii="仿宋" w:hAnsi="仿宋" w:eastAsia="仿宋" w:cs="仿宋"/>
          <w:color w:val="auto"/>
          <w:highlight w:val="none"/>
        </w:rPr>
        <w:t>3）在服务采购项目中，服务由中小企业承接，即提供服务的人员为中小企业依照《中华人民共和国劳动合同法》订立劳动合同的从业人员。</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）在货物采购项目中，供应商提供的货物既有中小企业制造货物，也有大型企业制造货物的，不享受中小企业扶持政策。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4.2.3残疾人福利单位定义：享受政府采购支持政策的残疾人福利性单位应当同时满足以下条件：</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安置的残疾人占本单位在职职工人数的比例不低于25%（含25%），并且安置的残疾人人数不少于10人（含10人）；</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依法与安置的每位残疾人签订了一年以上（含一年）的劳动合同或服务协议；</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为安置的每位残疾人按月足额缴纳了基本养老保险、基本医疗保险、失业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通过银行等金融机构向安置的每位残疾人，按月支付了不低于单位所在区县适用的经省级人民政府批准的月最低工资标准的工资；</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4.2.4本项目是否专门面向中小企业预留采购份额见第一章《</w:t>
      </w:r>
      <w:r>
        <w:rPr>
          <w:rFonts w:hint="eastAsia" w:ascii="仿宋" w:hAnsi="仿宋" w:eastAsia="仿宋" w:cs="仿宋"/>
          <w:color w:val="auto"/>
          <w:highlight w:val="none"/>
          <w:lang w:val="en-US" w:eastAsia="zh-CN"/>
        </w:rPr>
        <w:t>竞争性谈判</w:t>
      </w:r>
      <w:r>
        <w:rPr>
          <w:rFonts w:hint="eastAsia" w:ascii="仿宋" w:hAnsi="仿宋" w:eastAsia="仿宋" w:cs="仿宋"/>
          <w:color w:val="auto"/>
          <w:highlight w:val="none"/>
        </w:rPr>
        <w:t>公告》。</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4.2.5采购标的对应的中小企业划分标准所属行业见《供应商须知资料表》。</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4.2.6小微企业价格评审优惠的政策调整：见</w:t>
      </w:r>
      <w:r>
        <w:rPr>
          <w:rFonts w:hint="eastAsia" w:ascii="仿宋" w:hAnsi="仿宋" w:eastAsia="仿宋" w:cs="仿宋"/>
          <w:color w:val="auto"/>
          <w:highlight w:val="none"/>
          <w:lang w:eastAsia="zh-CN"/>
        </w:rPr>
        <w:t>第五章《评审方法和评审标准》</w:t>
      </w:r>
      <w:r>
        <w:rPr>
          <w:rFonts w:hint="eastAsia" w:ascii="仿宋" w:hAnsi="仿宋" w:eastAsia="仿宋" w:cs="仿宋"/>
          <w:color w:val="auto"/>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4.3政府采购节能产品、环境标志产品</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如本项目采购产品属于实施政府强制采购品目清单范围的节能产品，则供应商所报产品必须获得国家确定的认证机构出具的、处于有效期之内的节能产品认证证书，否则响应无效；</w:t>
      </w:r>
    </w:p>
    <w:p>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非政府强制采购的节能产品或环境标志产品，依据品目清单和认证证书实施政府优先采购。优先采购的具体规定见</w:t>
      </w:r>
      <w:r>
        <w:rPr>
          <w:rFonts w:hint="eastAsia" w:ascii="仿宋" w:hAnsi="仿宋" w:eastAsia="仿宋" w:cs="仿宋"/>
          <w:color w:val="auto"/>
          <w:highlight w:val="none"/>
          <w:lang w:eastAsia="zh-CN"/>
        </w:rPr>
        <w:t>第五章《评审方法和评审标准》</w:t>
      </w:r>
      <w:r>
        <w:rPr>
          <w:rFonts w:hint="eastAsia" w:ascii="仿宋" w:hAnsi="仿宋" w:eastAsia="仿宋" w:cs="仿宋"/>
          <w:color w:val="auto"/>
          <w:highlight w:val="none"/>
        </w:rPr>
        <w:t>（如涉及）。</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4.4支持乡村产业振兴管理</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4.4.1为落实《关于运用政府采购政策支持乡村产业振兴的通知》（财库〔2021〕19号）有关要求，做好支持脱贫攻坚工作，本项目采购活动中对于支持乡村振兴管理的相关要求见第四章《采购需求》（如涉及）。</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4.5正版软件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4.5.1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否则响应无效。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4.6信息安全产品</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4.6.1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4.7推广使用低挥发性有机化合物（VOCs）</w:t>
      </w:r>
    </w:p>
    <w:p>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4.7.1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w:t>
      </w:r>
      <w:r>
        <w:rPr>
          <w:rFonts w:hint="eastAsia" w:ascii="仿宋" w:hAnsi="仿宋" w:eastAsia="仿宋" w:cs="仿宋"/>
          <w:color w:val="auto"/>
          <w:highlight w:val="none"/>
          <w:lang w:eastAsia="zh-CN"/>
        </w:rPr>
        <w:t>第五章《评审方法和评审标准》</w:t>
      </w:r>
      <w:r>
        <w:rPr>
          <w:rFonts w:hint="eastAsia" w:ascii="仿宋" w:hAnsi="仿宋" w:eastAsia="仿宋" w:cs="仿宋"/>
          <w:color w:val="auto"/>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highlight w:val="none"/>
        </w:rPr>
      </w:pPr>
      <w:bookmarkStart w:id="77" w:name="_Toc28620"/>
      <w:r>
        <w:rPr>
          <w:rFonts w:hint="eastAsia" w:ascii="仿宋" w:hAnsi="仿宋" w:eastAsia="仿宋" w:cs="仿宋"/>
          <w:b/>
          <w:bCs/>
          <w:color w:val="auto"/>
          <w:highlight w:val="none"/>
        </w:rPr>
        <w:t>5响应费用</w:t>
      </w:r>
      <w:bookmarkEnd w:id="77"/>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5.1供应商应自行承担所有与准备和参加谈判有关的费用，无论谈判的结果如何，采购人或采购代理机构在任何情况下均无承担这些费用的义务和责任。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8"/>
          <w:szCs w:val="28"/>
          <w:highlight w:val="none"/>
          <w:lang w:val="en-US" w:eastAsia="zh-CN"/>
        </w:rPr>
      </w:pPr>
      <w:bookmarkStart w:id="78" w:name="_Toc26579"/>
      <w:bookmarkStart w:id="79" w:name="_Toc9530"/>
      <w:bookmarkStart w:id="80" w:name="_Toc7161"/>
      <w:r>
        <w:rPr>
          <w:rFonts w:hint="eastAsia" w:ascii="仿宋" w:hAnsi="仿宋" w:eastAsia="仿宋" w:cs="仿宋"/>
          <w:b/>
          <w:bCs/>
          <w:color w:val="auto"/>
          <w:sz w:val="28"/>
          <w:szCs w:val="28"/>
          <w:highlight w:val="none"/>
          <w:lang w:val="en-US" w:eastAsia="zh-CN"/>
        </w:rPr>
        <w:t>采购文件</w:t>
      </w:r>
      <w:bookmarkEnd w:id="78"/>
      <w:bookmarkEnd w:id="79"/>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81" w:name="_Toc16170"/>
      <w:r>
        <w:rPr>
          <w:rFonts w:hint="eastAsia" w:ascii="仿宋" w:hAnsi="仿宋" w:eastAsia="仿宋" w:cs="仿宋"/>
          <w:b/>
          <w:bCs/>
          <w:color w:val="auto"/>
          <w:sz w:val="24"/>
          <w:szCs w:val="24"/>
          <w:highlight w:val="none"/>
          <w:lang w:val="en-US" w:eastAsia="zh-CN"/>
        </w:rPr>
        <w:t>6.采购文件构成</w:t>
      </w:r>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6.1采购文件包括以下部分：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第一章竞争性谈判公告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第二章供应商须知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第三章政府采购合同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第四章采购需求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第五章评审方法和评审标准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第六章响应文件格式</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6.2供应商应认真阅读采购文件的全部内容。供应商应按照采购文件要求提交响应文件并保证所提供的全部资料的真实性，并对采购文件做出实质性响应，否则其响应文件将被认定为响应无效。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6.3采购文件中有不一致的，有澄清的部分以最终的澄清更正内容为准；未澄清的，以供应商须知前附表为准；供应商须知前附表不涉及的内容，以编排在后的最后描述为准。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6.4现场考察或者答疑会及相关事项见供应商须知前附表。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6.5采购人在踏勘现场中介绍的资料和数据等，只是为了使供应商能够利用采购人现有的资料。采购人对供应商由此而作出的推论、解释和结论概不负责。</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6.6供应商自行承担踏勘现场发生的责任、风险和自身费用。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6.7原则上采购人、采购代理机构不要求供应商提供样品。除仅凭书面方式不能准确描述采购需求，或者需要对样品进行主观判断以确认是否满足采购需求等特殊情况除外。如需提供样品，对样品相关要求见供应商须知前附表，对样品的评审方法及评审标准见采购文件第五章《评审方法和评审标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6.8采购文件规定供应商提交样品的，样品属于响应文件的组成部分。样品的生产、运输、安装、保全等一切费用由供应商自理。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6.9采购结果公告发布后，成交供应商的样品由采购人封存，作为履约验收的依据之一。未成交供应商在接到采购代理机构通知后，应按规定时间尽快自行取回样品，否则视同供应商不再认领，代理机构有权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82" w:name="_Toc28702"/>
      <w:r>
        <w:rPr>
          <w:rFonts w:hint="eastAsia" w:ascii="仿宋" w:hAnsi="仿宋" w:eastAsia="仿宋" w:cs="仿宋"/>
          <w:b/>
          <w:bCs/>
          <w:color w:val="auto"/>
          <w:sz w:val="24"/>
          <w:szCs w:val="24"/>
          <w:highlight w:val="none"/>
          <w:lang w:val="en-US" w:eastAsia="zh-CN"/>
        </w:rPr>
        <w:t>7.对采购文件的澄清或修改</w:t>
      </w:r>
      <w:bookmarkEnd w:id="82"/>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7.1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7.2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7.3澄清或者修改的内容为采购文件的组成部分，并对所有获取采购文件的供应商具有约束力。澄清或者修改的内容可能影响采购文件编制的，将在投标截止时间至少3日前发布；不足3日的，将顺延提交响应文件的截止时间和开标时间。</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7.4为了保证对采购文件的澄清和修改满足法律的时限要求，任何要求对采购文件进行澄清的供应商，均应在投标截止期3日前，以书面形式将澄清要求通知采购人或采购代理机构。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7.5如更正公告有重新发布电子采购文件的，供应商应登录电子招投标平台下载最新发布的电子采购文件制作响应文件。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7.6供应商在规定的时间内未对采购文件提出疑问、质疑或要求澄清的，将视其为无异议。对采购文件中描述有歧义或前后不一致的地方，谈判小组有权进行评判，但对同一条款的评判应适用于每个供应商。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8"/>
          <w:szCs w:val="28"/>
          <w:highlight w:val="none"/>
          <w:lang w:val="en-US" w:eastAsia="zh-CN"/>
        </w:rPr>
      </w:pPr>
      <w:bookmarkStart w:id="83" w:name="_Toc21574"/>
      <w:bookmarkStart w:id="84" w:name="_Toc20039"/>
      <w:bookmarkStart w:id="85" w:name="_Toc16293"/>
      <w:bookmarkStart w:id="86" w:name="_Toc6303"/>
      <w:r>
        <w:rPr>
          <w:rFonts w:hint="eastAsia" w:ascii="仿宋" w:hAnsi="仿宋" w:eastAsia="仿宋" w:cs="仿宋"/>
          <w:b/>
          <w:bCs/>
          <w:color w:val="auto"/>
          <w:sz w:val="28"/>
          <w:szCs w:val="28"/>
          <w:highlight w:val="none"/>
          <w:lang w:val="en-US" w:eastAsia="zh-CN"/>
        </w:rPr>
        <w:t>响应文件的编制</w:t>
      </w:r>
      <w:bookmarkEnd w:id="83"/>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87" w:name="_Toc3121"/>
      <w:r>
        <w:rPr>
          <w:rFonts w:hint="eastAsia" w:ascii="仿宋" w:hAnsi="仿宋" w:eastAsia="仿宋" w:cs="仿宋"/>
          <w:b/>
          <w:bCs/>
          <w:color w:val="auto"/>
          <w:sz w:val="24"/>
          <w:szCs w:val="24"/>
          <w:highlight w:val="none"/>
          <w:lang w:val="en-US" w:eastAsia="zh-CN"/>
        </w:rPr>
        <w:t>8.响应范围、响应文件中计量单位的使用及谈判语言</w:t>
      </w:r>
      <w:bookmarkEnd w:id="87"/>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8.1供应商可对采购文件中一个或几个分包进行响应，除非在供应商须知前附表中另有规定。</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8.2供应商应当对所投采购包对应第五章《采购需求》所列的全部内容进行响应，如仅响应采购包中的部分内容，其该包响应文件将被认定为响应无效。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8.3无论采购文件中是否要求，供应商所投货物或服务或工程均应符合国家强制性标准。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8.4除采购文件有特殊要求外，本项目谈判所使用的计量单位，应采用中华人民共和国法定计量单位。</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8.5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88" w:name="_Toc19625"/>
      <w:r>
        <w:rPr>
          <w:rFonts w:hint="eastAsia" w:ascii="仿宋" w:hAnsi="仿宋" w:eastAsia="仿宋" w:cs="仿宋"/>
          <w:b/>
          <w:bCs/>
          <w:color w:val="auto"/>
          <w:sz w:val="24"/>
          <w:szCs w:val="24"/>
          <w:highlight w:val="none"/>
          <w:lang w:val="en-US" w:eastAsia="zh-CN"/>
        </w:rPr>
        <w:t>9.响应文件构成</w:t>
      </w:r>
      <w:bookmarkEnd w:id="88"/>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bookmarkStart w:id="89" w:name="_Toc21095"/>
      <w:r>
        <w:rPr>
          <w:rFonts w:hint="eastAsia" w:ascii="仿宋" w:hAnsi="仿宋" w:eastAsia="仿宋" w:cs="仿宋"/>
          <w:b w:val="0"/>
          <w:bCs/>
          <w:color w:val="auto"/>
          <w:sz w:val="24"/>
          <w:szCs w:val="24"/>
          <w:highlight w:val="none"/>
          <w:lang w:val="en-US" w:eastAsia="zh-CN"/>
        </w:rPr>
        <w:t>9.1一般要求</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9.1.1供应商应仔细阅读谈判文件的所有内容，按谈判文件的要求编制响应文件，并保证所提供的全部资料的真实性，以使其响应文件对谈判文件做出实质性的响应。</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9.1.2供应商提交的响应文件及供应商与采购人或代理机构就有关谈判的所有来往函电均使用中文。供应商可以提交其它语言的资料，但应附中文注释，在有差异时以中文为准。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9.1.3计量单位应使用我国法定计量单位，未列明时应默认为我国法定计量单位。</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9.1.4响应文件应采用书面形式，传真、电子邮件形式的响应文件概不接受。</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9.1.5供应商应按谈判文件中提供的响应文件格式填写。</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9.2响应文件的组成</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bookmarkStart w:id="90" w:name="_Toc420948011"/>
      <w:bookmarkStart w:id="91" w:name="_Toc432175034"/>
      <w:bookmarkStart w:id="92" w:name="_Toc432175154"/>
      <w:bookmarkStart w:id="93" w:name="_Toc432175092"/>
      <w:bookmarkStart w:id="94" w:name="_Toc432242402"/>
      <w:bookmarkStart w:id="95" w:name="_Toc427862404"/>
      <w:bookmarkStart w:id="96" w:name="_Toc428285922"/>
      <w:bookmarkStart w:id="97" w:name="_Toc432242303"/>
      <w:r>
        <w:rPr>
          <w:rFonts w:hint="eastAsia" w:ascii="仿宋" w:hAnsi="仿宋" w:eastAsia="仿宋" w:cs="仿宋"/>
          <w:b w:val="0"/>
          <w:bCs/>
          <w:color w:val="auto"/>
          <w:sz w:val="24"/>
          <w:szCs w:val="24"/>
          <w:highlight w:val="none"/>
          <w:lang w:val="en-US" w:eastAsia="zh-CN"/>
        </w:rPr>
        <w:t>9.2.1响应文件包括下列内容：</w:t>
      </w:r>
      <w:bookmarkEnd w:id="90"/>
      <w:bookmarkEnd w:id="91"/>
      <w:bookmarkEnd w:id="92"/>
      <w:bookmarkEnd w:id="93"/>
      <w:bookmarkEnd w:id="94"/>
      <w:bookmarkEnd w:id="95"/>
      <w:bookmarkEnd w:id="96"/>
      <w:bookmarkEnd w:id="97"/>
      <w:r>
        <w:rPr>
          <w:rFonts w:hint="eastAsia" w:ascii="仿宋" w:hAnsi="仿宋" w:eastAsia="仿宋" w:cs="仿宋"/>
          <w:b w:val="0"/>
          <w:bCs/>
          <w:color w:val="auto"/>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1响应函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2报价一览表及报价明细表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2.1报价一览表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2.2报价明细表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3法定代表人身份证明及授权委托书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3.1法定代表人（单位负责人）身份证明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3.2授权委托书</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4资格证明文件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附件1-1具有独立承担民事责任的能力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附件1-2具有良好的商业信誉和健全的财务会计制度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附件1-3具有履行合同所必需的设备和专业技术能力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附件1-4有依法缴纳税收和社会保障资金的良好纪录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附件1-5参加政府采购活动近3年内，在经营活动中没有重大违法记录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附件1-6本项目的特定资格要求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1-6.1承诺书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1-6.2保密承诺书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附件1-7落实政府采购政策需满足的资格要求（如有）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残疾人福利性单位声明函格式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监狱企业证明文件（如有）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其它落实政府采购政策的资格要求（如有）</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5谈判保证金凭证/交款单据电子件</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6商务条款偏离表</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7技术参数、功能偏离表</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8拟投入本项目的人员一览表</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9供应商主要业绩</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10货物说明</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11响应产品附件、备品备件和专用工具清单（如有）</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12实施方案</w:t>
      </w: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13其他证明材料</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根据《政府采购法》第四十二条的规定，供应商无论成交与否，其响应文件不予退还。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10.响应报价</w:t>
      </w:r>
      <w:bookmarkEnd w:id="89"/>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10.1所有响应均以人民币报价。</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10.2供应商的报价应当包括满足本次采购文件全部采购需求所应提供的全部内容。供应商的响应报价应遵守《中华人民共和国价格法》。同时，根据《中华人民共和国政府采购法》及相关配套法律、法规的规定，为保证公平竞争，如供应商有赠与行为的，将导致其响应文件被拒绝。</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10.3供应商所报的各分项响应单价在合同履行过程中是固定不变的，不得以任何理由予以变更。任何包含价格调整要求的响应，将被认定为其响应文件无效。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10.4供应商应按照““第五章采购需求”的需求内容、责任范围以及第四章政府采购合同”进行报价。并按“报价一览表”和“报价明细表”规定的格式报出总价和分项价格。响应总价中不得包含采购文件要求以外的内容，否则，在评审时不予核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98" w:name="_Toc25007"/>
      <w:r>
        <w:rPr>
          <w:rFonts w:hint="eastAsia" w:ascii="仿宋" w:hAnsi="仿宋" w:eastAsia="仿宋" w:cs="仿宋"/>
          <w:b/>
          <w:bCs/>
          <w:color w:val="auto"/>
          <w:sz w:val="24"/>
          <w:szCs w:val="24"/>
          <w:highlight w:val="none"/>
          <w:lang w:val="en-US" w:eastAsia="zh-CN"/>
        </w:rPr>
        <w:t>11.谈判保证金</w:t>
      </w:r>
      <w:bookmarkEnd w:id="98"/>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11.1供应商应按供应商须知前附表中规定的金额及要求交纳保证金，并作为其响应文件的一部分。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11.2交纳保证金的形式除供应商须知前附表中另有约定外，可采用的形式：政府采购法律法规接受的支票、汇票、本票、网上银行支付或者金融机构、担保机构出具的保函等非现金形式。</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11.3保证金到账（保函提交）截止时间同响应截止时间。以支票、汇票、本票、网上银行支付等形式提交保证金的，应在响应截止时间前到账。由于到账时间晚于响应截止时间的，或者票据错误、印鉴不清等原因导致不能到账的，其响应文件无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11.4如采用金融机构、专业担保机构开具的投标担保函、投标保证保险函等形式提交谈判保证金的，投标担保函或投标保证保险函须开具给采购人（保险受益人须为采购人），否则其响应文件无效。电子保函与纸质保函具有同样效力。</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11.5保证金（保函）有效期同响应文件有效期。</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11.6联合体谈判的，可以由联合体中的一方或者共同提交保证金，以一方名义提交谈判保证金（保函）的，对联合体各方均具有约束力。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11.7采购人、采购代理机构将及时退还供应商的谈判保证金，采用银行保函、担保机构担保函等形式递交的谈判保证金，经供应商同意后采购人、采购代理机构可以不再退还，但因供应商自身原因导致无法及时退还的除外。</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11.8供应商在响应截止时间前撤回已提交的响应文件的，自收到供应商书面撤回通知之日起 5 个工作日内退还已收取的谈判保证金。</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11.9成交人的谈判保证金，自采购合同签订之日起 5 个工作日内退还中标人。</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11.10未成交人的谈判保证金，自成交通知书发出之日起 5 个工作日内退还未成交人。</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11.11终止采购活动的项目已经收取谈判保证金的，自终止采购活动后 5 个工作日内退还已收取的谈判保证金。</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11.12有下列情形之一的，采购人或采购代理机构可以不予退还谈判保证金：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（1）在响应文件有效期内，供应商撤回响应文件的；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（2）成交人不按本采购文件的规定与采购人签订合同的；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（3）成交人不按本采购文件的规定提交履约保证金的；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（4）成交人不按本采购文件的规定缴纳招标代理服务费的；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（5）存在的串通投标情形的；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（6）存在向采购人、代理机构或评标专家行贿事实的；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（7）法律、法规规定的其它情况。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99" w:name="_Toc12416"/>
      <w:r>
        <w:rPr>
          <w:rFonts w:hint="eastAsia" w:ascii="仿宋" w:hAnsi="仿宋" w:eastAsia="仿宋" w:cs="仿宋"/>
          <w:b/>
          <w:bCs/>
          <w:color w:val="auto"/>
          <w:sz w:val="24"/>
          <w:szCs w:val="24"/>
          <w:highlight w:val="none"/>
          <w:lang w:val="en-US" w:eastAsia="zh-CN"/>
        </w:rPr>
        <w:t>12.响应文件有效期</w:t>
      </w:r>
      <w:bookmarkEnd w:id="99"/>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12.1响应文件应在供应商须知前附表中规定的响应文件有效期内保持有效，响应文件有效期少于采购文件规定期限的，其响应文件无效。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12.2采购人或采购代理机构可根据实际情况，在原响应文件有效期截止之前，要求供应商延长响应文件有效期。接受该要求的供应商将不会被要求和允许修正其响应文件，且本须知中有关谈判保证金的要求须在延长的有效期内继续有效。供应商也可以拒绝延长响应文件有效期的要求，退还其谈判保证金。上述要求和答复都应以书面形式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00" w:name="_Toc29566"/>
      <w:r>
        <w:rPr>
          <w:rFonts w:hint="eastAsia" w:ascii="仿宋" w:hAnsi="仿宋" w:eastAsia="仿宋" w:cs="仿宋"/>
          <w:b/>
          <w:bCs/>
          <w:color w:val="auto"/>
          <w:sz w:val="24"/>
          <w:szCs w:val="24"/>
          <w:highlight w:val="none"/>
          <w:lang w:val="en-US" w:eastAsia="zh-CN"/>
        </w:rPr>
        <w:t>13响应文件的制作</w:t>
      </w:r>
      <w:bookmarkEnd w:id="100"/>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13.1响应文件中，所有内容均以电子文件编制，如因不按电子招投标平台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13.2供应商应使用电子招投标平台提供的投标客户端编制、标记、加密响应文件，成功加密后将生成指定格式的电子响应文件和电子备用响应文件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13.3如有对多个采购包响应的，要对每个采购包独立制作电子响应文件。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13.4供应商须对采购文件的对应要求给予唯一的实质性响应，否则将视为不响应。</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13.5采购文件中，凡标有“※”的地方均为实质性响应条款，供应商若有一项带“※”的条款未响应或不满足，将按响应无效处理。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13.6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8"/>
          <w:szCs w:val="28"/>
          <w:highlight w:val="none"/>
          <w:lang w:val="en-US" w:eastAsia="zh-CN"/>
        </w:rPr>
      </w:pPr>
      <w:bookmarkStart w:id="101" w:name="_Toc14556"/>
      <w:bookmarkStart w:id="102" w:name="_Toc25648"/>
      <w:bookmarkStart w:id="103" w:name="_Toc512"/>
      <w:bookmarkStart w:id="104" w:name="_Toc27621"/>
      <w:r>
        <w:rPr>
          <w:rFonts w:hint="eastAsia" w:ascii="仿宋" w:hAnsi="仿宋" w:eastAsia="仿宋" w:cs="仿宋"/>
          <w:b/>
          <w:bCs/>
          <w:color w:val="auto"/>
          <w:sz w:val="28"/>
          <w:szCs w:val="28"/>
          <w:highlight w:val="none"/>
          <w:lang w:val="en-US" w:eastAsia="zh-CN"/>
        </w:rPr>
        <w:t>响应文件的提交</w:t>
      </w:r>
      <w:bookmarkEnd w:id="101"/>
      <w:bookmarkEnd w:id="102"/>
      <w:bookmarkEnd w:id="103"/>
      <w:bookmarkEnd w:id="10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05" w:name="_Toc3969"/>
      <w:r>
        <w:rPr>
          <w:rFonts w:hint="eastAsia" w:ascii="仿宋" w:hAnsi="仿宋" w:eastAsia="仿宋" w:cs="仿宋"/>
          <w:b/>
          <w:bCs/>
          <w:color w:val="auto"/>
          <w:sz w:val="24"/>
          <w:szCs w:val="24"/>
          <w:highlight w:val="none"/>
          <w:lang w:val="en-US" w:eastAsia="zh-CN"/>
        </w:rPr>
        <w:t>14.响应文件的提交</w:t>
      </w:r>
      <w:bookmarkEnd w:id="105"/>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14.1供应商应在供应商须知前附表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14.2代理机构对因不可抗力事件造成的响应文件的损坏、丢失的，不承担责任。</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14.3出现下述情形之一，属于未成功提交响应文件，按响应无效处理：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（1）至提交响应文件截止时，响应文件未完整上传的。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（2）响应文件未按响应格式中注明需签字盖章的要求进行签名（含电子签名）和加盖电子印章，或签名（含电子签名）或电子印章不完整的。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（3）响应文件损坏或格式不正确的。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14.4响应文件的修改、撤回与撤销：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（2）在提交响应文件截止时间后，供应商不得补充、修改和更换响应文件。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8"/>
          <w:szCs w:val="28"/>
          <w:highlight w:val="none"/>
          <w:lang w:val="en-US" w:eastAsia="zh-CN"/>
        </w:rPr>
      </w:pPr>
      <w:bookmarkStart w:id="106" w:name="_Toc20875"/>
      <w:bookmarkStart w:id="107" w:name="_Toc12787"/>
      <w:bookmarkStart w:id="108" w:name="_Toc10923"/>
      <w:bookmarkStart w:id="109" w:name="_Toc19303"/>
      <w:r>
        <w:rPr>
          <w:rFonts w:hint="eastAsia" w:ascii="仿宋" w:hAnsi="仿宋" w:eastAsia="仿宋" w:cs="仿宋"/>
          <w:b/>
          <w:bCs/>
          <w:color w:val="auto"/>
          <w:sz w:val="28"/>
          <w:szCs w:val="28"/>
          <w:highlight w:val="none"/>
          <w:lang w:val="en-US" w:eastAsia="zh-CN"/>
        </w:rPr>
        <w:t>开标及评标</w:t>
      </w:r>
      <w:bookmarkEnd w:id="106"/>
      <w:bookmarkEnd w:id="107"/>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0" w:name="_Toc31730"/>
      <w:r>
        <w:rPr>
          <w:rFonts w:hint="eastAsia" w:ascii="仿宋" w:hAnsi="仿宋" w:eastAsia="仿宋" w:cs="仿宋"/>
          <w:b/>
          <w:bCs/>
          <w:color w:val="auto"/>
          <w:sz w:val="24"/>
          <w:szCs w:val="24"/>
          <w:highlight w:val="none"/>
          <w:lang w:val="en-US" w:eastAsia="zh-CN"/>
        </w:rPr>
        <w:t>15.开标</w:t>
      </w:r>
      <w:bookmarkEnd w:id="110"/>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15.1采购人和采购代理机构将按供应商须知前附表中规定的开标时间和地点组织公开开标并邀请所有供应商代表参加。开标为远程电子开标。</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15.2采用远程电子开标的：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的法定代表人或其授权代表应当按照本采购文件载明的时间和模式等要求参加开标。在响应截止时间前30分钟，应当登录开标大厅进行签到，并且填写授权代表的姓名与手机号码。若因签到时填写的授权代表信息有误而导致的不良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响应无效处理。（采用远程电子开标的，各供应商在参加开标以前须自行对使用电脑的网络环境、驱动安装、客户端安装以及数字证书的有效性等进行检测，确保可以正常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响应无效。如供应商无法在代理规定的时间内完成备用电子响应文件的上传，响应文件将被拒绝，作响应无效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15.3供应商代表对开标过程和开标记录有疑义，以及认为采购人、采购代理机构相关工作人员有需要回避的情形的，应当场提出询问或者回避申请。供应商未参加开标的，视同认可开标结果。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15.4响应截止时间后，供应商不足3家的，不得开标。同时，本次采购活动结束。</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15.5开标时出现下列情况的，视为响应无效处理：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（1）因供应商自身原因，未在规定时间内完成电子响应文件解密的；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（2）如需使用备用电子响应文件解密时，在规定的解密时间内无法提供备用电子响应文件或提供的备用电子响应文件与加密的电子响应文件版本不一致（即两份文件不是投标客户端编制同时生成的）。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15.6采购人或采购代理机构将对开标过程进行记录，由参加开标的各供应商代表和相关工作人员签字确认。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1" w:name="_Toc29767"/>
      <w:r>
        <w:rPr>
          <w:rFonts w:hint="eastAsia" w:ascii="仿宋" w:hAnsi="仿宋" w:eastAsia="仿宋" w:cs="仿宋"/>
          <w:b/>
          <w:bCs/>
          <w:color w:val="auto"/>
          <w:sz w:val="24"/>
          <w:szCs w:val="24"/>
          <w:highlight w:val="none"/>
          <w:lang w:val="en-US" w:eastAsia="zh-CN"/>
        </w:rPr>
        <w:t>16.资格审查</w:t>
      </w:r>
      <w:bookmarkEnd w:id="111"/>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16.1谈判小组依据法律法规和采购文件中规定的内容，对供应商及其投标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16.2资格审查要求详见第五章《评审方法和评审标准》。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16.3采购人或采购代理机构将按第五章《评审方法和评审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2" w:name="_Toc2390"/>
      <w:r>
        <w:rPr>
          <w:rFonts w:hint="eastAsia" w:ascii="仿宋" w:hAnsi="仿宋" w:eastAsia="仿宋" w:cs="仿宋"/>
          <w:b/>
          <w:bCs/>
          <w:color w:val="auto"/>
          <w:sz w:val="24"/>
          <w:szCs w:val="24"/>
          <w:highlight w:val="none"/>
          <w:lang w:val="en-US" w:eastAsia="zh-CN"/>
        </w:rPr>
        <w:t>17.谈判小组</w:t>
      </w:r>
      <w:bookmarkEnd w:id="112"/>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17.1谈判小组根据政府采购有关规定和本次采购项目的特点进行组建，并负责具体评标事务，独立履行职责。</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3" w:name="_Toc18682"/>
      <w:r>
        <w:rPr>
          <w:rFonts w:hint="eastAsia" w:ascii="仿宋" w:hAnsi="仿宋" w:eastAsia="仿宋" w:cs="仿宋"/>
          <w:b/>
          <w:bCs/>
          <w:color w:val="auto"/>
          <w:sz w:val="24"/>
          <w:szCs w:val="24"/>
          <w:highlight w:val="none"/>
          <w:lang w:val="en-US" w:eastAsia="zh-CN"/>
        </w:rPr>
        <w:t>18.评审方法和评审标准</w:t>
      </w:r>
      <w:bookmarkEnd w:id="113"/>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18.1详见第五章《评审方法和评审标准》。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8"/>
          <w:szCs w:val="28"/>
          <w:highlight w:val="none"/>
          <w:lang w:val="en-US" w:eastAsia="zh-CN"/>
        </w:rPr>
      </w:pPr>
      <w:bookmarkStart w:id="114" w:name="_Toc9690"/>
      <w:bookmarkStart w:id="115" w:name="_Toc4644"/>
      <w:bookmarkStart w:id="116" w:name="_Toc14823"/>
      <w:bookmarkStart w:id="117" w:name="_Toc72"/>
      <w:r>
        <w:rPr>
          <w:rFonts w:hint="eastAsia" w:ascii="仿宋" w:hAnsi="仿宋" w:eastAsia="仿宋" w:cs="仿宋"/>
          <w:b/>
          <w:bCs/>
          <w:color w:val="auto"/>
          <w:sz w:val="28"/>
          <w:szCs w:val="28"/>
          <w:highlight w:val="none"/>
          <w:lang w:val="en-US" w:eastAsia="zh-CN"/>
        </w:rPr>
        <w:t>确定成交</w:t>
      </w:r>
      <w:bookmarkEnd w:id="114"/>
      <w:bookmarkEnd w:id="115"/>
      <w:bookmarkEnd w:id="116"/>
      <w:bookmarkEnd w:id="1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8" w:name="_Toc6227"/>
      <w:r>
        <w:rPr>
          <w:rFonts w:hint="eastAsia" w:ascii="仿宋" w:hAnsi="仿宋" w:eastAsia="仿宋" w:cs="仿宋"/>
          <w:b/>
          <w:bCs/>
          <w:color w:val="auto"/>
          <w:sz w:val="24"/>
          <w:szCs w:val="24"/>
          <w:highlight w:val="none"/>
          <w:lang w:val="en-US" w:eastAsia="zh-CN"/>
        </w:rPr>
        <w:t>19.确定成交人</w:t>
      </w:r>
      <w:bookmarkEnd w:id="118"/>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19.1采购人根据谈判小组推荐的成交候选供应商名单，根据相关法律法规的规定确定最终成交人。如果排名第一的成交候选供应商的实际情况与其谈判资料不相符，将取消其成交资格，由排名第二的成交候选供应商递补，以此类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19" w:name="_Toc20866"/>
      <w:r>
        <w:rPr>
          <w:rFonts w:hint="eastAsia" w:ascii="仿宋" w:hAnsi="仿宋" w:eastAsia="仿宋" w:cs="仿宋"/>
          <w:b/>
          <w:bCs/>
          <w:color w:val="auto"/>
          <w:sz w:val="24"/>
          <w:szCs w:val="24"/>
          <w:highlight w:val="none"/>
          <w:lang w:val="en-US" w:eastAsia="zh-CN"/>
        </w:rPr>
        <w:t>20.成交公告与成交通知书</w:t>
      </w:r>
      <w:bookmarkEnd w:id="119"/>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20.1采购人或采购代理机构自中标人确定之日起 2 个工作日内，在谈判公告发布媒体发布成交结果，同时向成交人发出成交通知书，成交公告期限为 1 个工作日。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20.2成交通知书对采购人和成交供应商均具有法律效力。成交通知书发出后，成交供应商放弃成交项目的，应当依法承担法律责任。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20" w:name="_Toc12401"/>
      <w:r>
        <w:rPr>
          <w:rFonts w:hint="eastAsia" w:ascii="仿宋" w:hAnsi="仿宋" w:eastAsia="仿宋" w:cs="仿宋"/>
          <w:b/>
          <w:bCs/>
          <w:color w:val="auto"/>
          <w:sz w:val="24"/>
          <w:szCs w:val="24"/>
          <w:highlight w:val="none"/>
          <w:lang w:val="en-US" w:eastAsia="zh-CN"/>
        </w:rPr>
        <w:t>21.废标</w:t>
      </w:r>
      <w:bookmarkEnd w:id="120"/>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21.1在采购活动中，出现下列情形之一的，应予废标：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符合专业条件的供应商或者对</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文件作实质响应的供应商不足三家的，按政府采购相关规定执行。</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小组认定</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文件存在歧义、重大缺陷导致评审工作无法进行。</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响应文件递交截止时间后参加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的供应商不足三家的处理。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21" w:name="_Toc2270"/>
      <w:r>
        <w:rPr>
          <w:rFonts w:hint="eastAsia" w:ascii="仿宋" w:hAnsi="仿宋" w:eastAsia="仿宋" w:cs="仿宋"/>
          <w:b/>
          <w:bCs/>
          <w:color w:val="auto"/>
          <w:sz w:val="24"/>
          <w:szCs w:val="24"/>
          <w:highlight w:val="none"/>
          <w:lang w:val="en-US" w:eastAsia="zh-CN"/>
        </w:rPr>
        <w:t>22.签订合同</w:t>
      </w:r>
      <w:bookmarkEnd w:id="121"/>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22.1成交人、采购人应当自成交通知书发出之日起30日内，按照采购文件和成交人响应文件的规定签订书面合同。所签订的合同不得对采购文件确定的事项和成交人响应文件作实质性修改。</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22.2成交人拒绝与采购人签订合同的，采购人可以按照评标报告推荐的成交候选人名单排序，确定下一候选人为成交人，也可以重新开展政府采购活动。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22.3联合体成交的，联合体各方应当共同与采购人签订合同，就成交项目向采购人承担连带责任。</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22.4政府采购合同不能转包。如采购人允许采用分包方式履行合同的，成交人可以依法在成交后将成交项目的非主体、非关键性工作采取分包方式履行合同。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22" w:name="_Toc8670"/>
      <w:r>
        <w:rPr>
          <w:rFonts w:hint="eastAsia" w:ascii="仿宋" w:hAnsi="仿宋" w:eastAsia="仿宋" w:cs="仿宋"/>
          <w:b/>
          <w:bCs/>
          <w:color w:val="auto"/>
          <w:sz w:val="24"/>
          <w:szCs w:val="24"/>
          <w:highlight w:val="none"/>
          <w:lang w:val="en-US" w:eastAsia="zh-CN"/>
        </w:rPr>
        <w:t>23.履约保证金</w:t>
      </w:r>
      <w:bookmarkEnd w:id="122"/>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23.1成交人应按照供应商须知前附表规定的金额、形式和时间向采购人缴纳履约保证金。</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23.2经采购人同意，成交人也可以自愿采用其他履约保证金的提供方式。</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23.3如果成交人没有按照上述条款规定缴纳履约保证金，将视为放弃成交资格，成交人的谈判保证金将被没收。在此情况下，采购人可确定下一候选人为成交人，也可以重新开展政府采购活动。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23" w:name="_Toc10803"/>
      <w:r>
        <w:rPr>
          <w:rFonts w:hint="eastAsia" w:ascii="仿宋" w:hAnsi="仿宋" w:eastAsia="仿宋" w:cs="仿宋"/>
          <w:b/>
          <w:bCs/>
          <w:color w:val="auto"/>
          <w:sz w:val="24"/>
          <w:szCs w:val="24"/>
          <w:highlight w:val="none"/>
          <w:lang w:val="en-US" w:eastAsia="zh-CN"/>
        </w:rPr>
        <w:t>24.代理服务费</w:t>
      </w:r>
      <w:bookmarkEnd w:id="123"/>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80" w:leftChars="0" w:right="0" w:rightChars="0" w:hanging="480" w:hangingChars="200"/>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24.1收费对象、收费标准及缴纳时间见供应商须知前附表。由成交人支付的，成交人须一次性向采购代理机构缴纳代理费，响应报价应包含代理费用。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bookmarkStart w:id="124" w:name="_Toc10404"/>
      <w:r>
        <w:rPr>
          <w:rFonts w:hint="eastAsia" w:ascii="仿宋" w:hAnsi="仿宋" w:eastAsia="仿宋" w:cs="仿宋"/>
          <w:b/>
          <w:bCs/>
          <w:color w:val="auto"/>
          <w:sz w:val="24"/>
          <w:szCs w:val="24"/>
          <w:highlight w:val="none"/>
          <w:lang w:val="en-US" w:eastAsia="zh-CN"/>
        </w:rPr>
        <w:t>25.询问与质疑</w:t>
      </w:r>
      <w:bookmarkEnd w:id="1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25.1询问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25.2质疑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（2）供应商应知其权益受到损害之日是指：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35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1）对采购文件提出质疑的，为获取采购文件之日或者采购文件获取期限届满之日；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35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35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3）对成交结果提出质疑的，为成交结果公告期限届满之日。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（4）质疑函须使用财政部制定的范本文件。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（5）供应商为自然人的，应当由本人签字；供应商为法人或者其他组织的，应当由法定代表人、主要负责人，或者其授权代表签字或者盖章，并加盖公章。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val="0"/>
          <w:bCs w:val="0"/>
          <w:color w:val="auto"/>
          <w:sz w:val="24"/>
          <w:szCs w:val="24"/>
          <w:highlight w:val="none"/>
          <w:lang w:val="en-US" w:eastAsia="zh-CN"/>
        </w:rPr>
      </w:pPr>
      <w:bookmarkStart w:id="125" w:name="_Toc29364"/>
      <w:r>
        <w:rPr>
          <w:rFonts w:hint="eastAsia" w:ascii="仿宋" w:hAnsi="仿宋" w:eastAsia="仿宋" w:cs="仿宋"/>
          <w:b/>
          <w:bCs/>
          <w:color w:val="auto"/>
          <w:sz w:val="24"/>
          <w:szCs w:val="24"/>
          <w:highlight w:val="none"/>
          <w:lang w:val="en-US" w:eastAsia="zh-CN"/>
        </w:rPr>
        <w:t>26.其他</w:t>
      </w:r>
      <w:bookmarkEnd w:id="1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26.1本次采购活动中除采购文件规定外还需执行《中华人民共和国政府采购法》、《中华人民共和国政府采购法实施条例》、《政府采购竞争性谈判采购方式管理暂行办法》（财库〔2014〕214号）及本项目本级和上级财政部门政府采购有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26.2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26.3适用于本供应商须知的额外增加的变动详见</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w:t>
      </w:r>
    </w:p>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pPr>
        <w:shd w:val="clear" w:color="auto" w:fill="auto"/>
        <w:overflowPunct/>
        <w:bidi w:val="0"/>
        <w:spacing w:before="0" w:after="0"/>
        <w:ind w:left="0" w:leftChars="0" w:right="0" w:rightChars="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keepNext w:val="0"/>
        <w:keepLines w:val="0"/>
        <w:pageBreakBefore w:val="0"/>
        <w:widowControl w:val="0"/>
        <w:shd w:val="clear" w:color="auto" w:fill="auto"/>
        <w:kinsoku/>
        <w:wordWrap/>
        <w:overflowPunct/>
        <w:topLinePunct w:val="0"/>
        <w:autoSpaceDE/>
        <w:autoSpaceDN/>
        <w:bidi w:val="0"/>
        <w:spacing w:before="0" w:after="0" w:line="540" w:lineRule="exact"/>
        <w:ind w:left="0" w:leftChars="0" w:right="0" w:rightChars="0"/>
        <w:jc w:val="center"/>
        <w:textAlignment w:val="auto"/>
        <w:outlineLvl w:val="1"/>
        <w:rPr>
          <w:rFonts w:hint="eastAsia" w:ascii="仿宋" w:hAnsi="仿宋" w:eastAsia="仿宋" w:cs="仿宋"/>
          <w:b/>
          <w:bCs/>
          <w:color w:val="auto"/>
          <w:sz w:val="24"/>
          <w:szCs w:val="24"/>
          <w:highlight w:val="none"/>
        </w:rPr>
      </w:pPr>
      <w:bookmarkStart w:id="126" w:name="_Toc1697"/>
      <w:bookmarkStart w:id="127" w:name="_Toc24907"/>
      <w:r>
        <w:rPr>
          <w:rFonts w:hint="eastAsia" w:ascii="仿宋" w:hAnsi="仿宋" w:eastAsia="仿宋" w:cs="仿宋"/>
          <w:b/>
          <w:bCs/>
          <w:color w:val="auto"/>
          <w:sz w:val="24"/>
          <w:szCs w:val="24"/>
          <w:highlight w:val="none"/>
        </w:rPr>
        <w:t>质疑函范本</w:t>
      </w:r>
      <w:bookmarkEnd w:id="126"/>
      <w:bookmarkEnd w:id="127"/>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bCs/>
          <w:color w:val="auto"/>
          <w:sz w:val="24"/>
          <w:szCs w:val="24"/>
          <w:highlight w:val="none"/>
        </w:rPr>
      </w:pPr>
      <w:bookmarkStart w:id="128" w:name="_Toc9061"/>
      <w:bookmarkStart w:id="129" w:name="_Toc6237"/>
      <w:r>
        <w:rPr>
          <w:rFonts w:hint="eastAsia" w:ascii="仿宋" w:hAnsi="仿宋" w:eastAsia="仿宋" w:cs="仿宋"/>
          <w:bCs/>
          <w:color w:val="auto"/>
          <w:sz w:val="24"/>
          <w:szCs w:val="24"/>
          <w:highlight w:val="none"/>
        </w:rPr>
        <w:t>一、质疑</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基本信息</w:t>
      </w:r>
      <w:bookmarkEnd w:id="128"/>
      <w:bookmarkEnd w:id="129"/>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bCs/>
          <w:color w:val="auto"/>
          <w:sz w:val="24"/>
          <w:szCs w:val="24"/>
          <w:highlight w:val="none"/>
        </w:rPr>
      </w:pPr>
      <w:bookmarkStart w:id="130" w:name="_Toc15938"/>
      <w:bookmarkStart w:id="131" w:name="_Toc28435"/>
      <w:r>
        <w:rPr>
          <w:rFonts w:hint="eastAsia" w:ascii="仿宋" w:hAnsi="仿宋" w:eastAsia="仿宋" w:cs="仿宋"/>
          <w:bCs/>
          <w:color w:val="auto"/>
          <w:sz w:val="24"/>
          <w:szCs w:val="24"/>
          <w:highlight w:val="none"/>
        </w:rPr>
        <w:t>二、质疑项目基本情况</w:t>
      </w:r>
      <w:bookmarkEnd w:id="130"/>
      <w:bookmarkEnd w:id="131"/>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bCs/>
          <w:color w:val="auto"/>
          <w:sz w:val="24"/>
          <w:szCs w:val="24"/>
          <w:highlight w:val="none"/>
        </w:rPr>
      </w:pPr>
      <w:bookmarkStart w:id="132" w:name="_Toc18271"/>
      <w:bookmarkStart w:id="133" w:name="_Toc10715"/>
      <w:r>
        <w:rPr>
          <w:rFonts w:hint="eastAsia" w:ascii="仿宋" w:hAnsi="仿宋" w:eastAsia="仿宋" w:cs="仿宋"/>
          <w:bCs/>
          <w:color w:val="auto"/>
          <w:sz w:val="24"/>
          <w:szCs w:val="24"/>
          <w:highlight w:val="none"/>
        </w:rPr>
        <w:t>三、质疑事项具体内容</w:t>
      </w:r>
      <w:bookmarkEnd w:id="132"/>
      <w:bookmarkEnd w:id="133"/>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bCs/>
          <w:color w:val="auto"/>
          <w:sz w:val="24"/>
          <w:szCs w:val="24"/>
          <w:highlight w:val="none"/>
        </w:rPr>
      </w:pPr>
      <w:bookmarkStart w:id="134" w:name="_Toc22365"/>
      <w:bookmarkStart w:id="135" w:name="_Toc25784"/>
      <w:r>
        <w:rPr>
          <w:rFonts w:hint="eastAsia" w:ascii="仿宋" w:hAnsi="仿宋" w:eastAsia="仿宋" w:cs="仿宋"/>
          <w:bCs/>
          <w:color w:val="auto"/>
          <w:sz w:val="24"/>
          <w:szCs w:val="24"/>
          <w:highlight w:val="none"/>
        </w:rPr>
        <w:t>四、与质疑事项相关的质疑请求</w:t>
      </w:r>
      <w:bookmarkEnd w:id="134"/>
      <w:bookmarkEnd w:id="135"/>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(签章)：                   公章：</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质疑函制作说明</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bookmarkStart w:id="136" w:name="_Toc15028"/>
      <w:r>
        <w:rPr>
          <w:rFonts w:hint="eastAsia" w:ascii="仿宋" w:hAnsi="仿宋" w:eastAsia="仿宋" w:cs="仿宋"/>
          <w:color w:val="auto"/>
          <w:sz w:val="24"/>
          <w:szCs w:val="24"/>
          <w:highlight w:val="none"/>
        </w:rPr>
        <w:t>1.投标人提出质疑时，应提交质疑函和必要的证明材料。</w:t>
      </w:r>
      <w:bookmarkEnd w:id="136"/>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3.质疑投标人若对项目的某一分包进行质疑，质疑函中应列明具体分包号。</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bookmarkStart w:id="137" w:name="_Toc3190"/>
      <w:r>
        <w:rPr>
          <w:rFonts w:hint="eastAsia" w:ascii="仿宋" w:hAnsi="仿宋" w:eastAsia="仿宋" w:cs="仿宋"/>
          <w:color w:val="auto"/>
          <w:sz w:val="24"/>
          <w:szCs w:val="24"/>
          <w:highlight w:val="none"/>
        </w:rPr>
        <w:t>5.质疑函的质疑请求应与质疑事项相关。</w:t>
      </w:r>
      <w:bookmarkEnd w:id="137"/>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6.质疑投标人为自然人，质疑函应由本人签字；质疑投标人为法人或者其他组织的，质疑函应由法定代表人、主要负责人，或其授权代表签字或者盖章，并加盖公章。</w:t>
      </w:r>
    </w:p>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6"/>
          <w:szCs w:val="36"/>
          <w:highlight w:val="none"/>
          <w:lang w:val="en-US" w:eastAsia="zh-CN"/>
        </w:rPr>
      </w:pPr>
      <w:bookmarkStart w:id="138" w:name="_Toc14531"/>
      <w:bookmarkStart w:id="139" w:name="_Toc27993"/>
      <w:bookmarkStart w:id="140" w:name="_Toc10027"/>
      <w:bookmarkStart w:id="141" w:name="_Toc9661"/>
      <w:r>
        <w:rPr>
          <w:rFonts w:hint="eastAsia" w:ascii="仿宋" w:hAnsi="仿宋" w:eastAsia="仿宋" w:cs="仿宋"/>
          <w:color w:val="auto"/>
          <w:sz w:val="36"/>
          <w:szCs w:val="36"/>
          <w:highlight w:val="none"/>
          <w:lang w:val="en-US" w:eastAsia="zh-CN"/>
        </w:rPr>
        <w:t>第三章政府采购合同</w:t>
      </w:r>
      <w:bookmarkEnd w:id="138"/>
      <w:bookmarkEnd w:id="139"/>
      <w:bookmarkEnd w:id="140"/>
      <w:bookmarkEnd w:id="141"/>
    </w:p>
    <w:p>
      <w:pPr>
        <w:spacing w:line="360" w:lineRule="auto"/>
        <w:jc w:val="center"/>
        <w:outlineLvl w:val="9"/>
        <w:rPr>
          <w:rFonts w:hint="eastAsia" w:ascii="仿宋" w:hAnsi="仿宋" w:eastAsia="仿宋" w:cs="仿宋"/>
          <w:b/>
          <w:bCs/>
          <w:color w:val="auto"/>
          <w:sz w:val="24"/>
          <w:szCs w:val="24"/>
          <w:highlight w:val="none"/>
        </w:rPr>
      </w:pPr>
      <w:bookmarkStart w:id="142" w:name="_Toc20789"/>
      <w:r>
        <w:rPr>
          <w:rFonts w:hint="eastAsia" w:ascii="仿宋" w:hAnsi="仿宋" w:eastAsia="仿宋" w:cs="仿宋"/>
          <w:b/>
          <w:bCs/>
          <w:color w:val="auto"/>
          <w:sz w:val="24"/>
          <w:szCs w:val="24"/>
          <w:highlight w:val="none"/>
        </w:rPr>
        <w:t>政府采购合同参考范本</w:t>
      </w:r>
      <w:bookmarkEnd w:id="142"/>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注：本合同仅为合同的参考文本，合同签订双方可根据项目的具体要求进行修订。</w:t>
      </w:r>
    </w:p>
    <w:p>
      <w:pPr>
        <w:pStyle w:val="44"/>
        <w:snapToGrid w:val="0"/>
        <w:spacing w:line="360" w:lineRule="auto"/>
        <w:ind w:firstLine="482"/>
        <w:jc w:val="center"/>
        <w:textAlignment w:val="baseline"/>
        <w:outlineLvl w:val="9"/>
        <w:rPr>
          <w:rFonts w:hint="eastAsia" w:ascii="仿宋" w:hAnsi="仿宋" w:eastAsia="仿宋" w:cs="仿宋"/>
          <w:b/>
          <w:color w:val="auto"/>
          <w:szCs w:val="24"/>
        </w:rPr>
      </w:pPr>
      <w:bookmarkStart w:id="143" w:name="_Toc16407"/>
      <w:r>
        <w:rPr>
          <w:rFonts w:hint="eastAsia" w:ascii="仿宋" w:hAnsi="仿宋" w:eastAsia="仿宋" w:cs="仿宋"/>
          <w:b/>
          <w:color w:val="auto"/>
          <w:szCs w:val="24"/>
        </w:rPr>
        <w:t>第一部分合同书</w:t>
      </w:r>
      <w:bookmarkEnd w:id="143"/>
    </w:p>
    <w:p>
      <w:pPr>
        <w:keepNext w:val="0"/>
        <w:keepLines w:val="0"/>
        <w:pageBreakBefore w:val="0"/>
        <w:widowControl w:val="0"/>
        <w:kinsoku/>
        <w:wordWrap/>
        <w:overflowPunct/>
        <w:topLinePunct w:val="0"/>
        <w:autoSpaceDE/>
        <w:autoSpaceDN/>
        <w:bidi w:val="0"/>
        <w:adjustRightInd/>
        <w:snapToGrid w:val="0"/>
        <w:spacing w:line="360" w:lineRule="auto"/>
        <w:ind w:left="960" w:hanging="960" w:hangingChars="400"/>
        <w:textAlignment w:val="baseline"/>
        <w:outlineLvl w:val="9"/>
        <w:rPr>
          <w:rFonts w:hint="eastAsia" w:ascii="仿宋" w:hAnsi="仿宋" w:eastAsia="仿宋" w:cs="仿宋"/>
          <w:color w:val="auto"/>
        </w:rPr>
      </w:pPr>
      <w:r>
        <w:rPr>
          <w:rFonts w:hint="eastAsia" w:ascii="仿宋" w:hAnsi="仿宋" w:eastAsia="仿宋" w:cs="仿宋"/>
          <w:color w:val="auto"/>
        </w:rPr>
        <w:t>项目名称：</w:t>
      </w:r>
      <w:r>
        <w:rPr>
          <w:rFonts w:hint="eastAsia" w:ascii="仿宋" w:hAnsi="仿宋" w:eastAsia="仿宋" w:cs="仿宋"/>
          <w:color w:val="auto"/>
          <w:u w:val="single" w:color="00000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960" w:hanging="960" w:hangingChars="40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甲方：</w:t>
      </w:r>
      <w:r>
        <w:rPr>
          <w:rFonts w:hint="eastAsia" w:ascii="仿宋" w:hAnsi="仿宋" w:eastAsia="仿宋" w:cs="仿宋"/>
          <w:color w:val="auto"/>
          <w:u w:val="single" w:color="00000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960" w:hanging="960" w:hangingChars="40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乙方：</w:t>
      </w:r>
      <w:r>
        <w:rPr>
          <w:rFonts w:hint="eastAsia" w:ascii="仿宋" w:hAnsi="仿宋" w:eastAsia="仿宋" w:cs="仿宋"/>
          <w:color w:val="auto"/>
          <w:u w:val="single" w:color="00000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960" w:hanging="960" w:hangingChars="40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签订地：</w:t>
      </w:r>
      <w:r>
        <w:rPr>
          <w:rFonts w:hint="eastAsia" w:ascii="仿宋" w:hAnsi="仿宋" w:eastAsia="仿宋" w:cs="仿宋"/>
          <w:color w:val="auto"/>
          <w:u w:val="single" w:color="00000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960" w:hanging="960" w:hangingChars="40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签订日期：</w:t>
      </w:r>
      <w:r>
        <w:rPr>
          <w:rFonts w:hint="eastAsia" w:ascii="仿宋" w:hAnsi="仿宋" w:eastAsia="仿宋" w:cs="仿宋"/>
          <w:color w:val="auto"/>
          <w:u w:val="single" w:color="000000"/>
        </w:rPr>
        <w:t xml:space="preserve">               </w:t>
      </w:r>
      <w:r>
        <w:rPr>
          <w:rFonts w:hint="eastAsia" w:ascii="仿宋" w:hAnsi="仿宋" w:eastAsia="仿宋" w:cs="仿宋"/>
          <w:color w:val="auto"/>
        </w:rPr>
        <w:t>年</w:t>
      </w:r>
      <w:r>
        <w:rPr>
          <w:rFonts w:hint="eastAsia" w:ascii="仿宋" w:hAnsi="仿宋" w:eastAsia="仿宋" w:cs="仿宋"/>
          <w:color w:val="auto"/>
          <w:u w:val="single" w:color="000000"/>
        </w:rPr>
        <w:t xml:space="preserve">       </w:t>
      </w:r>
      <w:r>
        <w:rPr>
          <w:rFonts w:hint="eastAsia" w:ascii="仿宋" w:hAnsi="仿宋" w:eastAsia="仿宋" w:cs="仿宋"/>
          <w:color w:val="auto"/>
        </w:rPr>
        <w:t>月</w:t>
      </w:r>
      <w:r>
        <w:rPr>
          <w:rFonts w:hint="eastAsia" w:ascii="仿宋" w:hAnsi="仿宋" w:eastAsia="仿宋" w:cs="仿宋"/>
          <w:color w:val="auto"/>
          <w:u w:val="single" w:color="000000"/>
        </w:rPr>
        <w:t xml:space="preserve">       </w:t>
      </w:r>
      <w:r>
        <w:rPr>
          <w:rFonts w:hint="eastAsia" w:ascii="仿宋" w:hAnsi="仿宋" w:eastAsia="仿宋" w:cs="仿宋"/>
          <w:color w:val="auto"/>
        </w:rPr>
        <w:t>日</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u w:val="single" w:color="000000"/>
          <w:lang w:val="zh-CN"/>
        </w:rPr>
        <w:t xml:space="preserve">       </w:t>
      </w:r>
      <w:r>
        <w:rPr>
          <w:rFonts w:hint="eastAsia" w:ascii="仿宋" w:hAnsi="仿宋" w:eastAsia="仿宋" w:cs="仿宋"/>
          <w:color w:val="auto"/>
          <w:lang w:val="zh-CN"/>
        </w:rPr>
        <w:t>年</w:t>
      </w:r>
      <w:r>
        <w:rPr>
          <w:rFonts w:hint="eastAsia" w:ascii="仿宋" w:hAnsi="仿宋" w:eastAsia="仿宋" w:cs="仿宋"/>
          <w:color w:val="auto"/>
          <w:u w:val="single" w:color="000000"/>
          <w:lang w:val="zh-CN"/>
        </w:rPr>
        <w:t xml:space="preserve">    </w:t>
      </w:r>
      <w:r>
        <w:rPr>
          <w:rFonts w:hint="eastAsia" w:ascii="仿宋" w:hAnsi="仿宋" w:eastAsia="仿宋" w:cs="仿宋"/>
          <w:color w:val="auto"/>
          <w:lang w:val="zh-CN"/>
        </w:rPr>
        <w:t>月</w:t>
      </w:r>
      <w:r>
        <w:rPr>
          <w:rFonts w:hint="eastAsia" w:ascii="仿宋" w:hAnsi="仿宋" w:eastAsia="仿宋" w:cs="仿宋"/>
          <w:color w:val="auto"/>
          <w:u w:val="single" w:color="000000"/>
          <w:lang w:val="zh-CN"/>
        </w:rPr>
        <w:t xml:space="preserve">    </w:t>
      </w:r>
      <w:r>
        <w:rPr>
          <w:rFonts w:hint="eastAsia" w:ascii="仿宋" w:hAnsi="仿宋" w:eastAsia="仿宋" w:cs="仿宋"/>
          <w:color w:val="auto"/>
          <w:lang w:val="zh-CN"/>
        </w:rPr>
        <w:t>日</w:t>
      </w:r>
      <w:r>
        <w:rPr>
          <w:rFonts w:hint="eastAsia" w:ascii="仿宋" w:hAnsi="仿宋" w:eastAsia="仿宋" w:cs="仿宋"/>
          <w:color w:val="auto"/>
        </w:rPr>
        <w:t>，</w:t>
      </w:r>
      <w:r>
        <w:rPr>
          <w:rFonts w:hint="eastAsia" w:ascii="仿宋" w:hAnsi="仿宋" w:eastAsia="仿宋" w:cs="仿宋"/>
          <w:color w:val="auto"/>
          <w:u w:val="single" w:color="000000"/>
        </w:rPr>
        <w:t xml:space="preserve">   （采购人名称）   </w:t>
      </w:r>
      <w:r>
        <w:rPr>
          <w:rFonts w:hint="eastAsia" w:ascii="仿宋" w:hAnsi="仿宋" w:eastAsia="仿宋" w:cs="仿宋"/>
          <w:color w:val="auto"/>
        </w:rPr>
        <w:t>以</w:t>
      </w:r>
      <w:r>
        <w:rPr>
          <w:rFonts w:hint="eastAsia" w:ascii="仿宋" w:hAnsi="仿宋" w:eastAsia="仿宋" w:cs="仿宋"/>
          <w:color w:val="auto"/>
          <w:u w:val="single" w:color="000000"/>
        </w:rPr>
        <w:t xml:space="preserve">   （政府采购方式）  </w:t>
      </w:r>
      <w:r>
        <w:rPr>
          <w:rFonts w:hint="eastAsia" w:ascii="仿宋" w:hAnsi="仿宋" w:eastAsia="仿宋" w:cs="仿宋"/>
          <w:color w:val="auto"/>
        </w:rPr>
        <w:t>对</w:t>
      </w:r>
      <w:r>
        <w:rPr>
          <w:rFonts w:hint="eastAsia" w:ascii="仿宋" w:hAnsi="仿宋" w:eastAsia="仿宋" w:cs="仿宋"/>
          <w:color w:val="auto"/>
          <w:u w:val="single" w:color="000000"/>
        </w:rPr>
        <w:t xml:space="preserve">（同前页项目名称）   </w:t>
      </w:r>
      <w:r>
        <w:rPr>
          <w:rFonts w:hint="eastAsia" w:ascii="仿宋" w:hAnsi="仿宋" w:eastAsia="仿宋" w:cs="仿宋"/>
          <w:color w:val="auto"/>
        </w:rPr>
        <w:t>项目进行了采购。经</w:t>
      </w:r>
      <w:r>
        <w:rPr>
          <w:rFonts w:hint="eastAsia" w:ascii="仿宋" w:hAnsi="仿宋" w:eastAsia="仿宋" w:cs="仿宋"/>
          <w:color w:val="auto"/>
          <w:u w:val="single" w:color="000000"/>
        </w:rPr>
        <w:t xml:space="preserve">   （相关评定主体名称）   </w:t>
      </w:r>
      <w:r>
        <w:rPr>
          <w:rFonts w:hint="eastAsia" w:ascii="仿宋" w:hAnsi="仿宋" w:eastAsia="仿宋" w:cs="仿宋"/>
          <w:color w:val="auto"/>
        </w:rPr>
        <w:t>评定，</w:t>
      </w:r>
      <w:r>
        <w:rPr>
          <w:rFonts w:hint="eastAsia" w:ascii="仿宋" w:hAnsi="仿宋" w:eastAsia="仿宋" w:cs="仿宋"/>
          <w:color w:val="auto"/>
          <w:u w:val="single" w:color="000000"/>
        </w:rPr>
        <w:t>（中标</w:t>
      </w:r>
      <w:r>
        <w:rPr>
          <w:rFonts w:hint="eastAsia" w:ascii="仿宋" w:hAnsi="仿宋" w:eastAsia="仿宋" w:cs="仿宋"/>
          <w:color w:val="auto"/>
          <w:u w:val="single" w:color="000000"/>
          <w:lang w:eastAsia="zh-CN"/>
        </w:rPr>
        <w:t>供应商</w:t>
      </w:r>
      <w:r>
        <w:rPr>
          <w:rFonts w:hint="eastAsia" w:ascii="仿宋" w:hAnsi="仿宋" w:eastAsia="仿宋" w:cs="仿宋"/>
          <w:color w:val="auto"/>
          <w:u w:val="single" w:color="000000"/>
        </w:rPr>
        <w:t>名称）</w:t>
      </w:r>
      <w:r>
        <w:rPr>
          <w:rFonts w:hint="eastAsia" w:ascii="仿宋" w:hAnsi="仿宋" w:eastAsia="仿宋" w:cs="仿宋"/>
          <w:color w:val="auto"/>
        </w:rPr>
        <w:t>为该项目中标</w:t>
      </w:r>
      <w:r>
        <w:rPr>
          <w:rFonts w:hint="eastAsia" w:ascii="仿宋" w:hAnsi="仿宋" w:eastAsia="仿宋" w:cs="仿宋"/>
          <w:color w:val="auto"/>
          <w:lang w:eastAsia="zh-CN"/>
        </w:rPr>
        <w:t>供应商</w:t>
      </w:r>
      <w:r>
        <w:rPr>
          <w:rFonts w:hint="eastAsia" w:ascii="仿宋" w:hAnsi="仿宋" w:eastAsia="仿宋" w:cs="仿宋"/>
          <w:color w:val="auto"/>
        </w:rPr>
        <w:t>。现于中标通知书发出之日起三十日内，按照采购文件确定的事项签订本合同。</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u w:val="single" w:color="000000"/>
        </w:rPr>
        <w:t xml:space="preserve">   （采购人名称）</w:t>
      </w:r>
      <w:r>
        <w:rPr>
          <w:rFonts w:hint="eastAsia" w:ascii="仿宋" w:hAnsi="仿宋" w:eastAsia="仿宋" w:cs="仿宋"/>
          <w:color w:val="auto"/>
          <w:lang w:val="zh-CN"/>
        </w:rPr>
        <w:t>(以下简称：甲方)和</w:t>
      </w:r>
      <w:r>
        <w:rPr>
          <w:rFonts w:hint="eastAsia" w:ascii="仿宋" w:hAnsi="仿宋" w:eastAsia="仿宋" w:cs="仿宋"/>
          <w:color w:val="auto"/>
          <w:u w:val="single" w:color="000000"/>
        </w:rPr>
        <w:t xml:space="preserve">   （中标</w:t>
      </w:r>
      <w:r>
        <w:rPr>
          <w:rFonts w:hint="eastAsia" w:ascii="仿宋" w:hAnsi="仿宋" w:eastAsia="仿宋" w:cs="仿宋"/>
          <w:color w:val="auto"/>
          <w:u w:val="single" w:color="000000"/>
          <w:lang w:eastAsia="zh-CN"/>
        </w:rPr>
        <w:t>供应商</w:t>
      </w:r>
      <w:r>
        <w:rPr>
          <w:rFonts w:hint="eastAsia" w:ascii="仿宋" w:hAnsi="仿宋" w:eastAsia="仿宋" w:cs="仿宋"/>
          <w:color w:val="auto"/>
          <w:u w:val="single" w:color="000000"/>
        </w:rPr>
        <w:t xml:space="preserve">名称）   </w:t>
      </w:r>
      <w:r>
        <w:rPr>
          <w:rFonts w:hint="eastAsia" w:ascii="仿宋" w:hAnsi="仿宋" w:eastAsia="仿宋" w:cs="仿宋"/>
          <w:color w:val="auto"/>
          <w:lang w:val="zh-CN"/>
        </w:rPr>
        <w:t>(以下简称：乙方)协商一致，约定以下合同</w:t>
      </w:r>
      <w:r>
        <w:rPr>
          <w:rFonts w:hint="eastAsia" w:ascii="仿宋" w:hAnsi="仿宋" w:eastAsia="仿宋" w:cs="仿宋"/>
          <w:color w:val="auto"/>
        </w:rPr>
        <w:t>条款，以兹共同遵守、全面履行。</w:t>
      </w:r>
    </w:p>
    <w:p>
      <w:pPr>
        <w:spacing w:line="560" w:lineRule="exact"/>
        <w:ind w:firstLine="482"/>
        <w:textAlignment w:val="baseline"/>
        <w:outlineLvl w:val="9"/>
        <w:rPr>
          <w:rFonts w:hint="eastAsia" w:ascii="仿宋" w:hAnsi="仿宋" w:eastAsia="仿宋" w:cs="仿宋"/>
          <w:b/>
          <w:color w:val="auto"/>
        </w:rPr>
      </w:pPr>
      <w:bookmarkStart w:id="144" w:name="_Toc2232"/>
      <w:bookmarkStart w:id="145" w:name="_Toc2576"/>
      <w:bookmarkStart w:id="146" w:name="_Toc3029"/>
      <w:bookmarkStart w:id="147" w:name="_Toc13606"/>
      <w:bookmarkStart w:id="148" w:name="_Toc24059"/>
      <w:bookmarkStart w:id="149" w:name="_Toc11380"/>
      <w:bookmarkStart w:id="150" w:name="_Toc1976"/>
      <w:bookmarkStart w:id="151" w:name="_Toc23039"/>
      <w:r>
        <w:rPr>
          <w:rFonts w:hint="eastAsia" w:ascii="仿宋" w:hAnsi="仿宋" w:eastAsia="仿宋" w:cs="仿宋"/>
          <w:b/>
          <w:color w:val="auto"/>
        </w:rPr>
        <w:t>1.1合同组成部分</w:t>
      </w:r>
      <w:bookmarkEnd w:id="144"/>
      <w:bookmarkEnd w:id="145"/>
      <w:bookmarkEnd w:id="146"/>
      <w:bookmarkEnd w:id="147"/>
      <w:bookmarkEnd w:id="148"/>
      <w:bookmarkEnd w:id="149"/>
      <w:bookmarkEnd w:id="150"/>
      <w:bookmarkEnd w:id="151"/>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1.1.1本合同及其补充合同、变更协议；</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1.1.2</w:t>
      </w:r>
      <w:r>
        <w:rPr>
          <w:rFonts w:hint="eastAsia" w:ascii="仿宋" w:hAnsi="仿宋" w:eastAsia="仿宋" w:cs="仿宋"/>
          <w:color w:val="auto"/>
          <w:lang w:eastAsia="zh-CN"/>
        </w:rPr>
        <w:t>中标(成交）</w:t>
      </w:r>
      <w:r>
        <w:rPr>
          <w:rFonts w:hint="eastAsia" w:ascii="仿宋" w:hAnsi="仿宋" w:eastAsia="仿宋" w:cs="仿宋"/>
          <w:color w:val="auto"/>
        </w:rPr>
        <w:t>通知书；</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1.1.3谈判响应文件（含澄清或者说明文件）；</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1.1.4谈判文件（含澄清或者修改文件）；</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1.1.5其他相关采购文件。</w:t>
      </w:r>
    </w:p>
    <w:p>
      <w:pPr>
        <w:spacing w:line="560" w:lineRule="exact"/>
        <w:ind w:firstLine="482"/>
        <w:textAlignment w:val="baseline"/>
        <w:outlineLvl w:val="9"/>
        <w:rPr>
          <w:rFonts w:hint="eastAsia" w:ascii="仿宋" w:hAnsi="仿宋" w:eastAsia="仿宋" w:cs="仿宋"/>
          <w:b/>
          <w:color w:val="auto"/>
        </w:rPr>
      </w:pPr>
      <w:bookmarkStart w:id="152" w:name="_Toc1223"/>
      <w:bookmarkStart w:id="153" w:name="_Toc27126"/>
      <w:bookmarkStart w:id="154" w:name="_Toc21295"/>
      <w:bookmarkStart w:id="155" w:name="_Toc10924"/>
      <w:bookmarkStart w:id="156" w:name="_Toc24300"/>
      <w:bookmarkStart w:id="157" w:name="_Toc658"/>
      <w:bookmarkStart w:id="158" w:name="_Toc7243"/>
      <w:bookmarkStart w:id="159" w:name="_Toc26962"/>
      <w:r>
        <w:rPr>
          <w:rFonts w:hint="eastAsia" w:ascii="仿宋" w:hAnsi="仿宋" w:eastAsia="仿宋" w:cs="仿宋"/>
          <w:b/>
          <w:color w:val="auto"/>
        </w:rPr>
        <w:t>1.2货物</w:t>
      </w:r>
      <w:bookmarkEnd w:id="152"/>
      <w:bookmarkEnd w:id="153"/>
      <w:bookmarkEnd w:id="154"/>
      <w:bookmarkEnd w:id="155"/>
      <w:bookmarkEnd w:id="156"/>
      <w:bookmarkEnd w:id="157"/>
      <w:bookmarkEnd w:id="158"/>
      <w:bookmarkEnd w:id="159"/>
    </w:p>
    <w:p>
      <w:pPr>
        <w:spacing w:line="560" w:lineRule="exact"/>
        <w:ind w:firstLine="48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1.2.1货物名称：</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1.2.2货物数量：</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1.2.3货物质量：</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2"/>
        <w:textAlignment w:val="baseline"/>
        <w:outlineLvl w:val="9"/>
        <w:rPr>
          <w:rFonts w:hint="eastAsia" w:ascii="仿宋" w:hAnsi="仿宋" w:eastAsia="仿宋" w:cs="仿宋"/>
          <w:b/>
          <w:color w:val="auto"/>
        </w:rPr>
      </w:pPr>
      <w:bookmarkStart w:id="160" w:name="_Toc339"/>
      <w:bookmarkStart w:id="161" w:name="_Toc15356"/>
      <w:bookmarkStart w:id="162" w:name="_Toc8774"/>
      <w:bookmarkStart w:id="163" w:name="_Toc21551"/>
      <w:bookmarkStart w:id="164" w:name="_Toc32505"/>
      <w:bookmarkStart w:id="165" w:name="_Toc23292"/>
      <w:bookmarkStart w:id="166" w:name="_Toc21631"/>
      <w:bookmarkStart w:id="167" w:name="_Toc12841"/>
      <w:r>
        <w:rPr>
          <w:rFonts w:hint="eastAsia" w:ascii="仿宋" w:hAnsi="仿宋" w:eastAsia="仿宋" w:cs="仿宋"/>
          <w:b/>
          <w:color w:val="auto"/>
        </w:rPr>
        <w:t>1.3价款</w:t>
      </w:r>
      <w:bookmarkEnd w:id="160"/>
      <w:bookmarkEnd w:id="161"/>
      <w:bookmarkEnd w:id="162"/>
      <w:bookmarkEnd w:id="163"/>
      <w:bookmarkEnd w:id="164"/>
      <w:bookmarkEnd w:id="165"/>
      <w:bookmarkEnd w:id="166"/>
      <w:bookmarkEnd w:id="167"/>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本合同总价为：￥</w:t>
      </w:r>
      <w:r>
        <w:rPr>
          <w:rFonts w:hint="eastAsia" w:ascii="仿宋" w:hAnsi="仿宋" w:eastAsia="仿宋" w:cs="仿宋"/>
          <w:color w:val="auto"/>
          <w:u w:val="single" w:color="000000"/>
        </w:rPr>
        <w:t xml:space="preserve">           </w:t>
      </w:r>
      <w:r>
        <w:rPr>
          <w:rFonts w:hint="eastAsia" w:ascii="仿宋" w:hAnsi="仿宋" w:eastAsia="仿宋" w:cs="仿宋"/>
          <w:color w:val="auto"/>
        </w:rPr>
        <w:t>元（大写：</w:t>
      </w:r>
      <w:r>
        <w:rPr>
          <w:rFonts w:hint="eastAsia" w:ascii="仿宋" w:hAnsi="仿宋" w:eastAsia="仿宋" w:cs="仿宋"/>
          <w:color w:val="auto"/>
          <w:u w:val="single" w:color="000000"/>
        </w:rPr>
        <w:t xml:space="preserve">        </w:t>
      </w:r>
      <w:r>
        <w:rPr>
          <w:rFonts w:hint="eastAsia" w:ascii="仿宋" w:hAnsi="仿宋" w:eastAsia="仿宋" w:cs="仿宋"/>
          <w:color w:val="auto"/>
        </w:rPr>
        <w:t>元人民币）。</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分项价格：</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05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38" w:type="pct"/>
            <w:noWrap w:val="0"/>
            <w:vAlign w:val="center"/>
          </w:tcPr>
          <w:p>
            <w:pPr>
              <w:pStyle w:val="45"/>
              <w:keepNext w:val="0"/>
              <w:keepLines w:val="0"/>
              <w:suppressLineNumbers w:val="0"/>
              <w:spacing w:before="0" w:beforeAutospacing="0" w:after="0" w:afterAutospacing="0" w:line="560" w:lineRule="exact"/>
              <w:ind w:left="0" w:right="0" w:firstLine="0" w:firstLineChars="0"/>
              <w:jc w:val="center"/>
              <w:textAlignment w:val="baseline"/>
              <w:outlineLvl w:val="9"/>
              <w:rPr>
                <w:rFonts w:hint="eastAsia" w:ascii="仿宋" w:hAnsi="仿宋" w:eastAsia="仿宋" w:cs="仿宋"/>
                <w:color w:val="auto"/>
                <w:szCs w:val="24"/>
              </w:rPr>
            </w:pPr>
            <w:r>
              <w:rPr>
                <w:rFonts w:hint="eastAsia" w:ascii="仿宋" w:hAnsi="仿宋" w:eastAsia="仿宋" w:cs="仿宋"/>
                <w:color w:val="auto"/>
                <w:szCs w:val="24"/>
              </w:rPr>
              <w:t>序号</w:t>
            </w:r>
          </w:p>
        </w:tc>
        <w:tc>
          <w:tcPr>
            <w:tcW w:w="2377" w:type="pct"/>
            <w:noWrap w:val="0"/>
            <w:vAlign w:val="center"/>
          </w:tcPr>
          <w:p>
            <w:pPr>
              <w:pStyle w:val="45"/>
              <w:keepNext w:val="0"/>
              <w:keepLines w:val="0"/>
              <w:suppressLineNumbers w:val="0"/>
              <w:spacing w:before="0" w:beforeAutospacing="0" w:after="0" w:afterAutospacing="0" w:line="560" w:lineRule="exact"/>
              <w:ind w:left="0" w:right="0" w:firstLine="0" w:firstLineChars="0"/>
              <w:jc w:val="center"/>
              <w:textAlignment w:val="baseline"/>
              <w:outlineLvl w:val="9"/>
              <w:rPr>
                <w:rFonts w:hint="eastAsia" w:ascii="仿宋" w:hAnsi="仿宋" w:eastAsia="仿宋" w:cs="仿宋"/>
                <w:color w:val="auto"/>
                <w:szCs w:val="24"/>
              </w:rPr>
            </w:pPr>
            <w:r>
              <w:rPr>
                <w:rFonts w:hint="eastAsia" w:ascii="仿宋" w:hAnsi="仿宋" w:eastAsia="仿宋" w:cs="仿宋"/>
                <w:color w:val="auto"/>
                <w:szCs w:val="24"/>
              </w:rPr>
              <w:t>分项名称</w:t>
            </w: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0" w:firstLineChars="0"/>
              <w:jc w:val="center"/>
              <w:textAlignment w:val="baseline"/>
              <w:outlineLvl w:val="9"/>
              <w:rPr>
                <w:rFonts w:hint="eastAsia" w:ascii="仿宋" w:hAnsi="仿宋" w:eastAsia="仿宋" w:cs="仿宋"/>
                <w:color w:val="auto"/>
                <w:szCs w:val="24"/>
              </w:rPr>
            </w:pPr>
            <w:r>
              <w:rPr>
                <w:rFonts w:hint="eastAsia" w:ascii="仿宋" w:hAnsi="仿宋" w:eastAsia="仿宋" w:cs="仿宋"/>
                <w:color w:val="auto"/>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38"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2377"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38"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2377"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38"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2377"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38"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2377"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216" w:type="pct"/>
            <w:gridSpan w:val="2"/>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r>
              <w:rPr>
                <w:rFonts w:hint="eastAsia" w:ascii="仿宋" w:hAnsi="仿宋" w:eastAsia="仿宋" w:cs="仿宋"/>
                <w:color w:val="auto"/>
                <w:szCs w:val="24"/>
              </w:rPr>
              <w:t>总价</w:t>
            </w:r>
          </w:p>
        </w:tc>
        <w:tc>
          <w:tcPr>
            <w:tcW w:w="1783" w:type="pct"/>
            <w:noWrap w:val="0"/>
            <w:vAlign w:val="center"/>
          </w:tcPr>
          <w:p>
            <w:pPr>
              <w:pStyle w:val="45"/>
              <w:keepNext w:val="0"/>
              <w:keepLines w:val="0"/>
              <w:suppressLineNumbers w:val="0"/>
              <w:spacing w:before="0" w:beforeAutospacing="0" w:after="0" w:afterAutospacing="0" w:line="560" w:lineRule="exact"/>
              <w:ind w:left="0" w:right="0" w:firstLine="480"/>
              <w:jc w:val="center"/>
              <w:textAlignment w:val="baseline"/>
              <w:outlineLvl w:val="9"/>
              <w:rPr>
                <w:rFonts w:hint="eastAsia" w:ascii="仿宋" w:hAnsi="仿宋" w:eastAsia="仿宋" w:cs="仿宋"/>
                <w:color w:val="auto"/>
                <w:szCs w:val="24"/>
              </w:rPr>
            </w:pPr>
          </w:p>
        </w:tc>
      </w:tr>
    </w:tbl>
    <w:p>
      <w:pPr>
        <w:spacing w:line="560" w:lineRule="exact"/>
        <w:ind w:firstLine="482"/>
        <w:textAlignment w:val="baseline"/>
        <w:outlineLvl w:val="9"/>
        <w:rPr>
          <w:rFonts w:hint="eastAsia" w:ascii="仿宋" w:hAnsi="仿宋" w:eastAsia="仿宋" w:cs="仿宋"/>
          <w:b/>
          <w:color w:val="auto"/>
        </w:rPr>
      </w:pPr>
      <w:bookmarkStart w:id="168" w:name="_Toc10340"/>
      <w:bookmarkStart w:id="169" w:name="_Toc24114"/>
      <w:bookmarkStart w:id="170" w:name="_Toc31382"/>
      <w:bookmarkStart w:id="171" w:name="_Toc1814"/>
      <w:bookmarkStart w:id="172" w:name="_Toc15409"/>
      <w:bookmarkStart w:id="173" w:name="_Toc17282"/>
      <w:bookmarkStart w:id="174" w:name="_Toc22618"/>
      <w:bookmarkStart w:id="175" w:name="_Toc2405"/>
      <w:r>
        <w:rPr>
          <w:rFonts w:hint="eastAsia" w:ascii="仿宋" w:hAnsi="仿宋" w:eastAsia="仿宋" w:cs="仿宋"/>
          <w:b/>
          <w:color w:val="auto"/>
        </w:rPr>
        <w:t>1.4付款方式和发票开具方式</w:t>
      </w:r>
      <w:bookmarkEnd w:id="168"/>
      <w:bookmarkEnd w:id="169"/>
      <w:bookmarkEnd w:id="170"/>
      <w:bookmarkEnd w:id="171"/>
      <w:bookmarkEnd w:id="172"/>
      <w:bookmarkEnd w:id="173"/>
      <w:bookmarkEnd w:id="174"/>
      <w:bookmarkEnd w:id="175"/>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1.4.1付款方式：</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1.4.2发票开具方式：</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2"/>
        <w:textAlignment w:val="baseline"/>
        <w:outlineLvl w:val="9"/>
        <w:rPr>
          <w:rFonts w:hint="eastAsia" w:ascii="仿宋" w:hAnsi="仿宋" w:eastAsia="仿宋" w:cs="仿宋"/>
          <w:b/>
          <w:color w:val="auto"/>
        </w:rPr>
      </w:pPr>
      <w:bookmarkStart w:id="176" w:name="_Toc10000"/>
      <w:bookmarkStart w:id="177" w:name="_Toc32071"/>
      <w:bookmarkStart w:id="178" w:name="_Toc17243"/>
      <w:bookmarkStart w:id="179" w:name="_Toc19304"/>
      <w:bookmarkStart w:id="180" w:name="_Toc2846"/>
      <w:bookmarkStart w:id="181" w:name="_Toc9677"/>
      <w:bookmarkStart w:id="182" w:name="_Toc12614"/>
      <w:bookmarkStart w:id="183" w:name="_Toc27615"/>
      <w:r>
        <w:rPr>
          <w:rFonts w:hint="eastAsia" w:ascii="仿宋" w:hAnsi="仿宋" w:eastAsia="仿宋" w:cs="仿宋"/>
          <w:b/>
          <w:color w:val="auto"/>
        </w:rPr>
        <w:t>1.5 货物交付期限、地点和方式</w:t>
      </w:r>
      <w:bookmarkEnd w:id="176"/>
      <w:bookmarkEnd w:id="177"/>
      <w:bookmarkEnd w:id="178"/>
      <w:bookmarkEnd w:id="179"/>
      <w:bookmarkEnd w:id="180"/>
      <w:bookmarkEnd w:id="181"/>
      <w:bookmarkEnd w:id="182"/>
      <w:bookmarkEnd w:id="183"/>
    </w:p>
    <w:p>
      <w:pPr>
        <w:spacing w:line="560" w:lineRule="exact"/>
        <w:ind w:firstLine="48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1.5.1交付期限：</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1.5.2交付地点：</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1.5.3交付方式：</w:t>
      </w:r>
      <w:r>
        <w:rPr>
          <w:rFonts w:hint="eastAsia" w:ascii="仿宋" w:hAnsi="仿宋" w:eastAsia="仿宋" w:cs="仿宋"/>
          <w:color w:val="auto"/>
          <w:u w:val="single" w:color="000000"/>
        </w:rPr>
        <w:t xml:space="preserve">　　　　　　　　　                    </w:t>
      </w:r>
      <w:r>
        <w:rPr>
          <w:rFonts w:hint="eastAsia" w:ascii="仿宋" w:hAnsi="仿宋" w:eastAsia="仿宋" w:cs="仿宋"/>
          <w:color w:val="auto"/>
        </w:rPr>
        <w:t>。</w:t>
      </w:r>
    </w:p>
    <w:p>
      <w:pPr>
        <w:spacing w:line="560" w:lineRule="exact"/>
        <w:ind w:firstLine="482"/>
        <w:textAlignment w:val="baseline"/>
        <w:outlineLvl w:val="9"/>
        <w:rPr>
          <w:rFonts w:hint="eastAsia" w:ascii="仿宋" w:hAnsi="仿宋" w:eastAsia="仿宋" w:cs="仿宋"/>
          <w:b/>
          <w:color w:val="auto"/>
        </w:rPr>
      </w:pPr>
      <w:bookmarkStart w:id="184" w:name="_Toc7054"/>
      <w:bookmarkStart w:id="185" w:name="_Toc5953"/>
      <w:bookmarkStart w:id="186" w:name="_Toc17475"/>
      <w:bookmarkStart w:id="187" w:name="_Toc19554"/>
      <w:bookmarkStart w:id="188" w:name="_Toc21423"/>
      <w:bookmarkStart w:id="189" w:name="_Toc27250"/>
      <w:bookmarkStart w:id="190" w:name="_Toc1728"/>
      <w:bookmarkStart w:id="191" w:name="_Toc21398"/>
      <w:r>
        <w:rPr>
          <w:rFonts w:hint="eastAsia" w:ascii="仿宋" w:hAnsi="仿宋" w:eastAsia="仿宋" w:cs="仿宋"/>
          <w:b/>
          <w:color w:val="auto"/>
        </w:rPr>
        <w:t>1.6违约责任</w:t>
      </w:r>
      <w:bookmarkEnd w:id="184"/>
      <w:bookmarkEnd w:id="185"/>
      <w:bookmarkEnd w:id="186"/>
      <w:bookmarkEnd w:id="187"/>
      <w:bookmarkEnd w:id="188"/>
      <w:bookmarkEnd w:id="189"/>
      <w:bookmarkEnd w:id="190"/>
      <w:bookmarkEnd w:id="191"/>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1.6.1除不可抗力外，如果乙方没有按照本合同约定的期限、地点和方式交付货物，那么甲方可要求乙方支付违约金，违约金按每迟延交付货物一日的应交付而未交付货物价格的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u w:val="single" w:color="000000"/>
        </w:rPr>
        <w:t xml:space="preserve">    </w:t>
      </w:r>
      <w:r>
        <w:rPr>
          <w:rFonts w:hint="eastAsia" w:ascii="仿宋" w:hAnsi="仿宋" w:eastAsia="仿宋" w:cs="仿宋"/>
          <w:color w:val="auto"/>
        </w:rPr>
        <w:t>%计算，最高限额为本合同总价的</w:t>
      </w:r>
      <w:r>
        <w:rPr>
          <w:rFonts w:hint="eastAsia" w:ascii="仿宋" w:hAnsi="仿宋" w:eastAsia="仿宋" w:cs="仿宋"/>
          <w:color w:val="auto"/>
          <w:u w:val="single" w:color="000000"/>
        </w:rPr>
        <w:t xml:space="preserve">     </w:t>
      </w:r>
      <w:r>
        <w:rPr>
          <w:rFonts w:hint="eastAsia" w:ascii="仿宋" w:hAnsi="仿宋" w:eastAsia="仿宋" w:cs="仿宋"/>
          <w:color w:val="auto"/>
        </w:rPr>
        <w:t>%；迟延交付货物的违约金计算数额达到前述最高限额之日起，甲方有权在要求乙方支付违约金的同时，书面通知乙方解除本合同；</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1.6.2除不可抗力外，如果甲方没有按照本合同约定的付款方式付款，那么乙方可要求甲方支付违约金，违约金按每迟延付款一日的应付而未付款的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u w:val="single" w:color="000000"/>
        </w:rPr>
        <w:t xml:space="preserve">    </w:t>
      </w:r>
      <w:r>
        <w:rPr>
          <w:rFonts w:hint="eastAsia" w:ascii="仿宋" w:hAnsi="仿宋" w:eastAsia="仿宋" w:cs="仿宋"/>
          <w:color w:val="auto"/>
        </w:rPr>
        <w:t>%计算，最高限额为本合同总价的</w:t>
      </w:r>
      <w:r>
        <w:rPr>
          <w:rFonts w:hint="eastAsia" w:ascii="仿宋" w:hAnsi="仿宋" w:eastAsia="仿宋" w:cs="仿宋"/>
          <w:color w:val="auto"/>
          <w:u w:val="single" w:color="000000"/>
        </w:rPr>
        <w:t xml:space="preserve">     </w:t>
      </w:r>
      <w:r>
        <w:rPr>
          <w:rFonts w:hint="eastAsia" w:ascii="仿宋" w:hAnsi="仿宋" w:eastAsia="仿宋" w:cs="仿宋"/>
          <w:color w:val="auto"/>
        </w:rPr>
        <w:t>%；迟延付款的违约金计算数额达到前述最高限额之日起，乙方有权在要求甲方支付违约金的同时，书面通知甲方解除本合同；</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1.6.6如果出现政府采购监督管理部门在处理投诉事项期间，书面通知甲方暂停采购活动的情形，或者询问或质疑事项可能影响</w:t>
      </w:r>
      <w:r>
        <w:rPr>
          <w:rFonts w:hint="eastAsia" w:ascii="仿宋" w:hAnsi="仿宋" w:eastAsia="仿宋" w:cs="仿宋"/>
          <w:color w:val="auto"/>
          <w:lang w:eastAsia="zh-CN"/>
        </w:rPr>
        <w:t>中标(成交）</w:t>
      </w:r>
      <w:r>
        <w:rPr>
          <w:rFonts w:hint="eastAsia" w:ascii="仿宋" w:hAnsi="仿宋" w:eastAsia="仿宋" w:cs="仿宋"/>
          <w:color w:val="auto"/>
        </w:rPr>
        <w:t>结果的，导致甲方中止履行合同的情形，均不视为甲方违约。</w:t>
      </w:r>
    </w:p>
    <w:p>
      <w:pPr>
        <w:spacing w:line="560" w:lineRule="exact"/>
        <w:ind w:firstLine="482"/>
        <w:textAlignment w:val="baseline"/>
        <w:outlineLvl w:val="9"/>
        <w:rPr>
          <w:rFonts w:hint="eastAsia" w:ascii="仿宋" w:hAnsi="仿宋" w:eastAsia="仿宋" w:cs="仿宋"/>
          <w:b/>
          <w:color w:val="auto"/>
        </w:rPr>
      </w:pPr>
      <w:bookmarkStart w:id="192" w:name="_Toc643"/>
      <w:bookmarkStart w:id="193" w:name="_Toc15583"/>
      <w:bookmarkStart w:id="194" w:name="_Toc28375"/>
      <w:bookmarkStart w:id="195" w:name="_Toc8484"/>
      <w:bookmarkStart w:id="196" w:name="_Toc29531"/>
      <w:bookmarkStart w:id="197" w:name="_Toc16021"/>
      <w:bookmarkStart w:id="198" w:name="_Toc22652"/>
      <w:bookmarkStart w:id="199" w:name="_Toc22513"/>
      <w:r>
        <w:rPr>
          <w:rFonts w:hint="eastAsia" w:ascii="仿宋" w:hAnsi="仿宋" w:eastAsia="仿宋" w:cs="仿宋"/>
          <w:b/>
          <w:color w:val="auto"/>
        </w:rPr>
        <w:t>1.7合同争议的解决</w:t>
      </w:r>
      <w:bookmarkEnd w:id="192"/>
      <w:bookmarkEnd w:id="193"/>
      <w:bookmarkEnd w:id="194"/>
      <w:bookmarkEnd w:id="195"/>
      <w:bookmarkEnd w:id="196"/>
      <w:bookmarkEnd w:id="197"/>
      <w:bookmarkEnd w:id="198"/>
      <w:bookmarkEnd w:id="199"/>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本合同履行过程中发生的任何争议，双方当事人均可通过和解或者调解解决；不愿和解、调解或者和解、调解不成的，可以选择下列第</w:t>
      </w:r>
      <w:r>
        <w:rPr>
          <w:rFonts w:hint="eastAsia" w:ascii="仿宋" w:hAnsi="仿宋" w:eastAsia="仿宋" w:cs="仿宋"/>
          <w:color w:val="auto"/>
          <w:u w:val="single" w:color="000000"/>
        </w:rPr>
        <w:t xml:space="preserve">    </w:t>
      </w:r>
      <w:r>
        <w:rPr>
          <w:rFonts w:hint="eastAsia" w:ascii="仿宋" w:hAnsi="仿宋" w:eastAsia="仿宋" w:cs="仿宋"/>
          <w:color w:val="auto"/>
        </w:rPr>
        <w:t>种方式解决：</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1.7.1将争议提交</w:t>
      </w:r>
      <w:r>
        <w:rPr>
          <w:rFonts w:hint="eastAsia" w:ascii="仿宋" w:hAnsi="仿宋" w:eastAsia="仿宋" w:cs="仿宋"/>
          <w:color w:val="auto"/>
          <w:u w:val="single" w:color="000000"/>
        </w:rPr>
        <w:t xml:space="preserve">              </w:t>
      </w:r>
      <w:r>
        <w:rPr>
          <w:rFonts w:hint="eastAsia" w:ascii="仿宋" w:hAnsi="仿宋" w:eastAsia="仿宋" w:cs="仿宋"/>
          <w:color w:val="auto"/>
        </w:rPr>
        <w:t>仲裁委员会依申请仲裁时其现行有效的仲裁规则裁决；</w:t>
      </w:r>
    </w:p>
    <w:p>
      <w:pPr>
        <w:spacing w:line="560" w:lineRule="exact"/>
        <w:ind w:firstLine="480"/>
        <w:textAlignment w:val="baseline"/>
        <w:outlineLvl w:val="9"/>
        <w:rPr>
          <w:rFonts w:hint="eastAsia" w:ascii="仿宋" w:hAnsi="仿宋" w:eastAsia="仿宋" w:cs="仿宋"/>
          <w:color w:val="auto"/>
          <w:u w:val="single" w:color="000000"/>
        </w:rPr>
      </w:pPr>
      <w:r>
        <w:rPr>
          <w:rFonts w:hint="eastAsia" w:ascii="仿宋" w:hAnsi="仿宋" w:eastAsia="仿宋" w:cs="仿宋"/>
          <w:color w:val="auto"/>
        </w:rPr>
        <w:t>1.7.2向</w:t>
      </w:r>
      <w:r>
        <w:rPr>
          <w:rFonts w:hint="eastAsia" w:ascii="仿宋" w:hAnsi="仿宋" w:eastAsia="仿宋" w:cs="仿宋"/>
          <w:color w:val="auto"/>
          <w:u w:val="single" w:color="000000"/>
        </w:rPr>
        <w:t xml:space="preserve">   （被告住所地、合同履行地、合同签订地、原告住所地、标的</w:t>
      </w:r>
    </w:p>
    <w:p>
      <w:pPr>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u w:val="single" w:color="000000"/>
        </w:rPr>
        <w:t xml:space="preserve">物所在地等与争议有实际联系的地点中选出的人民法院名称）    </w:t>
      </w:r>
      <w:r>
        <w:rPr>
          <w:rFonts w:hint="eastAsia" w:ascii="仿宋" w:hAnsi="仿宋" w:eastAsia="仿宋" w:cs="仿宋"/>
          <w:color w:val="auto"/>
        </w:rPr>
        <w:t>人民法院起诉。</w:t>
      </w:r>
    </w:p>
    <w:p>
      <w:pPr>
        <w:spacing w:line="560" w:lineRule="exact"/>
        <w:ind w:firstLine="482"/>
        <w:textAlignment w:val="baseline"/>
        <w:outlineLvl w:val="9"/>
        <w:rPr>
          <w:rFonts w:hint="eastAsia" w:ascii="仿宋" w:hAnsi="仿宋" w:eastAsia="仿宋" w:cs="仿宋"/>
          <w:b/>
          <w:color w:val="auto"/>
        </w:rPr>
      </w:pPr>
      <w:bookmarkStart w:id="200" w:name="_Toc7245"/>
      <w:bookmarkStart w:id="201" w:name="_Toc32229"/>
      <w:bookmarkStart w:id="202" w:name="_Toc15322"/>
      <w:bookmarkStart w:id="203" w:name="_Toc11050"/>
      <w:bookmarkStart w:id="204" w:name="_Toc25934"/>
      <w:bookmarkStart w:id="205" w:name="_Toc29148"/>
      <w:bookmarkStart w:id="206" w:name="_Toc7569"/>
      <w:r>
        <w:rPr>
          <w:rFonts w:hint="eastAsia" w:ascii="仿宋" w:hAnsi="仿宋" w:eastAsia="仿宋" w:cs="仿宋"/>
          <w:b/>
          <w:color w:val="auto"/>
        </w:rPr>
        <w:t>1.8合同生效</w:t>
      </w:r>
      <w:bookmarkEnd w:id="200"/>
      <w:bookmarkEnd w:id="201"/>
      <w:bookmarkEnd w:id="202"/>
      <w:bookmarkEnd w:id="203"/>
      <w:bookmarkEnd w:id="204"/>
      <w:bookmarkEnd w:id="205"/>
      <w:bookmarkEnd w:id="206"/>
    </w:p>
    <w:p>
      <w:pPr>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rPr>
        <w:t>本合同自双方当事人盖章或者签字时生效。</w:t>
      </w:r>
    </w:p>
    <w:p>
      <w:pPr>
        <w:snapToGrid w:val="0"/>
        <w:spacing w:line="560" w:lineRule="exact"/>
        <w:ind w:firstLine="482"/>
        <w:textAlignment w:val="baseline"/>
        <w:outlineLvl w:val="9"/>
        <w:rPr>
          <w:rFonts w:hint="eastAsia" w:ascii="仿宋" w:hAnsi="仿宋" w:eastAsia="仿宋" w:cs="仿宋"/>
          <w:color w:val="auto"/>
          <w:lang w:val="zh-CN"/>
        </w:rPr>
      </w:pPr>
      <w:r>
        <w:rPr>
          <w:rFonts w:hint="eastAsia" w:ascii="仿宋" w:hAnsi="仿宋" w:eastAsia="仿宋" w:cs="仿宋"/>
          <w:b/>
          <w:color w:val="auto"/>
          <w:lang w:val="zh-CN"/>
        </w:rPr>
        <w:t>甲方</w:t>
      </w:r>
      <w:r>
        <w:rPr>
          <w:rFonts w:hint="eastAsia" w:ascii="仿宋" w:hAnsi="仿宋" w:eastAsia="仿宋" w:cs="仿宋"/>
          <w:color w:val="auto"/>
          <w:lang w:val="zh-CN"/>
        </w:rPr>
        <w:t xml:space="preserve">：                             </w:t>
      </w:r>
      <w:r>
        <w:rPr>
          <w:rFonts w:hint="eastAsia" w:ascii="仿宋" w:hAnsi="仿宋" w:eastAsia="仿宋" w:cs="仿宋"/>
          <w:b/>
          <w:color w:val="auto"/>
          <w:lang w:val="zh-CN"/>
        </w:rPr>
        <w:t xml:space="preserve">      乙方</w:t>
      </w:r>
      <w:r>
        <w:rPr>
          <w:rFonts w:hint="eastAsia" w:ascii="仿宋" w:hAnsi="仿宋" w:eastAsia="仿宋" w:cs="仿宋"/>
          <w:color w:val="auto"/>
          <w:lang w:val="zh-CN"/>
        </w:rPr>
        <w:t>：</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统一社会信用代码：                       统一社会信用代码或身份证号码：</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住所：                                   住所：</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法定代表人或                             法定代表人</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 xml:space="preserve">授权代表（签字）：                        或授权代表（签字）: </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联系人：                                 联系人：</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约定送达地址：                           约定送达地址：</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邮政编码：                               邮政编码：</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 xml:space="preserve">电话:                                    电话: </w:t>
      </w:r>
    </w:p>
    <w:p>
      <w:pPr>
        <w:snapToGrid w:val="0"/>
        <w:spacing w:line="560" w:lineRule="exact"/>
        <w:ind w:firstLine="480"/>
        <w:textAlignment w:val="baseline"/>
        <w:outlineLvl w:val="9"/>
        <w:rPr>
          <w:rFonts w:hint="eastAsia" w:ascii="仿宋" w:hAnsi="仿宋" w:eastAsia="仿宋" w:cs="仿宋"/>
          <w:color w:val="auto"/>
          <w:lang w:val="zh-CN"/>
        </w:rPr>
      </w:pPr>
      <w:r>
        <w:rPr>
          <w:rFonts w:hint="eastAsia" w:ascii="仿宋" w:hAnsi="仿宋" w:eastAsia="仿宋" w:cs="仿宋"/>
          <w:color w:val="auto"/>
          <w:lang w:val="zh-CN"/>
        </w:rPr>
        <w:t>传真:                                    传真:</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lang w:val="zh-CN"/>
        </w:rPr>
        <w:t>电子邮箱：                               电子邮箱：</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 xml:space="preserve">开户银行：                               开户银行： </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 xml:space="preserve">开户名称：                               开户名称： </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开户账号：</w:t>
      </w:r>
      <w:r>
        <w:rPr>
          <w:rFonts w:hint="eastAsia" w:ascii="仿宋" w:hAnsi="仿宋" w:eastAsia="仿宋" w:cs="仿宋"/>
          <w:color w:val="auto"/>
          <w:lang w:val="zh-CN"/>
        </w:rPr>
        <w:t xml:space="preserve">                               </w:t>
      </w:r>
      <w:r>
        <w:rPr>
          <w:rFonts w:hint="eastAsia" w:ascii="仿宋" w:hAnsi="仿宋" w:eastAsia="仿宋" w:cs="仿宋"/>
          <w:color w:val="auto"/>
        </w:rPr>
        <w:t>开户账号：</w:t>
      </w:r>
    </w:p>
    <w:p>
      <w:pPr>
        <w:widowControl/>
        <w:snapToGrid w:val="0"/>
        <w:spacing w:line="560" w:lineRule="exact"/>
        <w:ind w:firstLine="482"/>
        <w:jc w:val="left"/>
        <w:textAlignment w:val="baseline"/>
        <w:rPr>
          <w:rFonts w:hint="eastAsia" w:ascii="仿宋" w:hAnsi="仿宋" w:eastAsia="仿宋" w:cs="仿宋"/>
          <w:b/>
          <w:color w:val="auto"/>
        </w:rPr>
      </w:pPr>
      <w:bookmarkStart w:id="207" w:name="_Toc331685783"/>
    </w:p>
    <w:p>
      <w:pPr>
        <w:snapToGrid w:val="0"/>
        <w:spacing w:line="360" w:lineRule="auto"/>
        <w:ind w:firstLine="482"/>
        <w:jc w:val="center"/>
        <w:textAlignment w:val="baseline"/>
        <w:rPr>
          <w:rFonts w:hint="eastAsia" w:ascii="仿宋" w:hAnsi="仿宋" w:eastAsia="仿宋" w:cs="仿宋"/>
          <w:b/>
          <w:color w:val="auto"/>
        </w:rPr>
      </w:pPr>
      <w:r>
        <w:rPr>
          <w:rFonts w:hint="eastAsia" w:ascii="仿宋" w:hAnsi="仿宋" w:eastAsia="仿宋" w:cs="仿宋"/>
          <w:b/>
          <w:color w:val="auto"/>
        </w:rPr>
        <w:br w:type="page"/>
      </w:r>
    </w:p>
    <w:p>
      <w:pPr>
        <w:snapToGrid w:val="0"/>
        <w:ind w:firstLine="482"/>
        <w:jc w:val="center"/>
        <w:textAlignment w:val="baseline"/>
        <w:outlineLvl w:val="9"/>
        <w:rPr>
          <w:rFonts w:hint="eastAsia" w:ascii="仿宋" w:hAnsi="仿宋" w:eastAsia="仿宋" w:cs="仿宋"/>
          <w:b/>
          <w:color w:val="auto"/>
        </w:rPr>
      </w:pPr>
      <w:bookmarkStart w:id="208" w:name="_Toc1291"/>
      <w:r>
        <w:rPr>
          <w:rFonts w:hint="eastAsia" w:ascii="仿宋" w:hAnsi="仿宋" w:eastAsia="仿宋" w:cs="仿宋"/>
          <w:b/>
          <w:color w:val="auto"/>
        </w:rPr>
        <w:t>第二部分合同一般条款</w:t>
      </w:r>
      <w:bookmarkEnd w:id="207"/>
      <w:bookmarkEnd w:id="208"/>
    </w:p>
    <w:p>
      <w:pPr>
        <w:snapToGrid w:val="0"/>
        <w:spacing w:line="560" w:lineRule="exact"/>
        <w:ind w:firstLine="482"/>
        <w:textAlignment w:val="baseline"/>
        <w:outlineLvl w:val="9"/>
        <w:rPr>
          <w:rFonts w:hint="eastAsia" w:ascii="仿宋" w:hAnsi="仿宋" w:eastAsia="仿宋" w:cs="仿宋"/>
          <w:b/>
          <w:color w:val="auto"/>
        </w:rPr>
      </w:pPr>
      <w:bookmarkStart w:id="209" w:name="_Ref467379101"/>
      <w:bookmarkStart w:id="210" w:name="_Ref467378463"/>
      <w:bookmarkStart w:id="211" w:name="_Ref467378499"/>
      <w:bookmarkStart w:id="212" w:name="_Toc279701240"/>
      <w:bookmarkStart w:id="213" w:name="_Toc22904"/>
      <w:bookmarkStart w:id="214" w:name="_Toc11445"/>
      <w:bookmarkStart w:id="215" w:name="_Toc16970"/>
      <w:bookmarkStart w:id="216" w:name="_Ref467379214"/>
      <w:bookmarkStart w:id="217" w:name="_Ref467379195"/>
      <w:bookmarkStart w:id="218" w:name="_Toc259093669"/>
      <w:bookmarkStart w:id="219" w:name="_Ref467379225"/>
      <w:bookmarkStart w:id="220" w:name="_Toc16917"/>
      <w:bookmarkStart w:id="221" w:name="_Toc19614"/>
      <w:bookmarkStart w:id="222" w:name="_Ref467379205"/>
      <w:bookmarkStart w:id="223" w:name="_Ref467379094"/>
      <w:bookmarkStart w:id="224" w:name="_Ref467379109"/>
      <w:bookmarkStart w:id="225" w:name="_Toc28763"/>
      <w:bookmarkStart w:id="226" w:name="_Toc487900349"/>
      <w:bookmarkStart w:id="227" w:name="_Toc18200"/>
      <w:bookmarkStart w:id="228" w:name="_Ref467378404"/>
      <w:bookmarkStart w:id="229" w:name="_Toc21562"/>
      <w:r>
        <w:rPr>
          <w:rFonts w:hint="eastAsia" w:ascii="仿宋" w:hAnsi="仿宋" w:eastAsia="仿宋" w:cs="仿宋"/>
          <w:b/>
          <w:color w:val="auto"/>
        </w:rPr>
        <w:t>2.1定义</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本合同中的下列词语应按以下内容进行解释：</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2.1.1“合同”系指采购人和</w:t>
      </w:r>
      <w:r>
        <w:rPr>
          <w:rFonts w:hint="eastAsia" w:ascii="仿宋" w:hAnsi="仿宋" w:eastAsia="仿宋" w:cs="仿宋"/>
          <w:color w:val="auto"/>
          <w:lang w:eastAsia="zh-CN"/>
        </w:rPr>
        <w:t>中标(成交）供应商</w:t>
      </w:r>
      <w:r>
        <w:rPr>
          <w:rFonts w:hint="eastAsia" w:ascii="仿宋" w:hAnsi="仿宋" w:eastAsia="仿宋" w:cs="仿宋"/>
          <w:color w:val="auto"/>
        </w:rPr>
        <w:t>签订的载明双方当事人所达成的协议，并包括所有的附件、附录和构成合同的其他文件。</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2.1.2“合同价”系指根据合同约定，</w:t>
      </w:r>
      <w:r>
        <w:rPr>
          <w:rFonts w:hint="eastAsia" w:ascii="仿宋" w:hAnsi="仿宋" w:eastAsia="仿宋" w:cs="仿宋"/>
          <w:color w:val="auto"/>
          <w:lang w:eastAsia="zh-CN"/>
        </w:rPr>
        <w:t>中标(成交）供应商</w:t>
      </w:r>
      <w:r>
        <w:rPr>
          <w:rFonts w:hint="eastAsia" w:ascii="仿宋" w:hAnsi="仿宋" w:eastAsia="仿宋" w:cs="仿宋"/>
          <w:color w:val="auto"/>
        </w:rPr>
        <w:t>在完全履行合同义务后，采购人应支付给</w:t>
      </w:r>
      <w:r>
        <w:rPr>
          <w:rFonts w:hint="eastAsia" w:ascii="仿宋" w:hAnsi="仿宋" w:eastAsia="仿宋" w:cs="仿宋"/>
          <w:color w:val="auto"/>
          <w:lang w:eastAsia="zh-CN"/>
        </w:rPr>
        <w:t>中标(成交）供应商</w:t>
      </w:r>
      <w:r>
        <w:rPr>
          <w:rFonts w:hint="eastAsia" w:ascii="仿宋" w:hAnsi="仿宋" w:eastAsia="仿宋" w:cs="仿宋"/>
          <w:color w:val="auto"/>
        </w:rPr>
        <w:t>的价格。</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2.1.3“货物”系指</w:t>
      </w:r>
      <w:r>
        <w:rPr>
          <w:rFonts w:hint="eastAsia" w:ascii="仿宋" w:hAnsi="仿宋" w:eastAsia="仿宋" w:cs="仿宋"/>
          <w:color w:val="auto"/>
          <w:lang w:eastAsia="zh-CN"/>
        </w:rPr>
        <w:t>中标(成交）供应商</w:t>
      </w:r>
      <w:r>
        <w:rPr>
          <w:rFonts w:hint="eastAsia" w:ascii="仿宋" w:hAnsi="仿宋" w:eastAsia="仿宋" w:cs="仿宋"/>
          <w:color w:val="auto"/>
        </w:rPr>
        <w:t>根据合同约定应向采购人交付的一切各种形态和种类的物品，包括原材料、燃料、设备、机械、仪表、备件、计算机软件、产品等，并包括工具、手册等其他相关资料。</w:t>
      </w:r>
    </w:p>
    <w:p>
      <w:pPr>
        <w:snapToGrid w:val="0"/>
        <w:spacing w:line="560" w:lineRule="exact"/>
        <w:ind w:firstLine="480"/>
        <w:textAlignment w:val="baseline"/>
        <w:outlineLvl w:val="9"/>
        <w:rPr>
          <w:rFonts w:hint="eastAsia" w:ascii="仿宋" w:hAnsi="仿宋" w:eastAsia="仿宋" w:cs="仿宋"/>
          <w:color w:val="auto"/>
        </w:rPr>
      </w:pPr>
      <w:bookmarkStart w:id="230" w:name="_Ref467378840"/>
      <w:r>
        <w:rPr>
          <w:rFonts w:hint="eastAsia" w:ascii="仿宋" w:hAnsi="仿宋" w:eastAsia="仿宋" w:cs="仿宋"/>
          <w:color w:val="auto"/>
        </w:rPr>
        <w:t>2.1.4“甲方”系指与</w:t>
      </w:r>
      <w:r>
        <w:rPr>
          <w:rFonts w:hint="eastAsia" w:ascii="仿宋" w:hAnsi="仿宋" w:eastAsia="仿宋" w:cs="仿宋"/>
          <w:color w:val="auto"/>
          <w:lang w:eastAsia="zh-CN"/>
        </w:rPr>
        <w:t>中标(成交）供应商</w:t>
      </w:r>
      <w:r>
        <w:rPr>
          <w:rFonts w:hint="eastAsia" w:ascii="仿宋" w:hAnsi="仿宋" w:eastAsia="仿宋" w:cs="仿宋"/>
          <w:color w:val="auto"/>
        </w:rPr>
        <w:t>签署合同的采购人</w:t>
      </w:r>
      <w:bookmarkEnd w:id="230"/>
      <w:r>
        <w:rPr>
          <w:rFonts w:hint="eastAsia" w:ascii="仿宋" w:hAnsi="仿宋" w:eastAsia="仿宋" w:cs="仿宋"/>
          <w:color w:val="auto"/>
        </w:rPr>
        <w:t>；采购人委托采购代理机构代表其与乙方签订合同的，采购人的授权委托书作为合同附件。</w:t>
      </w:r>
    </w:p>
    <w:p>
      <w:pPr>
        <w:snapToGrid w:val="0"/>
        <w:spacing w:line="560" w:lineRule="exact"/>
        <w:ind w:firstLine="480"/>
        <w:textAlignment w:val="baseline"/>
        <w:outlineLvl w:val="9"/>
        <w:rPr>
          <w:rFonts w:hint="eastAsia" w:ascii="仿宋" w:hAnsi="仿宋" w:eastAsia="仿宋" w:cs="仿宋"/>
          <w:color w:val="auto"/>
        </w:rPr>
      </w:pPr>
      <w:bookmarkStart w:id="231" w:name="_Ref467379400"/>
      <w:r>
        <w:rPr>
          <w:rFonts w:hint="eastAsia" w:ascii="仿宋" w:hAnsi="仿宋" w:eastAsia="仿宋" w:cs="仿宋"/>
          <w:color w:val="auto"/>
        </w:rPr>
        <w:t>2.1.5“乙方”系指根据合同约定交付货物的</w:t>
      </w:r>
      <w:bookmarkEnd w:id="231"/>
      <w:r>
        <w:rPr>
          <w:rFonts w:hint="eastAsia" w:ascii="仿宋" w:hAnsi="仿宋" w:eastAsia="仿宋" w:cs="仿宋"/>
          <w:color w:val="auto"/>
          <w:lang w:eastAsia="zh-CN"/>
        </w:rPr>
        <w:t>中标(成交）供应商</w:t>
      </w:r>
      <w:r>
        <w:rPr>
          <w:rFonts w:hint="eastAsia" w:ascii="仿宋" w:hAnsi="仿宋" w:eastAsia="仿宋" w:cs="仿宋"/>
          <w:color w:val="auto"/>
        </w:rPr>
        <w:t>；两个以上的自然人、法人或者其他组织组成一个联合体，以一个</w:t>
      </w:r>
      <w:r>
        <w:rPr>
          <w:rFonts w:hint="eastAsia" w:ascii="仿宋" w:hAnsi="仿宋" w:eastAsia="仿宋" w:cs="仿宋"/>
          <w:color w:val="auto"/>
          <w:lang w:eastAsia="zh-CN"/>
        </w:rPr>
        <w:t>供应商</w:t>
      </w:r>
      <w:r>
        <w:rPr>
          <w:rFonts w:hint="eastAsia" w:ascii="仿宋" w:hAnsi="仿宋" w:eastAsia="仿宋" w:cs="仿宋"/>
          <w:color w:val="auto"/>
        </w:rPr>
        <w:t>的身份共同参加政府采购的，联合体各方均应为乙方或者与乙方相同地位的合同当事人，并就合同约定的事项对甲方承担连带责任。</w:t>
      </w:r>
    </w:p>
    <w:p>
      <w:pPr>
        <w:snapToGrid w:val="0"/>
        <w:spacing w:line="560" w:lineRule="exact"/>
        <w:ind w:firstLine="480"/>
        <w:textAlignment w:val="baseline"/>
        <w:outlineLvl w:val="9"/>
        <w:rPr>
          <w:rFonts w:hint="eastAsia" w:ascii="仿宋" w:hAnsi="仿宋" w:eastAsia="仿宋" w:cs="仿宋"/>
          <w:color w:val="auto"/>
        </w:rPr>
      </w:pPr>
      <w:bookmarkStart w:id="232" w:name="_Ref467379436"/>
      <w:r>
        <w:rPr>
          <w:rFonts w:hint="eastAsia" w:ascii="仿宋" w:hAnsi="仿宋" w:eastAsia="仿宋" w:cs="仿宋"/>
          <w:color w:val="auto"/>
        </w:rPr>
        <w:t>2.1.6“现场”系指合同约定货物将要运至或者安装的地点。</w:t>
      </w:r>
      <w:bookmarkEnd w:id="232"/>
    </w:p>
    <w:p>
      <w:pPr>
        <w:snapToGrid w:val="0"/>
        <w:spacing w:line="560" w:lineRule="exact"/>
        <w:ind w:firstLine="482"/>
        <w:textAlignment w:val="baseline"/>
        <w:outlineLvl w:val="9"/>
        <w:rPr>
          <w:rFonts w:hint="eastAsia" w:ascii="仿宋" w:hAnsi="仿宋" w:eastAsia="仿宋" w:cs="仿宋"/>
          <w:b/>
          <w:color w:val="auto"/>
        </w:rPr>
      </w:pPr>
      <w:bookmarkStart w:id="233" w:name="_Toc13336"/>
      <w:bookmarkStart w:id="234" w:name="_Toc27635"/>
      <w:bookmarkStart w:id="235" w:name="_Toc1705"/>
      <w:bookmarkStart w:id="236" w:name="_Toc31131"/>
      <w:bookmarkStart w:id="237" w:name="_Toc15561"/>
      <w:bookmarkStart w:id="238" w:name="_Toc32504"/>
      <w:bookmarkStart w:id="239" w:name="_Toc1967"/>
      <w:bookmarkStart w:id="240" w:name="_Toc487900350"/>
      <w:bookmarkStart w:id="241" w:name="_Toc279701241"/>
      <w:bookmarkStart w:id="242" w:name="_Toc259093670"/>
      <w:bookmarkStart w:id="243" w:name="_Toc2505"/>
      <w:r>
        <w:rPr>
          <w:rFonts w:hint="eastAsia" w:ascii="仿宋" w:hAnsi="仿宋" w:eastAsia="仿宋" w:cs="仿宋"/>
          <w:b/>
          <w:color w:val="auto"/>
        </w:rPr>
        <w:t>2.2技术规范</w:t>
      </w:r>
      <w:bookmarkEnd w:id="233"/>
      <w:bookmarkEnd w:id="234"/>
      <w:bookmarkEnd w:id="235"/>
      <w:bookmarkEnd w:id="236"/>
      <w:bookmarkEnd w:id="237"/>
      <w:bookmarkEnd w:id="238"/>
      <w:bookmarkEnd w:id="239"/>
      <w:bookmarkEnd w:id="240"/>
      <w:bookmarkEnd w:id="241"/>
      <w:bookmarkEnd w:id="242"/>
      <w:bookmarkEnd w:id="243"/>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560" w:lineRule="exact"/>
        <w:ind w:firstLine="482"/>
        <w:textAlignment w:val="baseline"/>
        <w:outlineLvl w:val="9"/>
        <w:rPr>
          <w:rFonts w:hint="eastAsia" w:ascii="仿宋" w:hAnsi="仿宋" w:eastAsia="仿宋" w:cs="仿宋"/>
          <w:b/>
          <w:color w:val="auto"/>
        </w:rPr>
      </w:pPr>
      <w:bookmarkStart w:id="244" w:name="_Toc487900351"/>
      <w:bookmarkStart w:id="245" w:name="_Toc259093671"/>
      <w:bookmarkStart w:id="246" w:name="_Toc9557"/>
      <w:bookmarkStart w:id="247" w:name="_Toc7715"/>
      <w:bookmarkStart w:id="248" w:name="_Toc9829"/>
      <w:bookmarkStart w:id="249" w:name="_Toc279701242"/>
      <w:bookmarkStart w:id="250" w:name="_Toc27853"/>
      <w:bookmarkStart w:id="251" w:name="_Toc23716"/>
      <w:bookmarkStart w:id="252" w:name="_Toc25689"/>
      <w:bookmarkStart w:id="253" w:name="_Toc31634"/>
      <w:bookmarkStart w:id="254" w:name="_Toc9209"/>
      <w:r>
        <w:rPr>
          <w:rFonts w:hint="eastAsia" w:ascii="仿宋" w:hAnsi="仿宋" w:eastAsia="仿宋" w:cs="仿宋"/>
          <w:b/>
          <w:color w:val="auto"/>
        </w:rPr>
        <w:t>2.3知识产权</w:t>
      </w:r>
      <w:bookmarkEnd w:id="244"/>
      <w:bookmarkEnd w:id="245"/>
      <w:bookmarkEnd w:id="246"/>
      <w:bookmarkEnd w:id="247"/>
      <w:bookmarkEnd w:id="248"/>
      <w:bookmarkEnd w:id="249"/>
      <w:bookmarkEnd w:id="250"/>
      <w:bookmarkEnd w:id="251"/>
      <w:bookmarkEnd w:id="252"/>
      <w:bookmarkEnd w:id="253"/>
      <w:bookmarkEnd w:id="254"/>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2.3.2具有知识产权的计算机软件等货物的知识产权归属，详见</w:t>
      </w:r>
      <w:r>
        <w:rPr>
          <w:rFonts w:hint="eastAsia" w:ascii="仿宋" w:hAnsi="仿宋" w:eastAsia="仿宋" w:cs="仿宋"/>
          <w:b/>
          <w:i/>
          <w:color w:val="auto"/>
          <w:u w:val="single" w:color="000000"/>
        </w:rPr>
        <w:t>合同专用条款</w:t>
      </w:r>
      <w:r>
        <w:rPr>
          <w:rFonts w:hint="eastAsia" w:ascii="仿宋" w:hAnsi="仿宋" w:eastAsia="仿宋" w:cs="仿宋"/>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255" w:name="_Toc29149"/>
      <w:bookmarkStart w:id="256" w:name="_Toc4194"/>
      <w:bookmarkStart w:id="257" w:name="_Toc11932"/>
      <w:bookmarkStart w:id="258" w:name="_Toc17478"/>
      <w:bookmarkStart w:id="259" w:name="_Toc25769"/>
      <w:bookmarkStart w:id="260" w:name="_Toc1620"/>
      <w:bookmarkStart w:id="261" w:name="_Toc24074"/>
      <w:bookmarkStart w:id="262" w:name="_Toc30784"/>
      <w:r>
        <w:rPr>
          <w:rFonts w:hint="eastAsia" w:ascii="仿宋" w:hAnsi="仿宋" w:eastAsia="仿宋" w:cs="仿宋"/>
          <w:b/>
          <w:color w:val="auto"/>
        </w:rPr>
        <w:t>2.4包装和装运</w:t>
      </w:r>
      <w:bookmarkEnd w:id="255"/>
      <w:bookmarkEnd w:id="256"/>
      <w:bookmarkEnd w:id="257"/>
      <w:bookmarkEnd w:id="258"/>
      <w:bookmarkEnd w:id="259"/>
      <w:bookmarkEnd w:id="260"/>
      <w:bookmarkEnd w:id="261"/>
      <w:bookmarkEnd w:id="262"/>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2.4.1除</w:t>
      </w:r>
      <w:r>
        <w:rPr>
          <w:rFonts w:hint="eastAsia" w:ascii="仿宋" w:hAnsi="仿宋" w:eastAsia="仿宋" w:cs="仿宋"/>
          <w:b/>
          <w:i/>
          <w:color w:val="auto"/>
          <w:u w:val="single" w:color="000000"/>
        </w:rPr>
        <w:t>合同专用条款</w:t>
      </w:r>
      <w:r>
        <w:rPr>
          <w:rFonts w:hint="eastAsia" w:ascii="仿宋" w:hAnsi="仿宋" w:eastAsia="仿宋" w:cs="仿宋"/>
          <w:color w:va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2.4.2装运货物的要求和通知，详见</w:t>
      </w:r>
      <w:r>
        <w:rPr>
          <w:rFonts w:hint="eastAsia" w:ascii="仿宋" w:hAnsi="仿宋" w:eastAsia="仿宋" w:cs="仿宋"/>
          <w:b/>
          <w:i/>
          <w:color w:val="auto"/>
          <w:u w:val="single" w:color="000000"/>
        </w:rPr>
        <w:t>合同专用条款</w:t>
      </w:r>
      <w:r>
        <w:rPr>
          <w:rFonts w:hint="eastAsia" w:ascii="仿宋" w:hAnsi="仿宋" w:eastAsia="仿宋" w:cs="仿宋"/>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263" w:name="_Toc487900354"/>
      <w:bookmarkStart w:id="264" w:name="_Toc259093674"/>
      <w:bookmarkStart w:id="265" w:name="_Ref467379527"/>
      <w:bookmarkStart w:id="266" w:name="_Ref467379542"/>
      <w:bookmarkStart w:id="267" w:name="_Ref467379536"/>
      <w:bookmarkStart w:id="268" w:name="_Ref467378591"/>
      <w:bookmarkStart w:id="269" w:name="_Toc279701245"/>
      <w:bookmarkStart w:id="270" w:name="_Ref467378541"/>
      <w:bookmarkStart w:id="271" w:name="_Toc28369"/>
      <w:bookmarkStart w:id="272" w:name="_Toc30869"/>
      <w:bookmarkStart w:id="273" w:name="_Toc19074"/>
      <w:bookmarkStart w:id="274" w:name="_Toc825"/>
      <w:bookmarkStart w:id="275" w:name="_Toc26182"/>
      <w:bookmarkStart w:id="276" w:name="_Toc32471"/>
      <w:bookmarkStart w:id="277" w:name="_Toc30272"/>
      <w:bookmarkStart w:id="278" w:name="_Toc22681"/>
      <w:r>
        <w:rPr>
          <w:rFonts w:hint="eastAsia" w:ascii="仿宋" w:hAnsi="仿宋" w:eastAsia="仿宋" w:cs="仿宋"/>
          <w:b/>
          <w:color w:val="auto"/>
        </w:rPr>
        <w:t>2.</w:t>
      </w:r>
      <w:bookmarkEnd w:id="263"/>
      <w:bookmarkEnd w:id="264"/>
      <w:bookmarkEnd w:id="265"/>
      <w:bookmarkEnd w:id="266"/>
      <w:bookmarkEnd w:id="267"/>
      <w:bookmarkEnd w:id="268"/>
      <w:bookmarkEnd w:id="269"/>
      <w:bookmarkEnd w:id="270"/>
      <w:r>
        <w:rPr>
          <w:rFonts w:hint="eastAsia" w:ascii="仿宋" w:hAnsi="仿宋" w:eastAsia="仿宋" w:cs="仿宋"/>
          <w:b/>
          <w:color w:val="auto"/>
        </w:rPr>
        <w:t>5履约检查和问题反馈</w:t>
      </w:r>
      <w:bookmarkEnd w:id="271"/>
      <w:bookmarkEnd w:id="272"/>
      <w:bookmarkEnd w:id="273"/>
      <w:bookmarkEnd w:id="274"/>
      <w:bookmarkEnd w:id="275"/>
      <w:bookmarkEnd w:id="276"/>
      <w:bookmarkEnd w:id="277"/>
      <w:bookmarkEnd w:id="278"/>
    </w:p>
    <w:p>
      <w:pPr>
        <w:snapToGrid w:val="0"/>
        <w:spacing w:line="560" w:lineRule="exact"/>
        <w:ind w:firstLine="480"/>
        <w:textAlignment w:val="baseline"/>
        <w:outlineLvl w:val="9"/>
        <w:rPr>
          <w:rFonts w:hint="eastAsia" w:ascii="仿宋" w:hAnsi="仿宋" w:eastAsia="仿宋" w:cs="仿宋"/>
          <w:color w:val="auto"/>
        </w:rPr>
      </w:pPr>
      <w:bookmarkStart w:id="279" w:name="_Ref467379657"/>
      <w:r>
        <w:rPr>
          <w:rFonts w:hint="eastAsia" w:ascii="仿宋" w:hAnsi="仿宋" w:eastAsia="仿宋" w:cs="仿宋"/>
          <w:color w:val="auto"/>
        </w:rPr>
        <w:t>2.5.1</w:t>
      </w:r>
      <w:bookmarkEnd w:id="279"/>
      <w:bookmarkStart w:id="280" w:name="_Toc186431854"/>
      <w:bookmarkStart w:id="281" w:name="_Toc279701247"/>
      <w:bookmarkStart w:id="282" w:name="_Toc487900357"/>
      <w:bookmarkStart w:id="283" w:name="_Ref467379793"/>
      <w:bookmarkStart w:id="284" w:name="_Toc259093676"/>
      <w:bookmarkStart w:id="285" w:name="_Ref467379807"/>
      <w:r>
        <w:rPr>
          <w:rFonts w:hint="eastAsia" w:ascii="仿宋" w:hAnsi="仿宋" w:eastAsia="仿宋" w:cs="仿宋"/>
          <w:color w:val="auto"/>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2.5.2合同履行期间，甲方有权将履行过程中出现的问题反馈给乙方，双方当事人应以书面形式约定需要完善和改进的内容</w:t>
      </w:r>
      <w:bookmarkEnd w:id="280"/>
      <w:r>
        <w:rPr>
          <w:rFonts w:hint="eastAsia" w:ascii="仿宋" w:hAnsi="仿宋" w:eastAsia="仿宋" w:cs="仿宋"/>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286" w:name="_Toc20387"/>
      <w:bookmarkStart w:id="287" w:name="_Toc28451"/>
      <w:bookmarkStart w:id="288" w:name="_Toc22776"/>
      <w:bookmarkStart w:id="289" w:name="_Toc16577"/>
      <w:bookmarkStart w:id="290" w:name="_Toc19219"/>
      <w:bookmarkStart w:id="291" w:name="_Toc6987"/>
      <w:bookmarkStart w:id="292" w:name="_Toc7836"/>
      <w:bookmarkStart w:id="293" w:name="_Toc3824"/>
      <w:r>
        <w:rPr>
          <w:rFonts w:hint="eastAsia" w:ascii="仿宋" w:hAnsi="仿宋" w:eastAsia="仿宋" w:cs="仿宋"/>
          <w:b/>
          <w:color w:val="auto"/>
        </w:rPr>
        <w:t>2.6结算方式和付款条件</w:t>
      </w:r>
      <w:bookmarkEnd w:id="281"/>
      <w:bookmarkEnd w:id="282"/>
      <w:bookmarkEnd w:id="283"/>
      <w:bookmarkEnd w:id="284"/>
      <w:bookmarkEnd w:id="285"/>
      <w:bookmarkEnd w:id="286"/>
      <w:bookmarkEnd w:id="287"/>
      <w:bookmarkEnd w:id="288"/>
      <w:bookmarkEnd w:id="289"/>
      <w:bookmarkEnd w:id="290"/>
      <w:bookmarkEnd w:id="291"/>
      <w:bookmarkEnd w:id="292"/>
      <w:bookmarkEnd w:id="293"/>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详见</w:t>
      </w:r>
      <w:r>
        <w:rPr>
          <w:rFonts w:hint="eastAsia" w:ascii="仿宋" w:hAnsi="仿宋" w:eastAsia="仿宋" w:cs="仿宋"/>
          <w:b/>
          <w:i/>
          <w:color w:val="auto"/>
          <w:u w:val="single" w:color="000000"/>
        </w:rPr>
        <w:t>合同专用条款</w:t>
      </w:r>
      <w:r>
        <w:rPr>
          <w:rFonts w:hint="eastAsia" w:ascii="仿宋" w:hAnsi="仿宋" w:eastAsia="仿宋" w:cs="仿宋"/>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294" w:name="_Toc487900358"/>
      <w:bookmarkStart w:id="295" w:name="_Toc279701248"/>
      <w:bookmarkStart w:id="296" w:name="_Toc259093677"/>
      <w:bookmarkStart w:id="297" w:name="_Ref467379863"/>
      <w:bookmarkStart w:id="298" w:name="_Ref467379923"/>
      <w:bookmarkStart w:id="299" w:name="_Ref467379852"/>
      <w:bookmarkStart w:id="300" w:name="_Toc1198"/>
      <w:bookmarkStart w:id="301" w:name="_Toc1395"/>
      <w:bookmarkStart w:id="302" w:name="_Toc16110"/>
      <w:bookmarkStart w:id="303" w:name="_Toc3225"/>
      <w:bookmarkStart w:id="304" w:name="_Toc774"/>
      <w:bookmarkStart w:id="305" w:name="_Toc23337"/>
      <w:bookmarkStart w:id="306" w:name="_Toc905"/>
      <w:bookmarkStart w:id="307" w:name="_Toc22771"/>
      <w:r>
        <w:rPr>
          <w:rFonts w:hint="eastAsia" w:ascii="仿宋" w:hAnsi="仿宋" w:eastAsia="仿宋" w:cs="仿宋"/>
          <w:b/>
          <w:color w:val="auto"/>
        </w:rPr>
        <w:t>2.7技术资料</w:t>
      </w:r>
      <w:bookmarkEnd w:id="294"/>
      <w:bookmarkEnd w:id="295"/>
      <w:bookmarkEnd w:id="296"/>
      <w:bookmarkEnd w:id="297"/>
      <w:bookmarkEnd w:id="298"/>
      <w:bookmarkEnd w:id="299"/>
      <w:r>
        <w:rPr>
          <w:rFonts w:hint="eastAsia" w:ascii="仿宋" w:hAnsi="仿宋" w:eastAsia="仿宋" w:cs="仿宋"/>
          <w:b/>
          <w:color w:val="auto"/>
        </w:rPr>
        <w:t>和保密义务</w:t>
      </w:r>
      <w:bookmarkEnd w:id="300"/>
      <w:bookmarkEnd w:id="301"/>
      <w:bookmarkEnd w:id="302"/>
      <w:bookmarkEnd w:id="303"/>
      <w:bookmarkEnd w:id="304"/>
      <w:bookmarkEnd w:id="305"/>
      <w:bookmarkEnd w:id="306"/>
      <w:bookmarkEnd w:id="307"/>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2.7.1乙方有权依据合同约定和项目需要，向甲方了解有关情况，调阅有关资料等，甲方应予积极配合；</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2.7.2乙方有义务妥善保管和保护由甲方提供的前款信息和资料等；</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560" w:lineRule="exact"/>
        <w:ind w:firstLine="482"/>
        <w:textAlignment w:val="baseline"/>
        <w:outlineLvl w:val="9"/>
        <w:rPr>
          <w:rFonts w:hint="eastAsia" w:ascii="仿宋" w:hAnsi="仿宋" w:eastAsia="仿宋" w:cs="仿宋"/>
          <w:b/>
          <w:color w:val="auto"/>
        </w:rPr>
      </w:pPr>
      <w:bookmarkStart w:id="308" w:name="_Toc7860"/>
      <w:bookmarkStart w:id="309" w:name="_Toc14301"/>
      <w:bookmarkStart w:id="310" w:name="_Toc6460"/>
      <w:bookmarkStart w:id="311" w:name="_Toc11864"/>
      <w:bookmarkStart w:id="312" w:name="_Toc19803"/>
      <w:bookmarkStart w:id="313" w:name="_Toc6724"/>
      <w:r>
        <w:rPr>
          <w:rFonts w:hint="eastAsia" w:ascii="仿宋" w:hAnsi="仿宋" w:eastAsia="仿宋" w:cs="仿宋"/>
          <w:b/>
          <w:color w:val="auto"/>
        </w:rPr>
        <w:t>2.8质量保证</w:t>
      </w:r>
      <w:bookmarkEnd w:id="308"/>
      <w:bookmarkEnd w:id="309"/>
      <w:bookmarkEnd w:id="310"/>
      <w:bookmarkEnd w:id="311"/>
      <w:bookmarkEnd w:id="312"/>
      <w:bookmarkEnd w:id="313"/>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2.8.1乙方应建立和完善履行合同的内部质量保证体系，并提供相关内部规章制度给甲方，以便甲方进行监督检查；</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2.8.2乙方应保证履行合同的人员数量和素质、软件和硬件设备的配置、场地、环境和设施等满足全面履行合同的要求，并应接受甲方的监督检查。</w:t>
      </w:r>
    </w:p>
    <w:p>
      <w:pPr>
        <w:snapToGrid w:val="0"/>
        <w:spacing w:line="560" w:lineRule="exact"/>
        <w:ind w:firstLine="482"/>
        <w:textAlignment w:val="baseline"/>
        <w:outlineLvl w:val="9"/>
        <w:rPr>
          <w:rFonts w:hint="eastAsia" w:ascii="仿宋" w:hAnsi="仿宋" w:eastAsia="仿宋" w:cs="仿宋"/>
          <w:b/>
          <w:color w:val="auto"/>
        </w:rPr>
      </w:pPr>
      <w:bookmarkStart w:id="314" w:name="_Toc27782"/>
      <w:bookmarkStart w:id="315" w:name="_Toc17648"/>
      <w:bookmarkStart w:id="316" w:name="_Toc23768"/>
      <w:bookmarkStart w:id="317" w:name="_Toc17244"/>
      <w:bookmarkStart w:id="318" w:name="_Toc19420"/>
      <w:bookmarkStart w:id="319" w:name="_Toc1263"/>
      <w:bookmarkStart w:id="320" w:name="_Toc279701252"/>
      <w:bookmarkStart w:id="321" w:name="_Toc487900362"/>
      <w:bookmarkStart w:id="322" w:name="_Toc259093681"/>
      <w:r>
        <w:rPr>
          <w:rFonts w:hint="eastAsia" w:ascii="仿宋" w:hAnsi="仿宋" w:eastAsia="仿宋" w:cs="仿宋"/>
          <w:b/>
          <w:color w:val="auto"/>
        </w:rPr>
        <w:t>2.9货物的风险负担</w:t>
      </w:r>
      <w:bookmarkEnd w:id="314"/>
      <w:bookmarkEnd w:id="315"/>
      <w:bookmarkEnd w:id="316"/>
      <w:bookmarkEnd w:id="317"/>
      <w:bookmarkEnd w:id="318"/>
      <w:bookmarkEnd w:id="319"/>
    </w:p>
    <w:p>
      <w:pPr>
        <w:snapToGrid w:val="0"/>
        <w:spacing w:line="560" w:lineRule="exact"/>
        <w:ind w:firstLine="480"/>
        <w:textAlignment w:val="baseline"/>
        <w:outlineLvl w:val="9"/>
        <w:rPr>
          <w:rFonts w:hint="eastAsia" w:ascii="仿宋" w:hAnsi="仿宋" w:eastAsia="仿宋" w:cs="仿宋"/>
          <w:b/>
          <w:color w:val="auto"/>
        </w:rPr>
      </w:pPr>
      <w:r>
        <w:rPr>
          <w:rFonts w:hint="eastAsia" w:ascii="仿宋" w:hAnsi="仿宋" w:eastAsia="仿宋" w:cs="仿宋"/>
          <w:color w:val="auto"/>
        </w:rPr>
        <w:t>货物或者在途货物或者交付给第一承运人后的货物毁损、灭失的风险负担详见</w:t>
      </w:r>
      <w:r>
        <w:rPr>
          <w:rFonts w:hint="eastAsia" w:ascii="仿宋" w:hAnsi="仿宋" w:eastAsia="仿宋" w:cs="仿宋"/>
          <w:b/>
          <w:i/>
          <w:color w:val="auto"/>
          <w:u w:val="single" w:color="000000"/>
        </w:rPr>
        <w:t>合同专用条款</w:t>
      </w:r>
      <w:r>
        <w:rPr>
          <w:rFonts w:hint="eastAsia" w:ascii="仿宋" w:hAnsi="仿宋" w:eastAsia="仿宋" w:cs="仿宋"/>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323" w:name="_Toc16383"/>
      <w:bookmarkStart w:id="324" w:name="_Toc13111"/>
      <w:bookmarkStart w:id="325" w:name="_Toc14055"/>
      <w:bookmarkStart w:id="326" w:name="_Toc4487"/>
      <w:bookmarkStart w:id="327" w:name="_Toc1317"/>
      <w:bookmarkStart w:id="328" w:name="_Toc21255"/>
      <w:r>
        <w:rPr>
          <w:rFonts w:hint="eastAsia" w:ascii="仿宋" w:hAnsi="仿宋" w:eastAsia="仿宋" w:cs="仿宋"/>
          <w:b/>
          <w:color w:val="auto"/>
        </w:rPr>
        <w:t>2.10延迟交货</w:t>
      </w:r>
      <w:bookmarkEnd w:id="320"/>
      <w:bookmarkEnd w:id="321"/>
      <w:bookmarkEnd w:id="322"/>
      <w:bookmarkEnd w:id="323"/>
      <w:bookmarkEnd w:id="324"/>
      <w:bookmarkEnd w:id="325"/>
      <w:bookmarkEnd w:id="326"/>
      <w:bookmarkEnd w:id="327"/>
      <w:bookmarkEnd w:id="328"/>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560" w:lineRule="exact"/>
        <w:ind w:firstLine="482"/>
        <w:textAlignment w:val="baseline"/>
        <w:outlineLvl w:val="9"/>
        <w:rPr>
          <w:rFonts w:hint="eastAsia" w:ascii="仿宋" w:hAnsi="仿宋" w:eastAsia="仿宋" w:cs="仿宋"/>
          <w:b/>
          <w:color w:val="auto"/>
        </w:rPr>
      </w:pPr>
      <w:bookmarkStart w:id="329" w:name="_Toc21628"/>
      <w:bookmarkStart w:id="330" w:name="_Toc26705"/>
      <w:bookmarkStart w:id="331" w:name="_Toc27305"/>
      <w:bookmarkStart w:id="332" w:name="_Toc14128"/>
      <w:bookmarkStart w:id="333" w:name="_Toc7502"/>
      <w:bookmarkStart w:id="334" w:name="_Toc12457"/>
      <w:r>
        <w:rPr>
          <w:rFonts w:hint="eastAsia" w:ascii="仿宋" w:hAnsi="仿宋" w:eastAsia="仿宋" w:cs="仿宋"/>
          <w:b/>
          <w:color w:val="auto"/>
        </w:rPr>
        <w:t>2.11合同变更</w:t>
      </w:r>
      <w:bookmarkEnd w:id="329"/>
      <w:bookmarkEnd w:id="330"/>
      <w:bookmarkEnd w:id="331"/>
      <w:bookmarkEnd w:id="332"/>
      <w:bookmarkEnd w:id="333"/>
      <w:bookmarkEnd w:id="334"/>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2.11.2合同继续履行将损害国家利益和社会公共利益的，双方当事人应当以书面形式变更合同。有过错的一方应当承担赔偿责任，双方当事人都有过错的，各自承担相应的责任。</w:t>
      </w:r>
      <w:bookmarkStart w:id="335" w:name="_Toc279701259"/>
      <w:bookmarkStart w:id="336" w:name="_Toc259093688"/>
      <w:bookmarkStart w:id="337" w:name="_Toc487900369"/>
    </w:p>
    <w:p>
      <w:pPr>
        <w:snapToGrid w:val="0"/>
        <w:spacing w:line="560" w:lineRule="exact"/>
        <w:ind w:firstLine="482"/>
        <w:textAlignment w:val="baseline"/>
        <w:outlineLvl w:val="9"/>
        <w:rPr>
          <w:rFonts w:hint="eastAsia" w:ascii="仿宋" w:hAnsi="仿宋" w:eastAsia="仿宋" w:cs="仿宋"/>
          <w:b/>
          <w:color w:val="auto"/>
        </w:rPr>
      </w:pPr>
      <w:bookmarkStart w:id="338" w:name="_Toc10366"/>
      <w:bookmarkStart w:id="339" w:name="_Toc31277"/>
      <w:bookmarkStart w:id="340" w:name="_Toc13330"/>
      <w:bookmarkStart w:id="341" w:name="_Toc15237"/>
      <w:bookmarkStart w:id="342" w:name="_Toc27360"/>
      <w:bookmarkStart w:id="343" w:name="_Toc22955"/>
      <w:bookmarkStart w:id="344" w:name="_Toc8912"/>
      <w:bookmarkStart w:id="345" w:name="_Toc10608"/>
      <w:r>
        <w:rPr>
          <w:rFonts w:hint="eastAsia" w:ascii="仿宋" w:hAnsi="仿宋" w:eastAsia="仿宋" w:cs="仿宋"/>
          <w:b/>
          <w:color w:val="auto"/>
        </w:rPr>
        <w:t>2.12合同转让</w:t>
      </w:r>
      <w:bookmarkEnd w:id="335"/>
      <w:bookmarkEnd w:id="336"/>
      <w:bookmarkEnd w:id="337"/>
      <w:r>
        <w:rPr>
          <w:rFonts w:hint="eastAsia" w:ascii="仿宋" w:hAnsi="仿宋" w:eastAsia="仿宋" w:cs="仿宋"/>
          <w:b/>
          <w:color w:val="auto"/>
        </w:rPr>
        <w:t>和分包</w:t>
      </w:r>
      <w:bookmarkEnd w:id="338"/>
      <w:bookmarkEnd w:id="339"/>
      <w:bookmarkEnd w:id="340"/>
      <w:bookmarkEnd w:id="341"/>
      <w:bookmarkEnd w:id="342"/>
      <w:bookmarkEnd w:id="343"/>
      <w:bookmarkEnd w:id="344"/>
      <w:bookmarkEnd w:id="345"/>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lang w:eastAsia="zh-CN"/>
        </w:rPr>
        <w:t>供应商</w:t>
      </w:r>
      <w:r>
        <w:rPr>
          <w:rFonts w:hint="eastAsia" w:ascii="仿宋" w:hAnsi="仿宋" w:eastAsia="仿宋" w:cs="仿宋"/>
          <w:color w:val="auto"/>
        </w:rPr>
        <w:t>就分包项目向甲方承担连带责任。</w:t>
      </w:r>
    </w:p>
    <w:p>
      <w:pPr>
        <w:snapToGrid w:val="0"/>
        <w:spacing w:line="560" w:lineRule="exact"/>
        <w:ind w:firstLine="482"/>
        <w:textAlignment w:val="baseline"/>
        <w:outlineLvl w:val="9"/>
        <w:rPr>
          <w:rFonts w:hint="eastAsia" w:ascii="仿宋" w:hAnsi="仿宋" w:eastAsia="仿宋" w:cs="仿宋"/>
          <w:b/>
          <w:color w:val="auto"/>
        </w:rPr>
      </w:pPr>
      <w:bookmarkStart w:id="346" w:name="_Toc14066"/>
      <w:bookmarkStart w:id="347" w:name="_Toc16508"/>
      <w:bookmarkStart w:id="348" w:name="_Toc13566"/>
      <w:bookmarkStart w:id="349" w:name="_Toc21117"/>
      <w:bookmarkStart w:id="350" w:name="_Toc30689"/>
      <w:bookmarkStart w:id="351" w:name="_Toc14589"/>
      <w:bookmarkStart w:id="352" w:name="_Toc13315"/>
      <w:bookmarkStart w:id="353" w:name="_Toc3525"/>
      <w:r>
        <w:rPr>
          <w:rFonts w:hint="eastAsia" w:ascii="仿宋" w:hAnsi="仿宋" w:eastAsia="仿宋" w:cs="仿宋"/>
          <w:b/>
          <w:color w:val="auto"/>
        </w:rPr>
        <w:t>2.13不可抗力</w:t>
      </w:r>
      <w:bookmarkEnd w:id="346"/>
      <w:bookmarkEnd w:id="347"/>
      <w:bookmarkEnd w:id="348"/>
      <w:bookmarkEnd w:id="349"/>
      <w:bookmarkEnd w:id="350"/>
      <w:bookmarkEnd w:id="351"/>
      <w:bookmarkEnd w:id="352"/>
      <w:bookmarkEnd w:id="353"/>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2.13.1如果任何一方遭遇法律规定的不可抗力，致使合同履行受阻时，履行合同的期限应予延长，延长的期限应相当于不可抗力所影响的时间；</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2.13.2因不可抗力致使不能实现合同目的的，当事人可以解除合同；</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2.13.3因不可抗力致使合同有变更必要的，双方当事人应在</w:t>
      </w:r>
      <w:r>
        <w:rPr>
          <w:rFonts w:hint="eastAsia" w:ascii="仿宋" w:hAnsi="仿宋" w:eastAsia="仿宋" w:cs="仿宋"/>
          <w:b/>
          <w:i/>
          <w:color w:val="auto"/>
          <w:u w:val="single" w:color="000000"/>
        </w:rPr>
        <w:t>合同专用条款</w:t>
      </w:r>
      <w:r>
        <w:rPr>
          <w:rFonts w:hint="eastAsia" w:ascii="仿宋" w:hAnsi="仿宋" w:eastAsia="仿宋" w:cs="仿宋"/>
          <w:color w:val="auto"/>
        </w:rPr>
        <w:t>约定时间内以书面形式变更合同；</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2.13.4受不可抗力影响的一方在不可抗力发生后，应在</w:t>
      </w:r>
      <w:r>
        <w:rPr>
          <w:rFonts w:hint="eastAsia" w:ascii="仿宋" w:hAnsi="仿宋" w:eastAsia="仿宋" w:cs="仿宋"/>
          <w:b/>
          <w:i/>
          <w:color w:val="auto"/>
          <w:u w:val="single" w:color="000000"/>
        </w:rPr>
        <w:t>合同专用条款</w:t>
      </w:r>
      <w:r>
        <w:rPr>
          <w:rFonts w:hint="eastAsia" w:ascii="仿宋" w:hAnsi="仿宋" w:eastAsia="仿宋" w:cs="仿宋"/>
          <w:color w:val="auto"/>
        </w:rPr>
        <w:t>约定时间内以书面形式通知对方当事人，并在</w:t>
      </w:r>
      <w:r>
        <w:rPr>
          <w:rFonts w:hint="eastAsia" w:ascii="仿宋" w:hAnsi="仿宋" w:eastAsia="仿宋" w:cs="仿宋"/>
          <w:b/>
          <w:i/>
          <w:color w:val="auto"/>
          <w:u w:val="single" w:color="000000"/>
        </w:rPr>
        <w:t>合同专用条款</w:t>
      </w:r>
      <w:r>
        <w:rPr>
          <w:rFonts w:hint="eastAsia" w:ascii="仿宋" w:hAnsi="仿宋" w:eastAsia="仿宋" w:cs="仿宋"/>
          <w:color w:val="auto"/>
        </w:rPr>
        <w:t>约定时间内，将有关部门出具的证明文件送达对方当事人。</w:t>
      </w:r>
    </w:p>
    <w:p>
      <w:pPr>
        <w:snapToGrid w:val="0"/>
        <w:spacing w:line="560" w:lineRule="exact"/>
        <w:ind w:firstLine="482"/>
        <w:textAlignment w:val="baseline"/>
        <w:outlineLvl w:val="9"/>
        <w:rPr>
          <w:rFonts w:hint="eastAsia" w:ascii="仿宋" w:hAnsi="仿宋" w:eastAsia="仿宋" w:cs="仿宋"/>
          <w:b/>
          <w:color w:val="auto"/>
        </w:rPr>
      </w:pPr>
      <w:bookmarkStart w:id="354" w:name="_Toc12526"/>
      <w:bookmarkStart w:id="355" w:name="_Toc279701255"/>
      <w:bookmarkStart w:id="356" w:name="_Toc26701"/>
      <w:bookmarkStart w:id="357" w:name="_Toc689"/>
      <w:bookmarkStart w:id="358" w:name="_Toc28553"/>
      <w:bookmarkStart w:id="359" w:name="_Toc4202"/>
      <w:bookmarkStart w:id="360" w:name="_Toc259093684"/>
      <w:bookmarkStart w:id="361" w:name="_Toc30676"/>
      <w:bookmarkStart w:id="362" w:name="_Toc487900365"/>
      <w:bookmarkStart w:id="363" w:name="_Toc6969"/>
      <w:bookmarkStart w:id="364" w:name="_Toc10682"/>
      <w:r>
        <w:rPr>
          <w:rFonts w:hint="eastAsia" w:ascii="仿宋" w:hAnsi="仿宋" w:eastAsia="仿宋" w:cs="仿宋"/>
          <w:b/>
          <w:color w:val="auto"/>
        </w:rPr>
        <w:t>2.14税费</w:t>
      </w:r>
      <w:bookmarkEnd w:id="354"/>
      <w:bookmarkEnd w:id="355"/>
      <w:bookmarkEnd w:id="356"/>
      <w:bookmarkEnd w:id="357"/>
      <w:bookmarkEnd w:id="358"/>
      <w:bookmarkEnd w:id="359"/>
      <w:bookmarkEnd w:id="360"/>
      <w:bookmarkEnd w:id="361"/>
      <w:bookmarkEnd w:id="362"/>
      <w:bookmarkEnd w:id="363"/>
      <w:bookmarkEnd w:id="364"/>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与合同有关的一切税费，均按照中华人民共和国法律的相关规定。</w:t>
      </w:r>
    </w:p>
    <w:p>
      <w:pPr>
        <w:snapToGrid w:val="0"/>
        <w:spacing w:line="560" w:lineRule="exact"/>
        <w:ind w:firstLine="482"/>
        <w:textAlignment w:val="baseline"/>
        <w:outlineLvl w:val="9"/>
        <w:rPr>
          <w:rFonts w:hint="eastAsia" w:ascii="仿宋" w:hAnsi="仿宋" w:eastAsia="仿宋" w:cs="仿宋"/>
          <w:b/>
          <w:color w:val="auto"/>
        </w:rPr>
      </w:pPr>
      <w:bookmarkStart w:id="365" w:name="_Toc7102"/>
      <w:bookmarkStart w:id="366" w:name="_Toc19279"/>
      <w:bookmarkStart w:id="367" w:name="_Toc9201"/>
      <w:bookmarkStart w:id="368" w:name="_Toc259093687"/>
      <w:bookmarkStart w:id="369" w:name="_Toc16959"/>
      <w:bookmarkStart w:id="370" w:name="_Toc725"/>
      <w:bookmarkStart w:id="371" w:name="_Toc487900368"/>
      <w:bookmarkStart w:id="372" w:name="_Toc279701258"/>
      <w:bookmarkStart w:id="373" w:name="_Toc23378"/>
      <w:bookmarkStart w:id="374" w:name="_Toc8298"/>
      <w:bookmarkStart w:id="375" w:name="_Toc7208"/>
      <w:r>
        <w:rPr>
          <w:rFonts w:hint="eastAsia" w:ascii="仿宋" w:hAnsi="仿宋" w:eastAsia="仿宋" w:cs="仿宋"/>
          <w:b/>
          <w:color w:val="auto"/>
        </w:rPr>
        <w:t>2.15乙方破产</w:t>
      </w:r>
      <w:bookmarkEnd w:id="365"/>
      <w:bookmarkEnd w:id="366"/>
      <w:bookmarkEnd w:id="367"/>
      <w:bookmarkEnd w:id="368"/>
      <w:bookmarkEnd w:id="369"/>
      <w:bookmarkEnd w:id="370"/>
      <w:bookmarkEnd w:id="371"/>
      <w:bookmarkEnd w:id="372"/>
      <w:bookmarkEnd w:id="373"/>
      <w:bookmarkEnd w:id="374"/>
      <w:bookmarkEnd w:id="375"/>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560" w:lineRule="exact"/>
        <w:ind w:firstLine="482"/>
        <w:textAlignment w:val="baseline"/>
        <w:outlineLvl w:val="9"/>
        <w:rPr>
          <w:rFonts w:hint="eastAsia" w:ascii="仿宋" w:hAnsi="仿宋" w:eastAsia="仿宋" w:cs="仿宋"/>
          <w:b/>
          <w:color w:val="auto"/>
        </w:rPr>
      </w:pPr>
      <w:bookmarkStart w:id="376" w:name="_Toc6530"/>
      <w:bookmarkStart w:id="377" w:name="_Toc6134"/>
      <w:bookmarkStart w:id="378" w:name="_Toc29378"/>
      <w:bookmarkStart w:id="379" w:name="_Toc28828"/>
      <w:bookmarkStart w:id="380" w:name="_Toc9443"/>
      <w:bookmarkStart w:id="381" w:name="_Toc29333"/>
      <w:bookmarkStart w:id="382" w:name="_Toc15387"/>
      <w:bookmarkStart w:id="383" w:name="_Toc20075"/>
      <w:r>
        <w:rPr>
          <w:rFonts w:hint="eastAsia" w:ascii="仿宋" w:hAnsi="仿宋" w:eastAsia="仿宋" w:cs="仿宋"/>
          <w:b/>
          <w:color w:val="auto"/>
        </w:rPr>
        <w:t>2.16合同中止、终止</w:t>
      </w:r>
      <w:bookmarkEnd w:id="376"/>
      <w:bookmarkEnd w:id="377"/>
      <w:bookmarkEnd w:id="378"/>
      <w:bookmarkEnd w:id="379"/>
      <w:bookmarkEnd w:id="380"/>
      <w:bookmarkEnd w:id="381"/>
      <w:bookmarkEnd w:id="382"/>
      <w:bookmarkEnd w:id="383"/>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2.16.1双方当事人不得擅自中止或者终止合同；</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2.16.2合同继续履行将损害国家利益和社会公共利益的，双方当事人应当中止或者终止合同。有过错的一方应当承担赔偿责任，双方当事人都有过错的，各自承担相应的责任。</w:t>
      </w:r>
    </w:p>
    <w:p>
      <w:pPr>
        <w:snapToGrid w:val="0"/>
        <w:spacing w:line="560" w:lineRule="exact"/>
        <w:ind w:firstLine="482"/>
        <w:textAlignment w:val="baseline"/>
        <w:outlineLvl w:val="9"/>
        <w:rPr>
          <w:rFonts w:hint="eastAsia" w:ascii="仿宋" w:hAnsi="仿宋" w:eastAsia="仿宋" w:cs="仿宋"/>
          <w:b/>
          <w:color w:val="auto"/>
        </w:rPr>
      </w:pPr>
      <w:bookmarkStart w:id="384" w:name="_Toc6596"/>
      <w:bookmarkStart w:id="385" w:name="_Toc5287"/>
      <w:bookmarkStart w:id="386" w:name="_Toc14563"/>
      <w:bookmarkStart w:id="387" w:name="_Toc19390"/>
      <w:bookmarkStart w:id="388" w:name="_Toc29723"/>
      <w:bookmarkStart w:id="389" w:name="_Toc1125"/>
      <w:bookmarkStart w:id="390" w:name="_Toc786"/>
      <w:bookmarkStart w:id="391" w:name="_Toc17840"/>
      <w:r>
        <w:rPr>
          <w:rFonts w:hint="eastAsia" w:ascii="仿宋" w:hAnsi="仿宋" w:eastAsia="仿宋" w:cs="仿宋"/>
          <w:b/>
          <w:color w:val="auto"/>
        </w:rPr>
        <w:t>2.17检验和验收</w:t>
      </w:r>
      <w:bookmarkEnd w:id="384"/>
      <w:bookmarkEnd w:id="385"/>
      <w:bookmarkEnd w:id="386"/>
      <w:bookmarkEnd w:id="387"/>
      <w:bookmarkEnd w:id="388"/>
      <w:bookmarkEnd w:id="389"/>
      <w:bookmarkEnd w:id="390"/>
      <w:bookmarkEnd w:id="391"/>
    </w:p>
    <w:p>
      <w:pPr>
        <w:tabs>
          <w:tab w:val="left" w:pos="360"/>
          <w:tab w:val="left" w:pos="540"/>
          <w:tab w:val="left" w:pos="1080"/>
        </w:tabs>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2.17.1货物交付前，乙方应对货物的质量、数量等方面进行详细、全面的检验，并向甲方出具证明货物符合合同约定的文件；货物交付时，乙方在</w:t>
      </w:r>
      <w:r>
        <w:rPr>
          <w:rFonts w:hint="eastAsia" w:ascii="仿宋" w:hAnsi="仿宋" w:eastAsia="仿宋" w:cs="仿宋"/>
          <w:b/>
          <w:i/>
          <w:color w:val="auto"/>
          <w:u w:val="single" w:color="000000"/>
        </w:rPr>
        <w:t>合同专用条款</w:t>
      </w:r>
      <w:r>
        <w:rPr>
          <w:rFonts w:hint="eastAsia" w:ascii="仿宋" w:hAnsi="仿宋" w:eastAsia="仿宋" w:cs="仿宋"/>
          <w:color w:val="auto"/>
        </w:rPr>
        <w:t>约定时间内组织验收，并可依法邀请相关方参加，验收应出具验收书。</w:t>
      </w:r>
    </w:p>
    <w:p>
      <w:pPr>
        <w:tabs>
          <w:tab w:val="left" w:pos="360"/>
          <w:tab w:val="left" w:pos="540"/>
          <w:tab w:val="left" w:pos="1080"/>
        </w:tabs>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2.17.3检验和验收标准、程序等具体内容以及前述验收书的效力详见</w:t>
      </w:r>
      <w:r>
        <w:rPr>
          <w:rFonts w:hint="eastAsia" w:ascii="仿宋" w:hAnsi="仿宋" w:eastAsia="仿宋" w:cs="仿宋"/>
          <w:b/>
          <w:i/>
          <w:color w:val="auto"/>
          <w:u w:val="single" w:color="000000"/>
        </w:rPr>
        <w:t>合同专用条款</w:t>
      </w:r>
      <w:r>
        <w:rPr>
          <w:rFonts w:hint="eastAsia" w:ascii="仿宋" w:hAnsi="仿宋" w:eastAsia="仿宋" w:cs="仿宋"/>
          <w:i/>
          <w:color w:val="auto"/>
        </w:rPr>
        <w:t>。</w:t>
      </w:r>
    </w:p>
    <w:p>
      <w:pPr>
        <w:snapToGrid w:val="0"/>
        <w:spacing w:line="560" w:lineRule="exact"/>
        <w:ind w:firstLine="482"/>
        <w:textAlignment w:val="baseline"/>
        <w:outlineLvl w:val="9"/>
        <w:rPr>
          <w:rFonts w:hint="eastAsia" w:ascii="仿宋" w:hAnsi="仿宋" w:eastAsia="仿宋" w:cs="仿宋"/>
          <w:b/>
          <w:color w:val="auto"/>
        </w:rPr>
      </w:pPr>
      <w:bookmarkStart w:id="392" w:name="_Toc487900371"/>
      <w:bookmarkStart w:id="393" w:name="_Toc259093690"/>
      <w:bookmarkStart w:id="394" w:name="_Toc279701261"/>
      <w:bookmarkStart w:id="395" w:name="_Toc14977"/>
      <w:bookmarkStart w:id="396" w:name="_Toc19604"/>
      <w:bookmarkStart w:id="397" w:name="_Toc15871"/>
      <w:bookmarkStart w:id="398" w:name="_Toc11284"/>
      <w:bookmarkStart w:id="399" w:name="_Toc16089"/>
      <w:bookmarkStart w:id="400" w:name="_Toc21540"/>
      <w:bookmarkStart w:id="401" w:name="_Toc30115"/>
      <w:r>
        <w:rPr>
          <w:rFonts w:hint="eastAsia" w:ascii="仿宋" w:hAnsi="仿宋" w:eastAsia="仿宋" w:cs="仿宋"/>
          <w:b/>
          <w:color w:val="auto"/>
        </w:rPr>
        <w:t>2.18通知</w:t>
      </w:r>
      <w:bookmarkEnd w:id="392"/>
      <w:bookmarkEnd w:id="393"/>
      <w:bookmarkEnd w:id="394"/>
      <w:r>
        <w:rPr>
          <w:rFonts w:hint="eastAsia" w:ascii="仿宋" w:hAnsi="仿宋" w:eastAsia="仿宋" w:cs="仿宋"/>
          <w:b/>
          <w:color w:val="auto"/>
        </w:rPr>
        <w:t>和送达</w:t>
      </w:r>
      <w:bookmarkEnd w:id="395"/>
      <w:bookmarkEnd w:id="396"/>
      <w:bookmarkEnd w:id="397"/>
      <w:bookmarkEnd w:id="398"/>
      <w:bookmarkEnd w:id="399"/>
      <w:bookmarkEnd w:id="400"/>
      <w:bookmarkEnd w:id="401"/>
    </w:p>
    <w:p>
      <w:pPr>
        <w:snapToGrid w:val="0"/>
        <w:spacing w:line="560" w:lineRule="exact"/>
        <w:ind w:firstLine="480"/>
        <w:textAlignment w:val="baseline"/>
        <w:outlineLvl w:val="9"/>
        <w:rPr>
          <w:rFonts w:hint="eastAsia" w:ascii="仿宋" w:hAnsi="仿宋" w:eastAsia="仿宋" w:cs="仿宋"/>
          <w:color w:val="auto"/>
        </w:rPr>
      </w:pPr>
      <w:bookmarkStart w:id="402" w:name="_Toc6698"/>
      <w:bookmarkStart w:id="403" w:name="_Toc3135"/>
      <w:bookmarkStart w:id="404" w:name="_Toc487900372"/>
      <w:bookmarkStart w:id="405" w:name="_Toc279701262"/>
      <w:bookmarkStart w:id="406" w:name="_Toc259093691"/>
      <w:r>
        <w:rPr>
          <w:rFonts w:hint="eastAsia" w:ascii="仿宋" w:hAnsi="仿宋" w:eastAsia="仿宋" w:cs="仿宋"/>
          <w:color w:val="auto"/>
        </w:rPr>
        <w:t>2.18.1任何一方因履行合同而以合同第一部分尾部所列明的</w:t>
      </w:r>
      <w:r>
        <w:rPr>
          <w:rFonts w:hint="eastAsia" w:ascii="仿宋" w:hAnsi="仿宋" w:eastAsia="仿宋" w:cs="仿宋"/>
          <w:color w:val="auto"/>
          <w:u w:val="single" w:color="000000"/>
        </w:rPr>
        <w:t xml:space="preserve">          </w:t>
      </w:r>
      <w:r>
        <w:rPr>
          <w:rFonts w:hint="eastAsia" w:ascii="仿宋" w:hAnsi="仿宋" w:eastAsia="仿宋" w:cs="仿宋"/>
          <w:color w:val="auto"/>
        </w:rPr>
        <w:t>发出的所有通知、文件、材料，均视为已向对方当事人送达；任何一方变更上述送达方式或者地址的，应于</w:t>
      </w:r>
      <w:r>
        <w:rPr>
          <w:rFonts w:hint="eastAsia" w:ascii="仿宋" w:hAnsi="仿宋" w:eastAsia="仿宋" w:cs="仿宋"/>
          <w:color w:val="auto"/>
          <w:u w:val="single" w:color="000000"/>
        </w:rPr>
        <w:t xml:space="preserve">   </w:t>
      </w:r>
      <w:r>
        <w:rPr>
          <w:rFonts w:hint="eastAsia" w:ascii="仿宋" w:hAnsi="仿宋" w:eastAsia="仿宋" w:cs="仿宋"/>
          <w:color w:val="auto"/>
        </w:rPr>
        <w:t>个工作日内书面通知对方当事人，在对方当事人收到有关变更通知之前，变更前的约定送达方式或者地址仍视为有效。</w:t>
      </w:r>
      <w:bookmarkEnd w:id="402"/>
      <w:bookmarkEnd w:id="403"/>
    </w:p>
    <w:p>
      <w:pPr>
        <w:snapToGrid w:val="0"/>
        <w:spacing w:line="560" w:lineRule="exact"/>
        <w:ind w:firstLine="480"/>
        <w:textAlignment w:val="baseline"/>
        <w:outlineLvl w:val="9"/>
        <w:rPr>
          <w:rFonts w:hint="eastAsia" w:ascii="仿宋" w:hAnsi="仿宋" w:eastAsia="仿宋" w:cs="仿宋"/>
          <w:color w:val="auto"/>
        </w:rPr>
      </w:pPr>
      <w:bookmarkStart w:id="407" w:name="_Toc23128"/>
      <w:bookmarkStart w:id="408" w:name="_Toc23294"/>
      <w:r>
        <w:rPr>
          <w:rFonts w:hint="eastAsia" w:ascii="仿宋" w:hAnsi="仿宋" w:eastAsia="仿宋" w:cs="仿宋"/>
          <w:color w:val="auto"/>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7"/>
      <w:bookmarkEnd w:id="408"/>
    </w:p>
    <w:p>
      <w:pPr>
        <w:snapToGrid w:val="0"/>
        <w:spacing w:line="560" w:lineRule="exact"/>
        <w:ind w:firstLine="482"/>
        <w:textAlignment w:val="baseline"/>
        <w:outlineLvl w:val="9"/>
        <w:rPr>
          <w:rFonts w:hint="eastAsia" w:ascii="仿宋" w:hAnsi="仿宋" w:eastAsia="仿宋" w:cs="仿宋"/>
          <w:b/>
          <w:color w:val="auto"/>
        </w:rPr>
      </w:pPr>
      <w:bookmarkStart w:id="409" w:name="_Toc18540"/>
      <w:bookmarkStart w:id="410" w:name="_Toc16769"/>
      <w:bookmarkStart w:id="411" w:name="_Toc9916"/>
      <w:bookmarkStart w:id="412" w:name="_Toc848"/>
      <w:bookmarkStart w:id="413" w:name="_Toc4355"/>
      <w:bookmarkStart w:id="414" w:name="_Toc14896"/>
      <w:bookmarkStart w:id="415" w:name="_Toc30599"/>
      <w:bookmarkStart w:id="416" w:name="_Toc9395"/>
      <w:r>
        <w:rPr>
          <w:rFonts w:hint="eastAsia" w:ascii="仿宋" w:hAnsi="仿宋" w:eastAsia="仿宋" w:cs="仿宋"/>
          <w:b/>
          <w:color w:val="auto"/>
        </w:rPr>
        <w:t>2.19计量单位</w:t>
      </w:r>
      <w:bookmarkEnd w:id="404"/>
      <w:bookmarkEnd w:id="405"/>
      <w:bookmarkEnd w:id="406"/>
      <w:bookmarkEnd w:id="409"/>
      <w:bookmarkEnd w:id="410"/>
      <w:bookmarkEnd w:id="411"/>
      <w:bookmarkEnd w:id="412"/>
      <w:bookmarkEnd w:id="413"/>
      <w:bookmarkEnd w:id="414"/>
      <w:bookmarkEnd w:id="415"/>
      <w:bookmarkEnd w:id="416"/>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除技术规范中另有规定外,合同的计量单位均使用国家法定计量单位。</w:t>
      </w:r>
    </w:p>
    <w:p>
      <w:pPr>
        <w:snapToGrid w:val="0"/>
        <w:spacing w:line="560" w:lineRule="exact"/>
        <w:ind w:firstLine="482"/>
        <w:textAlignment w:val="baseline"/>
        <w:outlineLvl w:val="9"/>
        <w:rPr>
          <w:rFonts w:hint="eastAsia" w:ascii="仿宋" w:hAnsi="仿宋" w:eastAsia="仿宋" w:cs="仿宋"/>
          <w:b/>
          <w:color w:val="auto"/>
        </w:rPr>
      </w:pPr>
      <w:bookmarkStart w:id="417" w:name="_Toc10330"/>
      <w:bookmarkStart w:id="418" w:name="_Toc259093692"/>
      <w:bookmarkStart w:id="419" w:name="_Toc487900373"/>
      <w:bookmarkStart w:id="420" w:name="_Toc12784"/>
      <w:bookmarkStart w:id="421" w:name="_Toc21688"/>
      <w:bookmarkStart w:id="422" w:name="_Toc279701263"/>
      <w:bookmarkStart w:id="423" w:name="_Toc4647"/>
      <w:bookmarkStart w:id="424" w:name="_Toc12773"/>
      <w:bookmarkStart w:id="425" w:name="_Toc18567"/>
      <w:bookmarkStart w:id="426" w:name="_Toc6712"/>
      <w:r>
        <w:rPr>
          <w:rFonts w:hint="eastAsia" w:ascii="仿宋" w:hAnsi="仿宋" w:eastAsia="仿宋" w:cs="仿宋"/>
          <w:b/>
          <w:color w:val="auto"/>
        </w:rPr>
        <w:t>2.20合同使用的文字和适用的法律</w:t>
      </w:r>
      <w:bookmarkEnd w:id="417"/>
      <w:bookmarkEnd w:id="418"/>
      <w:bookmarkEnd w:id="419"/>
      <w:bookmarkEnd w:id="420"/>
      <w:bookmarkEnd w:id="421"/>
      <w:bookmarkEnd w:id="422"/>
      <w:bookmarkEnd w:id="423"/>
      <w:bookmarkEnd w:id="424"/>
      <w:bookmarkEnd w:id="425"/>
      <w:bookmarkEnd w:id="426"/>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2.20.1合同使用汉语书就、变更和解释；</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2.20.2合同适用中华人民共和国法律。</w:t>
      </w:r>
    </w:p>
    <w:p>
      <w:pPr>
        <w:snapToGrid w:val="0"/>
        <w:spacing w:line="560" w:lineRule="exact"/>
        <w:ind w:firstLine="482"/>
        <w:textAlignment w:val="baseline"/>
        <w:outlineLvl w:val="9"/>
        <w:rPr>
          <w:rFonts w:hint="eastAsia" w:ascii="仿宋" w:hAnsi="仿宋" w:eastAsia="仿宋" w:cs="仿宋"/>
          <w:b/>
          <w:color w:val="auto"/>
        </w:rPr>
      </w:pPr>
      <w:bookmarkStart w:id="427" w:name="_Toc5694"/>
      <w:bookmarkStart w:id="428" w:name="_Toc16673"/>
      <w:bookmarkStart w:id="429" w:name="_Toc259093693"/>
      <w:bookmarkStart w:id="430" w:name="_Toc4674"/>
      <w:bookmarkStart w:id="431" w:name="_Toc9006"/>
      <w:bookmarkStart w:id="432" w:name="_Toc3148"/>
      <w:bookmarkStart w:id="433" w:name="_Toc279701264"/>
      <w:bookmarkStart w:id="434" w:name="_Toc12681"/>
      <w:bookmarkStart w:id="435" w:name="_Toc12004"/>
      <w:bookmarkStart w:id="436" w:name="_Toc13115"/>
      <w:r>
        <w:rPr>
          <w:rFonts w:hint="eastAsia" w:ascii="仿宋" w:hAnsi="仿宋" w:eastAsia="仿宋" w:cs="仿宋"/>
          <w:b/>
          <w:color w:val="auto"/>
        </w:rPr>
        <w:t>2.21履约保证金</w:t>
      </w:r>
      <w:bookmarkEnd w:id="427"/>
      <w:bookmarkEnd w:id="428"/>
      <w:bookmarkEnd w:id="429"/>
      <w:bookmarkEnd w:id="430"/>
      <w:bookmarkEnd w:id="431"/>
      <w:bookmarkEnd w:id="432"/>
      <w:bookmarkEnd w:id="433"/>
      <w:bookmarkEnd w:id="434"/>
      <w:bookmarkEnd w:id="435"/>
      <w:bookmarkEnd w:id="436"/>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2.21.1采购文件要求乙方提交履约保证金的，乙方应按</w:t>
      </w:r>
      <w:r>
        <w:rPr>
          <w:rFonts w:hint="eastAsia" w:ascii="仿宋" w:hAnsi="仿宋" w:eastAsia="仿宋" w:cs="仿宋"/>
          <w:b/>
          <w:i/>
          <w:color w:val="auto"/>
          <w:u w:val="single" w:color="000000"/>
        </w:rPr>
        <w:t>合同专用条款</w:t>
      </w:r>
      <w:r>
        <w:rPr>
          <w:rFonts w:hint="eastAsia" w:ascii="仿宋" w:hAnsi="仿宋" w:eastAsia="仿宋" w:cs="仿宋"/>
          <w:color w:val="auto"/>
        </w:rPr>
        <w:t>约定的方式，以支票、汇票、本票或者金融机构、担保机构出具的保函等非现金形式，提交不超过合同价10%的履约保证金；</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2.21.2履约保证金在</w:t>
      </w:r>
      <w:r>
        <w:rPr>
          <w:rFonts w:hint="eastAsia" w:ascii="仿宋" w:hAnsi="仿宋" w:eastAsia="仿宋" w:cs="仿宋"/>
          <w:b/>
          <w:i/>
          <w:color w:val="auto"/>
          <w:u w:val="single" w:color="000000"/>
        </w:rPr>
        <w:t>合同专用条款</w:t>
      </w:r>
      <w:r>
        <w:rPr>
          <w:rFonts w:hint="eastAsia" w:ascii="仿宋" w:hAnsi="仿宋" w:eastAsia="仿宋" w:cs="仿宋"/>
          <w:color w:val="auto"/>
        </w:rPr>
        <w:t>约定期间内或者货物质量保证期内不予退还或者应完全有效，前述约定期间届满或者货物质量保证期届满之日起</w:t>
      </w:r>
      <w:r>
        <w:rPr>
          <w:rFonts w:hint="eastAsia" w:ascii="仿宋" w:hAnsi="仿宋" w:eastAsia="仿宋" w:cs="仿宋"/>
          <w:color w:val="auto"/>
          <w:u w:val="single" w:color="000000"/>
        </w:rPr>
        <w:t xml:space="preserve">  </w:t>
      </w:r>
      <w:r>
        <w:rPr>
          <w:rFonts w:hint="eastAsia" w:ascii="仿宋" w:hAnsi="仿宋" w:eastAsia="仿宋" w:cs="仿宋"/>
          <w:color w:val="auto"/>
        </w:rPr>
        <w:t>个工作日内，甲方应将履约保证金退还乙方；</w:t>
      </w:r>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2.21.3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560" w:lineRule="exact"/>
        <w:ind w:firstLine="482"/>
        <w:textAlignment w:val="baseline"/>
        <w:outlineLvl w:val="9"/>
        <w:rPr>
          <w:rFonts w:hint="eastAsia" w:ascii="仿宋" w:hAnsi="仿宋" w:eastAsia="仿宋" w:cs="仿宋"/>
          <w:b/>
          <w:color w:val="auto"/>
        </w:rPr>
      </w:pPr>
      <w:bookmarkStart w:id="437" w:name="_Toc6885"/>
      <w:bookmarkStart w:id="438" w:name="_Toc27063"/>
      <w:bookmarkStart w:id="439" w:name="_Toc30308"/>
      <w:bookmarkStart w:id="440" w:name="_Toc19890"/>
      <w:bookmarkStart w:id="441" w:name="_Toc14041"/>
      <w:bookmarkStart w:id="442" w:name="_Toc14001"/>
      <w:bookmarkStart w:id="443" w:name="_Toc24488"/>
      <w:bookmarkStart w:id="444" w:name="_Toc13931"/>
      <w:r>
        <w:rPr>
          <w:rFonts w:hint="eastAsia" w:ascii="仿宋" w:hAnsi="仿宋" w:eastAsia="仿宋" w:cs="仿宋"/>
          <w:b/>
          <w:color w:val="auto"/>
        </w:rPr>
        <w:t>2.22合同份数</w:t>
      </w:r>
      <w:bookmarkEnd w:id="437"/>
      <w:bookmarkEnd w:id="438"/>
      <w:bookmarkEnd w:id="439"/>
      <w:bookmarkEnd w:id="440"/>
      <w:bookmarkEnd w:id="441"/>
      <w:bookmarkEnd w:id="442"/>
      <w:bookmarkEnd w:id="443"/>
      <w:bookmarkEnd w:id="444"/>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合同份数按</w:t>
      </w:r>
      <w:r>
        <w:rPr>
          <w:rFonts w:hint="eastAsia" w:ascii="仿宋" w:hAnsi="仿宋" w:eastAsia="仿宋" w:cs="仿宋"/>
          <w:b/>
          <w:i/>
          <w:color w:val="auto"/>
          <w:u w:val="single" w:color="000000"/>
        </w:rPr>
        <w:t>合同专用条款</w:t>
      </w:r>
      <w:r>
        <w:rPr>
          <w:rFonts w:hint="eastAsia" w:ascii="仿宋" w:hAnsi="仿宋" w:eastAsia="仿宋" w:cs="仿宋"/>
          <w:color w:val="auto"/>
        </w:rPr>
        <w:t>规定，每份均具有同等法律效力。</w:t>
      </w:r>
    </w:p>
    <w:p>
      <w:pPr>
        <w:snapToGrid w:val="0"/>
        <w:spacing w:line="560" w:lineRule="exact"/>
        <w:ind w:firstLine="480"/>
        <w:jc w:val="center"/>
        <w:textAlignment w:val="baseline"/>
        <w:outlineLvl w:val="9"/>
        <w:rPr>
          <w:rFonts w:hint="eastAsia" w:ascii="仿宋" w:hAnsi="仿宋" w:eastAsia="仿宋" w:cs="仿宋"/>
          <w:b/>
          <w:color w:val="auto"/>
        </w:rPr>
      </w:pPr>
      <w:bookmarkStart w:id="445" w:name="_Toc20829"/>
      <w:r>
        <w:rPr>
          <w:rFonts w:hint="eastAsia" w:ascii="仿宋" w:hAnsi="仿宋" w:eastAsia="仿宋" w:cs="仿宋"/>
          <w:b/>
          <w:color w:val="auto"/>
          <w:szCs w:val="24"/>
        </w:rPr>
        <w:t>第三部分合同专用条款</w:t>
      </w:r>
      <w:bookmarkEnd w:id="445"/>
    </w:p>
    <w:p>
      <w:pPr>
        <w:snapToGrid w:val="0"/>
        <w:spacing w:line="560" w:lineRule="exact"/>
        <w:ind w:firstLine="480"/>
        <w:textAlignment w:val="baseline"/>
        <w:outlineLvl w:val="9"/>
        <w:rPr>
          <w:rFonts w:hint="eastAsia" w:ascii="仿宋" w:hAnsi="仿宋" w:eastAsia="仿宋" w:cs="仿宋"/>
          <w:color w:val="auto"/>
        </w:rPr>
      </w:pPr>
      <w:r>
        <w:rPr>
          <w:rFonts w:hint="eastAsia" w:ascii="仿宋" w:hAnsi="仿宋" w:eastAsia="仿宋" w:cs="仿宋"/>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0" w:firstLineChars="0"/>
              <w:textAlignment w:val="baseline"/>
              <w:outlineLvl w:val="9"/>
              <w:rPr>
                <w:rFonts w:hint="eastAsia" w:ascii="仿宋" w:hAnsi="仿宋" w:eastAsia="仿宋" w:cs="仿宋"/>
                <w:b/>
                <w:color w:val="auto"/>
              </w:rPr>
            </w:pPr>
            <w:r>
              <w:rPr>
                <w:rFonts w:hint="eastAsia" w:ascii="仿宋" w:hAnsi="仿宋" w:eastAsia="仿宋" w:cs="仿宋"/>
                <w:b/>
                <w:color w:val="auto"/>
              </w:rPr>
              <w:t>条款号</w:t>
            </w: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0" w:firstLineChars="0"/>
              <w:jc w:val="center"/>
              <w:textAlignment w:val="baseline"/>
              <w:outlineLvl w:val="9"/>
              <w:rPr>
                <w:rFonts w:hint="eastAsia" w:ascii="仿宋" w:hAnsi="仿宋" w:eastAsia="仿宋" w:cs="仿宋"/>
                <w:b/>
                <w:color w:val="auto"/>
              </w:rPr>
            </w:pPr>
            <w:r>
              <w:rPr>
                <w:rFonts w:hint="eastAsia" w:ascii="仿宋" w:hAnsi="仿宋" w:eastAsia="仿宋" w:cs="仿宋"/>
                <w:b/>
                <w:color w:va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firstLine="480"/>
              <w:textAlignment w:val="baseline"/>
              <w:outlineLvl w:val="9"/>
              <w:rPr>
                <w:rFonts w:hint="eastAsia" w:ascii="仿宋" w:hAnsi="仿宋" w:eastAsia="仿宋" w:cs="仿宋"/>
                <w:color w:val="auto"/>
              </w:rPr>
            </w:pPr>
          </w:p>
        </w:tc>
      </w:tr>
    </w:tbl>
    <w:p>
      <w:pPr>
        <w:outlineLvl w:val="9"/>
        <w:rPr>
          <w:rFonts w:hint="eastAsia" w:ascii="仿宋" w:hAnsi="仿宋" w:eastAsia="仿宋" w:cs="仿宋"/>
          <w:b/>
          <w:bCs/>
          <w:color w:val="auto"/>
          <w:sz w:val="24"/>
          <w:szCs w:val="24"/>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6"/>
          <w:szCs w:val="36"/>
          <w:highlight w:val="none"/>
          <w:lang w:val="en-US" w:eastAsia="zh-CN"/>
        </w:rPr>
      </w:pPr>
      <w:bookmarkStart w:id="446" w:name="_Toc20406"/>
      <w:bookmarkStart w:id="447" w:name="_Toc8148"/>
      <w:bookmarkStart w:id="448" w:name="_Toc10860"/>
      <w:bookmarkStart w:id="449" w:name="_Toc9587"/>
      <w:r>
        <w:rPr>
          <w:rFonts w:hint="eastAsia" w:ascii="仿宋" w:hAnsi="仿宋" w:eastAsia="仿宋" w:cs="仿宋"/>
          <w:color w:val="auto"/>
          <w:sz w:val="36"/>
          <w:szCs w:val="36"/>
          <w:highlight w:val="none"/>
          <w:lang w:val="en-US" w:eastAsia="zh-CN"/>
        </w:rPr>
        <w:t>第四章采购需求</w:t>
      </w:r>
      <w:bookmarkEnd w:id="446"/>
      <w:bookmarkEnd w:id="447"/>
      <w:bookmarkEnd w:id="448"/>
      <w:bookmarkEnd w:id="449"/>
    </w:p>
    <w:p>
      <w:pPr>
        <w:spacing w:line="560" w:lineRule="exact"/>
        <w:contextualSpacing/>
        <w:jc w:val="center"/>
        <w:outlineLvl w:val="9"/>
        <w:rPr>
          <w:rFonts w:hint="eastAsia" w:ascii="仿宋" w:hAnsi="仿宋" w:eastAsia="仿宋" w:cs="仿宋"/>
          <w:b/>
          <w:bCs/>
          <w:color w:val="auto"/>
          <w:sz w:val="24"/>
          <w:szCs w:val="24"/>
        </w:rPr>
      </w:pPr>
      <w:bookmarkStart w:id="450" w:name="_Toc17186"/>
      <w:r>
        <w:rPr>
          <w:rFonts w:hint="eastAsia" w:ascii="仿宋" w:hAnsi="仿宋" w:eastAsia="仿宋" w:cs="仿宋"/>
          <w:b/>
          <w:bCs/>
          <w:color w:val="auto"/>
          <w:sz w:val="24"/>
          <w:szCs w:val="24"/>
        </w:rPr>
        <w:t>警用直升机外吊挂装置加改装项目技术方案</w:t>
      </w:r>
      <w:bookmarkEnd w:id="450"/>
    </w:p>
    <w:p>
      <w:pPr>
        <w:spacing w:line="560" w:lineRule="exact"/>
        <w:ind w:firstLine="480" w:firstLineChars="200"/>
        <w:contextualSpacing/>
        <w:outlineLvl w:val="9"/>
        <w:rPr>
          <w:rFonts w:hint="eastAsia" w:ascii="仿宋" w:hAnsi="仿宋" w:eastAsia="仿宋" w:cs="仿宋"/>
          <w:color w:val="auto"/>
          <w:sz w:val="24"/>
          <w:szCs w:val="24"/>
        </w:rPr>
      </w:pPr>
      <w:bookmarkStart w:id="451" w:name="_Toc16947"/>
      <w:r>
        <w:rPr>
          <w:rFonts w:hint="eastAsia" w:ascii="仿宋" w:hAnsi="仿宋" w:eastAsia="仿宋" w:cs="仿宋"/>
          <w:color w:val="auto"/>
          <w:sz w:val="24"/>
          <w:szCs w:val="24"/>
        </w:rPr>
        <w:t>一、项目建设的必要性</w:t>
      </w:r>
      <w:bookmarkEnd w:id="451"/>
    </w:p>
    <w:p>
      <w:pPr>
        <w:spacing w:line="560" w:lineRule="exact"/>
        <w:ind w:firstLine="480" w:firstLineChars="200"/>
        <w:contextualSpacing/>
        <w:outlineLvl w:val="9"/>
        <w:rPr>
          <w:rFonts w:hint="eastAsia" w:ascii="仿宋" w:hAnsi="仿宋" w:eastAsia="仿宋" w:cs="仿宋"/>
          <w:b/>
          <w:bCs/>
          <w:color w:val="auto"/>
          <w:sz w:val="24"/>
          <w:szCs w:val="24"/>
        </w:rPr>
      </w:pPr>
      <w:r>
        <w:rPr>
          <w:rFonts w:hint="eastAsia" w:ascii="仿宋" w:hAnsi="仿宋" w:eastAsia="仿宋" w:cs="仿宋"/>
          <w:color w:val="auto"/>
          <w:sz w:val="24"/>
          <w:szCs w:val="24"/>
        </w:rPr>
        <w:t>为进一步拓展2架警用直升机任务能力，更好的服务公安工作，计划加装外吊挂设备。加装外吊挂设备是对直升机能力的再次拓展，能够执行紧急救援、森林灭火、物资运输等任务。</w:t>
      </w:r>
    </w:p>
    <w:p>
      <w:pPr>
        <w:spacing w:line="560" w:lineRule="exact"/>
        <w:ind w:firstLine="480" w:firstLineChars="200"/>
        <w:contextualSpacing/>
        <w:outlineLvl w:val="9"/>
        <w:rPr>
          <w:rFonts w:hint="eastAsia" w:ascii="仿宋" w:hAnsi="仿宋" w:eastAsia="仿宋" w:cs="仿宋"/>
          <w:color w:val="auto"/>
          <w:sz w:val="24"/>
          <w:szCs w:val="24"/>
        </w:rPr>
      </w:pPr>
      <w:bookmarkStart w:id="452" w:name="_Toc2775"/>
      <w:r>
        <w:rPr>
          <w:rFonts w:hint="eastAsia" w:ascii="仿宋" w:hAnsi="仿宋" w:eastAsia="仿宋" w:cs="仿宋"/>
          <w:color w:val="auto"/>
          <w:sz w:val="24"/>
          <w:szCs w:val="24"/>
        </w:rPr>
        <w:t>二、项目名称及概况</w:t>
      </w:r>
      <w:bookmarkEnd w:id="452"/>
    </w:p>
    <w:p>
      <w:pPr>
        <w:spacing w:line="560" w:lineRule="exact"/>
        <w:ind w:firstLine="482" w:firstLineChars="200"/>
        <w:contextualSpacing/>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（一）项目名称：</w:t>
      </w:r>
      <w:r>
        <w:rPr>
          <w:rFonts w:hint="eastAsia" w:ascii="仿宋" w:hAnsi="仿宋" w:eastAsia="仿宋" w:cs="仿宋"/>
          <w:color w:val="auto"/>
          <w:sz w:val="24"/>
          <w:szCs w:val="24"/>
        </w:rPr>
        <w:t>警用直升机外吊挂装置加改装项目</w:t>
      </w:r>
    </w:p>
    <w:p>
      <w:pPr>
        <w:spacing w:line="560" w:lineRule="exact"/>
        <w:ind w:firstLine="482" w:firstLineChars="200"/>
        <w:contextualSpacing/>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（二）项目预算：</w:t>
      </w:r>
      <w:r>
        <w:rPr>
          <w:rFonts w:hint="eastAsia" w:ascii="仿宋" w:hAnsi="仿宋" w:eastAsia="仿宋" w:cs="仿宋"/>
          <w:color w:val="auto"/>
          <w:sz w:val="24"/>
          <w:szCs w:val="24"/>
        </w:rPr>
        <w:t>64.02万元</w:t>
      </w:r>
    </w:p>
    <w:p>
      <w:pPr>
        <w:spacing w:line="560" w:lineRule="exact"/>
        <w:ind w:firstLine="482" w:firstLineChars="200"/>
        <w:contextualSpacing/>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（三）外吊挂装置技术参数</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吊挂投放系统。工作电流不大于9A；吊挂投放系统功耗不大于5W；最大外吊挂静载荷1000+500kg,最小投放载荷不大于5kg；载荷测量范围0-2000kg,输出信号0.5±0.1VDC-4.5±0.1VDC，系统称重精度不大于5%F.S；正常电磁投放时间不大于0.5s。</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2、控制钢索组件。额定使用载荷55N。</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3、上钢索组件。额定使用载荷230N。</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4、下钢索组件。额定使用载荷230N。</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5、周期变距手柄。用于机通发射、吊挂载荷释放、空速保持、周期配平、地速配平、配平释放、高级模式断开、飞控断开、光标选择、光标确定功能的控制。</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6、吊挂指示灯。用于指示吊挂系统吊钩位置状态，吊钩打开时燃亮。</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7、继电器。用于吊挂系统抛放控制。</w:t>
      </w:r>
    </w:p>
    <w:p>
      <w:pPr>
        <w:spacing w:line="560" w:lineRule="exact"/>
        <w:ind w:firstLine="480" w:firstLineChars="200"/>
        <w:contextualSpacing/>
        <w:outlineLvl w:val="9"/>
        <w:rPr>
          <w:rFonts w:hint="eastAsia" w:ascii="仿宋" w:hAnsi="仿宋" w:eastAsia="仿宋" w:cs="仿宋"/>
          <w:color w:val="auto"/>
          <w:sz w:val="24"/>
          <w:szCs w:val="24"/>
        </w:rPr>
      </w:pPr>
      <w:r>
        <w:rPr>
          <w:rFonts w:hint="eastAsia" w:ascii="仿宋" w:hAnsi="仿宋" w:eastAsia="仿宋" w:cs="仿宋"/>
          <w:color w:val="auto"/>
          <w:sz w:val="24"/>
          <w:szCs w:val="24"/>
        </w:rPr>
        <w:t>8、继电器座。用于安装继电器。</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三、项目要求</w:t>
      </w:r>
    </w:p>
    <w:p>
      <w:pPr>
        <w:spacing w:line="560" w:lineRule="exact"/>
        <w:ind w:firstLine="482"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一、基本要求</w:t>
      </w:r>
    </w:p>
    <w:p>
      <w:pPr>
        <w:spacing w:line="560" w:lineRule="exact"/>
        <w:ind w:firstLine="480" w:firstLineChars="200"/>
        <w:outlineLvl w:val="9"/>
        <w:rPr>
          <w:rFonts w:hint="eastAsia" w:ascii="仿宋" w:hAnsi="仿宋" w:eastAsia="仿宋" w:cs="仿宋"/>
          <w:color w:val="auto"/>
          <w:sz w:val="24"/>
          <w:szCs w:val="24"/>
        </w:rPr>
      </w:pPr>
      <w:bookmarkStart w:id="453" w:name="_Toc13527"/>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单位必须向采购方提供完善的加改装方案。</w:t>
      </w:r>
      <w:bookmarkEnd w:id="453"/>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单位提供的外吊挂装置所有部件需符合民航局适航认证标准，具有质量保障和售后服务。</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单位负责承担货物验收、包装、运输、检测、安装、调试、培训、技术服务（包括技术资料、图纸的提供）、质保期保障和所有税费等一切支出。</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3、供货时间：合同签订后，180个日历日内交付验收。</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4、供货地点：甲方指定地点。</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单位应提供原装、全新的、符合质量标准的货物，不得以旧货翻新充数，并按有关要求进行包装及装运。</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单位所供外吊挂设备必须提供履历本，保障设备提供出厂合格证，产品具有序列号，可以追溯。</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单位应将所提供货物的装箱清单、用户手册、原厂保修卡、随机资料及配件等交付给采购人。</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单位不能完整交付货物及本款规定的材料和工具的，视为未按合同约定供货，</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单位必须负责补齐，因此导致逾期交付的，由</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单位承担相关的违约责任。</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单位须保证所供设备是全新、未曾使用过的，其质量、规格及技术特征符合要求。</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单位须保证合同项下提供的设备不侵犯任何第三方的专利、商标或版权。否则，</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单位须承担对第三方的专利或版权的侵权责任并承担因此而发生的所有费用。</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11、为确保货物的合法来源，本次项目所有产品均需提供原制造商出具针对本项目的售后服务承诺函。</w:t>
      </w:r>
    </w:p>
    <w:p>
      <w:pPr>
        <w:spacing w:line="560" w:lineRule="exact"/>
        <w:ind w:firstLine="482" w:firstLineChars="200"/>
        <w:outlineLvl w:val="9"/>
        <w:rPr>
          <w:rFonts w:hint="eastAsia" w:ascii="仿宋" w:hAnsi="仿宋" w:eastAsia="仿宋" w:cs="仿宋"/>
          <w:b/>
          <w:color w:val="auto"/>
          <w:sz w:val="24"/>
          <w:szCs w:val="24"/>
        </w:rPr>
      </w:pPr>
      <w:bookmarkStart w:id="454" w:name="_Toc27329"/>
      <w:r>
        <w:rPr>
          <w:rFonts w:hint="eastAsia" w:ascii="仿宋" w:hAnsi="仿宋" w:eastAsia="仿宋" w:cs="仿宋"/>
          <w:b/>
          <w:color w:val="auto"/>
          <w:sz w:val="24"/>
          <w:szCs w:val="24"/>
        </w:rPr>
        <w:t>二、设备验收</w:t>
      </w:r>
      <w:bookmarkEnd w:id="454"/>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1、设备验收按国家有关的规定、规范进行。验收时如发现所交付的设备有短装、次品、损坏或其它不符合本合同规定的情况，采购人应做出详尽的现场记录，或由采购人和</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单位双方签署备忘录。此现场记录或备忘录可用作补充、缺失和更换损坏部件的有效证据。由此产生的有关费用由</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单位承担。</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2、如果合同设备运输和安装调试过程中因事故造成货物短缺、损坏，</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单位应及时安排换货，以保证合同设备安装调试的成功完成。换货的相关费用由</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单位承担。</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单位必须负责货物的运输、安装、调试等工作，所产生的费用由</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供应商负责。安装调试完成后由甲方组织进行验收，并签署项目验收报告。</w:t>
      </w:r>
    </w:p>
    <w:p>
      <w:pPr>
        <w:spacing w:line="560" w:lineRule="exact"/>
        <w:ind w:firstLine="482" w:firstLineChars="200"/>
        <w:outlineLvl w:val="9"/>
        <w:rPr>
          <w:rFonts w:hint="eastAsia" w:ascii="仿宋" w:hAnsi="仿宋" w:eastAsia="仿宋" w:cs="仿宋"/>
          <w:b/>
          <w:color w:val="auto"/>
          <w:sz w:val="24"/>
          <w:szCs w:val="24"/>
        </w:rPr>
      </w:pPr>
      <w:bookmarkStart w:id="455" w:name="_Toc11826"/>
      <w:r>
        <w:rPr>
          <w:rFonts w:hint="eastAsia" w:ascii="仿宋" w:hAnsi="仿宋" w:eastAsia="仿宋" w:cs="仿宋"/>
          <w:b/>
          <w:color w:val="auto"/>
          <w:sz w:val="24"/>
          <w:szCs w:val="24"/>
        </w:rPr>
        <w:t>三、售后服务及培训：</w:t>
      </w:r>
      <w:bookmarkEnd w:id="455"/>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1、免费质保期期限：按照技术参数中甲方要求乙方提供不少于12个月的质保服务，质保期内</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单位必须负责免费维修及更换配件。</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2、质保期内，如设备或零部件因非人为因素出现故障而造成短期停用时，则质保期和免费维修期相应顺延。如停用时间累计超过60天则质保期重新计算。</w:t>
      </w:r>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3、质保期内，非采购方的人为原因而出现产品质量问题的，由</w:t>
      </w: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供应商负责包修、包换或包退，并承担因此而产生的一切费用。</w:t>
      </w:r>
    </w:p>
    <w:p>
      <w:pPr>
        <w:spacing w:line="560" w:lineRule="exact"/>
        <w:ind w:firstLine="480" w:firstLineChars="200"/>
        <w:outlineLvl w:val="9"/>
        <w:rPr>
          <w:rFonts w:hint="eastAsia" w:ascii="仿宋" w:hAnsi="仿宋" w:eastAsia="仿宋" w:cs="仿宋"/>
          <w:color w:val="auto"/>
          <w:sz w:val="24"/>
          <w:szCs w:val="24"/>
        </w:rPr>
      </w:pPr>
      <w:bookmarkStart w:id="456" w:name="_Toc29062"/>
      <w:r>
        <w:rPr>
          <w:rFonts w:hint="eastAsia" w:ascii="仿宋" w:hAnsi="仿宋" w:eastAsia="仿宋" w:cs="仿宋"/>
          <w:color w:val="auto"/>
          <w:sz w:val="24"/>
          <w:szCs w:val="24"/>
        </w:rPr>
        <w:t>4、免费提供所有设备相关技术资料。</w:t>
      </w:r>
      <w:bookmarkEnd w:id="456"/>
    </w:p>
    <w:p>
      <w:pPr>
        <w:spacing w:line="56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中标(成交）</w:t>
      </w:r>
      <w:r>
        <w:rPr>
          <w:rFonts w:hint="eastAsia" w:ascii="仿宋" w:hAnsi="仿宋" w:eastAsia="仿宋" w:cs="仿宋"/>
          <w:color w:val="auto"/>
          <w:sz w:val="24"/>
          <w:szCs w:val="24"/>
        </w:rPr>
        <w:t>单位无偿培训采购方操作使用与维修人员，主要内容为设备的基本结构、性能、操作使用方法、主要部件的构造及修理，日常使用保养与管理，安全防范，常见故障的排除，紧急情况的处理等。总计培训4课时，每课时1小时，培训要达到采购方相关人员能够正确操作使用和维护维修的效果。</w:t>
      </w:r>
    </w:p>
    <w:p>
      <w:pPr>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sz w:val="36"/>
          <w:szCs w:val="36"/>
          <w:highlight w:val="none"/>
          <w:lang w:val="en-US" w:eastAsia="zh-CN"/>
        </w:rPr>
      </w:pPr>
      <w:bookmarkStart w:id="457" w:name="_Toc24132"/>
      <w:bookmarkStart w:id="458" w:name="_Toc8743"/>
      <w:bookmarkStart w:id="459" w:name="_Toc21420"/>
      <w:bookmarkStart w:id="460" w:name="_Toc1796"/>
      <w:r>
        <w:rPr>
          <w:rFonts w:hint="eastAsia" w:ascii="仿宋" w:hAnsi="仿宋" w:eastAsia="仿宋" w:cs="仿宋"/>
          <w:b/>
          <w:bCs/>
          <w:color w:val="auto"/>
          <w:sz w:val="36"/>
          <w:szCs w:val="36"/>
          <w:highlight w:val="none"/>
          <w:lang w:val="en-US" w:eastAsia="zh-CN"/>
        </w:rPr>
        <w:t>第五章</w:t>
      </w:r>
      <w:bookmarkEnd w:id="457"/>
      <w:r>
        <w:rPr>
          <w:rFonts w:hint="eastAsia" w:ascii="仿宋" w:hAnsi="仿宋" w:eastAsia="仿宋" w:cs="仿宋"/>
          <w:b/>
          <w:bCs/>
          <w:color w:val="auto"/>
          <w:sz w:val="36"/>
          <w:szCs w:val="36"/>
          <w:highlight w:val="none"/>
          <w:lang w:val="en-US" w:eastAsia="zh-CN"/>
        </w:rPr>
        <w:t>评审方法和评审标准</w:t>
      </w:r>
      <w:bookmarkEnd w:id="458"/>
      <w:bookmarkEnd w:id="459"/>
      <w:bookmarkEnd w:id="460"/>
    </w:p>
    <w:p>
      <w:pPr>
        <w:pStyle w:val="29"/>
        <w:spacing w:before="0" w:beforeAutospacing="0" w:after="0" w:afterAutospacing="0" w:line="360" w:lineRule="auto"/>
        <w:jc w:val="both"/>
        <w:outlineLvl w:val="1"/>
        <w:rPr>
          <w:rFonts w:hint="eastAsia" w:ascii="仿宋" w:hAnsi="仿宋" w:eastAsia="仿宋" w:cs="仿宋"/>
          <w:b/>
          <w:bCs/>
          <w:color w:val="auto"/>
          <w:kern w:val="2"/>
        </w:rPr>
      </w:pPr>
      <w:bookmarkStart w:id="461" w:name="_Toc20171"/>
      <w:r>
        <w:rPr>
          <w:rFonts w:hint="eastAsia" w:ascii="仿宋" w:hAnsi="仿宋" w:eastAsia="仿宋" w:cs="仿宋"/>
          <w:b/>
          <w:bCs/>
          <w:color w:val="auto"/>
          <w:kern w:val="2"/>
        </w:rPr>
        <w:t>一、评审</w:t>
      </w:r>
      <w:bookmarkEnd w:id="461"/>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2、谈判小组所有成员应当集中与单一供应商分别进行谈判，并给予所有参加谈判的供应商平等的谈判机会。</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3、在谈判过程中，谈判小组可以根据谈判文件和谈判情况实质性变动采购需求中的技术、服务要求以及合同草案条款，但不得变动谈判文件中的其他内容。实质性变动的内容，须经采购人代表确认。</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4、对谈判文件作出的实质性变动是谈判文件的有效组成部分，谈判小组应当及时以书面形式同时通知所有参加谈判的供应商。</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6、谈判文件能够详细列明采购标的的技术、服务要求的，谈判结束后，谈判小组应当要求所有继续参加谈判的供应商在规定时间内提交最后报价，提交最后报价的供应商不得少于3家。</w:t>
      </w:r>
    </w:p>
    <w:p>
      <w:pPr>
        <w:pStyle w:val="29"/>
        <w:spacing w:before="0" w:beforeAutospacing="0" w:after="0" w:afterAutospacing="0" w:line="360" w:lineRule="auto"/>
        <w:ind w:firstLine="480" w:firstLineChars="200"/>
        <w:jc w:val="both"/>
        <w:rPr>
          <w:rFonts w:hint="eastAsia" w:ascii="仿宋" w:hAnsi="仿宋" w:eastAsia="仿宋" w:cs="仿宋"/>
          <w:color w:val="auto"/>
          <w:kern w:val="2"/>
        </w:rPr>
      </w:pPr>
      <w:r>
        <w:rPr>
          <w:rFonts w:hint="eastAsia" w:ascii="仿宋" w:hAnsi="仿宋" w:eastAsia="仿宋" w:cs="仿宋"/>
          <w:color w:val="auto"/>
          <w:kern w:val="2"/>
        </w:rPr>
        <w:t>7、谈判文件不能详细列明采购标的的技术、服务要求，需经谈判由供应商提供最终供货方案或解决方案的，谈判结束后，谈判小组应当按照少数服从多数的原则投票推荐3家以上供应商的供货方案或者解决方案，并要求其在规定时间内提交最后报价。最后报价是供应商响应文件的有效组成部分。</w:t>
      </w:r>
    </w:p>
    <w:p>
      <w:pPr>
        <w:pStyle w:val="29"/>
        <w:spacing w:before="0" w:beforeAutospacing="0" w:after="0" w:afterAutospacing="0" w:line="360" w:lineRule="auto"/>
        <w:jc w:val="both"/>
        <w:outlineLvl w:val="1"/>
        <w:rPr>
          <w:rFonts w:hint="eastAsia" w:ascii="仿宋" w:hAnsi="仿宋" w:eastAsia="仿宋" w:cs="仿宋"/>
          <w:b/>
          <w:bCs/>
          <w:color w:val="auto"/>
          <w:kern w:val="2"/>
        </w:rPr>
      </w:pPr>
      <w:bookmarkStart w:id="462" w:name="_Toc10911"/>
      <w:r>
        <w:rPr>
          <w:rFonts w:hint="eastAsia" w:ascii="仿宋" w:hAnsi="仿宋" w:eastAsia="仿宋" w:cs="仿宋"/>
          <w:b/>
          <w:bCs/>
          <w:color w:val="auto"/>
          <w:kern w:val="2"/>
        </w:rPr>
        <w:t>二、响应文件的评审</w:t>
      </w:r>
      <w:bookmarkEnd w:id="462"/>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rPr>
      </w:pPr>
      <w:bookmarkStart w:id="463" w:name="_Toc23000"/>
      <w:r>
        <w:rPr>
          <w:rFonts w:hint="eastAsia" w:ascii="仿宋" w:hAnsi="仿宋" w:eastAsia="仿宋" w:cs="仿宋"/>
          <w:color w:val="auto"/>
          <w:kern w:val="2"/>
          <w:lang w:val="en-US" w:eastAsia="zh-CN"/>
        </w:rPr>
        <w:t>2.1</w:t>
      </w:r>
      <w:r>
        <w:rPr>
          <w:rFonts w:hint="eastAsia" w:ascii="仿宋" w:hAnsi="仿宋" w:eastAsia="仿宋" w:cs="仿宋"/>
          <w:color w:val="auto"/>
          <w:kern w:val="2"/>
        </w:rPr>
        <w:t>谈判程序</w:t>
      </w:r>
      <w:bookmarkEnd w:id="463"/>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rPr>
      </w:pPr>
      <w:r>
        <w:rPr>
          <w:rFonts w:hint="eastAsia" w:ascii="仿宋" w:hAnsi="仿宋" w:eastAsia="仿宋" w:cs="仿宋"/>
          <w:color w:val="auto"/>
          <w:kern w:val="2"/>
          <w:lang w:val="en-US" w:eastAsia="zh-CN"/>
        </w:rPr>
        <w:t>2.1.1</w:t>
      </w:r>
      <w:r>
        <w:rPr>
          <w:rFonts w:hint="eastAsia" w:ascii="仿宋" w:hAnsi="仿宋" w:eastAsia="仿宋" w:cs="仿宋"/>
          <w:color w:val="auto"/>
          <w:kern w:val="2"/>
        </w:rPr>
        <w:t>谈判程序：初步审查（资格性审查、符合性审查），澄清、谈判、推荐候选供应商。</w:t>
      </w:r>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rPr>
      </w:pPr>
      <w:r>
        <w:rPr>
          <w:rFonts w:hint="eastAsia" w:ascii="仿宋" w:hAnsi="仿宋" w:eastAsia="仿宋" w:cs="仿宋"/>
          <w:color w:val="auto"/>
          <w:kern w:val="2"/>
          <w:lang w:val="en-US" w:eastAsia="zh-CN"/>
        </w:rPr>
        <w:t>2.1.2</w:t>
      </w:r>
      <w:r>
        <w:rPr>
          <w:rFonts w:hint="eastAsia" w:ascii="仿宋" w:hAnsi="仿宋" w:eastAsia="仿宋" w:cs="仿宋"/>
          <w:color w:val="auto"/>
          <w:kern w:val="2"/>
        </w:rPr>
        <w:t>谈判小组成员应当按照客观、公正、审慎的原则，根据谈判文件规定的评审程序、评审方法和评审标准进行独立评审。</w:t>
      </w:r>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lang w:val="en-US" w:eastAsia="zh-CN"/>
        </w:rPr>
      </w:pPr>
      <w:bookmarkStart w:id="464" w:name="_Toc12159"/>
      <w:r>
        <w:rPr>
          <w:rFonts w:hint="eastAsia" w:ascii="仿宋" w:hAnsi="仿宋" w:eastAsia="仿宋" w:cs="仿宋"/>
          <w:color w:val="auto"/>
          <w:kern w:val="2"/>
          <w:lang w:val="en-US" w:eastAsia="zh-CN"/>
        </w:rPr>
        <w:t>2.2.初步审查</w:t>
      </w:r>
      <w:bookmarkEnd w:id="464"/>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lang w:val="en-US" w:eastAsia="zh-CN"/>
        </w:rPr>
      </w:pPr>
      <w:r>
        <w:rPr>
          <w:rFonts w:hint="eastAsia" w:ascii="仿宋" w:hAnsi="仿宋" w:eastAsia="仿宋" w:cs="仿宋"/>
          <w:color w:val="auto"/>
          <w:kern w:val="2"/>
          <w:lang w:val="en-US" w:eastAsia="zh-CN"/>
        </w:rPr>
        <w:t>2.2.1谈判小组对参加谈判的单位提交的首次响应文件进行初步审查。响应文件不符合资格性审查及符合性审查条件的，</w:t>
      </w:r>
      <w:r>
        <w:rPr>
          <w:rFonts w:hint="eastAsia" w:ascii="仿宋" w:hAnsi="仿宋" w:eastAsia="仿宋" w:cs="仿宋"/>
          <w:color w:val="auto"/>
          <w:kern w:val="2"/>
          <w:lang w:val="zh-CN" w:eastAsia="zh-CN"/>
        </w:rPr>
        <w:t>其响应文件无效，</w:t>
      </w:r>
      <w:r>
        <w:rPr>
          <w:rFonts w:hint="eastAsia" w:ascii="仿宋" w:hAnsi="仿宋" w:eastAsia="仿宋" w:cs="仿宋"/>
          <w:color w:val="auto"/>
          <w:kern w:val="2"/>
          <w:lang w:val="en-US" w:eastAsia="zh-CN"/>
        </w:rPr>
        <w:t>谈判小组应当告知有关谈判单位。</w:t>
      </w:r>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lang w:val="en-US" w:eastAsia="zh-CN"/>
        </w:rPr>
      </w:pPr>
      <w:bookmarkStart w:id="465" w:name="_Toc21969"/>
      <w:r>
        <w:rPr>
          <w:rFonts w:hint="eastAsia" w:ascii="仿宋" w:hAnsi="仿宋" w:eastAsia="仿宋" w:cs="仿宋"/>
          <w:color w:val="auto"/>
          <w:kern w:val="2"/>
          <w:lang w:val="en-US" w:eastAsia="zh-CN"/>
        </w:rPr>
        <w:t>2.3资格审查</w:t>
      </w:r>
      <w:bookmarkEnd w:id="465"/>
    </w:p>
    <w:p>
      <w:pPr>
        <w:pStyle w:val="29"/>
        <w:spacing w:before="0" w:beforeAutospacing="0" w:after="0" w:afterAutospacing="0" w:line="360" w:lineRule="auto"/>
        <w:ind w:firstLine="480" w:firstLineChars="200"/>
        <w:jc w:val="both"/>
        <w:outlineLvl w:val="9"/>
        <w:rPr>
          <w:rFonts w:hint="eastAsia" w:ascii="仿宋" w:hAnsi="仿宋" w:eastAsia="仿宋" w:cs="仿宋"/>
          <w:color w:val="auto"/>
          <w:kern w:val="2"/>
          <w:lang w:val="en-US" w:eastAsia="zh-CN"/>
        </w:rPr>
      </w:pPr>
      <w:r>
        <w:rPr>
          <w:rFonts w:hint="eastAsia" w:ascii="仿宋" w:hAnsi="仿宋" w:eastAsia="仿宋" w:cs="仿宋"/>
          <w:color w:val="auto"/>
          <w:kern w:val="2"/>
          <w:lang w:val="en-US" w:eastAsia="zh-CN"/>
        </w:rPr>
        <w:t>2.3.1依据法律法规和谈判文件的规定，对响应文件中的资格证明进行审查，以确定供应商是否具备谈判资格。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rPr>
        <w:t>附表1</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kern w:val="2"/>
        </w:rPr>
        <w:t>资格审查</w:t>
      </w:r>
      <w:r>
        <w:rPr>
          <w:rFonts w:hint="eastAsia" w:ascii="仿宋" w:hAnsi="仿宋" w:eastAsia="仿宋" w:cs="仿宋"/>
          <w:b w:val="0"/>
          <w:bCs w:val="0"/>
          <w:color w:val="auto"/>
          <w:kern w:val="2"/>
          <w:lang w:eastAsia="zh-CN"/>
        </w:rPr>
        <w:t>标准如下表：</w:t>
      </w:r>
    </w:p>
    <w:tbl>
      <w:tblPr>
        <w:tblStyle w:val="32"/>
        <w:tblW w:w="50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8"/>
        <w:gridCol w:w="3355"/>
        <w:gridCol w:w="4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1"/>
                <w:szCs w:val="21"/>
                <w:highlight w:val="none"/>
                <w:vertAlign w:val="baseline"/>
                <w:lang w:val="en-US" w:eastAsia="zh-CN"/>
              </w:rPr>
              <w:t>审查因素</w:t>
            </w:r>
          </w:p>
        </w:tc>
        <w:tc>
          <w:tcPr>
            <w:tcW w:w="2741"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具有独立承担民事责任的能力</w:t>
            </w:r>
          </w:p>
        </w:tc>
        <w:tc>
          <w:tcPr>
            <w:tcW w:w="2741"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提供营业执照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具有良好的商业信誉和健全的财务会计制度</w:t>
            </w:r>
          </w:p>
        </w:tc>
        <w:tc>
          <w:tcPr>
            <w:tcW w:w="2741"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提供会计事务所出具的2022年度财务审计报告，新成立不足一年的提供成立之日起至今的财务报表和基本开户银行出具的资信证明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具有履行合同所必需的设备和专业技术能力</w:t>
            </w:r>
          </w:p>
        </w:tc>
        <w:tc>
          <w:tcPr>
            <w:tcW w:w="2741"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有依法缴纳税收和社会保障资金的良好纪录</w:t>
            </w:r>
          </w:p>
        </w:tc>
        <w:tc>
          <w:tcPr>
            <w:tcW w:w="2741"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提供近一年任意三个月纳税和社会保障资金的缴纳证明材料（依法免税或不需要缴纳社会保障金的供应商，应提供相关证明材料，包括相关法规要求原文及加盖公章的情况说明）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参加政府采购活动近3年内，在经营活动中没有重大违法记录</w:t>
            </w:r>
          </w:p>
        </w:tc>
        <w:tc>
          <w:tcPr>
            <w:tcW w:w="2741" w:type="pct"/>
            <w:noWrap w:val="0"/>
            <w:vAlign w:val="center"/>
          </w:tcPr>
          <w:p>
            <w:pPr>
              <w:keepNext w:val="0"/>
              <w:keepLines w:val="0"/>
              <w:suppressLineNumbers w:val="0"/>
              <w:overflowPunct/>
              <w:bidi w:val="0"/>
              <w:spacing w:before="0" w:beforeAutospacing="0" w:after="0" w:afterAutospacing="0" w:line="240" w:lineRule="auto"/>
              <w:ind w:left="0" w:leftChars="0" w:right="0" w:rightChars="0"/>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rPr>
              <w:t>提供声明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信用查询</w:t>
            </w:r>
          </w:p>
        </w:tc>
        <w:tc>
          <w:tcPr>
            <w:tcW w:w="2741"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1、查询渠道：信用中国（网址：http://www.creditchina.gov.cn）、中国政府采购网(网址：http://www.ccgp.gov.cn）。</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2、截止时点：开标后评标前。</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3、信用信息查询记录和证据留存的具体方式：由采购组织机构在规定查询时间内打印信用信息查询记录并归入项目档案。</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4、使用规则：对列入失信被执行人、重大税收违法失信主体、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6"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92" w:type="pct"/>
            <w:noWrap w:val="0"/>
            <w:vAlign w:val="center"/>
          </w:tcPr>
          <w:p>
            <w:pPr>
              <w:pStyle w:val="40"/>
              <w:keepNext w:val="0"/>
              <w:keepLines w:val="0"/>
              <w:suppressLineNumbers w:val="0"/>
              <w:overflowPunct/>
              <w:bidi w:val="0"/>
              <w:adjustRightInd w:val="0"/>
              <w:snapToGrid w:val="0"/>
              <w:spacing w:before="0" w:beforeAutospacing="0" w:after="0" w:afterAutospacing="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本项目特定要求</w:t>
            </w:r>
          </w:p>
        </w:tc>
        <w:tc>
          <w:tcPr>
            <w:tcW w:w="2741" w:type="pct"/>
            <w:noWrap w:val="0"/>
            <w:vAlign w:val="center"/>
          </w:tcPr>
          <w:p>
            <w:pPr>
              <w:keepNext w:val="0"/>
              <w:keepLines w:val="0"/>
              <w:suppressLineNumbers w:val="0"/>
              <w:overflowPunct/>
              <w:bidi w:val="0"/>
              <w:spacing w:before="0" w:beforeAutospacing="0" w:after="0" w:afterAutospacing="0" w:line="240" w:lineRule="auto"/>
              <w:ind w:left="0" w:leftChars="0" w:right="0" w:rightChars="0"/>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单位负责人为同一人或者存在直接控股、管理关系的不同供应商，不得参加同一合同项下的政府采购活动，提供承诺书</w:t>
            </w:r>
          </w:p>
        </w:tc>
      </w:tr>
    </w:tbl>
    <w:p>
      <w:pPr>
        <w:pStyle w:val="29"/>
        <w:spacing w:before="0" w:beforeAutospacing="0" w:after="0" w:afterAutospacing="0" w:line="360" w:lineRule="auto"/>
        <w:ind w:firstLine="482" w:firstLineChars="200"/>
        <w:jc w:val="both"/>
        <w:rPr>
          <w:rFonts w:hint="eastAsia" w:ascii="仿宋" w:hAnsi="仿宋" w:eastAsia="仿宋" w:cs="仿宋"/>
          <w:b/>
          <w:bCs/>
          <w:color w:val="auto"/>
          <w:kern w:val="2"/>
        </w:rPr>
      </w:pPr>
      <w:r>
        <w:rPr>
          <w:rFonts w:hint="eastAsia" w:ascii="仿宋" w:hAnsi="仿宋" w:eastAsia="仿宋" w:cs="仿宋"/>
          <w:b/>
          <w:bCs/>
          <w:color w:val="auto"/>
          <w:kern w:val="2"/>
        </w:rPr>
        <w:t>注：</w:t>
      </w:r>
      <w:r>
        <w:rPr>
          <w:rFonts w:hint="eastAsia" w:ascii="仿宋" w:hAnsi="仿宋" w:eastAsia="仿宋" w:cs="仿宋"/>
          <w:b/>
          <w:bCs/>
          <w:color w:val="auto"/>
          <w:kern w:val="2"/>
          <w:lang w:eastAsia="zh-CN"/>
        </w:rPr>
        <w:t>供应商</w:t>
      </w:r>
      <w:r>
        <w:rPr>
          <w:rFonts w:hint="eastAsia" w:ascii="仿宋" w:hAnsi="仿宋" w:eastAsia="仿宋" w:cs="仿宋"/>
          <w:b/>
          <w:bCs/>
          <w:color w:val="auto"/>
          <w:kern w:val="2"/>
        </w:rPr>
        <w:t>有一项未通过不得参与下阶段评审，视为废标。请</w:t>
      </w:r>
      <w:r>
        <w:rPr>
          <w:rFonts w:hint="eastAsia" w:ascii="仿宋" w:hAnsi="仿宋" w:eastAsia="仿宋" w:cs="仿宋"/>
          <w:b/>
          <w:bCs/>
          <w:color w:val="auto"/>
          <w:kern w:val="2"/>
          <w:lang w:eastAsia="zh-CN"/>
        </w:rPr>
        <w:t>供应商</w:t>
      </w:r>
      <w:r>
        <w:rPr>
          <w:rFonts w:hint="eastAsia" w:ascii="仿宋" w:hAnsi="仿宋" w:eastAsia="仿宋" w:cs="仿宋"/>
          <w:b/>
          <w:bCs/>
          <w:color w:val="auto"/>
          <w:kern w:val="2"/>
        </w:rPr>
        <w:t>特别注意！</w:t>
      </w:r>
    </w:p>
    <w:p>
      <w:pPr>
        <w:pStyle w:val="29"/>
        <w:spacing w:before="0" w:beforeAutospacing="0" w:after="0" w:afterAutospacing="0" w:line="360" w:lineRule="auto"/>
        <w:ind w:firstLine="480" w:firstLineChars="200"/>
        <w:jc w:val="both"/>
        <w:rPr>
          <w:rFonts w:hint="eastAsia" w:ascii="仿宋" w:hAnsi="仿宋" w:eastAsia="仿宋" w:cs="仿宋"/>
          <w:color w:val="auto"/>
          <w:kern w:val="2"/>
          <w:lang w:eastAsia="zh-CN"/>
        </w:rPr>
      </w:pPr>
      <w:r>
        <w:rPr>
          <w:rFonts w:hint="eastAsia" w:ascii="仿宋" w:hAnsi="仿宋" w:eastAsia="仿宋" w:cs="仿宋"/>
          <w:color w:val="auto"/>
          <w:kern w:val="2"/>
        </w:rPr>
        <w:t>附表2、</w:t>
      </w:r>
      <w:r>
        <w:rPr>
          <w:rFonts w:hint="eastAsia" w:ascii="仿宋" w:hAnsi="仿宋" w:eastAsia="仿宋" w:cs="仿宋"/>
          <w:color w:val="auto"/>
          <w:kern w:val="2"/>
          <w:lang w:eastAsia="zh-CN"/>
        </w:rPr>
        <w:t>符合性审查</w:t>
      </w:r>
      <w:r>
        <w:rPr>
          <w:rFonts w:hint="eastAsia" w:ascii="仿宋" w:hAnsi="仿宋" w:eastAsia="仿宋" w:cs="仿宋"/>
          <w:b w:val="0"/>
          <w:bCs w:val="0"/>
          <w:color w:val="auto"/>
          <w:kern w:val="2"/>
          <w:lang w:eastAsia="zh-CN"/>
        </w:rPr>
        <w:t>标准如下表：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审查因素</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授权委托书</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谈判保证金</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谈判保证金是否按谈判文件要求缴纳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响应报价</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响应报价未超过采购文件中规定的项目/采购包预算金额或者项目/采购包最高限价</w:t>
            </w:r>
            <w:bookmarkStart w:id="580" w:name="_GoBack"/>
            <w:bookmarkEnd w:id="5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报价唯一性</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响应文件未出现可选择性或可调整的报价（采购文件另有规定的除外）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响应（谈判）有效期</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响应文件中承诺的响应有效期满足采购文件中载明的响应有效期的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采购需求的响应</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技术参数未附有明显不满足采购人实用效果或使用需求的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质量标准</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符合国家、行业技术标准的要求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加改装方案</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加改装方案是否提供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9</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合同履行期限（供货时间）</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合同履行期限（供货时间）符合采购文件的要求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附加条件</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w:t>
            </w:r>
          </w:p>
        </w:tc>
        <w:tc>
          <w:tcPr>
            <w:tcW w:w="21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其他</w:t>
            </w:r>
          </w:p>
        </w:tc>
        <w:tc>
          <w:tcPr>
            <w:tcW w:w="557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响应文件中不存在违反国家法律、法规和采购文件规定的其他无效情形</w:t>
            </w:r>
          </w:p>
        </w:tc>
      </w:tr>
    </w:tbl>
    <w:p>
      <w:pPr>
        <w:pStyle w:val="11"/>
        <w:ind w:firstLine="482"/>
        <w:rPr>
          <w:rFonts w:hint="eastAsia" w:ascii="仿宋" w:hAnsi="仿宋" w:eastAsia="仿宋" w:cs="仿宋"/>
          <w:b/>
          <w:bCs/>
          <w:color w:val="auto"/>
          <w:sz w:val="44"/>
          <w:szCs w:val="44"/>
        </w:rPr>
      </w:pPr>
      <w:bookmarkStart w:id="466" w:name="_Toc5704"/>
      <w:bookmarkStart w:id="467" w:name="_Toc14741"/>
      <w:bookmarkStart w:id="468" w:name="_Toc8821"/>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有一项未通过不得参与下阶段评审，视为废标。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1"/>
        <w:rPr>
          <w:rFonts w:hint="eastAsia" w:ascii="仿宋" w:hAnsi="仿宋" w:eastAsia="仿宋" w:cs="仿宋"/>
          <w:b/>
          <w:bCs/>
          <w:color w:val="auto"/>
          <w:sz w:val="24"/>
          <w:szCs w:val="24"/>
          <w:highlight w:val="none"/>
          <w:lang w:val="en-US" w:eastAsia="zh-CN"/>
        </w:rPr>
      </w:pPr>
      <w:bookmarkStart w:id="469" w:name="_Toc25305"/>
      <w:r>
        <w:rPr>
          <w:rFonts w:hint="eastAsia" w:ascii="仿宋" w:hAnsi="仿宋" w:eastAsia="仿宋" w:cs="仿宋"/>
          <w:b/>
          <w:bCs/>
          <w:color w:val="auto"/>
          <w:sz w:val="24"/>
          <w:szCs w:val="24"/>
          <w:highlight w:val="none"/>
          <w:lang w:val="en-US" w:eastAsia="zh-CN"/>
        </w:rPr>
        <w:t>三、响应文件澄清</w:t>
      </w:r>
      <w:bookmarkEnd w:id="466"/>
      <w:bookmarkEnd w:id="467"/>
      <w:bookmarkEnd w:id="468"/>
      <w:bookmarkEnd w:id="469"/>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对于响应文件中含义不明确、同类问题表述不一致或者有明显文字和计算错误的内容，谈判小组可在评审过程中发起在线澄清，要求供应商针对价格或内容做出必要的澄清、说明或补正。代理机构可根据开启环节记录的授权代表人联系方式发送短信提醒或电话告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3.2供应商需登录电子招投标系统平台项目采购系统的等候大厅，在规定时间内完成澄清（响应），并加盖电子印章。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bookmarkStart w:id="470" w:name="_Toc8955"/>
      <w:r>
        <w:rPr>
          <w:rFonts w:hint="eastAsia" w:ascii="仿宋" w:hAnsi="仿宋" w:eastAsia="仿宋" w:cs="仿宋"/>
          <w:b w:val="0"/>
          <w:bCs w:val="0"/>
          <w:color w:val="auto"/>
          <w:sz w:val="24"/>
          <w:szCs w:val="24"/>
          <w:highlight w:val="none"/>
          <w:lang w:val="en-US" w:eastAsia="zh-CN"/>
        </w:rPr>
        <w:t>3.4谈判小组不接受供应商主动提出的澄清、说明或补正。</w:t>
      </w:r>
      <w:bookmarkEnd w:id="47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3.5谈判小组对供应商提交的澄清、说明或补正有疑问的，可以要求供应商进一步澄清、说明或补正。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1"/>
        <w:rPr>
          <w:rFonts w:hint="eastAsia" w:ascii="仿宋" w:hAnsi="仿宋" w:eastAsia="仿宋" w:cs="仿宋"/>
          <w:b/>
          <w:bCs/>
          <w:color w:val="auto"/>
          <w:sz w:val="24"/>
          <w:szCs w:val="24"/>
          <w:highlight w:val="none"/>
          <w:lang w:val="en-US" w:eastAsia="zh-CN"/>
        </w:rPr>
      </w:pPr>
      <w:bookmarkStart w:id="471" w:name="_Toc12696"/>
      <w:bookmarkStart w:id="472" w:name="_Toc799"/>
      <w:r>
        <w:rPr>
          <w:rFonts w:hint="eastAsia" w:ascii="仿宋" w:hAnsi="仿宋" w:eastAsia="仿宋" w:cs="仿宋"/>
          <w:b/>
          <w:bCs/>
          <w:color w:val="auto"/>
          <w:sz w:val="24"/>
          <w:szCs w:val="24"/>
          <w:highlight w:val="none"/>
          <w:lang w:val="en-US" w:eastAsia="zh-CN"/>
        </w:rPr>
        <w:t>四、价格修正</w:t>
      </w:r>
      <w:bookmarkEnd w:id="471"/>
      <w:bookmarkEnd w:id="472"/>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bookmarkStart w:id="473" w:name="_Toc19109"/>
      <w:r>
        <w:rPr>
          <w:rFonts w:hint="eastAsia" w:ascii="仿宋" w:hAnsi="仿宋" w:eastAsia="仿宋" w:cs="仿宋"/>
          <w:b w:val="0"/>
          <w:bCs w:val="0"/>
          <w:color w:val="auto"/>
          <w:sz w:val="24"/>
          <w:szCs w:val="24"/>
          <w:highlight w:val="none"/>
          <w:lang w:val="en-US" w:eastAsia="zh-CN"/>
        </w:rPr>
        <w:t>4.1对报价的计算错误按以下原则修正：</w:t>
      </w:r>
      <w:bookmarkEnd w:id="473"/>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（1）响应文件中报价一览表（报价表）内容与响应文件中相应内容不一致的，以报价一览表（报价表）为准；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（3）单价金额小数点或者百分比有明显错位的，以报价一览表的总价为准，并修改单价；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（4）总价金额与按单价汇总金额不一致的，以单价金额计算结果为准。但是单价金额计算结果超过预算价的，对其按无效响应处理；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（5）若投标客户端上传的电子报价数据与电子响应文件价格不一致的，以电子报价数据为准。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注：同时出现两种以上不一致的，按照前款规定的顺序在系统上进行价格澄清。澄清后的价格加盖电子印章确认后产生约束力，但不得超出响应文件的范围或者改变响应文件的实质性内容，供应商不确认的，其</w:t>
      </w:r>
      <w:r>
        <w:rPr>
          <w:rFonts w:hint="eastAsia" w:ascii="仿宋" w:hAnsi="仿宋" w:eastAsia="仿宋" w:cs="仿宋"/>
          <w:b/>
          <w:bCs/>
          <w:color w:val="auto"/>
          <w:sz w:val="24"/>
          <w:szCs w:val="24"/>
          <w:highlight w:val="none"/>
          <w:lang w:val="en-US" w:eastAsia="zh-CN"/>
        </w:rPr>
        <w:t>响应无效</w:t>
      </w:r>
      <w:r>
        <w:rPr>
          <w:rFonts w:hint="eastAsia" w:ascii="仿宋" w:hAnsi="仿宋" w:eastAsia="仿宋" w:cs="仿宋"/>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1"/>
        <w:rPr>
          <w:rFonts w:hint="eastAsia" w:ascii="仿宋" w:hAnsi="仿宋" w:eastAsia="仿宋" w:cs="仿宋"/>
          <w:b/>
          <w:bCs/>
          <w:color w:val="auto"/>
          <w:sz w:val="24"/>
          <w:szCs w:val="24"/>
          <w:highlight w:val="none"/>
          <w:lang w:val="en-US" w:eastAsia="zh-CN"/>
        </w:rPr>
      </w:pPr>
      <w:bookmarkStart w:id="474" w:name="_Toc3926"/>
      <w:bookmarkStart w:id="475" w:name="_Toc18652"/>
      <w:bookmarkStart w:id="476" w:name="_Toc13638"/>
      <w:bookmarkStart w:id="477" w:name="_Toc23297"/>
      <w:r>
        <w:rPr>
          <w:rFonts w:hint="eastAsia" w:ascii="仿宋" w:hAnsi="仿宋" w:eastAsia="仿宋" w:cs="仿宋"/>
          <w:b/>
          <w:bCs/>
          <w:color w:val="auto"/>
          <w:sz w:val="24"/>
          <w:szCs w:val="24"/>
          <w:highlight w:val="none"/>
          <w:lang w:val="en-US" w:eastAsia="zh-CN"/>
        </w:rPr>
        <w:t>五、最后报价</w:t>
      </w:r>
      <w:bookmarkEnd w:id="474"/>
      <w:bookmarkEnd w:id="475"/>
      <w:bookmarkEnd w:id="476"/>
      <w:bookmarkEnd w:id="47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5.1谈判结束后，谈判小组应当要求所有实质性响应的供应商在规定时间内提交最后报价。最后报价是供应商响应文件的有效组成部分。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5.2已提交响应文件的供应商，在提交最后报价之前，可以根据谈判情况退出谈判。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5.3除法规规定的特殊性情形外，提交最后报价的供应商不得少于3家。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bookmarkStart w:id="478" w:name="_Toc25770"/>
      <w:bookmarkStart w:id="479" w:name="_Toc22743"/>
      <w:r>
        <w:rPr>
          <w:rFonts w:hint="eastAsia" w:ascii="仿宋" w:hAnsi="仿宋" w:eastAsia="仿宋" w:cs="仿宋"/>
          <w:b/>
          <w:bCs/>
          <w:color w:val="auto"/>
          <w:sz w:val="24"/>
          <w:szCs w:val="24"/>
          <w:highlight w:val="none"/>
          <w:lang w:val="en-US" w:eastAsia="zh-CN"/>
        </w:rPr>
        <w:t>六、谈判失败条件</w:t>
      </w:r>
      <w:bookmarkEnd w:id="478"/>
      <w:bookmarkEnd w:id="479"/>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color w:val="auto"/>
          <w:sz w:val="24"/>
          <w:highlight w:val="none"/>
        </w:rPr>
      </w:pPr>
      <w:bookmarkStart w:id="480" w:name="_Toc20037"/>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.1无效</w:t>
      </w:r>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条款</w:t>
      </w:r>
      <w:bookmarkEnd w:id="480"/>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未按要求交纳</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保证金的。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供应商在报价时采用选择性报价的。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供应商不具备</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供应商的报价超过了采购预算或最高限价的。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未通过符合性检查的。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不符合</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文件中规定的其他实质性要求和条件的（本</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文件中标*条款为实质性要求和条件）。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供应商被“信用中国”网站（www.creditchina.gov.cn）、“中国政府采购网（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）”列入失信被执行人或重大税收违法案件当事人名单或政府采购严重失信行为记录名单。</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小组认为供应商的报价明显低于其他通过符合性审查供应商的报价，有可能影响产品质量或者不能诚信履约的，将要求其在合理的时间内作出说明，必要时提交相关证明材料；供应商不能证明其报价合理性的，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小组应当将其作为无效</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本项目采购产品被财政部、国家发改委、生态环境部等列入“节能产品品目清单”、“环境标志产品品目清单”强制采购范围，而供应商所投标产品不在强制采购范围内的。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本项目采购产品中若有信息安全产品的，须提供由中国信息安全认证中心按国家标准认证颁发的有效认证证书。</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其他法律、法规及本</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文件规定的属无效</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color w:val="auto"/>
          <w:sz w:val="24"/>
          <w:highlight w:val="none"/>
        </w:rPr>
      </w:pPr>
      <w:bookmarkStart w:id="481" w:name="_Toc28192"/>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.2废标条款：</w:t>
      </w:r>
      <w:bookmarkEnd w:id="481"/>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符合专业条件的供应商或者对</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文件作实质响应的供应商不足三家的，按政府采购相关规定执行。</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小组认定</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文件存在歧义、重大缺陷导致评审工作无法进行。</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响应文件递交截止时间后参加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的供应商不足三家的处理。</w:t>
      </w:r>
    </w:p>
    <w:p>
      <w:pPr>
        <w:pStyle w:val="30"/>
        <w:keepNext w:val="0"/>
        <w:keepLines w:val="0"/>
        <w:pageBreakBefore w:val="0"/>
        <w:widowControl w:val="0"/>
        <w:numPr>
          <w:ilvl w:val="0"/>
          <w:numId w:val="0"/>
        </w:numPr>
        <w:kinsoku/>
        <w:wordWrap/>
        <w:overflowPunct/>
        <w:topLinePunct w:val="0"/>
        <w:bidi w:val="0"/>
        <w:adjustRightInd/>
        <w:snapToGrid/>
        <w:spacing w:line="360" w:lineRule="auto"/>
        <w:ind w:leftChars="0" w:right="0" w:rightChars="0"/>
        <w:jc w:val="both"/>
        <w:textAlignment w:val="auto"/>
        <w:outlineLvl w:val="1"/>
        <w:rPr>
          <w:rFonts w:hint="eastAsia" w:ascii="仿宋" w:hAnsi="仿宋" w:eastAsia="仿宋" w:cs="仿宋"/>
          <w:b/>
          <w:bCs/>
          <w:color w:val="auto"/>
          <w:highlight w:val="none"/>
          <w:lang w:val="en-US" w:eastAsia="zh-CN"/>
        </w:rPr>
      </w:pPr>
      <w:bookmarkStart w:id="482" w:name="_Toc28016"/>
      <w:bookmarkStart w:id="483" w:name="_Toc26448"/>
      <w:r>
        <w:rPr>
          <w:rFonts w:hint="eastAsia" w:ascii="仿宋" w:hAnsi="仿宋" w:eastAsia="仿宋" w:cs="仿宋"/>
          <w:b/>
          <w:bCs/>
          <w:color w:val="auto"/>
          <w:highlight w:val="none"/>
          <w:lang w:val="en-US" w:eastAsia="zh-CN"/>
        </w:rPr>
        <w:t>七、详细评审标准</w:t>
      </w:r>
      <w:bookmarkEnd w:id="482"/>
      <w:bookmarkEnd w:id="48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仿宋" w:hAnsi="仿宋" w:eastAsia="仿宋" w:cs="仿宋"/>
          <w:b/>
          <w:bCs/>
          <w:color w:val="auto"/>
          <w:sz w:val="24"/>
          <w:szCs w:val="24"/>
          <w:highlight w:val="none"/>
          <w:lang w:val="en-US" w:eastAsia="zh-CN"/>
        </w:rPr>
      </w:pPr>
      <w:bookmarkStart w:id="484" w:name="_Toc9703"/>
      <w:r>
        <w:rPr>
          <w:rFonts w:hint="eastAsia" w:ascii="仿宋" w:hAnsi="仿宋" w:eastAsia="仿宋" w:cs="仿宋"/>
          <w:b/>
          <w:bCs/>
          <w:color w:val="auto"/>
          <w:sz w:val="24"/>
          <w:szCs w:val="24"/>
          <w:highlight w:val="none"/>
          <w:lang w:val="en-US" w:eastAsia="zh-CN"/>
        </w:rPr>
        <w:t>7.1评审标准中应考虑下列因素：</w:t>
      </w:r>
      <w:bookmarkEnd w:id="4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color w:val="auto"/>
          <w:sz w:val="24"/>
          <w:szCs w:val="24"/>
          <w:highlight w:val="none"/>
          <w:u w:val="single"/>
          <w:lang w:val="en-US" w:eastAsia="zh-CN"/>
        </w:rPr>
        <w:t xml:space="preserve"> 10 % </w:t>
      </w:r>
      <w:r>
        <w:rPr>
          <w:rFonts w:hint="eastAsia" w:ascii="仿宋" w:hAnsi="仿宋" w:eastAsia="仿宋" w:cs="仿宋"/>
          <w:color w:val="auto"/>
          <w:sz w:val="24"/>
          <w:szCs w:val="24"/>
          <w:highlight w:val="none"/>
          <w:lang w:val="en-US" w:eastAsia="zh-CN"/>
        </w:rPr>
        <w:t>后参与评审。对于同时属于小微企业、监狱企业或残疾人福利性单位的，不重复进行最后报价扣除。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（2）联合协议中约定，小型、微型企业和监狱企业的协议合同金额占到联合体协议合同总金额30%以上的，可给予联合体</w:t>
      </w:r>
      <w:r>
        <w:rPr>
          <w:rFonts w:hint="eastAsia" w:ascii="仿宋" w:hAnsi="仿宋" w:eastAsia="仿宋" w:cs="仿宋"/>
          <w:color w:val="auto"/>
          <w:sz w:val="24"/>
          <w:szCs w:val="24"/>
          <w:highlight w:val="none"/>
          <w:u w:val="single"/>
          <w:lang w:val="en-US" w:eastAsia="zh-CN"/>
        </w:rPr>
        <w:t xml:space="preserve"> 4 % </w:t>
      </w:r>
      <w:r>
        <w:rPr>
          <w:rFonts w:hint="eastAsia" w:ascii="仿宋" w:hAnsi="仿宋" w:eastAsia="仿宋" w:cs="仿宋"/>
          <w:color w:val="auto"/>
          <w:sz w:val="24"/>
          <w:szCs w:val="24"/>
          <w:highlight w:val="none"/>
          <w:lang w:val="en-US" w:eastAsia="zh-CN"/>
        </w:rPr>
        <w:t>的最后报价扣除。联合体各方均为小型、微型企业和监狱企业的，联合体视同为小型、微型企业和监狱企业。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（3）供应商所投产品如被列入财政部与国家主管部门颁发的节能产品目录或环境标志产品目录，应提供相关证明，在评标时予以优先采购，具体优惠措施为：</w:t>
      </w:r>
      <w:r>
        <w:rPr>
          <w:rFonts w:hint="eastAsia" w:ascii="仿宋" w:hAnsi="仿宋" w:eastAsia="仿宋" w:cs="仿宋"/>
          <w:color w:val="auto"/>
          <w:sz w:val="24"/>
          <w:szCs w:val="24"/>
          <w:highlight w:val="none"/>
          <w:u w:val="single"/>
          <w:lang w:val="en-US" w:eastAsia="zh-CN"/>
        </w:rPr>
        <w:t>综合得分相同时排名优先。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（4）供应商所投产品列入无线局域网产品清单，应提供相关证明，在评标时予以优先采购，具体优惠措施为：</w:t>
      </w:r>
      <w:r>
        <w:rPr>
          <w:rFonts w:hint="eastAsia" w:ascii="仿宋" w:hAnsi="仿宋" w:eastAsia="仿宋" w:cs="仿宋"/>
          <w:color w:val="auto"/>
          <w:sz w:val="24"/>
          <w:szCs w:val="24"/>
          <w:highlight w:val="none"/>
          <w:u w:val="single"/>
          <w:lang w:val="en-US" w:eastAsia="zh-CN"/>
        </w:rPr>
        <w:t>综合得分相同时排名优先。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（5）如采购人所采购产品为政府强制采购的节能产品，供应商所投产品的品牌及型号必须为清单中有效期内产品并提供证明文件，否则其响应将作为无效响应被拒绝。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（6）根据《关于运用政府采购政策支持脱贫攻坚的通知》（财库〔2019〕27号）的规定，采购人采购农副产品的，对产地在国家级贫困地区的农副产品的优先采购措施：</w:t>
      </w:r>
      <w:r>
        <w:rPr>
          <w:rFonts w:hint="eastAsia" w:ascii="仿宋" w:hAnsi="仿宋" w:eastAsia="仿宋" w:cs="仿宋"/>
          <w:color w:val="auto"/>
          <w:sz w:val="24"/>
          <w:szCs w:val="24"/>
          <w:highlight w:val="none"/>
          <w:u w:val="single"/>
          <w:lang w:val="en-US" w:eastAsia="zh-CN"/>
        </w:rPr>
        <w:t>综合得分相同时排名优先。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仿宋" w:hAnsi="仿宋" w:eastAsia="仿宋" w:cs="仿宋"/>
          <w:b/>
          <w:bCs/>
          <w:color w:val="auto"/>
          <w:sz w:val="24"/>
          <w:szCs w:val="24"/>
          <w:highlight w:val="none"/>
          <w:lang w:val="en-US" w:eastAsia="zh-CN"/>
        </w:rPr>
      </w:pPr>
      <w:bookmarkStart w:id="485" w:name="_Toc3672"/>
      <w:r>
        <w:rPr>
          <w:rFonts w:hint="eastAsia" w:ascii="仿宋" w:hAnsi="仿宋" w:eastAsia="仿宋" w:cs="仿宋"/>
          <w:b/>
          <w:bCs/>
          <w:color w:val="auto"/>
          <w:sz w:val="24"/>
          <w:szCs w:val="24"/>
          <w:highlight w:val="none"/>
          <w:lang w:val="en-US" w:eastAsia="zh-CN"/>
        </w:rPr>
        <w:t>7.2同品牌同型号处理办法：</w:t>
      </w:r>
      <w:bookmarkEnd w:id="48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7.2.1如采用最低评标办法，则：提供相同品牌相同型号产品的不同供应商以其中通过资格审查、符合性审查且最后报价最低的参加评标；报价相同的，由谈判小组采取随机抽取方式确定，其他同品牌同型号供应商不作为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7.2.2如采用综合评标法，则：提供相同品牌相同型号产品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谈判小组采取随机抽取方式确定，其他同品牌同型号供应商不作为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7.2.3如一个分包内包含多种产品的，采购人或采购代理机构将在</w:t>
      </w:r>
      <w:r>
        <w:rPr>
          <w:rFonts w:hint="eastAsia" w:ascii="仿宋" w:hAnsi="仿宋" w:eastAsia="仿宋" w:cs="仿宋"/>
          <w:color w:val="auto"/>
          <w:sz w:val="24"/>
          <w:szCs w:val="24"/>
          <w:highlight w:val="none"/>
          <w:u w:val="single"/>
          <w:lang w:val="en-US" w:eastAsia="zh-CN"/>
        </w:rPr>
        <w:t>供应商须知前附表</w:t>
      </w:r>
      <w:r>
        <w:rPr>
          <w:rFonts w:hint="eastAsia" w:ascii="仿宋" w:hAnsi="仿宋" w:eastAsia="仿宋" w:cs="仿宋"/>
          <w:color w:val="auto"/>
          <w:sz w:val="24"/>
          <w:szCs w:val="24"/>
          <w:highlight w:val="none"/>
          <w:lang w:val="en-US" w:eastAsia="zh-CN"/>
        </w:rPr>
        <w:t>中载明核心产品，多家供应商提供的所有核心产品品牌型号均相同的，按本章评审方法和评审标准第11.2条规定处理。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仿宋" w:hAnsi="仿宋" w:eastAsia="仿宋" w:cs="仿宋"/>
          <w:b/>
          <w:bCs/>
          <w:color w:val="auto"/>
          <w:sz w:val="24"/>
          <w:szCs w:val="24"/>
          <w:highlight w:val="none"/>
          <w:lang w:val="en-US" w:eastAsia="zh-CN"/>
        </w:rPr>
      </w:pPr>
      <w:bookmarkStart w:id="486" w:name="_Toc16469"/>
      <w:r>
        <w:rPr>
          <w:rFonts w:hint="eastAsia" w:ascii="仿宋" w:hAnsi="仿宋" w:eastAsia="仿宋" w:cs="仿宋"/>
          <w:b/>
          <w:bCs/>
          <w:color w:val="auto"/>
          <w:sz w:val="24"/>
          <w:szCs w:val="24"/>
          <w:highlight w:val="none"/>
          <w:lang w:val="en-US" w:eastAsia="zh-CN"/>
        </w:rPr>
        <w:t>7.3确定中标候选人名单</w:t>
      </w:r>
      <w:bookmarkEnd w:id="4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7.3.1采用综合评分法时，评标结果按评审后得分由高到低顺序排列。评审得分最高的供应商为排名第一的成交候选人。综合评审得分相同的,最后报价最低优先，如最后报价相同则技术部分得分最高优先，最后报价相同且技术部分得分也相同的，由谈判小组现场采取随机抽取方式确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7.3.2采用最低评标价法时，评标结果按最后报价由低到高顺序排列。响应文件满足采购文件全部实质性要求且最后报价最低的供应商为排名第一的成交候选人。最后报价相同的谈判小组随机抽取的方式确定排名。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7.3.3谈判小组要对评分汇总情况进行复核，特别是对排名第一的、报价最低的、响应文件被认定为无效的情形进行重点复核。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7.3.4谈判小组将根据各供应商的评标排序，依次推荐本项目（各采购包）的成交候选人，起草并签署评标报告。本项目（各采购包）谈判小组共（各）推荐三名成交候选人。</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pStyle w:val="30"/>
        <w:numPr>
          <w:ilvl w:val="0"/>
          <w:numId w:val="0"/>
        </w:numPr>
        <w:bidi w:val="0"/>
        <w:spacing w:line="360" w:lineRule="auto"/>
        <w:ind w:leftChars="100" w:right="0" w:rightChars="0"/>
        <w:jc w:val="center"/>
        <w:outlineLvl w:val="0"/>
        <w:rPr>
          <w:rFonts w:hint="eastAsia" w:ascii="仿宋" w:hAnsi="仿宋" w:eastAsia="仿宋" w:cs="仿宋"/>
          <w:b/>
          <w:bCs/>
          <w:color w:val="auto"/>
          <w:sz w:val="36"/>
          <w:szCs w:val="36"/>
          <w:highlight w:val="none"/>
          <w:lang w:val="en-US" w:eastAsia="zh-CN"/>
        </w:rPr>
      </w:pPr>
      <w:bookmarkStart w:id="487" w:name="_Toc31060"/>
      <w:bookmarkStart w:id="488" w:name="_Toc8937"/>
      <w:bookmarkStart w:id="489" w:name="_Toc7690"/>
      <w:bookmarkStart w:id="490" w:name="_Toc8350"/>
      <w:r>
        <w:rPr>
          <w:rFonts w:hint="eastAsia" w:ascii="仿宋" w:hAnsi="仿宋" w:eastAsia="仿宋" w:cs="仿宋"/>
          <w:b/>
          <w:bCs/>
          <w:color w:val="auto"/>
          <w:sz w:val="36"/>
          <w:szCs w:val="36"/>
          <w:highlight w:val="none"/>
          <w:lang w:val="en-US" w:eastAsia="zh-CN"/>
        </w:rPr>
        <w:t>第六章响应文件格式</w:t>
      </w:r>
      <w:bookmarkEnd w:id="487"/>
      <w:bookmarkEnd w:id="488"/>
      <w:bookmarkEnd w:id="489"/>
      <w:bookmarkEnd w:id="490"/>
    </w:p>
    <w:p>
      <w:pPr>
        <w:pStyle w:val="30"/>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供应商编制文件须知</w:t>
      </w:r>
    </w:p>
    <w:p>
      <w:pPr>
        <w:pStyle w:val="30"/>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1.为保证评标工作的顺利进行，各供应商需参照如下的格式，认真进行响应文件的编写工作。需建立详细的目录。</w:t>
      </w:r>
    </w:p>
    <w:p>
      <w:pPr>
        <w:pStyle w:val="30"/>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2.各供应商提交文件中涉及商业机密的，应明确标明，采购人及最终用户将给予保密处理，否则视为公开资料。</w:t>
      </w:r>
    </w:p>
    <w:p>
      <w:pPr>
        <w:pStyle w:val="30"/>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全部声明和问题的回答及所附材料必须是真实的、准确的和完整的。</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keepNext w:val="0"/>
        <w:keepLines w:val="0"/>
        <w:widowControl/>
        <w:suppressLineNumbers w:val="0"/>
        <w:jc w:val="left"/>
        <w:outlineLvl w:val="1"/>
        <w:rPr>
          <w:rFonts w:hint="default" w:ascii="仿宋" w:hAnsi="仿宋" w:eastAsia="仿宋" w:cs="仿宋"/>
          <w:b/>
          <w:bCs/>
          <w:color w:val="auto"/>
          <w:kern w:val="0"/>
          <w:sz w:val="24"/>
          <w:szCs w:val="24"/>
          <w:highlight w:val="none"/>
          <w:lang w:val="en-US" w:eastAsia="zh-CN" w:bidi="ar"/>
        </w:rPr>
      </w:pPr>
      <w:bookmarkStart w:id="491" w:name="_Toc24875"/>
      <w:bookmarkStart w:id="492" w:name="_Toc13431"/>
      <w:r>
        <w:rPr>
          <w:rFonts w:hint="eastAsia" w:ascii="仿宋" w:hAnsi="仿宋" w:eastAsia="仿宋" w:cs="仿宋"/>
          <w:b/>
          <w:bCs/>
          <w:color w:val="auto"/>
          <w:kern w:val="0"/>
          <w:sz w:val="24"/>
          <w:szCs w:val="24"/>
          <w:highlight w:val="none"/>
          <w:lang w:val="en-US" w:eastAsia="zh-CN" w:bidi="ar"/>
        </w:rPr>
        <w:t>响应文件封面（参考格式）</w:t>
      </w:r>
      <w:bookmarkEnd w:id="491"/>
      <w:bookmarkEnd w:id="492"/>
      <w:r>
        <w:rPr>
          <w:rFonts w:hint="eastAsia" w:ascii="仿宋" w:hAnsi="仿宋" w:eastAsia="仿宋" w:cs="仿宋"/>
          <w:b/>
          <w:bCs/>
          <w:color w:val="auto"/>
          <w:kern w:val="0"/>
          <w:sz w:val="24"/>
          <w:szCs w:val="24"/>
          <w:highlight w:val="none"/>
          <w:lang w:val="en-US" w:eastAsia="zh-CN" w:bidi="ar"/>
        </w:rPr>
        <w:t xml:space="preserve">                              </w:t>
      </w:r>
      <w:r>
        <w:rPr>
          <w:rFonts w:hint="eastAsia" w:ascii="仿宋" w:hAnsi="仿宋" w:eastAsia="仿宋" w:cs="仿宋"/>
          <w:b/>
          <w:bCs/>
          <w:color w:val="auto"/>
          <w:kern w:val="0"/>
          <w:sz w:val="32"/>
          <w:szCs w:val="32"/>
          <w:highlight w:val="none"/>
          <w:lang w:val="en-US" w:eastAsia="zh-CN" w:bidi="ar"/>
        </w:rPr>
        <w:t>正本（或副本）</w:t>
      </w:r>
    </w:p>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警用直升机外吊挂装置加改装项目</w:t>
      </w:r>
    </w:p>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项目编号：SSQYZB-CG2023(AN)</w:t>
      </w:r>
      <w:r>
        <w:rPr>
          <w:rFonts w:hint="eastAsia" w:ascii="仿宋" w:hAnsi="仿宋" w:eastAsia="仿宋" w:cs="仿宋"/>
          <w:b/>
          <w:bCs/>
          <w:color w:val="auto"/>
          <w:sz w:val="28"/>
          <w:szCs w:val="28"/>
          <w:highlight w:val="none"/>
          <w:lang w:val="en-US" w:eastAsia="zh-CN"/>
        </w:rPr>
        <w:t>345</w:t>
      </w:r>
    </w:p>
    <w:p>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pPr>
        <w:pStyle w:val="31"/>
        <w:ind w:left="0" w:leftChars="0" w:firstLine="0" w:firstLineChars="0"/>
        <w:rPr>
          <w:rFonts w:hint="eastAsia" w:ascii="仿宋" w:hAnsi="仿宋" w:eastAsia="仿宋" w:cs="仿宋"/>
          <w:color w:val="auto"/>
          <w:highlight w:val="none"/>
          <w:lang w:val="en-US" w:eastAsia="zh-CN"/>
        </w:rPr>
      </w:pPr>
    </w:p>
    <w:p>
      <w:pPr>
        <w:rPr>
          <w:rFonts w:hint="eastAsia" w:ascii="仿宋" w:hAnsi="仿宋" w:eastAsia="仿宋" w:cs="仿宋"/>
          <w:color w:val="auto"/>
          <w:highlight w:val="none"/>
          <w:lang w:val="en-US" w:eastAsia="zh-CN"/>
        </w:rPr>
      </w:pPr>
    </w:p>
    <w:p>
      <w:pPr>
        <w:pStyle w:val="31"/>
        <w:ind w:left="0" w:leftChars="0" w:firstLine="0" w:firstLineChars="0"/>
        <w:rPr>
          <w:rFonts w:hint="eastAsia" w:ascii="仿宋" w:hAnsi="仿宋" w:eastAsia="仿宋" w:cs="仿宋"/>
          <w:color w:val="auto"/>
          <w:highlight w:val="none"/>
          <w:lang w:val="en-US" w:eastAsia="zh-CN"/>
        </w:rPr>
      </w:pPr>
    </w:p>
    <w:p>
      <w:pPr>
        <w:rPr>
          <w:rFonts w:hint="eastAsia" w:ascii="仿宋" w:hAnsi="仿宋" w:eastAsia="仿宋" w:cs="仿宋"/>
          <w:color w:val="auto"/>
          <w:highlight w:val="none"/>
          <w:lang w:val="en-US" w:eastAsia="zh-CN"/>
        </w:rPr>
      </w:pPr>
    </w:p>
    <w:p>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b/>
          <w:bCs/>
          <w:color w:val="auto"/>
          <w:kern w:val="0"/>
          <w:sz w:val="84"/>
          <w:szCs w:val="84"/>
          <w:highlight w:val="none"/>
          <w:lang w:val="en-US" w:eastAsia="zh-CN" w:bidi="ar"/>
        </w:rPr>
        <w:t>响应文件</w:t>
      </w:r>
    </w:p>
    <w:p>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color w:val="auto"/>
          <w:highlight w:val="none"/>
        </w:rPr>
      </w:pPr>
    </w:p>
    <w:p>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pPr>
        <w:pStyle w:val="12"/>
        <w:rPr>
          <w:rFonts w:hint="eastAsia" w:ascii="仿宋" w:hAnsi="仿宋" w:eastAsia="仿宋" w:cs="仿宋"/>
          <w:color w:val="auto"/>
          <w:highlight w:val="none"/>
          <w:lang w:val="en-US" w:eastAsia="zh-CN"/>
        </w:rPr>
      </w:pPr>
    </w:p>
    <w:p>
      <w:pPr>
        <w:overflowPunct/>
        <w:bidi w:val="0"/>
        <w:spacing w:before="0" w:after="0" w:line="360" w:lineRule="auto"/>
        <w:ind w:left="0" w:leftChars="0" w:right="0" w:rightChars="0"/>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lang w:eastAsia="zh-CN"/>
        </w:rPr>
        <w:t>供应商</w:t>
      </w:r>
      <w:r>
        <w:rPr>
          <w:rFonts w:hint="eastAsia" w:ascii="仿宋" w:hAnsi="仿宋" w:eastAsia="仿宋" w:cs="仿宋"/>
          <w:b/>
          <w:bCs/>
          <w:color w:val="auto"/>
          <w:sz w:val="32"/>
          <w:szCs w:val="40"/>
          <w:highlight w:val="none"/>
        </w:rPr>
        <w:t>全称(加盖公章)：</w:t>
      </w:r>
    </w:p>
    <w:p>
      <w:pPr>
        <w:overflowPunct/>
        <w:bidi w:val="0"/>
        <w:spacing w:before="0" w:after="0" w:line="360" w:lineRule="auto"/>
        <w:ind w:left="0" w:leftChars="0" w:right="0" w:rightChars="0"/>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地址：</w:t>
      </w:r>
    </w:p>
    <w:p>
      <w:pPr>
        <w:overflowPunct/>
        <w:bidi w:val="0"/>
        <w:spacing w:before="0" w:after="0" w:line="360" w:lineRule="auto"/>
        <w:ind w:left="0" w:leftChars="0" w:right="0" w:rightChars="0"/>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联系人：</w:t>
      </w:r>
    </w:p>
    <w:p>
      <w:pPr>
        <w:overflowPunct/>
        <w:bidi w:val="0"/>
        <w:spacing w:before="0" w:after="0" w:line="360" w:lineRule="auto"/>
        <w:ind w:left="0" w:leftChars="0" w:right="0" w:rightChars="0"/>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联系电话：</w:t>
      </w:r>
    </w:p>
    <w:p>
      <w:pPr>
        <w:overflowPunct/>
        <w:bidi w:val="0"/>
        <w:spacing w:before="0" w:after="0" w:line="360" w:lineRule="auto"/>
        <w:ind w:left="0" w:leftChars="0" w:right="0" w:rightChars="0"/>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日期：</w:t>
      </w:r>
    </w:p>
    <w:p>
      <w:pPr>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br w:type="page"/>
      </w:r>
    </w:p>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bCs/>
          <w:color w:val="auto"/>
          <w:kern w:val="0"/>
          <w:sz w:val="32"/>
          <w:szCs w:val="32"/>
          <w:highlight w:val="none"/>
          <w:lang w:val="en-US" w:eastAsia="zh-CN" w:bidi="ar"/>
        </w:rPr>
      </w:pPr>
      <w:bookmarkStart w:id="493" w:name="_Toc21634"/>
      <w:r>
        <w:rPr>
          <w:rFonts w:hint="eastAsia" w:ascii="仿宋" w:hAnsi="仿宋" w:eastAsia="仿宋" w:cs="仿宋"/>
          <w:b/>
          <w:bCs/>
          <w:color w:val="auto"/>
          <w:kern w:val="0"/>
          <w:sz w:val="32"/>
          <w:szCs w:val="32"/>
          <w:highlight w:val="none"/>
          <w:lang w:val="en-US" w:eastAsia="zh-CN" w:bidi="ar"/>
        </w:rPr>
        <w:t>目录</w:t>
      </w:r>
      <w:bookmarkEnd w:id="493"/>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1响应函</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2报价一览表及报价明细表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2.1报价一览表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2.2报价明细表</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outlineLvl w:val="9"/>
        <w:rPr>
          <w:rFonts w:hint="eastAsia" w:ascii="仿宋" w:hAnsi="仿宋" w:eastAsia="仿宋" w:cs="仿宋"/>
          <w:b/>
          <w:bCs/>
          <w:color w:val="auto"/>
          <w:kern w:val="0"/>
          <w:sz w:val="24"/>
          <w:szCs w:val="24"/>
          <w:highlight w:val="none"/>
          <w:lang w:val="en-US" w:eastAsia="zh-CN" w:bidi="ar"/>
        </w:rPr>
      </w:pPr>
      <w:bookmarkStart w:id="494" w:name="_Toc13449"/>
      <w:r>
        <w:rPr>
          <w:rFonts w:hint="eastAsia" w:ascii="仿宋" w:hAnsi="仿宋" w:eastAsia="仿宋" w:cs="仿宋"/>
          <w:b/>
          <w:bCs/>
          <w:color w:val="auto"/>
          <w:kern w:val="0"/>
          <w:sz w:val="24"/>
          <w:szCs w:val="24"/>
          <w:highlight w:val="none"/>
          <w:lang w:val="en-US" w:eastAsia="zh-CN" w:bidi="ar"/>
        </w:rPr>
        <w:t>3法定代表人身份证明及授权委托书</w:t>
      </w:r>
      <w:bookmarkEnd w:id="494"/>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3.1法定代表人（单位负责人）身份证明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3.2授权委托书</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bookmarkStart w:id="495" w:name="_Toc6956"/>
      <w:r>
        <w:rPr>
          <w:rFonts w:hint="eastAsia" w:ascii="仿宋" w:hAnsi="仿宋" w:eastAsia="仿宋" w:cs="仿宋"/>
          <w:b/>
          <w:bCs/>
          <w:color w:val="auto"/>
          <w:highlight w:val="none"/>
          <w:lang w:val="en-US" w:eastAsia="zh-CN"/>
        </w:rPr>
        <w:t>4资格证明文件</w:t>
      </w:r>
      <w:bookmarkEnd w:id="495"/>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bookmarkStart w:id="496" w:name="_Toc15757"/>
      <w:r>
        <w:rPr>
          <w:rFonts w:hint="eastAsia" w:ascii="仿宋" w:hAnsi="仿宋" w:eastAsia="仿宋" w:cs="仿宋"/>
          <w:b w:val="0"/>
          <w:bCs w:val="0"/>
          <w:color w:val="auto"/>
          <w:kern w:val="0"/>
          <w:sz w:val="24"/>
          <w:szCs w:val="24"/>
          <w:highlight w:val="none"/>
          <w:lang w:val="en-US" w:eastAsia="zh-CN" w:bidi="ar"/>
        </w:rPr>
        <w:t>附件1-1具有独立承担民事责任的能力</w:t>
      </w:r>
      <w:bookmarkEnd w:id="496"/>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附件1-2具有良好的商业信誉和健全的财务会计制度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附件1-3具有履行合同所必需的设备和专业技术能力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附件1-4有依法缴纳税收和社会保障资金的良好纪录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附件1-5参加政府采购活动近3年内，在经营活动中没有重大违法记录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附件1-6本项目的特定资格要求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1-6.1承诺书</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1-6.2保密承诺书</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附件1-7落实政府采购政策需满足的资格要求（如有）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残疾人福利性单位声明函格式</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监狱企业证明文件（如有）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45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其它落实政府采购政策的资格要求（如有）</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5谈判保证金凭证/交款单据电子件</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6商务条款偏离表</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7技术参数、功能偏离表</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8拟投入本项目的人员一览表</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9供应商主要业绩</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10货物说明</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11响应产品附件、备品备件和专用工具清单（如有）</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12实施方案</w:t>
      </w:r>
    </w:p>
    <w:p>
      <w:pPr>
        <w:keepNext w:val="0"/>
        <w:keepLines w:val="0"/>
        <w:pageBreakBefore w:val="0"/>
        <w:kinsoku/>
        <w:wordWrap/>
        <w:overflowPunct/>
        <w:topLinePunct w:val="0"/>
        <w:autoSpaceDE/>
        <w:autoSpaceDN/>
        <w:bidi w:val="0"/>
        <w:adjustRightInd/>
        <w:snapToGrid/>
        <w:spacing w:before="0" w:after="0" w:line="400" w:lineRule="exact"/>
        <w:ind w:left="0" w:leftChars="0" w:right="0" w:right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13其他证明材料</w:t>
      </w:r>
    </w:p>
    <w:p>
      <w:pPr>
        <w:overflowPunct/>
        <w:bidi w:val="0"/>
        <w:spacing w:before="0" w:after="0" w:line="360" w:lineRule="auto"/>
        <w:ind w:left="0" w:leftChars="0" w:right="0" w:rightChars="0"/>
        <w:rPr>
          <w:rFonts w:hint="eastAsia" w:ascii="仿宋" w:hAnsi="仿宋" w:eastAsia="仿宋" w:cs="仿宋"/>
          <w:b/>
          <w:bCs/>
          <w:color w:val="auto"/>
          <w:highlight w:val="none"/>
          <w:lang w:eastAsia="zh-CN"/>
        </w:rPr>
      </w:pPr>
    </w:p>
    <w:p>
      <w:pPr>
        <w:overflowPunct/>
        <w:bidi w:val="0"/>
        <w:spacing w:before="0" w:after="0" w:line="360" w:lineRule="auto"/>
        <w:ind w:left="0" w:leftChars="0" w:right="0" w:rightChars="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说明：</w:t>
      </w:r>
      <w:r>
        <w:rPr>
          <w:rFonts w:hint="eastAsia" w:ascii="仿宋" w:hAnsi="仿宋" w:eastAsia="仿宋" w:cs="仿宋"/>
          <w:b/>
          <w:bCs/>
          <w:color w:val="auto"/>
          <w:highlight w:val="none"/>
        </w:rPr>
        <w:t>包括但不限于上述内容，格式自拟，但必须注明页码</w:t>
      </w:r>
      <w:r>
        <w:rPr>
          <w:rFonts w:hint="eastAsia" w:ascii="仿宋" w:hAnsi="仿宋" w:eastAsia="仿宋" w:cs="仿宋"/>
          <w:b/>
          <w:bCs/>
          <w:color w:val="auto"/>
          <w:highlight w:val="none"/>
          <w:lang w:eastAsia="zh-CN"/>
        </w:rPr>
        <w:t>。</w:t>
      </w:r>
    </w:p>
    <w:p>
      <w:pPr>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br w:type="page"/>
      </w:r>
    </w:p>
    <w:p>
      <w:pPr>
        <w:pStyle w:val="3"/>
        <w:jc w:val="center"/>
        <w:rPr>
          <w:rFonts w:hint="eastAsia" w:ascii="仿宋" w:hAnsi="仿宋" w:eastAsia="仿宋" w:cs="仿宋"/>
          <w:color w:val="auto"/>
        </w:rPr>
      </w:pPr>
      <w:bookmarkStart w:id="497" w:name="_Toc21567"/>
      <w:bookmarkStart w:id="498" w:name="_Toc2814"/>
      <w:bookmarkStart w:id="499" w:name="_Toc20863"/>
      <w:r>
        <w:rPr>
          <w:rFonts w:hint="eastAsia" w:ascii="仿宋" w:hAnsi="仿宋" w:eastAsia="仿宋" w:cs="仿宋"/>
          <w:b/>
          <w:bCs/>
          <w:color w:val="auto"/>
          <w:kern w:val="0"/>
          <w:sz w:val="32"/>
          <w:szCs w:val="32"/>
          <w:highlight w:val="none"/>
          <w:lang w:val="en-US" w:eastAsia="zh-CN" w:bidi="ar"/>
        </w:rPr>
        <w:t>1</w:t>
      </w:r>
      <w:r>
        <w:rPr>
          <w:rFonts w:hint="eastAsia" w:ascii="仿宋" w:hAnsi="仿宋" w:eastAsia="仿宋" w:cs="仿宋"/>
          <w:color w:val="auto"/>
        </w:rPr>
        <w:t>响应函</w:t>
      </w:r>
      <w:bookmarkEnd w:id="497"/>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(采购人或代理机构)：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我方己仔细研究了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项目名称)的谈判文件（项目编号：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）的全部内容，知悉参加谈判的风险，我方承诺接受谈判文件的全部条款且无任何异议。</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一、我方同意在谈判文件中规定的提交响应文件截止时间起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日内(响应</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文件有效期)遵守本响应文件中的承诺且在此期限期满之前均具有法律约束力。</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二、我方保证响应文件提供的数据和材料是真实、准确的。否则，愿承担《政府采购法》</w:t>
      </w:r>
      <w:r>
        <w:rPr>
          <w:rFonts w:hint="eastAsia" w:ascii="仿宋" w:hAnsi="仿宋" w:eastAsia="仿宋" w:cs="仿宋"/>
          <w:bCs/>
          <w:color w:val="auto"/>
          <w:sz w:val="24"/>
          <w:szCs w:val="24"/>
        </w:rPr>
        <w:t>第七十七条规定的法律责任。</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三、我方愿意向贵方提供任何与本项采购有关的数据、情况和技术资料。若贵方需要，我方愿意提供我方作出的一切承诺的证明材料。</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四、我方承诺遵守《政府采购法》的有关规定，保证在获得成交资格后，按照谈判文件确定的事项签订政府采购合同，履行双方所签订的合同，并承担合同规定的责任和义务。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供应商名称：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（签字或签章）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pP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br w:type="page"/>
      </w:r>
    </w:p>
    <w:p>
      <w:pPr>
        <w:pStyle w:val="3"/>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00" w:name="_Toc21654"/>
      <w:r>
        <w:rPr>
          <w:rFonts w:hint="eastAsia" w:ascii="仿宋" w:hAnsi="仿宋" w:eastAsia="仿宋" w:cs="仿宋"/>
          <w:b/>
          <w:bCs/>
          <w:color w:val="auto"/>
          <w:kern w:val="0"/>
          <w:sz w:val="32"/>
          <w:szCs w:val="32"/>
          <w:highlight w:val="none"/>
          <w:lang w:val="en-US" w:eastAsia="zh-CN" w:bidi="ar"/>
        </w:rPr>
        <w:t>2报价一览表及报价明细表</w:t>
      </w:r>
      <w:bookmarkEnd w:id="500"/>
    </w:p>
    <w:p>
      <w:pPr>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color w:val="auto"/>
          <w:sz w:val="28"/>
          <w:szCs w:val="28"/>
          <w:lang w:val="en-US" w:eastAsia="zh-CN"/>
        </w:rPr>
      </w:pPr>
      <w:bookmarkStart w:id="501" w:name="_Toc3198"/>
      <w:r>
        <w:rPr>
          <w:rFonts w:hint="eastAsia" w:ascii="仿宋" w:hAnsi="仿宋" w:eastAsia="仿宋" w:cs="仿宋"/>
          <w:b/>
          <w:bCs/>
          <w:color w:val="auto"/>
          <w:sz w:val="28"/>
          <w:szCs w:val="28"/>
          <w:lang w:val="en-US" w:eastAsia="zh-CN"/>
        </w:rPr>
        <w:t>2.1报价一览表</w:t>
      </w:r>
      <w:bookmarkEnd w:id="501"/>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u w:val="single"/>
          <w:lang w:val="en-US"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供应商名称</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响应报价（元）</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合同履行期限</w:t>
            </w:r>
          </w:p>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（供货时间）</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质保期</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响应（谈判）有效期</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2"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szCs w:val="21"/>
              </w:rPr>
              <w:t>其他事项声明</w:t>
            </w:r>
          </w:p>
        </w:tc>
        <w:tc>
          <w:tcPr>
            <w:tcW w:w="6110" w:type="dxa"/>
            <w:vAlign w:val="center"/>
          </w:tcPr>
          <w:p>
            <w:pPr>
              <w:pStyle w:val="3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22"/>
          <w:sz w:val="24"/>
          <w:szCs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left="0" w:right="0" w:firstLine="39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lang w:val="en-US" w:eastAsia="zh-CN"/>
        </w:rPr>
        <w:t>1</w:t>
      </w:r>
      <w:r>
        <w:rPr>
          <w:rFonts w:hint="eastAsia" w:ascii="仿宋" w:hAnsi="仿宋" w:eastAsia="仿宋" w:cs="仿宋"/>
          <w:color w:val="auto"/>
          <w:spacing w:val="-14"/>
          <w:sz w:val="24"/>
          <w:szCs w:val="24"/>
          <w:highlight w:val="none"/>
        </w:rPr>
        <w:t>：此表中，总价应是所投服务的费用总和，包括</w:t>
      </w:r>
      <w:r>
        <w:rPr>
          <w:rFonts w:hint="eastAsia" w:ascii="仿宋" w:hAnsi="仿宋" w:eastAsia="仿宋" w:cs="仿宋"/>
          <w:color w:val="auto"/>
          <w:spacing w:val="-14"/>
          <w:sz w:val="24"/>
          <w:szCs w:val="24"/>
          <w:highlight w:val="none"/>
          <w:lang w:val="en-US" w:eastAsia="zh-CN"/>
        </w:rPr>
        <w:t>本项目采购需求和采购合同中要求的全部内容</w:t>
      </w:r>
      <w:r>
        <w:rPr>
          <w:rFonts w:hint="eastAsia" w:ascii="仿宋" w:hAnsi="仿宋" w:eastAsia="仿宋" w:cs="仿宋"/>
          <w:color w:val="auto"/>
          <w:spacing w:val="-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：如有优惠折扣申明，请在此表中列出。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首次</w:t>
      </w:r>
      <w:r>
        <w:rPr>
          <w:rFonts w:hint="eastAsia" w:ascii="仿宋" w:hAnsi="仿宋" w:eastAsia="仿宋" w:cs="仿宋"/>
          <w:color w:val="auto"/>
          <w:sz w:val="24"/>
          <w:szCs w:val="24"/>
          <w:highlight w:val="none"/>
        </w:rPr>
        <w:t>报价不作为评审的依据。</w:t>
      </w:r>
    </w:p>
    <w:p>
      <w:pPr>
        <w:widowControl w:val="0"/>
        <w:spacing w:line="360" w:lineRule="auto"/>
        <w:ind w:firstLine="240" w:firstLineChars="100"/>
        <w:jc w:val="both"/>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lang w:val="en-US" w:eastAsia="zh-CN" w:bidi="zh-CN"/>
        </w:rPr>
        <w:t xml:space="preserve">供应商名称（加盖公章）： </w:t>
      </w:r>
      <w:r>
        <w:rPr>
          <w:rFonts w:hint="eastAsia" w:ascii="仿宋" w:hAnsi="仿宋" w:eastAsia="仿宋" w:cs="仿宋"/>
          <w:color w:val="auto"/>
          <w:kern w:val="2"/>
          <w:sz w:val="24"/>
          <w:szCs w:val="24"/>
          <w:highlight w:val="none"/>
          <w:u w:val="single"/>
          <w:lang w:val="en-US" w:eastAsia="zh-CN" w:bidi="zh-CN"/>
        </w:rPr>
        <w:t xml:space="preserve">                </w:t>
      </w:r>
    </w:p>
    <w:p>
      <w:pPr>
        <w:widowControl w:val="0"/>
        <w:spacing w:line="360" w:lineRule="auto"/>
        <w:ind w:firstLine="240" w:firstLineChars="100"/>
        <w:jc w:val="both"/>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lang w:val="en-US" w:eastAsia="zh-CN" w:bidi="zh-CN"/>
        </w:rPr>
        <w:t>日期：</w:t>
      </w:r>
      <w:r>
        <w:rPr>
          <w:rFonts w:hint="eastAsia" w:ascii="仿宋" w:hAnsi="仿宋" w:eastAsia="仿宋" w:cs="仿宋"/>
          <w:color w:val="auto"/>
          <w:kern w:val="2"/>
          <w:sz w:val="24"/>
          <w:szCs w:val="24"/>
          <w:highlight w:val="none"/>
          <w:u w:val="single"/>
          <w:lang w:val="en-US" w:eastAsia="zh-CN" w:bidi="zh-CN"/>
        </w:rPr>
        <w:t xml:space="preserve">     年    月    日</w:t>
      </w:r>
    </w:p>
    <w:p>
      <w:pPr>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u w:val="single"/>
          <w:lang w:val="en-US" w:eastAsia="zh-CN" w:bidi="zh-CN"/>
        </w:rPr>
        <w:br w:type="page"/>
      </w:r>
    </w:p>
    <w:p>
      <w:pPr>
        <w:spacing w:line="360" w:lineRule="auto"/>
        <w:jc w:val="center"/>
        <w:outlineLvl w:val="2"/>
        <w:rPr>
          <w:rFonts w:hint="eastAsia" w:ascii="仿宋" w:hAnsi="仿宋" w:eastAsia="仿宋" w:cs="仿宋"/>
          <w:b/>
          <w:bCs/>
          <w:color w:val="auto"/>
          <w:sz w:val="28"/>
          <w:szCs w:val="28"/>
          <w:lang w:val="en-US" w:eastAsia="zh-CN"/>
        </w:rPr>
      </w:pPr>
      <w:bookmarkStart w:id="502" w:name="_Toc26479"/>
      <w:r>
        <w:rPr>
          <w:rFonts w:hint="eastAsia" w:ascii="仿宋" w:hAnsi="仿宋" w:eastAsia="仿宋" w:cs="仿宋"/>
          <w:b/>
          <w:bCs/>
          <w:color w:val="auto"/>
          <w:sz w:val="28"/>
          <w:szCs w:val="28"/>
          <w:lang w:val="en-US" w:eastAsia="zh-CN"/>
        </w:rPr>
        <w:t>2.2报价明细表</w:t>
      </w:r>
      <w:bookmarkEnd w:id="502"/>
    </w:p>
    <w:p>
      <w:pPr>
        <w:jc w:val="right"/>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单位：元（人民币）</w:t>
      </w:r>
    </w:p>
    <w:tbl>
      <w:tblPr>
        <w:tblStyle w:val="32"/>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7"/>
        <w:gridCol w:w="1459"/>
        <w:gridCol w:w="1584"/>
        <w:gridCol w:w="950"/>
        <w:gridCol w:w="742"/>
        <w:gridCol w:w="745"/>
        <w:gridCol w:w="861"/>
        <w:gridCol w:w="859"/>
        <w:gridCol w:w="8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4" w:hRule="atLeast"/>
          <w:jc w:val="center"/>
        </w:trPr>
        <w:tc>
          <w:tcPr>
            <w:tcW w:w="26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序号</w:t>
            </w:r>
          </w:p>
        </w:tc>
        <w:tc>
          <w:tcPr>
            <w:tcW w:w="8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货物名称</w:t>
            </w:r>
          </w:p>
        </w:tc>
        <w:tc>
          <w:tcPr>
            <w:tcW w:w="9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lang w:eastAsia="zh-CN"/>
              </w:rPr>
            </w:pPr>
            <w:r>
              <w:rPr>
                <w:rFonts w:hint="eastAsia" w:ascii="仿宋" w:hAnsi="仿宋" w:eastAsia="仿宋" w:cs="仿宋"/>
                <w:b/>
                <w:bCs/>
                <w:color w:val="auto"/>
                <w:szCs w:val="21"/>
              </w:rPr>
              <w:t>规格描述/</w:t>
            </w:r>
            <w:r>
              <w:rPr>
                <w:rFonts w:hint="eastAsia" w:ascii="仿宋" w:hAnsi="仿宋" w:eastAsia="仿宋" w:cs="仿宋"/>
                <w:b/>
                <w:bCs/>
                <w:color w:val="auto"/>
                <w:szCs w:val="21"/>
                <w:lang w:eastAsia="zh-CN"/>
              </w:rPr>
              <w:t>技术参数</w:t>
            </w: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品牌、产地（货物需填</w:t>
            </w:r>
          </w:p>
        </w:tc>
        <w:tc>
          <w:tcPr>
            <w:tcW w:w="4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单位</w:t>
            </w:r>
          </w:p>
        </w:tc>
        <w:tc>
          <w:tcPr>
            <w:tcW w:w="4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数量</w:t>
            </w:r>
          </w:p>
        </w:tc>
        <w:tc>
          <w:tcPr>
            <w:tcW w:w="5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单价</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总价</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b/>
                <w:bCs/>
                <w:color w:val="auto"/>
                <w:szCs w:val="21"/>
                <w:lang w:eastAsia="zh-CN"/>
              </w:rPr>
            </w:pPr>
            <w:r>
              <w:rPr>
                <w:rFonts w:hint="eastAsia" w:ascii="仿宋" w:hAnsi="仿宋" w:eastAsia="仿宋" w:cs="仿宋"/>
                <w:b/>
                <w:bCs/>
                <w:color w:val="auto"/>
                <w:szCs w:val="21"/>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26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8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9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26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8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9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26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8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9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4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1124"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r>
              <w:rPr>
                <w:rFonts w:hint="eastAsia" w:ascii="仿宋" w:hAnsi="仿宋" w:eastAsia="仿宋" w:cs="仿宋"/>
                <w:color w:val="auto"/>
                <w:szCs w:val="21"/>
              </w:rPr>
              <w:t>总价</w:t>
            </w:r>
          </w:p>
        </w:tc>
        <w:tc>
          <w:tcPr>
            <w:tcW w:w="3875" w:type="pct"/>
            <w:gridSpan w:val="7"/>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Cs w:val="21"/>
              </w:rPr>
            </w:pPr>
          </w:p>
        </w:tc>
      </w:tr>
    </w:tbl>
    <w:p>
      <w:pPr>
        <w:adjustRightInd w:val="0"/>
        <w:snapToGrid w:val="0"/>
        <w:spacing w:line="360" w:lineRule="auto"/>
        <w:ind w:left="-101" w:leftChars="-42"/>
        <w:rPr>
          <w:rFonts w:hint="eastAsia" w:ascii="仿宋" w:hAnsi="仿宋" w:eastAsia="仿宋" w:cs="仿宋"/>
          <w:color w:val="auto"/>
          <w:szCs w:val="21"/>
        </w:rPr>
      </w:pPr>
    </w:p>
    <w:p>
      <w:pPr>
        <w:adjustRightInd w:val="0"/>
        <w:snapToGrid w:val="0"/>
        <w:spacing w:line="360" w:lineRule="auto"/>
        <w:ind w:left="-101" w:leftChars="-42"/>
        <w:rPr>
          <w:rFonts w:hint="eastAsia" w:ascii="仿宋" w:hAnsi="仿宋" w:eastAsia="仿宋" w:cs="仿宋"/>
          <w:color w:val="auto"/>
          <w:szCs w:val="21"/>
        </w:rPr>
      </w:pPr>
      <w:r>
        <w:rPr>
          <w:rFonts w:hint="eastAsia" w:ascii="仿宋" w:hAnsi="仿宋" w:eastAsia="仿宋" w:cs="仿宋"/>
          <w:color w:val="auto"/>
          <w:szCs w:val="21"/>
        </w:rPr>
        <w:t>注：1、供应商可在此表后附其</w:t>
      </w:r>
      <w:r>
        <w:rPr>
          <w:rFonts w:hint="eastAsia" w:ascii="仿宋" w:hAnsi="仿宋" w:eastAsia="仿宋" w:cs="仿宋"/>
          <w:color w:val="auto"/>
          <w:szCs w:val="21"/>
          <w:lang w:eastAsia="zh-CN"/>
        </w:rPr>
        <w:t>报价</w:t>
      </w:r>
      <w:r>
        <w:rPr>
          <w:rFonts w:hint="eastAsia" w:ascii="仿宋" w:hAnsi="仿宋" w:eastAsia="仿宋" w:cs="仿宋"/>
          <w:color w:val="auto"/>
          <w:szCs w:val="21"/>
        </w:rPr>
        <w:t>组成的详细说明。</w:t>
      </w:r>
    </w:p>
    <w:p>
      <w:pPr>
        <w:tabs>
          <w:tab w:val="left" w:pos="360"/>
          <w:tab w:val="left" w:pos="567"/>
        </w:tabs>
        <w:snapToGrid w:val="0"/>
        <w:spacing w:line="360" w:lineRule="auto"/>
        <w:ind w:firstLine="360" w:firstLineChars="150"/>
        <w:outlineLvl w:val="1"/>
        <w:rPr>
          <w:rFonts w:hint="eastAsia" w:ascii="仿宋" w:hAnsi="仿宋" w:eastAsia="仿宋" w:cs="仿宋"/>
          <w:color w:val="auto"/>
        </w:rPr>
      </w:pPr>
      <w:bookmarkStart w:id="503" w:name="_Toc1614"/>
      <w:r>
        <w:rPr>
          <w:rFonts w:hint="eastAsia" w:ascii="仿宋" w:hAnsi="仿宋" w:eastAsia="仿宋" w:cs="仿宋"/>
          <w:color w:val="auto"/>
        </w:rPr>
        <w:t>2、所有价格均以人民币作为货币单位填写及计算。</w:t>
      </w:r>
      <w:bookmarkEnd w:id="503"/>
    </w:p>
    <w:p>
      <w:pPr>
        <w:adjustRightInd w:val="0"/>
        <w:snapToGrid w:val="0"/>
        <w:spacing w:line="360" w:lineRule="auto"/>
        <w:ind w:firstLine="360" w:firstLineChars="150"/>
        <w:rPr>
          <w:rFonts w:hint="eastAsia" w:ascii="仿宋" w:hAnsi="仿宋" w:eastAsia="仿宋" w:cs="仿宋"/>
          <w:color w:val="auto"/>
        </w:rPr>
      </w:pPr>
      <w:r>
        <w:rPr>
          <w:rFonts w:hint="eastAsia" w:ascii="仿宋" w:hAnsi="仿宋" w:eastAsia="仿宋" w:cs="仿宋"/>
          <w:color w:val="auto"/>
        </w:rPr>
        <w:t>3、各报价明细表合计需与报价一览表中</w:t>
      </w:r>
      <w:r>
        <w:rPr>
          <w:rFonts w:hint="eastAsia" w:ascii="仿宋" w:hAnsi="仿宋" w:eastAsia="仿宋" w:cs="仿宋"/>
          <w:color w:val="auto"/>
          <w:lang w:eastAsia="zh-CN"/>
        </w:rPr>
        <w:t>响应报价</w:t>
      </w:r>
      <w:r>
        <w:rPr>
          <w:rFonts w:hint="eastAsia" w:ascii="仿宋" w:hAnsi="仿宋" w:eastAsia="仿宋" w:cs="仿宋"/>
          <w:color w:val="auto"/>
        </w:rPr>
        <w:t>一致，若出现不一致时，以各报价明细表合计为准修正总价。</w:t>
      </w:r>
    </w:p>
    <w:p>
      <w:pPr>
        <w:widowControl w:val="0"/>
        <w:spacing w:line="360" w:lineRule="auto"/>
        <w:ind w:firstLine="240" w:firstLineChars="100"/>
        <w:jc w:val="both"/>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lang w:val="en-US" w:eastAsia="zh-CN" w:bidi="zh-CN"/>
        </w:rPr>
        <w:t xml:space="preserve">供应商名称（加盖公章）： </w:t>
      </w:r>
      <w:r>
        <w:rPr>
          <w:rFonts w:hint="eastAsia" w:ascii="仿宋" w:hAnsi="仿宋" w:eastAsia="仿宋" w:cs="仿宋"/>
          <w:color w:val="auto"/>
          <w:kern w:val="2"/>
          <w:sz w:val="24"/>
          <w:szCs w:val="24"/>
          <w:highlight w:val="none"/>
          <w:u w:val="single"/>
          <w:lang w:val="en-US" w:eastAsia="zh-CN" w:bidi="zh-CN"/>
        </w:rPr>
        <w:t xml:space="preserve">                </w:t>
      </w:r>
    </w:p>
    <w:p>
      <w:pPr>
        <w:widowControl w:val="0"/>
        <w:spacing w:line="360" w:lineRule="auto"/>
        <w:ind w:firstLine="240" w:firstLineChars="100"/>
        <w:jc w:val="both"/>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lang w:val="en-US" w:eastAsia="zh-CN" w:bidi="zh-CN"/>
        </w:rPr>
        <w:t>日期：</w:t>
      </w:r>
      <w:r>
        <w:rPr>
          <w:rFonts w:hint="eastAsia" w:ascii="仿宋" w:hAnsi="仿宋" w:eastAsia="仿宋" w:cs="仿宋"/>
          <w:color w:val="auto"/>
          <w:kern w:val="2"/>
          <w:sz w:val="24"/>
          <w:szCs w:val="24"/>
          <w:highlight w:val="none"/>
          <w:u w:val="single"/>
          <w:lang w:val="en-US" w:eastAsia="zh-CN" w:bidi="zh-CN"/>
        </w:rPr>
        <w:t xml:space="preserve">     年    月    日</w:t>
      </w:r>
    </w:p>
    <w:p>
      <w:pPr>
        <w:rPr>
          <w:rFonts w:hint="eastAsia" w:ascii="仿宋" w:hAnsi="仿宋" w:eastAsia="仿宋" w:cs="仿宋"/>
          <w:color w:val="auto"/>
          <w:kern w:val="2"/>
          <w:sz w:val="24"/>
          <w:szCs w:val="24"/>
          <w:highlight w:val="none"/>
          <w:u w:val="single"/>
          <w:lang w:val="en-US" w:eastAsia="zh-CN" w:bidi="zh-CN"/>
        </w:rPr>
      </w:pPr>
      <w:r>
        <w:rPr>
          <w:rFonts w:hint="eastAsia" w:ascii="仿宋" w:hAnsi="仿宋" w:eastAsia="仿宋" w:cs="仿宋"/>
          <w:color w:val="auto"/>
          <w:kern w:val="2"/>
          <w:sz w:val="24"/>
          <w:szCs w:val="24"/>
          <w:highlight w:val="none"/>
          <w:u w:val="single"/>
          <w:lang w:val="en-US" w:eastAsia="zh-CN" w:bidi="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04" w:name="_Toc13197"/>
      <w:r>
        <w:rPr>
          <w:rFonts w:hint="eastAsia" w:ascii="仿宋" w:hAnsi="仿宋" w:eastAsia="仿宋" w:cs="仿宋"/>
          <w:b/>
          <w:bCs/>
          <w:color w:val="auto"/>
          <w:kern w:val="0"/>
          <w:sz w:val="32"/>
          <w:szCs w:val="32"/>
          <w:highlight w:val="none"/>
          <w:lang w:val="en-US" w:eastAsia="zh-CN" w:bidi="ar"/>
        </w:rPr>
        <w:t>3法定代表人身份证明及授权委托书</w:t>
      </w:r>
      <w:bookmarkEnd w:id="504"/>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仿宋" w:hAnsi="仿宋" w:eastAsia="仿宋" w:cs="仿宋"/>
          <w:b/>
          <w:bCs/>
          <w:color w:val="auto"/>
          <w:kern w:val="0"/>
          <w:sz w:val="28"/>
          <w:szCs w:val="28"/>
          <w:highlight w:val="none"/>
          <w:lang w:val="en-US" w:eastAsia="zh-CN" w:bidi="ar"/>
        </w:rPr>
      </w:pPr>
      <w:bookmarkStart w:id="505" w:name="_Toc877"/>
      <w:r>
        <w:rPr>
          <w:rFonts w:hint="eastAsia" w:ascii="仿宋" w:hAnsi="仿宋" w:eastAsia="仿宋" w:cs="仿宋"/>
          <w:b/>
          <w:bCs/>
          <w:color w:val="auto"/>
          <w:kern w:val="0"/>
          <w:sz w:val="28"/>
          <w:szCs w:val="28"/>
          <w:highlight w:val="none"/>
          <w:lang w:val="en-US" w:eastAsia="zh-CN" w:bidi="ar"/>
        </w:rPr>
        <w:t>3.1法定代表人（单位负责人）身份证明</w:t>
      </w:r>
      <w:bookmarkEnd w:id="505"/>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兹证明，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（供应商名称）</w:t>
      </w:r>
      <w:r>
        <w:rPr>
          <w:rFonts w:hint="eastAsia" w:ascii="仿宋" w:hAnsi="仿宋" w:eastAsia="仿宋" w:cs="仿宋"/>
          <w:color w:val="auto"/>
          <w:kern w:val="0"/>
          <w:sz w:val="24"/>
          <w:szCs w:val="24"/>
          <w:highlight w:val="none"/>
          <w:lang w:val="en-US" w:eastAsia="zh-CN" w:bidi="ar"/>
        </w:rPr>
        <w:t>的法定代表人（单位负责人）。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261"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说明：1.若供应商为事业单位或其他组织或分支机构（仅当谈判文件注明允许分支机构投标的），则法定代表人（单位负责人）处的签署人可为单位负责人。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2.若响应文件中签字之处均为法定代表人（单位负责人）本人签署，则可不提供本《授权委托书》，但须提供《法定代表人（单位负责人）身份证明》。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kern w:val="0"/>
          <w:sz w:val="24"/>
          <w:szCs w:val="24"/>
          <w:highlight w:val="none"/>
          <w:lang w:val="en-US" w:eastAsia="zh-CN" w:bidi="ar"/>
        </w:rPr>
      </w:pPr>
      <w:bookmarkStart w:id="506" w:name="_Toc24165"/>
      <w:bookmarkStart w:id="507" w:name="_Toc28005"/>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506"/>
      <w:bookmarkEnd w:id="507"/>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供应商名称（加盖公章）：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法定代表人（单位负责人）（签字、签章或印鉴）：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pP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br w:type="page"/>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仿宋" w:hAnsi="仿宋" w:eastAsia="仿宋" w:cs="仿宋"/>
          <w:b/>
          <w:bCs/>
          <w:color w:val="auto"/>
          <w:kern w:val="0"/>
          <w:sz w:val="28"/>
          <w:szCs w:val="28"/>
          <w:highlight w:val="none"/>
          <w:lang w:val="en-US" w:eastAsia="zh-CN" w:bidi="ar"/>
        </w:rPr>
      </w:pPr>
      <w:bookmarkStart w:id="508" w:name="_Toc16740"/>
      <w:r>
        <w:rPr>
          <w:rFonts w:hint="eastAsia" w:ascii="仿宋" w:hAnsi="仿宋" w:eastAsia="仿宋" w:cs="仿宋"/>
          <w:b/>
          <w:bCs/>
          <w:color w:val="auto"/>
          <w:kern w:val="0"/>
          <w:sz w:val="28"/>
          <w:szCs w:val="28"/>
          <w:highlight w:val="none"/>
          <w:lang w:val="en-US" w:eastAsia="zh-CN" w:bidi="ar"/>
        </w:rPr>
        <w:t>3.2授权委托书</w:t>
      </w:r>
      <w:bookmarkEnd w:id="508"/>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（供应商名称）的法定代表人（单位负责人），现委托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响应文件和处理有关事宜，其法律后果由我方承担。</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委托期限：自本授权委托书签署之日起至响应有效期届满之日止。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代理人无转委托权。</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供应商名称（加盖公章）：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法定代表人（单位负责人）（签字、签章或印鉴）：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委托代理人（签字/签章）：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26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26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kern w:val="0"/>
                <w:sz w:val="24"/>
                <w:szCs w:val="24"/>
                <w:highlight w:val="none"/>
                <w:vertAlign w:val="baseline"/>
                <w:lang w:val="en-US" w:eastAsia="zh-CN" w:bidi="ar"/>
              </w:rPr>
            </w:pPr>
          </w:p>
        </w:tc>
      </w:tr>
      <w:bookmarkEnd w:id="498"/>
      <w:bookmarkEnd w:id="499"/>
    </w:tbl>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09" w:name="_Toc29599"/>
      <w:bookmarkStart w:id="510" w:name="_Toc32315"/>
      <w:bookmarkStart w:id="511" w:name="_Toc32725"/>
      <w:r>
        <w:rPr>
          <w:rFonts w:hint="eastAsia" w:ascii="仿宋" w:hAnsi="仿宋" w:eastAsia="仿宋" w:cs="仿宋"/>
          <w:b/>
          <w:bCs/>
          <w:color w:val="auto"/>
          <w:kern w:val="0"/>
          <w:sz w:val="32"/>
          <w:szCs w:val="32"/>
          <w:highlight w:val="none"/>
          <w:lang w:val="en-US" w:eastAsia="zh-CN" w:bidi="ar"/>
        </w:rPr>
        <w:t>4资格证明文件</w:t>
      </w:r>
      <w:bookmarkEnd w:id="509"/>
    </w:p>
    <w:p>
      <w:pPr>
        <w:pStyle w:val="4"/>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仿宋" w:hAnsi="仿宋" w:eastAsia="仿宋" w:cs="仿宋"/>
          <w:b/>
          <w:bCs/>
          <w:color w:val="auto"/>
          <w:kern w:val="0"/>
          <w:sz w:val="28"/>
          <w:szCs w:val="28"/>
          <w:highlight w:val="none"/>
          <w:lang w:val="en-US" w:eastAsia="zh-CN" w:bidi="ar"/>
        </w:rPr>
      </w:pPr>
      <w:bookmarkStart w:id="512" w:name="_Toc26232"/>
      <w:r>
        <w:rPr>
          <w:rFonts w:hint="eastAsia" w:ascii="仿宋" w:hAnsi="仿宋" w:eastAsia="仿宋" w:cs="仿宋"/>
          <w:b/>
          <w:bCs/>
          <w:color w:val="auto"/>
          <w:kern w:val="0"/>
          <w:sz w:val="28"/>
          <w:szCs w:val="28"/>
          <w:highlight w:val="none"/>
          <w:lang w:val="en-US" w:eastAsia="zh-CN" w:bidi="ar"/>
        </w:rPr>
        <w:t>附件1-1具有独立承担民事责任的能力</w:t>
      </w:r>
      <w:bookmarkEnd w:id="512"/>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none"/>
          <w:lang w:val="en-US" w:eastAsia="zh-CN" w:bidi="ar"/>
        </w:rPr>
        <w:t>.法人或者其他组织的营业执照等证明文件或自然人的身份证明复印件</w:t>
      </w:r>
      <w:bookmarkEnd w:id="510"/>
      <w:bookmarkEnd w:id="511"/>
      <w:r>
        <w:rPr>
          <w:rFonts w:hint="eastAsia" w:ascii="仿宋" w:hAnsi="仿宋" w:eastAsia="仿宋" w:cs="仿宋"/>
          <w:color w:val="auto"/>
          <w:kern w:val="0"/>
          <w:sz w:val="24"/>
          <w:highlight w:val="none"/>
          <w:u w:val="none"/>
          <w:lang w:val="en-US" w:eastAsia="zh-CN" w:bidi="ar"/>
        </w:rPr>
        <w:t>；</w:t>
      </w:r>
    </w:p>
    <w:p>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eastAsia" w:ascii="仿宋" w:hAnsi="仿宋" w:eastAsia="仿宋" w:cs="仿宋"/>
          <w:b/>
          <w:bCs/>
          <w:color w:val="auto"/>
          <w:kern w:val="0"/>
          <w:sz w:val="28"/>
          <w:szCs w:val="28"/>
          <w:highlight w:val="none"/>
          <w:u w:val="none"/>
          <w:lang w:bidi="ar"/>
        </w:rPr>
      </w:pPr>
      <w:bookmarkStart w:id="513" w:name="_Toc9311"/>
      <w:bookmarkStart w:id="514" w:name="_Toc391"/>
      <w:bookmarkStart w:id="515" w:name="_Toc29888"/>
      <w:r>
        <w:rPr>
          <w:rFonts w:hint="eastAsia" w:ascii="仿宋" w:hAnsi="仿宋" w:eastAsia="仿宋" w:cs="仿宋"/>
          <w:b/>
          <w:bCs/>
          <w:color w:val="auto"/>
          <w:kern w:val="0"/>
          <w:sz w:val="28"/>
          <w:szCs w:val="28"/>
          <w:highlight w:val="none"/>
          <w:u w:val="none"/>
          <w:lang w:bidi="ar"/>
        </w:rPr>
        <w:t>附件</w:t>
      </w:r>
      <w:r>
        <w:rPr>
          <w:rFonts w:hint="eastAsia" w:ascii="仿宋" w:hAnsi="仿宋" w:eastAsia="仿宋" w:cs="仿宋"/>
          <w:b/>
          <w:bCs/>
          <w:color w:val="auto"/>
          <w:kern w:val="0"/>
          <w:sz w:val="28"/>
          <w:szCs w:val="28"/>
          <w:highlight w:val="none"/>
          <w:u w:val="none"/>
          <w:lang w:val="en-US" w:eastAsia="zh-CN" w:bidi="ar"/>
        </w:rPr>
        <w:t>1</w:t>
      </w:r>
      <w:r>
        <w:rPr>
          <w:rFonts w:hint="eastAsia" w:ascii="仿宋" w:hAnsi="仿宋" w:eastAsia="仿宋" w:cs="仿宋"/>
          <w:b/>
          <w:bCs/>
          <w:color w:val="auto"/>
          <w:kern w:val="0"/>
          <w:sz w:val="28"/>
          <w:szCs w:val="28"/>
          <w:highlight w:val="none"/>
          <w:u w:val="none"/>
          <w:lang w:bidi="ar"/>
        </w:rPr>
        <w:t>-</w:t>
      </w:r>
      <w:r>
        <w:rPr>
          <w:rFonts w:hint="eastAsia" w:ascii="仿宋" w:hAnsi="仿宋" w:eastAsia="仿宋" w:cs="仿宋"/>
          <w:b/>
          <w:bCs/>
          <w:color w:val="auto"/>
          <w:kern w:val="0"/>
          <w:sz w:val="28"/>
          <w:szCs w:val="28"/>
          <w:highlight w:val="none"/>
          <w:u w:val="none"/>
          <w:lang w:val="en-US" w:eastAsia="zh-CN" w:bidi="ar"/>
        </w:rPr>
        <w:t>2</w:t>
      </w:r>
      <w:bookmarkEnd w:id="513"/>
      <w:bookmarkEnd w:id="514"/>
      <w:r>
        <w:rPr>
          <w:rFonts w:hint="eastAsia" w:ascii="仿宋" w:hAnsi="仿宋" w:eastAsia="仿宋" w:cs="仿宋"/>
          <w:b/>
          <w:bCs/>
          <w:color w:val="auto"/>
          <w:kern w:val="0"/>
          <w:sz w:val="28"/>
          <w:szCs w:val="28"/>
          <w:highlight w:val="none"/>
          <w:u w:val="none"/>
          <w:lang w:val="en-US" w:eastAsia="zh-CN" w:bidi="ar"/>
        </w:rPr>
        <w:t>具有良好的商业信誉和健全的财务会计制度</w:t>
      </w:r>
      <w:bookmarkEnd w:id="515"/>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eastAsia="zh-CN" w:bidi="ar"/>
        </w:rPr>
      </w:pPr>
      <w:bookmarkStart w:id="516" w:name="_Toc29059"/>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none"/>
          <w:lang w:val="en-US" w:eastAsia="zh-CN" w:bidi="ar"/>
        </w:rPr>
        <w:t>.</w:t>
      </w:r>
      <w:bookmarkEnd w:id="516"/>
      <w:r>
        <w:rPr>
          <w:rFonts w:hint="eastAsia" w:ascii="仿宋" w:hAnsi="仿宋" w:eastAsia="仿宋" w:cs="仿宋"/>
          <w:color w:val="auto"/>
          <w:kern w:val="0"/>
          <w:sz w:val="24"/>
          <w:highlight w:val="none"/>
          <w:u w:val="none"/>
          <w:lang w:val="en-US" w:eastAsia="zh-CN" w:bidi="ar"/>
        </w:rPr>
        <w:t>提供会计事务所出具的2022年度财务审计报告，新成立不足一年的提供成立之日起至今的财务报表和基本开户银行出具的资信证明；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w:t>
      </w:r>
      <w:r>
        <w:rPr>
          <w:rFonts w:hint="eastAsia" w:ascii="仿宋" w:hAnsi="仿宋" w:eastAsia="仿宋" w:cs="仿宋"/>
          <w:color w:val="auto"/>
          <w:kern w:val="0"/>
          <w:sz w:val="24"/>
          <w:highlight w:val="none"/>
          <w:u w:val="none"/>
          <w:lang w:val="en-US" w:eastAsia="zh-CN" w:bidi="ar"/>
        </w:rPr>
        <w:t>.</w:t>
      </w:r>
      <w:r>
        <w:rPr>
          <w:rFonts w:hint="eastAsia" w:ascii="仿宋" w:hAnsi="仿宋" w:eastAsia="仿宋" w:cs="仿宋"/>
          <w:color w:val="auto"/>
          <w:kern w:val="0"/>
          <w:sz w:val="24"/>
          <w:highlight w:val="none"/>
          <w:u w:val="none"/>
          <w:lang w:bidi="ar"/>
        </w:rPr>
        <w:t>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eastAsia" w:ascii="仿宋" w:hAnsi="仿宋" w:eastAsia="仿宋" w:cs="仿宋"/>
          <w:b/>
          <w:bCs/>
          <w:color w:val="auto"/>
          <w:kern w:val="0"/>
          <w:sz w:val="28"/>
          <w:szCs w:val="28"/>
          <w:highlight w:val="none"/>
          <w:u w:val="none"/>
          <w:lang w:val="en-US" w:eastAsia="zh-CN" w:bidi="ar"/>
        </w:rPr>
      </w:pPr>
      <w:bookmarkStart w:id="517" w:name="_Toc19214"/>
      <w:bookmarkStart w:id="518" w:name="_Toc8074"/>
      <w:bookmarkStart w:id="519" w:name="_Toc19233"/>
      <w:r>
        <w:rPr>
          <w:rFonts w:hint="eastAsia" w:ascii="仿宋" w:hAnsi="仿宋" w:eastAsia="仿宋" w:cs="仿宋"/>
          <w:b/>
          <w:bCs/>
          <w:color w:val="auto"/>
          <w:kern w:val="0"/>
          <w:sz w:val="28"/>
          <w:szCs w:val="28"/>
          <w:highlight w:val="none"/>
          <w:u w:val="none"/>
          <w:lang w:bidi="ar"/>
        </w:rPr>
        <w:t>附件</w:t>
      </w:r>
      <w:r>
        <w:rPr>
          <w:rFonts w:hint="eastAsia" w:ascii="仿宋" w:hAnsi="仿宋" w:eastAsia="仿宋" w:cs="仿宋"/>
          <w:b/>
          <w:bCs/>
          <w:color w:val="auto"/>
          <w:kern w:val="0"/>
          <w:sz w:val="28"/>
          <w:szCs w:val="28"/>
          <w:highlight w:val="none"/>
          <w:u w:val="none"/>
          <w:lang w:val="en-US" w:eastAsia="zh-CN" w:bidi="ar"/>
        </w:rPr>
        <w:t>1</w:t>
      </w:r>
      <w:r>
        <w:rPr>
          <w:rFonts w:hint="eastAsia" w:ascii="仿宋" w:hAnsi="仿宋" w:eastAsia="仿宋" w:cs="仿宋"/>
          <w:b/>
          <w:bCs/>
          <w:color w:val="auto"/>
          <w:kern w:val="0"/>
          <w:sz w:val="28"/>
          <w:szCs w:val="28"/>
          <w:highlight w:val="none"/>
          <w:u w:val="none"/>
          <w:lang w:bidi="ar"/>
        </w:rPr>
        <w:t>-</w:t>
      </w:r>
      <w:r>
        <w:rPr>
          <w:rFonts w:hint="eastAsia" w:ascii="仿宋" w:hAnsi="仿宋" w:eastAsia="仿宋" w:cs="仿宋"/>
          <w:b/>
          <w:bCs/>
          <w:color w:val="auto"/>
          <w:kern w:val="0"/>
          <w:sz w:val="28"/>
          <w:szCs w:val="28"/>
          <w:highlight w:val="none"/>
          <w:u w:val="none"/>
          <w:lang w:val="en-US" w:eastAsia="zh-CN" w:bidi="ar"/>
        </w:rPr>
        <w:t>3</w:t>
      </w:r>
      <w:bookmarkEnd w:id="517"/>
      <w:bookmarkEnd w:id="518"/>
      <w:r>
        <w:rPr>
          <w:rFonts w:hint="eastAsia" w:ascii="仿宋" w:hAnsi="仿宋" w:eastAsia="仿宋" w:cs="仿宋"/>
          <w:b/>
          <w:bCs/>
          <w:color w:val="auto"/>
          <w:kern w:val="0"/>
          <w:sz w:val="28"/>
          <w:szCs w:val="28"/>
          <w:highlight w:val="none"/>
          <w:u w:val="none"/>
          <w:lang w:val="en-US" w:eastAsia="zh-CN" w:bidi="ar"/>
        </w:rPr>
        <w:t>具有履行合同所必需的设备和专业技术能力</w:t>
      </w:r>
      <w:bookmarkEnd w:id="519"/>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bookmarkStart w:id="520" w:name="_Toc7925"/>
      <w:bookmarkStart w:id="521" w:name="_Toc25406"/>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none"/>
          <w:lang w:val="en-US" w:eastAsia="zh-CN" w:bidi="ar"/>
        </w:rPr>
        <w:t>.</w:t>
      </w:r>
      <w:bookmarkEnd w:id="520"/>
      <w:bookmarkStart w:id="522" w:name="_Toc27172"/>
      <w:r>
        <w:rPr>
          <w:rFonts w:hint="eastAsia" w:ascii="仿宋" w:hAnsi="仿宋" w:eastAsia="仿宋" w:cs="仿宋"/>
          <w:color w:val="auto"/>
          <w:kern w:val="0"/>
          <w:sz w:val="24"/>
          <w:highlight w:val="none"/>
          <w:u w:val="none"/>
          <w:lang w:val="en-US" w:eastAsia="zh-CN" w:bidi="ar"/>
        </w:rPr>
        <w:t>提供声明，格式自拟</w:t>
      </w:r>
      <w:r>
        <w:rPr>
          <w:rFonts w:hint="eastAsia" w:ascii="仿宋" w:hAnsi="仿宋" w:eastAsia="仿宋" w:cs="仿宋"/>
          <w:color w:val="auto"/>
          <w:kern w:val="0"/>
          <w:sz w:val="24"/>
          <w:highlight w:val="none"/>
          <w:u w:val="none"/>
          <w:lang w:bidi="ar"/>
        </w:rPr>
        <w:br w:type="page"/>
      </w:r>
      <w:bookmarkEnd w:id="521"/>
      <w:bookmarkEnd w:id="522"/>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eastAsia" w:ascii="仿宋" w:hAnsi="仿宋" w:eastAsia="仿宋" w:cs="仿宋"/>
          <w:b/>
          <w:bCs/>
          <w:color w:val="auto"/>
          <w:kern w:val="0"/>
          <w:sz w:val="28"/>
          <w:szCs w:val="28"/>
          <w:highlight w:val="none"/>
          <w:u w:val="none"/>
          <w:lang w:bidi="ar"/>
        </w:rPr>
      </w:pPr>
      <w:bookmarkStart w:id="523" w:name="_Toc20731"/>
      <w:bookmarkStart w:id="524" w:name="_Toc29005"/>
      <w:bookmarkStart w:id="525" w:name="_Toc11355"/>
      <w:r>
        <w:rPr>
          <w:rFonts w:hint="eastAsia" w:ascii="仿宋" w:hAnsi="仿宋" w:eastAsia="仿宋" w:cs="仿宋"/>
          <w:b/>
          <w:bCs/>
          <w:color w:val="auto"/>
          <w:kern w:val="0"/>
          <w:sz w:val="28"/>
          <w:szCs w:val="28"/>
          <w:highlight w:val="none"/>
          <w:u w:val="none"/>
          <w:lang w:bidi="ar"/>
        </w:rPr>
        <w:t>附件</w:t>
      </w:r>
      <w:r>
        <w:rPr>
          <w:rFonts w:hint="eastAsia" w:ascii="仿宋" w:hAnsi="仿宋" w:eastAsia="仿宋" w:cs="仿宋"/>
          <w:b/>
          <w:bCs/>
          <w:color w:val="auto"/>
          <w:kern w:val="0"/>
          <w:sz w:val="28"/>
          <w:szCs w:val="28"/>
          <w:highlight w:val="none"/>
          <w:u w:val="none"/>
          <w:lang w:val="en-US" w:eastAsia="zh-CN" w:bidi="ar"/>
        </w:rPr>
        <w:t>1</w:t>
      </w:r>
      <w:r>
        <w:rPr>
          <w:rFonts w:hint="eastAsia" w:ascii="仿宋" w:hAnsi="仿宋" w:eastAsia="仿宋" w:cs="仿宋"/>
          <w:b/>
          <w:bCs/>
          <w:color w:val="auto"/>
          <w:kern w:val="0"/>
          <w:sz w:val="28"/>
          <w:szCs w:val="28"/>
          <w:highlight w:val="none"/>
          <w:u w:val="none"/>
          <w:lang w:bidi="ar"/>
        </w:rPr>
        <w:t>-</w:t>
      </w:r>
      <w:r>
        <w:rPr>
          <w:rFonts w:hint="eastAsia" w:ascii="仿宋" w:hAnsi="仿宋" w:eastAsia="仿宋" w:cs="仿宋"/>
          <w:b/>
          <w:bCs/>
          <w:color w:val="auto"/>
          <w:kern w:val="0"/>
          <w:sz w:val="28"/>
          <w:szCs w:val="28"/>
          <w:highlight w:val="none"/>
          <w:u w:val="none"/>
          <w:lang w:val="en-US" w:eastAsia="zh-CN" w:bidi="ar"/>
        </w:rPr>
        <w:t>4</w:t>
      </w:r>
      <w:bookmarkEnd w:id="523"/>
      <w:bookmarkEnd w:id="524"/>
      <w:r>
        <w:rPr>
          <w:rFonts w:hint="eastAsia" w:ascii="仿宋" w:hAnsi="仿宋" w:eastAsia="仿宋" w:cs="仿宋"/>
          <w:b/>
          <w:bCs/>
          <w:color w:val="auto"/>
          <w:kern w:val="0"/>
          <w:sz w:val="28"/>
          <w:szCs w:val="28"/>
          <w:highlight w:val="none"/>
          <w:u w:val="none"/>
          <w:lang w:val="en-US" w:eastAsia="zh-CN" w:bidi="ar"/>
        </w:rPr>
        <w:t>有依法缴纳税收和社会保障资金的良好纪录</w:t>
      </w:r>
      <w:bookmarkEnd w:id="525"/>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highlight w:val="none"/>
          <w:u w:val="none"/>
          <w:lang w:eastAsia="zh-CN" w:bidi="ar"/>
        </w:rPr>
      </w:pPr>
      <w:bookmarkStart w:id="526" w:name="_Toc14978"/>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none"/>
          <w:lang w:val="en-US" w:eastAsia="zh-CN" w:bidi="ar"/>
        </w:rPr>
        <w:t>.</w:t>
      </w:r>
      <w:r>
        <w:rPr>
          <w:rFonts w:hint="eastAsia" w:ascii="仿宋" w:hAnsi="仿宋" w:eastAsia="仿宋" w:cs="仿宋"/>
          <w:b w:val="0"/>
          <w:bCs w:val="0"/>
          <w:color w:val="auto"/>
          <w:sz w:val="24"/>
          <w:szCs w:val="24"/>
          <w:highlight w:val="none"/>
          <w:lang w:val="en-US" w:eastAsia="zh-CN"/>
        </w:rPr>
        <w:t>提供近一年任意三个月纳税和社会保障资金</w:t>
      </w:r>
      <w:r>
        <w:rPr>
          <w:rFonts w:hint="eastAsia" w:ascii="仿宋" w:hAnsi="仿宋" w:eastAsia="仿宋" w:cs="仿宋"/>
          <w:color w:val="auto"/>
          <w:kern w:val="0"/>
          <w:sz w:val="24"/>
          <w:highlight w:val="none"/>
          <w:u w:val="none"/>
          <w:lang w:val="en-US" w:eastAsia="zh-CN" w:bidi="ar"/>
        </w:rPr>
        <w:t>的缴纳证明材料；（依法免税或不需要缴纳社会保障金的供应商，应提供相关证明材料，包括相关法规要求原文及加盖公章的情况说明），</w:t>
      </w:r>
      <w:r>
        <w:rPr>
          <w:rFonts w:hint="eastAsia" w:ascii="仿宋" w:hAnsi="仿宋" w:eastAsia="仿宋" w:cs="仿宋"/>
          <w:color w:val="auto"/>
          <w:kern w:val="0"/>
          <w:sz w:val="24"/>
          <w:highlight w:val="none"/>
          <w:u w:val="none"/>
          <w:lang w:bidi="ar"/>
        </w:rPr>
        <w:t>复印件并加盖本单位公章</w:t>
      </w:r>
      <w:bookmarkEnd w:id="526"/>
      <w:r>
        <w:rPr>
          <w:rFonts w:hint="eastAsia" w:ascii="仿宋" w:hAnsi="仿宋" w:eastAsia="仿宋" w:cs="仿宋"/>
          <w:color w:val="auto"/>
          <w:kern w:val="0"/>
          <w:sz w:val="24"/>
          <w:highlight w:val="none"/>
          <w:u w:val="none"/>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w:t>
      </w:r>
      <w:r>
        <w:rPr>
          <w:rFonts w:hint="eastAsia" w:ascii="仿宋" w:hAnsi="仿宋" w:eastAsia="仿宋" w:cs="仿宋"/>
          <w:color w:val="auto"/>
          <w:kern w:val="0"/>
          <w:sz w:val="24"/>
          <w:highlight w:val="none"/>
          <w:u w:val="none"/>
          <w:lang w:val="en-US" w:eastAsia="zh-CN" w:bidi="ar"/>
        </w:rPr>
        <w:t>.</w:t>
      </w:r>
      <w:r>
        <w:rPr>
          <w:rFonts w:hint="eastAsia" w:ascii="仿宋" w:hAnsi="仿宋" w:eastAsia="仿宋" w:cs="仿宋"/>
          <w:color w:val="auto"/>
          <w:kern w:val="0"/>
          <w:sz w:val="24"/>
          <w:highlight w:val="none"/>
          <w:u w:val="none"/>
          <w:lang w:bidi="ar"/>
        </w:rPr>
        <w:t>若提供的是复印件，采购人、采购代理机构保留审核原件的权利。</w:t>
      </w:r>
    </w:p>
    <w:p>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pPr>
        <w:outlineLvl w:val="2"/>
        <w:rPr>
          <w:rFonts w:hint="eastAsia" w:ascii="仿宋" w:hAnsi="仿宋" w:eastAsia="仿宋" w:cs="仿宋"/>
          <w:b/>
          <w:bCs/>
          <w:color w:val="auto"/>
          <w:kern w:val="0"/>
          <w:sz w:val="28"/>
          <w:szCs w:val="28"/>
          <w:highlight w:val="none"/>
          <w:u w:val="none"/>
          <w:lang w:val="en-US" w:eastAsia="zh-CN" w:bidi="ar"/>
        </w:rPr>
      </w:pPr>
      <w:bookmarkStart w:id="527" w:name="_Toc13083"/>
      <w:bookmarkStart w:id="528" w:name="_Toc27165"/>
      <w:bookmarkStart w:id="529" w:name="_Toc20649"/>
      <w:r>
        <w:rPr>
          <w:rFonts w:hint="eastAsia" w:ascii="仿宋" w:hAnsi="仿宋" w:eastAsia="仿宋" w:cs="仿宋"/>
          <w:b/>
          <w:bCs/>
          <w:color w:val="auto"/>
          <w:kern w:val="0"/>
          <w:sz w:val="28"/>
          <w:szCs w:val="28"/>
          <w:highlight w:val="none"/>
          <w:u w:val="none"/>
          <w:lang w:bidi="ar"/>
        </w:rPr>
        <w:t>附件</w:t>
      </w:r>
      <w:r>
        <w:rPr>
          <w:rFonts w:hint="eastAsia" w:ascii="仿宋" w:hAnsi="仿宋" w:eastAsia="仿宋" w:cs="仿宋"/>
          <w:b/>
          <w:bCs/>
          <w:color w:val="auto"/>
          <w:kern w:val="0"/>
          <w:sz w:val="28"/>
          <w:szCs w:val="28"/>
          <w:highlight w:val="none"/>
          <w:u w:val="none"/>
          <w:lang w:val="en-US" w:eastAsia="zh-CN" w:bidi="ar"/>
        </w:rPr>
        <w:t>1</w:t>
      </w:r>
      <w:r>
        <w:rPr>
          <w:rFonts w:hint="eastAsia" w:ascii="仿宋" w:hAnsi="仿宋" w:eastAsia="仿宋" w:cs="仿宋"/>
          <w:b/>
          <w:bCs/>
          <w:color w:val="auto"/>
          <w:kern w:val="0"/>
          <w:sz w:val="28"/>
          <w:szCs w:val="28"/>
          <w:highlight w:val="none"/>
          <w:u w:val="none"/>
          <w:lang w:bidi="ar"/>
        </w:rPr>
        <w:t>-</w:t>
      </w:r>
      <w:r>
        <w:rPr>
          <w:rFonts w:hint="eastAsia" w:ascii="仿宋" w:hAnsi="仿宋" w:eastAsia="仿宋" w:cs="仿宋"/>
          <w:b/>
          <w:bCs/>
          <w:color w:val="auto"/>
          <w:kern w:val="0"/>
          <w:sz w:val="28"/>
          <w:szCs w:val="28"/>
          <w:highlight w:val="none"/>
          <w:u w:val="none"/>
          <w:lang w:val="en-US" w:eastAsia="zh-CN" w:bidi="ar"/>
        </w:rPr>
        <w:t>5参加政府采购活动近3年内，在经营活动中没有重大违法记录</w:t>
      </w:r>
      <w:bookmarkEnd w:id="527"/>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pPr>
        <w:outlineLvl w:val="9"/>
        <w:rPr>
          <w:rFonts w:hint="eastAsia" w:ascii="仿宋" w:hAnsi="仿宋" w:eastAsia="仿宋" w:cs="仿宋"/>
          <w:b/>
          <w:bCs/>
          <w:color w:val="auto"/>
          <w:kern w:val="0"/>
          <w:sz w:val="24"/>
          <w:highlight w:val="none"/>
          <w:u w:val="none"/>
          <w:lang w:val="en-US" w:eastAsia="zh-CN" w:bidi="ar"/>
        </w:rPr>
      </w:pPr>
      <w:bookmarkStart w:id="530" w:name="_Toc30019"/>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none"/>
          <w:lang w:val="en-US" w:eastAsia="zh-CN" w:bidi="ar"/>
        </w:rPr>
        <w:t>.提供声明，格式自拟</w:t>
      </w:r>
      <w:r>
        <w:rPr>
          <w:rFonts w:hint="eastAsia" w:ascii="仿宋" w:hAnsi="仿宋" w:eastAsia="仿宋" w:cs="仿宋"/>
          <w:b/>
          <w:bCs/>
          <w:color w:val="auto"/>
          <w:kern w:val="0"/>
          <w:sz w:val="24"/>
          <w:highlight w:val="none"/>
          <w:u w:val="none"/>
          <w:lang w:val="en-US" w:eastAsia="zh-CN" w:bidi="ar"/>
        </w:rPr>
        <w:br w:type="page"/>
      </w:r>
      <w:bookmarkEnd w:id="530"/>
    </w:p>
    <w:bookmarkEnd w:id="528"/>
    <w:bookmarkEnd w:id="529"/>
    <w:p>
      <w:pPr>
        <w:spacing w:line="360" w:lineRule="auto"/>
        <w:outlineLvl w:val="2"/>
        <w:rPr>
          <w:rFonts w:hint="eastAsia" w:ascii="仿宋" w:hAnsi="仿宋" w:eastAsia="仿宋" w:cs="仿宋"/>
          <w:b/>
          <w:bCs/>
          <w:color w:val="auto"/>
          <w:kern w:val="0"/>
          <w:sz w:val="28"/>
          <w:szCs w:val="28"/>
          <w:highlight w:val="none"/>
          <w:u w:val="none"/>
          <w:lang w:bidi="ar"/>
        </w:rPr>
      </w:pPr>
      <w:bookmarkStart w:id="531" w:name="_Toc30079"/>
      <w:r>
        <w:rPr>
          <w:rFonts w:hint="eastAsia" w:ascii="仿宋" w:hAnsi="仿宋" w:eastAsia="仿宋" w:cs="仿宋"/>
          <w:b/>
          <w:bCs/>
          <w:color w:val="auto"/>
          <w:kern w:val="0"/>
          <w:sz w:val="28"/>
          <w:szCs w:val="28"/>
          <w:highlight w:val="none"/>
          <w:u w:val="none"/>
          <w:lang w:bidi="ar"/>
        </w:rPr>
        <w:t>附件</w:t>
      </w:r>
      <w:r>
        <w:rPr>
          <w:rFonts w:hint="eastAsia" w:ascii="仿宋" w:hAnsi="仿宋" w:eastAsia="仿宋" w:cs="仿宋"/>
          <w:b/>
          <w:bCs/>
          <w:color w:val="auto"/>
          <w:kern w:val="0"/>
          <w:sz w:val="28"/>
          <w:szCs w:val="28"/>
          <w:highlight w:val="none"/>
          <w:u w:val="none"/>
          <w:lang w:val="en-US" w:eastAsia="zh-CN" w:bidi="ar"/>
        </w:rPr>
        <w:t>1</w:t>
      </w:r>
      <w:r>
        <w:rPr>
          <w:rFonts w:hint="eastAsia" w:ascii="仿宋" w:hAnsi="仿宋" w:eastAsia="仿宋" w:cs="仿宋"/>
          <w:b/>
          <w:bCs/>
          <w:color w:val="auto"/>
          <w:kern w:val="0"/>
          <w:sz w:val="28"/>
          <w:szCs w:val="28"/>
          <w:highlight w:val="none"/>
          <w:u w:val="none"/>
          <w:lang w:bidi="ar"/>
        </w:rPr>
        <w:t>-</w:t>
      </w:r>
      <w:r>
        <w:rPr>
          <w:rFonts w:hint="eastAsia" w:ascii="仿宋" w:hAnsi="仿宋" w:eastAsia="仿宋" w:cs="仿宋"/>
          <w:b/>
          <w:bCs/>
          <w:color w:val="auto"/>
          <w:kern w:val="0"/>
          <w:sz w:val="28"/>
          <w:szCs w:val="28"/>
          <w:highlight w:val="none"/>
          <w:u w:val="none"/>
          <w:lang w:val="en-US" w:eastAsia="zh-CN" w:bidi="ar"/>
        </w:rPr>
        <w:t>6本项目的特定资格要求</w:t>
      </w:r>
      <w:bookmarkEnd w:id="531"/>
    </w:p>
    <w:p>
      <w:pPr>
        <w:spacing w:line="360" w:lineRule="auto"/>
        <w:outlineLvl w:val="3"/>
        <w:rPr>
          <w:rFonts w:hint="eastAsia" w:ascii="仿宋" w:hAnsi="仿宋" w:eastAsia="仿宋" w:cs="仿宋"/>
          <w:b/>
          <w:bCs/>
          <w:color w:val="auto"/>
          <w:kern w:val="0"/>
          <w:sz w:val="24"/>
          <w:highlight w:val="none"/>
          <w:u w:val="none"/>
          <w:lang w:val="en-US" w:eastAsia="zh-CN" w:bidi="ar"/>
        </w:rPr>
      </w:pPr>
      <w:bookmarkStart w:id="532" w:name="_Toc16320"/>
      <w:bookmarkStart w:id="533" w:name="_Toc2797"/>
      <w:r>
        <w:rPr>
          <w:rFonts w:hint="eastAsia" w:ascii="仿宋" w:hAnsi="仿宋" w:eastAsia="仿宋" w:cs="仿宋"/>
          <w:b/>
          <w:bCs/>
          <w:color w:val="auto"/>
          <w:kern w:val="0"/>
          <w:sz w:val="24"/>
          <w:highlight w:val="none"/>
          <w:u w:val="none"/>
          <w:lang w:val="en-US" w:eastAsia="zh-CN" w:bidi="ar"/>
        </w:rPr>
        <w:t>1-6.1承诺书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bidi="ar"/>
        </w:rPr>
        <w:t>说明：</w:t>
      </w:r>
      <w:r>
        <w:rPr>
          <w:rFonts w:hint="eastAsia" w:ascii="仿宋" w:hAnsi="仿宋" w:eastAsia="仿宋" w:cs="仿宋"/>
          <w:color w:val="auto"/>
          <w:kern w:val="0"/>
          <w:sz w:val="24"/>
          <w:highlight w:val="none"/>
          <w:u w:val="none"/>
          <w:lang w:val="en-US" w:eastAsia="zh-CN" w:bidi="ar"/>
        </w:rPr>
        <w:t>1.单位负责人为同一人或者存在直接控股、管理关系的不同供应商，不得参加同一合同项下的政府采购活动（提供承诺书格式自拟）；</w:t>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pPr>
        <w:overflowPunct/>
        <w:bidi w:val="0"/>
        <w:spacing w:before="0" w:after="0" w:line="360" w:lineRule="auto"/>
        <w:ind w:left="0" w:leftChars="0" w:right="0" w:rightChars="0"/>
        <w:jc w:val="both"/>
        <w:outlineLvl w:val="3"/>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1-6.2保密承诺书</w:t>
      </w:r>
      <w:bookmarkEnd w:id="532"/>
      <w:bookmarkEnd w:id="533"/>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根据《中华人民共和国保守国家秘密法》(以下简称《国家保密法》)，和项目单位的相关规定，本人做出以下保密承诺</w:t>
      </w:r>
      <w:r>
        <w:rPr>
          <w:rFonts w:hint="eastAsia" w:ascii="仿宋" w:hAnsi="仿宋" w:eastAsia="仿宋" w:cs="仿宋"/>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对工作中接触到的国家秘密的事项，在工作期间、退休或出国后，绝不以任何方式向外泄露，并遵守涉密人员脱密期的管理规定。</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仿宋" w:hAnsi="仿宋" w:eastAsia="仿宋" w:cs="仿宋"/>
          <w:color w:val="auto"/>
          <w:highlight w:val="none"/>
        </w:rPr>
      </w:pPr>
      <w:bookmarkStart w:id="534" w:name="_Toc739"/>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承认在接触项目时所产生的任何秘密信息，为国所有。</w:t>
      </w:r>
      <w:bookmarkEnd w:id="534"/>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已清楚知道因个人的故意或不当行为将导致或可能会触犯《中华人民共和国刑法》中的窃取、刺探、非法提供、非法持有、泄露国家秘密所列之罪行。知道泄露国家秘密事项个人所应承担的责任。</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同意根据《国家保密法》和项目单位保密相关规定，保护国家秘密的安全。在本人行为违反保密规定时，有权马上终止本人接触国家秘密的资格，调离涉密岗位或解除合同直至追究刑事责任。</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五、上述保密承诺书本人已经仔细阅读，对其中的所有内容没有疑义，</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愿意为保守国家秘密承担义务和因</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行为造成泄密后的一切法律责任。保密承诺书自</w:t>
      </w:r>
      <w:r>
        <w:rPr>
          <w:rFonts w:hint="eastAsia" w:ascii="仿宋" w:hAnsi="仿宋" w:eastAsia="仿宋" w:cs="仿宋"/>
          <w:color w:val="auto"/>
          <w:highlight w:val="none"/>
          <w:lang w:eastAsia="zh-CN"/>
        </w:rPr>
        <w:t>本单位</w:t>
      </w:r>
      <w:r>
        <w:rPr>
          <w:rFonts w:hint="eastAsia" w:ascii="仿宋" w:hAnsi="仿宋" w:eastAsia="仿宋" w:cs="仿宋"/>
          <w:color w:val="auto"/>
          <w:highlight w:val="none"/>
        </w:rPr>
        <w:t>签订之日起生效。</w:t>
      </w:r>
    </w:p>
    <w:p>
      <w:pPr>
        <w:wordWrap w:val="0"/>
        <w:overflowPunct/>
        <w:bidi w:val="0"/>
        <w:spacing w:before="0" w:after="0" w:line="360" w:lineRule="auto"/>
        <w:ind w:left="0" w:leftChars="0" w:right="0" w:rightChars="0"/>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t>承诺人</w:t>
      </w:r>
      <w:r>
        <w:rPr>
          <w:rFonts w:hint="eastAsia" w:ascii="仿宋" w:hAnsi="仿宋" w:eastAsia="仿宋" w:cs="仿宋"/>
          <w:color w:val="auto"/>
          <w:kern w:val="0"/>
          <w:sz w:val="24"/>
          <w:szCs w:val="24"/>
          <w:highlight w:val="none"/>
          <w:lang w:val="en-US" w:eastAsia="zh-CN" w:bidi="ar"/>
        </w:rPr>
        <w:t>名称（加盖公章）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overflowPunct/>
        <w:bidi w:val="0"/>
        <w:spacing w:before="0" w:after="0" w:line="360" w:lineRule="auto"/>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法人授权代表（签字）：</w:t>
      </w:r>
      <w:r>
        <w:rPr>
          <w:rFonts w:hint="eastAsia" w:ascii="仿宋" w:hAnsi="仿宋" w:eastAsia="仿宋" w:cs="仿宋"/>
          <w:color w:val="auto"/>
          <w:sz w:val="24"/>
          <w:szCs w:val="24"/>
          <w:highlight w:val="none"/>
          <w:u w:val="single"/>
          <w:lang w:val="en-US" w:eastAsia="zh-CN"/>
        </w:rPr>
        <w:t xml:space="preserve">                        </w:t>
      </w:r>
    </w:p>
    <w:p>
      <w:pPr>
        <w:overflowPunct/>
        <w:bidi w:val="0"/>
        <w:spacing w:before="0" w:after="0" w:line="360" w:lineRule="auto"/>
        <w:ind w:left="0" w:leftChars="0" w:right="0" w:rightChars="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pPr>
        <w:spacing w:line="360" w:lineRule="auto"/>
        <w:outlineLvl w:val="1"/>
        <w:rPr>
          <w:rFonts w:hint="eastAsia" w:ascii="仿宋" w:hAnsi="仿宋" w:eastAsia="仿宋" w:cs="仿宋"/>
          <w:b/>
          <w:bCs/>
          <w:color w:val="auto"/>
          <w:kern w:val="0"/>
          <w:sz w:val="28"/>
          <w:szCs w:val="28"/>
          <w:highlight w:val="none"/>
          <w:u w:val="none"/>
          <w:lang w:bidi="ar"/>
        </w:rPr>
      </w:pPr>
      <w:bookmarkStart w:id="535" w:name="_Toc21978"/>
      <w:bookmarkStart w:id="536" w:name="_Toc12879"/>
      <w:bookmarkStart w:id="537" w:name="_Toc19895"/>
      <w:bookmarkStart w:id="538" w:name="_Toc18913"/>
      <w:r>
        <w:rPr>
          <w:rFonts w:hint="eastAsia" w:ascii="仿宋" w:hAnsi="仿宋" w:eastAsia="仿宋" w:cs="仿宋"/>
          <w:b/>
          <w:bCs/>
          <w:color w:val="auto"/>
          <w:kern w:val="0"/>
          <w:sz w:val="28"/>
          <w:szCs w:val="28"/>
          <w:highlight w:val="none"/>
          <w:u w:val="none"/>
          <w:lang w:val="en-US" w:eastAsia="zh-CN" w:bidi="ar"/>
        </w:rPr>
        <w:t>附件1-7落实政府采购政策需满足的资格要求（如有）</w:t>
      </w:r>
      <w:bookmarkEnd w:id="535"/>
      <w:bookmarkEnd w:id="536"/>
      <w:bookmarkEnd w:id="537"/>
      <w:bookmarkEnd w:id="538"/>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3"/>
        <w:rPr>
          <w:rFonts w:hint="eastAsia" w:ascii="仿宋" w:hAnsi="仿宋" w:eastAsia="仿宋" w:cs="仿宋"/>
          <w:b/>
          <w:bCs/>
          <w:color w:val="auto"/>
          <w:sz w:val="35"/>
          <w:szCs w:val="35"/>
        </w:rPr>
      </w:pPr>
      <w:r>
        <w:rPr>
          <w:rFonts w:hint="eastAsia" w:ascii="仿宋" w:hAnsi="仿宋" w:eastAsia="仿宋" w:cs="仿宋"/>
          <w:b/>
          <w:bCs/>
          <w:color w:val="auto"/>
          <w:spacing w:val="9"/>
          <w:sz w:val="35"/>
          <w:szCs w:val="35"/>
        </w:rPr>
        <w:t>中</w:t>
      </w:r>
      <w:r>
        <w:rPr>
          <w:rFonts w:hint="eastAsia" w:ascii="仿宋" w:hAnsi="仿宋" w:eastAsia="仿宋" w:cs="仿宋"/>
          <w:b/>
          <w:bCs/>
          <w:color w:val="auto"/>
          <w:spacing w:val="5"/>
          <w:sz w:val="35"/>
          <w:szCs w:val="35"/>
        </w:rPr>
        <w:t>小企业声明函(货物)</w:t>
      </w:r>
    </w:p>
    <w:p>
      <w:pPr>
        <w:spacing w:line="460" w:lineRule="exact"/>
        <w:ind w:firstLine="496"/>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本公司 (联合体) 郑重声明，根据《政府采购促进中小企业发展管理办法》(财库 ﹝ 2020 ﹞ 46 号) 的规定，本公司</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u w:val="single"/>
        </w:rPr>
        <w:tab/>
      </w:r>
      <w:r>
        <w:rPr>
          <w:rFonts w:hint="eastAsia" w:ascii="仿宋" w:hAnsi="仿宋" w:eastAsia="仿宋" w:cs="仿宋"/>
          <w:color w:val="auto"/>
          <w:spacing w:val="4"/>
          <w:sz w:val="24"/>
          <w:szCs w:val="24"/>
          <w:u w:val="single"/>
        </w:rPr>
        <w:t>(联合体) 参加 (单位名称)</w:t>
      </w:r>
      <w:r>
        <w:rPr>
          <w:rFonts w:hint="eastAsia" w:ascii="仿宋" w:hAnsi="仿宋" w:eastAsia="仿宋" w:cs="仿宋"/>
          <w:color w:val="auto"/>
          <w:spacing w:val="4"/>
          <w:sz w:val="24"/>
          <w:szCs w:val="24"/>
        </w:rPr>
        <w:t>的</w:t>
      </w:r>
      <w:r>
        <w:rPr>
          <w:rFonts w:hint="eastAsia" w:ascii="仿宋" w:hAnsi="仿宋" w:eastAsia="仿宋" w:cs="仿宋"/>
          <w:color w:val="auto"/>
          <w:spacing w:val="4"/>
          <w:sz w:val="24"/>
          <w:szCs w:val="24"/>
          <w:u w:val="single"/>
        </w:rPr>
        <w:t xml:space="preserve"> (项目名称) </w:t>
      </w:r>
      <w:r>
        <w:rPr>
          <w:rFonts w:hint="eastAsia" w:ascii="仿宋" w:hAnsi="仿宋" w:eastAsia="仿宋" w:cs="仿宋"/>
          <w:color w:val="auto"/>
          <w:spacing w:val="4"/>
          <w:sz w:val="24"/>
          <w:szCs w:val="24"/>
        </w:rPr>
        <w:t>采购活动，提供的货物全部由符合政策要求的中小企业制造。相关企业(含联合体中的中小企业、签订分包意向协议的中小企业)的具体情况如下：</w:t>
      </w:r>
    </w:p>
    <w:p>
      <w:pPr>
        <w:spacing w:line="460" w:lineRule="exact"/>
        <w:ind w:firstLine="496"/>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1.</w:t>
      </w:r>
      <w:r>
        <w:rPr>
          <w:rFonts w:hint="eastAsia" w:ascii="仿宋" w:hAnsi="仿宋" w:eastAsia="仿宋" w:cs="仿宋"/>
          <w:color w:val="auto"/>
          <w:spacing w:val="4"/>
          <w:sz w:val="24"/>
          <w:szCs w:val="24"/>
          <w:u w:val="single"/>
        </w:rPr>
        <w:t xml:space="preserve"> (标的名称) </w:t>
      </w:r>
      <w:r>
        <w:rPr>
          <w:rFonts w:hint="eastAsia" w:ascii="仿宋" w:hAnsi="仿宋" w:eastAsia="仿宋" w:cs="仿宋"/>
          <w:color w:val="auto"/>
          <w:spacing w:val="4"/>
          <w:sz w:val="24"/>
          <w:szCs w:val="24"/>
        </w:rPr>
        <w:t>，属于</w:t>
      </w:r>
      <w:r>
        <w:rPr>
          <w:rFonts w:hint="eastAsia" w:ascii="仿宋" w:hAnsi="仿宋" w:eastAsia="仿宋" w:cs="仿宋"/>
          <w:color w:val="auto"/>
          <w:spacing w:val="4"/>
          <w:sz w:val="24"/>
          <w:szCs w:val="24"/>
          <w:u w:val="single"/>
        </w:rPr>
        <w:t xml:space="preserve"> (采购文件中明确的所属行业)</w:t>
      </w:r>
      <w:r>
        <w:rPr>
          <w:rFonts w:hint="eastAsia" w:ascii="仿宋" w:hAnsi="仿宋" w:eastAsia="仿宋" w:cs="仿宋"/>
          <w:color w:val="auto"/>
          <w:spacing w:val="4"/>
          <w:sz w:val="24"/>
          <w:szCs w:val="24"/>
        </w:rPr>
        <w:t>行业；制造商为</w:t>
      </w:r>
      <w:r>
        <w:rPr>
          <w:rFonts w:hint="eastAsia" w:ascii="仿宋" w:hAnsi="仿宋" w:eastAsia="仿宋" w:cs="仿宋"/>
          <w:color w:val="auto"/>
          <w:spacing w:val="4"/>
          <w:sz w:val="24"/>
          <w:szCs w:val="24"/>
          <w:u w:val="single"/>
        </w:rPr>
        <w:t xml:space="preserve"> (企业名称)</w:t>
      </w:r>
      <w:r>
        <w:rPr>
          <w:rFonts w:hint="eastAsia" w:ascii="仿宋" w:hAnsi="仿宋" w:eastAsia="仿宋" w:cs="仿宋"/>
          <w:color w:val="auto"/>
          <w:spacing w:val="4"/>
          <w:sz w:val="24"/>
          <w:szCs w:val="24"/>
        </w:rPr>
        <w:t>，从业人员</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 xml:space="preserve">人，营业收入为 </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万元，资产总额为</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万元，属于</w:t>
      </w:r>
      <w:r>
        <w:rPr>
          <w:rFonts w:hint="eastAsia" w:ascii="仿宋" w:hAnsi="仿宋" w:eastAsia="仿宋" w:cs="仿宋"/>
          <w:color w:val="auto"/>
          <w:spacing w:val="4"/>
          <w:sz w:val="24"/>
          <w:szCs w:val="24"/>
          <w:u w:val="single"/>
        </w:rPr>
        <w:t xml:space="preserve"> (中型企业、小型企业、微型企业)</w:t>
      </w:r>
      <w:r>
        <w:rPr>
          <w:rFonts w:hint="eastAsia" w:ascii="仿宋" w:hAnsi="仿宋" w:eastAsia="仿宋" w:cs="仿宋"/>
          <w:color w:val="auto"/>
          <w:spacing w:val="4"/>
          <w:sz w:val="24"/>
          <w:szCs w:val="24"/>
        </w:rPr>
        <w:t>；</w:t>
      </w:r>
    </w:p>
    <w:p>
      <w:pPr>
        <w:spacing w:line="460" w:lineRule="exact"/>
        <w:ind w:firstLine="496"/>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4"/>
          <w:sz w:val="24"/>
          <w:szCs w:val="24"/>
          <w:u w:val="single"/>
        </w:rPr>
        <w:t xml:space="preserve"> (标的名称) </w:t>
      </w:r>
      <w:r>
        <w:rPr>
          <w:rFonts w:hint="eastAsia" w:ascii="仿宋" w:hAnsi="仿宋" w:eastAsia="仿宋" w:cs="仿宋"/>
          <w:color w:val="auto"/>
          <w:spacing w:val="4"/>
          <w:sz w:val="24"/>
          <w:szCs w:val="24"/>
        </w:rPr>
        <w:t>，属于</w:t>
      </w:r>
      <w:r>
        <w:rPr>
          <w:rFonts w:hint="eastAsia" w:ascii="仿宋" w:hAnsi="仿宋" w:eastAsia="仿宋" w:cs="仿宋"/>
          <w:color w:val="auto"/>
          <w:spacing w:val="4"/>
          <w:sz w:val="24"/>
          <w:szCs w:val="24"/>
          <w:u w:val="single"/>
        </w:rPr>
        <w:t xml:space="preserve"> (采购文件中明确的所属行业) 行业</w:t>
      </w:r>
      <w:r>
        <w:rPr>
          <w:rFonts w:hint="eastAsia" w:ascii="仿宋" w:hAnsi="仿宋" w:eastAsia="仿宋" w:cs="仿宋"/>
          <w:color w:val="auto"/>
          <w:spacing w:val="4"/>
          <w:sz w:val="24"/>
          <w:szCs w:val="24"/>
        </w:rPr>
        <w:t>；制造商为</w:t>
      </w:r>
      <w:r>
        <w:rPr>
          <w:rFonts w:hint="eastAsia" w:ascii="仿宋" w:hAnsi="仿宋" w:eastAsia="仿宋" w:cs="仿宋"/>
          <w:color w:val="auto"/>
          <w:spacing w:val="4"/>
          <w:sz w:val="24"/>
          <w:szCs w:val="24"/>
          <w:u w:val="single"/>
        </w:rPr>
        <w:t>(企业名称)</w:t>
      </w:r>
      <w:r>
        <w:rPr>
          <w:rFonts w:hint="eastAsia" w:ascii="仿宋" w:hAnsi="仿宋" w:eastAsia="仿宋" w:cs="仿宋"/>
          <w:color w:val="auto"/>
          <w:spacing w:val="4"/>
          <w:sz w:val="24"/>
          <w:szCs w:val="24"/>
        </w:rPr>
        <w:t>，从业人员</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人，营业收入为</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万元，资产总额为</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4"/>
          <w:sz w:val="24"/>
          <w:szCs w:val="24"/>
        </w:rPr>
        <w:t>万元，属于</w:t>
      </w:r>
      <w:r>
        <w:rPr>
          <w:rFonts w:hint="eastAsia" w:ascii="仿宋" w:hAnsi="仿宋" w:eastAsia="仿宋" w:cs="仿宋"/>
          <w:color w:val="auto"/>
          <w:spacing w:val="4"/>
          <w:sz w:val="24"/>
          <w:szCs w:val="24"/>
          <w:u w:val="single"/>
        </w:rPr>
        <w:t xml:space="preserve"> (中型企业、小型企业、微型企业)</w:t>
      </w:r>
      <w:r>
        <w:rPr>
          <w:rFonts w:hint="eastAsia" w:ascii="仿宋" w:hAnsi="仿宋" w:eastAsia="仿宋" w:cs="仿宋"/>
          <w:color w:val="auto"/>
          <w:spacing w:val="4"/>
          <w:sz w:val="24"/>
          <w:szCs w:val="24"/>
          <w:u w:val="single"/>
          <w:lang w:val="en-US" w:eastAsia="zh-CN"/>
        </w:rPr>
        <w:t xml:space="preserve"> </w:t>
      </w:r>
      <w:r>
        <w:rPr>
          <w:rFonts w:hint="eastAsia" w:ascii="仿宋" w:hAnsi="仿宋" w:eastAsia="仿宋" w:cs="仿宋"/>
          <w:color w:val="auto"/>
          <w:spacing w:val="4"/>
          <w:sz w:val="24"/>
          <w:szCs w:val="24"/>
        </w:rPr>
        <w:t>；</w:t>
      </w:r>
    </w:p>
    <w:p>
      <w:pPr>
        <w:spacing w:line="460" w:lineRule="exact"/>
        <w:ind w:firstLine="496"/>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以上企业，不属于大企业的分支机构，不存在控股股东为大企业的情形，也不存在与大企业的负责人为同一人的情形。</w:t>
      </w:r>
    </w:p>
    <w:p>
      <w:pPr>
        <w:spacing w:line="460" w:lineRule="exact"/>
        <w:ind w:firstLine="496"/>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本企业对上述声明内容的真实性负责。如有虚假，将依法承担相应责任。</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20" w:firstLineChars="2300"/>
        <w:jc w:val="both"/>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pPr>
        <w:adjustRightInd w:val="0"/>
        <w:snapToGrid w:val="0"/>
        <w:spacing w:line="360" w:lineRule="auto"/>
        <w:jc w:val="left"/>
        <w:rPr>
          <w:rFonts w:hint="eastAsia" w:ascii="仿宋" w:hAnsi="仿宋" w:eastAsia="仿宋" w:cs="仿宋"/>
          <w:bCs/>
          <w:color w:val="auto"/>
          <w:spacing w:val="6"/>
          <w:kern w:val="0"/>
          <w:szCs w:val="21"/>
        </w:rPr>
      </w:pPr>
      <w:r>
        <w:rPr>
          <w:rFonts w:hint="eastAsia" w:ascii="仿宋" w:hAnsi="仿宋" w:eastAsia="仿宋" w:cs="仿宋"/>
          <w:bCs/>
          <w:color w:val="auto"/>
          <w:spacing w:val="6"/>
          <w:kern w:val="0"/>
          <w:szCs w:val="21"/>
        </w:rPr>
        <w:t>1从业人员、营业收入、资产总额填报上一年度数据，无上一年度数据的新成立企业可不填报。</w:t>
      </w:r>
    </w:p>
    <w:p>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pPr>
        <w:keepNext w:val="0"/>
        <w:keepLines w:val="0"/>
        <w:widowControl/>
        <w:suppressLineNumbers w:val="0"/>
        <w:spacing w:line="360" w:lineRule="auto"/>
        <w:jc w:val="center"/>
        <w:outlineLvl w:val="3"/>
        <w:rPr>
          <w:rFonts w:hint="eastAsia" w:ascii="仿宋" w:hAnsi="仿宋" w:eastAsia="仿宋" w:cs="仿宋"/>
          <w:b/>
          <w:bCs/>
          <w:color w:val="auto"/>
          <w:kern w:val="0"/>
          <w:sz w:val="32"/>
          <w:szCs w:val="32"/>
          <w:highlight w:val="none"/>
          <w:lang w:val="en-US" w:eastAsia="zh-CN" w:bidi="ar"/>
        </w:rPr>
      </w:pPr>
      <w:bookmarkStart w:id="539" w:name="_Toc5916"/>
      <w:bookmarkStart w:id="540" w:name="_Toc1653"/>
      <w:r>
        <w:rPr>
          <w:rFonts w:hint="eastAsia" w:ascii="仿宋" w:hAnsi="仿宋" w:eastAsia="仿宋" w:cs="仿宋"/>
          <w:b/>
          <w:bCs/>
          <w:color w:val="auto"/>
          <w:kern w:val="0"/>
          <w:sz w:val="32"/>
          <w:szCs w:val="32"/>
          <w:highlight w:val="none"/>
          <w:lang w:val="en-US" w:eastAsia="zh-CN" w:bidi="ar"/>
        </w:rPr>
        <w:t>残疾人福利性单位声明函格式</w:t>
      </w:r>
      <w:bookmarkEnd w:id="539"/>
      <w:bookmarkEnd w:id="540"/>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□不属于符合条件的残疾人福利性单位。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本单位对上述声明的真实性负责。如有虚假，将依法承担相应责任。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单位名称（盖章）：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p>
    <w:p>
      <w:pP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pPr>
        <w:keepNext w:val="0"/>
        <w:keepLines w:val="0"/>
        <w:widowControl/>
        <w:suppressLineNumbers w:val="0"/>
        <w:spacing w:line="360" w:lineRule="auto"/>
        <w:jc w:val="center"/>
        <w:outlineLvl w:val="3"/>
        <w:rPr>
          <w:rFonts w:hint="eastAsia" w:ascii="仿宋" w:hAnsi="仿宋" w:eastAsia="仿宋" w:cs="仿宋"/>
          <w:b/>
          <w:bCs/>
          <w:color w:val="auto"/>
          <w:kern w:val="0"/>
          <w:sz w:val="32"/>
          <w:szCs w:val="32"/>
          <w:highlight w:val="none"/>
          <w:lang w:val="en-US" w:eastAsia="zh-CN" w:bidi="ar"/>
        </w:rPr>
      </w:pPr>
      <w:bookmarkStart w:id="541" w:name="_Toc2820"/>
      <w:bookmarkStart w:id="542" w:name="_Toc17516"/>
      <w:r>
        <w:rPr>
          <w:rFonts w:hint="eastAsia" w:ascii="仿宋" w:hAnsi="仿宋" w:eastAsia="仿宋" w:cs="仿宋"/>
          <w:b/>
          <w:bCs/>
          <w:color w:val="auto"/>
          <w:kern w:val="0"/>
          <w:sz w:val="32"/>
          <w:szCs w:val="32"/>
          <w:highlight w:val="none"/>
          <w:lang w:val="en-US" w:eastAsia="zh-CN" w:bidi="ar"/>
        </w:rPr>
        <w:t>监狱企业证明文件（如有）</w:t>
      </w:r>
      <w:bookmarkEnd w:id="541"/>
      <w:bookmarkEnd w:id="542"/>
    </w:p>
    <w:p>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监狱企业证明文件</w:t>
      </w:r>
    </w:p>
    <w:p>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pPr>
        <w:keepNext w:val="0"/>
        <w:keepLines w:val="0"/>
        <w:widowControl/>
        <w:suppressLineNumbers w:val="0"/>
        <w:jc w:val="center"/>
        <w:outlineLvl w:val="3"/>
        <w:rPr>
          <w:rFonts w:hint="eastAsia" w:ascii="仿宋" w:hAnsi="仿宋" w:eastAsia="仿宋" w:cs="仿宋"/>
          <w:b/>
          <w:bCs/>
          <w:color w:val="auto"/>
          <w:kern w:val="0"/>
          <w:sz w:val="32"/>
          <w:szCs w:val="32"/>
          <w:highlight w:val="none"/>
          <w:lang w:val="en-US" w:eastAsia="zh-CN" w:bidi="ar"/>
        </w:rPr>
      </w:pPr>
      <w:bookmarkStart w:id="543" w:name="_Toc17527"/>
      <w:bookmarkStart w:id="544" w:name="_Toc23214"/>
      <w:r>
        <w:rPr>
          <w:rFonts w:hint="eastAsia" w:ascii="仿宋" w:hAnsi="仿宋" w:eastAsia="仿宋" w:cs="仿宋"/>
          <w:b/>
          <w:bCs/>
          <w:color w:val="auto"/>
          <w:kern w:val="0"/>
          <w:sz w:val="32"/>
          <w:szCs w:val="32"/>
          <w:highlight w:val="none"/>
          <w:lang w:val="en-US" w:eastAsia="zh-CN" w:bidi="ar"/>
        </w:rPr>
        <w:t>其它落实政府采购政策的资格要求（如有）</w:t>
      </w:r>
      <w:bookmarkEnd w:id="543"/>
      <w:bookmarkEnd w:id="544"/>
    </w:p>
    <w:p>
      <w:pPr>
        <w:keepNext w:val="0"/>
        <w:keepLines w:val="0"/>
        <w:widowControl/>
        <w:suppressLineNumbers w:val="0"/>
        <w:jc w:val="left"/>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45" w:name="_Toc29343"/>
      <w:bookmarkStart w:id="546" w:name="_Toc30903"/>
      <w:bookmarkStart w:id="547" w:name="_Toc6938"/>
      <w:r>
        <w:rPr>
          <w:rFonts w:hint="eastAsia" w:ascii="仿宋" w:hAnsi="仿宋" w:eastAsia="仿宋" w:cs="仿宋"/>
          <w:b/>
          <w:bCs/>
          <w:color w:val="auto"/>
          <w:kern w:val="0"/>
          <w:sz w:val="32"/>
          <w:szCs w:val="32"/>
          <w:highlight w:val="none"/>
          <w:lang w:val="en-US" w:eastAsia="zh-CN" w:bidi="ar"/>
        </w:rPr>
        <w:t>5谈判保证金凭证/交款单据电子件</w:t>
      </w:r>
      <w:bookmarkEnd w:id="545"/>
      <w:bookmarkEnd w:id="546"/>
      <w:bookmarkEnd w:id="547"/>
    </w:p>
    <w:p>
      <w:pPr>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48" w:name="_Toc27376"/>
      <w:bookmarkStart w:id="549" w:name="_Toc30696"/>
      <w:bookmarkStart w:id="550" w:name="_Toc9609"/>
      <w:bookmarkStart w:id="551" w:name="_Toc6595"/>
      <w:r>
        <w:rPr>
          <w:rFonts w:hint="eastAsia" w:ascii="仿宋" w:hAnsi="仿宋" w:eastAsia="仿宋" w:cs="仿宋"/>
          <w:b/>
          <w:bCs/>
          <w:color w:val="auto"/>
          <w:kern w:val="0"/>
          <w:sz w:val="32"/>
          <w:szCs w:val="32"/>
          <w:highlight w:val="none"/>
          <w:lang w:val="en-US" w:eastAsia="zh-CN" w:bidi="ar"/>
        </w:rPr>
        <w:t>6商务条款偏离表</w:t>
      </w:r>
      <w:bookmarkEnd w:id="548"/>
      <w:bookmarkEnd w:id="549"/>
      <w:bookmarkEnd w:id="550"/>
      <w:bookmarkEnd w:id="551"/>
    </w:p>
    <w:p>
      <w:pPr>
        <w:pStyle w:val="26"/>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对本项目商务条款的偏离情况（请进行勾选）：</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b/>
                <w:bCs/>
                <w:color w:val="auto"/>
                <w:sz w:val="21"/>
                <w:szCs w:val="21"/>
                <w:highlight w:val="none"/>
                <w:vertAlign w:val="baseline"/>
                <w:lang w:val="en-US" w:eastAsia="zh-CN"/>
              </w:rPr>
              <w:t>无偏离</w:t>
            </w:r>
            <w:r>
              <w:rPr>
                <w:rFonts w:hint="eastAsia" w:ascii="仿宋" w:hAnsi="仿宋" w:eastAsia="仿宋" w:cs="仿宋"/>
                <w:color w:val="auto"/>
                <w:sz w:val="21"/>
                <w:szCs w:val="21"/>
                <w:highlight w:val="none"/>
                <w:vertAlign w:val="baseline"/>
                <w:lang w:val="en-US" w:eastAsia="zh-CN"/>
              </w:rPr>
              <w:t>（如无偏离，仅勾选无偏离即可）</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b/>
                <w:bCs/>
                <w:color w:val="auto"/>
                <w:sz w:val="21"/>
                <w:szCs w:val="21"/>
                <w:highlight w:val="none"/>
                <w:vertAlign w:val="baseline"/>
                <w:lang w:val="en-US" w:eastAsia="zh-CN"/>
              </w:rPr>
              <w:t>有偏离</w:t>
            </w:r>
            <w:r>
              <w:rPr>
                <w:rFonts w:hint="eastAsia" w:ascii="仿宋" w:hAnsi="仿宋" w:eastAsia="仿宋" w:cs="仿宋"/>
                <w:color w:val="auto"/>
                <w:sz w:val="21"/>
                <w:szCs w:val="21"/>
                <w:highlight w:val="none"/>
                <w:vertAlign w:val="baseline"/>
                <w:lang w:val="en-US" w:eastAsia="zh-CN"/>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谈判文件</w:t>
            </w:r>
          </w:p>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条目号</w:t>
            </w:r>
          </w:p>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（页码）</w:t>
            </w: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谈判文件要求</w:t>
            </w: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响应文件内容</w:t>
            </w: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偏离情况</w:t>
            </w: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9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75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56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105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1.对商务条款中的所有要求，除本表所列明的所有偏离外，均视作供应商已对之理解和响应。</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lang w:val="en-US" w:eastAsia="zh-CN"/>
        </w:rPr>
      </w:pPr>
      <w:bookmarkStart w:id="552" w:name="_Toc30559"/>
      <w:bookmarkStart w:id="553" w:name="_Toc22528"/>
      <w:r>
        <w:rPr>
          <w:rFonts w:hint="eastAsia" w:ascii="仿宋" w:hAnsi="仿宋" w:eastAsia="仿宋" w:cs="仿宋"/>
          <w:color w:val="auto"/>
          <w:sz w:val="24"/>
          <w:szCs w:val="24"/>
          <w:highlight w:val="none"/>
          <w:lang w:val="en-US" w:eastAsia="zh-CN"/>
        </w:rPr>
        <w:t>2.“偏离情况”列应据实填写“正偏离”或“负偏离”。</w:t>
      </w:r>
      <w:bookmarkEnd w:id="552"/>
      <w:bookmarkEnd w:id="553"/>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供应商名称（加盖公章）：</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年     月     日</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54" w:name="_Toc31504"/>
      <w:r>
        <w:rPr>
          <w:rFonts w:hint="eastAsia" w:ascii="仿宋" w:hAnsi="仿宋" w:eastAsia="仿宋" w:cs="仿宋"/>
          <w:b/>
          <w:bCs/>
          <w:color w:val="auto"/>
          <w:kern w:val="0"/>
          <w:sz w:val="32"/>
          <w:szCs w:val="32"/>
          <w:highlight w:val="none"/>
          <w:lang w:val="en-US" w:eastAsia="zh-CN" w:bidi="ar"/>
        </w:rPr>
        <w:t>7技术参数、功能偏离表</w:t>
      </w:r>
      <w:bookmarkEnd w:id="554"/>
    </w:p>
    <w:p>
      <w:pPr>
        <w:pStyle w:val="26"/>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项目编号：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项目名称：</w:t>
      </w:r>
      <w:r>
        <w:rPr>
          <w:rFonts w:hint="eastAsia" w:ascii="仿宋" w:hAnsi="仿宋" w:eastAsia="仿宋" w:cs="仿宋"/>
          <w:color w:val="auto"/>
          <w:sz w:val="21"/>
          <w:szCs w:val="21"/>
          <w:highlight w:val="none"/>
          <w:u w:val="single"/>
          <w:lang w:val="en-US"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谈判文件条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目号(页码)</w:t>
            </w: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谈判文件要求</w:t>
            </w: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响应文件内容</w:t>
            </w: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偏离情况</w:t>
            </w: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6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c>
          <w:tcPr>
            <w:tcW w:w="14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1.对采购文件中的所有商务、技术要求，除本表所列明的所有偏离情况外，均视作供应商已对之理解和响应。此表中若无任何文字说明，内容为空白，视为全部响应。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2.“偏离情况”列应据实填写“正偏离”、“负偏离”或“无偏离”。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供应商名称（加盖公章）： </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年     月     日</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55" w:name="_Toc4924"/>
      <w:bookmarkStart w:id="556" w:name="_Toc47261886"/>
      <w:bookmarkStart w:id="557" w:name="_Toc47261691"/>
      <w:bookmarkStart w:id="558" w:name="_Toc49019237"/>
      <w:bookmarkStart w:id="559" w:name="_Toc47418256"/>
      <w:bookmarkStart w:id="560" w:name="_Toc48791236"/>
      <w:bookmarkStart w:id="561" w:name="_Toc48995852"/>
      <w:bookmarkStart w:id="562" w:name="_Toc47418939"/>
      <w:bookmarkStart w:id="563" w:name="_Toc47418732"/>
      <w:bookmarkStart w:id="564" w:name="_Toc47262070"/>
      <w:bookmarkStart w:id="565" w:name="_Toc205342876"/>
      <w:r>
        <w:rPr>
          <w:rFonts w:hint="eastAsia" w:ascii="仿宋" w:hAnsi="仿宋" w:eastAsia="仿宋" w:cs="仿宋"/>
          <w:b/>
          <w:bCs/>
          <w:color w:val="auto"/>
          <w:kern w:val="0"/>
          <w:sz w:val="32"/>
          <w:szCs w:val="32"/>
          <w:highlight w:val="none"/>
          <w:lang w:val="en-US" w:eastAsia="zh-CN" w:bidi="ar"/>
        </w:rPr>
        <w:t>8拟投入本项目的人员一览表</w:t>
      </w:r>
      <w:bookmarkEnd w:id="555"/>
    </w:p>
    <w:tbl>
      <w:tblPr>
        <w:tblStyle w:val="3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4"/>
        <w:gridCol w:w="1016"/>
        <w:gridCol w:w="1053"/>
        <w:gridCol w:w="828"/>
        <w:gridCol w:w="759"/>
        <w:gridCol w:w="1183"/>
        <w:gridCol w:w="1154"/>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exact"/>
          <w:jc w:val="center"/>
        </w:trPr>
        <w:tc>
          <w:tcPr>
            <w:tcW w:w="87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职责分工</w:t>
            </w: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姓名</w:t>
            </w: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年龄</w:t>
            </w: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专业</w:t>
            </w: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岗位</w:t>
            </w: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在本项目中担任任务</w:t>
            </w: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szCs w:val="21"/>
              </w:rPr>
            </w:pPr>
            <w:r>
              <w:rPr>
                <w:rFonts w:hint="eastAsia" w:ascii="仿宋" w:hAnsi="仿宋" w:eastAsia="仿宋" w:cs="仿宋"/>
                <w:b/>
                <w:bCs/>
                <w:color w:val="auto"/>
                <w:sz w:val="24"/>
                <w:szCs w:val="24"/>
              </w:rPr>
              <w:t>从事本专业时间</w:t>
            </w:r>
          </w:p>
        </w:tc>
        <w:tc>
          <w:tcPr>
            <w:tcW w:w="607" w:type="pct"/>
            <w:noWrap w:val="0"/>
            <w:vAlign w:val="center"/>
          </w:tcPr>
          <w:p>
            <w:pPr>
              <w:keepNext w:val="0"/>
              <w:keepLines w:val="0"/>
              <w:suppressLineNumbers w:val="0"/>
              <w:spacing w:before="0" w:beforeAutospacing="0" w:after="0" w:afterAutospacing="0" w:line="240" w:lineRule="auto"/>
              <w:ind w:left="0" w:right="0" w:firstLine="12"/>
              <w:jc w:val="center"/>
              <w:rPr>
                <w:rFonts w:hint="eastAsia" w:ascii="仿宋" w:hAnsi="仿宋" w:eastAsia="仿宋" w:cs="仿宋"/>
                <w:b/>
                <w:bCs/>
                <w:color w:val="auto"/>
                <w:szCs w:val="21"/>
              </w:rPr>
            </w:pPr>
            <w:r>
              <w:rPr>
                <w:rFonts w:hint="eastAsia" w:ascii="仿宋" w:hAnsi="仿宋" w:eastAsia="仿宋" w:cs="仿宋"/>
                <w:b/>
                <w:bCs/>
                <w:color w:val="auto"/>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exact"/>
          <w:jc w:val="center"/>
        </w:trPr>
        <w:tc>
          <w:tcPr>
            <w:tcW w:w="87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项目</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负责人</w:t>
            </w: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pStyle w:val="4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rPr>
            </w:pPr>
          </w:p>
        </w:tc>
        <w:tc>
          <w:tcPr>
            <w:tcW w:w="445" w:type="pct"/>
            <w:tcBorders>
              <w:left w:val="single" w:color="auto" w:sz="4" w:space="0"/>
            </w:tcBorders>
            <w:noWrap w:val="0"/>
            <w:vAlign w:val="center"/>
          </w:tcPr>
          <w:p>
            <w:pPr>
              <w:pStyle w:val="4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rPr>
            </w:pPr>
          </w:p>
        </w:tc>
        <w:tc>
          <w:tcPr>
            <w:tcW w:w="693" w:type="pct"/>
            <w:tcBorders>
              <w:right w:val="single" w:color="auto" w:sz="4" w:space="0"/>
            </w:tcBorders>
            <w:noWrap w:val="0"/>
            <w:vAlign w:val="center"/>
          </w:tcPr>
          <w:p>
            <w:pPr>
              <w:pStyle w:val="47"/>
              <w:keepLines w:val="0"/>
              <w:suppressLineNumbers w:val="0"/>
              <w:spacing w:beforeAutospacing="0" w:afterAutospacing="0" w:line="240" w:lineRule="auto"/>
              <w:ind w:left="0" w:right="0"/>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firstLine="12"/>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其他人员</w:t>
            </w: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76"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596"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1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85"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445"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93"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7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c>
          <w:tcPr>
            <w:tcW w:w="607"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Cs w:val="21"/>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rPr>
        <w:t>注：1、本表中的项目负责人应附相关证书、身份证、职称证、学历证复印件。</w:t>
      </w:r>
      <w:r>
        <w:rPr>
          <w:rFonts w:hint="eastAsia" w:ascii="仿宋" w:hAnsi="仿宋" w:eastAsia="仿宋" w:cs="仿宋"/>
          <w:color w:val="auto"/>
          <w:sz w:val="24"/>
          <w:szCs w:val="24"/>
          <w:highlight w:val="none"/>
          <w:lang w:val="en-US" w:eastAsia="zh-CN"/>
        </w:rPr>
        <w:t xml:space="preserve">供应商名称（加盖公章）： </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年     月     日</w:t>
      </w:r>
    </w:p>
    <w:p>
      <w:pPr>
        <w:rPr>
          <w:rFonts w:hint="eastAsia" w:ascii="仿宋" w:hAnsi="仿宋" w:eastAsia="仿宋" w:cs="仿宋"/>
          <w:color w:val="auto"/>
          <w:sz w:val="24"/>
        </w:rPr>
      </w:pPr>
      <w:r>
        <w:rPr>
          <w:rFonts w:hint="eastAsia" w:ascii="仿宋" w:hAnsi="仿宋" w:eastAsia="仿宋" w:cs="仿宋"/>
          <w:color w:val="auto"/>
          <w:sz w:val="24"/>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66" w:name="_Toc13974"/>
      <w:r>
        <w:rPr>
          <w:rFonts w:hint="eastAsia" w:ascii="仿宋" w:hAnsi="仿宋" w:eastAsia="仿宋" w:cs="仿宋"/>
          <w:b/>
          <w:bCs/>
          <w:color w:val="auto"/>
          <w:kern w:val="0"/>
          <w:sz w:val="32"/>
          <w:szCs w:val="32"/>
          <w:highlight w:val="none"/>
          <w:lang w:val="en-US" w:eastAsia="zh-CN" w:bidi="ar"/>
        </w:rPr>
        <w:t>9供应商主要业绩</w:t>
      </w:r>
      <w:bookmarkEnd w:id="566"/>
    </w:p>
    <w:bookmarkEnd w:id="556"/>
    <w:bookmarkEnd w:id="557"/>
    <w:bookmarkEnd w:id="558"/>
    <w:bookmarkEnd w:id="559"/>
    <w:bookmarkEnd w:id="560"/>
    <w:bookmarkEnd w:id="561"/>
    <w:bookmarkEnd w:id="562"/>
    <w:bookmarkEnd w:id="563"/>
    <w:bookmarkEnd w:id="564"/>
    <w:bookmarkEnd w:id="565"/>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124"/>
        <w:gridCol w:w="1553"/>
        <w:gridCol w:w="1147"/>
        <w:gridCol w:w="1147"/>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Cs w:val="21"/>
              </w:rPr>
            </w:pPr>
            <w:bookmarkStart w:id="567" w:name="_Toc420948028"/>
            <w:bookmarkStart w:id="568" w:name="_Toc123939282"/>
            <w:bookmarkStart w:id="569" w:name="_Toc38878806"/>
            <w:r>
              <w:rPr>
                <w:rFonts w:hint="eastAsia" w:ascii="仿宋" w:hAnsi="仿宋" w:eastAsia="仿宋" w:cs="仿宋"/>
                <w:b/>
                <w:bCs/>
                <w:color w:val="auto"/>
                <w:szCs w:val="21"/>
              </w:rPr>
              <w:t>项目名称</w:t>
            </w: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采购人</w:t>
            </w: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采购人联系人及联系电话</w:t>
            </w: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交货期限</w:t>
            </w: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项目地点</w:t>
            </w: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pacing w:val="-16"/>
                <w:szCs w:val="21"/>
              </w:rPr>
            </w:pPr>
            <w:r>
              <w:rPr>
                <w:rFonts w:hint="eastAsia" w:ascii="仿宋" w:hAnsi="仿宋" w:eastAsia="仿宋" w:cs="仿宋"/>
                <w:b/>
                <w:bCs/>
                <w:color w:val="auto"/>
                <w:spacing w:val="-16"/>
                <w:szCs w:val="21"/>
              </w:rPr>
              <w:t>签约合同金额</w:t>
            </w: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pacing w:val="-16"/>
                <w:szCs w:val="21"/>
              </w:rPr>
            </w:pPr>
            <w:r>
              <w:rPr>
                <w:rFonts w:hint="eastAsia" w:ascii="仿宋" w:hAnsi="仿宋" w:eastAsia="仿宋" w:cs="仿宋"/>
                <w:b/>
                <w:bCs/>
                <w:color w:val="auto"/>
                <w:spacing w:val="-16"/>
                <w:szCs w:val="21"/>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7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5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91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c>
          <w:tcPr>
            <w:tcW w:w="6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Cs w:val="21"/>
              </w:rPr>
            </w:pPr>
          </w:p>
        </w:tc>
      </w:tr>
    </w:tbl>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说明：附近三年（</w:t>
      </w:r>
      <w:r>
        <w:rPr>
          <w:rFonts w:hint="eastAsia" w:ascii="仿宋" w:hAnsi="仿宋" w:eastAsia="仿宋" w:cs="仿宋"/>
          <w:color w:val="auto"/>
          <w:sz w:val="24"/>
          <w:szCs w:val="24"/>
          <w:lang w:val="en-US" w:eastAsia="zh-CN"/>
        </w:rPr>
        <w:t>2020年1月1日-至今</w:t>
      </w:r>
      <w:r>
        <w:rPr>
          <w:rFonts w:hint="eastAsia" w:ascii="仿宋" w:hAnsi="仿宋" w:eastAsia="仿宋" w:cs="仿宋"/>
          <w:color w:val="auto"/>
          <w:sz w:val="24"/>
          <w:szCs w:val="24"/>
          <w:lang w:eastAsia="zh-CN"/>
        </w:rPr>
        <w:t>）证明材料。提供中标通知书（成交通知书）或合同协议书复印件。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供应商名称（加盖公章）： </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年     月     日</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70" w:name="_Toc31004"/>
      <w:r>
        <w:rPr>
          <w:rFonts w:hint="eastAsia" w:ascii="仿宋" w:hAnsi="仿宋" w:eastAsia="仿宋" w:cs="仿宋"/>
          <w:b/>
          <w:bCs/>
          <w:color w:val="auto"/>
          <w:kern w:val="0"/>
          <w:sz w:val="32"/>
          <w:szCs w:val="32"/>
          <w:highlight w:val="none"/>
          <w:lang w:val="en-US" w:eastAsia="zh-CN" w:bidi="ar"/>
        </w:rPr>
        <w:t>10货物说明</w:t>
      </w:r>
      <w:bookmarkEnd w:id="567"/>
      <w:bookmarkEnd w:id="568"/>
      <w:bookmarkEnd w:id="569"/>
      <w:bookmarkEnd w:id="570"/>
    </w:p>
    <w:p>
      <w:pPr>
        <w:adjustRightInd w:val="0"/>
        <w:snapToGrid w:val="0"/>
        <w:spacing w:line="360" w:lineRule="auto"/>
        <w:ind w:left="-101" w:leftChars="-42" w:firstLine="240" w:firstLineChars="100"/>
        <w:outlineLvl w:val="2"/>
        <w:rPr>
          <w:rFonts w:hint="eastAsia" w:ascii="仿宋" w:hAnsi="仿宋" w:eastAsia="仿宋" w:cs="仿宋"/>
          <w:color w:val="auto"/>
          <w:szCs w:val="21"/>
        </w:rPr>
      </w:pPr>
      <w:bookmarkStart w:id="571" w:name="_Toc6972"/>
      <w:r>
        <w:rPr>
          <w:rFonts w:hint="eastAsia" w:ascii="仿宋" w:hAnsi="仿宋" w:eastAsia="仿宋" w:cs="仿宋"/>
          <w:color w:val="auto"/>
          <w:szCs w:val="21"/>
        </w:rPr>
        <w:t>一、技术参数、标准</w:t>
      </w:r>
      <w:bookmarkEnd w:id="571"/>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（1）货物技术参数（指标）、功能等性能描述</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（2）货物的规范资料、外观彩图及尺寸等描述（要求提供复印件）</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（3）配置、技术成熟度、安全可靠说明</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（4）货物适用环境和功能描述</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（5）供应商认为有必要提供的其他说明材料</w:t>
      </w:r>
    </w:p>
    <w:p>
      <w:pPr>
        <w:adjustRightInd w:val="0"/>
        <w:snapToGrid w:val="0"/>
        <w:spacing w:line="360" w:lineRule="auto"/>
        <w:ind w:left="-101" w:leftChars="-42" w:firstLine="240" w:firstLineChars="100"/>
        <w:rPr>
          <w:rFonts w:hint="eastAsia" w:ascii="仿宋" w:hAnsi="仿宋" w:eastAsia="仿宋" w:cs="仿宋"/>
          <w:color w:val="auto"/>
          <w:szCs w:val="21"/>
        </w:rPr>
      </w:pPr>
    </w:p>
    <w:p>
      <w:pPr>
        <w:adjustRightInd w:val="0"/>
        <w:snapToGrid w:val="0"/>
        <w:spacing w:line="360" w:lineRule="auto"/>
        <w:ind w:left="-101" w:leftChars="-42" w:firstLine="240" w:firstLineChars="100"/>
        <w:outlineLvl w:val="2"/>
        <w:rPr>
          <w:rFonts w:hint="eastAsia" w:ascii="仿宋" w:hAnsi="仿宋" w:eastAsia="仿宋" w:cs="仿宋"/>
          <w:color w:val="auto"/>
          <w:szCs w:val="21"/>
        </w:rPr>
      </w:pPr>
      <w:bookmarkStart w:id="572" w:name="_Toc27001"/>
      <w:r>
        <w:rPr>
          <w:rFonts w:hint="eastAsia" w:ascii="仿宋" w:hAnsi="仿宋" w:eastAsia="仿宋" w:cs="仿宋"/>
          <w:color w:val="auto"/>
          <w:szCs w:val="21"/>
        </w:rPr>
        <w:t>二、合格的货物证明材料</w:t>
      </w:r>
      <w:bookmarkEnd w:id="572"/>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（1）具有相关生产经营许可证、行业认证：</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（2）认证证书、技术说明书</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（3）彩图</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（4）所投产品获得的奖项、荣誉等</w:t>
      </w: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t>（5）其他</w:t>
      </w:r>
    </w:p>
    <w:p>
      <w:pPr>
        <w:adjustRightInd w:val="0"/>
        <w:snapToGrid w:val="0"/>
        <w:spacing w:line="360" w:lineRule="auto"/>
        <w:rPr>
          <w:rFonts w:hint="eastAsia" w:ascii="仿宋" w:hAnsi="仿宋" w:eastAsia="仿宋" w:cs="仿宋"/>
          <w:color w:val="auto"/>
          <w:szCs w:val="21"/>
        </w:rPr>
      </w:pPr>
    </w:p>
    <w:p>
      <w:pPr>
        <w:adjustRightInd w:val="0"/>
        <w:snapToGrid w:val="0"/>
        <w:spacing w:line="360" w:lineRule="auto"/>
        <w:ind w:left="-101" w:leftChars="-42" w:firstLine="240" w:firstLineChars="100"/>
        <w:rPr>
          <w:rFonts w:hint="eastAsia" w:ascii="仿宋" w:hAnsi="仿宋" w:eastAsia="仿宋" w:cs="仿宋"/>
          <w:color w:val="auto"/>
          <w:szCs w:val="21"/>
        </w:rPr>
      </w:pPr>
      <w:r>
        <w:rPr>
          <w:rFonts w:hint="eastAsia" w:ascii="仿宋" w:hAnsi="仿宋" w:eastAsia="仿宋" w:cs="仿宋"/>
          <w:color w:val="auto"/>
          <w:szCs w:val="21"/>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73" w:name="_Toc19415"/>
      <w:r>
        <w:rPr>
          <w:rFonts w:hint="eastAsia" w:ascii="仿宋" w:hAnsi="仿宋" w:eastAsia="仿宋" w:cs="仿宋"/>
          <w:b/>
          <w:bCs/>
          <w:color w:val="auto"/>
          <w:kern w:val="0"/>
          <w:sz w:val="32"/>
          <w:szCs w:val="32"/>
          <w:highlight w:val="none"/>
          <w:lang w:val="en-US" w:eastAsia="zh-CN" w:bidi="ar"/>
        </w:rPr>
        <w:t>11响应产品附件、备品备件和专用工具清单（如有）</w:t>
      </w:r>
      <w:bookmarkEnd w:id="573"/>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序号</w:t>
            </w: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名  称</w:t>
            </w: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单位</w:t>
            </w: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数量/台</w:t>
            </w: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r>
              <w:rPr>
                <w:rFonts w:hint="eastAsia" w:ascii="仿宋" w:hAnsi="仿宋" w:eastAsia="仿宋" w:cs="仿宋"/>
                <w:b/>
                <w:bCs/>
                <w:color w:val="auto"/>
                <w:szCs w:val="21"/>
              </w:rPr>
              <w:t>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209"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08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1620"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c>
          <w:tcPr>
            <w:tcW w:w="2592"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Cs w:val="21"/>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供应商名称（加盖公章）： </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年     月     日</w:t>
      </w:r>
    </w:p>
    <w:p>
      <w:pPr>
        <w:adjustRightInd w:val="0"/>
        <w:snapToGrid w:val="0"/>
        <w:spacing w:line="360" w:lineRule="auto"/>
        <w:outlineLvl w:val="9"/>
        <w:rPr>
          <w:rFonts w:hint="eastAsia" w:ascii="仿宋" w:hAnsi="仿宋" w:eastAsia="仿宋" w:cs="仿宋"/>
          <w:color w:val="auto"/>
          <w:szCs w:val="21"/>
          <w:u w:val="single"/>
        </w:rPr>
        <w:sectPr>
          <w:headerReference r:id="rId3" w:type="default"/>
          <w:footerReference r:id="rId4" w:type="default"/>
          <w:footerReference r:id="rId5" w:type="even"/>
          <w:pgSz w:w="11906" w:h="16838"/>
          <w:pgMar w:top="1440" w:right="1797" w:bottom="1440" w:left="1797" w:header="851" w:footer="992" w:gutter="0"/>
          <w:pgNumType w:fmt="decimal" w:start="1"/>
          <w:cols w:space="720" w:num="1"/>
          <w:docGrid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74" w:name="_Toc15531"/>
      <w:bookmarkStart w:id="575" w:name="_Toc38878807"/>
      <w:bookmarkStart w:id="576" w:name="_Toc123939283"/>
      <w:r>
        <w:rPr>
          <w:rFonts w:hint="eastAsia" w:ascii="仿宋" w:hAnsi="仿宋" w:eastAsia="仿宋" w:cs="仿宋"/>
          <w:b/>
          <w:bCs/>
          <w:color w:val="auto"/>
          <w:kern w:val="0"/>
          <w:sz w:val="32"/>
          <w:szCs w:val="32"/>
          <w:highlight w:val="none"/>
          <w:lang w:val="en-US" w:eastAsia="zh-CN" w:bidi="ar"/>
        </w:rPr>
        <w:t>12实施方案</w:t>
      </w:r>
      <w:bookmarkEnd w:id="574"/>
      <w:bookmarkEnd w:id="575"/>
      <w:bookmarkEnd w:id="576"/>
    </w:p>
    <w:p>
      <w:pPr>
        <w:spacing w:line="360" w:lineRule="auto"/>
        <w:rPr>
          <w:rFonts w:hint="eastAsia" w:ascii="仿宋" w:hAnsi="仿宋" w:eastAsia="仿宋" w:cs="仿宋"/>
          <w:b/>
          <w:color w:val="auto"/>
          <w:szCs w:val="21"/>
        </w:rPr>
      </w:pPr>
      <w:r>
        <w:rPr>
          <w:rFonts w:hint="eastAsia" w:ascii="仿宋" w:hAnsi="仿宋" w:eastAsia="仿宋" w:cs="仿宋"/>
          <w:b/>
          <w:color w:val="auto"/>
          <w:szCs w:val="21"/>
        </w:rPr>
        <w:t>包括：</w:t>
      </w:r>
    </w:p>
    <w:p>
      <w:pPr>
        <w:topLinePunct/>
        <w:spacing w:line="440" w:lineRule="exact"/>
        <w:rPr>
          <w:rFonts w:hint="eastAsia" w:ascii="仿宋" w:hAnsi="仿宋" w:eastAsia="仿宋" w:cs="仿宋"/>
          <w:color w:val="auto"/>
          <w:szCs w:val="21"/>
        </w:rPr>
      </w:pPr>
      <w:r>
        <w:rPr>
          <w:rFonts w:hint="eastAsia" w:ascii="仿宋" w:hAnsi="仿宋" w:eastAsia="仿宋" w:cs="仿宋"/>
          <w:color w:val="auto"/>
          <w:szCs w:val="21"/>
        </w:rPr>
        <w:t>（1）加改装方案</w:t>
      </w:r>
    </w:p>
    <w:p>
      <w:pPr>
        <w:topLinePunct/>
        <w:spacing w:line="44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w:t>
      </w:r>
      <w:r>
        <w:rPr>
          <w:rFonts w:hint="eastAsia" w:ascii="仿宋" w:hAnsi="仿宋" w:eastAsia="仿宋" w:cs="仿宋"/>
          <w:color w:val="auto"/>
          <w:szCs w:val="21"/>
        </w:rPr>
        <w:t>供货装配方案，进度计划</w:t>
      </w:r>
    </w:p>
    <w:p>
      <w:pPr>
        <w:topLinePunct/>
        <w:spacing w:line="440" w:lineRule="exact"/>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）质量保证措施</w:t>
      </w:r>
    </w:p>
    <w:p>
      <w:pPr>
        <w:topLinePunct/>
        <w:spacing w:line="440" w:lineRule="exact"/>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）售后服务说明，保修、服务响应时间、修复时间、应急处理等售后计划措施</w:t>
      </w:r>
    </w:p>
    <w:p>
      <w:pPr>
        <w:topLinePunct/>
        <w:spacing w:line="440" w:lineRule="exact"/>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）质保期承诺</w:t>
      </w:r>
    </w:p>
    <w:p>
      <w:pPr>
        <w:topLinePunct/>
        <w:spacing w:line="440" w:lineRule="exact"/>
        <w:rPr>
          <w:rFonts w:hint="eastAsia" w:ascii="仿宋" w:hAnsi="仿宋" w:eastAsia="仿宋" w:cs="仿宋"/>
          <w:bCs/>
          <w:color w:val="auto"/>
          <w:szCs w:val="21"/>
        </w:rPr>
      </w:pPr>
      <w:r>
        <w:rPr>
          <w:rFonts w:hint="eastAsia" w:ascii="仿宋" w:hAnsi="仿宋" w:eastAsia="仿宋" w:cs="仿宋"/>
          <w:bCs/>
          <w:color w:val="auto"/>
          <w:szCs w:val="21"/>
        </w:rPr>
        <w:t>（</w:t>
      </w:r>
      <w:r>
        <w:rPr>
          <w:rFonts w:hint="eastAsia" w:ascii="仿宋" w:hAnsi="仿宋" w:eastAsia="仿宋" w:cs="仿宋"/>
          <w:bCs/>
          <w:color w:val="auto"/>
          <w:szCs w:val="21"/>
          <w:lang w:val="en-US" w:eastAsia="zh-CN"/>
        </w:rPr>
        <w:t>6</w:t>
      </w:r>
      <w:r>
        <w:rPr>
          <w:rFonts w:hint="eastAsia" w:ascii="仿宋" w:hAnsi="仿宋" w:eastAsia="仿宋" w:cs="仿宋"/>
          <w:bCs/>
          <w:color w:val="auto"/>
          <w:szCs w:val="21"/>
        </w:rPr>
        <w:t>）其他售后服务承诺</w:t>
      </w:r>
    </w:p>
    <w:p>
      <w:pPr>
        <w:topLinePunct/>
        <w:spacing w:line="440" w:lineRule="exact"/>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7</w:t>
      </w:r>
      <w:r>
        <w:rPr>
          <w:rFonts w:hint="eastAsia" w:ascii="仿宋" w:hAnsi="仿宋" w:eastAsia="仿宋" w:cs="仿宋"/>
          <w:bCs/>
          <w:color w:val="auto"/>
          <w:szCs w:val="21"/>
          <w:lang w:eastAsia="zh-CN"/>
        </w:rPr>
        <w:t>）设备验收方案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8"/>
          <w:szCs w:val="28"/>
          <w:highlight w:val="none"/>
          <w:lang w:val="en-US" w:eastAsia="zh-CN" w:bidi="zh-CN"/>
        </w:rPr>
      </w:pPr>
      <w:r>
        <w:rPr>
          <w:rFonts w:hint="eastAsia" w:ascii="仿宋" w:hAnsi="仿宋" w:eastAsia="仿宋" w:cs="仿宋"/>
          <w:bCs w:val="0"/>
          <w:color w:val="auto"/>
          <w:szCs w:val="21"/>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0"/>
          <w:sz w:val="32"/>
          <w:szCs w:val="32"/>
          <w:highlight w:val="none"/>
          <w:lang w:val="en-US" w:eastAsia="zh-CN" w:bidi="ar"/>
        </w:rPr>
      </w:pPr>
      <w:bookmarkStart w:id="577" w:name="_Toc18195"/>
      <w:bookmarkStart w:id="578" w:name="_Toc25814"/>
      <w:bookmarkStart w:id="579" w:name="_Toc22406"/>
      <w:r>
        <w:rPr>
          <w:rFonts w:hint="eastAsia" w:ascii="仿宋" w:hAnsi="仿宋" w:eastAsia="仿宋" w:cs="仿宋"/>
          <w:b/>
          <w:bCs/>
          <w:color w:val="auto"/>
          <w:kern w:val="0"/>
          <w:sz w:val="32"/>
          <w:szCs w:val="32"/>
          <w:highlight w:val="none"/>
          <w:lang w:val="en-US" w:eastAsia="zh-CN" w:bidi="ar"/>
        </w:rPr>
        <w:t>13其他证明材料</w:t>
      </w:r>
      <w:bookmarkEnd w:id="577"/>
      <w:bookmarkEnd w:id="578"/>
      <w:bookmarkEnd w:id="579"/>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CBE71AD0-F1F3-40C2-A934-D81D0E6B0C61}"/>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82F9A"/>
    <w:multiLevelType w:val="singleLevel"/>
    <w:tmpl w:val="BBE82F9A"/>
    <w:lvl w:ilvl="0" w:tentative="0">
      <w:start w:val="2"/>
      <w:numFmt w:val="decimal"/>
      <w:suff w:val="nothing"/>
      <w:lvlText w:val="（%1）"/>
      <w:lvlJc w:val="left"/>
      <w:rPr>
        <w:rFonts w:hint="default"/>
        <w:b w:val="0"/>
        <w:bCs w:val="0"/>
      </w:rPr>
    </w:lvl>
  </w:abstractNum>
  <w:abstractNum w:abstractNumId="1">
    <w:nsid w:val="78F60E4F"/>
    <w:multiLevelType w:val="singleLevel"/>
    <w:tmpl w:val="78F60E4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YzAyZWMyMWJhNjRjY2Q4YTUwN2I0MDAxYzA3NmQifQ=="/>
  </w:docVars>
  <w:rsids>
    <w:rsidRoot w:val="1AA24D9F"/>
    <w:rsid w:val="000B39DB"/>
    <w:rsid w:val="004277C9"/>
    <w:rsid w:val="00B036AE"/>
    <w:rsid w:val="00B544AB"/>
    <w:rsid w:val="01314F01"/>
    <w:rsid w:val="01A22C15"/>
    <w:rsid w:val="02291B07"/>
    <w:rsid w:val="022E4B5C"/>
    <w:rsid w:val="02353A89"/>
    <w:rsid w:val="02747641"/>
    <w:rsid w:val="02D46846"/>
    <w:rsid w:val="04071455"/>
    <w:rsid w:val="049A6223"/>
    <w:rsid w:val="04D56E5D"/>
    <w:rsid w:val="04F03C97"/>
    <w:rsid w:val="061B1E9A"/>
    <w:rsid w:val="062E1184"/>
    <w:rsid w:val="06C209B5"/>
    <w:rsid w:val="06C4362D"/>
    <w:rsid w:val="06DF5D71"/>
    <w:rsid w:val="07011CC2"/>
    <w:rsid w:val="07375BAD"/>
    <w:rsid w:val="07644792"/>
    <w:rsid w:val="07BE71A8"/>
    <w:rsid w:val="0822060B"/>
    <w:rsid w:val="08316975"/>
    <w:rsid w:val="08E17110"/>
    <w:rsid w:val="09273553"/>
    <w:rsid w:val="09284798"/>
    <w:rsid w:val="099153F6"/>
    <w:rsid w:val="09BC4A90"/>
    <w:rsid w:val="0A391C3C"/>
    <w:rsid w:val="0A430D0D"/>
    <w:rsid w:val="0A783C3A"/>
    <w:rsid w:val="0A8A693C"/>
    <w:rsid w:val="0AA40BA3"/>
    <w:rsid w:val="0C6E02C3"/>
    <w:rsid w:val="0D0C495B"/>
    <w:rsid w:val="0D6A1561"/>
    <w:rsid w:val="0D6F6286"/>
    <w:rsid w:val="0D8A6C86"/>
    <w:rsid w:val="0D9F625A"/>
    <w:rsid w:val="0E0407B3"/>
    <w:rsid w:val="0E06452B"/>
    <w:rsid w:val="0F2B6FD9"/>
    <w:rsid w:val="0F2C6214"/>
    <w:rsid w:val="0F6459AD"/>
    <w:rsid w:val="0F981324"/>
    <w:rsid w:val="10240C99"/>
    <w:rsid w:val="10294501"/>
    <w:rsid w:val="10606175"/>
    <w:rsid w:val="10797237"/>
    <w:rsid w:val="11286567"/>
    <w:rsid w:val="11B5497B"/>
    <w:rsid w:val="12280FA9"/>
    <w:rsid w:val="12341155"/>
    <w:rsid w:val="12706417"/>
    <w:rsid w:val="1294398E"/>
    <w:rsid w:val="1324792E"/>
    <w:rsid w:val="1393060F"/>
    <w:rsid w:val="13BF7187"/>
    <w:rsid w:val="15092612"/>
    <w:rsid w:val="156D2329"/>
    <w:rsid w:val="1585667E"/>
    <w:rsid w:val="16175528"/>
    <w:rsid w:val="170B3BD8"/>
    <w:rsid w:val="170E6E89"/>
    <w:rsid w:val="17363E85"/>
    <w:rsid w:val="17F747BC"/>
    <w:rsid w:val="183C240D"/>
    <w:rsid w:val="18754787"/>
    <w:rsid w:val="188B773F"/>
    <w:rsid w:val="18B43502"/>
    <w:rsid w:val="18EE62E8"/>
    <w:rsid w:val="19166537"/>
    <w:rsid w:val="19EE47F1"/>
    <w:rsid w:val="1A734CF7"/>
    <w:rsid w:val="1A7D3DC7"/>
    <w:rsid w:val="1A824F3A"/>
    <w:rsid w:val="1A8607B2"/>
    <w:rsid w:val="1AA24D9F"/>
    <w:rsid w:val="1AA9696A"/>
    <w:rsid w:val="1AAC0209"/>
    <w:rsid w:val="1AF52327"/>
    <w:rsid w:val="1B087B35"/>
    <w:rsid w:val="1B723BA2"/>
    <w:rsid w:val="1C241B6D"/>
    <w:rsid w:val="1C550B58"/>
    <w:rsid w:val="1D737A6F"/>
    <w:rsid w:val="1DCB5CE7"/>
    <w:rsid w:val="1E5D0198"/>
    <w:rsid w:val="1E894AE9"/>
    <w:rsid w:val="1E911BEF"/>
    <w:rsid w:val="1F666CD2"/>
    <w:rsid w:val="1FB04A95"/>
    <w:rsid w:val="1FB05EDF"/>
    <w:rsid w:val="1FE67C63"/>
    <w:rsid w:val="2020322B"/>
    <w:rsid w:val="20384A18"/>
    <w:rsid w:val="204D7D98"/>
    <w:rsid w:val="20E93A14"/>
    <w:rsid w:val="214404E2"/>
    <w:rsid w:val="21FA7AAB"/>
    <w:rsid w:val="22491B20"/>
    <w:rsid w:val="22AC6FF8"/>
    <w:rsid w:val="22FD7853"/>
    <w:rsid w:val="23CF5A1D"/>
    <w:rsid w:val="24535227"/>
    <w:rsid w:val="248E4725"/>
    <w:rsid w:val="255D282B"/>
    <w:rsid w:val="259C6F70"/>
    <w:rsid w:val="26005F04"/>
    <w:rsid w:val="264659B5"/>
    <w:rsid w:val="26D66D39"/>
    <w:rsid w:val="272C056F"/>
    <w:rsid w:val="283940D8"/>
    <w:rsid w:val="28DA2E89"/>
    <w:rsid w:val="28E219C5"/>
    <w:rsid w:val="291455D7"/>
    <w:rsid w:val="29437F4F"/>
    <w:rsid w:val="29A3424B"/>
    <w:rsid w:val="2A4254F9"/>
    <w:rsid w:val="2B065713"/>
    <w:rsid w:val="2B2160A9"/>
    <w:rsid w:val="2B2C517A"/>
    <w:rsid w:val="2B49396A"/>
    <w:rsid w:val="2D1F32F4"/>
    <w:rsid w:val="2D2A56E9"/>
    <w:rsid w:val="2D865FF5"/>
    <w:rsid w:val="2DAC3955"/>
    <w:rsid w:val="2DDF2977"/>
    <w:rsid w:val="302D729E"/>
    <w:rsid w:val="304F15BF"/>
    <w:rsid w:val="305A4537"/>
    <w:rsid w:val="3196159F"/>
    <w:rsid w:val="322572A3"/>
    <w:rsid w:val="323B4D81"/>
    <w:rsid w:val="329B2BE5"/>
    <w:rsid w:val="32DA370D"/>
    <w:rsid w:val="34B70380"/>
    <w:rsid w:val="35285EE9"/>
    <w:rsid w:val="35E13004"/>
    <w:rsid w:val="363442E8"/>
    <w:rsid w:val="365C69BF"/>
    <w:rsid w:val="366D4898"/>
    <w:rsid w:val="36C31C10"/>
    <w:rsid w:val="37172C01"/>
    <w:rsid w:val="37B00EE0"/>
    <w:rsid w:val="38064FA4"/>
    <w:rsid w:val="38166DB6"/>
    <w:rsid w:val="382F7E78"/>
    <w:rsid w:val="38C34C43"/>
    <w:rsid w:val="38E34A47"/>
    <w:rsid w:val="38F90665"/>
    <w:rsid w:val="3A3D4F53"/>
    <w:rsid w:val="3AE174A3"/>
    <w:rsid w:val="3B810614"/>
    <w:rsid w:val="3BEF17D9"/>
    <w:rsid w:val="3C6109FB"/>
    <w:rsid w:val="3D163594"/>
    <w:rsid w:val="3D1B32A0"/>
    <w:rsid w:val="3D9F5C7F"/>
    <w:rsid w:val="3ED03C16"/>
    <w:rsid w:val="3F172BE7"/>
    <w:rsid w:val="3F3314F0"/>
    <w:rsid w:val="3F4F1FFD"/>
    <w:rsid w:val="40BE2AD0"/>
    <w:rsid w:val="421F113C"/>
    <w:rsid w:val="42AC04F6"/>
    <w:rsid w:val="42B71375"/>
    <w:rsid w:val="432A3781"/>
    <w:rsid w:val="43446334"/>
    <w:rsid w:val="448C5F4F"/>
    <w:rsid w:val="44A84E71"/>
    <w:rsid w:val="45854277"/>
    <w:rsid w:val="45927E77"/>
    <w:rsid w:val="466435C2"/>
    <w:rsid w:val="46E82384"/>
    <w:rsid w:val="46F91A8F"/>
    <w:rsid w:val="477DCE1E"/>
    <w:rsid w:val="47F170D7"/>
    <w:rsid w:val="48D6451F"/>
    <w:rsid w:val="49470F79"/>
    <w:rsid w:val="497F6965"/>
    <w:rsid w:val="49DE368B"/>
    <w:rsid w:val="4ABC11A4"/>
    <w:rsid w:val="4C2061DD"/>
    <w:rsid w:val="4D61085B"/>
    <w:rsid w:val="4D8A136B"/>
    <w:rsid w:val="4E9C3B15"/>
    <w:rsid w:val="4EC72940"/>
    <w:rsid w:val="4F1418FD"/>
    <w:rsid w:val="50966A6E"/>
    <w:rsid w:val="50D21A70"/>
    <w:rsid w:val="516B60F0"/>
    <w:rsid w:val="51A52CE0"/>
    <w:rsid w:val="5253098E"/>
    <w:rsid w:val="525C3CE7"/>
    <w:rsid w:val="532E7431"/>
    <w:rsid w:val="53471661"/>
    <w:rsid w:val="536A4041"/>
    <w:rsid w:val="539B0D9B"/>
    <w:rsid w:val="545804DE"/>
    <w:rsid w:val="547557C5"/>
    <w:rsid w:val="558E065B"/>
    <w:rsid w:val="55A5225D"/>
    <w:rsid w:val="561A1EDF"/>
    <w:rsid w:val="562D462D"/>
    <w:rsid w:val="56557314"/>
    <w:rsid w:val="56667769"/>
    <w:rsid w:val="56755DC2"/>
    <w:rsid w:val="56E60023"/>
    <w:rsid w:val="56F96D7E"/>
    <w:rsid w:val="570D1A54"/>
    <w:rsid w:val="573E1E21"/>
    <w:rsid w:val="582F3BFF"/>
    <w:rsid w:val="58C61EBA"/>
    <w:rsid w:val="592A2449"/>
    <w:rsid w:val="593D0B75"/>
    <w:rsid w:val="59B12B6A"/>
    <w:rsid w:val="5A2570B4"/>
    <w:rsid w:val="5A4129CD"/>
    <w:rsid w:val="5A571512"/>
    <w:rsid w:val="5AAF62F8"/>
    <w:rsid w:val="5B44356A"/>
    <w:rsid w:val="5B487E91"/>
    <w:rsid w:val="5C553C81"/>
    <w:rsid w:val="5C8B1250"/>
    <w:rsid w:val="5CF9550F"/>
    <w:rsid w:val="5D562933"/>
    <w:rsid w:val="5D6B74D4"/>
    <w:rsid w:val="5DB468A9"/>
    <w:rsid w:val="5E36034D"/>
    <w:rsid w:val="5E4C10B3"/>
    <w:rsid w:val="5E781EA8"/>
    <w:rsid w:val="5E955F07"/>
    <w:rsid w:val="5EA84152"/>
    <w:rsid w:val="5EFEBDE8"/>
    <w:rsid w:val="5F1A09C6"/>
    <w:rsid w:val="5F587938"/>
    <w:rsid w:val="60145C01"/>
    <w:rsid w:val="6085265B"/>
    <w:rsid w:val="60887710"/>
    <w:rsid w:val="60FD0443"/>
    <w:rsid w:val="6155202D"/>
    <w:rsid w:val="617D1B64"/>
    <w:rsid w:val="61AA5E4C"/>
    <w:rsid w:val="61B256D1"/>
    <w:rsid w:val="62361710"/>
    <w:rsid w:val="62554E94"/>
    <w:rsid w:val="625B691D"/>
    <w:rsid w:val="626D784A"/>
    <w:rsid w:val="637A3FCD"/>
    <w:rsid w:val="63F9759F"/>
    <w:rsid w:val="642B176B"/>
    <w:rsid w:val="643B7C00"/>
    <w:rsid w:val="64803865"/>
    <w:rsid w:val="64D14C0D"/>
    <w:rsid w:val="64DB505F"/>
    <w:rsid w:val="64FD3107"/>
    <w:rsid w:val="65017938"/>
    <w:rsid w:val="65F75598"/>
    <w:rsid w:val="664D4C51"/>
    <w:rsid w:val="66A303F0"/>
    <w:rsid w:val="66E52403"/>
    <w:rsid w:val="675C40F8"/>
    <w:rsid w:val="67717495"/>
    <w:rsid w:val="67B833A1"/>
    <w:rsid w:val="67E61C31"/>
    <w:rsid w:val="683F7593"/>
    <w:rsid w:val="68CA2609"/>
    <w:rsid w:val="68CC1AED"/>
    <w:rsid w:val="68D069B9"/>
    <w:rsid w:val="68F4037D"/>
    <w:rsid w:val="692A0243"/>
    <w:rsid w:val="69BB0F42"/>
    <w:rsid w:val="6A3053E5"/>
    <w:rsid w:val="6A637494"/>
    <w:rsid w:val="6AD23432"/>
    <w:rsid w:val="6B1308BC"/>
    <w:rsid w:val="6B443679"/>
    <w:rsid w:val="6BB81877"/>
    <w:rsid w:val="6BCF62E6"/>
    <w:rsid w:val="6C0F3B86"/>
    <w:rsid w:val="6C8639E2"/>
    <w:rsid w:val="6CD3A16D"/>
    <w:rsid w:val="6D373909"/>
    <w:rsid w:val="6D535020"/>
    <w:rsid w:val="6E4771A1"/>
    <w:rsid w:val="6E5F49A6"/>
    <w:rsid w:val="6F1C418A"/>
    <w:rsid w:val="6F23376B"/>
    <w:rsid w:val="6F317299"/>
    <w:rsid w:val="6FBE656C"/>
    <w:rsid w:val="6FE0165C"/>
    <w:rsid w:val="6FF637CB"/>
    <w:rsid w:val="6FFF37D2"/>
    <w:rsid w:val="70127B77"/>
    <w:rsid w:val="70DE2EF1"/>
    <w:rsid w:val="714D4ACF"/>
    <w:rsid w:val="71520337"/>
    <w:rsid w:val="71A639F6"/>
    <w:rsid w:val="71AA1F21"/>
    <w:rsid w:val="71DC4440"/>
    <w:rsid w:val="7221658E"/>
    <w:rsid w:val="732019EA"/>
    <w:rsid w:val="73724CC1"/>
    <w:rsid w:val="73BF43B6"/>
    <w:rsid w:val="744523D5"/>
    <w:rsid w:val="74E35BB4"/>
    <w:rsid w:val="75087D0F"/>
    <w:rsid w:val="75203B28"/>
    <w:rsid w:val="7541494A"/>
    <w:rsid w:val="75834F63"/>
    <w:rsid w:val="75C510FD"/>
    <w:rsid w:val="76057F95"/>
    <w:rsid w:val="76067942"/>
    <w:rsid w:val="76391AC6"/>
    <w:rsid w:val="767B4F55"/>
    <w:rsid w:val="769413F2"/>
    <w:rsid w:val="76BB4079"/>
    <w:rsid w:val="775364A3"/>
    <w:rsid w:val="77E15F71"/>
    <w:rsid w:val="780D6D66"/>
    <w:rsid w:val="783D7431"/>
    <w:rsid w:val="79450D3D"/>
    <w:rsid w:val="79D815F5"/>
    <w:rsid w:val="7A4F2777"/>
    <w:rsid w:val="7AA25DE9"/>
    <w:rsid w:val="7B436597"/>
    <w:rsid w:val="7BB75966"/>
    <w:rsid w:val="7BEB5610"/>
    <w:rsid w:val="7C521773"/>
    <w:rsid w:val="7C5F4108"/>
    <w:rsid w:val="7CCF6CE0"/>
    <w:rsid w:val="7F2F3BE4"/>
    <w:rsid w:val="7F79C282"/>
    <w:rsid w:val="7F7B6CAE"/>
    <w:rsid w:val="7FB126CD"/>
    <w:rsid w:val="7FBF6DD0"/>
    <w:rsid w:val="7FC8270D"/>
    <w:rsid w:val="7FCD17FE"/>
    <w:rsid w:val="7FD60385"/>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link w:val="36"/>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34">
    <w:name w:val="Default Paragraph Font"/>
    <w:qFormat/>
    <w:uiPriority w:val="0"/>
    <w:rPr>
      <w:rFonts w:eastAsia="微软雅黑" w:asciiTheme="minorAscii" w:hAnsiTheme="minorAscii"/>
    </w:rPr>
  </w:style>
  <w:style w:type="table" w:default="1" w:styleId="3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adjustRightInd w:val="0"/>
      <w:spacing w:line="360" w:lineRule="atLeast"/>
      <w:ind w:firstLine="420"/>
      <w:textAlignment w:val="baseline"/>
    </w:pPr>
  </w:style>
  <w:style w:type="paragraph" w:styleId="12">
    <w:name w:val="toa heading"/>
    <w:basedOn w:val="1"/>
    <w:next w:val="1"/>
    <w:qFormat/>
    <w:uiPriority w:val="99"/>
    <w:pPr>
      <w:spacing w:before="120"/>
    </w:pPr>
    <w:rPr>
      <w:rFonts w:ascii="Arial" w:hAnsi="Arial" w:eastAsia="仿宋"/>
      <w:sz w:val="24"/>
    </w:rPr>
  </w:style>
  <w:style w:type="paragraph" w:styleId="13">
    <w:name w:val="Body Text"/>
    <w:basedOn w:val="1"/>
    <w:next w:val="14"/>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customStyle="1" w:styleId="14">
    <w:name w:val="style4"/>
    <w:basedOn w:val="1"/>
    <w:next w:val="15"/>
    <w:qFormat/>
    <w:uiPriority w:val="0"/>
    <w:pPr>
      <w:widowControl/>
      <w:spacing w:before="280" w:after="280"/>
    </w:pPr>
    <w:rPr>
      <w:rFonts w:ascii="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Body Text Indent"/>
    <w:basedOn w:val="1"/>
    <w:next w:val="17"/>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7">
    <w:name w:val="envelope return"/>
    <w:basedOn w:val="1"/>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toc 5"/>
    <w:basedOn w:val="1"/>
    <w:next w:val="1"/>
    <w:qFormat/>
    <w:uiPriority w:val="0"/>
    <w:pPr>
      <w:ind w:left="840"/>
      <w:jc w:val="left"/>
    </w:pPr>
    <w:rPr>
      <w:rFonts w:ascii="Calibri" w:hAnsi="Calibri"/>
      <w:sz w:val="18"/>
      <w:szCs w:val="18"/>
    </w:rPr>
  </w:style>
  <w:style w:type="paragraph" w:styleId="19">
    <w:name w:val="toc 3"/>
    <w:basedOn w:val="1"/>
    <w:next w:val="1"/>
    <w:qFormat/>
    <w:uiPriority w:val="0"/>
    <w:pPr>
      <w:ind w:left="840" w:leftChars="400"/>
    </w:pPr>
  </w:style>
  <w:style w:type="paragraph" w:styleId="20">
    <w:name w:val="Plain Text"/>
    <w:basedOn w:val="1"/>
    <w:qFormat/>
    <w:uiPriority w:val="0"/>
    <w:rPr>
      <w:sz w:val="24"/>
      <w:szCs w:val="20"/>
    </w:rPr>
  </w:style>
  <w:style w:type="paragraph" w:styleId="21">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22">
    <w:name w:val="Date"/>
    <w:basedOn w:val="1"/>
    <w:next w:val="1"/>
    <w:qFormat/>
    <w:uiPriority w:val="0"/>
    <w:rPr>
      <w:sz w:val="24"/>
      <w:szCs w:val="20"/>
    </w:rPr>
  </w:style>
  <w:style w:type="paragraph" w:styleId="23">
    <w:name w:val="footer"/>
    <w:basedOn w:val="1"/>
    <w:next w:val="1"/>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5">
    <w:name w:val="toc 1"/>
    <w:basedOn w:val="1"/>
    <w:next w:val="1"/>
    <w:qFormat/>
    <w:uiPriority w:val="0"/>
  </w:style>
  <w:style w:type="paragraph" w:styleId="26">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7">
    <w:name w:val="Body Text Indent 3"/>
    <w:basedOn w:val="1"/>
    <w:unhideWhenUsed/>
    <w:qFormat/>
    <w:uiPriority w:val="0"/>
    <w:pPr>
      <w:spacing w:after="120"/>
      <w:ind w:left="420" w:leftChars="200"/>
    </w:pPr>
    <w:rPr>
      <w:rFonts w:ascii="Calibri" w:hAnsi="Calibri" w:eastAsia="宋体" w:cs="Times New Roman"/>
      <w:kern w:val="0"/>
      <w:sz w:val="16"/>
      <w:szCs w:val="16"/>
    </w:rPr>
  </w:style>
  <w:style w:type="paragraph" w:styleId="28">
    <w:name w:val="toc 2"/>
    <w:basedOn w:val="1"/>
    <w:next w:val="1"/>
    <w:qFormat/>
    <w:uiPriority w:val="0"/>
    <w:pPr>
      <w:ind w:left="420" w:leftChars="200"/>
    </w:pPr>
  </w:style>
  <w:style w:type="paragraph" w:styleId="29">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30">
    <w:name w:val="Body Text First Indent"/>
    <w:basedOn w:val="13"/>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31">
    <w:name w:val="Body Text First Indent 2"/>
    <w:basedOn w:val="16"/>
    <w:next w:val="1"/>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33">
    <w:name w:val="Table Grid"/>
    <w:basedOn w:val="3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customStyle="1" w:styleId="36">
    <w:name w:val="标题 3 Char"/>
    <w:link w:val="4"/>
    <w:qFormat/>
    <w:uiPriority w:val="0"/>
    <w:rPr>
      <w:rFonts w:ascii="Arial" w:hAnsi="Arial"/>
      <w:b/>
      <w:sz w:val="30"/>
    </w:rPr>
  </w:style>
  <w:style w:type="paragraph" w:customStyle="1" w:styleId="3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Table Paragraph"/>
    <w:basedOn w:val="1"/>
    <w:qFormat/>
    <w:uiPriority w:val="1"/>
    <w:rPr>
      <w:rFonts w:ascii="宋体" w:hAnsi="宋体" w:cs="宋体"/>
      <w:lang w:val="zh-CN" w:bidi="zh-CN"/>
    </w:rPr>
  </w:style>
  <w:style w:type="paragraph" w:customStyle="1" w:styleId="41">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4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3">
    <w:name w:val="表格正文段落（紧凑型）"/>
    <w:basedOn w:val="1"/>
    <w:qFormat/>
    <w:uiPriority w:val="0"/>
    <w:pPr>
      <w:widowControl/>
      <w:snapToGrid w:val="0"/>
      <w:jc w:val="left"/>
    </w:pPr>
    <w:rPr>
      <w:rFonts w:ascii="Times New Roman" w:hAnsi="Times New Roman" w:eastAsia="宋体" w:cs="黑体"/>
      <w:kern w:val="0"/>
      <w:sz w:val="22"/>
      <w:szCs w:val="22"/>
      <w:lang w:val="en-GB"/>
    </w:rPr>
  </w:style>
  <w:style w:type="paragraph" w:customStyle="1" w:styleId="44">
    <w:name w:val="正文缩进1"/>
    <w:basedOn w:val="1"/>
    <w:qFormat/>
    <w:uiPriority w:val="0"/>
    <w:pPr>
      <w:autoSpaceDE w:val="0"/>
      <w:autoSpaceDN w:val="0"/>
      <w:adjustRightInd w:val="0"/>
      <w:ind w:firstLine="420"/>
    </w:pPr>
    <w:rPr>
      <w:rFonts w:ascii="宋体" w:hAnsi="Calibri"/>
      <w:szCs w:val="22"/>
    </w:rPr>
  </w:style>
  <w:style w:type="paragraph" w:customStyle="1" w:styleId="45">
    <w:name w:val="纯文本1"/>
    <w:basedOn w:val="1"/>
    <w:qFormat/>
    <w:uiPriority w:val="0"/>
    <w:rPr>
      <w:rFonts w:ascii="宋体" w:hAnsi="Courier New" w:eastAsia="宋体" w:cs="Times New Roman"/>
      <w:szCs w:val="22"/>
    </w:rPr>
  </w:style>
  <w:style w:type="paragraph" w:customStyle="1" w:styleId="4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4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26959</Words>
  <Characters>27795</Characters>
  <Lines>1</Lines>
  <Paragraphs>1</Paragraphs>
  <TotalTime>27</TotalTime>
  <ScaleCrop>false</ScaleCrop>
  <LinksUpToDate>false</LinksUpToDate>
  <CharactersWithSpaces>29281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Administrator</cp:lastModifiedBy>
  <cp:lastPrinted>2023-10-25T08:27:00Z</cp:lastPrinted>
  <dcterms:modified xsi:type="dcterms:W3CDTF">2023-10-27T09:47:12Z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4D4966E9A3C34BA1BA3AAFA7CBC70849_13</vt:lpwstr>
  </property>
</Properties>
</file>