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宋体" w:hAnsi="宋体" w:eastAsia="宋体" w:cs="宋体"/>
          <w:sz w:val="32"/>
          <w:szCs w:val="32"/>
          <w:lang w:val="en-US" w:eastAsia="zh-CN"/>
        </w:rPr>
      </w:pPr>
    </w:p>
    <w:p>
      <w:pPr>
        <w:pStyle w:val="2"/>
        <w:tabs>
          <w:tab w:val="left" w:pos="301"/>
          <w:tab w:val="center" w:pos="4213"/>
        </w:tabs>
        <w:jc w:val="center"/>
        <w:rPr>
          <w:rFonts w:hint="eastAsia" w:ascii="宋体" w:hAnsi="宋体" w:eastAsia="宋体" w:cs="宋体"/>
          <w:sz w:val="40"/>
          <w:szCs w:val="40"/>
          <w:lang w:val="en-US" w:eastAsia="zh-CN"/>
        </w:rPr>
      </w:pPr>
      <w:r>
        <w:rPr>
          <w:rFonts w:hint="eastAsia" w:ascii="仿宋" w:hAnsi="仿宋" w:eastAsia="仿宋" w:cs="仿宋"/>
          <w:sz w:val="40"/>
          <w:szCs w:val="40"/>
          <w:lang w:eastAsia="zh-CN"/>
        </w:rPr>
        <w:t>莎车县现代农业发展（特色林果有害生物防治）项目（二包）（二次）</w:t>
      </w:r>
    </w:p>
    <w:p>
      <w:pPr>
        <w:pStyle w:val="2"/>
        <w:tabs>
          <w:tab w:val="left" w:pos="301"/>
          <w:tab w:val="center" w:pos="4213"/>
        </w:tabs>
        <w:jc w:val="center"/>
        <w:rPr>
          <w:rFonts w:hint="eastAsia" w:ascii="仿宋" w:hAnsi="仿宋" w:eastAsia="仿宋" w:cs="仿宋"/>
          <w:sz w:val="40"/>
          <w:szCs w:val="40"/>
          <w:lang w:val="en-US" w:eastAsia="zh-CN"/>
        </w:rPr>
      </w:pPr>
      <w:r>
        <w:rPr>
          <w:rFonts w:hint="eastAsia" w:ascii="仿宋" w:hAnsi="仿宋" w:eastAsia="仿宋" w:cs="仿宋"/>
          <w:sz w:val="52"/>
          <w:szCs w:val="52"/>
          <w:lang w:val="en-US" w:eastAsia="zh-CN"/>
        </w:rPr>
        <w:t xml:space="preserve">  竞争性谈判文件</w:t>
      </w:r>
    </w:p>
    <w:p>
      <w:pPr>
        <w:pStyle w:val="2"/>
        <w:tabs>
          <w:tab w:val="left" w:pos="301"/>
          <w:tab w:val="center" w:pos="4213"/>
        </w:tabs>
        <w:ind w:firstLine="2800" w:firstLineChars="700"/>
        <w:jc w:val="left"/>
        <w:rPr>
          <w:rFonts w:hint="eastAsia" w:ascii="宋体" w:hAnsi="宋体" w:eastAsia="宋体" w:cs="宋体"/>
          <w:sz w:val="40"/>
          <w:szCs w:val="40"/>
          <w:lang w:val="en-US" w:eastAsia="zh-CN"/>
        </w:rPr>
      </w:pPr>
    </w:p>
    <w:p>
      <w:pPr>
        <w:bidi w:val="0"/>
        <w:ind w:firstLine="2520" w:firstLineChars="900"/>
        <w:jc w:val="both"/>
        <w:rPr>
          <w:rFonts w:hint="eastAsia" w:ascii="宋体" w:hAnsi="宋体" w:eastAsia="宋体" w:cs="宋体"/>
          <w:color w:val="auto"/>
          <w:sz w:val="28"/>
          <w:szCs w:val="28"/>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lang w:val="en-US" w:eastAsia="zh-CN"/>
        </w:rPr>
        <w:t>FYH-SCX（TP）2024-02</w:t>
      </w:r>
    </w:p>
    <w:p>
      <w:pPr>
        <w:bidi w:val="0"/>
        <w:rPr>
          <w:rFonts w:hint="eastAsia" w:ascii="宋体" w:hAnsi="宋体" w:eastAsia="宋体" w:cs="宋体"/>
          <w:sz w:val="28"/>
          <w:szCs w:val="28"/>
        </w:rPr>
      </w:pPr>
    </w:p>
    <w:p>
      <w:pPr>
        <w:pStyle w:val="2"/>
        <w:rPr>
          <w:rFonts w:hint="eastAsia"/>
        </w:rPr>
      </w:pPr>
    </w:p>
    <w:p>
      <w:pPr>
        <w:bidi w:val="0"/>
        <w:rPr>
          <w:rFonts w:hint="eastAsia" w:ascii="宋体" w:hAnsi="宋体" w:eastAsia="宋体" w:cs="宋体"/>
          <w:sz w:val="28"/>
          <w:szCs w:val="28"/>
          <w:lang w:eastAsia="zh-CN"/>
        </w:rPr>
      </w:pPr>
      <w:r>
        <w:rPr>
          <w:rFonts w:hint="eastAsia" w:ascii="宋体" w:hAnsi="宋体" w:eastAsia="宋体" w:cs="宋体"/>
          <w:sz w:val="28"/>
          <w:szCs w:val="28"/>
        </w:rPr>
        <w:t>采 购 单 位：</w:t>
      </w:r>
      <w:r>
        <w:rPr>
          <w:rFonts w:hint="eastAsia" w:ascii="宋体" w:hAnsi="宋体" w:eastAsia="宋体" w:cs="宋体"/>
          <w:sz w:val="28"/>
          <w:szCs w:val="28"/>
          <w:lang w:eastAsia="zh-CN"/>
        </w:rPr>
        <w:t>莎车县农业农村局</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址：莎车县智慧路32号</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人：蒋政</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电 话：13779490388</w:t>
      </w:r>
    </w:p>
    <w:p>
      <w:pPr>
        <w:bidi w:val="0"/>
        <w:rPr>
          <w:rFonts w:hint="eastAsia" w:ascii="宋体" w:hAnsi="宋体" w:eastAsia="宋体" w:cs="宋体"/>
          <w:sz w:val="28"/>
          <w:szCs w:val="28"/>
        </w:rPr>
      </w:pPr>
    </w:p>
    <w:p>
      <w:pPr>
        <w:bidi w:val="0"/>
        <w:rPr>
          <w:rFonts w:hint="eastAsia" w:ascii="宋体" w:hAnsi="宋体" w:eastAsia="宋体" w:cs="宋体"/>
          <w:sz w:val="28"/>
          <w:szCs w:val="28"/>
          <w:lang w:val="en-US" w:eastAsia="zh-CN"/>
        </w:rPr>
      </w:pPr>
      <w:r>
        <w:rPr>
          <w:rFonts w:hint="eastAsia" w:ascii="宋体" w:hAnsi="宋体" w:eastAsia="宋体" w:cs="宋体"/>
          <w:sz w:val="28"/>
          <w:szCs w:val="28"/>
        </w:rPr>
        <w:t>采购代理机构：</w:t>
      </w:r>
      <w:r>
        <w:rPr>
          <w:rFonts w:hint="eastAsia" w:ascii="宋体" w:hAnsi="宋体" w:eastAsia="宋体" w:cs="宋体"/>
          <w:sz w:val="28"/>
          <w:szCs w:val="28"/>
          <w:lang w:val="en-US" w:eastAsia="zh-CN"/>
        </w:rPr>
        <w:t>新疆方元晖工程项目管理有限公司</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单 位</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地 址：新疆喀什地区喀什市西域大道街道西环路社区33号徽商大厦A栋9层903.904室</w:t>
      </w:r>
    </w:p>
    <w:p>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 系 人：陈聪</w:t>
      </w:r>
    </w:p>
    <w:p>
      <w:pPr>
        <w:bidi w:val="0"/>
        <w:rPr>
          <w:rFonts w:hint="default"/>
          <w:lang w:val="en-US" w:eastAsia="zh-CN"/>
        </w:rPr>
      </w:pPr>
      <w:r>
        <w:rPr>
          <w:rFonts w:hint="eastAsia" w:ascii="宋体" w:hAnsi="宋体" w:eastAsia="宋体" w:cs="宋体"/>
          <w:sz w:val="28"/>
          <w:szCs w:val="28"/>
          <w:lang w:val="en-US" w:eastAsia="zh-CN"/>
        </w:rPr>
        <w:t>联系电话：16698774668</w:t>
      </w:r>
    </w:p>
    <w:p>
      <w:pPr>
        <w:bidi w:val="0"/>
        <w:ind w:firstLine="1800" w:firstLineChars="500"/>
        <w:rPr>
          <w:rFonts w:hint="eastAsia"/>
          <w:sz w:val="36"/>
          <w:szCs w:val="44"/>
        </w:rPr>
      </w:pPr>
    </w:p>
    <w:p>
      <w:pPr>
        <w:bidi w:val="0"/>
        <w:ind w:firstLine="3920" w:firstLineChars="1400"/>
        <w:jc w:val="both"/>
        <w:rPr>
          <w:rFonts w:hint="eastAsia" w:ascii="宋体" w:hAnsi="宋体" w:eastAsia="宋体" w:cs="宋体"/>
          <w:sz w:val="28"/>
          <w:szCs w:val="36"/>
        </w:rPr>
      </w:pPr>
      <w:r>
        <w:rPr>
          <w:rFonts w:hint="eastAsia" w:ascii="宋体" w:hAnsi="宋体" w:eastAsia="宋体" w:cs="宋体"/>
          <w:sz w:val="28"/>
          <w:szCs w:val="36"/>
          <w:lang w:eastAsia="zh-CN"/>
        </w:rPr>
        <w:t>202</w:t>
      </w:r>
      <w:r>
        <w:rPr>
          <w:rFonts w:hint="eastAsia" w:ascii="宋体" w:hAnsi="宋体" w:eastAsia="宋体" w:cs="宋体"/>
          <w:sz w:val="28"/>
          <w:szCs w:val="36"/>
          <w:lang w:val="en-US" w:eastAsia="zh-CN"/>
        </w:rPr>
        <w:t>4</w:t>
      </w:r>
      <w:r>
        <w:rPr>
          <w:rFonts w:hint="eastAsia" w:ascii="宋体" w:hAnsi="宋体" w:eastAsia="宋体" w:cs="宋体"/>
          <w:sz w:val="28"/>
          <w:szCs w:val="36"/>
        </w:rPr>
        <w:t>年</w:t>
      </w:r>
      <w:r>
        <w:rPr>
          <w:rFonts w:hint="eastAsia" w:ascii="宋体" w:hAnsi="宋体" w:eastAsia="宋体" w:cs="宋体"/>
          <w:sz w:val="28"/>
          <w:szCs w:val="36"/>
          <w:lang w:val="en-US" w:eastAsia="zh-CN"/>
        </w:rPr>
        <w:t>3</w:t>
      </w:r>
      <w:r>
        <w:rPr>
          <w:rFonts w:hint="eastAsia" w:ascii="宋体" w:hAnsi="宋体" w:eastAsia="宋体" w:cs="宋体"/>
          <w:sz w:val="28"/>
          <w:szCs w:val="36"/>
        </w:rPr>
        <w:t>月</w:t>
      </w:r>
    </w:p>
    <w:p/>
    <w:sdt>
      <w:sdtPr>
        <w:rPr>
          <w:rFonts w:ascii="宋体" w:hAnsi="宋体" w:eastAsia="宋体" w:cstheme="minorBidi"/>
          <w:kern w:val="2"/>
          <w:sz w:val="21"/>
          <w:szCs w:val="24"/>
          <w:lang w:val="en-US" w:eastAsia="zh-CN" w:bidi="ar-SA"/>
        </w:rPr>
        <w:id w:val="147466059"/>
        <w15:color w:val="DBDBDB"/>
        <w:docPartObj>
          <w:docPartGallery w:val="Table of Contents"/>
          <w:docPartUnique/>
        </w:docPartObj>
      </w:sdtPr>
      <w:sdtEndPr>
        <w:rPr>
          <w:rFonts w:hint="eastAsia" w:asciiTheme="minorHAnsi" w:hAnsiTheme="minorHAnsi" w:eastAsiaTheme="minorEastAsia" w:cstheme="minorBidi"/>
          <w:kern w:val="2"/>
          <w:sz w:val="18"/>
          <w:szCs w:val="24"/>
          <w:lang w:val="en-US" w:eastAsia="zh-CN" w:bidi="ar-SA"/>
        </w:rPr>
      </w:sdtEndPr>
      <w:sdtContent>
        <w:p>
          <w:pPr>
            <w:spacing w:before="0" w:beforeLines="0" w:after="0" w:afterLines="0" w:line="240" w:lineRule="auto"/>
            <w:ind w:left="0" w:leftChars="0" w:right="0" w:rightChars="0" w:firstLine="0" w:firstLineChars="0"/>
            <w:jc w:val="center"/>
            <w:rPr>
              <w:sz w:val="28"/>
              <w:szCs w:val="28"/>
            </w:rPr>
          </w:pPr>
          <w:r>
            <w:rPr>
              <w:rFonts w:ascii="宋体" w:hAnsi="宋体" w:eastAsia="宋体"/>
              <w:sz w:val="28"/>
              <w:szCs w:val="28"/>
            </w:rPr>
            <w:t>目录</w:t>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TOC \o "1-1" \h \u </w:instrText>
          </w:r>
          <w:r>
            <w:rPr>
              <w:rFonts w:hint="eastAsia"/>
              <w:sz w:val="28"/>
              <w:szCs w:val="28"/>
              <w:lang w:eastAsia="zh-CN"/>
            </w:rPr>
            <w:fldChar w:fldCharType="separate"/>
          </w:r>
          <w:r>
            <w:rPr>
              <w:rFonts w:hint="eastAsia"/>
              <w:sz w:val="28"/>
              <w:szCs w:val="28"/>
              <w:lang w:eastAsia="zh-CN"/>
            </w:rPr>
            <w:fldChar w:fldCharType="begin"/>
          </w:r>
          <w:r>
            <w:rPr>
              <w:rFonts w:hint="eastAsia"/>
              <w:sz w:val="28"/>
              <w:szCs w:val="28"/>
              <w:lang w:eastAsia="zh-CN"/>
            </w:rPr>
            <w:instrText xml:space="preserve"> HYPERLINK \l _Toc31185 </w:instrText>
          </w:r>
          <w:r>
            <w:rPr>
              <w:rFonts w:hint="eastAsia"/>
              <w:sz w:val="28"/>
              <w:szCs w:val="28"/>
              <w:lang w:eastAsia="zh-CN"/>
            </w:rPr>
            <w:fldChar w:fldCharType="separate"/>
          </w:r>
          <w:r>
            <w:rPr>
              <w:rFonts w:hint="eastAsia" w:ascii="宋体" w:hAnsi="宋体" w:eastAsia="宋体" w:cs="宋体"/>
              <w:sz w:val="28"/>
              <w:szCs w:val="28"/>
              <w:lang w:eastAsia="zh-CN"/>
            </w:rPr>
            <w:t>第一章</w:t>
          </w:r>
          <w:r>
            <w:rPr>
              <w:rFonts w:hint="eastAsia" w:ascii="宋体" w:hAnsi="宋体" w:eastAsia="宋体" w:cs="宋体"/>
              <w:sz w:val="28"/>
              <w:szCs w:val="28"/>
            </w:rPr>
            <w:t xml:space="preserve">  </w:t>
          </w:r>
          <w:r>
            <w:rPr>
              <w:rFonts w:hint="eastAsia" w:ascii="宋体" w:hAnsi="宋体" w:eastAsia="宋体" w:cs="宋体"/>
              <w:sz w:val="28"/>
              <w:szCs w:val="28"/>
              <w:lang w:eastAsia="zh-CN"/>
            </w:rPr>
            <w:t>供应商须知</w:t>
          </w:r>
          <w:r>
            <w:rPr>
              <w:sz w:val="28"/>
              <w:szCs w:val="28"/>
            </w:rPr>
            <w:tab/>
          </w:r>
          <w:r>
            <w:rPr>
              <w:rFonts w:hint="eastAsia"/>
              <w:sz w:val="28"/>
              <w:szCs w:val="28"/>
              <w:lang w:val="en-US" w:eastAsia="zh-CN"/>
            </w:rPr>
            <w:t>1</w:t>
          </w:r>
          <w:r>
            <w:rPr>
              <w:rFonts w:hint="eastAsia"/>
              <w:sz w:val="28"/>
              <w:szCs w:val="28"/>
              <w:lang w:eastAsia="zh-CN"/>
            </w:rPr>
            <w:fldChar w:fldCharType="end"/>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 HYPERLINK \l _Toc6906 </w:instrText>
          </w:r>
          <w:r>
            <w:rPr>
              <w:rFonts w:hint="eastAsia"/>
              <w:sz w:val="28"/>
              <w:szCs w:val="28"/>
              <w:lang w:eastAsia="zh-CN"/>
            </w:rPr>
            <w:fldChar w:fldCharType="separate"/>
          </w:r>
          <w:r>
            <w:rPr>
              <w:rFonts w:hint="eastAsia" w:ascii="宋体" w:hAnsi="宋体" w:eastAsia="宋体" w:cs="宋体"/>
              <w:sz w:val="28"/>
              <w:szCs w:val="28"/>
              <w:highlight w:val="none"/>
            </w:rPr>
            <w:t>一、</w:t>
          </w:r>
          <w:r>
            <w:rPr>
              <w:rFonts w:hint="eastAsia" w:ascii="宋体" w:hAnsi="宋体" w:cs="宋体"/>
              <w:sz w:val="28"/>
              <w:szCs w:val="28"/>
              <w:highlight w:val="none"/>
              <w:lang w:val="en-US" w:eastAsia="zh-CN"/>
            </w:rPr>
            <w:t>总则</w:t>
          </w:r>
          <w:r>
            <w:rPr>
              <w:sz w:val="28"/>
              <w:szCs w:val="28"/>
            </w:rPr>
            <w:tab/>
          </w:r>
          <w:r>
            <w:rPr>
              <w:rFonts w:hint="eastAsia"/>
              <w:sz w:val="28"/>
              <w:szCs w:val="28"/>
              <w:lang w:val="en-US" w:eastAsia="zh-CN"/>
            </w:rPr>
            <w:t>1</w:t>
          </w:r>
          <w:r>
            <w:rPr>
              <w:rFonts w:hint="eastAsia"/>
              <w:sz w:val="28"/>
              <w:szCs w:val="28"/>
              <w:lang w:eastAsia="zh-CN"/>
            </w:rPr>
            <w:fldChar w:fldCharType="end"/>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 HYPERLINK \l _Toc22401 </w:instrText>
          </w:r>
          <w:r>
            <w:rPr>
              <w:rFonts w:hint="eastAsia"/>
              <w:sz w:val="28"/>
              <w:szCs w:val="28"/>
              <w:lang w:eastAsia="zh-CN"/>
            </w:rPr>
            <w:fldChar w:fldCharType="separate"/>
          </w:r>
          <w:r>
            <w:rPr>
              <w:rFonts w:hint="eastAsia" w:ascii="宋体" w:hAnsi="宋体" w:eastAsia="宋体" w:cs="宋体"/>
              <w:sz w:val="28"/>
              <w:szCs w:val="28"/>
              <w:highlight w:val="none"/>
            </w:rPr>
            <w:t>二、谈判文件</w:t>
          </w:r>
          <w:r>
            <w:rPr>
              <w:sz w:val="28"/>
              <w:szCs w:val="28"/>
            </w:rPr>
            <w:tab/>
          </w:r>
          <w:r>
            <w:rPr>
              <w:rFonts w:hint="eastAsia"/>
              <w:sz w:val="28"/>
              <w:szCs w:val="28"/>
              <w:lang w:val="en-US" w:eastAsia="zh-CN"/>
            </w:rPr>
            <w:t>2</w:t>
          </w:r>
          <w:r>
            <w:rPr>
              <w:rFonts w:hint="eastAsia"/>
              <w:sz w:val="28"/>
              <w:szCs w:val="28"/>
              <w:lang w:eastAsia="zh-CN"/>
            </w:rPr>
            <w:fldChar w:fldCharType="end"/>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 HYPERLINK \l _Toc24919 </w:instrText>
          </w:r>
          <w:r>
            <w:rPr>
              <w:rFonts w:hint="eastAsia"/>
              <w:sz w:val="28"/>
              <w:szCs w:val="28"/>
              <w:lang w:eastAsia="zh-CN"/>
            </w:rPr>
            <w:fldChar w:fldCharType="separate"/>
          </w:r>
          <w:r>
            <w:rPr>
              <w:rFonts w:hint="eastAsia" w:ascii="宋体" w:hAnsi="宋体" w:eastAsia="宋体" w:cs="宋体"/>
              <w:sz w:val="28"/>
              <w:szCs w:val="28"/>
              <w:highlight w:val="none"/>
            </w:rPr>
            <w:t>三、</w:t>
          </w:r>
          <w:r>
            <w:rPr>
              <w:rFonts w:hint="eastAsia" w:ascii="宋体" w:hAnsi="宋体" w:eastAsia="宋体" w:cs="宋体"/>
              <w:sz w:val="28"/>
              <w:szCs w:val="28"/>
              <w:highlight w:val="none"/>
              <w:lang w:eastAsia="zh-CN"/>
            </w:rPr>
            <w:t>响应文件的编制</w:t>
          </w:r>
          <w:r>
            <w:rPr>
              <w:sz w:val="28"/>
              <w:szCs w:val="28"/>
            </w:rPr>
            <w:tab/>
          </w:r>
          <w:r>
            <w:rPr>
              <w:rFonts w:hint="eastAsia"/>
              <w:sz w:val="28"/>
              <w:szCs w:val="28"/>
              <w:lang w:val="en-US" w:eastAsia="zh-CN"/>
            </w:rPr>
            <w:t>3</w:t>
          </w:r>
          <w:r>
            <w:rPr>
              <w:rFonts w:hint="eastAsia"/>
              <w:sz w:val="28"/>
              <w:szCs w:val="28"/>
              <w:lang w:eastAsia="zh-CN"/>
            </w:rPr>
            <w:fldChar w:fldCharType="end"/>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 HYPERLINK \l _Toc26432 </w:instrText>
          </w:r>
          <w:r>
            <w:rPr>
              <w:rFonts w:hint="eastAsia"/>
              <w:sz w:val="28"/>
              <w:szCs w:val="28"/>
              <w:lang w:eastAsia="zh-CN"/>
            </w:rPr>
            <w:fldChar w:fldCharType="separate"/>
          </w:r>
          <w:r>
            <w:rPr>
              <w:rFonts w:hint="eastAsia" w:ascii="宋体" w:hAnsi="宋体" w:eastAsia="宋体" w:cs="宋体"/>
              <w:sz w:val="28"/>
              <w:szCs w:val="28"/>
              <w:highlight w:val="none"/>
            </w:rPr>
            <w:t>四、</w:t>
          </w:r>
          <w:r>
            <w:rPr>
              <w:rFonts w:hint="eastAsia" w:ascii="宋体" w:hAnsi="宋体" w:eastAsia="宋体" w:cs="宋体"/>
              <w:sz w:val="28"/>
              <w:szCs w:val="28"/>
              <w:highlight w:val="none"/>
              <w:lang w:eastAsia="zh-CN"/>
            </w:rPr>
            <w:t>响应文件的递交</w:t>
          </w:r>
          <w:r>
            <w:rPr>
              <w:sz w:val="28"/>
              <w:szCs w:val="28"/>
            </w:rPr>
            <w:tab/>
          </w:r>
          <w:r>
            <w:rPr>
              <w:rFonts w:hint="eastAsia"/>
              <w:sz w:val="28"/>
              <w:szCs w:val="28"/>
              <w:lang w:val="en-US" w:eastAsia="zh-CN"/>
            </w:rPr>
            <w:t>6</w:t>
          </w:r>
          <w:r>
            <w:rPr>
              <w:rFonts w:hint="eastAsia"/>
              <w:sz w:val="28"/>
              <w:szCs w:val="28"/>
              <w:lang w:eastAsia="zh-CN"/>
            </w:rPr>
            <w:fldChar w:fldCharType="end"/>
          </w:r>
        </w:p>
        <w:p>
          <w:pPr>
            <w:pStyle w:val="31"/>
            <w:tabs>
              <w:tab w:val="right" w:leader="dot" w:pos="9040"/>
            </w:tabs>
            <w:rPr>
              <w:sz w:val="28"/>
              <w:szCs w:val="28"/>
            </w:rPr>
          </w:pPr>
          <w:r>
            <w:rPr>
              <w:rFonts w:hint="eastAsia"/>
              <w:sz w:val="28"/>
              <w:szCs w:val="28"/>
              <w:lang w:eastAsia="zh-CN"/>
            </w:rPr>
            <w:fldChar w:fldCharType="begin"/>
          </w:r>
          <w:r>
            <w:rPr>
              <w:rFonts w:hint="eastAsia"/>
              <w:sz w:val="28"/>
              <w:szCs w:val="28"/>
              <w:lang w:eastAsia="zh-CN"/>
            </w:rPr>
            <w:instrText xml:space="preserve"> HYPERLINK \l _Toc1590 </w:instrText>
          </w:r>
          <w:r>
            <w:rPr>
              <w:rFonts w:hint="eastAsia"/>
              <w:sz w:val="28"/>
              <w:szCs w:val="28"/>
              <w:lang w:eastAsia="zh-CN"/>
            </w:rPr>
            <w:fldChar w:fldCharType="separate"/>
          </w:r>
          <w:r>
            <w:rPr>
              <w:rFonts w:hint="eastAsia" w:ascii="宋体" w:hAnsi="宋体" w:cs="宋体"/>
              <w:sz w:val="28"/>
              <w:szCs w:val="28"/>
              <w:highlight w:val="none"/>
              <w:lang w:val="en-US" w:eastAsia="zh-CN"/>
            </w:rPr>
            <w:t>五</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谈判开启及评审</w:t>
          </w:r>
          <w:r>
            <w:rPr>
              <w:sz w:val="28"/>
              <w:szCs w:val="28"/>
            </w:rPr>
            <w:tab/>
          </w:r>
          <w:r>
            <w:rPr>
              <w:rFonts w:hint="eastAsia"/>
              <w:sz w:val="28"/>
              <w:szCs w:val="28"/>
              <w:lang w:val="en-US" w:eastAsia="zh-CN"/>
            </w:rPr>
            <w:t>7</w:t>
          </w:r>
          <w:r>
            <w:rPr>
              <w:rFonts w:hint="eastAsia"/>
              <w:sz w:val="28"/>
              <w:szCs w:val="28"/>
              <w:lang w:eastAsia="zh-CN"/>
            </w:rPr>
            <w:fldChar w:fldCharType="end"/>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_Toc1648 </w:instrText>
          </w:r>
          <w:r>
            <w:rPr>
              <w:rFonts w:hint="eastAsia"/>
              <w:sz w:val="28"/>
              <w:szCs w:val="28"/>
              <w:lang w:eastAsia="zh-CN"/>
            </w:rPr>
            <w:fldChar w:fldCharType="separate"/>
          </w:r>
          <w:r>
            <w:rPr>
              <w:rFonts w:hint="eastAsia" w:ascii="宋体" w:hAnsi="宋体" w:cs="宋体"/>
              <w:sz w:val="28"/>
              <w:szCs w:val="28"/>
              <w:highlight w:val="none"/>
              <w:lang w:val="en-US" w:eastAsia="zh-CN"/>
            </w:rPr>
            <w:t>六</w:t>
          </w:r>
          <w:r>
            <w:rPr>
              <w:rFonts w:hint="eastAsia" w:ascii="宋体" w:hAnsi="宋体" w:eastAsia="宋体" w:cs="宋体"/>
              <w:sz w:val="28"/>
              <w:szCs w:val="28"/>
              <w:highlight w:val="none"/>
            </w:rPr>
            <w:t>、</w:t>
          </w:r>
          <w:r>
            <w:rPr>
              <w:rFonts w:hint="eastAsia" w:ascii="宋体" w:hAnsi="宋体" w:eastAsia="宋体" w:cs="宋体"/>
              <w:sz w:val="28"/>
              <w:szCs w:val="28"/>
              <w:highlight w:val="none"/>
              <w:lang w:eastAsia="zh-CN"/>
            </w:rPr>
            <w:t>确定成交</w:t>
          </w:r>
          <w:r>
            <w:rPr>
              <w:sz w:val="28"/>
              <w:szCs w:val="28"/>
            </w:rPr>
            <w:tab/>
          </w:r>
          <w:r>
            <w:rPr>
              <w:rFonts w:hint="eastAsia"/>
              <w:sz w:val="28"/>
              <w:szCs w:val="28"/>
              <w:lang w:val="en-US" w:eastAsia="zh-CN"/>
            </w:rPr>
            <w:t>1</w:t>
          </w:r>
          <w:r>
            <w:rPr>
              <w:rFonts w:hint="eastAsia"/>
              <w:sz w:val="28"/>
              <w:szCs w:val="28"/>
              <w:lang w:eastAsia="zh-CN"/>
            </w:rPr>
            <w:fldChar w:fldCharType="end"/>
          </w:r>
          <w:r>
            <w:rPr>
              <w:rFonts w:hint="eastAsia"/>
              <w:sz w:val="28"/>
              <w:szCs w:val="28"/>
              <w:lang w:val="en-US" w:eastAsia="zh-CN"/>
            </w:rPr>
            <w:t>1</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_Toc24805 </w:instrText>
          </w:r>
          <w:r>
            <w:rPr>
              <w:rFonts w:hint="eastAsia"/>
              <w:sz w:val="28"/>
              <w:szCs w:val="28"/>
              <w:lang w:eastAsia="zh-CN"/>
            </w:rPr>
            <w:fldChar w:fldCharType="separate"/>
          </w:r>
          <w:r>
            <w:rPr>
              <w:rFonts w:hint="eastAsia" w:ascii="宋体" w:hAnsi="宋体" w:cs="宋体"/>
              <w:sz w:val="28"/>
              <w:szCs w:val="28"/>
              <w:highlight w:val="none"/>
              <w:lang w:val="en-US" w:eastAsia="zh-CN"/>
            </w:rPr>
            <w:t>七</w:t>
          </w:r>
          <w:r>
            <w:rPr>
              <w:rFonts w:hint="eastAsia" w:ascii="宋体" w:hAnsi="宋体" w:eastAsia="宋体" w:cs="宋体"/>
              <w:sz w:val="28"/>
              <w:szCs w:val="28"/>
              <w:highlight w:val="none"/>
            </w:rPr>
            <w:t>、</w:t>
          </w:r>
          <w:bookmarkStart w:id="0" w:name="_Toc28914"/>
          <w:r>
            <w:rPr>
              <w:rFonts w:hint="eastAsia" w:ascii="宋体" w:hAnsi="宋体" w:eastAsia="宋体" w:cs="宋体"/>
              <w:sz w:val="28"/>
              <w:szCs w:val="28"/>
              <w:highlight w:val="none"/>
            </w:rPr>
            <w:t>质疑函范本</w:t>
          </w:r>
          <w:bookmarkEnd w:id="0"/>
          <w:r>
            <w:rPr>
              <w:sz w:val="28"/>
              <w:szCs w:val="28"/>
            </w:rPr>
            <w:tab/>
          </w:r>
          <w:r>
            <w:rPr>
              <w:rFonts w:hint="eastAsia"/>
              <w:sz w:val="28"/>
              <w:szCs w:val="28"/>
              <w:lang w:val="en-US" w:eastAsia="zh-CN"/>
            </w:rPr>
            <w:t>1</w:t>
          </w:r>
          <w:r>
            <w:rPr>
              <w:rFonts w:hint="eastAsia"/>
              <w:sz w:val="28"/>
              <w:szCs w:val="28"/>
              <w:lang w:eastAsia="zh-CN"/>
            </w:rPr>
            <w:fldChar w:fldCharType="end"/>
          </w:r>
          <w:r>
            <w:rPr>
              <w:rFonts w:hint="eastAsia"/>
              <w:sz w:val="28"/>
              <w:szCs w:val="28"/>
              <w:lang w:val="en-US" w:eastAsia="zh-CN"/>
            </w:rPr>
            <w:t>6</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_Toc10446 </w:instrText>
          </w:r>
          <w:r>
            <w:rPr>
              <w:rFonts w:hint="eastAsia"/>
              <w:sz w:val="28"/>
              <w:szCs w:val="28"/>
              <w:lang w:eastAsia="zh-CN"/>
            </w:rPr>
            <w:fldChar w:fldCharType="separate"/>
          </w:r>
          <w:r>
            <w:rPr>
              <w:rFonts w:hint="eastAsia" w:ascii="宋体" w:hAnsi="宋体" w:cs="宋体"/>
              <w:sz w:val="28"/>
              <w:szCs w:val="28"/>
              <w:highlight w:val="none"/>
              <w:lang w:val="en-US" w:eastAsia="zh-CN"/>
            </w:rPr>
            <w:t>八</w:t>
          </w:r>
          <w:r>
            <w:rPr>
              <w:rFonts w:hint="eastAsia" w:ascii="宋体" w:hAnsi="宋体" w:eastAsia="宋体" w:cs="宋体"/>
              <w:sz w:val="28"/>
              <w:szCs w:val="28"/>
              <w:highlight w:val="none"/>
            </w:rPr>
            <w:t>、</w:t>
          </w:r>
          <w:bookmarkStart w:id="1" w:name="_Toc6534"/>
          <w:r>
            <w:rPr>
              <w:rFonts w:hint="eastAsia" w:ascii="宋体" w:hAnsi="宋体" w:eastAsia="宋体" w:cs="宋体"/>
              <w:sz w:val="28"/>
              <w:szCs w:val="28"/>
              <w:highlight w:val="none"/>
            </w:rPr>
            <w:t>履约保证金保函（格式）</w:t>
          </w:r>
          <w:bookmarkEnd w:id="1"/>
          <w:r>
            <w:rPr>
              <w:sz w:val="28"/>
              <w:szCs w:val="28"/>
            </w:rPr>
            <w:tab/>
          </w:r>
          <w:r>
            <w:rPr>
              <w:rFonts w:hint="eastAsia"/>
              <w:sz w:val="28"/>
              <w:szCs w:val="28"/>
              <w:lang w:val="en-US" w:eastAsia="zh-CN"/>
            </w:rPr>
            <w:t>1</w:t>
          </w:r>
          <w:r>
            <w:rPr>
              <w:rFonts w:hint="eastAsia"/>
              <w:sz w:val="28"/>
              <w:szCs w:val="28"/>
              <w:lang w:eastAsia="zh-CN"/>
            </w:rPr>
            <w:fldChar w:fldCharType="end"/>
          </w:r>
          <w:r>
            <w:rPr>
              <w:rFonts w:hint="eastAsia"/>
              <w:sz w:val="28"/>
              <w:szCs w:val="28"/>
              <w:lang w:val="en-US" w:eastAsia="zh-CN"/>
            </w:rPr>
            <w:t>7</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_Toc20778 </w:instrText>
          </w:r>
          <w:r>
            <w:rPr>
              <w:rFonts w:hint="eastAsia"/>
              <w:sz w:val="28"/>
              <w:szCs w:val="28"/>
              <w:lang w:eastAsia="zh-CN"/>
            </w:rPr>
            <w:fldChar w:fldCharType="separate"/>
          </w:r>
          <w:r>
            <w:rPr>
              <w:rFonts w:hint="eastAsia" w:ascii="宋体" w:hAnsi="宋体" w:cs="宋体"/>
              <w:sz w:val="28"/>
              <w:szCs w:val="28"/>
              <w:highlight w:val="none"/>
              <w:lang w:val="en-US" w:eastAsia="zh-CN"/>
            </w:rPr>
            <w:t>九</w:t>
          </w:r>
          <w:r>
            <w:rPr>
              <w:rFonts w:hint="eastAsia" w:ascii="宋体" w:hAnsi="宋体" w:eastAsia="宋体" w:cs="宋体"/>
              <w:sz w:val="28"/>
              <w:szCs w:val="28"/>
              <w:highlight w:val="none"/>
            </w:rPr>
            <w:t>、</w:t>
          </w:r>
          <w:bookmarkStart w:id="2" w:name="_Toc12853"/>
          <w:r>
            <w:rPr>
              <w:rFonts w:hint="eastAsia" w:ascii="宋体" w:hAnsi="宋体" w:eastAsia="宋体" w:cs="宋体"/>
              <w:sz w:val="28"/>
              <w:szCs w:val="28"/>
              <w:highlight w:val="none"/>
            </w:rPr>
            <w:t>履约担保函</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格式</w:t>
          </w:r>
          <w:r>
            <w:rPr>
              <w:rFonts w:hint="eastAsia" w:ascii="宋体" w:hAnsi="宋体" w:cs="宋体"/>
              <w:sz w:val="28"/>
              <w:szCs w:val="28"/>
              <w:highlight w:val="none"/>
              <w:lang w:eastAsia="zh-CN"/>
            </w:rPr>
            <w:t>）</w:t>
          </w:r>
          <w:bookmarkEnd w:id="2"/>
          <w:r>
            <w:rPr>
              <w:sz w:val="28"/>
              <w:szCs w:val="28"/>
            </w:rPr>
            <w:tab/>
          </w:r>
          <w:r>
            <w:rPr>
              <w:rFonts w:hint="eastAsia"/>
              <w:sz w:val="28"/>
              <w:szCs w:val="28"/>
              <w:lang w:val="en-US" w:eastAsia="zh-CN"/>
            </w:rPr>
            <w:t>1</w:t>
          </w:r>
          <w:r>
            <w:rPr>
              <w:rFonts w:hint="eastAsia"/>
              <w:sz w:val="28"/>
              <w:szCs w:val="28"/>
              <w:lang w:eastAsia="zh-CN"/>
            </w:rPr>
            <w:fldChar w:fldCharType="end"/>
          </w:r>
          <w:r>
            <w:rPr>
              <w:rFonts w:hint="eastAsia"/>
              <w:sz w:val="28"/>
              <w:szCs w:val="28"/>
              <w:lang w:val="en-US" w:eastAsia="zh-CN"/>
            </w:rPr>
            <w:t>8</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_Toc2205 </w:instrText>
          </w:r>
          <w:r>
            <w:rPr>
              <w:rFonts w:hint="eastAsia"/>
              <w:sz w:val="28"/>
              <w:szCs w:val="28"/>
              <w:lang w:eastAsia="zh-CN"/>
            </w:rPr>
            <w:fldChar w:fldCharType="separate"/>
          </w:r>
          <w:r>
            <w:rPr>
              <w:rFonts w:hint="eastAsia"/>
              <w:sz w:val="28"/>
              <w:szCs w:val="28"/>
            </w:rPr>
            <w:t>第二章 响应文件格式</w:t>
          </w:r>
          <w:r>
            <w:rPr>
              <w:sz w:val="28"/>
              <w:szCs w:val="28"/>
            </w:rPr>
            <w:tab/>
          </w:r>
          <w:r>
            <w:rPr>
              <w:rFonts w:hint="eastAsia"/>
              <w:sz w:val="28"/>
              <w:szCs w:val="28"/>
              <w:lang w:val="en-US" w:eastAsia="zh-CN"/>
            </w:rPr>
            <w:t>2</w:t>
          </w:r>
          <w:r>
            <w:rPr>
              <w:rFonts w:hint="eastAsia"/>
              <w:sz w:val="28"/>
              <w:szCs w:val="28"/>
              <w:lang w:eastAsia="zh-CN"/>
            </w:rPr>
            <w:fldChar w:fldCharType="end"/>
          </w:r>
          <w:r>
            <w:rPr>
              <w:rFonts w:hint="eastAsia"/>
              <w:sz w:val="28"/>
              <w:szCs w:val="28"/>
              <w:lang w:val="en-US" w:eastAsia="zh-CN"/>
            </w:rPr>
            <w:t>0</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_Toc12982 </w:instrText>
          </w:r>
          <w:r>
            <w:rPr>
              <w:rFonts w:hint="eastAsia"/>
              <w:sz w:val="28"/>
              <w:szCs w:val="28"/>
              <w:lang w:eastAsia="zh-CN"/>
            </w:rPr>
            <w:fldChar w:fldCharType="separate"/>
          </w:r>
          <w:r>
            <w:rPr>
              <w:rFonts w:hint="eastAsia"/>
              <w:sz w:val="28"/>
              <w:szCs w:val="28"/>
              <w:lang w:val="en-US" w:eastAsia="zh-CN"/>
            </w:rPr>
            <w:t>第三章  谈判邀请</w:t>
          </w:r>
          <w:r>
            <w:rPr>
              <w:sz w:val="28"/>
              <w:szCs w:val="28"/>
            </w:rPr>
            <w:tab/>
          </w:r>
          <w:r>
            <w:rPr>
              <w:rFonts w:hint="eastAsia"/>
              <w:sz w:val="28"/>
              <w:szCs w:val="28"/>
              <w:lang w:val="en-US" w:eastAsia="zh-CN"/>
            </w:rPr>
            <w:t>3</w:t>
          </w:r>
          <w:r>
            <w:rPr>
              <w:rFonts w:hint="eastAsia"/>
              <w:sz w:val="28"/>
              <w:szCs w:val="28"/>
              <w:lang w:eastAsia="zh-CN"/>
            </w:rPr>
            <w:fldChar w:fldCharType="end"/>
          </w:r>
          <w:r>
            <w:rPr>
              <w:rFonts w:hint="eastAsia"/>
              <w:sz w:val="28"/>
              <w:szCs w:val="28"/>
              <w:lang w:val="en-US" w:eastAsia="zh-CN"/>
            </w:rPr>
            <w:t>8</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_Toc12716 </w:instrText>
          </w:r>
          <w:r>
            <w:rPr>
              <w:rFonts w:hint="eastAsia"/>
              <w:sz w:val="28"/>
              <w:szCs w:val="28"/>
              <w:lang w:eastAsia="zh-CN"/>
            </w:rPr>
            <w:fldChar w:fldCharType="separate"/>
          </w:r>
          <w:r>
            <w:rPr>
              <w:rFonts w:hint="eastAsia" w:ascii="宋体" w:hAnsi="宋体" w:eastAsia="宋体" w:cs="宋体"/>
              <w:sz w:val="28"/>
              <w:szCs w:val="28"/>
              <w:highlight w:val="none"/>
              <w:lang w:eastAsia="zh-CN"/>
            </w:rPr>
            <w:t>第四章</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供应商须知资料表</w:t>
          </w:r>
          <w:r>
            <w:rPr>
              <w:sz w:val="28"/>
              <w:szCs w:val="28"/>
            </w:rPr>
            <w:tab/>
          </w:r>
          <w:r>
            <w:rPr>
              <w:rFonts w:hint="eastAsia"/>
              <w:sz w:val="28"/>
              <w:szCs w:val="28"/>
              <w:lang w:val="en-US" w:eastAsia="zh-CN"/>
            </w:rPr>
            <w:t>4</w:t>
          </w:r>
          <w:r>
            <w:rPr>
              <w:rFonts w:hint="eastAsia"/>
              <w:sz w:val="28"/>
              <w:szCs w:val="28"/>
              <w:lang w:eastAsia="zh-CN"/>
            </w:rPr>
            <w:fldChar w:fldCharType="end"/>
          </w:r>
          <w:r>
            <w:rPr>
              <w:rFonts w:hint="eastAsia"/>
              <w:sz w:val="28"/>
              <w:szCs w:val="28"/>
              <w:lang w:val="en-US" w:eastAsia="zh-CN"/>
            </w:rPr>
            <w:t>2</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_Toc9594 </w:instrText>
          </w:r>
          <w:r>
            <w:rPr>
              <w:rFonts w:hint="eastAsia"/>
              <w:sz w:val="28"/>
              <w:szCs w:val="28"/>
              <w:lang w:eastAsia="zh-CN"/>
            </w:rPr>
            <w:fldChar w:fldCharType="separate"/>
          </w:r>
          <w:r>
            <w:rPr>
              <w:rFonts w:hint="eastAsia" w:ascii="宋体" w:hAnsi="宋体" w:eastAsia="宋体" w:cs="宋体"/>
              <w:kern w:val="44"/>
              <w:sz w:val="28"/>
              <w:szCs w:val="28"/>
              <w:highlight w:val="none"/>
              <w:lang w:val="en-US" w:eastAsia="zh-CN" w:bidi="ar-SA"/>
            </w:rPr>
            <w:t xml:space="preserve">第五章 </w:t>
          </w:r>
          <w:r>
            <w:rPr>
              <w:rFonts w:hint="default" w:ascii="宋体" w:hAnsi="宋体" w:eastAsia="宋体" w:cs="宋体"/>
              <w:kern w:val="44"/>
              <w:sz w:val="28"/>
              <w:szCs w:val="28"/>
              <w:highlight w:val="none"/>
              <w:lang w:val="en-US" w:eastAsia="zh-CN" w:bidi="ar-SA"/>
            </w:rPr>
            <w:t>服务需求一览表及技术规格</w:t>
          </w:r>
          <w:r>
            <w:rPr>
              <w:sz w:val="28"/>
              <w:szCs w:val="28"/>
            </w:rPr>
            <w:tab/>
          </w:r>
          <w:r>
            <w:rPr>
              <w:rFonts w:hint="eastAsia"/>
              <w:sz w:val="28"/>
              <w:szCs w:val="28"/>
              <w:lang w:val="en-US" w:eastAsia="zh-CN"/>
            </w:rPr>
            <w:t>4</w:t>
          </w:r>
          <w:r>
            <w:rPr>
              <w:rFonts w:hint="eastAsia"/>
              <w:sz w:val="28"/>
              <w:szCs w:val="28"/>
              <w:lang w:eastAsia="zh-CN"/>
            </w:rPr>
            <w:fldChar w:fldCharType="end"/>
          </w:r>
          <w:r>
            <w:rPr>
              <w:rFonts w:hint="eastAsia"/>
              <w:sz w:val="28"/>
              <w:szCs w:val="28"/>
              <w:lang w:val="en-US" w:eastAsia="zh-CN"/>
            </w:rPr>
            <w:t>8</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_Toc32428 </w:instrText>
          </w:r>
          <w:r>
            <w:rPr>
              <w:rFonts w:hint="eastAsia"/>
              <w:sz w:val="28"/>
              <w:szCs w:val="28"/>
              <w:lang w:eastAsia="zh-CN"/>
            </w:rPr>
            <w:fldChar w:fldCharType="separate"/>
          </w:r>
          <w:r>
            <w:rPr>
              <w:rFonts w:hint="eastAsia" w:ascii="宋体" w:hAnsi="宋体" w:eastAsia="宋体" w:cs="宋体"/>
              <w:bCs/>
              <w:sz w:val="28"/>
              <w:szCs w:val="28"/>
              <w:highlight w:val="none"/>
              <w:lang w:val="en-US" w:eastAsia="zh-CN"/>
            </w:rPr>
            <w:t>第六章</w:t>
          </w:r>
          <w:r>
            <w:rPr>
              <w:rFonts w:hint="default" w:ascii="宋体" w:hAnsi="宋体" w:eastAsia="宋体" w:cs="宋体"/>
              <w:bCs/>
              <w:sz w:val="28"/>
              <w:szCs w:val="28"/>
              <w:highlight w:val="none"/>
              <w:lang w:val="en-US" w:eastAsia="zh-CN"/>
            </w:rPr>
            <w:t xml:space="preserve"> 评审方法和标准</w:t>
          </w:r>
          <w:r>
            <w:rPr>
              <w:sz w:val="28"/>
              <w:szCs w:val="28"/>
            </w:rPr>
            <w:tab/>
          </w:r>
          <w:r>
            <w:rPr>
              <w:rFonts w:hint="eastAsia"/>
              <w:sz w:val="28"/>
              <w:szCs w:val="28"/>
              <w:lang w:val="en-US" w:eastAsia="zh-CN"/>
            </w:rPr>
            <w:t>5</w:t>
          </w:r>
          <w:r>
            <w:rPr>
              <w:rFonts w:hint="eastAsia"/>
              <w:sz w:val="28"/>
              <w:szCs w:val="28"/>
              <w:lang w:eastAsia="zh-CN"/>
            </w:rPr>
            <w:fldChar w:fldCharType="end"/>
          </w:r>
          <w:r>
            <w:rPr>
              <w:rFonts w:hint="eastAsia"/>
              <w:sz w:val="28"/>
              <w:szCs w:val="28"/>
              <w:lang w:val="en-US" w:eastAsia="zh-CN"/>
            </w:rPr>
            <w:t>0</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_Toc312 </w:instrText>
          </w:r>
          <w:r>
            <w:rPr>
              <w:rFonts w:hint="eastAsia"/>
              <w:sz w:val="28"/>
              <w:szCs w:val="28"/>
              <w:lang w:eastAsia="zh-CN"/>
            </w:rPr>
            <w:fldChar w:fldCharType="separate"/>
          </w:r>
          <w:r>
            <w:rPr>
              <w:rFonts w:hint="eastAsia" w:ascii="宋体" w:hAnsi="宋体" w:eastAsia="宋体" w:cs="宋体"/>
              <w:bCs/>
              <w:sz w:val="28"/>
              <w:szCs w:val="28"/>
            </w:rPr>
            <w:t>符合性审查表</w:t>
          </w:r>
          <w:r>
            <w:rPr>
              <w:sz w:val="28"/>
              <w:szCs w:val="28"/>
            </w:rPr>
            <w:tab/>
          </w:r>
          <w:r>
            <w:rPr>
              <w:rFonts w:hint="eastAsia"/>
              <w:sz w:val="28"/>
              <w:szCs w:val="28"/>
              <w:lang w:val="en-US" w:eastAsia="zh-CN"/>
            </w:rPr>
            <w:t>5</w:t>
          </w:r>
          <w:r>
            <w:rPr>
              <w:rFonts w:hint="eastAsia"/>
              <w:sz w:val="28"/>
              <w:szCs w:val="28"/>
              <w:lang w:eastAsia="zh-CN"/>
            </w:rPr>
            <w:fldChar w:fldCharType="end"/>
          </w:r>
          <w:r>
            <w:rPr>
              <w:rFonts w:hint="eastAsia"/>
              <w:sz w:val="28"/>
              <w:szCs w:val="28"/>
              <w:lang w:val="en-US" w:eastAsia="zh-CN"/>
            </w:rPr>
            <w:t>3</w:t>
          </w:r>
        </w:p>
        <w:p>
          <w:pPr>
            <w:pStyle w:val="31"/>
            <w:tabs>
              <w:tab w:val="right" w:leader="dot" w:pos="9040"/>
            </w:tabs>
            <w:rPr>
              <w:rFonts w:hint="default"/>
              <w:sz w:val="28"/>
              <w:szCs w:val="28"/>
              <w:lang w:val="en-US"/>
            </w:rPr>
          </w:pPr>
          <w:r>
            <w:rPr>
              <w:rFonts w:hint="eastAsia"/>
              <w:sz w:val="28"/>
              <w:szCs w:val="28"/>
              <w:lang w:eastAsia="zh-CN"/>
            </w:rPr>
            <w:fldChar w:fldCharType="begin"/>
          </w:r>
          <w:r>
            <w:rPr>
              <w:rFonts w:hint="eastAsia"/>
              <w:sz w:val="28"/>
              <w:szCs w:val="28"/>
              <w:lang w:eastAsia="zh-CN"/>
            </w:rPr>
            <w:instrText xml:space="preserve"> HYPERLINK \l _Toc2911 </w:instrText>
          </w:r>
          <w:r>
            <w:rPr>
              <w:rFonts w:hint="eastAsia"/>
              <w:sz w:val="28"/>
              <w:szCs w:val="28"/>
              <w:lang w:eastAsia="zh-CN"/>
            </w:rPr>
            <w:fldChar w:fldCharType="separate"/>
          </w:r>
          <w:r>
            <w:rPr>
              <w:rFonts w:hint="eastAsia" w:cs="宋体"/>
              <w:bCs w:val="0"/>
              <w:sz w:val="28"/>
              <w:szCs w:val="28"/>
              <w:highlight w:val="none"/>
              <w:lang w:val="en-US" w:eastAsia="zh-CN"/>
            </w:rPr>
            <w:t>第七章</w:t>
          </w:r>
          <w:r>
            <w:rPr>
              <w:rFonts w:hint="eastAsia" w:hAnsi="宋体" w:cs="宋体"/>
              <w:bCs w:val="0"/>
              <w:sz w:val="28"/>
              <w:szCs w:val="28"/>
              <w:highlight w:val="none"/>
              <w:lang w:val="en-US" w:eastAsia="zh-CN"/>
            </w:rPr>
            <w:t xml:space="preserve"> </w:t>
          </w:r>
          <w:r>
            <w:rPr>
              <w:rFonts w:hint="eastAsia" w:hAnsi="宋体" w:cs="宋体"/>
              <w:bCs w:val="0"/>
              <w:sz w:val="28"/>
              <w:szCs w:val="28"/>
              <w:highlight w:val="none"/>
            </w:rPr>
            <w:t>政府采购合同</w:t>
          </w:r>
          <w:r>
            <w:rPr>
              <w:sz w:val="28"/>
              <w:szCs w:val="28"/>
            </w:rPr>
            <w:tab/>
          </w:r>
          <w:r>
            <w:rPr>
              <w:rFonts w:hint="eastAsia"/>
              <w:sz w:val="28"/>
              <w:szCs w:val="28"/>
              <w:lang w:val="en-US" w:eastAsia="zh-CN"/>
            </w:rPr>
            <w:t>5</w:t>
          </w:r>
          <w:r>
            <w:rPr>
              <w:rFonts w:hint="eastAsia"/>
              <w:sz w:val="28"/>
              <w:szCs w:val="28"/>
              <w:lang w:eastAsia="zh-CN"/>
            </w:rPr>
            <w:fldChar w:fldCharType="end"/>
          </w:r>
          <w:r>
            <w:rPr>
              <w:rFonts w:hint="eastAsia"/>
              <w:sz w:val="28"/>
              <w:szCs w:val="28"/>
              <w:lang w:val="en-US" w:eastAsia="zh-CN"/>
            </w:rPr>
            <w:t>4</w:t>
          </w:r>
        </w:p>
        <w:p>
          <w:pPr>
            <w:pStyle w:val="19"/>
            <w:rPr>
              <w:rFonts w:hint="eastAsia"/>
              <w:lang w:eastAsia="zh-CN"/>
            </w:rPr>
          </w:pPr>
          <w:r>
            <w:rPr>
              <w:rFonts w:hint="eastAsia"/>
              <w:sz w:val="28"/>
              <w:szCs w:val="28"/>
              <w:lang w:eastAsia="zh-CN"/>
            </w:rPr>
            <w:fldChar w:fldCharType="end"/>
          </w:r>
        </w:p>
      </w:sdtContent>
    </w:sdt>
    <w:p>
      <w:pPr>
        <w:pStyle w:val="19"/>
        <w:rPr>
          <w:rFonts w:hint="eastAsia"/>
          <w:lang w:eastAsia="zh-CN"/>
        </w:rPr>
      </w:pPr>
    </w:p>
    <w:p>
      <w:pPr>
        <w:pStyle w:val="19"/>
        <w:rPr>
          <w:rFonts w:hint="eastAsia"/>
          <w:lang w:eastAsia="zh-CN"/>
        </w:rPr>
      </w:pPr>
    </w:p>
    <w:p>
      <w:pPr>
        <w:bidi w:val="0"/>
        <w:rPr>
          <w:rFonts w:hint="eastAsia"/>
          <w:lang w:eastAsia="zh-CN"/>
        </w:rPr>
      </w:pPr>
    </w:p>
    <w:p>
      <w:pPr>
        <w:pStyle w:val="3"/>
        <w:bidi w:val="0"/>
        <w:ind w:firstLine="3213" w:firstLineChars="1000"/>
        <w:jc w:val="both"/>
        <w:outlineLvl w:val="9"/>
        <w:rPr>
          <w:rFonts w:hint="eastAsia" w:ascii="宋体" w:hAnsi="宋体" w:eastAsia="宋体" w:cs="宋体"/>
          <w:sz w:val="32"/>
          <w:szCs w:val="32"/>
          <w:lang w:eastAsia="zh-CN"/>
        </w:rPr>
        <w:sectPr>
          <w:footerReference r:id="rId5" w:type="first"/>
          <w:headerReference r:id="rId3" w:type="default"/>
          <w:footerReference r:id="rId4" w:type="default"/>
          <w:pgSz w:w="11906" w:h="16838"/>
          <w:pgMar w:top="1440" w:right="1686" w:bottom="1440" w:left="1180" w:header="851" w:footer="992" w:gutter="0"/>
          <w:cols w:space="0" w:num="1"/>
          <w:titlePg/>
          <w:rtlGutter w:val="0"/>
          <w:docGrid w:type="lines" w:linePitch="312" w:charSpace="0"/>
        </w:sectPr>
      </w:pPr>
    </w:p>
    <w:p>
      <w:pPr>
        <w:pStyle w:val="3"/>
        <w:bidi w:val="0"/>
        <w:ind w:firstLine="3213" w:firstLineChars="1000"/>
        <w:jc w:val="both"/>
        <w:rPr>
          <w:rFonts w:hint="eastAsia" w:ascii="宋体" w:hAnsi="宋体" w:eastAsia="宋体" w:cs="宋体"/>
          <w:sz w:val="32"/>
          <w:szCs w:val="32"/>
          <w:highlight w:val="none"/>
        </w:rPr>
      </w:pPr>
      <w:bookmarkStart w:id="3" w:name="_Toc31185"/>
      <w:r>
        <w:rPr>
          <w:rFonts w:hint="eastAsia" w:ascii="宋体" w:hAnsi="宋体" w:eastAsia="宋体" w:cs="宋体"/>
          <w:sz w:val="32"/>
          <w:szCs w:val="32"/>
          <w:lang w:eastAsia="zh-CN"/>
        </w:rPr>
        <w:t>第一章</w:t>
      </w:r>
      <w:r>
        <w:rPr>
          <w:rFonts w:hint="eastAsia" w:ascii="宋体" w:hAnsi="宋体" w:eastAsia="宋体" w:cs="宋体"/>
          <w:sz w:val="32"/>
          <w:szCs w:val="32"/>
        </w:rPr>
        <w:t xml:space="preserve">  </w:t>
      </w:r>
      <w:bookmarkStart w:id="4" w:name="_Toc515647756"/>
      <w:r>
        <w:rPr>
          <w:rFonts w:hint="eastAsia" w:ascii="宋体" w:hAnsi="宋体" w:eastAsia="宋体" w:cs="宋体"/>
          <w:sz w:val="32"/>
          <w:szCs w:val="32"/>
          <w:lang w:eastAsia="zh-CN"/>
        </w:rPr>
        <w:t>供应商须知</w:t>
      </w:r>
      <w:bookmarkEnd w:id="3"/>
      <w:bookmarkEnd w:id="4"/>
    </w:p>
    <w:p>
      <w:pPr>
        <w:pStyle w:val="4"/>
        <w:bidi w:val="0"/>
        <w:rPr>
          <w:rFonts w:hint="eastAsia"/>
        </w:rPr>
      </w:pPr>
      <w:bookmarkStart w:id="5" w:name="_Toc520356143"/>
      <w:bookmarkStart w:id="6" w:name="_Toc216582805"/>
      <w:bookmarkStart w:id="7" w:name="_Toc515647757"/>
      <w:bookmarkStart w:id="8" w:name="_Toc21015"/>
      <w:bookmarkStart w:id="9" w:name="_Toc21215"/>
      <w:bookmarkStart w:id="10" w:name="_Toc9218"/>
      <w:r>
        <w:rPr>
          <w:rFonts w:hint="eastAsia"/>
        </w:rPr>
        <w:t>一</w:t>
      </w:r>
      <w:bookmarkEnd w:id="5"/>
      <w:bookmarkEnd w:id="6"/>
      <w:bookmarkEnd w:id="7"/>
      <w:r>
        <w:rPr>
          <w:rFonts w:hint="eastAsia"/>
          <w:lang w:eastAsia="zh-CN"/>
        </w:rPr>
        <w:t>、</w:t>
      </w:r>
      <w:r>
        <w:rPr>
          <w:rFonts w:hint="eastAsia"/>
        </w:rPr>
        <w:t>总则</w:t>
      </w:r>
      <w:bookmarkEnd w:id="8"/>
      <w:bookmarkEnd w:id="9"/>
      <w:bookmarkEnd w:id="10"/>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1" w:name="_Toc520356144"/>
      <w:bookmarkStart w:id="12" w:name="_Toc10809"/>
      <w:bookmarkStart w:id="13" w:name="_Toc32623"/>
      <w:bookmarkStart w:id="14" w:name="_Toc18826"/>
      <w:bookmarkStart w:id="15" w:name="_Toc22047"/>
      <w:bookmarkStart w:id="16" w:name="_Toc515647758"/>
      <w:bookmarkStart w:id="17" w:name="_Toc32189"/>
      <w:bookmarkStart w:id="18" w:name="_Toc18330"/>
      <w:bookmarkStart w:id="19" w:name="_Toc21790"/>
      <w:r>
        <w:rPr>
          <w:rFonts w:hint="eastAsia" w:ascii="宋体" w:hAnsi="宋体" w:eastAsia="宋体" w:cs="宋体"/>
          <w:sz w:val="24"/>
          <w:szCs w:val="24"/>
          <w:highlight w:val="none"/>
        </w:rPr>
        <w:t>1.采购人、采购代理机构及</w:t>
      </w:r>
      <w:bookmarkEnd w:id="11"/>
      <w:r>
        <w:rPr>
          <w:rFonts w:hint="eastAsia" w:ascii="宋体" w:hAnsi="宋体" w:eastAsia="宋体" w:cs="宋体"/>
          <w:sz w:val="24"/>
          <w:szCs w:val="24"/>
          <w:highlight w:val="none"/>
        </w:rPr>
        <w:t>供应商</w:t>
      </w:r>
      <w:bookmarkEnd w:id="12"/>
      <w:bookmarkEnd w:id="13"/>
      <w:bookmarkEnd w:id="14"/>
      <w:bookmarkEnd w:id="15"/>
      <w:bookmarkEnd w:id="16"/>
      <w:bookmarkEnd w:id="17"/>
      <w:bookmarkEnd w:id="18"/>
      <w:bookmarkEnd w:id="19"/>
    </w:p>
    <w:p>
      <w:pPr>
        <w:pageBreakBefore w:val="0"/>
        <w:tabs>
          <w:tab w:val="left" w:pos="0"/>
        </w:tabs>
        <w:kinsoku/>
        <w:wordWrap/>
        <w:overflowPunct/>
        <w:topLinePunct w:val="0"/>
        <w:bidi w:val="0"/>
        <w:spacing w:line="360" w:lineRule="exact"/>
        <w:ind w:left="2"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 采购人：是指依法开展政府采购活动的国家机关、事业单位、团体组织。本项目的采购人</w:t>
      </w:r>
      <w:r>
        <w:rPr>
          <w:rFonts w:hint="eastAsia" w:ascii="宋体" w:hAnsi="宋体" w:eastAsia="宋体" w:cs="宋体"/>
          <w:sz w:val="24"/>
          <w:szCs w:val="24"/>
          <w:highlight w:val="none"/>
          <w:lang w:val="en-US" w:eastAsia="zh-CN"/>
        </w:rPr>
        <w:t>为莎车县农业农村局</w:t>
      </w:r>
      <w:r>
        <w:rPr>
          <w:rFonts w:hint="eastAsia" w:ascii="宋体" w:hAnsi="宋体" w:eastAsia="宋体" w:cs="宋体"/>
          <w:sz w:val="24"/>
          <w:szCs w:val="24"/>
          <w:highlight w:val="none"/>
        </w:rPr>
        <w:t>。</w:t>
      </w:r>
    </w:p>
    <w:p>
      <w:pPr>
        <w:pageBreakBefore w:val="0"/>
        <w:tabs>
          <w:tab w:val="left" w:pos="0"/>
        </w:tabs>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 采购代理机构：是指在集中采购机构或从事采购代理业务的社会中介机构。本项目的采购代理机构</w:t>
      </w:r>
      <w:r>
        <w:rPr>
          <w:rFonts w:hint="eastAsia" w:ascii="宋体" w:hAnsi="宋体" w:eastAsia="宋体" w:cs="宋体"/>
          <w:sz w:val="24"/>
          <w:szCs w:val="24"/>
          <w:highlight w:val="none"/>
          <w:lang w:val="en-US" w:eastAsia="zh-CN"/>
        </w:rPr>
        <w:t>为新疆方元晖工程项目管理有限公司</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 供应商：是指向采购人提供货物、工程或者服务的法人、非法人组织或者自然人。本项目的供应商及其所投</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须满足以下条件：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在中华人民共和国境内注册，能够独立承担民事责任，有生产或供应能力的本国供应商。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 具备《中华人民共和国政府采购法》第二十二条关于供应商条件的规定，遵守本项目采购人本级和上级财政部门政府采购的有关规定。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1.3.3 以采购代理机构认可的方式获得了本项目的谈判文件。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 符合</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中规定的其他要求。</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1.3.5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中写明允许采购进口产品，供应商应保证所投产品可履行合法报通关手续进入中国关境内。</w:t>
      </w:r>
    </w:p>
    <w:p>
      <w:pPr>
        <w:pageBreakBefore w:val="0"/>
        <w:kinsoku/>
        <w:wordWrap/>
        <w:overflowPunct/>
        <w:topLinePunct w:val="0"/>
        <w:bidi w:val="0"/>
        <w:spacing w:line="360" w:lineRule="exact"/>
        <w:ind w:left="7"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中未写明允许采购进口产品，如供应商所投产品为进口产品，其谈判资格将被认定为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1.3.6 若</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中写明专门面向中小企业采购的，如供应商为非中小企业且所投产品为非中小企业产品，其谈判资格将被认定为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中允许联合体参加，对联合体规定如下：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 两个以上供应商可以组成一个谈判联合体，以一个供应商的身份参加谈判。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 联合体各方均应符合《中华人民共和国政府采购法》第二十二条规定的条件。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1.4.3 采购人根据采购项目对供应商的特殊要求，联合体中至少应当有一方符合相关规定。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1.4.4 联合体各方应签订共同响应协议，明确约定联合体各方承担的工作和相应的责任，并将共同响应协议连同作为响应文件第一部分的内容提交。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1.4.5 大中型企业、其他自然人、法人或者非法人组织与小型、微型企业组成联合体共同参加谈判，共同响应协议中应写明小型、微型企业的协议合同金额占到共同响应协议谈判总金额的比例。</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1.4.6 联合体中有同类资质的供应商按照联合体分工承担相同工作的，按照较低的资质等级确定联合体的资质等级。</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1.4.7 以联合体形式参加政府采购活动的，联合体各方不得再单独参加或者与其他供应商另外组成联合体参加本项目谈判，否则相关谈判资格将被认定为</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1.4.8 对联合体参加的其他资格要求见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 单位负责人为同一人或者存在直接控股、管理关系的不同供应商，其相关谈判资格将被认定为</w:t>
      </w:r>
      <w:r>
        <w:rPr>
          <w:rFonts w:hint="eastAsia" w:ascii="宋体" w:hAnsi="宋体" w:eastAsia="宋体" w:cs="宋体"/>
          <w:b/>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 为本项目提供过整体设计、规范编制或者项目管理、监理、检测等服务的供应商，不得再参加本项目上述服务以外的其他采购活动。否则其谈判资格将被认定为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1.7</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供应商在谈判过程中不得向采购人提供、给予任何有价值的物品，影响其正常决策行为。一经发现，其将被认定为</w:t>
      </w:r>
      <w:r>
        <w:rPr>
          <w:rFonts w:hint="eastAsia" w:ascii="宋体" w:hAnsi="宋体" w:eastAsia="宋体" w:cs="宋体"/>
          <w:b/>
          <w:bCs/>
          <w:sz w:val="24"/>
          <w:szCs w:val="24"/>
          <w:highlight w:val="none"/>
        </w:rPr>
        <w:t>无效响应</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0" w:name="_Toc5286"/>
      <w:bookmarkStart w:id="21" w:name="_Toc515647759"/>
      <w:bookmarkStart w:id="22" w:name="_Toc4160"/>
      <w:bookmarkStart w:id="23" w:name="_Toc31962"/>
      <w:bookmarkStart w:id="24" w:name="_Toc5313"/>
      <w:bookmarkStart w:id="25" w:name="_Toc30805"/>
      <w:bookmarkStart w:id="26" w:name="_Toc12139"/>
      <w:bookmarkStart w:id="27" w:name="_Toc10922"/>
      <w:r>
        <w:rPr>
          <w:rFonts w:hint="eastAsia" w:ascii="宋体" w:hAnsi="宋体" w:eastAsia="宋体" w:cs="宋体"/>
          <w:sz w:val="24"/>
          <w:szCs w:val="24"/>
          <w:highlight w:val="none"/>
        </w:rPr>
        <w:t>2.资金来源</w:t>
      </w:r>
      <w:bookmarkEnd w:id="20"/>
      <w:bookmarkEnd w:id="21"/>
      <w:bookmarkEnd w:id="22"/>
      <w:bookmarkEnd w:id="23"/>
      <w:bookmarkEnd w:id="24"/>
      <w:bookmarkEnd w:id="25"/>
      <w:bookmarkEnd w:id="26"/>
      <w:bookmarkEnd w:id="27"/>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本项目的采购人已获得足以支付本次谈判后所签订的合同项下的资金（包括财政性资金和本项目采购中无法与财政性资金分割的非财政性资金）</w:t>
      </w:r>
      <w:r>
        <w:rPr>
          <w:rFonts w:hint="eastAsia" w:ascii="宋体" w:hAnsi="宋体" w:eastAsia="宋体" w:cs="宋体"/>
          <w:sz w:val="24"/>
          <w:szCs w:val="24"/>
          <w:highlight w:val="none"/>
          <w:lang w:eastAsia="zh-CN"/>
        </w:rPr>
        <w:t>，本项目资金来源为</w:t>
      </w:r>
      <w:r>
        <w:rPr>
          <w:rFonts w:hint="eastAsia" w:ascii="宋体" w:hAnsi="宋体" w:eastAsia="宋体" w:cs="宋体"/>
          <w:sz w:val="24"/>
          <w:szCs w:val="24"/>
          <w:highlight w:val="none"/>
          <w:u w:val="single"/>
        </w:rPr>
        <w:t>见供应商须知资料表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 项目预算金额和分项或分包最高限价</w:t>
      </w:r>
      <w:r>
        <w:rPr>
          <w:rFonts w:hint="eastAsia" w:ascii="宋体" w:hAnsi="宋体" w:eastAsia="宋体" w:cs="宋体"/>
          <w:sz w:val="24"/>
          <w:szCs w:val="24"/>
          <w:highlight w:val="none"/>
          <w:u w:val="single"/>
        </w:rPr>
        <w:t>见供应商须知资料表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 供应商报价超过谈判文件规定的预算金额或者分项、分包最高限价的，其谈判资格将被认定为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8" w:name="_Toc520356145"/>
      <w:bookmarkStart w:id="29" w:name="_Toc15936"/>
      <w:bookmarkStart w:id="30" w:name="_Toc3036"/>
      <w:bookmarkStart w:id="31" w:name="_Toc32106"/>
      <w:bookmarkStart w:id="32" w:name="_Toc515647760"/>
      <w:bookmarkStart w:id="33" w:name="_Toc18018"/>
      <w:bookmarkStart w:id="34" w:name="_Toc20526"/>
      <w:bookmarkStart w:id="35" w:name="_Toc32655"/>
      <w:bookmarkStart w:id="36" w:name="_Toc24066"/>
      <w:r>
        <w:rPr>
          <w:rFonts w:hint="eastAsia" w:ascii="宋体" w:hAnsi="宋体" w:eastAsia="宋体" w:cs="宋体"/>
          <w:sz w:val="24"/>
          <w:szCs w:val="24"/>
          <w:highlight w:val="none"/>
        </w:rPr>
        <w:t>3.谈判费用</w:t>
      </w:r>
      <w:bookmarkEnd w:id="28"/>
      <w:bookmarkEnd w:id="29"/>
      <w:bookmarkEnd w:id="30"/>
      <w:bookmarkEnd w:id="31"/>
      <w:bookmarkEnd w:id="32"/>
      <w:bookmarkEnd w:id="33"/>
      <w:bookmarkEnd w:id="34"/>
      <w:bookmarkEnd w:id="35"/>
      <w:bookmarkEnd w:id="36"/>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不论参加谈判的结果如何，供应商应承担所有与准备和参加谈判有关的费用。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7" w:name="_Toc20590"/>
      <w:bookmarkStart w:id="38" w:name="_Toc6128"/>
      <w:bookmarkStart w:id="39" w:name="_Toc6116"/>
      <w:bookmarkStart w:id="40" w:name="_Toc7447"/>
      <w:bookmarkStart w:id="41" w:name="_Toc6429"/>
      <w:bookmarkStart w:id="42" w:name="_Toc13468"/>
      <w:bookmarkStart w:id="43" w:name="_Toc515647761"/>
      <w:bookmarkStart w:id="44" w:name="_Toc4463"/>
      <w:r>
        <w:rPr>
          <w:rFonts w:hint="eastAsia" w:ascii="宋体" w:hAnsi="宋体" w:eastAsia="宋体" w:cs="宋体"/>
          <w:sz w:val="24"/>
          <w:szCs w:val="24"/>
          <w:highlight w:val="none"/>
        </w:rPr>
        <w:t>4.适用法律</w:t>
      </w:r>
      <w:bookmarkEnd w:id="37"/>
      <w:bookmarkEnd w:id="38"/>
      <w:bookmarkEnd w:id="39"/>
      <w:bookmarkEnd w:id="40"/>
      <w:bookmarkEnd w:id="41"/>
      <w:bookmarkEnd w:id="42"/>
      <w:bookmarkEnd w:id="43"/>
      <w:bookmarkEnd w:id="44"/>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采购人、采购代理机构、供应商、谈判小组的相关行为均受《中华人民共和国政府采购法》、《中华人民共和国政府采购法实施条例》、《财政部令第74号》及本项目本级和上级财政部门政府采购有关规定的约束，其权利受到上述法律法规的保护。</w:t>
      </w:r>
    </w:p>
    <w:p>
      <w:pPr>
        <w:pStyle w:val="4"/>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45" w:name="_Toc515647762"/>
      <w:bookmarkStart w:id="46" w:name="_Toc27070"/>
      <w:bookmarkStart w:id="47" w:name="_Toc520356146"/>
      <w:bookmarkStart w:id="48" w:name="_Toc21566"/>
      <w:bookmarkStart w:id="49" w:name="_Toc216582806"/>
      <w:bookmarkStart w:id="50" w:name="_Toc4365"/>
      <w:r>
        <w:rPr>
          <w:rFonts w:hint="eastAsia" w:ascii="宋体" w:hAnsi="宋体" w:eastAsia="宋体" w:cs="宋体"/>
          <w:sz w:val="24"/>
          <w:szCs w:val="24"/>
          <w:highlight w:val="none"/>
        </w:rPr>
        <w:t>二</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谈判文件</w:t>
      </w:r>
      <w:bookmarkEnd w:id="45"/>
      <w:bookmarkEnd w:id="46"/>
      <w:bookmarkEnd w:id="47"/>
      <w:bookmarkEnd w:id="48"/>
      <w:bookmarkEnd w:id="49"/>
      <w:bookmarkEnd w:id="50"/>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51" w:name="_Toc20490"/>
      <w:bookmarkStart w:id="52" w:name="_Toc28419"/>
      <w:bookmarkStart w:id="53" w:name="_Toc16280"/>
      <w:bookmarkStart w:id="54" w:name="_Toc520356147"/>
      <w:bookmarkStart w:id="55" w:name="_Toc14084"/>
      <w:bookmarkStart w:id="56" w:name="_Toc25743"/>
      <w:bookmarkStart w:id="57" w:name="_Toc515647763"/>
      <w:bookmarkStart w:id="58" w:name="_Toc24312"/>
      <w:bookmarkStart w:id="59" w:name="_Toc30173"/>
      <w:r>
        <w:rPr>
          <w:rFonts w:hint="eastAsia" w:ascii="宋体" w:hAnsi="宋体" w:eastAsia="宋体" w:cs="宋体"/>
          <w:sz w:val="24"/>
          <w:szCs w:val="24"/>
          <w:highlight w:val="none"/>
        </w:rPr>
        <w:t>5.谈判文件构成</w:t>
      </w:r>
      <w:bookmarkEnd w:id="51"/>
      <w:bookmarkEnd w:id="52"/>
      <w:bookmarkEnd w:id="53"/>
      <w:bookmarkEnd w:id="54"/>
      <w:bookmarkEnd w:id="55"/>
      <w:bookmarkEnd w:id="56"/>
      <w:bookmarkEnd w:id="57"/>
      <w:bookmarkEnd w:id="58"/>
      <w:bookmarkEnd w:id="59"/>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谈判文件共7章，内容如下：</w:t>
      </w:r>
    </w:p>
    <w:p>
      <w:pPr>
        <w:pageBreakBefore w:val="0"/>
        <w:tabs>
          <w:tab w:val="left" w:pos="0"/>
        </w:tabs>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第1章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第2章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第3章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谈判邀请</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第4章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供应商须知资料表</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第5章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服务需求一览表及技术规格</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第6章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评审方法和标准</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第7章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政府采购合同格式</w:t>
      </w:r>
    </w:p>
    <w:p>
      <w:pPr>
        <w:pageBreakBefore w:val="0"/>
        <w:kinsoku/>
        <w:wordWrap/>
        <w:overflowPunct/>
        <w:topLinePunct w:val="0"/>
        <w:bidi w:val="0"/>
        <w:spacing w:line="360" w:lineRule="exact"/>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如本文件的前后内容不一致，以最后描述为准。</w:t>
      </w:r>
    </w:p>
    <w:p>
      <w:pPr>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 供应商应认真阅读谈判文件所有的事项、格式、条款和技术规范等。如供应商没有按照谈判文件要求提交全部资料，或者响应文件没有对谈判文件在各方面都做出实质性响应，可能导致其响应将被认定为响应</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5"/>
        <w:pageBreakBefore w:val="0"/>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60" w:name="_Toc520356148"/>
      <w:bookmarkStart w:id="61" w:name="_Toc515904805"/>
      <w:bookmarkStart w:id="62" w:name="_Toc11704"/>
      <w:bookmarkStart w:id="63" w:name="_Toc9232"/>
      <w:bookmarkStart w:id="64" w:name="_Toc9386"/>
      <w:bookmarkStart w:id="65" w:name="_Toc26044"/>
      <w:bookmarkStart w:id="66" w:name="_Toc13402"/>
      <w:bookmarkStart w:id="67" w:name="_Toc4664"/>
      <w:bookmarkStart w:id="68" w:name="_Toc3613"/>
      <w:r>
        <w:rPr>
          <w:rFonts w:hint="eastAsia" w:ascii="宋体" w:hAnsi="宋体" w:eastAsia="宋体" w:cs="宋体"/>
          <w:sz w:val="24"/>
          <w:szCs w:val="24"/>
          <w:highlight w:val="none"/>
        </w:rPr>
        <w:t>6.谈判文件的澄清</w:t>
      </w:r>
      <w:bookmarkEnd w:id="60"/>
      <w:bookmarkEnd w:id="61"/>
      <w:r>
        <w:rPr>
          <w:rFonts w:hint="eastAsia" w:ascii="宋体" w:hAnsi="宋体" w:eastAsia="宋体" w:cs="宋体"/>
          <w:sz w:val="24"/>
          <w:szCs w:val="24"/>
          <w:highlight w:val="none"/>
        </w:rPr>
        <w:t>与修改</w:t>
      </w:r>
      <w:bookmarkEnd w:id="62"/>
      <w:bookmarkEnd w:id="63"/>
      <w:bookmarkEnd w:id="64"/>
      <w:bookmarkEnd w:id="65"/>
      <w:bookmarkEnd w:id="66"/>
      <w:bookmarkEnd w:id="67"/>
      <w:bookmarkEnd w:id="68"/>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为了保证对谈判文件的澄清和修改满足法律的时限要求，任何要求对谈判文件进行澄清的供应商，均应在递交响应文件截止期3日前，以书面形式将澄清要求通知采购人或采购代理机构。</w:t>
      </w:r>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bookmarkStart w:id="69" w:name="_Ref467378678"/>
      <w:bookmarkStart w:id="70" w:name="_Toc515904806"/>
      <w:bookmarkStart w:id="71" w:name="_Toc520356149"/>
      <w:r>
        <w:rPr>
          <w:rFonts w:hint="eastAsia" w:ascii="宋体" w:hAnsi="宋体" w:eastAsia="宋体" w:cs="宋体"/>
          <w:sz w:val="24"/>
          <w:szCs w:val="24"/>
          <w:highlight w:val="none"/>
        </w:rPr>
        <w:t>6.2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采购人可主动地或在解答供应商提出的澄清问题时对谈判文件进行澄清或修改。采购代理机构将以发布澄清（更正）公告的方式，澄清或修改谈判文件，澄清或修改内容作为谈判文件的组成部分。</w:t>
      </w:r>
    </w:p>
    <w:p>
      <w:pPr>
        <w:pStyle w:val="6"/>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澄清或者修改的内容可能影响响应文件编制的，采购代理机构将以书面形式通知所有购买谈判文件的潜在供应商，并对其具有约束力。供应商在收到上述通知后，应及时向采购代理机构回函确认。</w:t>
      </w:r>
    </w:p>
    <w:p>
      <w:pPr>
        <w:pStyle w:val="5"/>
        <w:pageBreakBefore w:val="0"/>
        <w:tabs>
          <w:tab w:val="left" w:pos="900"/>
        </w:tabs>
        <w:kinsoku/>
        <w:wordWrap/>
        <w:overflowPunct/>
        <w:topLinePunct w:val="0"/>
        <w:bidi w:val="0"/>
        <w:spacing w:before="0" w:after="0" w:line="360" w:lineRule="exact"/>
        <w:ind w:firstLine="482" w:firstLineChars="200"/>
        <w:textAlignment w:val="auto"/>
        <w:rPr>
          <w:rFonts w:hint="eastAsia" w:ascii="宋体" w:hAnsi="宋体" w:eastAsia="宋体" w:cs="宋体"/>
          <w:sz w:val="24"/>
          <w:szCs w:val="24"/>
          <w:highlight w:val="none"/>
        </w:rPr>
      </w:pPr>
      <w:bookmarkStart w:id="72" w:name="_Toc7927"/>
      <w:bookmarkStart w:id="73" w:name="_Toc21193"/>
      <w:bookmarkStart w:id="74" w:name="_Toc5588"/>
      <w:bookmarkStart w:id="75" w:name="_Toc4597"/>
      <w:bookmarkStart w:id="76" w:name="_Toc14569"/>
      <w:bookmarkStart w:id="77" w:name="_Toc25635"/>
      <w:bookmarkStart w:id="78" w:name="_Toc21808"/>
      <w:r>
        <w:rPr>
          <w:rFonts w:hint="eastAsia" w:ascii="宋体" w:hAnsi="宋体" w:eastAsia="宋体" w:cs="宋体"/>
          <w:sz w:val="24"/>
          <w:szCs w:val="24"/>
          <w:highlight w:val="none"/>
        </w:rPr>
        <w:t>7</w:t>
      </w:r>
      <w:bookmarkEnd w:id="69"/>
      <w:bookmarkEnd w:id="70"/>
      <w:bookmarkEnd w:id="71"/>
      <w:r>
        <w:rPr>
          <w:rFonts w:hint="eastAsia" w:ascii="宋体" w:hAnsi="宋体" w:eastAsia="宋体" w:cs="宋体"/>
          <w:sz w:val="24"/>
          <w:szCs w:val="24"/>
          <w:highlight w:val="none"/>
        </w:rPr>
        <w:t>.递交响应文件截止时间的顺延</w:t>
      </w:r>
      <w:bookmarkEnd w:id="72"/>
      <w:bookmarkEnd w:id="73"/>
      <w:bookmarkEnd w:id="74"/>
      <w:bookmarkEnd w:id="75"/>
      <w:bookmarkEnd w:id="76"/>
      <w:bookmarkEnd w:id="77"/>
      <w:bookmarkEnd w:id="78"/>
    </w:p>
    <w:p>
      <w:pPr>
        <w:pageBreakBefore w:val="0"/>
        <w:kinsoku/>
        <w:wordWrap/>
        <w:overflowPunct/>
        <w:topLinePunct w:val="0"/>
        <w:bidi w:val="0"/>
        <w:spacing w:line="36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为使供应商准备谈判时有足够的时间对谈判文件的澄清或者修改部分进行研究，采购人将依法决定是否顺延递交响应文件截止时间。</w:t>
      </w:r>
    </w:p>
    <w:p>
      <w:pPr>
        <w:pStyle w:val="4"/>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79" w:name="_Toc516367020"/>
      <w:bookmarkStart w:id="80" w:name="_Toc216582807"/>
      <w:bookmarkStart w:id="81" w:name="_Toc30808"/>
      <w:bookmarkStart w:id="82" w:name="_Toc520356150"/>
      <w:bookmarkStart w:id="83" w:name="_Toc22873"/>
      <w:bookmarkStart w:id="84" w:name="_Toc515647766"/>
      <w:bookmarkStart w:id="85" w:name="_Toc7636"/>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、响应文件</w:t>
      </w:r>
      <w:bookmarkEnd w:id="79"/>
      <w:r>
        <w:rPr>
          <w:rFonts w:hint="eastAsia" w:ascii="宋体" w:hAnsi="宋体" w:eastAsia="宋体" w:cs="宋体"/>
          <w:sz w:val="24"/>
          <w:szCs w:val="24"/>
          <w:highlight w:val="none"/>
          <w:lang w:eastAsia="zh-CN"/>
        </w:rPr>
        <w:t>的编制</w:t>
      </w:r>
      <w:bookmarkEnd w:id="80"/>
      <w:bookmarkEnd w:id="81"/>
      <w:bookmarkEnd w:id="82"/>
      <w:bookmarkEnd w:id="83"/>
      <w:bookmarkEnd w:id="84"/>
      <w:bookmarkEnd w:id="85"/>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86" w:name="_Toc3553"/>
      <w:bookmarkStart w:id="87" w:name="_Toc516367021"/>
      <w:bookmarkStart w:id="88" w:name="_Toc8277"/>
      <w:bookmarkStart w:id="89" w:name="_Toc21550"/>
      <w:bookmarkStart w:id="90" w:name="_Toc7786"/>
      <w:bookmarkStart w:id="91" w:name="_Toc515647767"/>
      <w:bookmarkStart w:id="92" w:name="_Toc520356151"/>
      <w:bookmarkStart w:id="93" w:name="_Toc28476"/>
      <w:bookmarkStart w:id="94" w:name="_Toc31109"/>
      <w:bookmarkStart w:id="95" w:name="_Toc30264"/>
      <w:r>
        <w:rPr>
          <w:rFonts w:hint="eastAsia" w:ascii="宋体" w:hAnsi="宋体" w:eastAsia="宋体" w:cs="宋体"/>
          <w:sz w:val="24"/>
          <w:szCs w:val="24"/>
          <w:highlight w:val="none"/>
        </w:rPr>
        <w:t>8.</w:t>
      </w:r>
      <w:r>
        <w:rPr>
          <w:rFonts w:hint="eastAsia" w:ascii="宋体" w:hAnsi="宋体" w:eastAsia="宋体" w:cs="宋体"/>
          <w:sz w:val="24"/>
          <w:szCs w:val="24"/>
          <w:highlight w:val="none"/>
          <w:lang w:eastAsia="zh-CN"/>
        </w:rPr>
        <w:t>谈判范围及响应文件中标准和计量单位的使用</w:t>
      </w:r>
      <w:bookmarkEnd w:id="86"/>
      <w:bookmarkEnd w:id="87"/>
      <w:bookmarkEnd w:id="88"/>
      <w:bookmarkEnd w:id="89"/>
      <w:bookmarkEnd w:id="90"/>
      <w:bookmarkEnd w:id="91"/>
      <w:bookmarkEnd w:id="92"/>
      <w:bookmarkEnd w:id="93"/>
      <w:bookmarkEnd w:id="94"/>
      <w:bookmarkEnd w:id="9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项目有分包的，供应商可对谈判文件其中某一个或几个分包进行响应，除非在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中另有规定。</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供应商应当对所投分包谈判文件中“服务需求”所列的所有内容进行响应，如仅响应某一包中的部分内容，其该包响应将被认定为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无论谈判文件第5章</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需求一览表及技术规格中是否要求，供应商所投均应符合国家强制性标准。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8.4 除谈判文件中有特殊要求外，响应文件中所使用的计量单位，应采用中华人民共和国法定计量单位。</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96" w:name="_Ref467306195"/>
      <w:bookmarkStart w:id="97" w:name="_Ref467306676"/>
      <w:bookmarkStart w:id="98" w:name="_Toc516367022"/>
      <w:bookmarkStart w:id="99" w:name="_Toc2748"/>
      <w:bookmarkStart w:id="100" w:name="_Toc9230"/>
      <w:bookmarkStart w:id="101" w:name="_Toc10364"/>
      <w:bookmarkStart w:id="102" w:name="_Toc515647768"/>
      <w:bookmarkStart w:id="103" w:name="_Toc29205"/>
      <w:bookmarkStart w:id="104" w:name="_Toc28307"/>
      <w:bookmarkStart w:id="105" w:name="_Toc7557"/>
      <w:bookmarkStart w:id="106" w:name="_Toc520356152"/>
      <w:bookmarkStart w:id="107" w:name="_Toc17764"/>
      <w:r>
        <w:rPr>
          <w:rFonts w:hint="eastAsia" w:ascii="宋体" w:hAnsi="宋体" w:eastAsia="宋体" w:cs="宋体"/>
          <w:sz w:val="24"/>
          <w:szCs w:val="24"/>
          <w:highlight w:val="none"/>
        </w:rPr>
        <w:t>9.响应文件</w:t>
      </w:r>
      <w:bookmarkEnd w:id="96"/>
      <w:bookmarkEnd w:id="97"/>
      <w:bookmarkEnd w:id="98"/>
      <w:r>
        <w:rPr>
          <w:rFonts w:hint="eastAsia" w:ascii="宋体" w:hAnsi="宋体" w:eastAsia="宋体" w:cs="宋体"/>
          <w:sz w:val="24"/>
          <w:szCs w:val="24"/>
          <w:highlight w:val="none"/>
        </w:rPr>
        <w:t>构成</w:t>
      </w:r>
      <w:bookmarkEnd w:id="99"/>
      <w:bookmarkEnd w:id="100"/>
      <w:bookmarkEnd w:id="101"/>
      <w:bookmarkEnd w:id="102"/>
      <w:bookmarkEnd w:id="103"/>
      <w:bookmarkEnd w:id="104"/>
      <w:bookmarkEnd w:id="105"/>
      <w:bookmarkEnd w:id="106"/>
      <w:bookmarkEnd w:id="107"/>
    </w:p>
    <w:p>
      <w:pPr>
        <w:pageBreakBefore w:val="0"/>
        <w:tabs>
          <w:tab w:val="left" w:pos="0"/>
          <w:tab w:val="left" w:pos="5580"/>
        </w:tabs>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u w:val="single"/>
        </w:rPr>
      </w:pPr>
      <w:bookmarkStart w:id="108" w:name="_Ref467052588"/>
      <w:r>
        <w:rPr>
          <w:rFonts w:hint="eastAsia" w:ascii="宋体" w:hAnsi="宋体" w:eastAsia="宋体" w:cs="宋体"/>
          <w:sz w:val="24"/>
          <w:szCs w:val="24"/>
          <w:highlight w:val="none"/>
        </w:rPr>
        <w:t>9.1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rPr>
        <w:t>供应商应完整地按谈判文件提供的响应文件格式及要求编写响应文件，响应文件应包括“报价一览表及资格证明文件”和“商务及技术文件”两部分。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上述文件应按照谈判文件规定的格式填写、签署和盖章。</w:t>
      </w:r>
    </w:p>
    <w:bookmarkEnd w:id="108"/>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09" w:name="_Toc5"/>
      <w:bookmarkStart w:id="110" w:name="_Toc20013"/>
      <w:bookmarkStart w:id="111" w:name="_Toc14879"/>
      <w:bookmarkStart w:id="112" w:name="_Toc4601"/>
      <w:bookmarkStart w:id="113" w:name="_Toc516367023"/>
      <w:bookmarkStart w:id="114" w:name="_Toc4478"/>
      <w:bookmarkStart w:id="115" w:name="_Toc515647769"/>
      <w:bookmarkStart w:id="116" w:name="_Toc22244"/>
      <w:bookmarkStart w:id="117" w:name="_Toc520356153"/>
      <w:bookmarkStart w:id="118" w:name="_Toc10379"/>
      <w:r>
        <w:rPr>
          <w:rFonts w:hint="eastAsia" w:ascii="宋体" w:hAnsi="宋体" w:eastAsia="宋体" w:cs="宋体"/>
          <w:sz w:val="24"/>
          <w:szCs w:val="24"/>
          <w:highlight w:val="none"/>
        </w:rPr>
        <w:t>10.</w:t>
      </w:r>
      <w:r>
        <w:rPr>
          <w:rFonts w:hint="eastAsia" w:ascii="宋体" w:hAnsi="宋体" w:eastAsia="宋体" w:cs="宋体"/>
          <w:sz w:val="24"/>
          <w:szCs w:val="24"/>
          <w:highlight w:val="none"/>
          <w:lang w:eastAsia="zh-CN"/>
        </w:rPr>
        <w:t>证明所谈判的的合格性和符合谈判文件规定的技术文件</w:t>
      </w:r>
      <w:bookmarkEnd w:id="109"/>
      <w:bookmarkEnd w:id="110"/>
      <w:bookmarkEnd w:id="111"/>
      <w:bookmarkEnd w:id="112"/>
      <w:bookmarkEnd w:id="113"/>
      <w:bookmarkEnd w:id="114"/>
      <w:bookmarkEnd w:id="115"/>
      <w:bookmarkEnd w:id="116"/>
      <w:bookmarkEnd w:id="117"/>
      <w:bookmarkEnd w:id="11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供应商应提交证明文件，证明其响应内容符合谈判文件规定。该证明文件是响应文件的一部分。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bookmarkStart w:id="119" w:name="_Ref467306244"/>
      <w:r>
        <w:rPr>
          <w:rFonts w:hint="eastAsia" w:ascii="宋体" w:hAnsi="宋体" w:eastAsia="宋体" w:cs="宋体"/>
          <w:sz w:val="24"/>
          <w:szCs w:val="24"/>
          <w:highlight w:val="none"/>
        </w:rPr>
        <w:t>10.2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上款所述的证明文件，可以是文字资料、图纸和数据，</w:t>
      </w:r>
      <w:bookmarkEnd w:id="119"/>
      <w:r>
        <w:rPr>
          <w:rFonts w:hint="eastAsia" w:ascii="宋体" w:hAnsi="宋体" w:eastAsia="宋体" w:cs="宋体"/>
          <w:sz w:val="24"/>
          <w:szCs w:val="24"/>
          <w:highlight w:val="none"/>
        </w:rPr>
        <w:t>它包括：</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主要技术指标和性能的详细说明；</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10.2.2</w:t>
      </w:r>
      <w:r>
        <w:rPr>
          <w:rFonts w:hint="eastAsia" w:ascii="宋体" w:hAnsi="宋体" w:eastAsia="宋体" w:cs="宋体"/>
          <w:sz w:val="24"/>
          <w:szCs w:val="24"/>
          <w:highlight w:val="none"/>
        </w:rPr>
        <w:tab/>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从买方开始使用至谈判文件规定的保质期内正常、连续地使用所必须的备件和专用工具清单，包括备件和专用工具的货源及现行价格；</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10.2.3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对照谈判文件技术规格，逐条说明所提供</w:t>
      </w:r>
      <w:r>
        <w:rPr>
          <w:rFonts w:hint="eastAsia" w:ascii="宋体" w:hAnsi="宋体" w:eastAsia="宋体" w:cs="宋体"/>
          <w:sz w:val="24"/>
          <w:szCs w:val="24"/>
          <w:highlight w:val="none"/>
          <w:lang w:val="en-US" w:eastAsia="zh-CN"/>
        </w:rPr>
        <w:t>服务</w:t>
      </w:r>
      <w:r>
        <w:rPr>
          <w:rFonts w:hint="eastAsia" w:ascii="宋体" w:hAnsi="宋体" w:eastAsia="宋体" w:cs="宋体"/>
          <w:sz w:val="24"/>
          <w:szCs w:val="24"/>
          <w:highlight w:val="none"/>
        </w:rPr>
        <w:t>及伴随的工程和服务已对谈判文件的技术规格做出了实质性的响应，或申明与技术规格条文的偏差和例外。</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供应商应注意采购</w:t>
      </w:r>
      <w:r>
        <w:rPr>
          <w:rFonts w:hint="eastAsia" w:ascii="宋体" w:hAnsi="宋体" w:eastAsia="宋体" w:cs="宋体"/>
          <w:b w:val="0"/>
          <w:bCs w:val="0"/>
          <w:sz w:val="24"/>
          <w:szCs w:val="24"/>
          <w:highlight w:val="none"/>
        </w:rPr>
        <w:t>人在技术规格中指出的工艺、材料和设备的参照品牌型号或分类号仅起说明作用，并没有任何限制性。供应商在谈判中可以选用替代牌号或分类号，但这些替代要实质上相当于技术规格的要求。采购人、采购</w:t>
      </w:r>
      <w:r>
        <w:rPr>
          <w:rFonts w:hint="eastAsia" w:ascii="宋体" w:hAnsi="宋体" w:eastAsia="宋体" w:cs="宋体"/>
          <w:sz w:val="24"/>
          <w:szCs w:val="24"/>
          <w:highlight w:val="none"/>
        </w:rPr>
        <w:t>代理机构承诺不以上述参照品牌型号或分类号作为评审时判定其响应是否有效的标准。</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0" w:name="_Toc13710"/>
      <w:bookmarkStart w:id="121" w:name="_Toc520356155"/>
      <w:bookmarkStart w:id="122" w:name="_Toc23231"/>
      <w:bookmarkStart w:id="123" w:name="_Toc16423"/>
      <w:bookmarkStart w:id="124" w:name="_Toc13757"/>
      <w:bookmarkStart w:id="125" w:name="_Toc22653"/>
      <w:bookmarkStart w:id="126" w:name="_Toc4413"/>
      <w:bookmarkStart w:id="127" w:name="_Toc2248"/>
      <w:bookmarkStart w:id="128" w:name="_Toc515647770"/>
      <w:r>
        <w:rPr>
          <w:rFonts w:hint="eastAsia" w:ascii="宋体" w:hAnsi="宋体" w:eastAsia="宋体" w:cs="宋体"/>
          <w:sz w:val="24"/>
          <w:szCs w:val="24"/>
          <w:highlight w:val="none"/>
        </w:rPr>
        <w:t>11.报价</w:t>
      </w:r>
      <w:bookmarkEnd w:id="120"/>
      <w:bookmarkEnd w:id="121"/>
      <w:bookmarkEnd w:id="122"/>
      <w:bookmarkEnd w:id="123"/>
      <w:bookmarkEnd w:id="124"/>
      <w:bookmarkEnd w:id="125"/>
      <w:bookmarkEnd w:id="126"/>
      <w:bookmarkEnd w:id="127"/>
      <w:bookmarkEnd w:id="12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所有报价均以人民币报价。供应商的标的报价应遵守《中华人民共和国价格法》。同时，根据《中华人民共和国政府采购法》第二条的规定，为保证公平竞争，如有主体部分的赠与行为，其谈判资格将被认定为无效。</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供应商应在标的分项报价表上标明所投及相关服务的单价（如适用）和总价，并由法定代表人或其授权代表签署。</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11.3</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标的分项报价表上的价格应按下列方式填写：</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供应商所报的各分项标的单价在合同履行过程中是固定不变的，不得以任何理由予以变更。任何包含价格调整要求的响应，其响应将被认定为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供应商提交的响应性文件中的报价，在谈判现场公开宣读。该报价只允许有一个报价，任何有选择性的报价将不予接受。</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11.5.1 谈判结束后，供应商可根据谈判情况，在规定的时间内进行第二次报价，该报价为谈判的最终报价。供应商认为没有进行第二次报价的必要时，也可以维持原报价。</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11.5.2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最后报价应按谈判文件规定的格式进行报价，在谈判小组规定的截止时间前提交谈判小组。</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29" w:name="_Ref467306513"/>
      <w:bookmarkStart w:id="130" w:name="_Toc520356156"/>
      <w:bookmarkStart w:id="131" w:name="_Toc515647771"/>
      <w:bookmarkStart w:id="132" w:name="_Toc17788"/>
      <w:bookmarkStart w:id="133" w:name="_Toc11675"/>
      <w:bookmarkStart w:id="134" w:name="_Toc16170"/>
      <w:bookmarkStart w:id="135" w:name="_Toc11514"/>
      <w:bookmarkStart w:id="136" w:name="_Toc18111"/>
      <w:bookmarkStart w:id="137" w:name="_Toc32100"/>
      <w:bookmarkStart w:id="138" w:name="_Toc18199"/>
      <w:r>
        <w:rPr>
          <w:rFonts w:hint="eastAsia" w:ascii="宋体" w:hAnsi="宋体" w:eastAsia="宋体" w:cs="宋体"/>
          <w:sz w:val="24"/>
          <w:szCs w:val="24"/>
          <w:highlight w:val="none"/>
        </w:rPr>
        <w:t>12.谈判保证金</w:t>
      </w:r>
      <w:bookmarkEnd w:id="129"/>
      <w:bookmarkEnd w:id="130"/>
      <w:bookmarkEnd w:id="131"/>
      <w:bookmarkEnd w:id="132"/>
      <w:bookmarkEnd w:id="133"/>
      <w:bookmarkEnd w:id="134"/>
      <w:bookmarkEnd w:id="135"/>
      <w:bookmarkEnd w:id="136"/>
      <w:bookmarkEnd w:id="137"/>
      <w:bookmarkEnd w:id="13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39" w:name="_Ref467306302"/>
      <w:r>
        <w:rPr>
          <w:rFonts w:hint="eastAsia" w:ascii="宋体" w:hAnsi="宋体" w:eastAsia="宋体" w:cs="宋体"/>
          <w:sz w:val="24"/>
          <w:szCs w:val="24"/>
          <w:highlight w:val="none"/>
        </w:rPr>
        <w:t>12.1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供应商应提交</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中规定的谈判保证金</w:t>
      </w:r>
      <w:bookmarkEnd w:id="139"/>
      <w:r>
        <w:rPr>
          <w:rFonts w:hint="eastAsia" w:ascii="宋体" w:hAnsi="宋体" w:eastAsia="宋体" w:cs="宋体"/>
          <w:sz w:val="24"/>
          <w:szCs w:val="24"/>
          <w:highlight w:val="none"/>
        </w:rPr>
        <w:t>，并作为其谈判的一部分。</w:t>
      </w:r>
    </w:p>
    <w:p>
      <w:pPr>
        <w:pageBreakBefore w:val="0"/>
        <w:kinsoku/>
        <w:wordWrap/>
        <w:overflowPunct/>
        <w:topLinePunct w:val="0"/>
        <w:bidi w:val="0"/>
        <w:spacing w:line="36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供应商存在下列情形的，谈判保证金不予退还：</w:t>
      </w:r>
    </w:p>
    <w:p>
      <w:pPr>
        <w:pStyle w:val="11"/>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（1）在谈判有效期内，撤销</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的；</w:t>
      </w:r>
    </w:p>
    <w:p>
      <w:pPr>
        <w:pStyle w:val="11"/>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（2）成交后不按本须知第30条的规定与采购人签订合同的；</w:t>
      </w:r>
    </w:p>
    <w:p>
      <w:pPr>
        <w:pStyle w:val="11"/>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（3）成交后不按本须知第31条的规定提交履约保证金的；</w:t>
      </w:r>
    </w:p>
    <w:p>
      <w:pPr>
        <w:pStyle w:val="11"/>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（4）成交后不按本须知第32条的规定缴纳成交服务费的；</w:t>
      </w:r>
    </w:p>
    <w:p>
      <w:pPr>
        <w:pStyle w:val="11"/>
        <w:pageBreakBefore w:val="0"/>
        <w:tabs>
          <w:tab w:val="left" w:pos="2240"/>
        </w:tabs>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（5）存在其他违法违规行为的。</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bookmarkStart w:id="140" w:name="_Ref467306336"/>
      <w:r>
        <w:rPr>
          <w:rFonts w:hint="eastAsia" w:ascii="宋体" w:hAnsi="宋体" w:eastAsia="宋体" w:cs="宋体"/>
          <w:sz w:val="24"/>
          <w:szCs w:val="24"/>
          <w:highlight w:val="none"/>
        </w:rPr>
        <w:t>12.3</w:t>
      </w:r>
      <w:bookmarkEnd w:id="14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政府采购信用担保试点范围内的项目，接受符合财政部门规定的政府采购谈判担保函原件。</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供应商未按本须知第12.1和12.3条规定提交谈判保证金的，其谈判资格将被认定为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采用电汇形式的，一般可以实时入账。</w:t>
      </w:r>
    </w:p>
    <w:p>
      <w:pPr>
        <w:pageBreakBefore w:val="0"/>
        <w:kinsoku/>
        <w:wordWrap/>
        <w:overflowPunct/>
        <w:topLinePunct w:val="0"/>
        <w:bidi w:val="0"/>
        <w:spacing w:line="360" w:lineRule="exact"/>
        <w:ind w:left="0" w:leftChars="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12.4.2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用支票形式的，供应商则应充分考虑支票入账时间，以确保谈判保证金能按时进入指定账户。根据银行信息交换和付款时间，支票从递交至实际入账一般需要4-5个工作日。如供应商未及时提交支票或支票不符合银行委托收款要求（如污损、折叠、胶装等），导致谈判保证金不能按时进入指定账户的，将按照谈判文件的第22.2条相关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12.5</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联合体参加的，可以由联合体中的一方或者共同提交谈判保证金。以一方名义提交谈判保证金的，对联合体各方均具有约束力。</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谈判保证金的退还</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12.6.1 成交人应在与采购人签订合同之日起5个工作日内，及时联系保证金收受机构办理谈判保证金无息退还手续。</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12.6.2 未成交供应商的谈判保证金将在成交通知书发出之日暨成交结果公告公布之日起5个工作日内无息退还。供应商应及时联系保证金收受机构办理退还谈判保证金手续。</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12.6.3 政府采购谈判担保函不予退回。</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12.7 因供应商自身原因导致无法及时退还的，采购人或采购代理机构将不承担相应责任。</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41" w:name="_Toc4491"/>
      <w:bookmarkStart w:id="142" w:name="_Toc6437"/>
      <w:bookmarkStart w:id="143" w:name="_Toc515647772"/>
      <w:bookmarkStart w:id="144" w:name="_Toc23590"/>
      <w:bookmarkStart w:id="145" w:name="_Toc520356157"/>
      <w:bookmarkStart w:id="146" w:name="_Toc32569"/>
      <w:bookmarkStart w:id="147" w:name="_Toc14815"/>
      <w:bookmarkStart w:id="148" w:name="_Toc4439"/>
      <w:bookmarkStart w:id="149" w:name="_Toc29464"/>
      <w:r>
        <w:rPr>
          <w:rFonts w:hint="eastAsia" w:ascii="宋体" w:hAnsi="宋体" w:eastAsia="宋体" w:cs="宋体"/>
          <w:sz w:val="24"/>
          <w:szCs w:val="24"/>
          <w:highlight w:val="none"/>
        </w:rPr>
        <w:t>13.谈判有效期</w:t>
      </w:r>
      <w:bookmarkEnd w:id="141"/>
      <w:bookmarkEnd w:id="142"/>
      <w:bookmarkEnd w:id="143"/>
      <w:bookmarkEnd w:id="144"/>
      <w:bookmarkEnd w:id="145"/>
      <w:bookmarkEnd w:id="146"/>
      <w:bookmarkEnd w:id="147"/>
      <w:bookmarkEnd w:id="148"/>
      <w:bookmarkEnd w:id="149"/>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响应文件应在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中规定时间内保持有效。谈判有效期不满足要求的响应，其响应文件将被认定为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为保证有充分时间签订合同，采购人或采购代理机构可根据实际情况，在原谈判有效期截止之前，要求供应商延长响应文件的有效期。接受该要求的供应商将不会被要求和允许修正其响应文件等，且本须知中有关谈判保证金的要求须在延长的有效期内继续有效。供应商可以拒绝延长谈判有效期的要求，其谈判保证金将及时无息退还。上述要求和答复都应以书面形式提交。</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0" w:name="_Toc520356158"/>
      <w:bookmarkStart w:id="151" w:name="_Toc7329"/>
      <w:bookmarkStart w:id="152" w:name="_Toc20258"/>
      <w:bookmarkStart w:id="153" w:name="_Toc24084"/>
      <w:bookmarkStart w:id="154" w:name="_Toc493"/>
      <w:bookmarkStart w:id="155" w:name="_Toc17074"/>
      <w:bookmarkStart w:id="156" w:name="_Toc515647773"/>
      <w:bookmarkStart w:id="157" w:name="_Toc15527"/>
      <w:bookmarkStart w:id="158" w:name="_Toc25734"/>
      <w:r>
        <w:rPr>
          <w:rFonts w:hint="eastAsia" w:ascii="宋体" w:hAnsi="宋体" w:eastAsia="宋体" w:cs="宋体"/>
          <w:sz w:val="24"/>
          <w:szCs w:val="24"/>
          <w:highlight w:val="none"/>
        </w:rPr>
        <w:t>14.响应文件的签署</w:t>
      </w:r>
      <w:bookmarkEnd w:id="150"/>
      <w:r>
        <w:rPr>
          <w:rFonts w:hint="eastAsia" w:ascii="宋体" w:hAnsi="宋体" w:eastAsia="宋体" w:cs="宋体"/>
          <w:sz w:val="24"/>
          <w:szCs w:val="24"/>
          <w:highlight w:val="none"/>
        </w:rPr>
        <w:t>及规定</w:t>
      </w:r>
      <w:bookmarkEnd w:id="151"/>
      <w:bookmarkEnd w:id="152"/>
      <w:bookmarkEnd w:id="153"/>
      <w:bookmarkEnd w:id="154"/>
      <w:bookmarkEnd w:id="155"/>
      <w:bookmarkEnd w:id="156"/>
      <w:bookmarkEnd w:id="157"/>
      <w:bookmarkEnd w:id="15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供应商应按</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中的规定，准备和递交响应文件</w:t>
      </w:r>
      <w:r>
        <w:rPr>
          <w:rFonts w:hint="eastAsia" w:ascii="宋体" w:hAnsi="宋体" w:eastAsia="宋体" w:cs="宋体"/>
          <w:sz w:val="24"/>
          <w:szCs w:val="24"/>
          <w:highlight w:val="none"/>
          <w:lang w:val="en-US" w:eastAsia="zh-CN"/>
        </w:rPr>
        <w:t>和报价一览表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sz w:val="24"/>
          <w:szCs w:val="24"/>
          <w:highlight w:val="none"/>
        </w:rPr>
        <w:t>响应文件</w:t>
      </w:r>
      <w:r>
        <w:rPr>
          <w:rFonts w:hint="eastAsia" w:ascii="宋体" w:hAnsi="宋体" w:eastAsia="宋体" w:cs="宋体"/>
          <w:b/>
          <w:bCs/>
          <w:sz w:val="24"/>
          <w:szCs w:val="24"/>
          <w:highlight w:val="none"/>
          <w:lang w:val="en-US" w:eastAsia="zh-CN"/>
        </w:rPr>
        <w:t>需按谈判文件的要求编写</w:t>
      </w:r>
      <w:r>
        <w:rPr>
          <w:rFonts w:hint="eastAsia" w:ascii="宋体" w:hAnsi="宋体" w:eastAsia="宋体" w:cs="宋体"/>
          <w:b/>
          <w:bCs/>
          <w:sz w:val="24"/>
          <w:szCs w:val="24"/>
          <w:highlight w:val="none"/>
        </w:rPr>
        <w:t>，并由供应商的法定代表人或经其正式委托代理人按谈判文件规定在响应文件上签字并加盖单位印章。委托代理人须持有书面的“法定代表人授权委托书”（响应文件格式二），并将其附在响应文件中。如对响应文件进行了修改，则应由供应商的法定代表人或其委托代理人在每一修改处签字。</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 xml:space="preserve">3 </w:t>
      </w:r>
      <w:r>
        <w:rPr>
          <w:rFonts w:hint="eastAsia" w:ascii="宋体" w:hAnsi="宋体" w:eastAsia="宋体" w:cs="宋体"/>
          <w:sz w:val="24"/>
          <w:szCs w:val="24"/>
          <w:highlight w:val="none"/>
        </w:rPr>
        <w:t>响应文件因字迹潦草、表达不清或装订不当所引起的后果由供应商负责。</w:t>
      </w:r>
    </w:p>
    <w:p>
      <w:pPr>
        <w:pStyle w:val="4"/>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59" w:name="_Toc11179"/>
      <w:bookmarkStart w:id="160" w:name="_Toc216582808"/>
      <w:bookmarkStart w:id="161" w:name="_Toc16865"/>
      <w:bookmarkStart w:id="162" w:name="_Toc515647774"/>
      <w:bookmarkStart w:id="163" w:name="_Toc32034"/>
      <w:bookmarkStart w:id="164" w:name="_Toc520356159"/>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、响应文件的递交</w:t>
      </w:r>
      <w:bookmarkEnd w:id="159"/>
      <w:bookmarkEnd w:id="160"/>
      <w:bookmarkEnd w:id="161"/>
      <w:bookmarkEnd w:id="162"/>
      <w:bookmarkEnd w:id="163"/>
      <w:bookmarkEnd w:id="164"/>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65" w:name="_Toc32337"/>
      <w:bookmarkStart w:id="166" w:name="_Toc513"/>
      <w:bookmarkStart w:id="167" w:name="_Toc520356160"/>
      <w:bookmarkStart w:id="168" w:name="_Toc30574"/>
      <w:bookmarkStart w:id="169" w:name="_Toc32516"/>
      <w:bookmarkStart w:id="170" w:name="_Toc21645"/>
      <w:bookmarkStart w:id="171" w:name="_Toc515647775"/>
      <w:bookmarkStart w:id="172" w:name="_Toc11797"/>
      <w:bookmarkStart w:id="173" w:name="_Toc11854"/>
      <w:r>
        <w:rPr>
          <w:rFonts w:hint="eastAsia" w:ascii="宋体" w:hAnsi="宋体" w:eastAsia="宋体" w:cs="宋体"/>
          <w:sz w:val="24"/>
          <w:szCs w:val="24"/>
          <w:highlight w:val="none"/>
        </w:rPr>
        <w:t>15.响应文件的密封和标记</w:t>
      </w:r>
      <w:bookmarkEnd w:id="165"/>
      <w:bookmarkEnd w:id="166"/>
      <w:bookmarkEnd w:id="167"/>
      <w:bookmarkEnd w:id="168"/>
      <w:bookmarkEnd w:id="169"/>
      <w:bookmarkEnd w:id="170"/>
      <w:bookmarkEnd w:id="171"/>
      <w:bookmarkEnd w:id="172"/>
      <w:bookmarkEnd w:id="173"/>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15.1</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color w:val="auto"/>
          <w:kern w:val="2"/>
          <w:sz w:val="24"/>
          <w:szCs w:val="24"/>
          <w:highlight w:val="none"/>
          <w:u w:val="single"/>
          <w:lang w:val="en-US" w:eastAsia="zh-CN" w:bidi="ar-SA"/>
        </w:rPr>
        <w:t>为方便评审及进行资格审查，供应商应完整地按招标文件提供的响应文件格式及要求编写响应文件</w:t>
      </w:r>
      <w:r>
        <w:rPr>
          <w:rFonts w:hint="eastAsia" w:ascii="宋体" w:hAnsi="宋体" w:cs="宋体"/>
          <w:b/>
          <w:bCs/>
          <w:color w:val="auto"/>
          <w:kern w:val="2"/>
          <w:sz w:val="24"/>
          <w:szCs w:val="24"/>
          <w:highlight w:val="none"/>
          <w:u w:val="single"/>
          <w:lang w:val="en-US" w:eastAsia="zh-CN" w:bidi="ar-SA"/>
        </w:rPr>
        <w:t>，并</w:t>
      </w:r>
      <w:r>
        <w:rPr>
          <w:rFonts w:ascii="宋体" w:hAnsi="宋体" w:eastAsia="宋体" w:cs="宋体"/>
          <w:b/>
          <w:bCs/>
          <w:sz w:val="24"/>
          <w:szCs w:val="24"/>
          <w:u w:val="single"/>
        </w:rPr>
        <w:t>根据平台关联点上传对应佐证资料</w:t>
      </w:r>
      <w:r>
        <w:rPr>
          <w:rFonts w:hint="eastAsia" w:ascii="宋体" w:hAnsi="宋体" w:cs="宋体"/>
          <w:b/>
          <w:bCs/>
          <w:sz w:val="24"/>
          <w:szCs w:val="24"/>
          <w:u w:val="single"/>
          <w:lang w:eastAsia="zh-CN"/>
        </w:rPr>
        <w:t>。</w:t>
      </w:r>
      <w:r>
        <w:rPr>
          <w:rFonts w:hint="eastAsia" w:ascii="宋体" w:hAnsi="宋体" w:eastAsia="宋体" w:cs="宋体"/>
          <w:b/>
          <w:bCs/>
          <w:color w:val="auto"/>
          <w:kern w:val="2"/>
          <w:sz w:val="24"/>
          <w:szCs w:val="24"/>
          <w:highlight w:val="none"/>
          <w:u w:val="single"/>
          <w:lang w:val="en-US" w:eastAsia="zh-CN" w:bidi="ar-SA"/>
        </w:rPr>
        <w:t>供应商须在投标截止时间前完成在系统上传递交电子响应文件。供应商的电子响应文件是经过CA证书加密后上传提交的，任何单位或个人均无法在投标截止时间(即投标截止时间)之前查看或篡改，不存在泄密风险。（严格按照政采云电子投标流程制作并上传电子响应文件）</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53" w:leftChars="-25" w:firstLine="480" w:firstLineChars="200"/>
        <w:textAlignment w:val="auto"/>
        <w:rPr>
          <w:rFonts w:hint="eastAsia" w:ascii="宋体" w:hAnsi="宋体" w:eastAsia="宋体" w:cs="宋体"/>
          <w:b/>
          <w:bCs/>
          <w:sz w:val="24"/>
          <w:szCs w:val="24"/>
          <w:highlight w:val="none"/>
        </w:rPr>
      </w:pPr>
      <w:r>
        <w:rPr>
          <w:rFonts w:hint="eastAsia" w:ascii="宋体" w:hAnsi="宋体" w:eastAsia="宋体" w:cs="宋体"/>
          <w:sz w:val="24"/>
          <w:szCs w:val="24"/>
          <w:highlight w:val="none"/>
        </w:rPr>
        <w:t>15.2</w:t>
      </w:r>
      <w:r>
        <w:rPr>
          <w:rFonts w:hint="eastAsia" w:ascii="宋体" w:hAnsi="宋体" w:eastAsia="宋体" w:cs="宋体"/>
          <w:sz w:val="24"/>
          <w:szCs w:val="24"/>
          <w:highlight w:val="none"/>
          <w:lang w:val="en-US" w:eastAsia="zh-CN"/>
        </w:rPr>
        <w:t xml:space="preserve"> </w:t>
      </w:r>
      <w:r>
        <w:rPr>
          <w:rFonts w:hint="eastAsia" w:ascii="宋体" w:hAnsi="宋体" w:eastAsia="宋体" w:cs="Times New Roman"/>
          <w:color w:val="000000"/>
          <w:sz w:val="24"/>
          <w:szCs w:val="24"/>
          <w:highlight w:val="none"/>
          <w:lang w:val="en-US" w:eastAsia="zh-CN"/>
        </w:rPr>
        <w:t>供应商因自身原因导致电子响应文件无法导入电子评标系统的，该响应文件视为无效文件。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15.3 </w:t>
      </w:r>
      <w:r>
        <w:rPr>
          <w:rFonts w:hint="eastAsia" w:ascii="宋体" w:hAnsi="宋体" w:eastAsia="宋体" w:cs="宋体"/>
          <w:sz w:val="24"/>
          <w:szCs w:val="24"/>
          <w:highlight w:val="none"/>
          <w:lang w:val="en-US" w:eastAsia="zh-CN"/>
        </w:rPr>
        <w:t>电子响应文件具有法律效力,与其他形式的响应文件在内容和格式上等同，若响应文件与谈判文件要求不一致，其内容影响成交结果时，责任由投标单位自行承担</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74" w:name="_Toc12751"/>
      <w:bookmarkStart w:id="175" w:name="_Toc520356161"/>
      <w:bookmarkStart w:id="176" w:name="_Toc9840"/>
      <w:bookmarkStart w:id="177" w:name="_Toc17152"/>
      <w:bookmarkStart w:id="178" w:name="_Toc515647776"/>
      <w:bookmarkStart w:id="179" w:name="_Toc25962"/>
      <w:bookmarkStart w:id="180" w:name="_Toc749"/>
      <w:bookmarkStart w:id="181" w:name="_Toc16790"/>
      <w:bookmarkStart w:id="182" w:name="_Toc8815"/>
      <w:r>
        <w:rPr>
          <w:rFonts w:hint="eastAsia" w:ascii="宋体" w:hAnsi="宋体" w:eastAsia="宋体" w:cs="宋体"/>
          <w:sz w:val="24"/>
          <w:szCs w:val="24"/>
          <w:highlight w:val="none"/>
        </w:rPr>
        <w:t>16.</w:t>
      </w:r>
      <w:r>
        <w:rPr>
          <w:rFonts w:hint="eastAsia" w:ascii="宋体" w:hAnsi="宋体" w:eastAsia="宋体" w:cs="宋体"/>
          <w:sz w:val="24"/>
          <w:szCs w:val="24"/>
          <w:highlight w:val="none"/>
          <w:lang w:eastAsia="zh-CN"/>
        </w:rPr>
        <w:t>响应文件递交</w:t>
      </w:r>
      <w:r>
        <w:rPr>
          <w:rFonts w:hint="eastAsia" w:ascii="宋体" w:hAnsi="宋体" w:eastAsia="宋体" w:cs="宋体"/>
          <w:sz w:val="24"/>
          <w:szCs w:val="24"/>
          <w:highlight w:val="none"/>
        </w:rPr>
        <w:t>截止</w:t>
      </w:r>
      <w:bookmarkEnd w:id="174"/>
      <w:bookmarkEnd w:id="175"/>
      <w:bookmarkEnd w:id="176"/>
      <w:bookmarkEnd w:id="177"/>
      <w:bookmarkEnd w:id="178"/>
      <w:bookmarkEnd w:id="179"/>
      <w:bookmarkEnd w:id="180"/>
      <w:bookmarkEnd w:id="181"/>
      <w:bookmarkEnd w:id="18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16.1</w:t>
      </w:r>
      <w:r>
        <w:rPr>
          <w:rFonts w:hint="eastAsia" w:ascii="宋体" w:hAnsi="宋体" w:eastAsia="宋体" w:cs="宋体"/>
          <w:sz w:val="24"/>
          <w:szCs w:val="24"/>
          <w:highlight w:val="none"/>
          <w:lang w:val="en-US" w:eastAsia="zh-CN"/>
        </w:rPr>
        <w:t xml:space="preserve"> </w:t>
      </w:r>
      <w:r>
        <w:rPr>
          <w:rFonts w:hint="eastAsia" w:ascii="宋体" w:hAnsi="宋体" w:eastAsia="宋体" w:cs="宋体"/>
          <w:b/>
          <w:bCs/>
          <w:color w:val="auto"/>
          <w:sz w:val="24"/>
          <w:szCs w:val="24"/>
          <w:u w:val="single"/>
          <w:lang w:val="en-US" w:eastAsia="zh-CN"/>
        </w:rPr>
        <w:t>供应商应在供应商须知资料表中规定的截止时间前，将响应文件递交到招标公告中规定的地点。解密时间30分钟，逾期未解密的视为投标无效。</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16.2</w:t>
      </w:r>
      <w:r>
        <w:rPr>
          <w:rFonts w:hint="eastAsia" w:ascii="宋体" w:hAnsi="宋体" w:eastAsia="宋体" w:cs="宋体"/>
          <w:sz w:val="24"/>
          <w:szCs w:val="24"/>
          <w:highlight w:val="none"/>
          <w:lang w:val="en-US" w:eastAsia="zh-CN"/>
        </w:rPr>
        <w:t xml:space="preserve"> </w:t>
      </w:r>
      <w:r>
        <w:rPr>
          <w:rFonts w:hint="eastAsia" w:ascii="宋体" w:hAnsi="宋体" w:eastAsia="宋体" w:cs="Times New Roman"/>
          <w:color w:val="000000"/>
          <w:sz w:val="24"/>
          <w:szCs w:val="24"/>
          <w:highlight w:val="none"/>
          <w:lang w:val="en-US" w:eastAsia="zh-CN"/>
        </w:rPr>
        <w:t>采购人和采购代理机构有权按本须知的规定，延迟投标截止时间。在此情况下，采购人、采购代理机构和供应商受投标截止时间制约的所有权利和义务均应延长至新的截止时间</w:t>
      </w:r>
      <w:r>
        <w:rPr>
          <w:rFonts w:hint="eastAsia" w:ascii="宋体" w:hAnsi="宋体" w:eastAsia="宋体" w:cs="宋体"/>
          <w:sz w:val="24"/>
          <w:szCs w:val="24"/>
          <w:highlight w:val="none"/>
        </w:rPr>
        <w:t>。</w:t>
      </w:r>
    </w:p>
    <w:p>
      <w:pPr>
        <w:spacing w:line="360" w:lineRule="auto"/>
        <w:ind w:left="839" w:leftChars="114" w:hanging="600" w:hangingChars="250"/>
        <w:rPr>
          <w:rFonts w:hint="eastAsia" w:ascii="宋体" w:hAnsi="宋体" w:eastAsia="宋体" w:cs="宋体"/>
          <w:sz w:val="24"/>
          <w:szCs w:val="24"/>
          <w:highlight w:val="none"/>
        </w:rPr>
      </w:pPr>
      <w:r>
        <w:rPr>
          <w:rFonts w:hint="eastAsia" w:ascii="宋体" w:hAnsi="宋体" w:eastAsia="宋体" w:cs="宋体"/>
          <w:sz w:val="24"/>
          <w:szCs w:val="24"/>
          <w:highlight w:val="none"/>
        </w:rPr>
        <w:t>16.3</w:t>
      </w:r>
      <w:r>
        <w:rPr>
          <w:rFonts w:hint="eastAsia" w:ascii="宋体" w:hAnsi="宋体" w:eastAsia="宋体" w:cs="宋体"/>
          <w:sz w:val="24"/>
          <w:szCs w:val="24"/>
          <w:highlight w:val="none"/>
          <w:lang w:val="en-US" w:eastAsia="zh-CN"/>
        </w:rPr>
        <w:t xml:space="preserve"> </w:t>
      </w:r>
      <w:r>
        <w:rPr>
          <w:rFonts w:hint="eastAsia" w:ascii="宋体" w:hAnsi="宋体" w:eastAsia="宋体" w:cs="Times New Roman"/>
          <w:color w:val="000000"/>
          <w:sz w:val="24"/>
          <w:szCs w:val="24"/>
          <w:highlight w:val="none"/>
          <w:lang w:val="en-US" w:eastAsia="zh-CN"/>
        </w:rPr>
        <w:t>采购人和采购代理机构将拒绝接收在投标截止时间后上传的响应文件。</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83" w:name="_Toc515647777"/>
      <w:bookmarkStart w:id="184" w:name="_Toc18537"/>
      <w:bookmarkStart w:id="185" w:name="_Toc24275"/>
      <w:bookmarkStart w:id="186" w:name="_Toc22636"/>
      <w:bookmarkStart w:id="187" w:name="_Toc23599"/>
      <w:bookmarkStart w:id="188" w:name="_Toc520356162"/>
      <w:bookmarkStart w:id="189" w:name="_Toc21160"/>
      <w:bookmarkStart w:id="190" w:name="_Toc23823"/>
      <w:bookmarkStart w:id="191" w:name="_Toc13110"/>
      <w:r>
        <w:rPr>
          <w:rFonts w:hint="eastAsia" w:ascii="宋体" w:hAnsi="宋体" w:eastAsia="宋体" w:cs="宋体"/>
          <w:sz w:val="24"/>
          <w:szCs w:val="24"/>
          <w:highlight w:val="none"/>
        </w:rPr>
        <w:t>17.响应文件的接收、修改与撤回</w:t>
      </w:r>
      <w:bookmarkEnd w:id="183"/>
      <w:bookmarkEnd w:id="184"/>
      <w:bookmarkEnd w:id="185"/>
      <w:bookmarkEnd w:id="186"/>
      <w:bookmarkEnd w:id="187"/>
      <w:bookmarkEnd w:id="188"/>
      <w:bookmarkEnd w:id="189"/>
      <w:bookmarkEnd w:id="190"/>
      <w:bookmarkEnd w:id="191"/>
    </w:p>
    <w:p>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17.1 供应商在响应文件递交截止时间前，可以对其递交的响应文件进行补充、修改或撤回，但应书面通知采购代理机构。补充、修改的内容应当按询价</w:t>
      </w:r>
      <w:r>
        <w:rPr>
          <w:rFonts w:hint="eastAsia" w:ascii="宋体" w:hAnsi="宋体" w:cs="Times New Roman"/>
          <w:color w:val="000000"/>
          <w:sz w:val="24"/>
          <w:szCs w:val="24"/>
          <w:highlight w:val="none"/>
          <w:lang w:val="en-US" w:eastAsia="zh-CN"/>
        </w:rPr>
        <w:t>文件</w:t>
      </w:r>
      <w:r>
        <w:rPr>
          <w:rFonts w:hint="eastAsia" w:ascii="宋体" w:hAnsi="宋体" w:eastAsia="宋体" w:cs="Times New Roman"/>
          <w:color w:val="000000"/>
          <w:sz w:val="24"/>
          <w:szCs w:val="24"/>
          <w:highlight w:val="none"/>
          <w:lang w:val="en-US" w:eastAsia="zh-CN"/>
        </w:rPr>
        <w:t>的要求签署、盖章，并作为响应文件的组成部分。</w:t>
      </w:r>
    </w:p>
    <w:p>
      <w:pPr>
        <w:spacing w:line="360" w:lineRule="auto"/>
        <w:ind w:left="839" w:leftChars="228" w:hanging="360" w:hangingChars="15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17.2 在</w:t>
      </w:r>
      <w:r>
        <w:rPr>
          <w:rFonts w:hint="eastAsia" w:ascii="宋体" w:hAnsi="宋体" w:cs="Times New Roman"/>
          <w:color w:val="000000"/>
          <w:sz w:val="24"/>
          <w:szCs w:val="24"/>
          <w:highlight w:val="none"/>
          <w:lang w:val="en-US" w:eastAsia="zh-CN"/>
        </w:rPr>
        <w:t>投标</w:t>
      </w:r>
      <w:r>
        <w:rPr>
          <w:rFonts w:hint="eastAsia" w:ascii="宋体" w:hAnsi="宋体" w:eastAsia="宋体" w:cs="Times New Roman"/>
          <w:color w:val="000000"/>
          <w:sz w:val="24"/>
          <w:szCs w:val="24"/>
          <w:highlight w:val="none"/>
          <w:lang w:val="en-US" w:eastAsia="zh-CN"/>
        </w:rPr>
        <w:t>截止时间之后，供应商不得对其响应文件做任何修改。</w:t>
      </w:r>
    </w:p>
    <w:p>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17.</w:t>
      </w:r>
      <w:r>
        <w:rPr>
          <w:rFonts w:hint="eastAsia" w:ascii="宋体" w:hAnsi="宋体" w:cs="Times New Roman"/>
          <w:color w:val="000000"/>
          <w:sz w:val="24"/>
          <w:szCs w:val="24"/>
          <w:highlight w:val="none"/>
          <w:lang w:val="en-US" w:eastAsia="zh-CN"/>
        </w:rPr>
        <w:t xml:space="preserve">3 </w:t>
      </w:r>
      <w:r>
        <w:rPr>
          <w:rFonts w:hint="eastAsia" w:ascii="宋体" w:hAnsi="宋体" w:eastAsia="宋体" w:cs="Times New Roman"/>
          <w:color w:val="000000"/>
          <w:sz w:val="24"/>
          <w:szCs w:val="24"/>
          <w:highlight w:val="none"/>
          <w:lang w:val="en-US" w:eastAsia="zh-CN"/>
        </w:rPr>
        <w:t>在响应文件递交截止期之后，采购人和采购代理机构不接受供应商主动对其响应文件做任何修改。</w:t>
      </w:r>
    </w:p>
    <w:p>
      <w:pPr>
        <w:spacing w:line="360" w:lineRule="auto"/>
        <w:ind w:firstLine="480" w:firstLineChars="200"/>
        <w:rPr>
          <w:rFonts w:hint="eastAsia" w:ascii="宋体" w:hAnsi="宋体" w:eastAsia="宋体" w:cs="Times New Roman"/>
          <w:color w:val="000000"/>
          <w:sz w:val="24"/>
          <w:szCs w:val="24"/>
          <w:highlight w:val="none"/>
          <w:lang w:val="en-US" w:eastAsia="zh-CN"/>
        </w:rPr>
      </w:pPr>
      <w:r>
        <w:rPr>
          <w:rFonts w:hint="eastAsia" w:ascii="宋体" w:hAnsi="宋体" w:eastAsia="宋体" w:cs="Times New Roman"/>
          <w:color w:val="000000"/>
          <w:sz w:val="24"/>
          <w:szCs w:val="24"/>
          <w:highlight w:val="none"/>
          <w:lang w:val="en-US" w:eastAsia="zh-CN"/>
        </w:rPr>
        <w:t>17.</w:t>
      </w:r>
      <w:r>
        <w:rPr>
          <w:rFonts w:hint="eastAsia" w:ascii="宋体" w:hAnsi="宋体" w:cs="Times New Roman"/>
          <w:color w:val="000000"/>
          <w:sz w:val="24"/>
          <w:szCs w:val="24"/>
          <w:highlight w:val="none"/>
          <w:lang w:val="en-US" w:eastAsia="zh-CN"/>
        </w:rPr>
        <w:t>4</w:t>
      </w:r>
      <w:r>
        <w:rPr>
          <w:rFonts w:hint="eastAsia" w:ascii="宋体" w:hAnsi="宋体" w:eastAsia="宋体" w:cs="Times New Roman"/>
          <w:color w:val="000000"/>
          <w:sz w:val="24"/>
          <w:szCs w:val="24"/>
          <w:highlight w:val="none"/>
          <w:lang w:val="en-US" w:eastAsia="zh-CN"/>
        </w:rPr>
        <w:t xml:space="preserve"> 从投标截止时间起至询价</w:t>
      </w:r>
      <w:r>
        <w:rPr>
          <w:rFonts w:hint="eastAsia" w:ascii="宋体" w:hAnsi="宋体" w:cs="Times New Roman"/>
          <w:color w:val="000000"/>
          <w:sz w:val="24"/>
          <w:szCs w:val="24"/>
          <w:highlight w:val="none"/>
          <w:lang w:val="en-US" w:eastAsia="zh-CN"/>
        </w:rPr>
        <w:t>文件</w:t>
      </w:r>
      <w:r>
        <w:rPr>
          <w:rFonts w:hint="eastAsia" w:ascii="宋体" w:hAnsi="宋体" w:eastAsia="宋体" w:cs="Times New Roman"/>
          <w:color w:val="000000"/>
          <w:sz w:val="24"/>
          <w:szCs w:val="24"/>
          <w:highlight w:val="none"/>
          <w:lang w:val="en-US" w:eastAsia="zh-CN"/>
        </w:rPr>
        <w:t>规定的</w:t>
      </w:r>
      <w:r>
        <w:rPr>
          <w:rFonts w:hint="eastAsia" w:ascii="宋体" w:hAnsi="宋体" w:cs="Times New Roman"/>
          <w:color w:val="000000"/>
          <w:sz w:val="24"/>
          <w:szCs w:val="24"/>
          <w:highlight w:val="none"/>
          <w:lang w:val="en-US" w:eastAsia="zh-CN"/>
        </w:rPr>
        <w:t>投标</w:t>
      </w:r>
      <w:r>
        <w:rPr>
          <w:rFonts w:hint="eastAsia" w:ascii="宋体" w:hAnsi="宋体" w:eastAsia="宋体" w:cs="Times New Roman"/>
          <w:color w:val="000000"/>
          <w:sz w:val="24"/>
          <w:szCs w:val="24"/>
          <w:highlight w:val="none"/>
          <w:lang w:val="en-US" w:eastAsia="zh-CN"/>
        </w:rPr>
        <w:t>有效期期满的这段时间内，供应商不得撤回其投标，否则其</w:t>
      </w:r>
      <w:r>
        <w:rPr>
          <w:rFonts w:hint="eastAsia" w:ascii="宋体" w:hAnsi="宋体" w:cs="Times New Roman"/>
          <w:color w:val="000000"/>
          <w:sz w:val="24"/>
          <w:szCs w:val="24"/>
          <w:highlight w:val="none"/>
          <w:lang w:val="en-US" w:eastAsia="zh-CN"/>
        </w:rPr>
        <w:t>投标</w:t>
      </w:r>
      <w:r>
        <w:rPr>
          <w:rFonts w:hint="eastAsia" w:ascii="宋体" w:hAnsi="宋体" w:eastAsia="宋体" w:cs="Times New Roman"/>
          <w:color w:val="000000"/>
          <w:sz w:val="24"/>
          <w:szCs w:val="24"/>
          <w:highlight w:val="none"/>
          <w:lang w:val="en-US" w:eastAsia="zh-CN"/>
        </w:rPr>
        <w:t>保证金将按照本须知的规定不予退还</w:t>
      </w:r>
      <w:r>
        <w:rPr>
          <w:rFonts w:hint="eastAsia" w:ascii="宋体" w:hAnsi="宋体" w:cs="Times New Roman"/>
          <w:color w:val="000000"/>
          <w:sz w:val="24"/>
          <w:szCs w:val="24"/>
          <w:highlight w:val="none"/>
          <w:lang w:val="en-US" w:eastAsia="zh-CN"/>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Times New Roman"/>
          <w:color w:val="000000"/>
          <w:sz w:val="24"/>
          <w:szCs w:val="24"/>
          <w:highlight w:val="none"/>
          <w:lang w:val="en-US" w:eastAsia="zh-CN"/>
        </w:rPr>
        <w:t>17.5 除非询价</w:t>
      </w:r>
      <w:r>
        <w:rPr>
          <w:rFonts w:hint="eastAsia" w:ascii="宋体" w:hAnsi="宋体" w:cs="Times New Roman"/>
          <w:color w:val="000000"/>
          <w:sz w:val="24"/>
          <w:szCs w:val="24"/>
          <w:highlight w:val="none"/>
          <w:lang w:val="en-US" w:eastAsia="zh-CN"/>
        </w:rPr>
        <w:t>文件</w:t>
      </w:r>
      <w:r>
        <w:rPr>
          <w:rFonts w:hint="eastAsia" w:ascii="宋体" w:hAnsi="宋体" w:eastAsia="宋体" w:cs="Times New Roman"/>
          <w:color w:val="000000"/>
          <w:sz w:val="24"/>
          <w:szCs w:val="24"/>
          <w:highlight w:val="none"/>
          <w:lang w:val="en-US" w:eastAsia="zh-CN"/>
        </w:rPr>
        <w:t>另有规定或说明，否则采购人和采购代理机构对所接收响应文件概不退回。</w:t>
      </w:r>
    </w:p>
    <w:p>
      <w:pPr>
        <w:pStyle w:val="4"/>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rPr>
      </w:pPr>
      <w:bookmarkStart w:id="192" w:name="_Toc520356163"/>
      <w:bookmarkStart w:id="193" w:name="_Toc12436"/>
      <w:bookmarkStart w:id="194" w:name="_Toc17256"/>
      <w:bookmarkStart w:id="195" w:name="_Toc216582809"/>
      <w:bookmarkStart w:id="196" w:name="_Toc28398"/>
      <w:bookmarkStart w:id="197" w:name="_Toc515647778"/>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、谈判开启及评审</w:t>
      </w:r>
      <w:bookmarkEnd w:id="192"/>
      <w:bookmarkEnd w:id="193"/>
      <w:bookmarkEnd w:id="194"/>
      <w:bookmarkEnd w:id="195"/>
      <w:bookmarkEnd w:id="196"/>
      <w:bookmarkEnd w:id="197"/>
    </w:p>
    <w:p>
      <w:pPr>
        <w:pStyle w:val="5"/>
        <w:pageBreakBefore w:val="0"/>
        <w:numPr>
          <w:ilvl w:val="0"/>
          <w:numId w:val="2"/>
        </w:numPr>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198" w:name="_Toc3826"/>
      <w:bookmarkStart w:id="199" w:name="_Toc21136"/>
      <w:bookmarkStart w:id="200" w:name="_Toc3528"/>
      <w:bookmarkStart w:id="201" w:name="_Toc20206"/>
      <w:bookmarkStart w:id="202" w:name="_Toc31009"/>
      <w:r>
        <w:rPr>
          <w:rFonts w:hint="eastAsia" w:ascii="宋体" w:hAnsi="宋体" w:eastAsia="宋体" w:cs="宋体"/>
          <w:sz w:val="24"/>
          <w:szCs w:val="24"/>
          <w:highlight w:val="none"/>
        </w:rPr>
        <w:t>谈判开启</w:t>
      </w:r>
      <w:bookmarkEnd w:id="198"/>
      <w:bookmarkEnd w:id="199"/>
      <w:bookmarkEnd w:id="200"/>
      <w:bookmarkEnd w:id="201"/>
      <w:bookmarkEnd w:id="202"/>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18.1</w:t>
      </w:r>
      <w:r>
        <w:rPr>
          <w:rFonts w:hint="eastAsia" w:ascii="宋体" w:hAnsi="宋体" w:eastAsia="宋体" w:cs="宋体"/>
          <w:sz w:val="24"/>
          <w:szCs w:val="24"/>
          <w:highlight w:val="none"/>
        </w:rPr>
        <w:t>采购人和采购代理机构将按供应商须知资料表中规定的谈判开启时间和地点组织竞争性谈判并邀请所有供应商代表参加。供应商不足3家的，不得开启谈判。</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18.2 采购人或采购代理机构宣读供应商名称等内容</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18.3 谈判开启时，由采购人及采购代理机构检查供应商的资格要求。</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18.4 谈判开启时，由供应商或其推选的代表检查响应文件的密封情况。</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18.5 采购人或采购代理机构将对谈判进行记录，由参加谈判的各供应商代表和相关工作人员签字确认，并存档备查。</w:t>
      </w:r>
    </w:p>
    <w:p>
      <w:pPr>
        <w:pageBreakBefore w:val="0"/>
        <w:kinsoku/>
        <w:wordWrap/>
        <w:overflowPunct/>
        <w:topLinePunct w:val="0"/>
        <w:bidi w:val="0"/>
        <w:spacing w:line="360" w:lineRule="exact"/>
        <w:ind w:left="0" w:leftChars="0"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 供应商代表对谈判过程和谈判记录有疑义，以及认为采购人、采购代理机构相关工作人员有需要回避的情形的，应当场提出询问或者回避申请</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03" w:name="_Toc520356165"/>
      <w:bookmarkStart w:id="204" w:name="_Toc11985"/>
      <w:bookmarkStart w:id="205" w:name="_Toc4081"/>
      <w:bookmarkStart w:id="206" w:name="_Toc10162"/>
      <w:bookmarkStart w:id="207" w:name="_Toc16112"/>
      <w:bookmarkStart w:id="208" w:name="_Toc8829"/>
      <w:bookmarkStart w:id="209" w:name="_Toc19296"/>
      <w:bookmarkStart w:id="210" w:name="_Toc21372"/>
      <w:bookmarkStart w:id="211" w:name="_Toc515647780"/>
      <w:r>
        <w:rPr>
          <w:rFonts w:hint="eastAsia" w:ascii="宋体" w:hAnsi="宋体" w:eastAsia="宋体" w:cs="宋体"/>
          <w:sz w:val="24"/>
          <w:szCs w:val="24"/>
          <w:highlight w:val="none"/>
        </w:rPr>
        <w:t>19.</w:t>
      </w:r>
      <w:bookmarkEnd w:id="203"/>
      <w:r>
        <w:rPr>
          <w:rFonts w:hint="eastAsia" w:ascii="宋体" w:hAnsi="宋体" w:eastAsia="宋体" w:cs="宋体"/>
          <w:sz w:val="24"/>
          <w:szCs w:val="24"/>
          <w:highlight w:val="none"/>
        </w:rPr>
        <w:t>资格审查及组建谈判小组</w:t>
      </w:r>
      <w:bookmarkEnd w:id="204"/>
      <w:bookmarkEnd w:id="205"/>
      <w:bookmarkEnd w:id="206"/>
      <w:bookmarkEnd w:id="207"/>
      <w:bookmarkEnd w:id="208"/>
      <w:bookmarkEnd w:id="209"/>
      <w:bookmarkEnd w:id="210"/>
      <w:bookmarkEnd w:id="211"/>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19.1 采购人或采购代理机构依据法律法规和谈判文件中规定的内容，对供应商及其</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的资格进行审查，未通过资格审查的供应商不进入评审</w:t>
      </w:r>
      <w:r>
        <w:rPr>
          <w:rFonts w:hint="eastAsia" w:ascii="宋体" w:hAnsi="宋体" w:eastAsia="宋体" w:cs="宋体"/>
          <w:sz w:val="24"/>
          <w:szCs w:val="24"/>
          <w:highlight w:val="none"/>
          <w:lang w:eastAsia="zh-CN"/>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rPr>
        <w:t>现场谈判开启前必须提供以下证件核验：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lang w:eastAsia="zh-CN"/>
        </w:rPr>
      </w:pPr>
      <w:r>
        <w:rPr>
          <w:rFonts w:hint="eastAsia" w:ascii="宋体" w:hAnsi="宋体" w:eastAsia="宋体" w:cs="宋体"/>
          <w:b w:val="0"/>
          <w:bCs w:val="0"/>
          <w:i w:val="0"/>
          <w:iCs w:val="0"/>
          <w:color w:val="FF0000"/>
          <w:sz w:val="24"/>
          <w:szCs w:val="24"/>
          <w:highlight w:val="none"/>
        </w:rPr>
        <w:t>供应商必须符合《中华人民共和国政府采购法》第二十二条的相关规定</w:t>
      </w:r>
      <w:r>
        <w:rPr>
          <w:rFonts w:hint="eastAsia" w:ascii="宋体" w:hAnsi="宋体" w:eastAsia="宋体" w:cs="宋体"/>
          <w:b w:val="0"/>
          <w:bCs w:val="0"/>
          <w:i w:val="0"/>
          <w:iCs w:val="0"/>
          <w:color w:val="FF0000"/>
          <w:sz w:val="24"/>
          <w:szCs w:val="24"/>
          <w:highlight w:val="none"/>
          <w:lang w:eastAsia="zh-CN"/>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kern w:val="2"/>
          <w:sz w:val="24"/>
          <w:szCs w:val="24"/>
          <w:highlight w:val="none"/>
          <w:u w:val="none"/>
          <w:lang w:val="en-US" w:eastAsia="zh-CN" w:bidi="ar-SA"/>
        </w:rPr>
      </w:pPr>
      <w:r>
        <w:rPr>
          <w:rFonts w:hint="eastAsia" w:ascii="宋体" w:hAnsi="宋体" w:eastAsia="宋体" w:cs="宋体"/>
          <w:b w:val="0"/>
          <w:bCs w:val="0"/>
          <w:i w:val="0"/>
          <w:iCs w:val="0"/>
          <w:color w:val="FF0000"/>
          <w:kern w:val="2"/>
          <w:sz w:val="24"/>
          <w:szCs w:val="24"/>
          <w:highlight w:val="none"/>
          <w:u w:val="none"/>
          <w:lang w:val="en-US" w:eastAsia="zh-CN" w:bidi="ar-SA"/>
        </w:rPr>
        <w:t>具有独立法人资格（三证合一的营业执照）；</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kern w:val="0"/>
          <w:sz w:val="24"/>
          <w:szCs w:val="24"/>
          <w:highlight w:val="none"/>
          <w:lang w:val="en-US" w:eastAsia="zh-CN"/>
        </w:rPr>
        <w:t>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的农药包装废弃物回收处理承诺书扫描件。</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color w:val="FF0000"/>
          <w:sz w:val="24"/>
          <w:szCs w:val="24"/>
          <w:highlight w:val="none"/>
        </w:rPr>
      </w:pPr>
      <w:r>
        <w:rPr>
          <w:rFonts w:hint="eastAsia" w:ascii="宋体" w:hAnsi="宋体" w:eastAsia="宋体" w:cs="宋体"/>
          <w:b w:val="0"/>
          <w:bCs w:val="0"/>
          <w:color w:val="FF0000"/>
          <w:sz w:val="24"/>
          <w:szCs w:val="24"/>
          <w:highlight w:val="none"/>
          <w:lang w:val="en-US" w:eastAsia="zh-CN"/>
        </w:rPr>
        <w:t>法人本人投标需提供法人身份证及法定代表人资格证明书；授权委托人投标需提供法人授权委托书、法人身份证复印件及被授权委托人身份证</w:t>
      </w:r>
      <w:r>
        <w:rPr>
          <w:rFonts w:hint="eastAsia" w:ascii="宋体" w:hAnsi="宋体" w:eastAsia="宋体" w:cs="宋体"/>
          <w:b w:val="0"/>
          <w:bCs w:val="0"/>
          <w:color w:val="FF0000"/>
          <w:sz w:val="24"/>
          <w:szCs w:val="24"/>
          <w:highlight w:val="none"/>
          <w:lang w:eastAsia="zh-CN"/>
        </w:rPr>
        <w:t>；</w:t>
      </w:r>
      <w:r>
        <w:rPr>
          <w:rFonts w:hint="eastAsia" w:ascii="宋体" w:hAnsi="宋体" w:eastAsia="宋体" w:cs="宋体"/>
          <w:b w:val="0"/>
          <w:bCs w:val="0"/>
          <w:color w:val="FF0000"/>
          <w:sz w:val="24"/>
          <w:szCs w:val="24"/>
          <w:highlight w:val="none"/>
        </w:rPr>
        <w:t xml:space="preserve"> </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color w:val="FF0000"/>
          <w:sz w:val="24"/>
          <w:szCs w:val="24"/>
          <w:highlight w:val="none"/>
          <w:lang w:val="en-US" w:eastAsia="zh-CN"/>
        </w:rPr>
        <w:t>提供近两年内任意一年的（2022年或2023年）财务审计报告（新成立未满一年的公司可提供近六个月内任意一个月的银行资信证明）</w:t>
      </w:r>
      <w:r>
        <w:rPr>
          <w:rFonts w:hint="eastAsia" w:ascii="宋体" w:hAnsi="宋体" w:eastAsia="宋体" w:cs="宋体"/>
          <w:b w:val="0"/>
          <w:bCs w:val="0"/>
          <w:color w:val="FF0000"/>
          <w:sz w:val="24"/>
          <w:szCs w:val="24"/>
          <w:highlight w:val="none"/>
        </w:rPr>
        <w:t>；</w:t>
      </w:r>
    </w:p>
    <w:p>
      <w:pPr>
        <w:pageBreakBefore w:val="0"/>
        <w:numPr>
          <w:ilvl w:val="0"/>
          <w:numId w:val="3"/>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FF0000"/>
          <w:sz w:val="24"/>
          <w:szCs w:val="24"/>
          <w:highlight w:val="none"/>
        </w:rPr>
      </w:pPr>
      <w:r>
        <w:rPr>
          <w:rFonts w:hint="eastAsia" w:ascii="宋体" w:hAnsi="宋体" w:eastAsia="宋体" w:cs="宋体"/>
          <w:b w:val="0"/>
          <w:bCs w:val="0"/>
          <w:i w:val="0"/>
          <w:iCs w:val="0"/>
          <w:color w:val="FF0000"/>
          <w:sz w:val="24"/>
          <w:szCs w:val="24"/>
          <w:highlight w:val="none"/>
          <w:lang w:val="en-US" w:eastAsia="zh-CN"/>
        </w:rPr>
        <w:t>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本单位缴纳的近</w:t>
      </w:r>
      <w:r>
        <w:rPr>
          <w:rFonts w:hint="eastAsia" w:ascii="宋体" w:hAnsi="宋体" w:eastAsia="宋体" w:cs="宋体"/>
          <w:b w:val="0"/>
          <w:bCs w:val="0"/>
          <w:color w:val="FF0000"/>
          <w:sz w:val="24"/>
          <w:szCs w:val="24"/>
          <w:highlight w:val="none"/>
          <w:lang w:val="en-US" w:eastAsia="zh-CN"/>
        </w:rPr>
        <w:t>六</w:t>
      </w:r>
      <w:r>
        <w:rPr>
          <w:rFonts w:hint="eastAsia" w:ascii="宋体" w:hAnsi="宋体" w:eastAsia="宋体" w:cs="宋体"/>
          <w:b w:val="0"/>
          <w:bCs w:val="0"/>
          <w:i w:val="0"/>
          <w:iCs w:val="0"/>
          <w:color w:val="FF0000"/>
          <w:sz w:val="24"/>
          <w:szCs w:val="24"/>
          <w:highlight w:val="none"/>
          <w:lang w:val="en-US" w:eastAsia="zh-CN"/>
        </w:rPr>
        <w:t>个月任意一个月的社保缴纳证明及具有税务局开具依法缴纳近</w:t>
      </w:r>
      <w:r>
        <w:rPr>
          <w:rFonts w:hint="eastAsia" w:ascii="宋体" w:hAnsi="宋体" w:eastAsia="宋体" w:cs="宋体"/>
          <w:b w:val="0"/>
          <w:bCs w:val="0"/>
          <w:color w:val="FF0000"/>
          <w:sz w:val="24"/>
          <w:szCs w:val="24"/>
          <w:highlight w:val="none"/>
          <w:lang w:val="en-US" w:eastAsia="zh-CN"/>
        </w:rPr>
        <w:t>六</w:t>
      </w:r>
      <w:r>
        <w:rPr>
          <w:rFonts w:hint="eastAsia" w:ascii="宋体" w:hAnsi="宋体" w:eastAsia="宋体" w:cs="宋体"/>
          <w:b w:val="0"/>
          <w:bCs w:val="0"/>
          <w:i w:val="0"/>
          <w:iCs w:val="0"/>
          <w:color w:val="FF0000"/>
          <w:sz w:val="24"/>
          <w:szCs w:val="24"/>
          <w:highlight w:val="none"/>
          <w:lang w:val="en-US" w:eastAsia="zh-CN"/>
        </w:rPr>
        <w:t>个月任意一个月的完税证明。</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参加政府采购活动前3年内在经营活动中没有重大违法记录的书面声明；</w:t>
      </w:r>
    </w:p>
    <w:p>
      <w:pPr>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投标单位（供应商）针对本次项目《反商业承诺书》;</w:t>
      </w:r>
    </w:p>
    <w:p>
      <w:pPr>
        <w:pStyle w:val="6"/>
        <w:keepNext w:val="0"/>
        <w:keepLines w:val="0"/>
        <w:pageBreakBefore w:val="0"/>
        <w:widowControl w:val="0"/>
        <w:numPr>
          <w:ilvl w:val="0"/>
          <w:numId w:val="3"/>
        </w:numPr>
        <w:kinsoku/>
        <w:wordWrap/>
        <w:overflowPunct/>
        <w:topLinePunct w:val="0"/>
        <w:bidi w:val="0"/>
        <w:snapToGrid/>
        <w:spacing w:line="240" w:lineRule="auto"/>
        <w:ind w:left="0" w:leftChars="0" w:firstLine="480" w:firstLineChars="200"/>
        <w:textAlignment w:val="auto"/>
        <w:rPr>
          <w:rFonts w:hint="eastAsia"/>
          <w:color w:val="FF0000"/>
          <w:lang w:val="en-US" w:eastAsia="zh-CN"/>
        </w:rPr>
      </w:pPr>
      <w:r>
        <w:rPr>
          <w:rFonts w:hint="eastAsia"/>
          <w:color w:val="FF0000"/>
          <w:lang w:val="en-US" w:eastAsia="zh-CN"/>
        </w:rPr>
        <w:t>谈判保证金的有效凭证或保函</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lang w:val="en-US" w:eastAsia="zh-CN"/>
        </w:rPr>
      </w:pPr>
      <w:r>
        <w:rPr>
          <w:rFonts w:hint="eastAsia" w:ascii="宋体" w:hAnsi="宋体" w:eastAsia="宋体" w:cs="宋体"/>
          <w:b w:val="0"/>
          <w:bCs w:val="0"/>
          <w:i w:val="0"/>
          <w:iCs w:val="0"/>
          <w:color w:val="FF0000"/>
          <w:sz w:val="24"/>
          <w:szCs w:val="24"/>
          <w:highlight w:val="none"/>
          <w:lang w:val="en-US" w:eastAsia="zh-CN"/>
        </w:rPr>
        <w:t>10.本项目不接受联合体投标。</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default" w:ascii="宋体" w:hAnsi="宋体" w:eastAsia="宋体" w:cs="宋体"/>
          <w:b w:val="0"/>
          <w:bCs w:val="0"/>
          <w:i w:val="0"/>
          <w:iCs w:val="0"/>
          <w:color w:val="FF0000"/>
          <w:sz w:val="24"/>
          <w:szCs w:val="24"/>
          <w:highlight w:val="none"/>
          <w:lang w:val="en-US" w:eastAsia="zh-CN"/>
        </w:rPr>
      </w:pPr>
      <w:r>
        <w:rPr>
          <w:rFonts w:hint="eastAsia" w:ascii="宋体" w:hAnsi="宋体" w:eastAsia="宋体" w:cs="宋体"/>
          <w:b w:val="0"/>
          <w:bCs w:val="0"/>
          <w:i w:val="0"/>
          <w:iCs w:val="0"/>
          <w:color w:val="FF0000"/>
          <w:sz w:val="24"/>
          <w:szCs w:val="24"/>
          <w:highlight w:val="none"/>
          <w:lang w:val="en-US" w:eastAsia="zh-CN"/>
        </w:rPr>
        <w:t>注：(1)近</w:t>
      </w:r>
      <w:r>
        <w:rPr>
          <w:rFonts w:hint="eastAsia" w:ascii="宋体" w:hAnsi="宋体" w:eastAsia="宋体" w:cs="宋体"/>
          <w:b w:val="0"/>
          <w:bCs w:val="0"/>
          <w:color w:val="FF0000"/>
          <w:sz w:val="24"/>
          <w:szCs w:val="24"/>
          <w:highlight w:val="none"/>
          <w:lang w:val="en-US" w:eastAsia="zh-CN"/>
        </w:rPr>
        <w:t>六</w:t>
      </w:r>
      <w:r>
        <w:rPr>
          <w:rFonts w:hint="eastAsia" w:ascii="宋体" w:hAnsi="宋体" w:eastAsia="宋体" w:cs="宋体"/>
          <w:b w:val="0"/>
          <w:bCs w:val="0"/>
          <w:i w:val="0"/>
          <w:iCs w:val="0"/>
          <w:color w:val="FF0000"/>
          <w:sz w:val="24"/>
          <w:szCs w:val="24"/>
          <w:highlight w:val="none"/>
          <w:lang w:val="en-US" w:eastAsia="zh-CN"/>
        </w:rPr>
        <w:t>个月任意一个月是指2023年10月-2024年3月任意一个月;(2)完税证明若为零申报企业，需提供国家税务总局电子税务局“申报结果查询截图”，税务局代收的社保缴费证明不可作为本项目的完税证明（“税种”不可为养老保险、医疗保险、失业保险、工伤保险和生育保险）。</w:t>
      </w:r>
    </w:p>
    <w:p>
      <w:pPr>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sz w:val="24"/>
          <w:szCs w:val="24"/>
        </w:rPr>
        <w:t>未通过资格审查的供应商不进入评标；通过资格审查的供应商少于不足三家的，不得评标。</w:t>
      </w:r>
    </w:p>
    <w:p>
      <w:pPr>
        <w:pageBreakBefore w:val="0"/>
        <w:kinsoku/>
        <w:wordWrap/>
        <w:overflowPunct/>
        <w:topLinePunct w:val="0"/>
        <w:bidi w:val="0"/>
        <w:spacing w:line="360" w:lineRule="exact"/>
        <w:ind w:left="5"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采购人或采购代理机构将在谈判开启前1个工作日至递交响应文件截止</w:t>
      </w:r>
      <w:r>
        <w:rPr>
          <w:rFonts w:hint="eastAsia" w:ascii="宋体" w:hAnsi="宋体" w:eastAsia="宋体" w:cs="宋体"/>
          <w:sz w:val="24"/>
          <w:szCs w:val="24"/>
          <w:highlight w:val="none"/>
          <w:lang w:eastAsia="zh-CN"/>
        </w:rPr>
        <w:t>前</w:t>
      </w:r>
      <w:r>
        <w:rPr>
          <w:rFonts w:hint="eastAsia" w:ascii="宋体" w:hAnsi="宋体" w:eastAsia="宋体" w:cs="宋体"/>
          <w:color w:val="auto"/>
          <w:sz w:val="24"/>
          <w:szCs w:val="24"/>
          <w:highlight w:val="none"/>
        </w:rPr>
        <w:t>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w:t>
      </w:r>
      <w:r>
        <w:rPr>
          <w:rFonts w:hint="eastAsia" w:ascii="宋体" w:hAnsi="宋体" w:eastAsia="宋体" w:cs="宋体"/>
          <w:sz w:val="24"/>
          <w:szCs w:val="24"/>
          <w:highlight w:val="none"/>
        </w:rPr>
        <w:t>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left="0" w:leftChars="0" w:right="-199" w:rightChars="-95"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w:t>
      </w:r>
      <w:r>
        <w:rPr>
          <w:rFonts w:hint="eastAsia" w:ascii="宋体" w:hAnsi="宋体" w:eastAsia="宋体" w:cs="宋体"/>
          <w:sz w:val="24"/>
          <w:szCs w:val="24"/>
          <w:highlight w:val="none"/>
          <w:lang w:val="en-US" w:eastAsia="zh-CN"/>
        </w:rPr>
        <w:t xml:space="preserve">1 </w:t>
      </w:r>
      <w:r>
        <w:rPr>
          <w:rFonts w:hint="eastAsia" w:ascii="宋体" w:hAnsi="宋体" w:eastAsia="宋体" w:cs="宋体"/>
          <w:sz w:val="24"/>
          <w:szCs w:val="24"/>
          <w:highlight w:val="none"/>
        </w:rPr>
        <w:t>不良信用记录指：</w:t>
      </w:r>
      <w:r>
        <w:rPr>
          <w:rFonts w:hint="eastAsia" w:ascii="宋体" w:hAnsi="宋体" w:eastAsia="宋体" w:cs="宋体"/>
          <w:sz w:val="24"/>
          <w:szCs w:val="24"/>
          <w:highlight w:val="none"/>
          <w:lang w:val="en-US" w:eastAsia="zh-CN"/>
        </w:rPr>
        <w:t>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以联合体形式参加谈判的，联合体任何成员存在以上不良信用记录的，联合体参加将被认定为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p>
    <w:p>
      <w:pPr>
        <w:pStyle w:val="6"/>
        <w:pageBreakBefore w:val="0"/>
        <w:kinsoku/>
        <w:wordWrap/>
        <w:overflowPunct/>
        <w:topLinePunct w:val="0"/>
        <w:bidi w:val="0"/>
        <w:spacing w:line="3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19.2.2 查询及记录方式：采购人或采购代理机构经办人将查询网页打印、签字并存档备查。</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不良信用记录以采购人或采购代理机构查询结果为准。</w:t>
      </w:r>
    </w:p>
    <w:p>
      <w:pPr>
        <w:pStyle w:val="6"/>
        <w:pageBreakBefore w:val="0"/>
        <w:kinsoku/>
        <w:wordWrap/>
        <w:overflowPunct/>
        <w:topLinePunct w:val="0"/>
        <w:bidi w:val="0"/>
        <w:spacing w:line="360" w:lineRule="exact"/>
        <w:ind w:left="0" w:lef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在本招标文件规定的查询时间之后，网站信息发生的任何变更均不再作为评标依据。</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19.3  按照《中华人民共和国政府采购法》、《中华人民共和国政府采购法实施条例》及本项目本级和上级财政部门的有关规定依法组建的谈判小组，负责评审工作</w:t>
      </w:r>
      <w:r>
        <w:rPr>
          <w:rFonts w:hint="eastAsia" w:ascii="宋体" w:hAnsi="宋体" w:eastAsia="宋体" w:cs="宋体"/>
          <w:sz w:val="24"/>
          <w:szCs w:val="24"/>
          <w:highlight w:val="none"/>
          <w:lang w:eastAsia="zh-CN"/>
        </w:rPr>
        <w:t>；</w:t>
      </w:r>
      <w:r>
        <w:rPr>
          <w:rFonts w:hint="eastAsia" w:ascii="宋体" w:hAnsi="宋体" w:eastAsia="宋体" w:cs="宋体"/>
          <w:b/>
          <w:bCs/>
          <w:color w:val="auto"/>
          <w:sz w:val="24"/>
          <w:szCs w:val="24"/>
          <w:highlight w:val="none"/>
          <w:u w:val="single"/>
        </w:rPr>
        <w:t>本项目</w:t>
      </w:r>
      <w:r>
        <w:rPr>
          <w:rFonts w:hint="eastAsia" w:ascii="宋体" w:hAnsi="宋体" w:eastAsia="宋体" w:cs="宋体"/>
          <w:b/>
          <w:bCs/>
          <w:color w:val="auto"/>
          <w:sz w:val="24"/>
          <w:szCs w:val="24"/>
          <w:highlight w:val="none"/>
          <w:u w:val="single"/>
          <w:lang w:eastAsia="zh-CN"/>
        </w:rPr>
        <w:t>谈判</w:t>
      </w:r>
      <w:r>
        <w:rPr>
          <w:rFonts w:hint="eastAsia" w:ascii="宋体" w:hAnsi="宋体" w:eastAsia="宋体" w:cs="宋体"/>
          <w:b/>
          <w:bCs/>
          <w:color w:val="auto"/>
          <w:sz w:val="24"/>
          <w:szCs w:val="24"/>
          <w:highlight w:val="none"/>
          <w:u w:val="single"/>
        </w:rPr>
        <w:t>委员会由</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人组成（随机抽取专家</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名）</w:t>
      </w:r>
      <w:r>
        <w:rPr>
          <w:rFonts w:hint="eastAsia" w:ascii="宋体" w:hAnsi="宋体" w:eastAsia="宋体" w:cs="宋体"/>
          <w:sz w:val="24"/>
          <w:szCs w:val="24"/>
          <w:highlight w:val="none"/>
        </w:rPr>
        <w:t>。</w:t>
      </w:r>
      <w:bookmarkStart w:id="212" w:name="_Toc520356166"/>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13" w:name="_Toc28479"/>
      <w:bookmarkStart w:id="214" w:name="_Toc8697"/>
      <w:bookmarkStart w:id="215" w:name="_Toc515647781"/>
      <w:bookmarkStart w:id="216" w:name="_Toc19949"/>
      <w:bookmarkStart w:id="217" w:name="_Toc31711"/>
      <w:bookmarkStart w:id="218" w:name="_Toc17842"/>
      <w:bookmarkStart w:id="219" w:name="_Toc21722"/>
      <w:bookmarkStart w:id="220" w:name="_Toc23597"/>
      <w:r>
        <w:rPr>
          <w:rFonts w:hint="eastAsia" w:ascii="宋体" w:hAnsi="宋体" w:eastAsia="宋体" w:cs="宋体"/>
          <w:sz w:val="24"/>
          <w:szCs w:val="24"/>
          <w:highlight w:val="none"/>
        </w:rPr>
        <w:t>20.响应文件</w:t>
      </w:r>
      <w:bookmarkEnd w:id="212"/>
      <w:r>
        <w:rPr>
          <w:rFonts w:hint="eastAsia" w:ascii="宋体" w:hAnsi="宋体" w:eastAsia="宋体" w:cs="宋体"/>
          <w:sz w:val="24"/>
          <w:szCs w:val="24"/>
          <w:highlight w:val="none"/>
        </w:rPr>
        <w:t>符合性审查与澄清</w:t>
      </w:r>
      <w:bookmarkEnd w:id="213"/>
      <w:bookmarkEnd w:id="214"/>
      <w:bookmarkEnd w:id="215"/>
      <w:bookmarkEnd w:id="216"/>
      <w:bookmarkEnd w:id="217"/>
      <w:bookmarkEnd w:id="218"/>
      <w:bookmarkEnd w:id="219"/>
      <w:bookmarkEnd w:id="220"/>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20.1 符合性审查是指依据谈判文件的规定，从响应文件的有效性和完整性对响应文件的响应程度进行审查，以确定是否对谈判文件的实质性要求做出响应。</w:t>
      </w:r>
      <w:bookmarkStart w:id="221" w:name="_Hlt522424701"/>
      <w:bookmarkEnd w:id="221"/>
      <w:bookmarkStart w:id="222" w:name="_Toc52035616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响应文件的澄清</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20.2.1 在评审期间，谈判小组将以书面方式要求供应商对其响应文件中含义不明确、对同类问题表述不一致或者有明显文字和计算错误的内容，以及谈判小组认为供应商的报价明显低于其他通过符合性检查供应商的报价，有可能影响履约的情况作必要的澄清、说明或补正。供应商的澄清、说明或补正应在谈判小组规定的时间内以书面方式进行，并不得超出响应文件范围或者改变响应文件的实质性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20.2.2 供应商的的澄清、说明或补正将作为响应文件的一部分。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20.3 响应文件报价出现前后不一致的，按照下列规定修正：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（一）响应文件中报价一览表（报价表）内容与响应文件中相应内容不一致的，以报价一览表（报价表）为准；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（三）单价金额小数点或者百分比有明显错位的，以报价一览表的总价为准，并修改单价；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同时出现两种以上不一致的，按照前款规定的顺序修正。修正后的报价按照第20.2条的规定经供应商确认后产生约束力，供应商不确认的，其谈判资格将被认定为无效。对不同文字文本响应文件的解释发生异议的，以中文文本为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20.4</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如一个分包内只有一种产品，不同供应商所投产品为同一品牌的，按如下方式处理：</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20.4.1若</w:t>
      </w:r>
      <w:r>
        <w:rPr>
          <w:rFonts w:hint="eastAsia" w:ascii="宋体" w:hAnsi="宋体" w:eastAsia="宋体" w:cs="宋体"/>
          <w:sz w:val="24"/>
          <w:szCs w:val="24"/>
          <w:highlight w:val="none"/>
        </w:rPr>
        <w:t>本项目使用最低评审价法，提供相同品牌产品的不同供应商以其中通过资格审查、符合性审查且报价最低的参加评审；报价相同的，由采购人或者采购人委托谈判小组按照谈判文件中评审办法规定的方式确定一个参加评审的供应商；未规定的采取随机抽取方式确定，其他谈判资格将被认定为无效。</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20.4.2若本项目使用综合评分法，提供相同品牌产品且通过资格审查、符合性审查的不同供应商，按一家供应商计算，评审后得分最高的同品牌供应商获得成交供应商推荐资格；评审得分相同的，由采购人或者采购人委托谈判小组按照谈判文件中评审办法规定的方式确定一个供应商获得成交供应商推荐资格；未规定的采取随机抽取方式确定，其他同品牌供应商不作为成交候选人。</w:t>
      </w:r>
    </w:p>
    <w:p>
      <w:pPr>
        <w:pStyle w:val="5"/>
        <w:ind w:firstLine="420" w:firstLineChars="200"/>
        <w:outlineLvl w:val="9"/>
        <w:rPr>
          <w:rFonts w:hint="default" w:eastAsia="宋体"/>
          <w:b w:val="0"/>
          <w:bCs/>
          <w:lang w:val="en-US" w:eastAsia="zh-CN"/>
        </w:rPr>
      </w:pP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20.5 如一个分包内包含多种产品的，采购人或采购代理机构将在</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中载明核心产品，多家供应商提供的核心产品品牌相同的，按第20.4条规定处理。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20.6 供应商所投产品如被列入财政部与国家主管部门颁发的节能产品目录或环境标志产品目录或无线局域网产品目录，应提供相关证明，在评审时予以优先采购，具体优先采购办法见第六章评审方法和标准。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如采购人所采购产品为政府强制采购的节能产品，供应商所投产品的品牌及型号必须为清单中有效期内产品并提供证明文件，否则其谈判资格将被认定为无效。</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23" w:name="_Toc9591"/>
      <w:bookmarkStart w:id="224" w:name="_Toc9469"/>
      <w:bookmarkStart w:id="225" w:name="_Toc3951"/>
      <w:bookmarkStart w:id="226" w:name="_Toc6364"/>
      <w:bookmarkStart w:id="227" w:name="_Toc20584"/>
      <w:bookmarkStart w:id="228" w:name="_Toc515647782"/>
      <w:bookmarkStart w:id="229" w:name="_Toc8616"/>
      <w:bookmarkStart w:id="230" w:name="_Toc13828"/>
      <w:r>
        <w:rPr>
          <w:rFonts w:hint="eastAsia" w:ascii="宋体" w:hAnsi="宋体" w:eastAsia="宋体" w:cs="宋体"/>
          <w:sz w:val="24"/>
          <w:szCs w:val="24"/>
          <w:highlight w:val="none"/>
        </w:rPr>
        <w:t>21.</w:t>
      </w:r>
      <w:r>
        <w:rPr>
          <w:rFonts w:hint="eastAsia" w:ascii="宋体" w:hAnsi="宋体" w:eastAsia="宋体" w:cs="宋体"/>
          <w:sz w:val="24"/>
          <w:szCs w:val="24"/>
          <w:highlight w:val="none"/>
          <w:lang w:eastAsia="zh-CN"/>
        </w:rPr>
        <w:t>响应</w:t>
      </w:r>
      <w:r>
        <w:rPr>
          <w:rFonts w:hint="eastAsia" w:ascii="宋体" w:hAnsi="宋体" w:eastAsia="宋体" w:cs="宋体"/>
          <w:sz w:val="24"/>
          <w:szCs w:val="24"/>
          <w:highlight w:val="none"/>
        </w:rPr>
        <w:t>偏离</w:t>
      </w:r>
      <w:bookmarkEnd w:id="223"/>
      <w:bookmarkEnd w:id="224"/>
      <w:bookmarkEnd w:id="225"/>
      <w:bookmarkEnd w:id="226"/>
      <w:bookmarkEnd w:id="227"/>
      <w:bookmarkEnd w:id="228"/>
      <w:bookmarkEnd w:id="229"/>
      <w:bookmarkEnd w:id="23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谈判小组不接受响应文件中的负偏离</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31" w:name="_Toc515647783"/>
      <w:bookmarkStart w:id="232" w:name="_Toc17277"/>
      <w:bookmarkStart w:id="233" w:name="_Toc4905"/>
      <w:bookmarkStart w:id="234" w:name="_Toc4950"/>
      <w:bookmarkStart w:id="235" w:name="_Toc11414"/>
      <w:bookmarkStart w:id="236" w:name="_Toc15288"/>
      <w:bookmarkStart w:id="237" w:name="_Toc6092"/>
      <w:bookmarkStart w:id="238" w:name="_Toc19797"/>
      <w:r>
        <w:rPr>
          <w:rFonts w:hint="eastAsia" w:ascii="宋体" w:hAnsi="宋体" w:eastAsia="宋体" w:cs="宋体"/>
          <w:sz w:val="24"/>
          <w:szCs w:val="24"/>
          <w:highlight w:val="none"/>
        </w:rPr>
        <w:t>22.</w:t>
      </w:r>
      <w:bookmarkEnd w:id="231"/>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无效</w:t>
      </w:r>
      <w:bookmarkEnd w:id="232"/>
      <w:bookmarkEnd w:id="233"/>
      <w:bookmarkEnd w:id="234"/>
      <w:bookmarkEnd w:id="235"/>
      <w:bookmarkEnd w:id="236"/>
      <w:bookmarkEnd w:id="237"/>
      <w:bookmarkEnd w:id="238"/>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在比较与评价之前，根据本须知的规定，谈判小组要审查每份响应文件是否实质上响应了谈判文件的要求。实质上响应的谈判应该是与谈判文件要求的全部条款、条件和规格相符，没有重大偏离的响应文件。对关键条款的偏离，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。供应商不得通过修正或撤销不符合要求的偏离，从而使其谈判成为实质上响应的谈判。</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谈判小组决定谈判的响应性只根据谈判文件要求、响应文件内容及财政主管部门指定相关信息发布媒体。</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如发现下列情况之一的，其谈判资格将被认定为</w:t>
      </w:r>
      <w:r>
        <w:rPr>
          <w:rFonts w:hint="eastAsia" w:ascii="宋体" w:hAnsi="宋体" w:eastAsia="宋体" w:cs="宋体"/>
          <w:b/>
          <w:bCs/>
          <w:sz w:val="24"/>
          <w:szCs w:val="24"/>
          <w:highlight w:val="none"/>
        </w:rPr>
        <w:t>无效</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以下情形应当在谈判文件中规定，并以醒目的方式标明</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（1）未按谈判文件规定的形式和金额提交谈判保证金的；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（2）未按照谈判文件规定要求签署、盖章的；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（3）未满足谈判文件中技术条款的实质性要求；</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（4）与其他供应商串通参加谈判，或者与采购人串通参加谈判；</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（5）属于谈判文件规定的其他无效情形；</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（6）谈判小组认为供应商的报价明显低于其他通过符合性检查供应商的报价，有可能影响履约的，且供应商未按照规定证明其报价合理性的；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（7）响应文件含有采购人不能接受的附加条件的；</w:t>
      </w:r>
    </w:p>
    <w:p>
      <w:pPr>
        <w:pageBreakBefore w:val="0"/>
        <w:tabs>
          <w:tab w:val="left" w:pos="0"/>
        </w:tabs>
        <w:kinsoku/>
        <w:wordWrap/>
        <w:overflowPunct/>
        <w:topLinePunct w:val="0"/>
        <w:bidi w:val="0"/>
        <w:spacing w:line="360" w:lineRule="exact"/>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（8）不符合法规和谈判文件中规定的其他实质性要求的。</w:t>
      </w:r>
    </w:p>
    <w:p>
      <w:pPr>
        <w:pStyle w:val="5"/>
        <w:pageBreakBefore w:val="0"/>
        <w:kinsoku/>
        <w:wordWrap/>
        <w:overflowPunct/>
        <w:topLinePunct w:val="0"/>
        <w:bidi w:val="0"/>
        <w:spacing w:line="360" w:lineRule="exact"/>
        <w:ind w:firstLine="241" w:firstLineChars="100"/>
        <w:textAlignment w:val="auto"/>
        <w:rPr>
          <w:rFonts w:hint="eastAsia" w:ascii="宋体" w:hAnsi="宋体" w:eastAsia="宋体" w:cs="宋体"/>
          <w:sz w:val="24"/>
          <w:szCs w:val="24"/>
          <w:highlight w:val="none"/>
          <w:lang w:eastAsia="zh-CN"/>
        </w:rPr>
      </w:pPr>
      <w:bookmarkStart w:id="239" w:name="_Toc13652"/>
      <w:bookmarkStart w:id="240" w:name="_Toc26483"/>
      <w:bookmarkStart w:id="241" w:name="_Toc26804"/>
      <w:bookmarkStart w:id="242" w:name="_Toc27041"/>
      <w:bookmarkStart w:id="243" w:name="_Toc7697"/>
      <w:bookmarkStart w:id="244" w:name="_Toc22941"/>
      <w:bookmarkStart w:id="245" w:name="_Toc515647784"/>
      <w:bookmarkStart w:id="246" w:name="_Toc16218"/>
      <w:r>
        <w:rPr>
          <w:rFonts w:hint="eastAsia" w:ascii="宋体" w:hAnsi="宋体" w:eastAsia="宋体" w:cs="宋体"/>
          <w:sz w:val="24"/>
          <w:szCs w:val="24"/>
          <w:highlight w:val="none"/>
        </w:rPr>
        <w:t>23.</w:t>
      </w:r>
      <w:bookmarkEnd w:id="222"/>
      <w:r>
        <w:rPr>
          <w:rFonts w:hint="eastAsia" w:ascii="宋体" w:hAnsi="宋体" w:eastAsia="宋体" w:cs="宋体"/>
          <w:sz w:val="24"/>
          <w:szCs w:val="24"/>
          <w:highlight w:val="none"/>
        </w:rPr>
        <w:t>评</w:t>
      </w:r>
      <w:bookmarkEnd w:id="239"/>
      <w:bookmarkEnd w:id="240"/>
      <w:bookmarkEnd w:id="241"/>
      <w:bookmarkEnd w:id="242"/>
      <w:bookmarkEnd w:id="243"/>
      <w:bookmarkEnd w:id="244"/>
      <w:bookmarkEnd w:id="245"/>
      <w:r>
        <w:rPr>
          <w:rFonts w:hint="eastAsia" w:ascii="宋体" w:hAnsi="宋体" w:eastAsia="宋体" w:cs="宋体"/>
          <w:sz w:val="24"/>
          <w:szCs w:val="24"/>
          <w:highlight w:val="none"/>
          <w:lang w:eastAsia="zh-CN"/>
        </w:rPr>
        <w:t>标</w:t>
      </w:r>
      <w:bookmarkEnd w:id="246"/>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23.1</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经符合性审查合格的响应文件，谈判小组将根据谈判文件确定的评审方法和标准，对其技术部分和商务部分作进一步的比较和评价。</w:t>
      </w:r>
    </w:p>
    <w:p>
      <w:pPr>
        <w:pStyle w:val="11"/>
        <w:snapToGrid w:val="0"/>
        <w:spacing w:line="360" w:lineRule="exact"/>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rPr>
        <w:t>23.2 评审严格按照谈判文件的要求和条件进行。</w:t>
      </w:r>
      <w:r>
        <w:rPr>
          <w:rFonts w:hint="eastAsia" w:ascii="宋体" w:hAnsi="宋体" w:eastAsia="宋体" w:cs="宋体"/>
          <w:b w:val="0"/>
          <w:bCs w:val="0"/>
          <w:sz w:val="24"/>
          <w:szCs w:val="24"/>
          <w:highlight w:val="none"/>
          <w:lang w:eastAsia="zh-CN"/>
        </w:rPr>
        <w:t>采用最低评审价法：响应文件满足谈判文件全部实质性要求，且谈判报价最低的供应商为成交候选人的评审方法。</w:t>
      </w:r>
      <w:r>
        <w:rPr>
          <w:rFonts w:hint="eastAsia" w:ascii="宋体" w:hAnsi="宋体" w:eastAsia="宋体" w:cs="宋体"/>
          <w:b w:val="0"/>
          <w:bCs w:val="0"/>
          <w:color w:val="auto"/>
          <w:sz w:val="24"/>
          <w:szCs w:val="24"/>
          <w:highlight w:val="none"/>
        </w:rPr>
        <w:t>当谈判小组在评审过程中，谈判小组各方意见不一致时，应采用记名表决的方式决定，遵循少数服从多数的原则。</w:t>
      </w:r>
    </w:p>
    <w:p>
      <w:pPr>
        <w:pStyle w:val="11"/>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lang w:val="en-US" w:eastAsia="zh-CN"/>
        </w:rPr>
        <w:t>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11"/>
        <w:snapToGrid w:val="0"/>
        <w:spacing w:line="360" w:lineRule="exact"/>
        <w:ind w:firstLine="464" w:firstLineChars="200"/>
        <w:rPr>
          <w:rFonts w:hint="eastAsia" w:ascii="宋体" w:hAnsi="宋体" w:eastAsia="宋体" w:cs="宋体"/>
          <w:b w:val="0"/>
          <w:bCs w:val="0"/>
          <w:color w:val="auto"/>
          <w:spacing w:val="-4"/>
          <w:sz w:val="24"/>
          <w:szCs w:val="24"/>
          <w:highlight w:val="none"/>
        </w:rPr>
      </w:pPr>
      <w:r>
        <w:rPr>
          <w:rFonts w:hint="eastAsia" w:ascii="宋体" w:hAnsi="宋体" w:eastAsia="宋体" w:cs="宋体"/>
          <w:b w:val="0"/>
          <w:bCs w:val="0"/>
          <w:color w:val="auto"/>
          <w:spacing w:val="-4"/>
          <w:sz w:val="24"/>
          <w:szCs w:val="24"/>
          <w:highlight w:val="none"/>
        </w:rPr>
        <w:t>最终谈判结束后，“</w:t>
      </w:r>
      <w:r>
        <w:rPr>
          <w:rFonts w:hint="eastAsia" w:ascii="宋体" w:hAnsi="宋体" w:eastAsia="宋体" w:cs="宋体"/>
          <w:b w:val="0"/>
          <w:bCs w:val="0"/>
          <w:color w:val="auto"/>
          <w:sz w:val="24"/>
          <w:szCs w:val="24"/>
          <w:highlight w:val="none"/>
        </w:rPr>
        <w:t>谈判小组”不得再与</w:t>
      </w:r>
      <w:r>
        <w:rPr>
          <w:rFonts w:hint="eastAsia" w:ascii="宋体" w:hAnsi="宋体" w:eastAsia="宋体" w:cs="宋体"/>
          <w:b w:val="0"/>
          <w:bCs w:val="0"/>
          <w:color w:val="auto"/>
          <w:spacing w:val="-4"/>
          <w:sz w:val="24"/>
          <w:szCs w:val="24"/>
          <w:highlight w:val="none"/>
          <w:lang w:eastAsia="zh-CN"/>
        </w:rPr>
        <w:t>供应商</w:t>
      </w:r>
      <w:r>
        <w:rPr>
          <w:rFonts w:hint="eastAsia" w:ascii="宋体" w:hAnsi="宋体" w:eastAsia="宋体" w:cs="宋体"/>
          <w:b w:val="0"/>
          <w:bCs w:val="0"/>
          <w:color w:val="auto"/>
          <w:sz w:val="24"/>
          <w:szCs w:val="24"/>
          <w:highlight w:val="none"/>
        </w:rPr>
        <w:t>进行任何形式的商谈。</w:t>
      </w:r>
    </w:p>
    <w:p>
      <w:pPr>
        <w:pStyle w:val="11"/>
        <w:snapToGrid w:val="0"/>
        <w:spacing w:line="360" w:lineRule="exact"/>
        <w:ind w:firstLine="480" w:firstLineChars="200"/>
        <w:rPr>
          <w:rFonts w:hint="eastAsia" w:ascii="宋体" w:hAnsi="宋体" w:eastAsia="宋体" w:cs="宋体"/>
          <w:b w:val="0"/>
          <w:bCs w:val="0"/>
          <w:sz w:val="24"/>
          <w:szCs w:val="24"/>
          <w:highlight w:val="none"/>
          <w:lang w:eastAsia="zh-CN"/>
        </w:rPr>
      </w:pPr>
      <w:r>
        <w:rPr>
          <w:rFonts w:hint="eastAsia" w:ascii="宋体" w:hAnsi="宋体" w:eastAsia="宋体" w:cs="宋体"/>
          <w:b w:val="0"/>
          <w:bCs w:val="0"/>
          <w:color w:val="auto"/>
          <w:sz w:val="24"/>
          <w:szCs w:val="24"/>
          <w:highlight w:val="none"/>
        </w:rPr>
        <w:t>谈判的任何一方不得透露与谈判有关的其他投标人的技术资料和其他信息。</w:t>
      </w:r>
    </w:p>
    <w:p>
      <w:pPr>
        <w:pStyle w:val="11"/>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23.3 根据《财政部司法部关于政府采购支持监狱企业发展有关问题的通知》（财库〔2014〕68号）和《三部门联合发布关于促进残疾人就业政府采购政策的通知》（财库〔2017〕141号）</w:t>
      </w:r>
      <w:r>
        <w:rPr>
          <w:rFonts w:hint="eastAsia" w:ascii="宋体" w:hAnsi="宋体" w:eastAsia="宋体" w:cs="宋体"/>
          <w:sz w:val="24"/>
          <w:szCs w:val="24"/>
          <w:highlight w:val="none"/>
          <w:lang w:eastAsia="zh-CN"/>
        </w:rPr>
        <w:t>、《政府采购促进中小企业发展管理办法》（财库</w:t>
      </w: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46号</w:t>
      </w:r>
      <w:r>
        <w:rPr>
          <w:rFonts w:hint="eastAsia" w:ascii="宋体" w:hAnsi="宋体" w:eastAsia="宋体" w:cs="宋体"/>
          <w:sz w:val="24"/>
          <w:szCs w:val="24"/>
          <w:highlight w:val="none"/>
          <w:lang w:eastAsia="zh-CN"/>
        </w:rPr>
        <w:t>）文、《关于进一步加大政府采购支持中小企业力度的通知》（财库〔2022〕19号)、《</w:t>
      </w:r>
      <w:r>
        <w:rPr>
          <w:rFonts w:hint="eastAsia" w:ascii="宋体" w:hAnsi="宋体" w:eastAsia="宋体" w:cs="宋体"/>
          <w:sz w:val="24"/>
          <w:szCs w:val="24"/>
          <w:highlight w:val="none"/>
          <w:lang w:val="en-US" w:eastAsia="zh-CN"/>
        </w:rPr>
        <w:t>自治区贯彻落实国发【2022】12号为文件精神推进经济稳增长一揽子政策措施》（新政发</w:t>
      </w:r>
      <w:r>
        <w:rPr>
          <w:rFonts w:hint="eastAsia" w:ascii="宋体" w:hAnsi="宋体" w:eastAsia="宋体" w:cs="宋体"/>
          <w:sz w:val="24"/>
          <w:szCs w:val="24"/>
          <w:highlight w:val="none"/>
        </w:rPr>
        <w:t>〔20</w:t>
      </w:r>
      <w:r>
        <w:rPr>
          <w:rFonts w:hint="eastAsia" w:hAnsi="宋体" w:eastAsia="宋体" w:cs="宋体"/>
          <w:sz w:val="24"/>
          <w:szCs w:val="24"/>
          <w:highlight w:val="none"/>
          <w:lang w:val="en-US" w:eastAsia="zh-CN"/>
        </w:rPr>
        <w:t>22</w:t>
      </w:r>
      <w:r>
        <w:rPr>
          <w:rFonts w:hint="eastAsia" w:ascii="宋体" w:hAnsi="宋体" w:eastAsia="宋体" w:cs="宋体"/>
          <w:sz w:val="24"/>
          <w:szCs w:val="24"/>
          <w:highlight w:val="none"/>
        </w:rPr>
        <w:t>〕</w:t>
      </w:r>
      <w:r>
        <w:rPr>
          <w:rFonts w:hint="eastAsia" w:hAnsi="宋体" w:eastAsia="宋体" w:cs="宋体"/>
          <w:sz w:val="24"/>
          <w:szCs w:val="24"/>
          <w:highlight w:val="none"/>
          <w:lang w:val="en-US" w:eastAsia="zh-CN"/>
        </w:rPr>
        <w:t>61号</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规定，对满足价格扣除条件且在响应文件中提交了《中小企业声明函》、《残疾人福利性单位声明函》或省级以上监狱管理局、戒毒管理局（含新疆生产建设兵团）出具的属于监狱企业的证明文件的供应商，其谈判报价扣除</w:t>
      </w:r>
      <w:r>
        <w:rPr>
          <w:rFonts w:hint="eastAsia"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%后参与评审。具体办法详见谈判文件第6章。</w:t>
      </w:r>
    </w:p>
    <w:p>
      <w:pPr>
        <w:pStyle w:val="11"/>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23.4 </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所投产品如被列入财政部与国家主管部门颁发的节能产品目录或环境标志产品目录或无线局域网产品目录，应提供相关证明，在</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时予以优先采购，具体优惠措施为：供应商所投产品应优先选择《关于印发节能产品政府采购品目清单的通知》（财库〔2019〕19号）、《关于印发环境标志产品政府采购品目清单的通知》（财库〔2019〕18号）目录内的产品。</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47" w:name="_Toc520356168"/>
      <w:bookmarkStart w:id="248" w:name="_Toc29897"/>
      <w:bookmarkStart w:id="249" w:name="_Toc515647785"/>
      <w:bookmarkStart w:id="250" w:name="_Toc9378"/>
      <w:bookmarkStart w:id="251" w:name="_Toc17951"/>
      <w:bookmarkStart w:id="252" w:name="_Toc20227"/>
      <w:bookmarkStart w:id="253" w:name="_Toc15662"/>
      <w:bookmarkStart w:id="254" w:name="_Toc4245"/>
      <w:bookmarkStart w:id="255" w:name="_Toc17519"/>
      <w:r>
        <w:rPr>
          <w:rFonts w:hint="eastAsia" w:ascii="宋体" w:hAnsi="宋体" w:eastAsia="宋体" w:cs="宋体"/>
          <w:sz w:val="24"/>
          <w:szCs w:val="24"/>
          <w:highlight w:val="none"/>
        </w:rPr>
        <w:t>24</w:t>
      </w:r>
      <w:bookmarkEnd w:id="247"/>
      <w:r>
        <w:rPr>
          <w:rFonts w:hint="eastAsia" w:ascii="宋体" w:hAnsi="宋体" w:eastAsia="宋体" w:cs="宋体"/>
          <w:sz w:val="24"/>
          <w:szCs w:val="24"/>
          <w:highlight w:val="none"/>
        </w:rPr>
        <w:t>.废标</w:t>
      </w:r>
      <w:bookmarkEnd w:id="248"/>
      <w:bookmarkEnd w:id="249"/>
      <w:bookmarkEnd w:id="250"/>
      <w:bookmarkEnd w:id="251"/>
      <w:bookmarkEnd w:id="252"/>
      <w:bookmarkEnd w:id="253"/>
      <w:bookmarkEnd w:id="254"/>
      <w:bookmarkEnd w:id="255"/>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出现下列情形之一，将导致项目废标： </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（1）符合专业条件的供应商或者对谈判文件做实质性响应的供应商不足三家；</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（3）供应商的报价均超过了采购预算，采购人不能支付的；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（4）因重大变故，采购任务取消的。   </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56" w:name="_Toc31289"/>
      <w:bookmarkStart w:id="257" w:name="_Toc28861"/>
      <w:bookmarkStart w:id="258" w:name="_Toc2272"/>
      <w:bookmarkStart w:id="259" w:name="_Toc21042"/>
      <w:bookmarkStart w:id="260" w:name="_Toc15226"/>
      <w:bookmarkStart w:id="261" w:name="_Toc24972"/>
      <w:bookmarkStart w:id="262" w:name="_Toc515647786"/>
      <w:bookmarkStart w:id="263" w:name="_Toc30602"/>
      <w:bookmarkStart w:id="264" w:name="_Toc520356169"/>
      <w:r>
        <w:rPr>
          <w:rFonts w:hint="eastAsia" w:ascii="宋体" w:hAnsi="宋体" w:eastAsia="宋体" w:cs="宋体"/>
          <w:sz w:val="24"/>
          <w:szCs w:val="24"/>
          <w:highlight w:val="none"/>
        </w:rPr>
        <w:t>25.保密原则</w:t>
      </w:r>
      <w:bookmarkEnd w:id="256"/>
      <w:bookmarkEnd w:id="257"/>
      <w:bookmarkEnd w:id="258"/>
      <w:bookmarkEnd w:id="259"/>
      <w:bookmarkEnd w:id="260"/>
      <w:bookmarkEnd w:id="261"/>
      <w:bookmarkEnd w:id="262"/>
      <w:bookmarkEnd w:id="263"/>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25.1</w:t>
      </w:r>
      <w:r>
        <w:rPr>
          <w:rFonts w:hint="eastAsia" w:ascii="宋体" w:hAnsi="宋体" w:eastAsia="宋体" w:cs="宋体"/>
          <w:sz w:val="24"/>
          <w:szCs w:val="24"/>
          <w:highlight w:val="none"/>
        </w:rPr>
        <w:tab/>
      </w:r>
      <w:r>
        <w:rPr>
          <w:rFonts w:hint="eastAsia" w:ascii="宋体" w:hAnsi="宋体" w:eastAsia="宋体" w:cs="宋体"/>
          <w:sz w:val="24"/>
          <w:szCs w:val="24"/>
          <w:highlight w:val="none"/>
        </w:rPr>
        <w:t>评审将在严格保密的情况下进行。</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25.2</w:t>
      </w:r>
      <w:r>
        <w:rPr>
          <w:rFonts w:hint="eastAsia" w:ascii="宋体" w:hAnsi="宋体" w:eastAsia="宋体" w:cs="宋体"/>
          <w:sz w:val="24"/>
          <w:szCs w:val="24"/>
          <w:highlight w:val="none"/>
        </w:rPr>
        <w:tab/>
      </w:r>
      <w:r>
        <w:rPr>
          <w:rFonts w:hint="eastAsia" w:ascii="宋体" w:hAnsi="宋体" w:eastAsia="宋体" w:cs="宋体"/>
          <w:sz w:val="24"/>
          <w:szCs w:val="24"/>
          <w:highlight w:val="none"/>
        </w:rPr>
        <w:t>政府采购评审专家应当遵守评审工作纪律，不得泄露评审文件、评审情况和评审中获悉的商业秘密。</w:t>
      </w:r>
    </w:p>
    <w:p>
      <w:pPr>
        <w:pStyle w:val="4"/>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65" w:name="_Toc23904"/>
      <w:bookmarkStart w:id="266" w:name="_Toc31577"/>
      <w:bookmarkStart w:id="267" w:name="_Toc515647787"/>
      <w:bookmarkStart w:id="268" w:name="_Toc216582810"/>
      <w:bookmarkStart w:id="269" w:name="_Toc12143"/>
      <w:r>
        <w:rPr>
          <w:rFonts w:hint="eastAsia" w:ascii="宋体" w:hAnsi="宋体" w:eastAsia="宋体" w:cs="宋体"/>
          <w:sz w:val="24"/>
          <w:szCs w:val="24"/>
          <w:highlight w:val="none"/>
        </w:rPr>
        <w:t xml:space="preserve">六   </w:t>
      </w:r>
      <w:bookmarkEnd w:id="264"/>
      <w:r>
        <w:rPr>
          <w:rFonts w:hint="eastAsia" w:ascii="宋体" w:hAnsi="宋体" w:eastAsia="宋体" w:cs="宋体"/>
          <w:sz w:val="24"/>
          <w:szCs w:val="24"/>
          <w:highlight w:val="none"/>
          <w:lang w:eastAsia="zh-CN"/>
        </w:rPr>
        <w:t>确定成交</w:t>
      </w:r>
      <w:bookmarkEnd w:id="265"/>
      <w:bookmarkEnd w:id="266"/>
      <w:bookmarkEnd w:id="267"/>
      <w:bookmarkEnd w:id="268"/>
      <w:bookmarkEnd w:id="269"/>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70" w:name="_Ref467307010"/>
      <w:bookmarkStart w:id="271" w:name="_Toc25883"/>
      <w:bookmarkStart w:id="272" w:name="_Toc23797"/>
      <w:bookmarkStart w:id="273" w:name="_Toc17695"/>
      <w:bookmarkStart w:id="274" w:name="_Toc520356170"/>
      <w:bookmarkStart w:id="275" w:name="_Toc515647788"/>
      <w:bookmarkStart w:id="276" w:name="_Toc23617"/>
      <w:bookmarkStart w:id="277" w:name="_Toc22597"/>
      <w:bookmarkStart w:id="278" w:name="_Toc30890"/>
      <w:bookmarkStart w:id="279" w:name="_Toc23762"/>
      <w:r>
        <w:rPr>
          <w:rFonts w:hint="eastAsia" w:ascii="宋体" w:hAnsi="宋体" w:eastAsia="宋体" w:cs="宋体"/>
          <w:sz w:val="24"/>
          <w:szCs w:val="24"/>
          <w:highlight w:val="none"/>
        </w:rPr>
        <w:t>26.成交候选人的确定原则及标准</w:t>
      </w:r>
      <w:bookmarkEnd w:id="270"/>
      <w:bookmarkEnd w:id="271"/>
      <w:bookmarkEnd w:id="272"/>
      <w:bookmarkEnd w:id="273"/>
      <w:bookmarkEnd w:id="274"/>
      <w:bookmarkEnd w:id="275"/>
      <w:bookmarkEnd w:id="276"/>
      <w:bookmarkEnd w:id="277"/>
      <w:bookmarkEnd w:id="278"/>
      <w:bookmarkEnd w:id="279"/>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除第28条规定外，对实质上响应谈判文件的供应商按下列方法进行排序，确定成交候选人：</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lang w:val="en-US" w:eastAsia="zh-CN"/>
        </w:rPr>
      </w:pPr>
      <w:bookmarkStart w:id="280" w:name="_Toc520356171"/>
      <w:bookmarkStart w:id="281" w:name="_Toc515647789"/>
      <w:r>
        <w:rPr>
          <w:rFonts w:hint="eastAsia" w:ascii="宋体" w:hAnsi="宋体" w:eastAsia="宋体" w:cs="宋体"/>
          <w:b w:val="0"/>
          <w:bCs w:val="0"/>
          <w:sz w:val="24"/>
          <w:szCs w:val="24"/>
          <w:highlight w:val="none"/>
          <w:u w:val="none"/>
        </w:rPr>
        <w:t>采用最低评审价法</w:t>
      </w:r>
      <w:r>
        <w:rPr>
          <w:rFonts w:hint="eastAsia" w:ascii="宋体" w:hAnsi="宋体" w:eastAsia="宋体" w:cs="宋体"/>
          <w:b w:val="0"/>
          <w:bCs w:val="0"/>
          <w:sz w:val="24"/>
          <w:szCs w:val="24"/>
          <w:highlight w:val="none"/>
        </w:rPr>
        <w:t>，</w:t>
      </w:r>
      <w:r>
        <w:rPr>
          <w:rFonts w:hint="eastAsia" w:ascii="宋体" w:hAnsi="宋体" w:eastAsia="宋体" w:cs="宋体"/>
          <w:b w:val="0"/>
          <w:bCs w:val="0"/>
          <w:sz w:val="24"/>
          <w:szCs w:val="24"/>
          <w:highlight w:val="none"/>
          <w:lang w:eastAsia="zh-CN"/>
        </w:rPr>
        <w:t>是指响应文件满足谈判文件全部实质性要求，且响应文件报价最低的供应商为中标候选人的评标办法。</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eastAsia="zh-CN"/>
        </w:rPr>
        <w:t>采用最低评标价法评标时，</w:t>
      </w:r>
      <w:r>
        <w:rPr>
          <w:rFonts w:hint="eastAsia" w:ascii="宋体" w:hAnsi="宋体" w:eastAsia="宋体" w:cs="宋体"/>
          <w:b w:val="0"/>
          <w:bCs w:val="0"/>
          <w:sz w:val="24"/>
          <w:szCs w:val="24"/>
          <w:highlight w:val="none"/>
        </w:rPr>
        <w:t>除了算术修正和落实政府采购政策需进行的价格扣除外，不对供应商的谈判价格进行任何调整。评审结果按修正和扣除后的报价由低到高顺序排列。</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报价相同的处理方式</w:t>
      </w:r>
      <w:r>
        <w:rPr>
          <w:rFonts w:hint="eastAsia" w:ascii="宋体" w:hAnsi="宋体" w:eastAsia="宋体" w:cs="宋体"/>
          <w:b w:val="0"/>
          <w:bCs w:val="0"/>
          <w:sz w:val="24"/>
          <w:szCs w:val="24"/>
          <w:highlight w:val="none"/>
          <w:lang w:eastAsia="zh-CN"/>
        </w:rPr>
        <w:t>：谈判小组</w:t>
      </w:r>
      <w:r>
        <w:rPr>
          <w:rFonts w:hint="eastAsia" w:ascii="宋体" w:hAnsi="宋体" w:eastAsia="宋体" w:cs="宋体"/>
          <w:b w:val="0"/>
          <w:bCs w:val="0"/>
          <w:sz w:val="24"/>
          <w:szCs w:val="24"/>
          <w:highlight w:val="none"/>
          <w:lang w:val="en-US" w:eastAsia="zh-CN"/>
        </w:rPr>
        <w:t>按评审因素的量化指标评审得分最高的供应商为优先成交人，由谈判小组确定</w:t>
      </w:r>
      <w:r>
        <w:rPr>
          <w:rFonts w:hint="eastAsia" w:ascii="宋体" w:hAnsi="宋体" w:eastAsia="宋体" w:cs="宋体"/>
          <w:b w:val="0"/>
          <w:bCs w:val="0"/>
          <w:sz w:val="24"/>
          <w:szCs w:val="24"/>
          <w:highlight w:val="none"/>
        </w:rPr>
        <w:t>。</w:t>
      </w:r>
    </w:p>
    <w:p>
      <w:pPr>
        <w:pStyle w:val="2"/>
        <w:spacing w:before="0" w:line="400" w:lineRule="exact"/>
        <w:ind w:firstLine="480" w:firstLineChars="200"/>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成交候选人并列式时的处理方式</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采用最低评审办法</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自收到评审报告之日起5个工作日内，在评审报告确定的成交候选人名单中按顺序确定成交人</w:t>
      </w:r>
      <w:r>
        <w:rPr>
          <w:rFonts w:hint="eastAsia" w:ascii="宋体" w:hAnsi="宋体" w:eastAsia="宋体" w:cs="宋体"/>
          <w:b w:val="0"/>
          <w:bCs w:val="0"/>
          <w:sz w:val="24"/>
          <w:szCs w:val="24"/>
          <w:highlight w:val="none"/>
          <w:lang w:eastAsia="zh-CN"/>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82" w:name="_Toc23951"/>
      <w:bookmarkStart w:id="283" w:name="_Toc19487"/>
      <w:bookmarkStart w:id="284" w:name="_Toc20521"/>
      <w:bookmarkStart w:id="285" w:name="_Toc17155"/>
      <w:bookmarkStart w:id="286" w:name="_Toc3204"/>
      <w:bookmarkStart w:id="287" w:name="_Toc9653"/>
      <w:bookmarkStart w:id="288" w:name="_Toc27257"/>
      <w:r>
        <w:rPr>
          <w:rFonts w:hint="eastAsia" w:ascii="宋体" w:hAnsi="宋体" w:eastAsia="宋体" w:cs="宋体"/>
          <w:sz w:val="24"/>
          <w:szCs w:val="24"/>
          <w:highlight w:val="none"/>
        </w:rPr>
        <w:t>27</w:t>
      </w:r>
      <w:bookmarkEnd w:id="280"/>
      <w:r>
        <w:rPr>
          <w:rFonts w:hint="eastAsia" w:ascii="宋体" w:hAnsi="宋体" w:eastAsia="宋体" w:cs="宋体"/>
          <w:sz w:val="24"/>
          <w:szCs w:val="24"/>
          <w:highlight w:val="none"/>
        </w:rPr>
        <w:t>.确定成交候选人和成交人</w:t>
      </w:r>
      <w:bookmarkEnd w:id="281"/>
      <w:bookmarkEnd w:id="282"/>
      <w:bookmarkEnd w:id="283"/>
      <w:bookmarkEnd w:id="284"/>
      <w:bookmarkEnd w:id="285"/>
      <w:bookmarkEnd w:id="286"/>
      <w:bookmarkEnd w:id="287"/>
      <w:bookmarkEnd w:id="28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谈判小组将根据评审标准，按</w:t>
      </w:r>
      <w:r>
        <w:rPr>
          <w:rFonts w:hint="eastAsia" w:ascii="宋体" w:hAnsi="宋体" w:eastAsia="宋体" w:cs="宋体"/>
          <w:sz w:val="24"/>
          <w:szCs w:val="24"/>
          <w:highlight w:val="none"/>
          <w:u w:val="single"/>
        </w:rPr>
        <w:t>供应商须知资料表中</w:t>
      </w:r>
      <w:r>
        <w:rPr>
          <w:rFonts w:hint="eastAsia" w:ascii="宋体" w:hAnsi="宋体" w:eastAsia="宋体" w:cs="宋体"/>
          <w:sz w:val="24"/>
          <w:szCs w:val="24"/>
          <w:highlight w:val="none"/>
        </w:rPr>
        <w:t>规定数量推荐成交候选人；或根据采购人的委托，直接确定成交人。</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289" w:name="_Ref467306874"/>
      <w:bookmarkStart w:id="290" w:name="_Toc520356173"/>
      <w:bookmarkStart w:id="291" w:name="_Toc4078"/>
      <w:bookmarkStart w:id="292" w:name="_Toc17773"/>
      <w:bookmarkStart w:id="293" w:name="_Toc8389"/>
      <w:bookmarkStart w:id="294" w:name="_Toc17042"/>
      <w:bookmarkStart w:id="295" w:name="_Toc15196"/>
      <w:bookmarkStart w:id="296" w:name="_Toc28562"/>
      <w:bookmarkStart w:id="297" w:name="_Toc515647790"/>
      <w:bookmarkStart w:id="298" w:name="_Toc26800"/>
      <w:r>
        <w:rPr>
          <w:rFonts w:hint="eastAsia" w:ascii="宋体" w:hAnsi="宋体" w:eastAsia="宋体" w:cs="宋体"/>
          <w:sz w:val="24"/>
          <w:szCs w:val="24"/>
          <w:highlight w:val="none"/>
        </w:rPr>
        <w:t>28.</w:t>
      </w:r>
      <w:bookmarkEnd w:id="289"/>
      <w:bookmarkEnd w:id="290"/>
      <w:r>
        <w:rPr>
          <w:rFonts w:hint="eastAsia" w:ascii="宋体" w:hAnsi="宋体" w:eastAsia="宋体" w:cs="宋体"/>
          <w:sz w:val="24"/>
          <w:szCs w:val="24"/>
          <w:highlight w:val="none"/>
        </w:rPr>
        <w:t>采购任务取消</w:t>
      </w:r>
      <w:bookmarkEnd w:id="291"/>
      <w:bookmarkEnd w:id="292"/>
      <w:bookmarkEnd w:id="293"/>
      <w:bookmarkEnd w:id="294"/>
      <w:bookmarkEnd w:id="295"/>
      <w:bookmarkEnd w:id="296"/>
      <w:bookmarkEnd w:id="297"/>
      <w:bookmarkEnd w:id="298"/>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ab/>
      </w:r>
      <w:r>
        <w:rPr>
          <w:rFonts w:hint="eastAsia" w:ascii="宋体" w:hAnsi="宋体" w:eastAsia="宋体" w:cs="宋体"/>
          <w:sz w:val="24"/>
          <w:szCs w:val="24"/>
          <w:highlight w:val="none"/>
        </w:rPr>
        <w:t>因重大变故采购任务取消时，采购人有权拒绝任何供应商成交，且对受影响的供应商不承担任何责任。</w:t>
      </w:r>
      <w:bookmarkStart w:id="299" w:name="_Toc520356174"/>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00" w:name="_Toc23030"/>
      <w:bookmarkStart w:id="301" w:name="_Toc8268"/>
      <w:bookmarkStart w:id="302" w:name="_Toc19220"/>
      <w:bookmarkStart w:id="303" w:name="_Toc19386"/>
      <w:bookmarkStart w:id="304" w:name="_Toc11774"/>
      <w:bookmarkStart w:id="305" w:name="_Toc31099"/>
      <w:bookmarkStart w:id="306" w:name="_Toc515647791"/>
      <w:bookmarkStart w:id="307" w:name="_Toc30170"/>
      <w:r>
        <w:rPr>
          <w:rFonts w:hint="eastAsia" w:ascii="宋体" w:hAnsi="宋体" w:eastAsia="宋体" w:cs="宋体"/>
          <w:sz w:val="24"/>
          <w:szCs w:val="24"/>
          <w:highlight w:val="none"/>
        </w:rPr>
        <w:t>29.成交通知书</w:t>
      </w:r>
      <w:bookmarkEnd w:id="299"/>
      <w:r>
        <w:rPr>
          <w:rFonts w:hint="eastAsia" w:ascii="宋体" w:hAnsi="宋体" w:eastAsia="宋体" w:cs="宋体"/>
          <w:sz w:val="24"/>
          <w:szCs w:val="24"/>
          <w:highlight w:val="none"/>
        </w:rPr>
        <w:t>和成交结果通知书</w:t>
      </w:r>
      <w:bookmarkEnd w:id="300"/>
      <w:bookmarkEnd w:id="301"/>
      <w:bookmarkEnd w:id="302"/>
      <w:bookmarkEnd w:id="303"/>
      <w:bookmarkEnd w:id="304"/>
      <w:bookmarkEnd w:id="305"/>
      <w:bookmarkEnd w:id="306"/>
      <w:bookmarkEnd w:id="307"/>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29.1在谈判有效期内，成交人确定后，采购人或者采购代理机构发布成交公告，同时以书面形式向成交人发出成交通知书。</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29.2成交通知书是合同的组成部分。</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29.3 成交结果通知书和成交通知书同时发出。成交结果通知书中将告知未通过资格审查的供应商未通过的原因；采用综合评分法评审的，还将告知未成交人本人的评审得分和排序。</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08" w:name="_Toc1335"/>
      <w:bookmarkStart w:id="309" w:name="_Ref467307204"/>
      <w:bookmarkStart w:id="310" w:name="_Toc15808"/>
      <w:bookmarkStart w:id="311" w:name="_Toc515647792"/>
      <w:bookmarkStart w:id="312" w:name="_Toc520356175"/>
      <w:bookmarkStart w:id="313" w:name="_Ref467306978"/>
      <w:bookmarkStart w:id="314" w:name="_Toc32099"/>
      <w:bookmarkStart w:id="315" w:name="_Ref467306377"/>
      <w:bookmarkStart w:id="316" w:name="_Ref467307062"/>
      <w:bookmarkStart w:id="317" w:name="_Toc7779"/>
      <w:bookmarkStart w:id="318" w:name="_Toc28968"/>
      <w:bookmarkStart w:id="319" w:name="_Toc790"/>
      <w:bookmarkStart w:id="320" w:name="_Toc10693"/>
      <w:r>
        <w:rPr>
          <w:rFonts w:hint="eastAsia" w:ascii="宋体" w:hAnsi="宋体" w:eastAsia="宋体" w:cs="宋体"/>
          <w:sz w:val="24"/>
          <w:szCs w:val="24"/>
          <w:highlight w:val="none"/>
        </w:rPr>
        <w:t>30.签订合同</w:t>
      </w:r>
      <w:bookmarkEnd w:id="308"/>
      <w:bookmarkEnd w:id="309"/>
      <w:bookmarkEnd w:id="310"/>
      <w:bookmarkEnd w:id="311"/>
      <w:bookmarkEnd w:id="312"/>
      <w:bookmarkEnd w:id="313"/>
      <w:bookmarkEnd w:id="314"/>
      <w:bookmarkEnd w:id="315"/>
      <w:bookmarkEnd w:id="316"/>
      <w:bookmarkEnd w:id="317"/>
      <w:bookmarkEnd w:id="318"/>
      <w:bookmarkEnd w:id="319"/>
      <w:bookmarkEnd w:id="320"/>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成交人应当自发出成交通知书之日起</w:t>
      </w: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日内，与采购人签订合同。</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30.2</w:t>
      </w:r>
      <w:bookmarkStart w:id="321" w:name="_Toc520356176"/>
      <w:bookmarkStart w:id="322" w:name="_Ref467306425"/>
      <w:bookmarkStart w:id="323" w:name="_Ref467307090"/>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谈判文件、成交人的响应文件及其澄清文件等，均为签订合同的依据。</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30.3  成交人拒绝与采购人签订合同的，采购人可以按照评审报告推荐的成交候选人名单排序，确定下一成交候选人为成交人，也可以重新开展政府采购活动。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30.4   当出现法规规定的</w:t>
      </w:r>
      <w:r>
        <w:rPr>
          <w:rFonts w:hint="eastAsia" w:ascii="宋体" w:hAnsi="宋体" w:eastAsia="宋体" w:cs="宋体"/>
          <w:b/>
          <w:sz w:val="24"/>
          <w:szCs w:val="24"/>
          <w:highlight w:val="none"/>
        </w:rPr>
        <w:t>成交无效或成交结果无效</w:t>
      </w:r>
      <w:r>
        <w:rPr>
          <w:rFonts w:hint="eastAsia" w:ascii="宋体" w:hAnsi="宋体" w:eastAsia="宋体" w:cs="宋体"/>
          <w:sz w:val="24"/>
          <w:szCs w:val="24"/>
          <w:highlight w:val="none"/>
        </w:rPr>
        <w:t>情形时，采购人可与排名下一位的成交候选人另行签订合同，或依法重新开展采购活动。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24" w:name="_Toc19660"/>
      <w:bookmarkStart w:id="325" w:name="_Toc14080"/>
      <w:bookmarkStart w:id="326" w:name="_Toc4909"/>
      <w:bookmarkStart w:id="327" w:name="_Toc13258"/>
      <w:bookmarkStart w:id="328" w:name="_Toc29440"/>
      <w:bookmarkStart w:id="329" w:name="_Toc2457"/>
      <w:bookmarkStart w:id="330" w:name="_Toc515647793"/>
      <w:bookmarkStart w:id="331" w:name="_Toc22555"/>
      <w:r>
        <w:rPr>
          <w:rFonts w:hint="eastAsia" w:ascii="宋体" w:hAnsi="宋体" w:eastAsia="宋体" w:cs="宋体"/>
          <w:sz w:val="24"/>
          <w:szCs w:val="24"/>
          <w:highlight w:val="none"/>
        </w:rPr>
        <w:t>31.履约保证金</w:t>
      </w:r>
      <w:bookmarkEnd w:id="321"/>
      <w:bookmarkEnd w:id="322"/>
      <w:bookmarkEnd w:id="323"/>
      <w:bookmarkEnd w:id="324"/>
      <w:bookmarkEnd w:id="325"/>
      <w:bookmarkEnd w:id="326"/>
      <w:bookmarkEnd w:id="327"/>
      <w:bookmarkEnd w:id="328"/>
      <w:bookmarkEnd w:id="329"/>
      <w:bookmarkEnd w:id="330"/>
      <w:bookmarkEnd w:id="331"/>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31.1成交人应按照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规定向采购人缴纳履约保证金（如采用保函形式，格式参照【附件2-1】）。</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31.2政府采购利用担保试点范围内的项目，除31.1规定的情形外，成交人也可以按照财政部门的规定，向采购人提供合格的履约担保函（格式参照【附件2-2】）。</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31.3   如果成交人没有按照上述履约保证金的规定执行，将视为放弃成交资格，成交人的谈判保证金将不予退还。在此情况下，采购人可确定下一候选人为成交人，也可以重新开展采购活动。</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32" w:name="_Toc29408"/>
      <w:bookmarkStart w:id="333" w:name="_Toc3090"/>
      <w:bookmarkStart w:id="334" w:name="_Toc938"/>
      <w:bookmarkStart w:id="335" w:name="_Toc22527"/>
      <w:bookmarkStart w:id="336" w:name="_Toc515647794"/>
      <w:bookmarkStart w:id="337" w:name="_Toc23317"/>
      <w:bookmarkStart w:id="338" w:name="_Toc27172"/>
      <w:bookmarkStart w:id="339" w:name="_Toc1117"/>
      <w:r>
        <w:rPr>
          <w:rFonts w:hint="eastAsia" w:ascii="宋体" w:hAnsi="宋体" w:eastAsia="宋体" w:cs="宋体"/>
          <w:sz w:val="24"/>
          <w:szCs w:val="24"/>
          <w:highlight w:val="none"/>
        </w:rPr>
        <w:t>32.成交服务费</w:t>
      </w:r>
      <w:bookmarkEnd w:id="332"/>
      <w:bookmarkEnd w:id="333"/>
      <w:bookmarkEnd w:id="334"/>
      <w:bookmarkEnd w:id="335"/>
      <w:bookmarkEnd w:id="336"/>
      <w:bookmarkEnd w:id="337"/>
      <w:bookmarkEnd w:id="338"/>
      <w:bookmarkEnd w:id="339"/>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成交人须按照</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规定，向采购代理机构支付成交服务费。</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40" w:name="_Toc6923"/>
      <w:bookmarkStart w:id="341" w:name="_Toc15964"/>
      <w:bookmarkStart w:id="342" w:name="_Toc515647795"/>
      <w:bookmarkStart w:id="343" w:name="_Toc25154"/>
      <w:bookmarkStart w:id="344" w:name="_Toc17936"/>
      <w:bookmarkStart w:id="345" w:name="_Toc7049"/>
      <w:bookmarkStart w:id="346" w:name="_Toc24818"/>
      <w:bookmarkStart w:id="347" w:name="_Toc20041"/>
      <w:r>
        <w:rPr>
          <w:rFonts w:hint="eastAsia" w:ascii="宋体" w:hAnsi="宋体" w:eastAsia="宋体" w:cs="宋体"/>
          <w:sz w:val="24"/>
          <w:szCs w:val="24"/>
          <w:highlight w:val="none"/>
        </w:rPr>
        <w:t>33.政府采购信用担保</w:t>
      </w:r>
      <w:bookmarkEnd w:id="340"/>
      <w:bookmarkEnd w:id="341"/>
      <w:bookmarkEnd w:id="342"/>
      <w:bookmarkEnd w:id="343"/>
      <w:bookmarkEnd w:id="344"/>
      <w:bookmarkEnd w:id="345"/>
      <w:bookmarkEnd w:id="346"/>
      <w:bookmarkEnd w:id="347"/>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33.1  本项目是否属于信用担保试点范围见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  如属于政府采购信用担保试点范围内，中小型企业供应商可以自由按照财政部门的规定，采用谈判担保、履约担保和融资担保。</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33.2.1 供应商递交的谈判担保函（格式参照【附件1】）和履约担保函（格式参照【附件2-2】）应符合本谈判文件的规定。</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33.2.2 成交人可以采取融资担保的形式为政府采购项目履约进行融资。</w:t>
      </w:r>
    </w:p>
    <w:p>
      <w:pPr>
        <w:pageBreakBefore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33.2.3 合格的政府采购专业信用担保机构名单见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48" w:name="_Toc515647796"/>
      <w:bookmarkStart w:id="349" w:name="_Toc1783"/>
      <w:bookmarkStart w:id="350" w:name="_Toc2133"/>
      <w:bookmarkStart w:id="351" w:name="_Toc10761"/>
      <w:bookmarkStart w:id="352" w:name="_Toc20920"/>
      <w:bookmarkStart w:id="353" w:name="_Toc9895"/>
      <w:bookmarkStart w:id="354" w:name="_Toc23999"/>
      <w:bookmarkStart w:id="355" w:name="_Toc27009"/>
      <w:r>
        <w:rPr>
          <w:rFonts w:hint="eastAsia" w:ascii="宋体" w:hAnsi="宋体" w:eastAsia="宋体" w:cs="宋体"/>
          <w:sz w:val="24"/>
          <w:szCs w:val="24"/>
          <w:highlight w:val="none"/>
        </w:rPr>
        <w:t>34.廉洁自律规定</w:t>
      </w:r>
      <w:bookmarkEnd w:id="348"/>
      <w:bookmarkEnd w:id="349"/>
      <w:bookmarkEnd w:id="350"/>
      <w:bookmarkEnd w:id="351"/>
      <w:bookmarkEnd w:id="352"/>
      <w:bookmarkEnd w:id="353"/>
      <w:bookmarkEnd w:id="354"/>
      <w:bookmarkEnd w:id="355"/>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34.1  采购代理机构工作人员不得以不正当手段获取政府采购代理业务，不得与采购人、供应商恶意串通操纵政府采购活动。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34.3   为强化采购代理机构内部监督机制，供应商可按</w:t>
      </w:r>
      <w:r>
        <w:rPr>
          <w:rFonts w:hint="eastAsia" w:ascii="宋体" w:hAnsi="宋体" w:eastAsia="宋体" w:cs="宋体"/>
          <w:sz w:val="24"/>
          <w:szCs w:val="24"/>
          <w:highlight w:val="none"/>
          <w:u w:val="single"/>
        </w:rPr>
        <w:t>供应商须知资料表中的</w:t>
      </w:r>
      <w:r>
        <w:rPr>
          <w:rFonts w:hint="eastAsia" w:ascii="宋体" w:hAnsi="宋体" w:eastAsia="宋体" w:cs="宋体"/>
          <w:sz w:val="24"/>
          <w:szCs w:val="24"/>
          <w:highlight w:val="none"/>
        </w:rPr>
        <w:t>监督电话和邮箱，反映采购代理机构的廉洁自律等问题。</w:t>
      </w:r>
    </w:p>
    <w:p>
      <w:pPr>
        <w:pStyle w:val="5"/>
        <w:pageBreakBefore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56" w:name="_Toc15047"/>
      <w:bookmarkStart w:id="357" w:name="_Toc8425"/>
      <w:bookmarkStart w:id="358" w:name="_Toc5070"/>
      <w:bookmarkStart w:id="359" w:name="_Toc4137"/>
      <w:bookmarkStart w:id="360" w:name="_Toc11586"/>
      <w:bookmarkStart w:id="361" w:name="_Toc25480"/>
      <w:bookmarkStart w:id="362" w:name="_Toc515647797"/>
      <w:bookmarkStart w:id="363" w:name="_Toc15274"/>
      <w:r>
        <w:rPr>
          <w:rFonts w:hint="eastAsia" w:ascii="宋体" w:hAnsi="宋体" w:eastAsia="宋体" w:cs="宋体"/>
          <w:sz w:val="24"/>
          <w:szCs w:val="24"/>
          <w:highlight w:val="none"/>
        </w:rPr>
        <w:t>35.人员回避</w:t>
      </w:r>
      <w:bookmarkEnd w:id="356"/>
      <w:bookmarkEnd w:id="357"/>
      <w:bookmarkEnd w:id="358"/>
      <w:bookmarkEnd w:id="359"/>
      <w:bookmarkEnd w:id="360"/>
      <w:bookmarkEnd w:id="361"/>
      <w:bookmarkEnd w:id="362"/>
      <w:bookmarkEnd w:id="363"/>
    </w:p>
    <w:p>
      <w:pPr>
        <w:pageBreakBefore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供应商认为采购人员及其相关人员有法律法规所列与其他供应商有利害关系的，可以向采购人或采购代理机构书面提出回避申请，并说明理由。</w:t>
      </w:r>
    </w:p>
    <w:p>
      <w:pPr>
        <w:pStyle w:val="5"/>
        <w:pageBreakBefore w:val="0"/>
        <w:widowControl w:val="0"/>
        <w:kinsoku/>
        <w:wordWrap/>
        <w:overflowPunct/>
        <w:topLinePunct w:val="0"/>
        <w:bidi w:val="0"/>
        <w:spacing w:line="360" w:lineRule="exact"/>
        <w:ind w:firstLine="482" w:firstLineChars="200"/>
        <w:textAlignment w:val="auto"/>
        <w:rPr>
          <w:rFonts w:hint="eastAsia" w:ascii="宋体" w:hAnsi="宋体" w:eastAsia="宋体" w:cs="宋体"/>
          <w:sz w:val="24"/>
          <w:szCs w:val="24"/>
          <w:highlight w:val="none"/>
        </w:rPr>
      </w:pPr>
      <w:bookmarkStart w:id="364" w:name="_Toc20921"/>
      <w:bookmarkStart w:id="365" w:name="_Toc11149"/>
      <w:bookmarkStart w:id="366" w:name="_Toc23741"/>
      <w:bookmarkStart w:id="367" w:name="_Toc1148"/>
      <w:bookmarkStart w:id="368" w:name="_Toc515647798"/>
      <w:bookmarkStart w:id="369" w:name="_Toc7761"/>
      <w:bookmarkStart w:id="370" w:name="_Toc31811"/>
      <w:bookmarkStart w:id="371" w:name="_Toc11115"/>
      <w:r>
        <w:rPr>
          <w:rFonts w:hint="eastAsia" w:ascii="宋体" w:hAnsi="宋体" w:eastAsia="宋体" w:cs="宋体"/>
          <w:sz w:val="24"/>
          <w:szCs w:val="24"/>
          <w:highlight w:val="none"/>
        </w:rPr>
        <w:t>36.质疑与接收</w:t>
      </w:r>
      <w:bookmarkEnd w:id="364"/>
      <w:bookmarkEnd w:id="365"/>
      <w:bookmarkEnd w:id="366"/>
      <w:bookmarkEnd w:id="367"/>
      <w:bookmarkEnd w:id="368"/>
      <w:bookmarkEnd w:id="369"/>
      <w:bookmarkEnd w:id="370"/>
      <w:bookmarkEnd w:id="371"/>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  供应商认为谈判文件、谈判过程和成交结果使自己的权益受到损害的，可以根据《中华人民共和国政府采购法》、《中华人民共和国政府采购法实施条例》、财政部令第74号《政府采购非招标采购方式管理办法》和财政部令第94号《政府采购质疑和投诉办法》的有关规定，依法向采购人或其委托的采购代理机构提出质疑。</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  质疑供应商应自行选择适当格式，如财政部制定的《政府采购质疑函范本》格式（可从财政部官方网站下载）、下文</w:t>
      </w:r>
      <w:r>
        <w:rPr>
          <w:rFonts w:hint="eastAsia" w:ascii="宋体" w:hAnsi="宋体" w:eastAsia="宋体" w:cs="宋体"/>
          <w:b/>
          <w:bCs/>
          <w:sz w:val="24"/>
          <w:szCs w:val="24"/>
          <w:highlight w:val="none"/>
        </w:rPr>
        <w:t>质疑函范本</w:t>
      </w:r>
      <w:r>
        <w:rPr>
          <w:rFonts w:hint="eastAsia" w:ascii="宋体" w:hAnsi="宋体" w:eastAsia="宋体" w:cs="宋体"/>
          <w:sz w:val="24"/>
          <w:szCs w:val="24"/>
          <w:highlight w:val="none"/>
        </w:rPr>
        <w:t>或其它自拟适当格式，并按照《政府采购质疑和投诉办法》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36.3  采购代理机构质疑函接收部门、联系电话和通讯地址, 见</w:t>
      </w:r>
      <w:r>
        <w:rPr>
          <w:rFonts w:hint="eastAsia" w:ascii="宋体" w:hAnsi="宋体" w:eastAsia="宋体" w:cs="宋体"/>
          <w:sz w:val="24"/>
          <w:szCs w:val="24"/>
          <w:highlight w:val="none"/>
          <w:u w:val="single"/>
        </w:rPr>
        <w:t>供应商须知资料表</w:t>
      </w:r>
      <w:r>
        <w:rPr>
          <w:rFonts w:hint="eastAsia" w:ascii="宋体" w:hAnsi="宋体" w:eastAsia="宋体" w:cs="宋体"/>
          <w:sz w:val="24"/>
          <w:szCs w:val="24"/>
          <w:highlight w:val="none"/>
        </w:rPr>
        <w:t>。</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36.4  质疑的提出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36.5  本采购文件中所称</w:t>
      </w:r>
      <w:r>
        <w:rPr>
          <w:rFonts w:hint="eastAsia" w:ascii="宋体" w:hAnsi="宋体" w:eastAsia="宋体" w:cs="宋体"/>
          <w:b/>
          <w:bCs/>
          <w:sz w:val="24"/>
          <w:szCs w:val="24"/>
          <w:highlight w:val="none"/>
        </w:rPr>
        <w:t>质疑及答复</w:t>
      </w:r>
      <w:r>
        <w:rPr>
          <w:rFonts w:hint="eastAsia" w:ascii="宋体" w:hAnsi="宋体" w:eastAsia="宋体" w:cs="宋体"/>
          <w:sz w:val="24"/>
          <w:szCs w:val="24"/>
          <w:highlight w:val="none"/>
        </w:rPr>
        <w:t>，</w:t>
      </w:r>
      <w:r>
        <w:rPr>
          <w:rFonts w:hint="eastAsia" w:ascii="宋体" w:hAnsi="宋体" w:eastAsia="宋体" w:cs="宋体"/>
          <w:b w:val="0"/>
          <w:bCs w:val="0"/>
          <w:sz w:val="24"/>
          <w:szCs w:val="24"/>
          <w:highlight w:val="none"/>
        </w:rPr>
        <w:t>是指</w:t>
      </w:r>
      <w:r>
        <w:rPr>
          <w:rFonts w:hint="eastAsia" w:ascii="宋体" w:hAnsi="宋体" w:eastAsia="宋体" w:cs="宋体"/>
          <w:sz w:val="24"/>
          <w:szCs w:val="24"/>
          <w:highlight w:val="none"/>
        </w:rPr>
        <w:t>参加本次采购活动的供应商对政府</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采购活动中的采购文件、采购过程和成交结果向采购方提出质疑，采购方答复质疑的行为。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36.6  供应商认为采购文件、采购过程和成交结果使自己的权益受到损害的，可以在知道或者应知其权益受到损害之日起 7 个工作日内，以书面形式向采购方提出质疑。供应商应知其权益受到损害之日，是指：</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（三）对成交结果提出质疑的，为成交结果公告期限届满之日。</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36.8  对采购过程和成交结果提出质疑的，质疑人为直接参与本项目的报价</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方。采购过程,即从采购项目信息公告发布起到成交结果公告止，包括采购文件的发出、提交响应文件、响应文件开启、评审等各个采购程序环节。</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36.9  提出质疑应当符合下列条件：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（一）质疑主体应当符合有关规定；</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（二）在质疑法定期限内提出；</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（四）政府采购法律、法规、规章规定的其他条件。</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36.10  提出质疑应当具有明确的请求和提供必要的证明材料。明确的请求,即</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36.11  质疑人所提供的证明材料应当具有真实性、合法性以及与质疑事项的关联性和证明力，否则不能作为认定该质疑事项成立的依据。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36.12  质疑人提出质疑时应当提交质疑函。质疑函包括下列内容：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（一）提出质疑的质疑人的名称、地址、邮编、联系人及联系电话等；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（二）质疑项目的名称、编号；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（四）事实依据和证明材料；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（六）提出质疑的日期。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36.13  质疑人可以委托代理人进行质疑。代理人应当提交授权委托书。授权委托书应当载明委托代理的具体权限、期限和相关事项。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36.14  质疑的审查和受理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采购方在收到质疑函后应当及时审查是否符合质疑受理条件，对符合质疑受理条件的，及时予以受理。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36.15  对不符合质疑受理条件的，分别按照下列不同情形予以处理：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（一）质疑函内容不符合规定的，告知质疑人进行修改并重新提出质疑。修改后质疑事项仍不具体、不明确或者最终递交质疑函的时间超过质疑法定期限的，不予受理；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（二）质疑主体不符合有关规定的，告知质疑人不予受理；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（三）超过质疑法定期限提出质疑的，告知质疑人不予受理；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（四）对不属于可以提出质疑的政府采购事项提出质疑的，告知质疑人不予受理；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（五）质疑不属于本项目采购方管辖的，告知质疑人向有管辖权的采购人提出质疑；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（六）质疑不符合其他条件的，告知质疑人不予受理。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36.16  质疑的处理和答复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36.17  采购方受理质疑后，将及时把质疑函发送给被质疑人，并要求其在一定限期内提交书面答复，同时提供有关证据、依据和相关材料。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36.18  对于质疑事项中涉及的问题较多、情况比较复杂的，为了全面查清事实、取得充分的证据，采购方认为有必要时，可以进行调查取证或者组织质证。</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36.19  对评审过程、成交结果提出质疑的，采购方可以组织原评审委员会协助答复质疑。</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36.20  质疑处理过程中，质疑人书面申请撤回质疑的，将终止质疑处理程序。</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36.21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36.23  采购方将在正式受理质疑后 7 个工作日内作出答复。</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36.24  质疑答复应当包括下列内容：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（一）质疑人的姓名或者名称；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（四）告知质疑供应商依法投诉的权利；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（五）质疑答复人名称；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（六）答复质疑的日期。</w:t>
      </w: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ageBreakBefore w:val="0"/>
        <w:widowControl w:val="0"/>
        <w:kinsoku/>
        <w:wordWrap/>
        <w:overflowPunct/>
        <w:topLinePunct w:val="0"/>
        <w:bidi w:val="0"/>
        <w:snapToGrid/>
        <w:spacing w:line="400" w:lineRule="exact"/>
        <w:ind w:firstLine="422" w:firstLineChars="200"/>
        <w:jc w:val="center"/>
        <w:textAlignment w:val="auto"/>
        <w:rPr>
          <w:rFonts w:hint="eastAsia" w:ascii="宋体" w:hAnsi="宋体" w:eastAsia="宋体" w:cs="宋体"/>
          <w:b/>
          <w:bCs/>
          <w:highlight w:val="none"/>
        </w:rPr>
      </w:pPr>
    </w:p>
    <w:p>
      <w:pPr>
        <w:pStyle w:val="30"/>
        <w:rPr>
          <w:rFonts w:hint="eastAsia" w:ascii="宋体" w:hAnsi="宋体" w:eastAsia="宋体" w:cs="宋体"/>
          <w:b/>
          <w:bCs/>
          <w:highlight w:val="none"/>
        </w:rPr>
      </w:pPr>
    </w:p>
    <w:p>
      <w:pPr>
        <w:pStyle w:val="30"/>
        <w:rPr>
          <w:rFonts w:hint="eastAsia" w:ascii="宋体" w:hAnsi="宋体" w:eastAsia="宋体" w:cs="宋体"/>
          <w:b/>
          <w:bCs/>
          <w:highlight w:val="none"/>
        </w:rPr>
      </w:pPr>
    </w:p>
    <w:p>
      <w:pPr>
        <w:pStyle w:val="30"/>
        <w:rPr>
          <w:rFonts w:hint="eastAsia" w:ascii="宋体" w:hAnsi="宋体" w:eastAsia="宋体" w:cs="宋体"/>
          <w:b/>
          <w:bCs/>
          <w:highlight w:val="none"/>
        </w:rPr>
      </w:pPr>
    </w:p>
    <w:p>
      <w:pPr>
        <w:pStyle w:val="30"/>
        <w:rPr>
          <w:rFonts w:hint="eastAsia" w:ascii="宋体" w:hAnsi="宋体" w:eastAsia="宋体" w:cs="宋体"/>
          <w:b/>
          <w:bCs/>
          <w:highlight w:val="none"/>
        </w:rPr>
      </w:pPr>
    </w:p>
    <w:p>
      <w:pPr>
        <w:bidi w:val="0"/>
        <w:rPr>
          <w:rFonts w:hint="eastAsia"/>
        </w:rPr>
      </w:pPr>
    </w:p>
    <w:p>
      <w:pPr>
        <w:pStyle w:val="4"/>
        <w:bidi w:val="0"/>
        <w:ind w:firstLine="3935" w:firstLineChars="1400"/>
        <w:jc w:val="both"/>
        <w:rPr>
          <w:rFonts w:hint="eastAsia"/>
        </w:rPr>
      </w:pPr>
      <w:r>
        <w:rPr>
          <w:rFonts w:hint="eastAsia"/>
        </w:rPr>
        <w:t>质疑函范本</w:t>
      </w:r>
    </w:p>
    <w:p>
      <w:pPr>
        <w:pStyle w:val="3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sz w:val="24"/>
          <w:szCs w:val="24"/>
          <w:highlight w:val="none"/>
        </w:rPr>
      </w:pPr>
      <w:bookmarkStart w:id="372" w:name="_Toc31535"/>
      <w:bookmarkStart w:id="373" w:name="_Toc16961"/>
      <w:bookmarkStart w:id="374" w:name="_Toc6906"/>
      <w:bookmarkStart w:id="375" w:name="_Toc5431"/>
      <w:r>
        <w:rPr>
          <w:rFonts w:hint="eastAsia" w:ascii="宋体" w:hAnsi="宋体" w:eastAsia="宋体" w:cs="宋体"/>
          <w:sz w:val="24"/>
          <w:szCs w:val="24"/>
          <w:highlight w:val="none"/>
        </w:rPr>
        <w:t>一、质疑供应商基本信息</w:t>
      </w:r>
      <w:bookmarkEnd w:id="372"/>
      <w:bookmarkEnd w:id="373"/>
      <w:bookmarkEnd w:id="374"/>
      <w:bookmarkEnd w:id="375"/>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联系电话：</w:t>
      </w:r>
      <w:r>
        <w:rPr>
          <w:rFonts w:hint="eastAsia" w:ascii="宋体" w:hAnsi="宋体" w:eastAsia="宋体" w:cs="宋体"/>
          <w:sz w:val="24"/>
          <w:szCs w:val="24"/>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邮编：</w:t>
      </w:r>
      <w:r>
        <w:rPr>
          <w:rFonts w:hint="eastAsia" w:ascii="宋体" w:hAnsi="宋体" w:eastAsia="宋体" w:cs="宋体"/>
          <w:sz w:val="24"/>
          <w:szCs w:val="24"/>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76" w:name="_Toc15985"/>
      <w:bookmarkStart w:id="377" w:name="_Toc5517"/>
      <w:bookmarkStart w:id="378" w:name="_Toc22401"/>
      <w:bookmarkStart w:id="379" w:name="_Toc16959"/>
      <w:r>
        <w:rPr>
          <w:rFonts w:hint="eastAsia" w:ascii="宋体" w:hAnsi="宋体" w:eastAsia="宋体" w:cs="宋体"/>
          <w:highlight w:val="none"/>
        </w:rPr>
        <w:t>二、质疑项目基本情况</w:t>
      </w:r>
      <w:bookmarkEnd w:id="376"/>
      <w:bookmarkEnd w:id="377"/>
      <w:bookmarkEnd w:id="378"/>
      <w:bookmarkEnd w:id="379"/>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质疑项目的名称：</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质疑项目的编号：</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包号：</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采购人名称：</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采购文件获取日期：</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0" w:name="_Toc15877"/>
      <w:bookmarkStart w:id="381" w:name="_Toc25122"/>
      <w:bookmarkStart w:id="382" w:name="_Toc2484"/>
      <w:bookmarkStart w:id="383" w:name="_Toc24919"/>
      <w:r>
        <w:rPr>
          <w:rFonts w:hint="eastAsia" w:ascii="宋体" w:hAnsi="宋体" w:eastAsia="宋体" w:cs="宋体"/>
          <w:highlight w:val="none"/>
        </w:rPr>
        <w:t>三、质疑事项具体内容</w:t>
      </w:r>
      <w:bookmarkEnd w:id="380"/>
      <w:bookmarkEnd w:id="381"/>
      <w:bookmarkEnd w:id="382"/>
      <w:bookmarkEnd w:id="383"/>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质疑事项 1：</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事实依据：</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法律依据：</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质疑事项 2：</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pPr>
        <w:pStyle w:val="30"/>
        <w:pageBreakBefore w:val="0"/>
        <w:widowControl w:val="0"/>
        <w:kinsoku/>
        <w:wordWrap/>
        <w:overflowPunct/>
        <w:topLinePunct w:val="0"/>
        <w:bidi w:val="0"/>
        <w:snapToGrid/>
        <w:spacing w:line="400" w:lineRule="exact"/>
        <w:ind w:firstLine="480" w:firstLineChars="200"/>
        <w:textAlignment w:val="auto"/>
        <w:outlineLvl w:val="0"/>
        <w:rPr>
          <w:rFonts w:hint="eastAsia" w:ascii="宋体" w:hAnsi="宋体" w:eastAsia="宋体" w:cs="宋体"/>
          <w:highlight w:val="none"/>
        </w:rPr>
      </w:pPr>
      <w:bookmarkStart w:id="384" w:name="_Toc13666"/>
      <w:bookmarkStart w:id="385" w:name="_Toc31784"/>
      <w:bookmarkStart w:id="386" w:name="_Toc26432"/>
      <w:bookmarkStart w:id="387" w:name="_Toc30831"/>
      <w:r>
        <w:rPr>
          <w:rFonts w:hint="eastAsia" w:ascii="宋体" w:hAnsi="宋体" w:eastAsia="宋体" w:cs="宋体"/>
          <w:highlight w:val="none"/>
        </w:rPr>
        <w:t>四、与质疑事项相关的质疑请求</w:t>
      </w:r>
      <w:bookmarkEnd w:id="384"/>
      <w:bookmarkEnd w:id="385"/>
      <w:bookmarkEnd w:id="386"/>
      <w:bookmarkEnd w:id="387"/>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u w:val="single"/>
        </w:rPr>
      </w:pPr>
      <w:r>
        <w:rPr>
          <w:rFonts w:hint="eastAsia" w:ascii="宋体" w:hAnsi="宋体" w:eastAsia="宋体" w:cs="宋体"/>
          <w:highlight w:val="none"/>
        </w:rPr>
        <w:t>请求：</w:t>
      </w:r>
      <w:r>
        <w:rPr>
          <w:rFonts w:hint="eastAsia" w:ascii="宋体" w:hAnsi="宋体" w:eastAsia="宋体" w:cs="宋体"/>
          <w:highlight w:val="none"/>
          <w:u w:val="single"/>
        </w:rPr>
        <w:t xml:space="preserve">                                                               </w:t>
      </w:r>
    </w:p>
    <w:p>
      <w:pPr>
        <w:pStyle w:val="3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 xml:space="preserve">签字(签章)：                                          </w:t>
      </w:r>
    </w:p>
    <w:p>
      <w:pPr>
        <w:pStyle w:val="3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公</w:t>
      </w:r>
      <w:r>
        <w:rPr>
          <w:rFonts w:hint="eastAsia" w:hAnsi="宋体" w:cs="宋体"/>
          <w:highlight w:val="none"/>
          <w:lang w:val="en-US" w:eastAsia="zh-CN"/>
        </w:rPr>
        <w:t xml:space="preserve">    </w:t>
      </w:r>
      <w:r>
        <w:rPr>
          <w:rFonts w:hint="eastAsia" w:ascii="宋体" w:hAnsi="宋体" w:eastAsia="宋体" w:cs="宋体"/>
          <w:highlight w:val="none"/>
        </w:rPr>
        <w:t>章：</w:t>
      </w:r>
    </w:p>
    <w:p>
      <w:pPr>
        <w:pStyle w:val="30"/>
        <w:pageBreakBefore w:val="0"/>
        <w:widowControl w:val="0"/>
        <w:kinsoku/>
        <w:wordWrap/>
        <w:overflowPunct/>
        <w:topLinePunct w:val="0"/>
        <w:bidi w:val="0"/>
        <w:snapToGrid/>
        <w:spacing w:line="400" w:lineRule="exact"/>
        <w:ind w:firstLine="480" w:firstLineChars="200"/>
        <w:jc w:val="center"/>
        <w:textAlignment w:val="auto"/>
        <w:rPr>
          <w:rFonts w:hint="eastAsia" w:ascii="宋体" w:hAnsi="宋体" w:eastAsia="宋体" w:cs="宋体"/>
          <w:highlight w:val="none"/>
        </w:rPr>
      </w:pPr>
      <w:r>
        <w:rPr>
          <w:rFonts w:hint="eastAsia" w:hAnsi="宋体" w:cs="宋体"/>
          <w:highlight w:val="none"/>
          <w:lang w:val="en-US" w:eastAsia="zh-CN"/>
        </w:rPr>
        <w:t xml:space="preserve">                                </w:t>
      </w:r>
      <w:r>
        <w:rPr>
          <w:rFonts w:hint="eastAsia" w:ascii="宋体" w:hAnsi="宋体" w:eastAsia="宋体" w:cs="宋体"/>
          <w:highlight w:val="none"/>
        </w:rPr>
        <w:t>日</w:t>
      </w:r>
      <w:r>
        <w:rPr>
          <w:rFonts w:hint="eastAsia" w:hAnsi="宋体" w:cs="宋体"/>
          <w:highlight w:val="none"/>
          <w:lang w:val="en-US" w:eastAsia="zh-CN"/>
        </w:rPr>
        <w:t xml:space="preserve">    </w:t>
      </w:r>
      <w:r>
        <w:rPr>
          <w:rFonts w:hint="eastAsia" w:ascii="宋体" w:hAnsi="宋体" w:eastAsia="宋体" w:cs="宋体"/>
          <w:highlight w:val="none"/>
        </w:rPr>
        <w:t>期：</w:t>
      </w:r>
    </w:p>
    <w:p>
      <w:pPr>
        <w:pStyle w:val="30"/>
        <w:pageBreakBefore w:val="0"/>
        <w:widowControl w:val="0"/>
        <w:kinsoku/>
        <w:wordWrap/>
        <w:overflowPunct/>
        <w:topLinePunct w:val="0"/>
        <w:bidi w:val="0"/>
        <w:snapToGrid/>
        <w:spacing w:line="400" w:lineRule="exact"/>
        <w:ind w:firstLine="482" w:firstLineChars="200"/>
        <w:textAlignment w:val="auto"/>
        <w:rPr>
          <w:rFonts w:hint="eastAsia" w:ascii="宋体" w:hAnsi="宋体" w:eastAsia="宋体" w:cs="宋体"/>
          <w:b/>
          <w:bCs/>
          <w:highlight w:val="none"/>
        </w:rPr>
      </w:pPr>
      <w:r>
        <w:rPr>
          <w:rFonts w:hint="eastAsia" w:ascii="宋体" w:hAnsi="宋体" w:eastAsia="宋体" w:cs="宋体"/>
          <w:b/>
          <w:bCs/>
          <w:highlight w:val="none"/>
        </w:rPr>
        <w:t>质疑函制作说明：</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1.供应商提出质疑时，应提交质疑函和必要的证明材料。</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2.质疑供应商若委托代理人进行质疑的，质疑函应按要求列明“授权代表”</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的有关内容，并在附件中提交由质疑供应商签署的授权委托书。授权委托书应</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载明代理人的姓名或者名称、代理事项、具体权限、期限和相关事项。</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3.质疑供应商若对项目的某一分包进行质疑，质疑函中应列明具体分包号。</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4.质疑函的质疑事项应具体、明确，并有必要的事实依据和法律依据。</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5.质疑函的质疑请求应与质疑事项相关。</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6.质疑供应商为自然人的，质疑函应由本人签字；质疑供应商为法人或者</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其他组织的，质疑函应由法定代表人、主要负责人，或者其授权代表签字或者盖章，并加盖公章。</w:t>
      </w:r>
      <w:bookmarkStart w:id="388" w:name="_Toc1317"/>
      <w:bookmarkStart w:id="389" w:name="_Toc3952"/>
      <w:bookmarkStart w:id="390" w:name="_Toc12203"/>
      <w:bookmarkStart w:id="391" w:name="_Toc23126"/>
      <w:bookmarkStart w:id="392" w:name="_Toc24788"/>
    </w:p>
    <w:bookmarkEnd w:id="388"/>
    <w:bookmarkEnd w:id="389"/>
    <w:bookmarkEnd w:id="390"/>
    <w:bookmarkEnd w:id="391"/>
    <w:bookmarkEnd w:id="392"/>
    <w:p>
      <w:pPr>
        <w:rPr>
          <w:rFonts w:hint="eastAsia"/>
          <w:lang w:eastAsia="zh-CN"/>
        </w:rPr>
      </w:pPr>
      <w:bookmarkStart w:id="393" w:name="_Toc27453"/>
      <w:bookmarkStart w:id="394" w:name="_Toc19295"/>
      <w:bookmarkStart w:id="395" w:name="_Toc21748"/>
      <w:bookmarkStart w:id="396" w:name="_Toc9748"/>
      <w:bookmarkStart w:id="397" w:name="_Toc27934"/>
      <w:bookmarkStart w:id="398" w:name="_Toc16186"/>
      <w:bookmarkStart w:id="399" w:name="_Toc515647799"/>
      <w:bookmarkStart w:id="400" w:name="_Toc9528"/>
    </w:p>
    <w:p>
      <w:pPr>
        <w:pStyle w:val="30"/>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lang w:eastAsia="zh-CN"/>
        </w:rPr>
        <w:t>【附件</w:t>
      </w:r>
      <w:r>
        <w:rPr>
          <w:rFonts w:hint="eastAsia" w:ascii="宋体" w:hAnsi="宋体" w:eastAsia="宋体" w:cs="宋体"/>
          <w:highlight w:val="none"/>
          <w:lang w:val="en-US" w:eastAsia="zh-CN"/>
        </w:rPr>
        <w:t>2</w:t>
      </w:r>
      <w:r>
        <w:rPr>
          <w:rFonts w:hint="eastAsia" w:hAnsi="宋体" w:cs="宋体"/>
          <w:highlight w:val="none"/>
          <w:lang w:val="en-US" w:eastAsia="zh-CN"/>
        </w:rPr>
        <w:t>-1</w:t>
      </w:r>
      <w:r>
        <w:rPr>
          <w:rFonts w:hint="eastAsia" w:ascii="宋体" w:hAnsi="宋体" w:eastAsia="宋体" w:cs="宋体"/>
          <w:highlight w:val="none"/>
          <w:lang w:eastAsia="zh-CN"/>
        </w:rPr>
        <w:t>】</w:t>
      </w:r>
    </w:p>
    <w:p>
      <w:pPr>
        <w:pStyle w:val="4"/>
        <w:bidi w:val="0"/>
        <w:ind w:firstLine="3092" w:firstLineChars="1100"/>
        <w:rPr>
          <w:rFonts w:hint="eastAsia"/>
        </w:rPr>
      </w:pPr>
      <w:r>
        <w:rPr>
          <w:rFonts w:hint="eastAsia"/>
        </w:rPr>
        <w:t>履约保证金保函（格式）</w:t>
      </w:r>
      <w:bookmarkEnd w:id="393"/>
      <w:bookmarkEnd w:id="394"/>
      <w:bookmarkEnd w:id="395"/>
      <w:bookmarkEnd w:id="396"/>
      <w:bookmarkEnd w:id="397"/>
      <w:bookmarkEnd w:id="398"/>
      <w:bookmarkEnd w:id="399"/>
      <w:bookmarkEnd w:id="400"/>
    </w:p>
    <w:p>
      <w:pPr>
        <w:bidi w:val="0"/>
        <w:ind w:firstLine="3640" w:firstLineChars="1300"/>
        <w:rPr>
          <w:rFonts w:hint="eastAsia"/>
        </w:rPr>
      </w:pPr>
      <w:r>
        <w:rPr>
          <w:rFonts w:hint="eastAsia"/>
          <w:sz w:val="28"/>
          <w:szCs w:val="36"/>
        </w:rPr>
        <w:t>（</w:t>
      </w:r>
      <w:r>
        <w:rPr>
          <w:rFonts w:hint="eastAsia"/>
          <w:sz w:val="28"/>
          <w:szCs w:val="36"/>
          <w:lang w:eastAsia="zh-CN"/>
        </w:rPr>
        <w:t>成交后开具</w:t>
      </w:r>
      <w:r>
        <w:rPr>
          <w:rFonts w:hint="eastAsia"/>
          <w:sz w:val="28"/>
          <w:szCs w:val="36"/>
        </w:rPr>
        <w:t>）</w:t>
      </w:r>
    </w:p>
    <w:p>
      <w:pPr>
        <w:pStyle w:val="30"/>
        <w:pageBreakBefore w:val="0"/>
        <w:widowControl w:val="0"/>
        <w:kinsoku/>
        <w:wordWrap/>
        <w:overflowPunct/>
        <w:topLinePunct w:val="0"/>
        <w:bidi w:val="0"/>
        <w:snapToGrid/>
        <w:spacing w:line="400" w:lineRule="exact"/>
        <w:textAlignment w:val="auto"/>
        <w:rPr>
          <w:rFonts w:hint="eastAsia" w:ascii="宋体" w:hAnsi="宋体" w:eastAsia="宋体" w:cs="宋体"/>
          <w:highlight w:val="none"/>
        </w:rPr>
      </w:pPr>
    </w:p>
    <w:p>
      <w:pPr>
        <w:pStyle w:val="30"/>
        <w:pageBreakBefore w:val="0"/>
        <w:widowControl w:val="0"/>
        <w:kinsoku/>
        <w:wordWrap/>
        <w:overflowPunct/>
        <w:topLinePunct w:val="0"/>
        <w:bidi w:val="0"/>
        <w:snapToGrid/>
        <w:spacing w:line="400" w:lineRule="exact"/>
        <w:textAlignment w:val="auto"/>
        <w:rPr>
          <w:rFonts w:hint="eastAsia" w:ascii="宋体" w:hAnsi="宋体" w:eastAsia="宋体" w:cs="宋体"/>
          <w:highlight w:val="none"/>
          <w:lang w:eastAsia="zh-CN"/>
        </w:rPr>
      </w:pPr>
      <w:r>
        <w:rPr>
          <w:rFonts w:hint="eastAsia" w:ascii="宋体" w:hAnsi="宋体" w:eastAsia="宋体" w:cs="宋体"/>
          <w:highlight w:val="none"/>
        </w:rPr>
        <w:t>致:</w:t>
      </w:r>
      <w:r>
        <w:rPr>
          <w:rFonts w:hint="eastAsia" w:hAnsi="宋体" w:cs="宋体"/>
          <w:highlight w:val="none"/>
          <w:u w:val="single"/>
          <w:lang w:val="en-US" w:eastAsia="zh-CN"/>
        </w:rPr>
        <w:t xml:space="preserve">    </w:t>
      </w:r>
      <w:r>
        <w:rPr>
          <w:rFonts w:hint="eastAsia" w:ascii="宋体" w:hAnsi="宋体" w:eastAsia="宋体" w:cs="宋体"/>
          <w:highlight w:val="none"/>
          <w:u w:val="single"/>
        </w:rPr>
        <w:t>(</w:t>
      </w:r>
      <w:r>
        <w:rPr>
          <w:rFonts w:hint="eastAsia" w:ascii="宋体" w:hAnsi="宋体" w:eastAsia="宋体" w:cs="宋体"/>
          <w:highlight w:val="none"/>
          <w:u w:val="single"/>
          <w:lang w:eastAsia="zh-CN"/>
        </w:rPr>
        <w:t>买方名称</w:t>
      </w:r>
      <w:r>
        <w:rPr>
          <w:rFonts w:hint="eastAsia" w:ascii="宋体" w:hAnsi="宋体" w:eastAsia="宋体" w:cs="宋体"/>
          <w:highlight w:val="none"/>
          <w:u w:val="single"/>
        </w:rPr>
        <w:t>)</w:t>
      </w:r>
      <w:r>
        <w:rPr>
          <w:rFonts w:hint="eastAsia" w:hAnsi="宋体" w:cs="宋体"/>
          <w:highlight w:val="none"/>
          <w:u w:val="single"/>
          <w:lang w:val="en-US" w:eastAsia="zh-CN"/>
        </w:rPr>
        <w:t xml:space="preserve">     </w:t>
      </w:r>
      <w:r>
        <w:rPr>
          <w:rFonts w:hint="eastAsia" w:hAnsi="宋体" w:cs="宋体"/>
          <w:highlight w:val="none"/>
          <w:lang w:eastAsia="zh-CN"/>
        </w:rPr>
        <w:t>：</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 xml:space="preserve">             </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号合同履约保函</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本保函作为贵方与</w:t>
      </w:r>
      <w:r>
        <w:rPr>
          <w:rFonts w:hint="eastAsia" w:hAnsi="宋体" w:cs="宋体"/>
          <w:highlight w:val="none"/>
          <w:lang w:val="en-US" w:eastAsia="zh-CN"/>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(卖方名称)</w:t>
      </w:r>
      <w:r>
        <w:rPr>
          <w:rFonts w:hint="eastAsia" w:hAnsi="宋体" w:cs="宋体"/>
          <w:highlight w:val="none"/>
          <w:u w:val="single"/>
          <w:lang w:val="en-US" w:eastAsia="zh-CN"/>
        </w:rPr>
        <w:t xml:space="preserve">    </w:t>
      </w:r>
      <w:r>
        <w:rPr>
          <w:rFonts w:hint="eastAsia" w:ascii="宋体" w:hAnsi="宋体" w:eastAsia="宋体" w:cs="宋体"/>
          <w:highlight w:val="none"/>
          <w:u w:val="none"/>
        </w:rPr>
        <w:t>(</w:t>
      </w:r>
      <w:r>
        <w:rPr>
          <w:rFonts w:hint="eastAsia" w:ascii="宋体" w:hAnsi="宋体" w:eastAsia="宋体" w:cs="宋体"/>
          <w:highlight w:val="none"/>
        </w:rPr>
        <w:t>以下简称卖方)于</w:t>
      </w:r>
      <w:r>
        <w:rPr>
          <w:rFonts w:hint="eastAsia" w:hAnsi="宋体" w:cs="宋体"/>
          <w:highlight w:val="none"/>
          <w:u w:val="single"/>
          <w:lang w:val="en-US" w:eastAsia="zh-CN"/>
        </w:rPr>
        <w:t xml:space="preserve">    </w:t>
      </w:r>
      <w:r>
        <w:rPr>
          <w:rFonts w:hint="eastAsia" w:ascii="宋体" w:hAnsi="宋体" w:eastAsia="宋体" w:cs="宋体"/>
          <w:highlight w:val="none"/>
        </w:rPr>
        <w:t>年</w:t>
      </w:r>
      <w:r>
        <w:rPr>
          <w:rFonts w:hint="eastAsia" w:hAnsi="宋体" w:cs="宋体"/>
          <w:highlight w:val="none"/>
          <w:u w:val="single"/>
          <w:lang w:val="en-US" w:eastAsia="zh-CN"/>
        </w:rPr>
        <w:t xml:space="preserve">   </w:t>
      </w:r>
      <w:r>
        <w:rPr>
          <w:rFonts w:hint="eastAsia" w:ascii="宋体" w:hAnsi="宋体" w:eastAsia="宋体" w:cs="宋体"/>
          <w:highlight w:val="none"/>
        </w:rPr>
        <w:t>月</w:t>
      </w:r>
      <w:r>
        <w:rPr>
          <w:rFonts w:hint="eastAsia" w:hAnsi="宋体" w:cs="宋体"/>
          <w:highlight w:val="none"/>
          <w:u w:val="single"/>
          <w:lang w:val="en-US" w:eastAsia="zh-CN"/>
        </w:rPr>
        <w:t xml:space="preserve">   </w:t>
      </w:r>
      <w:r>
        <w:rPr>
          <w:rFonts w:hint="eastAsia" w:ascii="宋体" w:hAnsi="宋体" w:eastAsia="宋体" w:cs="宋体"/>
          <w:highlight w:val="none"/>
        </w:rPr>
        <w:t>日就</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项目(以下简称项目)项下提供</w:t>
      </w:r>
      <w:r>
        <w:rPr>
          <w:rFonts w:hint="eastAsia" w:hAnsi="宋体" w:cs="宋体"/>
          <w:highlight w:val="none"/>
          <w:u w:val="single"/>
          <w:lang w:val="en-US" w:eastAsia="zh-CN"/>
        </w:rPr>
        <w:t xml:space="preserve">    </w:t>
      </w:r>
      <w:r>
        <w:rPr>
          <w:rFonts w:hint="eastAsia" w:ascii="宋体" w:hAnsi="宋体" w:eastAsia="宋体" w:cs="宋体"/>
          <w:highlight w:val="none"/>
          <w:u w:val="single"/>
        </w:rPr>
        <w:t>(名称)</w:t>
      </w:r>
      <w:r>
        <w:rPr>
          <w:rFonts w:hint="eastAsia" w:hAnsi="宋体" w:cs="宋体"/>
          <w:highlight w:val="none"/>
          <w:u w:val="single"/>
          <w:lang w:val="en-US" w:eastAsia="zh-CN"/>
        </w:rPr>
        <w:t xml:space="preserve">     </w:t>
      </w:r>
      <w:r>
        <w:rPr>
          <w:rFonts w:hint="eastAsia" w:ascii="宋体" w:hAnsi="宋体" w:eastAsia="宋体" w:cs="宋体"/>
          <w:highlight w:val="none"/>
        </w:rPr>
        <w:t>(以下简称)签订的</w:t>
      </w:r>
      <w:r>
        <w:rPr>
          <w:rFonts w:hint="eastAsia" w:hAnsi="宋体" w:cs="宋体"/>
          <w:highlight w:val="none"/>
          <w:u w:val="single"/>
          <w:lang w:val="en-US" w:eastAsia="zh-CN"/>
        </w:rPr>
        <w:t xml:space="preserve">     </w:t>
      </w:r>
      <w:r>
        <w:rPr>
          <w:rFonts w:hint="eastAsia" w:ascii="宋体" w:hAnsi="宋体" w:eastAsia="宋体" w:cs="宋体"/>
          <w:highlight w:val="none"/>
          <w:u w:val="single"/>
        </w:rPr>
        <w:t>(合同号)</w:t>
      </w:r>
      <w:r>
        <w:rPr>
          <w:rFonts w:hint="eastAsia" w:hAnsi="宋体" w:cs="宋体"/>
          <w:highlight w:val="none"/>
          <w:u w:val="single"/>
          <w:lang w:val="en-US" w:eastAsia="zh-CN"/>
        </w:rPr>
        <w:t xml:space="preserve">   </w:t>
      </w:r>
      <w:r>
        <w:rPr>
          <w:rFonts w:hint="eastAsia" w:ascii="宋体" w:hAnsi="宋体" w:eastAsia="宋体" w:cs="宋体"/>
          <w:highlight w:val="none"/>
          <w:lang w:eastAsia="zh-CN"/>
        </w:rPr>
        <w:t>号合同的履约保函</w:t>
      </w:r>
      <w:r>
        <w:rPr>
          <w:rFonts w:hint="eastAsia" w:ascii="宋体" w:hAnsi="宋体" w:eastAsia="宋体" w:cs="宋体"/>
          <w:highlight w:val="none"/>
        </w:rPr>
        <w:t>。</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u w:val="single"/>
        </w:rPr>
        <w:t>(出具保函的银行名称)</w:t>
      </w:r>
      <w:r>
        <w:rPr>
          <w:rFonts w:hint="eastAsia" w:ascii="宋体" w:hAnsi="宋体" w:eastAsia="宋体" w:cs="宋体"/>
          <w:highlight w:val="none"/>
        </w:rPr>
        <w:t>(以下简称银行)无条件地、不可撤销地具结保证本行、其继承人和受让人无追索地向贵方以</w:t>
      </w:r>
      <w:r>
        <w:rPr>
          <w:rFonts w:hint="eastAsia" w:hAnsi="宋体" w:cs="宋体"/>
          <w:highlight w:val="none"/>
          <w:u w:val="single"/>
          <w:lang w:val="en-US" w:eastAsia="zh-CN"/>
        </w:rPr>
        <w:t xml:space="preserve">  </w:t>
      </w:r>
      <w:r>
        <w:rPr>
          <w:rFonts w:hint="eastAsia" w:ascii="宋体" w:hAnsi="宋体" w:eastAsia="宋体" w:cs="宋体"/>
          <w:highlight w:val="none"/>
          <w:u w:val="single"/>
        </w:rPr>
        <w:t>(货币名称)</w:t>
      </w:r>
      <w:r>
        <w:rPr>
          <w:rFonts w:hint="eastAsia" w:hAnsi="宋体" w:cs="宋体"/>
          <w:highlight w:val="none"/>
          <w:u w:val="single"/>
          <w:lang w:val="en-US" w:eastAsia="zh-CN"/>
        </w:rPr>
        <w:t xml:space="preserve">  </w:t>
      </w:r>
      <w:r>
        <w:rPr>
          <w:rFonts w:hint="eastAsia" w:ascii="宋体" w:hAnsi="宋体" w:eastAsia="宋体" w:cs="宋体"/>
          <w:highlight w:val="none"/>
        </w:rPr>
        <w:t>支付总额不超过</w:t>
      </w:r>
      <w:r>
        <w:rPr>
          <w:rFonts w:hint="eastAsia" w:hAnsi="宋体" w:cs="宋体"/>
          <w:highlight w:val="none"/>
          <w:u w:val="single"/>
          <w:lang w:val="en-US" w:eastAsia="zh-CN"/>
        </w:rPr>
        <w:t xml:space="preserve">   </w:t>
      </w:r>
      <w:r>
        <w:rPr>
          <w:rFonts w:hint="eastAsia" w:ascii="宋体" w:hAnsi="宋体" w:eastAsia="宋体" w:cs="宋体"/>
          <w:strike w:val="0"/>
          <w:dstrike w:val="0"/>
          <w:highlight w:val="none"/>
          <w:u w:val="single"/>
        </w:rPr>
        <w:t>(货币数量)</w:t>
      </w:r>
      <w:r>
        <w:rPr>
          <w:rFonts w:hint="eastAsia" w:hAnsi="宋体" w:cs="宋体"/>
          <w:strike w:val="0"/>
          <w:dstrike w:val="0"/>
          <w:highlight w:val="none"/>
          <w:u w:val="single"/>
          <w:lang w:val="en-US" w:eastAsia="zh-CN"/>
        </w:rPr>
        <w:t xml:space="preserve">  </w:t>
      </w:r>
      <w:r>
        <w:rPr>
          <w:rFonts w:hint="eastAsia" w:ascii="宋体" w:hAnsi="宋体" w:eastAsia="宋体" w:cs="宋体"/>
          <w:highlight w:val="none"/>
        </w:rPr>
        <w:t>,即相当于合同价格的</w:t>
      </w:r>
      <w:r>
        <w:rPr>
          <w:rFonts w:hint="eastAsia" w:hAnsi="宋体" w:cs="宋体"/>
          <w:highlight w:val="none"/>
          <w:u w:val="single"/>
          <w:lang w:val="en-US" w:eastAsia="zh-CN"/>
        </w:rPr>
        <w:t xml:space="preserve">     </w:t>
      </w:r>
      <w:r>
        <w:rPr>
          <w:rFonts w:hint="eastAsia" w:ascii="宋体" w:hAnsi="宋体" w:eastAsia="宋体" w:cs="宋体"/>
          <w:highlight w:val="none"/>
        </w:rPr>
        <w:t>%,</w:t>
      </w:r>
      <w:r>
        <w:rPr>
          <w:rFonts w:hint="eastAsia" w:ascii="宋体" w:hAnsi="宋体" w:eastAsia="宋体" w:cs="宋体"/>
          <w:highlight w:val="none"/>
          <w:lang w:eastAsia="zh-CN"/>
        </w:rPr>
        <w:t>并以此约定如下</w:t>
      </w:r>
      <w:r>
        <w:rPr>
          <w:rFonts w:hint="eastAsia" w:ascii="宋体" w:hAnsi="宋体" w:eastAsia="宋体" w:cs="宋体"/>
          <w:highlight w:val="none"/>
        </w:rPr>
        <w:t>:</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1.只要贵方确定卖方未能忠实地履行所有合同文件的规定和双方此后一致同意的修改、补充和变动,包括更改和/或修补贵方认为有缺陷的(以下简称违约),无论卖方有任何反对,本行将凭贵方关于卖方违约说明的书面通知,立即按贵方提出的累计总额不超过上述金额的款项和按贵方通知规定的方式付给贵方。</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2.本保函项下的任何支付应为免税和净值。对于现有或将来的税收、关税、收费、费用扣减或预提税款，不论这些款项是何种性质和由谁征收，都不应从本保函项下的支付中扣除。</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4.本保函在本合同规定的保证期期满前完全有效。</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rPr>
        <w:t>谨启</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出具保函银行名称</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ascii="宋体" w:hAnsi="宋体" w:eastAsia="宋体" w:cs="宋体"/>
          <w:highlight w:val="non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签字人姓名和职务</w:t>
      </w:r>
      <w:r>
        <w:rPr>
          <w:rFonts w:hint="eastAsia" w:ascii="宋体" w:hAnsi="宋体" w:eastAsia="宋体" w:cs="宋体"/>
          <w:highlight w:val="none"/>
        </w:rPr>
        <w:t>：</w:t>
      </w:r>
      <w:r>
        <w:rPr>
          <w:rFonts w:hint="eastAsia" w:hAnsi="宋体" w:cs="宋体"/>
          <w:i/>
          <w:iCs/>
          <w:highlight w:val="none"/>
          <w:u w:val="single"/>
          <w:lang w:val="en-US" w:eastAsia="zh-CN"/>
        </w:rPr>
        <w:t xml:space="preserve">                          </w:t>
      </w:r>
      <w:r>
        <w:rPr>
          <w:rFonts w:hint="eastAsia" w:ascii="宋体" w:hAnsi="宋体" w:eastAsia="宋体" w:cs="宋体"/>
          <w:highlight w:val="non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ascii="宋体" w:hAnsi="宋体" w:eastAsia="宋体" w:cs="宋体"/>
          <w:highlight w:val="none"/>
        </w:rPr>
      </w:pPr>
      <w:r>
        <w:rPr>
          <w:rFonts w:hint="eastAsia" w:ascii="宋体" w:hAnsi="宋体" w:eastAsia="宋体" w:cs="宋体"/>
          <w:highlight w:val="none"/>
          <w:lang w:eastAsia="zh-CN"/>
        </w:rPr>
        <w:t>签字人签名</w:t>
      </w:r>
      <w:r>
        <w:rPr>
          <w:rFonts w:hint="eastAsia" w:ascii="宋体" w:hAnsi="宋体" w:eastAsia="宋体" w:cs="宋体"/>
          <w:highlight w:val="none"/>
        </w:rPr>
        <w:t>：</w:t>
      </w:r>
      <w:r>
        <w:rPr>
          <w:rFonts w:hint="eastAsia" w:hAnsi="宋体" w:cs="宋体"/>
          <w:highlight w:val="none"/>
          <w:u w:val="single"/>
          <w:lang w:val="en-US" w:eastAsia="zh-CN"/>
        </w:rPr>
        <w:t xml:space="preserve">                                </w:t>
      </w:r>
      <w:r>
        <w:rPr>
          <w:rFonts w:hint="eastAsia" w:hAnsi="宋体" w:cs="宋体"/>
          <w:highlight w:val="none"/>
          <w:lang w:val="en-US" w:eastAsia="zh-CN"/>
        </w:rPr>
        <w:t xml:space="preserve">     </w:t>
      </w:r>
      <w:r>
        <w:rPr>
          <w:rFonts w:hint="eastAsia" w:ascii="宋体" w:hAnsi="宋体" w:eastAsia="宋体" w:cs="宋体"/>
          <w:highlight w:val="none"/>
        </w:rPr>
        <w:t xml:space="preserve">                                   </w:t>
      </w:r>
    </w:p>
    <w:p>
      <w:pPr>
        <w:pStyle w:val="30"/>
        <w:pageBreakBefore w:val="0"/>
        <w:widowControl w:val="0"/>
        <w:kinsoku/>
        <w:wordWrap/>
        <w:overflowPunct/>
        <w:topLinePunct w:val="0"/>
        <w:bidi w:val="0"/>
        <w:snapToGrid/>
        <w:spacing w:line="400" w:lineRule="exact"/>
        <w:ind w:firstLine="480" w:firstLineChars="200"/>
        <w:textAlignment w:val="auto"/>
        <w:rPr>
          <w:rFonts w:hint="eastAsia"/>
        </w:rPr>
      </w:pPr>
      <w:r>
        <w:rPr>
          <w:rFonts w:hint="eastAsia" w:ascii="宋体" w:hAnsi="宋体" w:eastAsia="宋体" w:cs="宋体"/>
          <w:highlight w:val="none"/>
          <w:lang w:eastAsia="zh-CN"/>
        </w:rPr>
        <w:t>公章</w:t>
      </w:r>
      <w:r>
        <w:rPr>
          <w:rFonts w:hint="eastAsia" w:ascii="宋体" w:hAnsi="宋体" w:eastAsia="宋体" w:cs="宋体"/>
          <w:highlight w:val="none"/>
        </w:rPr>
        <w:t xml:space="preserve">：                                </w:t>
      </w:r>
      <w:r>
        <w:rPr>
          <w:rFonts w:hint="eastAsia"/>
        </w:rPr>
        <w:t xml:space="preserve">   </w:t>
      </w:r>
    </w:p>
    <w:p>
      <w:pPr>
        <w:bidi w:val="0"/>
        <w:rPr>
          <w:rFonts w:hint="eastAsia"/>
        </w:rPr>
      </w:pPr>
      <w:bookmarkStart w:id="401" w:name="_Toc6548"/>
      <w:bookmarkStart w:id="402" w:name="_Toc10951"/>
      <w:bookmarkStart w:id="403" w:name="_Toc515647800"/>
    </w:p>
    <w:p>
      <w:pPr>
        <w:spacing w:line="240" w:lineRule="atLeast"/>
        <w:ind w:left="1080" w:leftChars="257" w:hanging="540"/>
        <w:rPr>
          <w:rFonts w:hint="eastAsia" w:ascii="宋体" w:hAnsi="宋体" w:eastAsia="宋体" w:cs="宋体"/>
          <w:highlight w:val="none"/>
        </w:rPr>
      </w:pPr>
    </w:p>
    <w:p>
      <w:pPr>
        <w:pStyle w:val="6"/>
        <w:rPr>
          <w:rFonts w:hint="eastAsia" w:ascii="宋体" w:hAnsi="宋体" w:eastAsia="宋体" w:cs="宋体"/>
          <w:highlight w:val="none"/>
          <w:lang w:eastAsia="zh-CN"/>
        </w:rPr>
      </w:pPr>
    </w:p>
    <w:p>
      <w:pPr>
        <w:pStyle w:val="7"/>
        <w:rPr>
          <w:rFonts w:hint="eastAsia"/>
          <w:lang w:eastAsia="zh-CN"/>
        </w:rPr>
      </w:pPr>
    </w:p>
    <w:p>
      <w:pPr>
        <w:rPr>
          <w:rFonts w:hint="eastAsia" w:ascii="宋体" w:hAnsi="宋体" w:eastAsia="宋体" w:cs="宋体"/>
          <w:highlight w:val="none"/>
          <w:lang w:eastAsia="zh-CN"/>
        </w:rPr>
      </w:pPr>
    </w:p>
    <w:p>
      <w:pPr>
        <w:pStyle w:val="4"/>
        <w:keepNext/>
        <w:keepLines/>
        <w:pageBreakBefore w:val="0"/>
        <w:widowControl w:val="0"/>
        <w:kinsoku/>
        <w:wordWrap/>
        <w:overflowPunct/>
        <w:topLinePunct w:val="0"/>
        <w:autoSpaceDE w:val="0"/>
        <w:autoSpaceDN w:val="0"/>
        <w:bidi w:val="0"/>
        <w:adjustRightInd w:val="0"/>
        <w:snapToGrid/>
        <w:spacing w:line="240" w:lineRule="auto"/>
        <w:ind w:firstLine="480" w:firstLineChars="200"/>
        <w:jc w:val="both"/>
        <w:textAlignment w:val="auto"/>
        <w:rPr>
          <w:rFonts w:hint="eastAsia" w:ascii="宋体" w:hAnsi="宋体" w:eastAsia="宋体" w:cs="宋体"/>
          <w:highlight w:val="none"/>
          <w:lang w:val="en-US" w:eastAsia="zh-CN"/>
        </w:rPr>
      </w:pPr>
      <w:bookmarkStart w:id="404" w:name="_Toc3843"/>
      <w:bookmarkStart w:id="405" w:name="_Toc1051"/>
      <w:bookmarkStart w:id="406" w:name="_Toc15479"/>
      <w:bookmarkStart w:id="407" w:name="_Toc1162"/>
      <w:bookmarkStart w:id="408" w:name="_Toc4157"/>
      <w:bookmarkStart w:id="409" w:name="_Toc13173"/>
      <w:bookmarkStart w:id="410" w:name="_Toc12620"/>
      <w:bookmarkStart w:id="411" w:name="_Toc16149"/>
      <w:r>
        <w:rPr>
          <w:rFonts w:hint="eastAsia" w:ascii="宋体" w:hAnsi="宋体" w:eastAsia="宋体" w:cs="宋体"/>
          <w:b w:val="0"/>
          <w:bCs/>
          <w:sz w:val="24"/>
          <w:szCs w:val="18"/>
          <w:lang w:eastAsia="zh-CN"/>
        </w:rPr>
        <w:t>【附件</w:t>
      </w:r>
      <w:r>
        <w:rPr>
          <w:rFonts w:hint="eastAsia" w:ascii="宋体" w:hAnsi="宋体" w:eastAsia="宋体" w:cs="宋体"/>
          <w:b w:val="0"/>
          <w:bCs/>
          <w:sz w:val="24"/>
          <w:szCs w:val="18"/>
          <w:lang w:val="en-US" w:eastAsia="zh-CN"/>
        </w:rPr>
        <w:t>2-2</w:t>
      </w:r>
      <w:r>
        <w:rPr>
          <w:rFonts w:hint="eastAsia" w:ascii="宋体" w:hAnsi="宋体" w:eastAsia="宋体" w:cs="宋体"/>
          <w:b w:val="0"/>
          <w:bCs/>
          <w:sz w:val="24"/>
          <w:szCs w:val="18"/>
          <w:lang w:eastAsia="zh-CN"/>
        </w:rPr>
        <w:t>】</w:t>
      </w:r>
      <w:bookmarkEnd w:id="404"/>
      <w:bookmarkEnd w:id="405"/>
      <w:bookmarkEnd w:id="406"/>
      <w:r>
        <w:rPr>
          <w:rFonts w:hint="eastAsia" w:ascii="宋体" w:hAnsi="宋体" w:eastAsia="宋体" w:cs="宋体"/>
          <w:highlight w:val="none"/>
          <w:lang w:val="en-US" w:eastAsia="zh-CN"/>
        </w:rPr>
        <w:t xml:space="preserve">              </w:t>
      </w:r>
    </w:p>
    <w:p>
      <w:pPr>
        <w:pStyle w:val="4"/>
        <w:keepNext/>
        <w:keepLines/>
        <w:pageBreakBefore w:val="0"/>
        <w:widowControl w:val="0"/>
        <w:kinsoku/>
        <w:wordWrap/>
        <w:overflowPunct/>
        <w:topLinePunct w:val="0"/>
        <w:autoSpaceDE w:val="0"/>
        <w:autoSpaceDN w:val="0"/>
        <w:bidi w:val="0"/>
        <w:adjustRightInd w:val="0"/>
        <w:snapToGrid/>
        <w:spacing w:line="240" w:lineRule="auto"/>
        <w:ind w:firstLine="3373" w:firstLineChars="1200"/>
        <w:jc w:val="both"/>
        <w:textAlignment w:val="auto"/>
        <w:rPr>
          <w:rFonts w:hint="eastAsia" w:ascii="宋体" w:hAnsi="宋体" w:eastAsia="宋体" w:cs="宋体"/>
          <w:highlight w:val="none"/>
        </w:rPr>
      </w:pPr>
      <w:r>
        <w:rPr>
          <w:rFonts w:hint="eastAsia" w:ascii="宋体" w:hAnsi="宋体" w:eastAsia="宋体" w:cs="宋体"/>
          <w:highlight w:val="none"/>
        </w:rPr>
        <w:t>履约担保函格式</w:t>
      </w:r>
      <w:bookmarkEnd w:id="401"/>
      <w:bookmarkEnd w:id="402"/>
      <w:bookmarkEnd w:id="403"/>
      <w:bookmarkEnd w:id="407"/>
      <w:bookmarkEnd w:id="408"/>
      <w:bookmarkEnd w:id="409"/>
      <w:bookmarkEnd w:id="410"/>
      <w:bookmarkEnd w:id="411"/>
      <w:bookmarkStart w:id="412" w:name="_Toc13962"/>
      <w:bookmarkStart w:id="413" w:name="_Toc162"/>
      <w:bookmarkStart w:id="414" w:name="_Toc515647801"/>
    </w:p>
    <w:p>
      <w:pPr>
        <w:pStyle w:val="4"/>
        <w:keepNext/>
        <w:keepLines/>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b w:val="0"/>
          <w:kern w:val="2"/>
          <w:sz w:val="24"/>
          <w:szCs w:val="24"/>
          <w:highlight w:val="none"/>
          <w:lang w:val="en-US" w:eastAsia="zh-CN" w:bidi="ar-SA"/>
        </w:rPr>
      </w:pPr>
      <w:bookmarkStart w:id="415" w:name="_Toc20667"/>
      <w:bookmarkStart w:id="416" w:name="_Toc32325"/>
      <w:bookmarkStart w:id="417" w:name="_Toc12080"/>
      <w:bookmarkStart w:id="418" w:name="_Toc17144"/>
      <w:bookmarkStart w:id="419" w:name="_Toc8600"/>
      <w:bookmarkStart w:id="420" w:name="_Toc13157"/>
      <w:r>
        <w:rPr>
          <w:rFonts w:hint="eastAsia" w:ascii="宋体" w:hAnsi="宋体" w:eastAsia="宋体" w:cs="宋体"/>
          <w:b w:val="0"/>
          <w:kern w:val="2"/>
          <w:sz w:val="24"/>
          <w:szCs w:val="24"/>
          <w:highlight w:val="none"/>
          <w:lang w:val="en-US" w:eastAsia="zh-CN" w:bidi="ar-SA"/>
        </w:rPr>
        <w:t>（采用政府采购信用担保形式时使用）</w:t>
      </w:r>
      <w:bookmarkEnd w:id="412"/>
      <w:bookmarkEnd w:id="413"/>
      <w:bookmarkEnd w:id="414"/>
      <w:bookmarkEnd w:id="415"/>
      <w:bookmarkEnd w:id="416"/>
      <w:bookmarkEnd w:id="417"/>
      <w:bookmarkEnd w:id="418"/>
      <w:bookmarkEnd w:id="419"/>
      <w:bookmarkEnd w:id="420"/>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r>
        <w:rPr>
          <w:rFonts w:hint="eastAsia"/>
          <w:lang w:val="en-US" w:eastAsia="zh-CN"/>
        </w:rPr>
        <w:t xml:space="preserve"> </w:t>
      </w:r>
      <w:r>
        <w:rPr>
          <w:rFonts w:hint="eastAsia" w:ascii="宋体" w:hAnsi="宋体" w:eastAsia="宋体" w:cs="宋体"/>
          <w:sz w:val="24"/>
          <w:szCs w:val="24"/>
          <w:highlight w:val="none"/>
        </w:rPr>
        <w:t xml:space="preserve">                                                </w:t>
      </w:r>
    </w:p>
    <w:p>
      <w:pPr>
        <w:pageBreakBefore w:val="0"/>
        <w:widowControl w:val="0"/>
        <w:kinsoku/>
        <w:wordWrap/>
        <w:overflowPunct/>
        <w:topLinePunct w:val="0"/>
        <w:bidi w:val="0"/>
        <w:snapToGrid/>
        <w:ind w:firstLine="5760" w:firstLineChars="24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编号：</w:t>
      </w:r>
    </w:p>
    <w:p>
      <w:pPr>
        <w:pageBreakBefore w:val="0"/>
        <w:widowControl w:val="0"/>
        <w:kinsoku/>
        <w:wordWrap/>
        <w:overflowPunct/>
        <w:topLinePunct w:val="0"/>
        <w:bidi w:val="0"/>
        <w:snapToGrid/>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鉴于你方与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（以下简称供应商）于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日签定编号为</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政府采购合同》（以下简称主合同），且依据该合同的约定，供应商应在</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日前向你方交纳履约保证金，且可以履约担保函的形式交纳履约保证金。应供应商的申请，我方以保证的方式向你方提供如下履约保证金担保：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1" w:name="_Toc25497"/>
      <w:bookmarkStart w:id="422" w:name="_Toc1590"/>
      <w:bookmarkStart w:id="423" w:name="_Toc9642"/>
      <w:bookmarkStart w:id="424" w:name="_Toc30957"/>
      <w:r>
        <w:rPr>
          <w:rFonts w:hint="eastAsia" w:ascii="宋体" w:hAnsi="宋体" w:eastAsia="宋体" w:cs="宋体"/>
          <w:sz w:val="24"/>
          <w:szCs w:val="24"/>
          <w:highlight w:val="none"/>
        </w:rPr>
        <w:t>一、保证责任的情形及保证金额</w:t>
      </w:r>
      <w:bookmarkEnd w:id="421"/>
      <w:bookmarkEnd w:id="422"/>
      <w:bookmarkEnd w:id="423"/>
      <w:bookmarkEnd w:id="4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（一）在供应商出现下列情形之一时，我方承担保证责任：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1．将成交项目转让给他人，或者在响应文件中未说明，且未经采购招标机构人同意，将成交项目分包给他人的；</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2．主合同约定的应当缴纳履约保证金的情形: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（1）未按主合同约定的质量、数量和期限供应/提供服务/完成工程的；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（二）我方的保证范围是主合同约定的合同价款总额的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%数额为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），币种为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。（即主合同履约保证金金额）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5" w:name="_Toc22661"/>
      <w:bookmarkStart w:id="426" w:name="_Toc1648"/>
      <w:bookmarkStart w:id="427" w:name="_Toc22174"/>
      <w:bookmarkStart w:id="428" w:name="_Toc9422"/>
      <w:r>
        <w:rPr>
          <w:rFonts w:hint="eastAsia" w:ascii="宋体" w:hAnsi="宋体" w:eastAsia="宋体" w:cs="宋体"/>
          <w:sz w:val="24"/>
          <w:szCs w:val="24"/>
          <w:highlight w:val="none"/>
        </w:rPr>
        <w:t>二、保证的方式及保证期间</w:t>
      </w:r>
      <w:bookmarkEnd w:id="425"/>
      <w:bookmarkEnd w:id="426"/>
      <w:bookmarkEnd w:id="427"/>
      <w:bookmarkEnd w:id="42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我方保证的方式为：连带责任保证。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我方保证的期间为：自本合同生效之日起至供应商按照主合同约定的供货/完工期限届满后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如果供应商未按主合同约定向贵方供应/提供服务/完成工程的，由我方在保证金额内向你方支付上述款项。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29" w:name="_Toc5898"/>
      <w:bookmarkStart w:id="430" w:name="_Toc21991"/>
      <w:bookmarkStart w:id="431" w:name="_Toc30855"/>
      <w:bookmarkStart w:id="432" w:name="_Toc24805"/>
      <w:r>
        <w:rPr>
          <w:rFonts w:hint="eastAsia" w:ascii="宋体" w:hAnsi="宋体" w:eastAsia="宋体" w:cs="宋体"/>
          <w:sz w:val="24"/>
          <w:szCs w:val="24"/>
          <w:highlight w:val="none"/>
        </w:rPr>
        <w:t>三、承担保证责任的程序</w:t>
      </w:r>
      <w:bookmarkEnd w:id="429"/>
      <w:bookmarkEnd w:id="430"/>
      <w:bookmarkEnd w:id="431"/>
      <w:bookmarkEnd w:id="4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1．你方要求我方承担保证责任的，应在本保函保证期间内向我方发出书面索赔通知。索赔通知应写明要求索赔的金额，支付款项应到达的帐号。并附有证明供应商违约事实的证明材料。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如果你方与供应商因</w:t>
      </w:r>
      <w:r>
        <w:rPr>
          <w:rFonts w:hint="eastAsia" w:ascii="宋体" w:hAnsi="宋体" w:eastAsia="宋体" w:cs="宋体"/>
          <w:sz w:val="24"/>
          <w:szCs w:val="24"/>
          <w:highlight w:val="none"/>
          <w:lang w:val="en-US" w:eastAsia="zh-CN"/>
        </w:rPr>
        <w:t>工程</w:t>
      </w:r>
      <w:r>
        <w:rPr>
          <w:rFonts w:hint="eastAsia" w:ascii="宋体" w:hAnsi="宋体" w:eastAsia="宋体" w:cs="宋体"/>
          <w:sz w:val="24"/>
          <w:szCs w:val="24"/>
          <w:highlight w:val="none"/>
        </w:rPr>
        <w:t>质量问题产生争议，你方还需同时提供</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部门出具的质量检测报告，或经诉讼（仲裁）程序裁决后的裁决书、调解书，本保证人即按照检测结果或裁决书、调解书决定是否承担保证责任。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我方收到你方的书面索赔通知及相应证明材料，在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工作日内进行核定后按照本保函的承诺承担保证责任。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3" w:name="_Toc32112"/>
      <w:bookmarkStart w:id="434" w:name="_Toc10446"/>
      <w:bookmarkStart w:id="435" w:name="_Toc31828"/>
      <w:bookmarkStart w:id="436" w:name="_Toc21135"/>
      <w:r>
        <w:rPr>
          <w:rFonts w:hint="eastAsia" w:ascii="宋体" w:hAnsi="宋体" w:eastAsia="宋体" w:cs="宋体"/>
          <w:sz w:val="24"/>
          <w:szCs w:val="24"/>
          <w:highlight w:val="none"/>
        </w:rPr>
        <w:t>四、保证责任的终止</w:t>
      </w:r>
      <w:bookmarkEnd w:id="433"/>
      <w:bookmarkEnd w:id="434"/>
      <w:bookmarkEnd w:id="435"/>
      <w:bookmarkEnd w:id="4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2．我方按照本保函向你方履行了保证责任后，自我方向你方支付款项（支付款项从我方账户划出）之日起，保证责任即终止。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3．按照法律法规的规定或出现应终止我方保证责任的其它情形的，我方在本保函项下的保证责任亦终止。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37" w:name="_Toc20778"/>
      <w:bookmarkStart w:id="438" w:name="_Toc14251"/>
      <w:bookmarkStart w:id="439" w:name="_Toc29433"/>
      <w:bookmarkStart w:id="440" w:name="_Toc19284"/>
      <w:r>
        <w:rPr>
          <w:rFonts w:hint="eastAsia" w:ascii="宋体" w:hAnsi="宋体" w:eastAsia="宋体" w:cs="宋体"/>
          <w:sz w:val="24"/>
          <w:szCs w:val="24"/>
          <w:highlight w:val="none"/>
        </w:rPr>
        <w:t>五、免责条款</w:t>
      </w:r>
      <w:bookmarkEnd w:id="437"/>
      <w:bookmarkEnd w:id="438"/>
      <w:bookmarkEnd w:id="439"/>
      <w:bookmarkEnd w:id="4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1．因你方违反主合同约定致使供应商不能履行义务的，我方不承担保证责任。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2．依照法律法规的规定或你方与供应商的另行约定，全部或者部分免除供应商应缴纳的保证金义务的，我方亦免除相应的保证责任。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3．因不可抗力造成供应商不能履行供货义务的，我方不承担保证责任。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41" w:name="_Toc12326"/>
      <w:bookmarkStart w:id="442" w:name="_Toc1540"/>
      <w:bookmarkStart w:id="443" w:name="_Toc9844"/>
      <w:bookmarkStart w:id="444" w:name="_Toc13849"/>
      <w:r>
        <w:rPr>
          <w:rFonts w:hint="eastAsia" w:ascii="宋体" w:hAnsi="宋体" w:eastAsia="宋体" w:cs="宋体"/>
          <w:sz w:val="24"/>
          <w:szCs w:val="24"/>
          <w:highlight w:val="none"/>
        </w:rPr>
        <w:t>六、争议的解决</w:t>
      </w:r>
      <w:bookmarkEnd w:id="441"/>
      <w:bookmarkEnd w:id="442"/>
      <w:bookmarkEnd w:id="443"/>
      <w:bookmarkEnd w:id="44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因本保函发生的纠纷，由你我双方协商解决，协商不成的，通过诉讼程序解决，诉讼管辖地法院为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法院。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eastAsia="宋体" w:cs="宋体"/>
          <w:sz w:val="24"/>
          <w:szCs w:val="24"/>
          <w:highlight w:val="none"/>
        </w:rPr>
      </w:pPr>
      <w:bookmarkStart w:id="445" w:name="_Toc4190"/>
      <w:bookmarkStart w:id="446" w:name="_Toc24464"/>
      <w:bookmarkStart w:id="447" w:name="_Toc4889"/>
      <w:bookmarkStart w:id="448" w:name="_Toc6099"/>
      <w:r>
        <w:rPr>
          <w:rFonts w:hint="eastAsia" w:ascii="宋体" w:hAnsi="宋体" w:eastAsia="宋体" w:cs="宋体"/>
          <w:sz w:val="24"/>
          <w:szCs w:val="24"/>
          <w:highlight w:val="none"/>
        </w:rPr>
        <w:t>七、保函的生效</w:t>
      </w:r>
      <w:bookmarkEnd w:id="445"/>
      <w:bookmarkEnd w:id="446"/>
      <w:bookmarkEnd w:id="447"/>
      <w:bookmarkEnd w:id="4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本保函自我方加盖公章之日起生效。                               </w:t>
      </w:r>
    </w:p>
    <w:p>
      <w:pPr>
        <w:keepNext w:val="0"/>
        <w:keepLines w:val="0"/>
        <w:pageBreakBefore w:val="0"/>
        <w:widowControl w:val="0"/>
        <w:kinsoku/>
        <w:wordWrap/>
        <w:overflowPunct/>
        <w:topLinePunct w:val="0"/>
        <w:autoSpaceDE/>
        <w:autoSpaceDN/>
        <w:bidi w:val="0"/>
        <w:adjustRightInd/>
        <w:snapToGrid/>
        <w:spacing w:line="360" w:lineRule="auto"/>
        <w:ind w:firstLine="5400" w:firstLineChars="225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保证人：（公章）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年     月     日</w:t>
      </w:r>
    </w:p>
    <w:p>
      <w:pPr>
        <w:pStyle w:val="3"/>
        <w:numPr>
          <w:ilvl w:val="0"/>
          <w:numId w:val="4"/>
        </w:numPr>
        <w:bidi w:val="0"/>
        <w:rPr>
          <w:rFonts w:hint="eastAsia"/>
        </w:rPr>
      </w:pPr>
      <w:r>
        <w:rPr>
          <w:rFonts w:hint="eastAsia"/>
        </w:rPr>
        <w:t xml:space="preserve"> </w:t>
      </w:r>
      <w:bookmarkStart w:id="449" w:name="_Toc2205"/>
      <w:r>
        <w:rPr>
          <w:rFonts w:hint="eastAsia"/>
        </w:rPr>
        <w:t>响应文件格式</w:t>
      </w:r>
      <w:bookmarkEnd w:id="449"/>
    </w:p>
    <w:p>
      <w:pPr>
        <w:pStyle w:val="4"/>
        <w:ind w:firstLine="2249" w:firstLineChars="800"/>
        <w:jc w:val="both"/>
        <w:rPr>
          <w:rFonts w:hint="eastAsia" w:ascii="宋体" w:hAnsi="宋体" w:eastAsia="宋体" w:cs="宋体"/>
          <w:highlight w:val="none"/>
        </w:rPr>
      </w:pPr>
      <w:bookmarkStart w:id="450" w:name="_Toc27195"/>
      <w:r>
        <w:rPr>
          <w:rFonts w:hint="eastAsia" w:ascii="宋体" w:hAnsi="宋体" w:eastAsia="宋体" w:cs="宋体"/>
          <w:highlight w:val="none"/>
          <w:lang w:eastAsia="zh-CN"/>
        </w:rPr>
        <w:t>第一部分</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w:t>
      </w:r>
      <w:r>
        <w:rPr>
          <w:rFonts w:hint="eastAsia" w:ascii="宋体" w:hAnsi="宋体" w:eastAsia="宋体" w:cs="宋体"/>
          <w:highlight w:val="none"/>
          <w:lang w:eastAsia="zh-CN"/>
        </w:rPr>
        <w:t>报价一览表及资格证明文件</w:t>
      </w:r>
      <w:bookmarkEnd w:id="450"/>
    </w:p>
    <w:p>
      <w:pPr>
        <w:spacing w:line="240" w:lineRule="atLeast"/>
        <w:ind w:left="708" w:hanging="619" w:hangingChars="295"/>
        <w:jc w:val="center"/>
        <w:rPr>
          <w:rFonts w:hint="eastAsia" w:ascii="宋体" w:hAnsi="宋体" w:eastAsia="宋体" w:cs="宋体"/>
          <w:highlight w:val="none"/>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报价一览表</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具有独立法人资格（三证合一的营业执照）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3、法人本人投标需提供法人身份证及法定代表人资格证明书；授权委托人投标需提供法人授权委托书、法人身份证复印件及被授权委托人身份证；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4、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的农药包装废弃物回收处理承诺书扫描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5、提供近两年内任意一年的（2022年或2023年）财务审计报告（新成立未满一年的公司可提供近六个月内任意一个月的银行资信证明）；</w:t>
      </w:r>
    </w:p>
    <w:p>
      <w:pPr>
        <w:pStyle w:val="5"/>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6、</w:t>
      </w:r>
      <w:r>
        <w:rPr>
          <w:rFonts w:hint="eastAsia" w:eastAsia="宋体" w:cs="宋体"/>
          <w:b w:val="0"/>
          <w:bCs w:val="0"/>
          <w:color w:val="000000"/>
          <w:kern w:val="0"/>
          <w:sz w:val="24"/>
          <w:szCs w:val="24"/>
          <w:highlight w:val="none"/>
          <w:lang w:val="en-US" w:eastAsia="zh-CN"/>
        </w:rPr>
        <w:t>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pStyle w:val="6"/>
        <w:ind w:left="0" w:leftChars="0" w:firstLine="0" w:firstLineChars="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7、本单位缴纳的近六个月任意一个月的社保缴纳证明及具有税务局开具依法缴纳近六个月任意一个月的完税证明。</w:t>
      </w:r>
    </w:p>
    <w:p>
      <w:pPr>
        <w:pStyle w:val="6"/>
        <w:ind w:left="0" w:leftChars="0" w:firstLine="0" w:firstLineChars="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8、参加政府采购活动前3年内在经营活动中没有重大违法记录的书面声明；</w:t>
      </w:r>
    </w:p>
    <w:p>
      <w:pPr>
        <w:pStyle w:val="6"/>
        <w:ind w:left="0" w:leftChars="0" w:firstLine="0" w:firstLineChars="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9、投标单位（供应商）针对本次项目《反商业承诺书》;</w:t>
      </w:r>
    </w:p>
    <w:p>
      <w:pPr>
        <w:pStyle w:val="6"/>
        <w:ind w:left="0" w:leftChars="0" w:firstLine="0" w:firstLineChars="0"/>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10、</w:t>
      </w:r>
      <w:r>
        <w:rPr>
          <w:rFonts w:hint="default" w:ascii="宋体" w:hAnsi="宋体" w:eastAsia="宋体" w:cs="宋体"/>
          <w:b w:val="0"/>
          <w:bCs w:val="0"/>
          <w:color w:val="000000"/>
          <w:kern w:val="0"/>
          <w:sz w:val="24"/>
          <w:szCs w:val="24"/>
          <w:highlight w:val="none"/>
          <w:lang w:val="en-US" w:eastAsia="zh-CN"/>
        </w:rPr>
        <w:t>谈判保证金的有效凭证</w:t>
      </w:r>
      <w:r>
        <w:rPr>
          <w:rFonts w:hint="eastAsia" w:ascii="宋体" w:hAnsi="宋体" w:eastAsia="宋体" w:cs="宋体"/>
          <w:b w:val="0"/>
          <w:bCs w:val="0"/>
          <w:color w:val="000000"/>
          <w:kern w:val="0"/>
          <w:sz w:val="24"/>
          <w:szCs w:val="24"/>
          <w:highlight w:val="none"/>
          <w:lang w:val="en-US" w:eastAsia="zh-CN"/>
        </w:rPr>
        <w:t>或保函</w:t>
      </w:r>
    </w:p>
    <w:p>
      <w:pPr>
        <w:pStyle w:val="6"/>
        <w:ind w:left="0" w:leftChars="0" w:firstLine="0" w:firstLineChars="0"/>
        <w:rPr>
          <w:rFonts w:hint="default" w:ascii="宋体" w:hAnsi="宋体" w:eastAsia="宋体" w:cs="宋体"/>
          <w:b w:val="0"/>
          <w:bCs w:val="0"/>
          <w:color w:val="000000"/>
          <w:kern w:val="0"/>
          <w:sz w:val="24"/>
          <w:szCs w:val="24"/>
          <w:highlight w:val="none"/>
          <w:lang w:val="en-US" w:eastAsia="zh-CN"/>
        </w:rPr>
      </w:pPr>
      <w:r>
        <w:rPr>
          <w:rFonts w:hint="default" w:ascii="宋体" w:hAnsi="宋体" w:eastAsia="宋体" w:cs="宋体"/>
          <w:b w:val="0"/>
          <w:bCs w:val="0"/>
          <w:color w:val="000000"/>
          <w:kern w:val="0"/>
          <w:sz w:val="24"/>
          <w:szCs w:val="24"/>
          <w:highlight w:val="none"/>
          <w:lang w:val="en-US" w:eastAsia="zh-CN"/>
        </w:rPr>
        <w:t>1</w:t>
      </w:r>
      <w:r>
        <w:rPr>
          <w:rFonts w:hint="eastAsia" w:ascii="宋体" w:hAnsi="宋体" w:eastAsia="宋体" w:cs="宋体"/>
          <w:b w:val="0"/>
          <w:bCs w:val="0"/>
          <w:color w:val="000000"/>
          <w:kern w:val="0"/>
          <w:sz w:val="24"/>
          <w:szCs w:val="24"/>
          <w:highlight w:val="none"/>
          <w:lang w:val="en-US" w:eastAsia="zh-CN"/>
        </w:rPr>
        <w:t>1</w:t>
      </w:r>
      <w:r>
        <w:rPr>
          <w:rFonts w:hint="default" w:ascii="宋体" w:hAnsi="宋体" w:eastAsia="宋体" w:cs="宋体"/>
          <w:b w:val="0"/>
          <w:bCs w:val="0"/>
          <w:color w:val="000000"/>
          <w:kern w:val="0"/>
          <w:sz w:val="24"/>
          <w:szCs w:val="24"/>
          <w:highlight w:val="none"/>
          <w:lang w:val="en-US" w:eastAsia="zh-CN"/>
        </w:rPr>
        <w:t>、投标人可提供有利于投标的其他资格证明材料。</w:t>
      </w:r>
    </w:p>
    <w:p>
      <w:pPr>
        <w:pStyle w:val="7"/>
        <w:rPr>
          <w:rFonts w:hint="default"/>
          <w:lang w:val="en-US" w:eastAsia="zh-CN"/>
        </w:rPr>
      </w:pPr>
    </w:p>
    <w:p>
      <w:pPr>
        <w:pStyle w:val="19"/>
        <w:rPr>
          <w:rFonts w:hint="eastAsia" w:ascii="宋体" w:hAnsi="宋体" w:eastAsia="宋体" w:cs="宋体"/>
          <w:b w:val="0"/>
          <w:bCs w:val="0"/>
          <w:color w:val="000000"/>
          <w:kern w:val="0"/>
          <w:sz w:val="24"/>
          <w:szCs w:val="24"/>
          <w:highlight w:val="none"/>
          <w:lang w:val="en-US" w:eastAsia="zh-CN"/>
        </w:rPr>
      </w:pPr>
      <w:r>
        <w:rPr>
          <w:rFonts w:hint="eastAsia" w:ascii="宋体" w:hAnsi="宋体" w:eastAsia="宋体" w:cs="宋体"/>
          <w:b w:val="0"/>
          <w:bCs w:val="0"/>
          <w:color w:val="000000"/>
          <w:kern w:val="0"/>
          <w:sz w:val="24"/>
          <w:szCs w:val="24"/>
          <w:highlight w:val="none"/>
          <w:lang w:val="en-US" w:eastAsia="zh-CN"/>
        </w:rPr>
        <w:t>注：(1)近六个月任意一个月是指2023年10月-2024年3月任意一个月;(2)完税证明若为零申报企业，需提供国家税务总局电子税务局“申报结果查询截图”，税务局代收的社保缴费证明不可作为本项目的完税证明（“税种”不可为养老保险、医疗保险、失业保险、工伤保险和生育保险）。</w:t>
      </w: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19"/>
        <w:rPr>
          <w:rFonts w:hint="eastAsia" w:ascii="宋体" w:hAnsi="宋体" w:eastAsia="宋体" w:cs="宋体"/>
          <w:b w:val="0"/>
          <w:bCs w:val="0"/>
          <w:color w:val="000000"/>
          <w:kern w:val="0"/>
          <w:sz w:val="24"/>
          <w:szCs w:val="24"/>
          <w:highlight w:val="none"/>
          <w:lang w:val="en-US" w:eastAsia="zh-CN"/>
        </w:rPr>
      </w:pPr>
    </w:p>
    <w:p>
      <w:pPr>
        <w:pStyle w:val="37"/>
        <w:pageBreakBefore w:val="0"/>
        <w:widowControl w:val="0"/>
        <w:numPr>
          <w:ilvl w:val="0"/>
          <w:numId w:val="0"/>
        </w:numPr>
        <w:kinsoku/>
        <w:wordWrap/>
        <w:overflowPunct/>
        <w:topLinePunct w:val="0"/>
        <w:bidi w:val="0"/>
        <w:spacing w:line="360" w:lineRule="auto"/>
        <w:ind w:firstLine="3520" w:firstLineChars="1100"/>
        <w:jc w:val="both"/>
        <w:textAlignment w:val="auto"/>
        <w:rPr>
          <w:rFonts w:hint="eastAsia"/>
          <w:b w:val="0"/>
          <w:bCs/>
          <w:sz w:val="32"/>
          <w:szCs w:val="32"/>
        </w:rPr>
      </w:pPr>
      <w:bookmarkStart w:id="451" w:name="_Toc30524"/>
      <w:bookmarkStart w:id="452" w:name="_Toc16568"/>
      <w:bookmarkStart w:id="453" w:name="_Toc5405"/>
      <w:bookmarkStart w:id="454" w:name="_Toc11399"/>
      <w:bookmarkStart w:id="455" w:name="_Toc515647804"/>
      <w:bookmarkStart w:id="456" w:name="_Toc19832"/>
      <w:bookmarkStart w:id="457" w:name="_Toc1601"/>
      <w:bookmarkStart w:id="458" w:name="_Toc485"/>
      <w:r>
        <w:rPr>
          <w:rFonts w:hint="eastAsia" w:eastAsia="宋体" w:cs="宋体"/>
          <w:b w:val="0"/>
          <w:bCs/>
          <w:sz w:val="32"/>
          <w:szCs w:val="32"/>
          <w:highlight w:val="none"/>
          <w:lang w:val="en-US" w:eastAsia="zh-CN"/>
        </w:rPr>
        <w:t>1、</w:t>
      </w:r>
      <w:r>
        <w:rPr>
          <w:rFonts w:hint="eastAsia" w:ascii="宋体" w:hAnsi="宋体" w:eastAsia="宋体" w:cs="宋体"/>
          <w:b w:val="0"/>
          <w:bCs/>
          <w:sz w:val="32"/>
          <w:szCs w:val="32"/>
          <w:highlight w:val="none"/>
          <w:lang w:eastAsia="zh-CN"/>
        </w:rPr>
        <w:t>报价一览表</w:t>
      </w:r>
      <w:bookmarkEnd w:id="451"/>
      <w:bookmarkEnd w:id="452"/>
      <w:bookmarkEnd w:id="453"/>
      <w:bookmarkEnd w:id="454"/>
      <w:bookmarkEnd w:id="455"/>
      <w:bookmarkEnd w:id="456"/>
      <w:bookmarkEnd w:id="457"/>
      <w:bookmarkEnd w:id="458"/>
    </w:p>
    <w:p>
      <w:pPr>
        <w:rPr>
          <w:rFonts w:hint="eastAsia"/>
        </w:rPr>
      </w:pP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bookmarkStart w:id="459" w:name="_Hlt520356241"/>
      <w:bookmarkEnd w:id="459"/>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ageBreakBefore w:val="0"/>
        <w:widowControl w:val="0"/>
        <w:tabs>
          <w:tab w:val="left" w:pos="1800"/>
          <w:tab w:val="left" w:pos="5580"/>
        </w:tabs>
        <w:kinsoku/>
        <w:wordWrap/>
        <w:overflowPunct/>
        <w:topLinePunct w:val="0"/>
        <w:bidi w:val="0"/>
        <w:spacing w:line="360" w:lineRule="auto"/>
        <w:ind w:left="1080" w:leftChars="257" w:right="-867" w:rightChars="-413"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报价单位：</w:t>
      </w:r>
      <w:r>
        <w:rPr>
          <w:rFonts w:hint="eastAsia" w:ascii="宋体" w:hAnsi="宋体" w:eastAsia="宋体" w:cs="宋体"/>
          <w:sz w:val="24"/>
          <w:szCs w:val="24"/>
          <w:highlight w:val="none"/>
          <w:lang w:val="en-US" w:eastAsia="zh-CN"/>
        </w:rPr>
        <w:t>吨</w:t>
      </w:r>
    </w:p>
    <w:tbl>
      <w:tblPr>
        <w:tblStyle w:val="24"/>
        <w:tblW w:w="9515" w:type="dxa"/>
        <w:tblInd w:w="-61" w:type="dxa"/>
        <w:tblLayout w:type="autofit"/>
        <w:tblCellMar>
          <w:top w:w="0" w:type="dxa"/>
          <w:left w:w="0" w:type="dxa"/>
          <w:bottom w:w="0" w:type="dxa"/>
          <w:right w:w="0" w:type="dxa"/>
        </w:tblCellMar>
      </w:tblPr>
      <w:tblGrid>
        <w:gridCol w:w="1353"/>
        <w:gridCol w:w="1118"/>
        <w:gridCol w:w="1219"/>
        <w:gridCol w:w="1413"/>
        <w:gridCol w:w="1478"/>
        <w:gridCol w:w="909"/>
        <w:gridCol w:w="1050"/>
        <w:gridCol w:w="975"/>
      </w:tblGrid>
      <w:tr>
        <w:tblPrEx>
          <w:tblCellMar>
            <w:top w:w="0" w:type="dxa"/>
            <w:left w:w="0" w:type="dxa"/>
            <w:bottom w:w="0" w:type="dxa"/>
            <w:right w:w="0" w:type="dxa"/>
          </w:tblCellMar>
        </w:tblPrEx>
        <w:trPr>
          <w:trHeight w:val="773" w:hRule="atLeast"/>
        </w:trPr>
        <w:tc>
          <w:tcPr>
            <w:tcW w:w="1353" w:type="dxa"/>
            <w:tcBorders>
              <w:top w:val="single" w:color="auto" w:sz="4" w:space="0"/>
              <w:left w:val="single" w:color="auto" w:sz="4"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right="-199"/>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项目</w:t>
            </w:r>
            <w:r>
              <w:rPr>
                <w:rFonts w:hint="eastAsia" w:ascii="宋体" w:hAnsi="宋体" w:eastAsia="宋体" w:cs="宋体"/>
                <w:sz w:val="24"/>
                <w:szCs w:val="24"/>
                <w:highlight w:val="none"/>
              </w:rPr>
              <w:t>名称</w:t>
            </w:r>
          </w:p>
        </w:tc>
        <w:tc>
          <w:tcPr>
            <w:tcW w:w="1118" w:type="dxa"/>
            <w:tcBorders>
              <w:top w:val="single" w:color="auto" w:sz="4" w:space="0"/>
              <w:left w:val="single" w:color="auto" w:sz="8" w:space="0"/>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投标总价</w:t>
            </w:r>
            <w:r>
              <w:rPr>
                <w:rFonts w:hint="eastAsia" w:ascii="宋体" w:hAnsi="宋体" w:eastAsia="宋体" w:cs="宋体"/>
                <w:sz w:val="24"/>
                <w:szCs w:val="24"/>
                <w:highlight w:val="none"/>
                <w:lang w:eastAsia="zh-CN"/>
              </w:rPr>
              <w:t>（元）</w:t>
            </w:r>
          </w:p>
        </w:tc>
        <w:tc>
          <w:tcPr>
            <w:tcW w:w="1219" w:type="dxa"/>
            <w:tcBorders>
              <w:top w:val="single" w:color="auto" w:sz="8" w:space="0"/>
              <w:left w:val="nil"/>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数量（吨）</w:t>
            </w:r>
          </w:p>
        </w:tc>
        <w:tc>
          <w:tcPr>
            <w:tcW w:w="1413" w:type="dxa"/>
            <w:tcBorders>
              <w:top w:val="single" w:color="auto" w:sz="8" w:space="0"/>
              <w:left w:val="nil"/>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单价（元）</w:t>
            </w:r>
          </w:p>
        </w:tc>
        <w:tc>
          <w:tcPr>
            <w:tcW w:w="1478" w:type="dxa"/>
            <w:tcBorders>
              <w:top w:val="single" w:color="auto" w:sz="8" w:space="0"/>
              <w:left w:val="nil"/>
              <w:bottom w:val="single" w:color="auto" w:sz="8"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保证金缴纳方式</w:t>
            </w:r>
          </w:p>
        </w:tc>
        <w:tc>
          <w:tcPr>
            <w:tcW w:w="909"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cs="宋体" w:eastAsiaTheme="minorEastAsia"/>
                <w:sz w:val="24"/>
                <w:szCs w:val="24"/>
                <w:highlight w:val="none"/>
                <w:lang w:eastAsia="zh-CN"/>
              </w:rPr>
            </w:pPr>
            <w:r>
              <w:rPr>
                <w:rFonts w:hint="eastAsia" w:ascii="宋体" w:hAnsi="宋体"/>
                <w:color w:val="000000"/>
                <w:sz w:val="24"/>
                <w:highlight w:val="none"/>
              </w:rPr>
              <w:t>交货期</w:t>
            </w:r>
            <w:r>
              <w:rPr>
                <w:rFonts w:hint="eastAsia" w:ascii="宋体" w:hAnsi="宋体"/>
                <w:color w:val="000000"/>
                <w:sz w:val="24"/>
                <w:highlight w:val="none"/>
                <w:lang w:eastAsia="zh-CN"/>
              </w:rPr>
              <w:t>、</w:t>
            </w:r>
            <w:r>
              <w:rPr>
                <w:rFonts w:hint="eastAsia" w:ascii="宋体" w:hAnsi="宋体" w:eastAsia="宋体" w:cs="宋体"/>
                <w:sz w:val="24"/>
                <w:szCs w:val="24"/>
                <w:highlight w:val="none"/>
                <w:lang w:val="en-US" w:eastAsia="zh-CN"/>
              </w:rPr>
              <w:t>交货地点</w:t>
            </w:r>
          </w:p>
        </w:tc>
        <w:tc>
          <w:tcPr>
            <w:tcW w:w="1050"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质保期</w:t>
            </w:r>
          </w:p>
        </w:tc>
        <w:tc>
          <w:tcPr>
            <w:tcW w:w="975" w:type="dxa"/>
            <w:tcBorders>
              <w:top w:val="single" w:color="auto" w:sz="8" w:space="0"/>
              <w:left w:val="single" w:color="auto" w:sz="4" w:space="0"/>
              <w:bottom w:val="single" w:color="auto" w:sz="8"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备注</w:t>
            </w:r>
          </w:p>
        </w:tc>
      </w:tr>
      <w:tr>
        <w:tblPrEx>
          <w:tblCellMar>
            <w:top w:w="0" w:type="dxa"/>
            <w:left w:w="0" w:type="dxa"/>
            <w:bottom w:w="0" w:type="dxa"/>
            <w:right w:w="0" w:type="dxa"/>
          </w:tblCellMar>
        </w:tblPrEx>
        <w:trPr>
          <w:cantSplit/>
          <w:trHeight w:val="1893" w:hRule="atLeast"/>
        </w:trPr>
        <w:tc>
          <w:tcPr>
            <w:tcW w:w="1353" w:type="dxa"/>
            <w:tcBorders>
              <w:top w:val="single" w:color="auto" w:sz="8" w:space="0"/>
              <w:left w:val="single" w:color="auto" w:sz="4"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118" w:type="dxa"/>
            <w:tcBorders>
              <w:top w:val="single" w:color="auto" w:sz="8" w:space="0"/>
              <w:left w:val="single" w:color="auto" w:sz="8" w:space="0"/>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jc w:val="left"/>
              <w:textAlignment w:val="auto"/>
              <w:rPr>
                <w:rFonts w:hint="eastAsia" w:ascii="宋体" w:hAnsi="宋体" w:eastAsia="宋体" w:cs="宋体"/>
                <w:sz w:val="24"/>
                <w:szCs w:val="24"/>
                <w:highlight w:val="none"/>
              </w:rPr>
            </w:pPr>
          </w:p>
        </w:tc>
        <w:tc>
          <w:tcPr>
            <w:tcW w:w="1219" w:type="dxa"/>
            <w:tcBorders>
              <w:top w:val="single" w:color="auto" w:sz="8" w:space="0"/>
              <w:left w:val="nil"/>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firstLine="480" w:firstLineChars="200"/>
              <w:jc w:val="both"/>
              <w:textAlignment w:val="auto"/>
              <w:rPr>
                <w:rFonts w:hint="default" w:ascii="宋体" w:hAnsi="宋体" w:eastAsia="宋体" w:cs="宋体"/>
                <w:sz w:val="24"/>
                <w:szCs w:val="24"/>
                <w:highlight w:val="none"/>
                <w:lang w:val="en-US" w:eastAsia="zh-CN"/>
              </w:rPr>
            </w:pPr>
          </w:p>
        </w:tc>
        <w:tc>
          <w:tcPr>
            <w:tcW w:w="1413" w:type="dxa"/>
            <w:tcBorders>
              <w:top w:val="single" w:color="auto" w:sz="8" w:space="0"/>
              <w:left w:val="nil"/>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firstLine="480" w:firstLineChars="200"/>
              <w:jc w:val="both"/>
              <w:textAlignment w:val="auto"/>
              <w:rPr>
                <w:rFonts w:hint="default" w:ascii="宋体" w:hAnsi="宋体" w:eastAsia="宋体" w:cs="宋体"/>
                <w:sz w:val="24"/>
                <w:szCs w:val="24"/>
                <w:highlight w:val="none"/>
                <w:lang w:val="en-US" w:eastAsia="zh-CN"/>
              </w:rPr>
            </w:pPr>
          </w:p>
        </w:tc>
        <w:tc>
          <w:tcPr>
            <w:tcW w:w="1478" w:type="dxa"/>
            <w:tcBorders>
              <w:top w:val="single" w:color="auto" w:sz="8" w:space="0"/>
              <w:left w:val="nil"/>
              <w:bottom w:val="single" w:color="auto" w:sz="4" w:space="0"/>
              <w:right w:val="single" w:color="auto" w:sz="4"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909"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1050"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c>
          <w:tcPr>
            <w:tcW w:w="975" w:type="dxa"/>
            <w:tcBorders>
              <w:top w:val="single" w:color="auto" w:sz="8" w:space="0"/>
              <w:left w:val="single" w:color="auto" w:sz="4" w:space="0"/>
              <w:bottom w:val="single" w:color="auto" w:sz="4" w:space="0"/>
              <w:right w:val="single" w:color="auto" w:sz="8" w:space="0"/>
            </w:tcBorders>
            <w:noWrap w:val="0"/>
            <w:vAlign w:val="center"/>
          </w:tcPr>
          <w:p>
            <w:pPr>
              <w:pageBreakBefore w:val="0"/>
              <w:widowControl w:val="0"/>
              <w:tabs>
                <w:tab w:val="left" w:pos="5580"/>
              </w:tabs>
              <w:kinsoku/>
              <w:wordWrap/>
              <w:overflowPunct/>
              <w:topLinePunct w:val="0"/>
              <w:bidi w:val="0"/>
              <w:spacing w:line="360" w:lineRule="auto"/>
              <w:ind w:left="1080" w:leftChars="257" w:hanging="540"/>
              <w:jc w:val="center"/>
              <w:textAlignment w:val="auto"/>
              <w:rPr>
                <w:rFonts w:hint="eastAsia" w:ascii="宋体" w:hAnsi="宋体" w:eastAsia="宋体" w:cs="宋体"/>
                <w:sz w:val="24"/>
                <w:szCs w:val="24"/>
                <w:highlight w:val="none"/>
              </w:rPr>
            </w:pPr>
          </w:p>
        </w:tc>
      </w:tr>
    </w:tbl>
    <w:p>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lang w:eastAsia="zh-CN"/>
        </w:rPr>
      </w:pPr>
    </w:p>
    <w:p>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供应商名称（单位盖章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法定代表人或委托代理(</w:t>
      </w:r>
      <w:r>
        <w:rPr>
          <w:rFonts w:hint="eastAsia" w:ascii="宋体" w:hAnsi="宋体" w:eastAsia="宋体" w:cs="宋体"/>
          <w:sz w:val="24"/>
          <w:szCs w:val="24"/>
          <w:highlight w:val="none"/>
          <w:lang w:eastAsia="zh-CN"/>
        </w:rPr>
        <w:t>签字</w:t>
      </w:r>
      <w:r>
        <w:rPr>
          <w:rFonts w:hint="eastAsia"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ab/>
      </w:r>
    </w:p>
    <w:p>
      <w:pPr>
        <w:pStyle w:val="11"/>
        <w:pageBreakBefore w:val="0"/>
        <w:widowControl w:val="0"/>
        <w:tabs>
          <w:tab w:val="left" w:pos="5580"/>
        </w:tabs>
        <w:kinsoku/>
        <w:wordWrap/>
        <w:overflowPunct/>
        <w:topLinePunct w:val="0"/>
        <w:bidi w:val="0"/>
        <w:spacing w:line="360" w:lineRule="auto"/>
        <w:ind w:left="1080" w:leftChars="257" w:hanging="540"/>
        <w:textAlignment w:val="auto"/>
        <w:rPr>
          <w:rFonts w:hint="eastAsia" w:ascii="宋体" w:hAnsi="宋体" w:eastAsia="宋体" w:cs="宋体"/>
          <w:sz w:val="24"/>
          <w:szCs w:val="24"/>
          <w:highlight w:val="none"/>
        </w:rPr>
      </w:pPr>
    </w:p>
    <w:p>
      <w:pPr>
        <w:pStyle w:val="11"/>
        <w:tabs>
          <w:tab w:val="left" w:pos="5580"/>
        </w:tabs>
        <w:spacing w:line="360" w:lineRule="auto"/>
        <w:ind w:left="1396" w:leftChars="257" w:hanging="856" w:hangingChars="357"/>
        <w:rPr>
          <w:rFonts w:hint="default" w:ascii="宋体" w:hAnsi="宋体" w:eastAsia="宋体" w:cs="宋体"/>
          <w:color w:val="auto"/>
          <w:sz w:val="24"/>
          <w:szCs w:val="24"/>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 xml:space="preserve">  </w:t>
      </w:r>
      <w:r>
        <w:rPr>
          <w:rFonts w:hint="eastAsia" w:hAnsi="宋体" w:cs="宋体"/>
          <w:color w:val="000000"/>
          <w:sz w:val="24"/>
          <w:szCs w:val="24"/>
          <w:highlight w:val="none"/>
        </w:rPr>
        <w:t>1</w:t>
      </w:r>
      <w:r>
        <w:rPr>
          <w:rFonts w:hint="eastAsia" w:ascii="宋体" w:hAnsi="宋体" w:eastAsia="宋体" w:cs="宋体"/>
          <w:color w:val="000000"/>
          <w:sz w:val="24"/>
          <w:szCs w:val="24"/>
          <w:highlight w:val="none"/>
        </w:rPr>
        <w:t>、</w:t>
      </w:r>
      <w:r>
        <w:rPr>
          <w:rFonts w:hint="eastAsia" w:ascii="宋体" w:hAnsi="宋体" w:eastAsia="宋体" w:cs="宋体"/>
          <w:sz w:val="24"/>
          <w:szCs w:val="24"/>
          <w:lang w:val="en-US" w:eastAsia="zh-CN"/>
        </w:rPr>
        <w:t>本项目为总价不变招数量。</w:t>
      </w:r>
    </w:p>
    <w:p>
      <w:pPr>
        <w:pStyle w:val="11"/>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lang w:val="en-US" w:eastAsia="zh-CN"/>
        </w:rPr>
        <w:t>2、</w:t>
      </w:r>
      <w:r>
        <w:rPr>
          <w:rFonts w:ascii="宋体" w:hAnsi="宋体" w:eastAsia="宋体" w:cs="宋体"/>
          <w:sz w:val="24"/>
          <w:szCs w:val="24"/>
        </w:rPr>
        <w:t>投标商报价时</w:t>
      </w:r>
      <w:r>
        <w:rPr>
          <w:rFonts w:hint="eastAsia" w:ascii="宋体" w:hAnsi="宋体" w:eastAsia="宋体" w:cs="宋体"/>
          <w:sz w:val="24"/>
          <w:szCs w:val="24"/>
          <w:lang w:val="en-US" w:eastAsia="zh-CN"/>
        </w:rPr>
        <w:t>应</w:t>
      </w:r>
      <w:r>
        <w:rPr>
          <w:rFonts w:ascii="宋体" w:hAnsi="宋体" w:eastAsia="宋体" w:cs="宋体"/>
          <w:sz w:val="24"/>
          <w:szCs w:val="24"/>
        </w:rPr>
        <w:t>包含税费等一切与本次项目相关的费用</w:t>
      </w:r>
    </w:p>
    <w:p>
      <w:pPr>
        <w:pStyle w:val="11"/>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1"/>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pStyle w:val="11"/>
        <w:pageBreakBefore w:val="0"/>
        <w:widowControl w:val="0"/>
        <w:tabs>
          <w:tab w:val="left" w:pos="5580"/>
        </w:tabs>
        <w:kinsoku/>
        <w:wordWrap/>
        <w:overflowPunct/>
        <w:topLinePunct w:val="0"/>
        <w:bidi w:val="0"/>
        <w:spacing w:line="360" w:lineRule="auto"/>
        <w:ind w:firstLine="1200" w:firstLineChars="500"/>
        <w:textAlignment w:val="auto"/>
        <w:rPr>
          <w:rFonts w:hint="eastAsia" w:ascii="宋体" w:hAnsi="宋体" w:eastAsia="宋体" w:cs="宋体"/>
          <w:sz w:val="24"/>
          <w:szCs w:val="24"/>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3120" w:firstLineChars="1300"/>
        <w:textAlignment w:val="auto"/>
        <w:rPr>
          <w:rFonts w:hint="eastAsia" w:ascii="宋体" w:hAnsi="宋体" w:eastAsia="宋体" w:cs="宋体"/>
          <w:b w:val="0"/>
          <w:bCs w:val="0"/>
          <w:color w:val="000000"/>
          <w:kern w:val="0"/>
          <w:sz w:val="24"/>
          <w:szCs w:val="24"/>
          <w:highlight w:val="none"/>
          <w:lang w:val="en-US" w:eastAsia="zh-CN"/>
        </w:rPr>
      </w:pPr>
    </w:p>
    <w:p>
      <w:pPr>
        <w:pStyle w:val="5"/>
        <w:outlineLvl w:val="9"/>
        <w:rPr>
          <w:rFonts w:hint="eastAsia" w:ascii="宋体" w:hAnsi="宋体" w:eastAsia="宋体" w:cs="宋体"/>
          <w:b w:val="0"/>
          <w:bCs w:val="0"/>
          <w:color w:val="000000"/>
          <w:kern w:val="0"/>
          <w:sz w:val="24"/>
          <w:szCs w:val="24"/>
          <w:highlight w:val="none"/>
          <w:lang w:val="en-US" w:eastAsia="zh-CN"/>
        </w:rPr>
      </w:pPr>
    </w:p>
    <w:p>
      <w:pPr>
        <w:pStyle w:val="6"/>
        <w:rPr>
          <w:rFonts w:hint="eastAsia"/>
          <w:lang w:val="en-US" w:eastAsia="zh-CN"/>
        </w:rPr>
      </w:pPr>
    </w:p>
    <w:p>
      <w:pPr>
        <w:pStyle w:val="6"/>
        <w:rPr>
          <w:rFonts w:hint="eastAsia"/>
          <w:lang w:val="en-US" w:eastAsia="zh-CN"/>
        </w:rPr>
      </w:pPr>
    </w:p>
    <w:p>
      <w:pPr>
        <w:pStyle w:val="23"/>
        <w:ind w:left="0" w:leftChars="0" w:firstLine="0" w:firstLineChars="0"/>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210"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32"/>
          <w:szCs w:val="32"/>
          <w:highlight w:val="none"/>
          <w:lang w:val="en-US" w:eastAsia="zh-CN"/>
        </w:rPr>
        <w:t>2、法人身份证明及授权委托书</w:t>
      </w:r>
    </w:p>
    <w:p>
      <w:pPr>
        <w:pStyle w:val="19"/>
        <w:numPr>
          <w:ilvl w:val="0"/>
          <w:numId w:val="0"/>
        </w:numPr>
        <w:rPr>
          <w:rFonts w:hint="eastAsia" w:ascii="宋体" w:hAnsi="宋体" w:eastAsia="宋体" w:cs="宋体"/>
          <w:b w:val="0"/>
          <w:bCs w:val="0"/>
          <w:color w:val="000000"/>
          <w:kern w:val="0"/>
          <w:sz w:val="28"/>
          <w:szCs w:val="28"/>
          <w:highlight w:val="none"/>
          <w:lang w:val="en-US" w:eastAsia="zh-CN" w:bidi="ar-SA"/>
        </w:rPr>
      </w:pPr>
      <w:r>
        <w:rPr>
          <w:rFonts w:hint="eastAsia"/>
          <w:sz w:val="28"/>
          <w:szCs w:val="28"/>
          <w:lang w:val="en-US" w:eastAsia="zh-CN"/>
        </w:rPr>
        <w:t xml:space="preserve">                              </w:t>
      </w:r>
      <w:r>
        <w:rPr>
          <w:rFonts w:hint="eastAsia" w:ascii="宋体" w:hAnsi="宋体" w:eastAsia="宋体" w:cs="宋体"/>
          <w:b w:val="0"/>
          <w:bCs w:val="0"/>
          <w:color w:val="000000"/>
          <w:kern w:val="0"/>
          <w:sz w:val="28"/>
          <w:szCs w:val="28"/>
          <w:highlight w:val="none"/>
          <w:lang w:val="en-US" w:eastAsia="zh-CN" w:bidi="ar-SA"/>
        </w:rPr>
        <w:t xml:space="preserve">   </w:t>
      </w:r>
    </w:p>
    <w:p>
      <w:pPr>
        <w:pStyle w:val="19"/>
        <w:numPr>
          <w:ilvl w:val="0"/>
          <w:numId w:val="0"/>
        </w:numPr>
        <w:ind w:firstLine="1680" w:firstLineChars="600"/>
        <w:rPr>
          <w:rFonts w:hint="eastAsia"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2-1 法定代表人身份证明（适用于法人参加谈判）</w:t>
      </w:r>
    </w:p>
    <w:p>
      <w:pP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同志，现任我单位</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职务，为法定代表人，特此证明。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rPr>
        <w:t>签发日期：</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单位：</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附：代表人性别：</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年龄：</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身份证号码：</w:t>
      </w:r>
      <w:r>
        <w:rPr>
          <w:rFonts w:hint="eastAsia" w:ascii="宋体" w:hAnsi="宋体" w:eastAsia="宋体" w:cs="宋体"/>
          <w:b w:val="0"/>
          <w:bCs w:val="0"/>
          <w:sz w:val="24"/>
          <w:szCs w:val="24"/>
          <w:u w:val="single"/>
        </w:rPr>
        <w:t xml:space="preserve">            </w:t>
      </w:r>
    </w:p>
    <w:p>
      <w:pPr>
        <w:spacing w:line="360" w:lineRule="auto"/>
        <w:ind w:firstLine="720" w:firstLineChars="300"/>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联系电话：</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营业执照号码：</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rPr>
        <w:t xml:space="preserve"> 经济性质：</w:t>
      </w:r>
      <w:r>
        <w:rPr>
          <w:rFonts w:hint="eastAsia" w:ascii="宋体" w:hAnsi="宋体" w:eastAsia="宋体" w:cs="宋体"/>
          <w:b w:val="0"/>
          <w:bCs w:val="0"/>
          <w:sz w:val="24"/>
          <w:szCs w:val="24"/>
          <w:u w:val="single"/>
        </w:rPr>
        <w:t xml:space="preserve">       </w:t>
      </w:r>
    </w:p>
    <w:p>
      <w:pPr>
        <w:spacing w:line="360" w:lineRule="auto"/>
        <w:rPr>
          <w:rFonts w:hint="eastAsia" w:ascii="宋体" w:hAnsi="宋体" w:eastAsia="宋体" w:cs="宋体"/>
          <w:b w:val="0"/>
          <w:bCs w:val="0"/>
          <w:sz w:val="24"/>
          <w:szCs w:val="24"/>
        </w:rPr>
      </w:pPr>
      <w:r>
        <w:rPr>
          <w:rFonts w:hint="eastAsia" w:ascii="宋体" w:hAnsi="宋体" w:eastAsia="宋体" w:cs="宋体"/>
          <w:b w:val="0"/>
          <w:bCs w:val="0"/>
          <w:sz w:val="24"/>
          <w:szCs w:val="24"/>
        </w:rPr>
        <w:t>说明：</w:t>
      </w:r>
    </w:p>
    <w:p>
      <w:pPr>
        <w:spacing w:line="360" w:lineRule="auto"/>
        <w:ind w:firstLine="720" w:firstLineChars="300"/>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附法定代表人身份证复印件</w:t>
      </w:r>
    </w:p>
    <w:p>
      <w:pPr>
        <w:spacing w:line="360" w:lineRule="auto"/>
        <w:rPr>
          <w:rFonts w:hint="eastAsia" w:ascii="宋体" w:hAnsi="宋体" w:cs="宋体"/>
          <w:sz w:val="24"/>
          <w:szCs w:val="20"/>
        </w:rPr>
      </w:pPr>
      <w:r>
        <w:rPr>
          <w:rFonts w:hint="eastAsia" w:ascii="宋体" w:hAnsi="宋体" w:cs="宋体"/>
          <w:sz w:val="24"/>
          <w:szCs w:val="20"/>
        </w:rPr>
        <mc:AlternateContent>
          <mc:Choice Requires="wps">
            <w:drawing>
              <wp:anchor distT="0" distB="0" distL="114300" distR="114300" simplePos="0" relativeHeight="25166028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28" name="流程图: 可选过程 2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028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HUkGH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国徽面</w:t>
                      </w:r>
                    </w:p>
                  </w:txbxContent>
                </v:textbox>
              </v:shape>
            </w:pict>
          </mc:Fallback>
        </mc:AlternateContent>
      </w:r>
      <w:r>
        <w:rPr>
          <w:rFonts w:hint="eastAsia" w:ascii="宋体" w:hAnsi="宋体" w:cs="宋体"/>
          <w:sz w:val="24"/>
          <w:szCs w:val="20"/>
        </w:rPr>
        <mc:AlternateContent>
          <mc:Choice Requires="wps">
            <w:drawing>
              <wp:anchor distT="0" distB="0" distL="114300" distR="114300" simplePos="0" relativeHeight="25166131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29" name="圆角矩形 29"/>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131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AGJS8d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eastAsia" w:eastAsiaTheme="minorEastAsia"/>
                          <w:szCs w:val="21"/>
                          <w:lang w:val="en-US" w:eastAsia="zh-CN"/>
                        </w:rPr>
                      </w:pPr>
                      <w:r>
                        <w:rPr>
                          <w:rFonts w:hint="eastAsia" w:hAnsi="宋体"/>
                          <w:szCs w:val="21"/>
                        </w:rPr>
                        <w:t>法定代表人身份证复印件</w:t>
                      </w:r>
                      <w:r>
                        <w:rPr>
                          <w:rFonts w:hint="eastAsia" w:hAnsi="宋体"/>
                          <w:szCs w:val="21"/>
                          <w:lang w:val="en-US" w:eastAsia="zh-CN"/>
                        </w:rPr>
                        <w:t>人像面</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宋体" w:hAnsi="宋体" w:cs="宋体"/>
          <w:sz w:val="24"/>
          <w:szCs w:val="20"/>
        </w:rPr>
      </w:pPr>
    </w:p>
    <w:p>
      <w:pPr>
        <w:spacing w:line="360" w:lineRule="auto"/>
        <w:rPr>
          <w:rFonts w:hint="eastAsia" w:ascii="宋体" w:hAnsi="宋体" w:cs="宋体"/>
          <w:sz w:val="24"/>
          <w:szCs w:val="20"/>
        </w:rPr>
      </w:pPr>
    </w:p>
    <w:p>
      <w:pPr>
        <w:autoSpaceDE w:val="0"/>
        <w:autoSpaceDN w:val="0"/>
        <w:adjustRightInd w:val="0"/>
        <w:spacing w:line="360" w:lineRule="auto"/>
        <w:ind w:right="246"/>
        <w:rPr>
          <w:rFonts w:hint="eastAsia" w:ascii="宋体" w:hAnsi="宋体" w:cs="宋体"/>
          <w:sz w:val="24"/>
          <w:szCs w:val="20"/>
        </w:rPr>
      </w:pPr>
    </w:p>
    <w:p>
      <w:pPr>
        <w:autoSpaceDE w:val="0"/>
        <w:autoSpaceDN w:val="0"/>
        <w:adjustRightInd w:val="0"/>
        <w:spacing w:line="360" w:lineRule="auto"/>
        <w:ind w:right="246" w:firstLine="784" w:firstLineChars="327"/>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pStyle w:val="6"/>
        <w:rPr>
          <w:rFonts w:hint="eastAsia" w:hAnsi="宋体" w:cs="宋体"/>
        </w:rPr>
      </w:pPr>
    </w:p>
    <w:p>
      <w:pPr>
        <w:adjustRightInd w:val="0"/>
        <w:snapToGrid w:val="0"/>
        <w:spacing w:line="360" w:lineRule="auto"/>
        <w:ind w:firstLine="5582" w:firstLineChars="2326"/>
        <w:rPr>
          <w:rFonts w:hint="eastAsia" w:ascii="宋体" w:hAnsi="宋体" w:cs="宋体"/>
          <w:sz w:val="24"/>
          <w:szCs w:val="20"/>
        </w:rPr>
      </w:pPr>
      <w:r>
        <w:rPr>
          <w:rFonts w:hint="eastAsia" w:ascii="宋体" w:hAnsi="宋体" w:cs="宋体"/>
          <w:sz w:val="24"/>
          <w:szCs w:val="20"/>
        </w:rPr>
        <w:t xml:space="preserve">供应商（盖章）：                              </w:t>
      </w:r>
    </w:p>
    <w:p>
      <w:pPr>
        <w:adjustRightInd w:val="0"/>
        <w:snapToGrid w:val="0"/>
        <w:spacing w:line="360" w:lineRule="auto"/>
        <w:ind w:firstLine="784" w:firstLineChars="327"/>
        <w:rPr>
          <w:rFonts w:hint="eastAsia" w:ascii="宋体" w:hAnsi="宋体" w:cs="宋体"/>
          <w:sz w:val="24"/>
          <w:szCs w:val="20"/>
        </w:rPr>
      </w:pPr>
    </w:p>
    <w:p>
      <w:pPr>
        <w:adjustRightInd w:val="0"/>
        <w:snapToGrid w:val="0"/>
        <w:spacing w:line="360" w:lineRule="auto"/>
        <w:ind w:firstLine="4862" w:firstLineChars="2026"/>
        <w:rPr>
          <w:rFonts w:hint="eastAsia" w:ascii="宋体" w:hAnsi="宋体" w:cs="宋体"/>
          <w:sz w:val="24"/>
          <w:szCs w:val="20"/>
        </w:rPr>
      </w:pPr>
      <w:r>
        <w:rPr>
          <w:rFonts w:hint="eastAsia" w:ascii="宋体" w:hAnsi="宋体" w:cs="宋体"/>
          <w:sz w:val="24"/>
          <w:szCs w:val="20"/>
        </w:rPr>
        <w:t>法定代表人</w:t>
      </w:r>
      <w:r>
        <w:rPr>
          <w:rFonts w:hint="eastAsia" w:ascii="宋体" w:hAnsi="宋体" w:cs="宋体"/>
          <w:sz w:val="24"/>
          <w:szCs w:val="20"/>
          <w:lang w:eastAsia="zh-CN"/>
        </w:rPr>
        <w:t>（</w:t>
      </w:r>
      <w:r>
        <w:rPr>
          <w:rFonts w:hint="eastAsia" w:ascii="宋体" w:hAnsi="宋体" w:cs="宋体"/>
          <w:sz w:val="24"/>
          <w:szCs w:val="20"/>
        </w:rPr>
        <w:t>签字或盖章</w:t>
      </w:r>
      <w:r>
        <w:rPr>
          <w:rFonts w:hint="eastAsia" w:ascii="宋体" w:hAnsi="宋体" w:cs="宋体"/>
          <w:sz w:val="24"/>
          <w:szCs w:val="20"/>
          <w:lang w:eastAsia="zh-CN"/>
        </w:rPr>
        <w:t>）</w:t>
      </w:r>
      <w:r>
        <w:rPr>
          <w:rFonts w:hint="eastAsia" w:ascii="宋体" w:hAnsi="宋体" w:cs="宋体"/>
          <w:sz w:val="24"/>
          <w:szCs w:val="20"/>
        </w:rPr>
        <w:t xml:space="preserve">：                    </w:t>
      </w:r>
    </w:p>
    <w:p>
      <w:pPr>
        <w:adjustRightInd w:val="0"/>
        <w:snapToGrid w:val="0"/>
        <w:spacing w:line="360" w:lineRule="auto"/>
        <w:ind w:firstLine="784" w:firstLineChars="327"/>
        <w:rPr>
          <w:rFonts w:hint="eastAsia" w:ascii="宋体" w:hAnsi="宋体" w:cs="宋体"/>
          <w:sz w:val="24"/>
          <w:szCs w:val="20"/>
        </w:rPr>
      </w:pPr>
      <w:r>
        <w:rPr>
          <w:rFonts w:hint="eastAsia" w:ascii="宋体" w:hAnsi="宋体" w:cs="宋体"/>
          <w:sz w:val="24"/>
          <w:szCs w:val="20"/>
        </w:rPr>
        <w:t xml:space="preserve">                                                   </w:t>
      </w:r>
    </w:p>
    <w:p>
      <w:pPr>
        <w:pStyle w:val="19"/>
        <w:numPr>
          <w:ilvl w:val="0"/>
          <w:numId w:val="0"/>
        </w:numPr>
        <w:ind w:firstLine="6000" w:firstLineChars="2500"/>
        <w:rPr>
          <w:rFonts w:hint="default" w:ascii="宋体" w:hAnsi="宋体" w:eastAsia="宋体" w:cs="宋体"/>
          <w:b w:val="0"/>
          <w:bCs w:val="0"/>
          <w:color w:val="000000"/>
          <w:kern w:val="0"/>
          <w:sz w:val="24"/>
          <w:szCs w:val="24"/>
          <w:highlight w:val="none"/>
          <w:lang w:val="en-US" w:eastAsia="zh-CN" w:bidi="ar-SA"/>
        </w:rPr>
      </w:pPr>
      <w:r>
        <w:rPr>
          <w:rFonts w:hint="eastAsia" w:ascii="宋体" w:hAnsi="宋体" w:cs="宋体"/>
          <w:sz w:val="24"/>
          <w:szCs w:val="20"/>
        </w:rPr>
        <w:t xml:space="preserve">日期：  年   月   日  </w:t>
      </w: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rPr>
          <w:rFonts w:hint="eastAsia"/>
        </w:rPr>
      </w:pPr>
    </w:p>
    <w:p>
      <w:pPr>
        <w:pStyle w:val="19"/>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ind w:firstLine="3080" w:firstLineChars="1100"/>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rPr>
          <w:rFonts w:hint="eastAsia" w:ascii="宋体" w:hAnsi="宋体" w:eastAsia="宋体" w:cs="宋体"/>
          <w:b w:val="0"/>
          <w:bCs w:val="0"/>
          <w:color w:val="000000"/>
          <w:kern w:val="0"/>
          <w:sz w:val="28"/>
          <w:szCs w:val="28"/>
          <w:highlight w:val="none"/>
          <w:lang w:val="en-US" w:eastAsia="zh-CN" w:bidi="ar-SA"/>
        </w:rPr>
      </w:pPr>
    </w:p>
    <w:p>
      <w:pPr>
        <w:pStyle w:val="19"/>
        <w:numPr>
          <w:ilvl w:val="0"/>
          <w:numId w:val="0"/>
        </w:numPr>
        <w:ind w:firstLine="1400" w:firstLineChars="500"/>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8"/>
          <w:szCs w:val="28"/>
          <w:highlight w:val="none"/>
          <w:lang w:val="en-US" w:eastAsia="zh-CN" w:bidi="ar-SA"/>
        </w:rPr>
        <w:t>2-2   法人授权委托书（适合授权委托人参加谈判）</w:t>
      </w:r>
    </w:p>
    <w:p>
      <w:pPr>
        <w:pStyle w:val="19"/>
        <w:numPr>
          <w:ilvl w:val="0"/>
          <w:numId w:val="0"/>
        </w:numPr>
        <w:ind w:firstLine="2800" w:firstLineChars="1000"/>
        <w:rPr>
          <w:rFonts w:hint="eastAsia" w:ascii="宋体" w:hAnsi="宋体" w:eastAsia="宋体" w:cs="宋体"/>
          <w:b w:val="0"/>
          <w:bCs w:val="0"/>
          <w:color w:val="000000"/>
          <w:kern w:val="0"/>
          <w:sz w:val="28"/>
          <w:szCs w:val="28"/>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本授权书声明：注册于</w:t>
      </w:r>
      <w:r>
        <w:rPr>
          <w:rFonts w:hint="eastAsia" w:ascii="宋体" w:hAnsi="宋体" w:eastAsia="宋体" w:cs="宋体"/>
          <w:b w:val="0"/>
          <w:bCs w:val="0"/>
          <w:color w:val="000000"/>
          <w:kern w:val="0"/>
          <w:sz w:val="24"/>
          <w:szCs w:val="24"/>
          <w:highlight w:val="none"/>
          <w:u w:val="single"/>
          <w:lang w:val="en-US" w:eastAsia="zh-CN" w:bidi="ar-SA"/>
        </w:rPr>
        <w:t xml:space="preserve">（国家或地区的名称） </w:t>
      </w:r>
      <w:r>
        <w:rPr>
          <w:rFonts w:hint="eastAsia" w:ascii="宋体" w:hAnsi="宋体" w:eastAsia="宋体" w:cs="宋体"/>
          <w:b w:val="0"/>
          <w:bCs w:val="0"/>
          <w:color w:val="000000"/>
          <w:kern w:val="0"/>
          <w:sz w:val="24"/>
          <w:szCs w:val="24"/>
          <w:highlight w:val="none"/>
          <w:lang w:val="en-US" w:eastAsia="zh-CN" w:bidi="ar-SA"/>
        </w:rPr>
        <w:t>的</w:t>
      </w:r>
      <w:r>
        <w:rPr>
          <w:rFonts w:hint="eastAsia" w:ascii="宋体" w:hAnsi="宋体" w:eastAsia="宋体" w:cs="宋体"/>
          <w:b w:val="0"/>
          <w:bCs w:val="0"/>
          <w:color w:val="000000"/>
          <w:kern w:val="0"/>
          <w:sz w:val="24"/>
          <w:szCs w:val="24"/>
          <w:highlight w:val="none"/>
          <w:u w:val="single"/>
          <w:lang w:val="en-US" w:eastAsia="zh-CN" w:bidi="ar-SA"/>
        </w:rPr>
        <w:t xml:space="preserve">  （供应商）  </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（法人代表姓名、职务）</w:t>
      </w:r>
      <w:r>
        <w:rPr>
          <w:rFonts w:hint="eastAsia" w:ascii="宋体" w:hAnsi="宋体" w:eastAsia="宋体" w:cs="宋体"/>
          <w:b w:val="0"/>
          <w:bCs w:val="0"/>
          <w:color w:val="000000"/>
          <w:kern w:val="0"/>
          <w:sz w:val="24"/>
          <w:szCs w:val="24"/>
          <w:highlight w:val="none"/>
          <w:lang w:val="en-US" w:eastAsia="zh-CN" w:bidi="ar-SA"/>
        </w:rPr>
        <w:t>代表我单位授权</w:t>
      </w:r>
      <w:r>
        <w:rPr>
          <w:rFonts w:hint="eastAsia" w:ascii="宋体" w:hAnsi="宋体" w:eastAsia="宋体" w:cs="宋体"/>
          <w:b w:val="0"/>
          <w:bCs w:val="0"/>
          <w:color w:val="000000"/>
          <w:kern w:val="0"/>
          <w:sz w:val="24"/>
          <w:szCs w:val="24"/>
          <w:highlight w:val="none"/>
          <w:u w:val="single"/>
          <w:lang w:val="en-US" w:eastAsia="zh-CN" w:bidi="ar-SA"/>
        </w:rPr>
        <w:t>（单位名称）</w:t>
      </w:r>
      <w:r>
        <w:rPr>
          <w:rFonts w:hint="eastAsia" w:ascii="宋体" w:hAnsi="宋体" w:eastAsia="宋体" w:cs="宋体"/>
          <w:b w:val="0"/>
          <w:bCs w:val="0"/>
          <w:color w:val="000000"/>
          <w:kern w:val="0"/>
          <w:sz w:val="24"/>
          <w:szCs w:val="24"/>
          <w:highlight w:val="none"/>
          <w:lang w:val="en-US" w:eastAsia="zh-CN" w:bidi="ar-SA"/>
        </w:rPr>
        <w:t>的在下面签字的</w:t>
      </w:r>
      <w:r>
        <w:rPr>
          <w:rFonts w:hint="eastAsia" w:ascii="宋体" w:hAnsi="宋体" w:eastAsia="宋体" w:cs="宋体"/>
          <w:b w:val="0"/>
          <w:bCs w:val="0"/>
          <w:color w:val="000000"/>
          <w:kern w:val="0"/>
          <w:sz w:val="24"/>
          <w:szCs w:val="24"/>
          <w:highlight w:val="none"/>
          <w:u w:val="single"/>
          <w:lang w:val="en-US" w:eastAsia="zh-CN" w:bidi="ar-SA"/>
        </w:rPr>
        <w:t>（被授权人的姓名、职务）</w:t>
      </w:r>
      <w:r>
        <w:rPr>
          <w:rFonts w:hint="eastAsia" w:ascii="宋体" w:hAnsi="宋体" w:eastAsia="宋体" w:cs="宋体"/>
          <w:b w:val="0"/>
          <w:bCs w:val="0"/>
          <w:color w:val="000000"/>
          <w:kern w:val="0"/>
          <w:sz w:val="24"/>
          <w:szCs w:val="24"/>
          <w:highlight w:val="none"/>
          <w:lang w:val="en-US" w:eastAsia="zh-CN" w:bidi="ar-SA"/>
        </w:rPr>
        <w:t>为我单位的合法代理人，就</w:t>
      </w:r>
      <w:r>
        <w:rPr>
          <w:rFonts w:hint="eastAsia" w:ascii="宋体" w:hAnsi="宋体" w:eastAsia="宋体" w:cs="宋体"/>
          <w:b w:val="0"/>
          <w:bCs w:val="0"/>
          <w:color w:val="000000"/>
          <w:kern w:val="0"/>
          <w:sz w:val="24"/>
          <w:szCs w:val="24"/>
          <w:highlight w:val="none"/>
          <w:u w:val="single"/>
          <w:lang w:val="en-US" w:eastAsia="zh-CN" w:bidi="ar-SA"/>
        </w:rPr>
        <w:t>（项目名称及项目编号）</w:t>
      </w:r>
      <w:r>
        <w:rPr>
          <w:rFonts w:hint="eastAsia" w:ascii="宋体" w:hAnsi="宋体" w:eastAsia="宋体" w:cs="宋体"/>
          <w:b w:val="0"/>
          <w:bCs w:val="0"/>
          <w:color w:val="000000"/>
          <w:kern w:val="0"/>
          <w:sz w:val="24"/>
          <w:szCs w:val="24"/>
          <w:highlight w:val="none"/>
          <w:lang w:val="en-US" w:eastAsia="zh-CN" w:bidi="ar-SA"/>
        </w:rPr>
        <w:t>谈判，以我单位名义处理一切与之有关的事务。</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kern w:val="0"/>
          <w:sz w:val="28"/>
          <w:szCs w:val="28"/>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本授权书于</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年</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月</w:t>
      </w:r>
      <w:r>
        <w:rPr>
          <w:rFonts w:hint="eastAsia" w:ascii="宋体" w:hAnsi="宋体" w:eastAsia="宋体" w:cs="宋体"/>
          <w:b w:val="0"/>
          <w:bCs w:val="0"/>
          <w:color w:val="000000"/>
          <w:kern w:val="0"/>
          <w:sz w:val="24"/>
          <w:szCs w:val="24"/>
          <w:highlight w:val="none"/>
          <w:u w:val="single"/>
          <w:lang w:val="en-US" w:eastAsia="zh-CN" w:bidi="ar-SA"/>
        </w:rPr>
        <w:t xml:space="preserve">     </w:t>
      </w:r>
      <w:r>
        <w:rPr>
          <w:rFonts w:hint="eastAsia" w:ascii="宋体" w:hAnsi="宋体" w:eastAsia="宋体" w:cs="宋体"/>
          <w:b w:val="0"/>
          <w:bCs w:val="0"/>
          <w:color w:val="000000"/>
          <w:kern w:val="0"/>
          <w:sz w:val="24"/>
          <w:szCs w:val="24"/>
          <w:highlight w:val="none"/>
          <w:lang w:val="en-US" w:eastAsia="zh-CN" w:bidi="ar-SA"/>
        </w:rPr>
        <w:t>日签字生效,特此声明。</w:t>
      </w: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r>
        <w:rPr>
          <w:rFonts w:hint="default" w:ascii="宋体" w:hAnsi="宋体" w:eastAsia="宋体" w:cs="宋体"/>
          <w:sz w:val="24"/>
          <w:highlight w:val="none"/>
          <w:lang w:val="en-US"/>
        </w:rPr>
        <mc:AlternateContent>
          <mc:Choice Requires="wps">
            <w:drawing>
              <wp:anchor distT="0" distB="0" distL="114300" distR="114300" simplePos="0" relativeHeight="251663360" behindDoc="0" locked="0" layoutInCell="1" allowOverlap="1">
                <wp:simplePos x="0" y="0"/>
                <wp:positionH relativeFrom="column">
                  <wp:posOffset>2655570</wp:posOffset>
                </wp:positionH>
                <wp:positionV relativeFrom="paragraph">
                  <wp:posOffset>57150</wp:posOffset>
                </wp:positionV>
                <wp:extent cx="2668905" cy="1271905"/>
                <wp:effectExtent l="7620" t="7620" r="20955" b="15875"/>
                <wp:wrapNone/>
                <wp:docPr id="30" name="圆角矩形 30"/>
                <wp:cNvGraphicFramePr/>
                <a:graphic xmlns:a="http://schemas.openxmlformats.org/drawingml/2006/main">
                  <a:graphicData uri="http://schemas.microsoft.com/office/word/2010/wordprocessingShape">
                    <wps:wsp>
                      <wps:cNvSpPr/>
                      <wps:spPr>
                        <a:xfrm>
                          <a:off x="0" y="0"/>
                          <a:ext cx="2668905" cy="127190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09.1pt;margin-top:4.5pt;height:100.15pt;width:210.15pt;z-index:251663360;mso-width-relative:page;mso-height-relative:page;" fillcolor="#FFFFFF" filled="t" stroked="t" coordsize="21600,21600" arcsize="0.166666666666667" o:gfxdata="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Vy6FnaAAAACQEAAA8AAAAAAAAAAQAgAAAAIgAAAGRycy9kb3ducmV2LnhtbFBLAQIUABQAAAAI&#10;AIdO4kCpnNP+JAIAAFoEAAAOAAAAAAAAAAEAIAAAACkBAABkcnMvZTJvRG9jLnhtbFBLBQYAAAAA&#10;BgAGAFkBAA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420" w:firstLineChars="200"/>
                        <w:jc w:val="both"/>
                        <w:rPr>
                          <w:rFonts w:hint="default" w:eastAsiaTheme="minorEastAsia"/>
                          <w:lang w:val="en-US" w:eastAsia="zh-CN"/>
                        </w:rPr>
                      </w:pPr>
                      <w:r>
                        <w:rPr>
                          <w:rFonts w:hint="eastAsia" w:hAnsi="宋体"/>
                        </w:rPr>
                        <w:t>授权委托人身份证复印件</w:t>
                      </w:r>
                      <w:r>
                        <w:rPr>
                          <w:rFonts w:hint="eastAsia" w:hAnsi="宋体"/>
                          <w:lang w:val="en-US" w:eastAsia="zh-CN"/>
                        </w:rPr>
                        <w:t>人像面</w:t>
                      </w:r>
                    </w:p>
                    <w:p/>
                  </w:txbxContent>
                </v:textbox>
              </v:roundrect>
            </w:pict>
          </mc:Fallback>
        </mc:AlternateContent>
      </w:r>
      <w:r>
        <w:rPr>
          <w:rFonts w:hint="default" w:ascii="宋体" w:hAnsi="宋体" w:eastAsia="宋体" w:cs="宋体"/>
          <w:sz w:val="24"/>
          <w:highlight w:val="none"/>
          <w:lang w:val="en-US"/>
        </w:rPr>
        <mc:AlternateContent>
          <mc:Choice Requires="wps">
            <w:drawing>
              <wp:anchor distT="0" distB="0" distL="114300" distR="114300" simplePos="0" relativeHeight="251662336" behindDoc="0" locked="0" layoutInCell="1" allowOverlap="1">
                <wp:simplePos x="0" y="0"/>
                <wp:positionH relativeFrom="column">
                  <wp:posOffset>-116205</wp:posOffset>
                </wp:positionH>
                <wp:positionV relativeFrom="paragraph">
                  <wp:posOffset>45720</wp:posOffset>
                </wp:positionV>
                <wp:extent cx="2586355" cy="1280795"/>
                <wp:effectExtent l="5080" t="4445" r="14605" b="10160"/>
                <wp:wrapNone/>
                <wp:docPr id="31" name="流程图: 可选过程 31"/>
                <wp:cNvGraphicFramePr/>
                <a:graphic xmlns:a="http://schemas.openxmlformats.org/drawingml/2006/main">
                  <a:graphicData uri="http://schemas.microsoft.com/office/word/2010/wordprocessingShape">
                    <wps:wsp>
                      <wps:cNvSpPr/>
                      <wps:spPr>
                        <a:xfrm>
                          <a:off x="0" y="0"/>
                          <a:ext cx="2586355" cy="12807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wps:txbx>
                      <wps:bodyPr upright="1"/>
                    </wps:wsp>
                  </a:graphicData>
                </a:graphic>
              </wp:anchor>
            </w:drawing>
          </mc:Choice>
          <mc:Fallback>
            <w:pict>
              <v:shape id="_x0000_s1026" o:spid="_x0000_s1026" o:spt="176" type="#_x0000_t176" style="position:absolute;left:0pt;margin-left:-9.15pt;margin-top:3.6pt;height:100.85pt;width:203.65pt;z-index:251662336;mso-width-relative:page;mso-height-relative:page;" fillcolor="#FFFFFF" filled="t" stroked="t" coordsize="21600,21600" o:gfxdata="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Xqip1wAAAAkBAAAPAAAAAAAAAAEAIAAAACIAAABkcnMvZG93bnJldi54bWxQSwECFAAU&#10;AAAACACHTuJAlk4yJisCAABSBAAADgAAAAAAAAABACAAAAAmAQAAZHJzL2Uyb0RvYy54bWxQSwUG&#10;AAAAAAYABgBZAQAAww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default" w:eastAsiaTheme="minorEastAsia"/>
                          <w:lang w:val="en-US" w:eastAsia="zh-CN"/>
                        </w:rPr>
                      </w:pPr>
                      <w:r>
                        <w:rPr>
                          <w:rFonts w:hint="eastAsia" w:hAnsi="宋体"/>
                        </w:rPr>
                        <w:t>授权委托人身份证复印件</w:t>
                      </w:r>
                      <w:r>
                        <w:rPr>
                          <w:rFonts w:hint="eastAsia" w:hAnsi="宋体"/>
                          <w:lang w:val="en-US" w:eastAsia="zh-CN"/>
                        </w:rPr>
                        <w:t>国徽面</w:t>
                      </w:r>
                    </w:p>
                  </w:txbxContent>
                </v:textbox>
              </v:shape>
            </w:pict>
          </mc:Fallback>
        </mc:AlternateContent>
      </w:r>
      <w:r>
        <w:rPr>
          <w:rFonts w:hint="eastAsia" w:ascii="宋体" w:hAnsi="宋体" w:eastAsia="宋体" w:cs="宋体"/>
          <w:sz w:val="24"/>
          <w:highlight w:val="none"/>
          <w:lang w:val="en-US" w:eastAsia="zh-CN"/>
        </w:rPr>
        <w:t xml:space="preserve">  </w:t>
      </w: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20" w:firstLineChars="200"/>
        <w:rPr>
          <w:rFonts w:hint="eastAsia" w:ascii="宋体" w:hAnsi="宋体" w:eastAsia="宋体" w:cs="宋体"/>
          <w:sz w:val="24"/>
          <w:highlight w:val="none"/>
          <w:lang w:val="en-US" w:eastAsia="zh-CN"/>
        </w:rPr>
      </w:pPr>
      <w:r>
        <w:rPr>
          <w:rFonts w:hint="eastAsia" w:ascii="宋体" w:hAnsi="宋体" w:eastAsia="宋体" w:cs="宋体"/>
          <w:highlight w:val="none"/>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46990</wp:posOffset>
                </wp:positionV>
                <wp:extent cx="2674620" cy="1283335"/>
                <wp:effectExtent l="7620" t="7620" r="15240" b="19685"/>
                <wp:wrapNone/>
                <wp:docPr id="32" name="圆角矩形 32"/>
                <wp:cNvGraphicFramePr/>
                <a:graphic xmlns:a="http://schemas.openxmlformats.org/drawingml/2006/main">
                  <a:graphicData uri="http://schemas.microsoft.com/office/word/2010/wordprocessingShape">
                    <wps:wsp>
                      <wps:cNvSpPr/>
                      <wps:spPr>
                        <a:xfrm>
                          <a:off x="0" y="0"/>
                          <a:ext cx="2674620" cy="1283335"/>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wps:txbx>
                      <wps:bodyPr upright="1"/>
                    </wps:wsp>
                  </a:graphicData>
                </a:graphic>
              </wp:anchor>
            </w:drawing>
          </mc:Choice>
          <mc:Fallback>
            <w:pict>
              <v:roundrect id="_x0000_s1026" o:spid="_x0000_s1026" o:spt="2" style="position:absolute;left:0pt;margin-left:214.25pt;margin-top:3.7pt;height:101.05pt;width:210.6pt;z-index:251665408;mso-width-relative:page;mso-height-relative:page;" fillcolor="#FFFFFF" filled="t" stroked="t" coordsize="21600,21600" arcsize="0.166666666666667" o:gfxdata="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sWhoF2wAAAAkBAAAPAAAAAAAAAAEAIAAAACIAAABkcnMvZG93bnJldi54bWxQSwECFAAU&#10;AAAACACHTuJAOreTKicCAABaBAAADgAAAAAAAAABACAAAAAqAQAAZHJzL2Uyb0RvYy54bWxQSwUG&#10;AAAAAAYABgBZAQAAww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eastAsiaTheme="minorEastAsia"/>
                          <w:lang w:val="en-US" w:eastAsia="zh-CN"/>
                        </w:rPr>
                      </w:pPr>
                      <w:r>
                        <w:rPr>
                          <w:rFonts w:hint="eastAsia" w:hAnsi="宋体"/>
                          <w:lang w:val="en-US" w:eastAsia="zh-CN"/>
                        </w:rPr>
                        <w:t xml:space="preserve"> </w:t>
                      </w:r>
                      <w:r>
                        <w:rPr>
                          <w:rFonts w:hint="eastAsia" w:hAnsi="宋体"/>
                        </w:rPr>
                        <w:t>法人身份证复印件</w:t>
                      </w:r>
                      <w:r>
                        <w:rPr>
                          <w:rFonts w:hint="eastAsia" w:hAnsi="宋体"/>
                          <w:lang w:val="en-US" w:eastAsia="zh-CN"/>
                        </w:rPr>
                        <w:t>人像面</w:t>
                      </w:r>
                    </w:p>
                    <w:p/>
                  </w:txbxContent>
                </v:textbox>
              </v:roundrect>
            </w:pict>
          </mc:Fallback>
        </mc:AlternateContent>
      </w:r>
      <w:r>
        <w:rPr>
          <w:rFonts w:hint="eastAsia" w:ascii="宋体" w:hAnsi="宋体" w:eastAsia="宋体" w:cs="宋体"/>
          <w:highlight w:val="none"/>
        </w:rPr>
        <mc:AlternateContent>
          <mc:Choice Requires="wps">
            <w:drawing>
              <wp:anchor distT="0" distB="0" distL="114300" distR="114300" simplePos="0" relativeHeight="251664384" behindDoc="0" locked="0" layoutInCell="1" allowOverlap="1">
                <wp:simplePos x="0" y="0"/>
                <wp:positionH relativeFrom="column">
                  <wp:posOffset>-130175</wp:posOffset>
                </wp:positionH>
                <wp:positionV relativeFrom="paragraph">
                  <wp:posOffset>53975</wp:posOffset>
                </wp:positionV>
                <wp:extent cx="2593975" cy="1267460"/>
                <wp:effectExtent l="7620" t="7620" r="19685" b="20320"/>
                <wp:wrapNone/>
                <wp:docPr id="33" name="圆角矩形 33"/>
                <wp:cNvGraphicFramePr/>
                <a:graphic xmlns:a="http://schemas.openxmlformats.org/drawingml/2006/main">
                  <a:graphicData uri="http://schemas.microsoft.com/office/word/2010/wordprocessingShape">
                    <wps:wsp>
                      <wps:cNvSpPr/>
                      <wps:spPr>
                        <a:xfrm>
                          <a:off x="0" y="0"/>
                          <a:ext cx="2593975" cy="126746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wps:txbx>
                      <wps:bodyPr upright="1"/>
                    </wps:wsp>
                  </a:graphicData>
                </a:graphic>
              </wp:anchor>
            </w:drawing>
          </mc:Choice>
          <mc:Fallback>
            <w:pict>
              <v:roundrect id="_x0000_s1026" o:spid="_x0000_s1026" o:spt="2" style="position:absolute;left:0pt;margin-left:-10.25pt;margin-top:4.25pt;height:99.8pt;width:204.25pt;z-index:251664384;mso-width-relative:page;mso-height-relative:page;" fillcolor="#FFFFFF" filled="t" stroked="t" coordsize="21600,21600" arcsize="0.166666666666667" o:gfxdata="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0foMvaAAAACQEAAA8AAAAAAAAAAQAgAAAAIgAAAGRycy9kb3ducmV2LnhtbFBLAQIUABQA&#10;AAAIAIdO4kCSfWojJwIAAFoEAAAOAAAAAAAAAAEAIAAAACkBAABkcnMvZTJvRG9jLnhtbFBLBQYA&#10;AAAABgAGAFkBAADCBQAAAAA=&#10;">
                <v:fill on="t" focussize="0,0"/>
                <v:stroke weight="1.25pt" color="#808080" joinstyle="round"/>
                <v:imagedata o:title=""/>
                <o:lock v:ext="edit" aspectratio="f"/>
                <v:textbox>
                  <w:txbxContent>
                    <w:p>
                      <w:pPr>
                        <w:jc w:val="both"/>
                        <w:rPr>
                          <w:rFonts w:hint="eastAsia" w:hAnsi="宋体"/>
                        </w:rPr>
                      </w:pPr>
                    </w:p>
                    <w:p>
                      <w:pPr>
                        <w:jc w:val="both"/>
                        <w:rPr>
                          <w:rFonts w:hint="eastAsia" w:hAnsi="宋体"/>
                        </w:rPr>
                      </w:pPr>
                    </w:p>
                    <w:p>
                      <w:pPr>
                        <w:ind w:firstLine="840" w:firstLineChars="400"/>
                        <w:jc w:val="both"/>
                        <w:rPr>
                          <w:rFonts w:hint="eastAsia" w:eastAsiaTheme="minorEastAsia"/>
                          <w:lang w:val="en-US" w:eastAsia="zh-CN"/>
                        </w:rPr>
                      </w:pPr>
                      <w:r>
                        <w:rPr>
                          <w:rFonts w:hint="eastAsia" w:hAnsi="宋体"/>
                        </w:rPr>
                        <w:t>法人身份证复印件</w:t>
                      </w:r>
                      <w:r>
                        <w:rPr>
                          <w:rFonts w:hint="eastAsia" w:hAnsi="宋体"/>
                          <w:lang w:val="en-US" w:eastAsia="zh-CN"/>
                        </w:rPr>
                        <w:t>国徽面</w:t>
                      </w:r>
                    </w:p>
                    <w:p/>
                  </w:txbxContent>
                </v:textbox>
              </v:roundrect>
            </w:pict>
          </mc:Fallback>
        </mc:AlternateContent>
      </w: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ind w:firstLine="480" w:firstLineChars="200"/>
        <w:rPr>
          <w:rFonts w:hint="eastAsia" w:ascii="宋体" w:hAnsi="宋体" w:eastAsia="宋体" w:cs="宋体"/>
          <w:sz w:val="24"/>
          <w:highlight w:val="none"/>
          <w:lang w:val="en-US" w:eastAsia="zh-CN"/>
        </w:rPr>
      </w:pPr>
    </w:p>
    <w:p>
      <w:pPr>
        <w:pStyle w:val="11"/>
        <w:tabs>
          <w:tab w:val="left" w:pos="5580"/>
        </w:tabs>
        <w:spacing w:line="240" w:lineRule="atLeast"/>
        <w:rPr>
          <w:rFonts w:hint="eastAsia" w:ascii="宋体" w:hAnsi="宋体" w:eastAsia="宋体" w:cs="宋体"/>
          <w:sz w:val="24"/>
          <w:highlight w:val="none"/>
          <w:lang w:val="en-US" w:eastAsia="zh-CN"/>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lang w:eastAsia="zh-CN"/>
        </w:rPr>
        <w:t>供应商</w:t>
      </w:r>
      <w:r>
        <w:rPr>
          <w:rFonts w:hint="eastAsia" w:ascii="宋体" w:hAnsi="宋体" w:eastAsia="宋体" w:cs="宋体"/>
          <w:sz w:val="24"/>
          <w:highlight w:val="none"/>
        </w:rPr>
        <w:t>（盖单位章）;</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法定代表人（签字或签章）：</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u w:val="single" w:color="EEECE1"/>
        </w:rPr>
        <w:t>身份证号码</w:t>
      </w:r>
      <w:r>
        <w:rPr>
          <w:rFonts w:hint="eastAsia" w:ascii="宋体" w:hAnsi="宋体" w:eastAsia="宋体" w:cs="宋体"/>
          <w:sz w:val="24"/>
          <w:highlight w:val="none"/>
        </w:rPr>
        <w:t>：_________________________________</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eastAsia="zh-CN"/>
        </w:rPr>
      </w:pPr>
      <w:r>
        <w:rPr>
          <w:rFonts w:hint="eastAsia" w:ascii="宋体" w:hAnsi="宋体" w:eastAsia="宋体" w:cs="宋体"/>
          <w:sz w:val="24"/>
          <w:highlight w:val="none"/>
        </w:rPr>
        <w:t>委托代理人（签字或签章）：</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lang w:val="en-US" w:eastAsia="zh-CN"/>
        </w:rPr>
      </w:pPr>
      <w:r>
        <w:rPr>
          <w:rFonts w:hint="eastAsia" w:ascii="宋体" w:hAnsi="宋体" w:eastAsia="宋体" w:cs="宋体"/>
          <w:sz w:val="24"/>
          <w:highlight w:val="none"/>
        </w:rPr>
        <w:t>身份证号码：</w:t>
      </w:r>
      <w:r>
        <w:rPr>
          <w:rFonts w:hint="eastAsia" w:ascii="宋体" w:hAnsi="宋体" w:eastAsia="宋体" w:cs="宋体"/>
          <w:sz w:val="24"/>
          <w:highlight w:val="none"/>
          <w:u w:val="single"/>
        </w:rPr>
        <w:t xml:space="preserve">                                </w:t>
      </w:r>
      <w:r>
        <w:rPr>
          <w:rFonts w:hint="eastAsia" w:hAnsi="宋体" w:eastAsia="宋体" w:cs="宋体"/>
          <w:sz w:val="24"/>
          <w:highlight w:val="none"/>
          <w:u w:val="single"/>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详细通讯地址：</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邮 政 编 码 ：</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传　　　　真：</w:t>
      </w:r>
      <w:r>
        <w:rPr>
          <w:rFonts w:hint="eastAsia" w:ascii="宋体" w:hAnsi="宋体" w:eastAsia="宋体" w:cs="宋体"/>
          <w:sz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highlight w:val="none"/>
          <w:u w:val="single"/>
        </w:rPr>
      </w:pPr>
      <w:r>
        <w:rPr>
          <w:rFonts w:hint="eastAsia" w:ascii="宋体" w:hAnsi="宋体" w:eastAsia="宋体" w:cs="宋体"/>
          <w:sz w:val="24"/>
          <w:highlight w:val="none"/>
        </w:rPr>
        <w:t>电　　　　话：</w:t>
      </w:r>
      <w:r>
        <w:rPr>
          <w:rFonts w:hint="eastAsia" w:ascii="宋体" w:hAnsi="宋体" w:eastAsia="宋体" w:cs="宋体"/>
          <w:sz w:val="24"/>
          <w:highlight w:val="none"/>
          <w:u w:val="single"/>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kern w:val="0"/>
          <w:sz w:val="24"/>
          <w:szCs w:val="24"/>
          <w:highlight w:val="none"/>
          <w:lang w:val="en-US" w:eastAsia="zh-CN"/>
        </w:rPr>
      </w:pPr>
    </w:p>
    <w:p>
      <w:pPr>
        <w:pStyle w:val="5"/>
        <w:outlineLvl w:val="9"/>
        <w:rPr>
          <w:rFonts w:hint="eastAsia" w:ascii="宋体" w:hAnsi="宋体" w:eastAsia="宋体" w:cs="宋体"/>
          <w:b w:val="0"/>
          <w:bCs w:val="0"/>
          <w:color w:val="000000"/>
          <w:kern w:val="0"/>
          <w:sz w:val="24"/>
          <w:szCs w:val="24"/>
          <w:highlight w:val="none"/>
          <w:lang w:val="en-US" w:eastAsia="zh-CN"/>
        </w:rPr>
      </w:pPr>
    </w:p>
    <w:p>
      <w:pPr>
        <w:pStyle w:val="6"/>
        <w:rPr>
          <w:rFonts w:hint="eastAsia"/>
          <w:lang w:val="en-US" w:eastAsia="zh-CN"/>
        </w:rPr>
      </w:pPr>
    </w:p>
    <w:p>
      <w:pPr>
        <w:pStyle w:val="6"/>
        <w:rPr>
          <w:rFonts w:hint="eastAsia"/>
          <w:lang w:val="en-US" w:eastAsia="zh-CN"/>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的农药包装废弃物回收处理承诺书扫描件。</w:t>
      </w:r>
    </w:p>
    <w:p>
      <w:pPr>
        <w:pStyle w:val="5"/>
        <w:numPr>
          <w:ilvl w:val="0"/>
          <w:numId w:val="0"/>
        </w:numPr>
        <w:ind w:leftChars="0"/>
        <w:outlineLvl w:val="9"/>
        <w:rPr>
          <w:rFonts w:hint="eastAsia"/>
          <w:lang w:val="en-US" w:eastAsia="zh-CN"/>
        </w:rPr>
      </w:pPr>
    </w:p>
    <w:p>
      <w:pPr>
        <w:pStyle w:val="6"/>
        <w:rPr>
          <w:rFonts w:hint="eastAsia"/>
          <w:lang w:val="en-US" w:eastAsia="zh-CN"/>
        </w:rPr>
      </w:pPr>
    </w:p>
    <w:p>
      <w:pPr>
        <w:pStyle w:val="7"/>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4、提供近两年内任意一年的（2022年或2023年）财务审计报告（新成立未满一年的公司可提供近六个月内任意一个月的银行资信证明）</w:t>
      </w:r>
    </w:p>
    <w:p>
      <w:pPr>
        <w:pStyle w:val="5"/>
        <w:keepNext/>
        <w:keepLines/>
        <w:widowControl w:val="0"/>
        <w:numPr>
          <w:ilvl w:val="0"/>
          <w:numId w:val="0"/>
        </w:numPr>
        <w:autoSpaceDE w:val="0"/>
        <w:autoSpaceDN w:val="0"/>
        <w:adjustRightInd w:val="0"/>
        <w:snapToGrid w:val="0"/>
        <w:spacing w:before="120" w:after="120"/>
        <w:jc w:val="left"/>
        <w:outlineLvl w:val="9"/>
        <w:rPr>
          <w:rFonts w:hint="eastAsia"/>
          <w:lang w:val="en-US" w:eastAsia="zh-CN"/>
        </w:rPr>
      </w:pPr>
    </w:p>
    <w:p>
      <w:pPr>
        <w:rPr>
          <w:rFonts w:hint="eastAsia"/>
          <w:lang w:val="en-US" w:eastAsia="zh-CN"/>
        </w:rPr>
      </w:pPr>
    </w:p>
    <w:p>
      <w:pPr>
        <w:pStyle w:val="5"/>
        <w:outlineLvl w:val="9"/>
        <w:rPr>
          <w:rFonts w:hint="eastAsia"/>
          <w:lang w:val="en-US" w:eastAsia="zh-CN"/>
        </w:rPr>
      </w:pPr>
    </w:p>
    <w:p>
      <w:pPr>
        <w:pStyle w:val="6"/>
        <w:rPr>
          <w:rFonts w:hint="eastAsia"/>
          <w:lang w:val="en-US" w:eastAsia="zh-CN"/>
        </w:rPr>
      </w:pPr>
    </w:p>
    <w:p>
      <w:pPr>
        <w:pStyle w:val="7"/>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5、根据《财政部关于在政府采购活动中查询及使用信用记录有关问题的通知》（财库﹝2016﹞125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000000"/>
          <w:kern w:val="0"/>
          <w:sz w:val="28"/>
          <w:szCs w:val="28"/>
          <w:highlight w:val="none"/>
          <w:lang w:val="en-US" w:eastAsia="zh-CN"/>
        </w:rPr>
      </w:pPr>
    </w:p>
    <w:p>
      <w:pPr>
        <w:pStyle w:val="7"/>
        <w:rPr>
          <w:rFonts w:hint="eastAsia"/>
          <w:lang w:val="en-US" w:eastAsia="zh-CN"/>
        </w:rPr>
      </w:pPr>
    </w:p>
    <w:p>
      <w:pPr>
        <w:rPr>
          <w:rFonts w:hint="eastAsia"/>
          <w:lang w:val="en-US" w:eastAsia="zh-CN"/>
        </w:rPr>
      </w:pPr>
    </w:p>
    <w:p>
      <w:pPr>
        <w:pStyle w:val="5"/>
        <w:outlineLvl w:val="9"/>
        <w:rPr>
          <w:rFonts w:hint="eastAsia"/>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Chars="0"/>
        <w:jc w:val="center"/>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本单位缴纳的近六个月任意一个月的社保缴纳证明及具有税务局开具依法缴纳近六个月任意一个月的完税证明</w:t>
      </w:r>
    </w:p>
    <w:p>
      <w:pPr>
        <w:pStyle w:val="5"/>
        <w:keepNext/>
        <w:keepLines/>
        <w:widowControl w:val="0"/>
        <w:numPr>
          <w:ilvl w:val="0"/>
          <w:numId w:val="0"/>
        </w:numPr>
        <w:autoSpaceDE w:val="0"/>
        <w:autoSpaceDN w:val="0"/>
        <w:adjustRightInd w:val="0"/>
        <w:snapToGrid w:val="0"/>
        <w:spacing w:before="120" w:after="120"/>
        <w:jc w:val="left"/>
        <w:outlineLvl w:val="9"/>
        <w:rPr>
          <w:rFonts w:hint="eastAsia"/>
          <w:lang w:val="en-US" w:eastAsia="zh-CN"/>
        </w:rPr>
      </w:pP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参加政府采购活动前3年内在经营活动中没有重大违法记录的书面声明（格式自拟）</w:t>
      </w:r>
    </w:p>
    <w:p>
      <w:pPr>
        <w:pStyle w:val="5"/>
        <w:keepNext/>
        <w:keepLines/>
        <w:widowControl w:val="0"/>
        <w:numPr>
          <w:ilvl w:val="0"/>
          <w:numId w:val="0"/>
        </w:numPr>
        <w:autoSpaceDE w:val="0"/>
        <w:autoSpaceDN w:val="0"/>
        <w:adjustRightInd w:val="0"/>
        <w:snapToGrid w:val="0"/>
        <w:spacing w:before="120" w:after="120"/>
        <w:jc w:val="left"/>
        <w:outlineLvl w:val="9"/>
        <w:rPr>
          <w:rFonts w:hint="eastAsia"/>
          <w:lang w:val="en-US" w:eastAsia="zh-CN"/>
        </w:rPr>
      </w:pPr>
    </w:p>
    <w:p>
      <w:pPr>
        <w:pStyle w:val="6"/>
        <w:rPr>
          <w:rFonts w:hint="eastAsia"/>
          <w:lang w:val="en-US" w:eastAsia="zh-CN"/>
        </w:rPr>
      </w:pPr>
    </w:p>
    <w:p>
      <w:pPr>
        <w:pStyle w:val="7"/>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8、投标单位（供应商）针对本次项目《反商业承诺书》（格式自拟）</w:t>
      </w:r>
    </w:p>
    <w:p>
      <w:pPr>
        <w:pStyle w:val="6"/>
        <w:jc w:val="both"/>
        <w:rPr>
          <w:rFonts w:hint="eastAsia"/>
          <w:lang w:val="en-US" w:eastAsia="zh-CN"/>
        </w:rPr>
      </w:pPr>
    </w:p>
    <w:p>
      <w:pPr>
        <w:pStyle w:val="7"/>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9、</w:t>
      </w:r>
      <w:r>
        <w:rPr>
          <w:rFonts w:hint="default" w:ascii="宋体" w:hAnsi="宋体" w:eastAsia="宋体" w:cs="宋体"/>
          <w:b w:val="0"/>
          <w:bCs w:val="0"/>
          <w:color w:val="000000"/>
          <w:kern w:val="0"/>
          <w:sz w:val="28"/>
          <w:szCs w:val="28"/>
          <w:highlight w:val="none"/>
          <w:lang w:val="en-US" w:eastAsia="zh-CN"/>
        </w:rPr>
        <w:t>谈判保证金的有效凭证</w:t>
      </w:r>
      <w:r>
        <w:rPr>
          <w:rFonts w:hint="eastAsia" w:ascii="宋体" w:hAnsi="宋体" w:eastAsia="宋体" w:cs="宋体"/>
          <w:b w:val="0"/>
          <w:bCs w:val="0"/>
          <w:color w:val="000000"/>
          <w:kern w:val="0"/>
          <w:sz w:val="28"/>
          <w:szCs w:val="28"/>
          <w:highlight w:val="none"/>
          <w:lang w:val="en-US" w:eastAsia="zh-CN"/>
        </w:rPr>
        <w:t>或保函</w:t>
      </w:r>
    </w:p>
    <w:p>
      <w:pPr>
        <w:keepNext w:val="0"/>
        <w:keepLines w:val="0"/>
        <w:widowControl/>
        <w:suppressLineNumbers w:val="0"/>
        <w:ind w:firstLine="1200" w:firstLineChars="5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说明：提供付款凭证或金融机构、担保机构出具的保函复印件</w:t>
      </w:r>
    </w:p>
    <w:p>
      <w:pPr>
        <w:pStyle w:val="5"/>
        <w:outlineLvl w:val="9"/>
        <w:rPr>
          <w:rFonts w:hint="eastAsia" w:ascii="宋体" w:hAnsi="宋体" w:eastAsia="宋体" w:cs="宋体"/>
          <w:color w:val="000000"/>
          <w:kern w:val="0"/>
          <w:sz w:val="24"/>
          <w:szCs w:val="24"/>
          <w:lang w:val="en-US" w:eastAsia="zh-CN" w:bidi="ar"/>
        </w:rPr>
      </w:pPr>
    </w:p>
    <w:p>
      <w:pPr>
        <w:pStyle w:val="6"/>
        <w:rPr>
          <w:rFonts w:hint="eastAsia"/>
          <w:lang w:val="en-US" w:eastAsia="zh-CN"/>
        </w:rPr>
      </w:pPr>
    </w:p>
    <w:p>
      <w:pPr>
        <w:pStyle w:val="7"/>
        <w:rPr>
          <w:rFonts w:hint="eastAsia"/>
          <w:lang w:val="en-US" w:eastAsia="zh-CN"/>
        </w:rPr>
      </w:pPr>
    </w:p>
    <w:p>
      <w:pPr>
        <w:rPr>
          <w:rFonts w:hint="eastAsia"/>
          <w:lang w:val="en-US" w:eastAsia="zh-CN"/>
        </w:rPr>
      </w:pPr>
    </w:p>
    <w:p>
      <w:pPr>
        <w:pStyle w:val="6"/>
        <w:numPr>
          <w:ilvl w:val="0"/>
          <w:numId w:val="7"/>
        </w:numPr>
        <w:ind w:left="0" w:leftChars="0" w:firstLine="0" w:firstLineChars="0"/>
        <w:rPr>
          <w:rFonts w:hint="eastAsia" w:ascii="宋体" w:hAnsi="宋体" w:eastAsia="宋体" w:cs="宋体"/>
          <w:b w:val="0"/>
          <w:bCs w:val="0"/>
          <w:color w:val="000000"/>
          <w:kern w:val="0"/>
          <w:sz w:val="28"/>
          <w:szCs w:val="28"/>
          <w:highlight w:val="none"/>
          <w:lang w:val="en-US" w:eastAsia="zh-CN"/>
        </w:rPr>
      </w:pPr>
      <w:r>
        <w:rPr>
          <w:rFonts w:hint="eastAsia" w:ascii="宋体" w:hAnsi="宋体" w:eastAsia="宋体" w:cs="宋体"/>
          <w:b w:val="0"/>
          <w:bCs w:val="0"/>
          <w:color w:val="000000"/>
          <w:kern w:val="0"/>
          <w:sz w:val="28"/>
          <w:szCs w:val="28"/>
          <w:highlight w:val="none"/>
          <w:lang w:val="en-US" w:eastAsia="zh-CN"/>
        </w:rPr>
        <w:t>投标人可提供有利于投标的其他资格证明材料。</w:t>
      </w: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rPr>
          <w:rFonts w:hint="eastAsia"/>
          <w:lang w:val="en-US" w:eastAsia="zh-CN"/>
        </w:rPr>
      </w:pPr>
    </w:p>
    <w:p>
      <w:pPr>
        <w:pStyle w:val="6"/>
        <w:numPr>
          <w:ilvl w:val="0"/>
          <w:numId w:val="0"/>
        </w:numPr>
        <w:ind w:leftChars="0" w:firstLine="240" w:firstLineChars="100"/>
        <w:rPr>
          <w:rFonts w:hint="eastAsia"/>
          <w:lang w:val="en-US" w:eastAsia="zh-CN"/>
        </w:rPr>
      </w:pPr>
      <w:r>
        <w:rPr>
          <w:rFonts w:hint="eastAsia"/>
          <w:lang w:val="en-US" w:eastAsia="zh-CN"/>
        </w:rPr>
        <w:t>注：(1)近六个月任意一个月是指2023年10月-2024年3月任意一个月;(2)完税证明若为零申报企业，需提供国家税务总局电子税务局“申报结果查询截图”，税务局代收的社保缴费证明不可作为本项目的完税证明（“税种”不可为养老保险、医疗保险、失业保险、工伤保险和生育保险）。</w:t>
      </w:r>
    </w:p>
    <w:p>
      <w:pPr>
        <w:pStyle w:val="6"/>
        <w:rPr>
          <w:rFonts w:hint="eastAsia"/>
          <w:lang w:val="en-US" w:eastAsia="zh-CN"/>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6"/>
        <w:rPr>
          <w:rFonts w:hint="eastAsia" w:ascii="宋体" w:hAnsi="宋体" w:eastAsia="宋体" w:cs="宋体"/>
          <w:color w:val="000000"/>
          <w:kern w:val="0"/>
          <w:sz w:val="24"/>
          <w:szCs w:val="24"/>
          <w:lang w:val="en-US" w:eastAsia="zh-CN" w:bidi="ar"/>
        </w:rPr>
      </w:pPr>
    </w:p>
    <w:p>
      <w:pPr>
        <w:pStyle w:val="7"/>
        <w:rPr>
          <w:rFonts w:hint="eastAsia" w:ascii="宋体" w:hAnsi="宋体" w:eastAsia="宋体" w:cs="宋体"/>
          <w:color w:val="000000"/>
          <w:kern w:val="0"/>
          <w:sz w:val="24"/>
          <w:szCs w:val="24"/>
          <w:lang w:val="en-US" w:eastAsia="zh-CN" w:bidi="ar"/>
        </w:rPr>
      </w:pPr>
    </w:p>
    <w:p>
      <w:pPr>
        <w:rPr>
          <w:rFonts w:hint="eastAsia" w:ascii="宋体" w:hAnsi="宋体" w:eastAsia="宋体" w:cs="宋体"/>
          <w:color w:val="000000"/>
          <w:kern w:val="0"/>
          <w:sz w:val="24"/>
          <w:szCs w:val="24"/>
          <w:lang w:val="en-US" w:eastAsia="zh-CN" w:bidi="ar"/>
        </w:rPr>
      </w:pPr>
    </w:p>
    <w:p>
      <w:pPr>
        <w:pStyle w:val="23"/>
        <w:rPr>
          <w:rFonts w:hint="eastAsia" w:ascii="宋体" w:hAnsi="宋体" w:eastAsia="宋体" w:cs="宋体"/>
          <w:color w:val="000000"/>
          <w:kern w:val="0"/>
          <w:sz w:val="24"/>
          <w:szCs w:val="24"/>
          <w:lang w:val="en-US" w:eastAsia="zh-CN" w:bidi="ar"/>
        </w:rPr>
      </w:pPr>
    </w:p>
    <w:p>
      <w:pPr>
        <w:pStyle w:val="4"/>
        <w:numPr>
          <w:ilvl w:val="0"/>
          <w:numId w:val="8"/>
        </w:numPr>
        <w:bidi w:val="0"/>
        <w:jc w:val="center"/>
        <w:rPr>
          <w:rFonts w:hint="default"/>
          <w:lang w:val="en-US" w:eastAsia="zh-CN"/>
        </w:rPr>
      </w:pPr>
      <w:r>
        <w:rPr>
          <w:rFonts w:hint="default"/>
          <w:lang w:val="en-US" w:eastAsia="zh-CN"/>
        </w:rPr>
        <w:t xml:space="preserve"> 商务及技术文件</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1、响应书</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2、</w:t>
      </w:r>
      <w:r>
        <w:rPr>
          <w:rFonts w:hint="eastAsia" w:ascii="宋体" w:hAnsi="宋体"/>
          <w:sz w:val="24"/>
          <w:szCs w:val="32"/>
        </w:rPr>
        <w:t>投标分项报价表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3</w:t>
      </w:r>
      <w:r>
        <w:rPr>
          <w:rFonts w:hint="default" w:ascii="宋体" w:hAnsi="宋体" w:eastAsia="宋体" w:cs="宋体"/>
          <w:b w:val="0"/>
          <w:bCs w:val="0"/>
          <w:color w:val="000000"/>
          <w:kern w:val="0"/>
          <w:sz w:val="24"/>
          <w:szCs w:val="24"/>
          <w:highlight w:val="none"/>
          <w:lang w:val="en-US" w:eastAsia="zh-CN" w:bidi="ar-SA"/>
        </w:rPr>
        <w:t>、技术规格偏离表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4</w:t>
      </w:r>
      <w:r>
        <w:rPr>
          <w:rFonts w:hint="default" w:ascii="宋体" w:hAnsi="宋体" w:eastAsia="宋体" w:cs="宋体"/>
          <w:b w:val="0"/>
          <w:bCs w:val="0"/>
          <w:color w:val="000000"/>
          <w:kern w:val="0"/>
          <w:sz w:val="24"/>
          <w:szCs w:val="24"/>
          <w:highlight w:val="none"/>
          <w:lang w:val="en-US" w:eastAsia="zh-CN" w:bidi="ar-SA"/>
        </w:rPr>
        <w:t>、商务条款偏离表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-1</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中小企业声明函</w:t>
      </w:r>
      <w:r>
        <w:rPr>
          <w:rFonts w:hint="eastAsia" w:ascii="宋体" w:hAnsi="宋体" w:eastAsia="宋体" w:cs="宋体"/>
          <w:b w:val="0"/>
          <w:bCs w:val="0"/>
          <w:color w:val="000000"/>
          <w:kern w:val="0"/>
          <w:sz w:val="24"/>
          <w:szCs w:val="24"/>
          <w:highlight w:val="none"/>
          <w:lang w:val="en-US" w:eastAsia="zh-CN" w:bidi="ar-SA"/>
        </w:rPr>
        <w:t>（可选）</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w:t>
      </w:r>
      <w:r>
        <w:rPr>
          <w:rFonts w:hint="default" w:ascii="宋体" w:hAnsi="宋体" w:eastAsia="宋体" w:cs="宋体"/>
          <w:b w:val="0"/>
          <w:bCs w:val="0"/>
          <w:color w:val="000000"/>
          <w:kern w:val="0"/>
          <w:sz w:val="24"/>
          <w:szCs w:val="24"/>
          <w:highlight w:val="none"/>
          <w:lang w:val="en-US" w:eastAsia="zh-CN" w:bidi="ar-SA"/>
        </w:rPr>
        <w:t>-2</w:t>
      </w:r>
      <w:r>
        <w:rPr>
          <w:rFonts w:hint="eastAsia" w:ascii="宋体" w:hAnsi="宋体" w:eastAsia="宋体" w:cs="宋体"/>
          <w:b w:val="0"/>
          <w:bCs w:val="0"/>
          <w:color w:val="000000"/>
          <w:kern w:val="0"/>
          <w:sz w:val="24"/>
          <w:szCs w:val="24"/>
          <w:highlight w:val="none"/>
          <w:lang w:val="en-US" w:eastAsia="zh-CN" w:bidi="ar-SA"/>
        </w:rPr>
        <w:t xml:space="preserve"> </w:t>
      </w:r>
      <w:r>
        <w:rPr>
          <w:rFonts w:hint="default" w:ascii="宋体" w:hAnsi="宋体" w:eastAsia="宋体" w:cs="宋体"/>
          <w:b w:val="0"/>
          <w:bCs w:val="0"/>
          <w:color w:val="000000"/>
          <w:kern w:val="0"/>
          <w:sz w:val="24"/>
          <w:szCs w:val="24"/>
          <w:highlight w:val="none"/>
          <w:lang w:val="en-US" w:eastAsia="zh-CN" w:bidi="ar-SA"/>
        </w:rPr>
        <w:t>残疾人福利性单位声明函</w:t>
      </w:r>
      <w:r>
        <w:rPr>
          <w:rFonts w:hint="eastAsia" w:ascii="宋体" w:hAnsi="宋体" w:eastAsia="宋体" w:cs="宋体"/>
          <w:b w:val="0"/>
          <w:bCs w:val="0"/>
          <w:color w:val="000000"/>
          <w:kern w:val="0"/>
          <w:sz w:val="24"/>
          <w:szCs w:val="24"/>
          <w:highlight w:val="none"/>
          <w:lang w:val="en-US" w:eastAsia="zh-CN" w:bidi="ar-SA"/>
        </w:rPr>
        <w:t>（可选）</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5-3监狱企业证明（可选）</w:t>
      </w:r>
    </w:p>
    <w:p>
      <w:pPr>
        <w:pStyle w:val="19"/>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政府采购诚信投标承诺书</w:t>
      </w:r>
    </w:p>
    <w:p>
      <w:pPr>
        <w:pStyle w:val="19"/>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000000"/>
          <w:kern w:val="0"/>
          <w:sz w:val="24"/>
          <w:szCs w:val="24"/>
          <w:highlight w:val="none"/>
          <w:lang w:val="en-US" w:eastAsia="zh-CN" w:bidi="ar-SA"/>
        </w:rPr>
      </w:pPr>
      <w:r>
        <w:rPr>
          <w:rFonts w:ascii="宋体" w:hAnsi="宋体" w:eastAsia="宋体" w:cs="宋体"/>
          <w:sz w:val="24"/>
          <w:szCs w:val="24"/>
        </w:rPr>
        <w:t>供应商关联单位的说明</w:t>
      </w:r>
    </w:p>
    <w:p>
      <w:pPr>
        <w:pStyle w:val="19"/>
        <w:keepNext w:val="0"/>
        <w:keepLines w:val="0"/>
        <w:pageBreakBefore w:val="0"/>
        <w:widowControl w:val="0"/>
        <w:numPr>
          <w:ilvl w:val="0"/>
          <w:numId w:val="9"/>
        </w:numPr>
        <w:kinsoku/>
        <w:wordWrap/>
        <w:overflowPunct/>
        <w:topLinePunct w:val="0"/>
        <w:autoSpaceDE/>
        <w:autoSpaceDN/>
        <w:bidi w:val="0"/>
        <w:adjustRightInd/>
        <w:snapToGrid w:val="0"/>
        <w:spacing w:line="360" w:lineRule="auto"/>
        <w:ind w:left="0" w:leftChars="0" w:firstLine="0" w:firstLineChars="0"/>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提供其他有利于谈判的证明材料</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default" w:ascii="宋体" w:hAnsi="宋体" w:eastAsia="宋体" w:cs="宋体"/>
          <w:b w:val="0"/>
          <w:bCs w:val="0"/>
          <w:color w:val="000000"/>
          <w:kern w:val="0"/>
          <w:sz w:val="24"/>
          <w:szCs w:val="24"/>
          <w:highlight w:val="none"/>
          <w:lang w:val="en-US" w:eastAsia="zh-CN" w:bidi="ar-SA"/>
        </w:rPr>
        <w:t>响应文件包括但不仅限于上述内容，如有不足，请自行补充提供</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5"/>
        <w:numPr>
          <w:ilvl w:val="0"/>
          <w:numId w:val="0"/>
        </w:numPr>
        <w:ind w:firstLine="3240" w:firstLineChars="900"/>
        <w:jc w:val="both"/>
        <w:rPr>
          <w:rFonts w:hint="eastAsia" w:ascii="宋体" w:hAnsi="宋体" w:eastAsia="宋体" w:cs="宋体"/>
          <w:b w:val="0"/>
          <w:bCs/>
          <w:i w:val="0"/>
          <w:iCs w:val="0"/>
          <w:sz w:val="24"/>
          <w:szCs w:val="24"/>
          <w:highlight w:val="none"/>
        </w:rPr>
      </w:pPr>
      <w:bookmarkStart w:id="460" w:name="_Toc18122"/>
      <w:bookmarkStart w:id="461" w:name="_Toc27303"/>
      <w:bookmarkStart w:id="462" w:name="_Toc17053"/>
      <w:bookmarkStart w:id="463" w:name="_Toc12135"/>
      <w:bookmarkStart w:id="464" w:name="_Toc14915"/>
      <w:bookmarkStart w:id="465" w:name="_Toc515647817"/>
      <w:bookmarkStart w:id="466" w:name="_Toc2041"/>
      <w:bookmarkStart w:id="467" w:name="_Toc24846"/>
      <w:r>
        <w:rPr>
          <w:rFonts w:hint="eastAsia" w:ascii="宋体" w:hAnsi="宋体" w:eastAsia="宋体" w:cs="宋体"/>
          <w:b w:val="0"/>
          <w:bCs/>
          <w:i w:val="0"/>
          <w:iCs w:val="0"/>
          <w:sz w:val="36"/>
          <w:szCs w:val="36"/>
          <w:highlight w:val="none"/>
          <w:lang w:val="en-US" w:eastAsia="zh-CN"/>
        </w:rPr>
        <w:t>1</w:t>
      </w:r>
      <w:r>
        <w:rPr>
          <w:rFonts w:hint="eastAsia" w:eastAsia="宋体" w:cs="宋体"/>
          <w:b w:val="0"/>
          <w:bCs/>
          <w:i w:val="0"/>
          <w:iCs w:val="0"/>
          <w:sz w:val="36"/>
          <w:szCs w:val="36"/>
          <w:highlight w:val="none"/>
          <w:lang w:val="en-US" w:eastAsia="zh-CN"/>
        </w:rPr>
        <w:t>、</w:t>
      </w:r>
      <w:r>
        <w:rPr>
          <w:rFonts w:hint="eastAsia" w:ascii="宋体" w:hAnsi="宋体" w:eastAsia="宋体" w:cs="宋体"/>
          <w:b w:val="0"/>
          <w:bCs/>
          <w:i w:val="0"/>
          <w:iCs w:val="0"/>
          <w:sz w:val="36"/>
          <w:szCs w:val="36"/>
          <w:highlight w:val="none"/>
        </w:rPr>
        <w:t>响应书</w:t>
      </w:r>
      <w:bookmarkEnd w:id="460"/>
      <w:bookmarkEnd w:id="461"/>
      <w:bookmarkEnd w:id="462"/>
      <w:bookmarkEnd w:id="463"/>
      <w:bookmarkEnd w:id="464"/>
      <w:bookmarkEnd w:id="465"/>
      <w:bookmarkEnd w:id="466"/>
      <w:bookmarkEnd w:id="467"/>
    </w:p>
    <w:p>
      <w:pPr>
        <w:tabs>
          <w:tab w:val="left" w:pos="5580"/>
        </w:tabs>
        <w:spacing w:line="240" w:lineRule="atLeast"/>
        <w:ind w:left="1080" w:hanging="1080"/>
        <w:rPr>
          <w:rFonts w:hint="eastAsia" w:ascii="宋体" w:hAnsi="宋体" w:eastAsia="宋体" w:cs="宋体"/>
          <w:i w:val="0"/>
          <w:iCs w:val="0"/>
          <w:sz w:val="24"/>
          <w:szCs w:val="24"/>
          <w:highlight w:val="none"/>
        </w:rPr>
      </w:pPr>
    </w:p>
    <w:p>
      <w:pPr>
        <w:tabs>
          <w:tab w:val="left" w:pos="5580"/>
        </w:tabs>
        <w:spacing w:line="240" w:lineRule="atLeast"/>
        <w:ind w:left="1080" w:hanging="1080"/>
        <w:rPr>
          <w:rFonts w:hint="eastAsia" w:ascii="宋体" w:hAnsi="宋体" w:eastAsia="宋体" w:cs="宋体"/>
          <w:i w:val="0"/>
          <w:iCs w:val="0"/>
          <w:sz w:val="24"/>
          <w:szCs w:val="24"/>
          <w:highlight w:val="none"/>
          <w:lang w:eastAsia="zh-CN"/>
        </w:rPr>
      </w:pPr>
      <w:r>
        <w:rPr>
          <w:rFonts w:hint="eastAsia" w:ascii="宋体" w:hAnsi="宋体" w:eastAsia="宋体" w:cs="宋体"/>
          <w:i w:val="0"/>
          <w:iCs w:val="0"/>
          <w:sz w:val="24"/>
          <w:szCs w:val="24"/>
          <w:highlight w:val="none"/>
        </w:rPr>
        <w:t>致：</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rPr>
        <w:t>采购代理机构</w:t>
      </w:r>
      <w:r>
        <w:rPr>
          <w:rFonts w:hint="eastAsia" w:ascii="宋体" w:hAnsi="宋体" w:eastAsia="宋体" w:cs="宋体"/>
          <w:i w:val="0"/>
          <w:iCs w:val="0"/>
          <w:sz w:val="24"/>
          <w:szCs w:val="24"/>
          <w:highlight w:val="none"/>
          <w:u w:val="single"/>
          <w:lang w:eastAsia="zh-CN"/>
        </w:rPr>
        <w:t>单位名称）</w:t>
      </w:r>
    </w:p>
    <w:p>
      <w:pPr>
        <w:pStyle w:val="11"/>
        <w:tabs>
          <w:tab w:val="left" w:pos="5580"/>
        </w:tabs>
        <w:spacing w:line="240" w:lineRule="atLeast"/>
        <w:ind w:left="1080" w:leftChars="257" w:hanging="540"/>
        <w:rPr>
          <w:rFonts w:hint="eastAsia" w:ascii="宋体" w:hAnsi="宋体" w:eastAsia="宋体" w:cs="宋体"/>
          <w:i w:val="0"/>
          <w:iCs w:val="0"/>
          <w:sz w:val="24"/>
          <w:szCs w:val="24"/>
          <w:highlight w:val="none"/>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2" w:leftChars="1" w:firstLine="480" w:firstLineChars="20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根据贵方</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项目名称</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项目的谈判邀请</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项目</w:t>
      </w:r>
      <w:r>
        <w:rPr>
          <w:rFonts w:hint="eastAsia" w:ascii="宋体" w:hAnsi="宋体" w:eastAsia="宋体" w:cs="宋体"/>
          <w:i w:val="0"/>
          <w:iCs w:val="0"/>
          <w:sz w:val="24"/>
          <w:szCs w:val="24"/>
          <w:highlight w:val="none"/>
          <w:u w:val="single"/>
        </w:rPr>
        <w:t>编号</w:t>
      </w:r>
      <w:r>
        <w:rPr>
          <w:rFonts w:hint="eastAsia" w:ascii="宋体" w:hAnsi="宋体" w:eastAsia="宋体" w:cs="宋体"/>
          <w:i w:val="0"/>
          <w:iCs w:val="0"/>
          <w:sz w:val="24"/>
          <w:szCs w:val="24"/>
          <w:highlight w:val="none"/>
          <w:u w:val="singl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rPr>
        <w:t>,签字代表(</w:t>
      </w:r>
      <w:r>
        <w:rPr>
          <w:rFonts w:hint="eastAsia" w:ascii="宋体" w:hAnsi="宋体" w:eastAsia="宋体" w:cs="宋体"/>
          <w:i w:val="0"/>
          <w:iCs w:val="0"/>
          <w:sz w:val="24"/>
          <w:szCs w:val="24"/>
          <w:highlight w:val="none"/>
          <w:u w:val="single"/>
        </w:rPr>
        <w:t>姓名、职务</w:t>
      </w:r>
      <w:r>
        <w:rPr>
          <w:rFonts w:hint="eastAsia" w:ascii="宋体" w:hAnsi="宋体" w:eastAsia="宋体" w:cs="宋体"/>
          <w:i w:val="0"/>
          <w:iCs w:val="0"/>
          <w:sz w:val="24"/>
          <w:szCs w:val="24"/>
          <w:highlight w:val="none"/>
        </w:rPr>
        <w:t>)经正式授权并代表供应商（</w:t>
      </w:r>
      <w:r>
        <w:rPr>
          <w:rFonts w:hint="eastAsia" w:ascii="宋体" w:hAnsi="宋体" w:eastAsia="宋体" w:cs="宋体"/>
          <w:i w:val="0"/>
          <w:iCs w:val="0"/>
          <w:sz w:val="24"/>
          <w:szCs w:val="24"/>
          <w:highlight w:val="none"/>
          <w:u w:val="single"/>
        </w:rPr>
        <w:t>名称、地址</w:t>
      </w:r>
      <w:r>
        <w:rPr>
          <w:rFonts w:hint="eastAsia" w:ascii="宋体" w:hAnsi="宋体" w:eastAsia="宋体" w:cs="宋体"/>
          <w:i w:val="0"/>
          <w:iCs w:val="0"/>
          <w:sz w:val="24"/>
          <w:szCs w:val="24"/>
          <w:highlight w:val="none"/>
        </w:rPr>
        <w:t>），并以</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形式出具的金额为人民币</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rPr>
        <w:t>元的谈判保证金。</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据此，签字代表宣布同意如下：</w:t>
      </w:r>
    </w:p>
    <w:p>
      <w:pPr>
        <w:pStyle w:val="11"/>
        <w:keepNext w:val="0"/>
        <w:keepLines w:val="0"/>
        <w:pageBreakBefore w:val="0"/>
        <w:widowControl w:val="0"/>
        <w:tabs>
          <w:tab w:val="left" w:pos="720"/>
          <w:tab w:val="left" w:pos="900"/>
        </w:tabs>
        <w:kinsoku/>
        <w:wordWrap/>
        <w:overflowPunct/>
        <w:topLinePunct w:val="0"/>
        <w:autoSpaceDE/>
        <w:autoSpaceDN/>
        <w:bidi w:val="0"/>
        <w:adjustRightInd/>
        <w:snapToGrid/>
        <w:spacing w:line="312" w:lineRule="auto"/>
        <w:ind w:left="769" w:leftChars="257" w:hanging="229"/>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（1）附</w:t>
      </w:r>
      <w:r>
        <w:rPr>
          <w:rFonts w:hint="eastAsia" w:ascii="宋体" w:hAnsi="宋体" w:eastAsia="宋体" w:cs="宋体"/>
          <w:i w:val="0"/>
          <w:iCs w:val="0"/>
          <w:sz w:val="24"/>
          <w:szCs w:val="24"/>
          <w:highlight w:val="none"/>
          <w:lang w:eastAsia="zh-CN"/>
        </w:rPr>
        <w:t>所投</w:t>
      </w:r>
      <w:r>
        <w:rPr>
          <w:rFonts w:hint="eastAsia" w:ascii="宋体" w:hAnsi="宋体" w:eastAsia="宋体" w:cs="宋体"/>
          <w:i w:val="0"/>
          <w:iCs w:val="0"/>
          <w:sz w:val="24"/>
          <w:szCs w:val="24"/>
          <w:highlight w:val="none"/>
        </w:rPr>
        <w:t>价格表中规定的应提供</w:t>
      </w:r>
      <w:r>
        <w:rPr>
          <w:rFonts w:hint="eastAsia" w:hAnsi="宋体" w:eastAsia="宋体" w:cs="宋体"/>
          <w:i w:val="0"/>
          <w:iCs w:val="0"/>
          <w:sz w:val="24"/>
          <w:szCs w:val="24"/>
          <w:highlight w:val="none"/>
          <w:lang w:val="en-US" w:eastAsia="zh-CN"/>
        </w:rPr>
        <w:t>货物</w:t>
      </w:r>
      <w:r>
        <w:rPr>
          <w:rFonts w:hint="eastAsia" w:ascii="宋体" w:hAnsi="宋体" w:eastAsia="宋体" w:cs="宋体"/>
          <w:i w:val="0"/>
          <w:iCs w:val="0"/>
          <w:sz w:val="24"/>
          <w:szCs w:val="24"/>
          <w:highlight w:val="none"/>
        </w:rPr>
        <w:t>的标的总价详见报价一览表，</w:t>
      </w:r>
      <w:r>
        <w:rPr>
          <w:rFonts w:hint="eastAsia" w:ascii="宋体" w:hAnsi="宋体" w:eastAsia="宋体" w:cs="宋体"/>
          <w:i w:val="0"/>
          <w:iCs w:val="0"/>
          <w:sz w:val="24"/>
          <w:szCs w:val="24"/>
          <w:highlight w:val="none"/>
          <w:u w:val="single"/>
        </w:rPr>
        <w:t>其中由小型和</w:t>
      </w:r>
      <w:r>
        <w:rPr>
          <w:rFonts w:hint="eastAsia" w:ascii="宋体" w:hAnsi="宋体" w:eastAsia="宋体" w:cs="宋体"/>
          <w:i w:val="0"/>
          <w:iCs w:val="0"/>
          <w:sz w:val="24"/>
          <w:szCs w:val="24"/>
          <w:highlight w:val="none"/>
        </w:rPr>
        <w:t>微型企业制造产品的价格为</w:t>
      </w:r>
      <w:r>
        <w:rPr>
          <w:rFonts w:hint="eastAsia" w:ascii="宋体" w:hAnsi="宋体" w:eastAsia="宋体" w:cs="宋体"/>
          <w:i w:val="0"/>
          <w:iCs w:val="0"/>
          <w:sz w:val="24"/>
          <w:szCs w:val="24"/>
          <w:highlight w:val="none"/>
          <w:u w:val="single"/>
        </w:rPr>
        <w:t>　　  （用文字和数字表示），占标的总价   %</w:t>
      </w:r>
      <w:r>
        <w:rPr>
          <w:rFonts w:hint="eastAsia" w:ascii="宋体" w:hAnsi="宋体" w:eastAsia="宋体" w:cs="宋体"/>
          <w:i w:val="0"/>
          <w:iCs w:val="0"/>
          <w:sz w:val="24"/>
          <w:szCs w:val="24"/>
          <w:highlight w:val="none"/>
        </w:rPr>
        <w:t>。</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（2）本谈判有效期为自</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截止之日起</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个日历日。</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（3）联合体中的大中型企业和其他自然人、法人或者非法人组织，与联合体中的小型、微型企业之间</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存在、不存在）投资关系（如果是联合体的话）。</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（4）已详细审查全部谈判文件，包括所有补充通知（如果有的话），完全理解并同意放弃对这方面有不明、误解和质疑的权力。</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（5）在规定的谈判开启时间后，遵守谈判文件中有关保证金的规定。</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（6）我方不是为本项目提供整体设计、规范编制或者项目管理、监理、检测等服务的供应商，我方不是采购代理机构的附属机构。</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（7）在领取成交通知书的同时按谈判文件规定的形式，向贵方一次性支付成交服务费。</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（8）按照贵方可能要求，提供与其</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有关的一切数据或资料，完全理解贵方不一定接受最低价的</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或收到的任何</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（9）按照谈判文件的规定履行合同责任和义务。</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359" w:leftChars="68" w:hanging="216" w:hangingChars="9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 xml:space="preserve">  与本</w:t>
      </w:r>
      <w:r>
        <w:rPr>
          <w:rFonts w:hint="eastAsia" w:ascii="宋体" w:hAnsi="宋体" w:eastAsia="宋体" w:cs="宋体"/>
          <w:i w:val="0"/>
          <w:iCs w:val="0"/>
          <w:sz w:val="24"/>
          <w:szCs w:val="24"/>
          <w:highlight w:val="none"/>
          <w:lang w:eastAsia="zh-CN"/>
        </w:rPr>
        <w:t>谈判</w:t>
      </w:r>
      <w:r>
        <w:rPr>
          <w:rFonts w:hint="eastAsia" w:ascii="宋体" w:hAnsi="宋体" w:eastAsia="宋体" w:cs="宋体"/>
          <w:i w:val="0"/>
          <w:iCs w:val="0"/>
          <w:sz w:val="24"/>
          <w:szCs w:val="24"/>
          <w:highlight w:val="none"/>
        </w:rPr>
        <w:t>有关的一切正式往来信函请寄：</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rPr>
      </w:pPr>
      <w:r>
        <w:rPr>
          <w:rFonts w:hint="eastAsia" w:ascii="宋体" w:hAnsi="宋体" w:eastAsia="宋体" w:cs="宋体"/>
          <w:i w:val="0"/>
          <w:iCs w:val="0"/>
          <w:sz w:val="24"/>
          <w:szCs w:val="24"/>
          <w:highlight w:val="none"/>
        </w:rPr>
        <w:t>地址</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传真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电话</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r>
        <w:rPr>
          <w:rFonts w:hint="eastAsia" w:ascii="宋体" w:hAnsi="宋体" w:eastAsia="宋体" w:cs="宋体"/>
          <w:i w:val="0"/>
          <w:iCs w:val="0"/>
          <w:sz w:val="24"/>
          <w:szCs w:val="24"/>
          <w:highlight w:val="none"/>
        </w:rPr>
        <w:t xml:space="preserve">     电子函件</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法定代表人或其委托代理人签字</w:t>
      </w:r>
      <w:r>
        <w:rPr>
          <w:rFonts w:hint="eastAsia" w:ascii="宋体" w:hAnsi="宋体" w:eastAsia="宋体" w:cs="宋体"/>
          <w:i w:val="0"/>
          <w:iCs w:val="0"/>
          <w:sz w:val="24"/>
          <w:szCs w:val="24"/>
          <w:highlight w:val="none"/>
          <w:lang w:val="en-US" w:eastAsia="zh-CN"/>
        </w:rPr>
        <w:t>或盖章：</w:t>
      </w:r>
      <w:r>
        <w:rPr>
          <w:rFonts w:hint="eastAsia" w:ascii="宋体" w:hAnsi="宋体" w:eastAsia="宋体" w:cs="宋体"/>
          <w:i w:val="0"/>
          <w:iCs w:val="0"/>
          <w:sz w:val="24"/>
          <w:szCs w:val="24"/>
          <w:highlight w:val="none"/>
          <w:u w:val="single"/>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lang w:val="en-US" w:eastAsia="zh-CN"/>
        </w:rPr>
      </w:pPr>
      <w:r>
        <w:rPr>
          <w:rFonts w:hint="eastAsia" w:ascii="宋体" w:hAnsi="宋体" w:eastAsia="宋体" w:cs="宋体"/>
          <w:i w:val="0"/>
          <w:iCs w:val="0"/>
          <w:sz w:val="24"/>
          <w:szCs w:val="24"/>
          <w:highlight w:val="none"/>
        </w:rPr>
        <w:t>供应商名称（全称）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供应商开户银行（全称）</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i w:val="0"/>
          <w:iCs w:val="0"/>
          <w:sz w:val="24"/>
          <w:szCs w:val="24"/>
          <w:highlight w:val="none"/>
          <w:u w:val="single"/>
        </w:rPr>
      </w:pPr>
      <w:r>
        <w:rPr>
          <w:rFonts w:hint="eastAsia" w:ascii="宋体" w:hAnsi="宋体" w:eastAsia="宋体" w:cs="宋体"/>
          <w:i w:val="0"/>
          <w:iCs w:val="0"/>
          <w:sz w:val="24"/>
          <w:szCs w:val="24"/>
          <w:highlight w:val="none"/>
        </w:rPr>
        <w:t>供应商银行帐号</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u w:val="single"/>
        </w:rPr>
        <w:t>　　　　　　　　 　</w:t>
      </w:r>
      <w:r>
        <w:rPr>
          <w:rFonts w:hint="eastAsia" w:ascii="宋体" w:hAnsi="宋体" w:eastAsia="宋体" w:cs="宋体"/>
          <w:i w:val="0"/>
          <w:iCs w:val="0"/>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rPr>
        <w:t>　</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default" w:ascii="宋体" w:hAnsi="宋体" w:eastAsia="宋体" w:cs="宋体"/>
          <w:i w:val="0"/>
          <w:iCs w:val="0"/>
          <w:sz w:val="24"/>
          <w:szCs w:val="24"/>
          <w:highlight w:val="none"/>
          <w:u w:val="single"/>
          <w:lang w:val="en-US" w:eastAsia="zh-CN"/>
        </w:rPr>
      </w:pPr>
      <w:r>
        <w:rPr>
          <w:rFonts w:hint="eastAsia" w:ascii="宋体" w:hAnsi="宋体" w:eastAsia="宋体" w:cs="宋体"/>
          <w:i w:val="0"/>
          <w:iCs w:val="0"/>
          <w:sz w:val="24"/>
          <w:szCs w:val="24"/>
          <w:highlight w:val="none"/>
        </w:rPr>
        <w:t>供应商单位章</w:t>
      </w:r>
      <w:r>
        <w:rPr>
          <w:rFonts w:hint="eastAsia" w:ascii="宋体" w:hAnsi="宋体" w:eastAsia="宋体" w:cs="宋体"/>
          <w:i w:val="0"/>
          <w:iCs w:val="0"/>
          <w:sz w:val="24"/>
          <w:szCs w:val="24"/>
          <w:highlight w:val="none"/>
          <w:lang w:eastAsia="zh-CN"/>
        </w:rPr>
        <w:t>：</w:t>
      </w:r>
    </w:p>
    <w:p>
      <w:pPr>
        <w:pStyle w:val="11"/>
        <w:keepNext w:val="0"/>
        <w:keepLines w:val="0"/>
        <w:pageBreakBefore w:val="0"/>
        <w:widowControl w:val="0"/>
        <w:tabs>
          <w:tab w:val="left" w:pos="5580"/>
        </w:tabs>
        <w:kinsoku/>
        <w:wordWrap/>
        <w:overflowPunct/>
        <w:topLinePunct w:val="0"/>
        <w:autoSpaceDE/>
        <w:autoSpaceDN/>
        <w:bidi w:val="0"/>
        <w:adjustRightInd/>
        <w:snapToGrid/>
        <w:spacing w:line="312" w:lineRule="auto"/>
        <w:ind w:left="1080" w:leftChars="257" w:hanging="540"/>
        <w:textAlignment w:val="auto"/>
        <w:rPr>
          <w:rFonts w:hint="eastAsia" w:ascii="宋体" w:hAnsi="宋体" w:eastAsia="宋体" w:cs="宋体"/>
          <w:b w:val="0"/>
          <w:bCs w:val="0"/>
          <w:color w:val="000000"/>
          <w:kern w:val="0"/>
          <w:sz w:val="32"/>
          <w:szCs w:val="32"/>
          <w:highlight w:val="none"/>
          <w:lang w:val="en-US" w:eastAsia="zh-CN" w:bidi="ar-SA"/>
        </w:rPr>
      </w:pPr>
      <w:r>
        <w:rPr>
          <w:rFonts w:hint="eastAsia" w:ascii="宋体" w:hAnsi="宋体" w:eastAsia="宋体" w:cs="宋体"/>
          <w:i w:val="0"/>
          <w:iCs w:val="0"/>
          <w:sz w:val="24"/>
          <w:szCs w:val="24"/>
          <w:highlight w:val="none"/>
        </w:rPr>
        <w:t>日期</w:t>
      </w:r>
      <w:r>
        <w:rPr>
          <w:rFonts w:hint="eastAsia" w:ascii="宋体" w:hAnsi="宋体" w:eastAsia="宋体" w:cs="宋体"/>
          <w:i w:val="0"/>
          <w:iCs w:val="0"/>
          <w:sz w:val="24"/>
          <w:szCs w:val="24"/>
          <w:highlight w:val="none"/>
          <w:lang w:eastAsia="zh-CN"/>
        </w:rPr>
        <w:t>：</w:t>
      </w:r>
      <w:r>
        <w:rPr>
          <w:rFonts w:hint="eastAsia" w:ascii="宋体" w:hAnsi="宋体" w:eastAsia="宋体" w:cs="宋体"/>
          <w:i w:val="0"/>
          <w:iCs w:val="0"/>
          <w:sz w:val="24"/>
          <w:szCs w:val="24"/>
          <w:highlight w:val="none"/>
          <w:lang w:val="en-US" w:eastAsia="zh-CN"/>
        </w:rPr>
        <w:t xml:space="preserve">  年  月  日</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firstLine="2880" w:firstLineChars="900"/>
        <w:jc w:val="left"/>
        <w:textAlignment w:val="auto"/>
        <w:rPr>
          <w:rFonts w:hint="default" w:ascii="宋体" w:hAnsi="宋体" w:eastAsia="宋体" w:cs="宋体"/>
          <w:b w:val="0"/>
          <w:bCs w:val="0"/>
          <w:color w:val="000000"/>
          <w:kern w:val="0"/>
          <w:sz w:val="32"/>
          <w:szCs w:val="32"/>
          <w:highlight w:val="none"/>
          <w:lang w:val="en-US" w:eastAsia="zh-CN" w:bidi="ar-SA"/>
        </w:rPr>
      </w:pPr>
      <w:r>
        <w:rPr>
          <w:rFonts w:hint="eastAsia" w:ascii="宋体" w:hAnsi="宋体" w:eastAsia="宋体" w:cs="宋体"/>
          <w:b w:val="0"/>
          <w:bCs w:val="0"/>
          <w:color w:val="000000"/>
          <w:kern w:val="0"/>
          <w:sz w:val="32"/>
          <w:szCs w:val="32"/>
          <w:highlight w:val="none"/>
          <w:lang w:val="en-US" w:eastAsia="zh-CN" w:bidi="ar-SA"/>
        </w:rPr>
        <w:t>2、</w:t>
      </w:r>
      <w:r>
        <w:rPr>
          <w:rFonts w:hint="default" w:ascii="宋体" w:hAnsi="宋体" w:eastAsia="宋体" w:cs="宋体"/>
          <w:b w:val="0"/>
          <w:bCs w:val="0"/>
          <w:color w:val="000000"/>
          <w:kern w:val="0"/>
          <w:sz w:val="32"/>
          <w:szCs w:val="32"/>
          <w:highlight w:val="none"/>
          <w:lang w:val="en-US" w:eastAsia="zh-CN" w:bidi="ar-SA"/>
        </w:rPr>
        <w:t>投标分项报价表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hAnsi="宋体" w:cs="宋体"/>
          <w:sz w:val="24"/>
          <w:lang w:val="en-US" w:eastAsia="zh-CN"/>
        </w:rPr>
      </w:pPr>
      <w:r>
        <w:rPr>
          <w:rFonts w:hint="eastAsia" w:hAnsi="宋体" w:cs="宋体"/>
          <w:sz w:val="24"/>
        </w:rPr>
        <w:t xml:space="preserve">项目名称:                      </w:t>
      </w:r>
      <w:r>
        <w:rPr>
          <w:rFonts w:hint="eastAsia" w:hAnsi="宋体" w:cs="宋体"/>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snapToGrid/>
        <w:spacing w:line="360" w:lineRule="auto"/>
        <w:ind w:firstLine="1680" w:firstLineChars="700"/>
        <w:textAlignment w:val="auto"/>
        <w:rPr>
          <w:rFonts w:hint="eastAsia" w:hAnsi="宋体" w:cs="宋体" w:eastAsiaTheme="minorEastAsia"/>
          <w:sz w:val="24"/>
          <w:lang w:eastAsia="zh-CN"/>
        </w:rPr>
      </w:pPr>
      <w:r>
        <w:rPr>
          <w:rFonts w:hint="eastAsia" w:hAnsi="宋体" w:cs="宋体"/>
          <w:sz w:val="24"/>
          <w:lang w:val="en-US" w:eastAsia="zh-CN"/>
        </w:rPr>
        <w:t>项目</w:t>
      </w:r>
      <w:r>
        <w:rPr>
          <w:rFonts w:hint="eastAsia" w:hAnsi="宋体" w:cs="宋体"/>
          <w:sz w:val="24"/>
        </w:rPr>
        <w:t xml:space="preserve">编号:            </w:t>
      </w:r>
      <w:r>
        <w:rPr>
          <w:rFonts w:hint="eastAsia" w:hAnsi="宋体" w:cs="宋体"/>
          <w:sz w:val="24"/>
          <w:lang w:val="en-US" w:eastAsia="zh-CN"/>
        </w:rPr>
        <w:t xml:space="preserve">  </w:t>
      </w:r>
      <w:r>
        <w:rPr>
          <w:rFonts w:hint="eastAsia" w:hAnsi="宋体" w:cs="宋体"/>
          <w:sz w:val="24"/>
        </w:rPr>
        <w:t>　        　报价单位：</w:t>
      </w:r>
      <w:r>
        <w:rPr>
          <w:rFonts w:hint="eastAsia" w:hAnsi="宋体" w:cs="宋体"/>
          <w:sz w:val="24"/>
          <w:lang w:val="en-US" w:eastAsia="zh-CN"/>
        </w:rPr>
        <w:t>吨</w:t>
      </w:r>
    </w:p>
    <w:tbl>
      <w:tblPr>
        <w:tblStyle w:val="24"/>
        <w:tblpPr w:leftFromText="180" w:rightFromText="180" w:vertAnchor="text" w:horzAnchor="page" w:tblpXSpec="center" w:tblpY="232"/>
        <w:tblOverlap w:val="never"/>
        <w:tblW w:w="44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846"/>
        <w:gridCol w:w="848"/>
        <w:gridCol w:w="849"/>
        <w:gridCol w:w="849"/>
        <w:gridCol w:w="849"/>
        <w:gridCol w:w="849"/>
        <w:gridCol w:w="849"/>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序号</w:t>
            </w:r>
          </w:p>
        </w:tc>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名称</w:t>
            </w:r>
          </w:p>
        </w:tc>
        <w:tc>
          <w:tcPr>
            <w:tcW w:w="553" w:type="pct"/>
            <w:noWrap w:val="0"/>
            <w:vAlign w:val="center"/>
          </w:tcPr>
          <w:p>
            <w:pPr>
              <w:pStyle w:val="11"/>
              <w:spacing w:line="240" w:lineRule="atLeast"/>
              <w:jc w:val="center"/>
              <w:rPr>
                <w:rFonts w:hint="default" w:hAnsi="宋体" w:cs="宋体"/>
                <w:sz w:val="24"/>
                <w:lang w:val="en-US" w:eastAsia="zh-CN"/>
              </w:rPr>
            </w:pPr>
            <w:r>
              <w:rPr>
                <w:rFonts w:hint="eastAsia" w:hAnsi="宋体" w:cs="宋体"/>
                <w:sz w:val="24"/>
                <w:lang w:val="en-US" w:eastAsia="zh-CN"/>
              </w:rPr>
              <w:t>型号规格</w:t>
            </w:r>
          </w:p>
        </w:tc>
        <w:tc>
          <w:tcPr>
            <w:tcW w:w="553" w:type="pct"/>
            <w:noWrap w:val="0"/>
            <w:vAlign w:val="center"/>
          </w:tcPr>
          <w:p>
            <w:pPr>
              <w:pStyle w:val="11"/>
              <w:spacing w:line="240" w:lineRule="atLeast"/>
              <w:jc w:val="center"/>
              <w:rPr>
                <w:rFonts w:hint="default" w:hAnsi="宋体" w:cs="宋体"/>
                <w:sz w:val="24"/>
                <w:lang w:val="en-US" w:eastAsia="zh-CN"/>
              </w:rPr>
            </w:pPr>
            <w:r>
              <w:rPr>
                <w:rFonts w:hint="eastAsia" w:hAnsi="宋体" w:cs="宋体"/>
                <w:sz w:val="24"/>
                <w:lang w:val="en-US" w:eastAsia="zh-CN"/>
              </w:rPr>
              <w:t>数量</w:t>
            </w:r>
          </w:p>
        </w:tc>
        <w:tc>
          <w:tcPr>
            <w:tcW w:w="553" w:type="pct"/>
            <w:noWrap w:val="0"/>
            <w:vAlign w:val="center"/>
          </w:tcPr>
          <w:p>
            <w:pPr>
              <w:pStyle w:val="11"/>
              <w:spacing w:line="240" w:lineRule="atLeast"/>
              <w:jc w:val="center"/>
              <w:rPr>
                <w:rFonts w:hint="default" w:hAnsi="宋体" w:cs="宋体"/>
                <w:sz w:val="24"/>
                <w:lang w:val="en-US" w:eastAsia="zh-CN"/>
              </w:rPr>
            </w:pPr>
            <w:r>
              <w:rPr>
                <w:rFonts w:hint="eastAsia" w:hAnsi="宋体" w:cs="宋体"/>
                <w:sz w:val="24"/>
                <w:lang w:val="en-US" w:eastAsia="zh-CN"/>
              </w:rPr>
              <w:t>品牌</w:t>
            </w:r>
          </w:p>
        </w:tc>
        <w:tc>
          <w:tcPr>
            <w:tcW w:w="553" w:type="pct"/>
            <w:noWrap w:val="0"/>
            <w:vAlign w:val="center"/>
          </w:tcPr>
          <w:p>
            <w:pPr>
              <w:pStyle w:val="11"/>
              <w:spacing w:line="240" w:lineRule="atLeast"/>
              <w:jc w:val="center"/>
              <w:rPr>
                <w:rFonts w:hint="default" w:hAnsi="宋体" w:cs="宋体"/>
                <w:sz w:val="24"/>
                <w:lang w:val="en-US" w:eastAsia="zh-CN"/>
              </w:rPr>
            </w:pPr>
            <w:r>
              <w:rPr>
                <w:rFonts w:hint="eastAsia" w:hAnsi="宋体" w:cs="宋体"/>
                <w:sz w:val="24"/>
                <w:lang w:val="en-US" w:eastAsia="zh-CN"/>
              </w:rPr>
              <w:t>制造商名称</w:t>
            </w:r>
          </w:p>
        </w:tc>
        <w:tc>
          <w:tcPr>
            <w:tcW w:w="553" w:type="pct"/>
            <w:noWrap w:val="0"/>
            <w:vAlign w:val="center"/>
          </w:tcPr>
          <w:p>
            <w:pPr>
              <w:pStyle w:val="11"/>
              <w:spacing w:line="240" w:lineRule="atLeast"/>
              <w:jc w:val="center"/>
              <w:rPr>
                <w:rFonts w:hint="default" w:hAnsi="宋体" w:cs="宋体" w:eastAsiaTheme="minorEastAsia"/>
                <w:sz w:val="24"/>
                <w:lang w:val="en-US" w:eastAsia="zh-CN"/>
              </w:rPr>
            </w:pPr>
            <w:r>
              <w:rPr>
                <w:rFonts w:hint="eastAsia" w:hAnsi="宋体" w:cs="宋体"/>
                <w:sz w:val="24"/>
                <w:lang w:val="en-US" w:eastAsia="zh-CN"/>
              </w:rPr>
              <w:t>单价</w:t>
            </w:r>
          </w:p>
        </w:tc>
        <w:tc>
          <w:tcPr>
            <w:tcW w:w="553" w:type="pct"/>
            <w:noWrap w:val="0"/>
            <w:vAlign w:val="center"/>
          </w:tcPr>
          <w:p>
            <w:pPr>
              <w:pStyle w:val="11"/>
              <w:spacing w:line="240" w:lineRule="atLeast"/>
              <w:jc w:val="center"/>
              <w:rPr>
                <w:rFonts w:hint="eastAsia" w:hAnsi="宋体" w:cs="宋体" w:eastAsiaTheme="minorEastAsia"/>
                <w:sz w:val="24"/>
                <w:lang w:val="en-US" w:eastAsia="zh-CN"/>
              </w:rPr>
            </w:pPr>
            <w:r>
              <w:rPr>
                <w:rFonts w:hint="eastAsia" w:hAnsi="宋体" w:cs="宋体"/>
                <w:sz w:val="24"/>
                <w:lang w:val="en-US" w:eastAsia="zh-CN"/>
              </w:rPr>
              <w:t>合价</w:t>
            </w:r>
          </w:p>
        </w:tc>
        <w:tc>
          <w:tcPr>
            <w:tcW w:w="572" w:type="pct"/>
            <w:noWrap w:val="0"/>
            <w:vAlign w:val="center"/>
          </w:tcPr>
          <w:p>
            <w:pPr>
              <w:pStyle w:val="11"/>
              <w:spacing w:line="240" w:lineRule="atLeast"/>
              <w:jc w:val="center"/>
              <w:rPr>
                <w:rFonts w:hint="eastAsia" w:hAnsi="宋体" w:cs="宋体"/>
                <w:sz w:val="24"/>
              </w:rPr>
            </w:pPr>
            <w:r>
              <w:rPr>
                <w:rFonts w:hint="eastAsia"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1</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2</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3</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4</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5</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52" w:type="pct"/>
            <w:noWrap w:val="0"/>
            <w:vAlign w:val="center"/>
          </w:tcPr>
          <w:p>
            <w:pPr>
              <w:pStyle w:val="11"/>
              <w:spacing w:line="240" w:lineRule="atLeast"/>
              <w:jc w:val="center"/>
              <w:rPr>
                <w:rFonts w:hint="eastAsia" w:hAnsi="宋体" w:cs="宋体"/>
                <w:sz w:val="24"/>
              </w:rPr>
            </w:pPr>
            <w:r>
              <w:rPr>
                <w:rFonts w:hint="eastAsia" w:hAnsi="宋体" w:cs="宋体"/>
                <w:sz w:val="24"/>
              </w:rPr>
              <w:t>6</w:t>
            </w:r>
          </w:p>
        </w:tc>
        <w:tc>
          <w:tcPr>
            <w:tcW w:w="552" w:type="pct"/>
            <w:noWrap w:val="0"/>
            <w:vAlign w:val="center"/>
          </w:tcPr>
          <w:p>
            <w:pPr>
              <w:pStyle w:val="11"/>
              <w:spacing w:line="240" w:lineRule="atLeast"/>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53" w:type="pct"/>
            <w:noWrap w:val="0"/>
            <w:vAlign w:val="center"/>
          </w:tcPr>
          <w:p>
            <w:pPr>
              <w:pStyle w:val="11"/>
              <w:spacing w:line="240" w:lineRule="atLeast"/>
              <w:ind w:left="1080" w:leftChars="257" w:hanging="540"/>
              <w:jc w:val="center"/>
              <w:rPr>
                <w:rFonts w:hint="eastAsia" w:hAnsi="宋体" w:cs="宋体"/>
                <w:sz w:val="24"/>
              </w:rPr>
            </w:pPr>
          </w:p>
        </w:tc>
        <w:tc>
          <w:tcPr>
            <w:tcW w:w="572" w:type="pct"/>
            <w:noWrap w:val="0"/>
            <w:vAlign w:val="center"/>
          </w:tcPr>
          <w:p>
            <w:pPr>
              <w:pStyle w:val="11"/>
              <w:spacing w:line="240" w:lineRule="atLeast"/>
              <w:ind w:left="1080" w:leftChars="257" w:hanging="540"/>
              <w:jc w:val="center"/>
              <w:rPr>
                <w:rFonts w:hint="eastAsia"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5000" w:type="pct"/>
            <w:gridSpan w:val="9"/>
            <w:noWrap w:val="0"/>
            <w:vAlign w:val="center"/>
          </w:tcPr>
          <w:p>
            <w:pPr>
              <w:pStyle w:val="11"/>
              <w:spacing w:line="240" w:lineRule="atLeast"/>
              <w:ind w:left="1080" w:leftChars="257" w:hanging="540"/>
              <w:jc w:val="left"/>
              <w:rPr>
                <w:rFonts w:hint="eastAsia" w:hAnsi="宋体" w:cs="宋体" w:eastAsiaTheme="minorEastAsia"/>
                <w:sz w:val="24"/>
                <w:lang w:val="en-US" w:eastAsia="zh-CN"/>
              </w:rPr>
            </w:pPr>
            <w:r>
              <w:rPr>
                <w:rFonts w:hint="eastAsia" w:hAnsi="宋体" w:cs="宋体"/>
                <w:sz w:val="24"/>
                <w:lang w:val="en-US" w:eastAsia="zh-CN"/>
              </w:rPr>
              <w:t>总价：</w:t>
            </w:r>
          </w:p>
        </w:tc>
      </w:tr>
    </w:tbl>
    <w:p>
      <w:pPr>
        <w:pStyle w:val="11"/>
        <w:spacing w:line="240" w:lineRule="atLeast"/>
        <w:ind w:left="1080" w:leftChars="257" w:hanging="540"/>
        <w:rPr>
          <w:rFonts w:hint="eastAsia" w:hAnsi="宋体" w:cs="宋体"/>
          <w:sz w:val="24"/>
        </w:rPr>
      </w:pPr>
    </w:p>
    <w:p>
      <w:pPr>
        <w:pStyle w:val="11"/>
        <w:tabs>
          <w:tab w:val="left" w:pos="5370"/>
        </w:tabs>
        <w:spacing w:line="240" w:lineRule="atLeast"/>
        <w:ind w:left="1080" w:leftChars="257" w:hanging="540"/>
        <w:jc w:val="right"/>
        <w:rPr>
          <w:rFonts w:hint="eastAsia" w:hAnsi="宋体" w:cs="宋体"/>
          <w:sz w:val="24"/>
          <w:lang w:val="en-US" w:eastAsia="zh-CN"/>
        </w:rPr>
      </w:pPr>
    </w:p>
    <w:p>
      <w:pPr>
        <w:pStyle w:val="11"/>
        <w:tabs>
          <w:tab w:val="left" w:pos="5370"/>
        </w:tabs>
        <w:spacing w:line="240" w:lineRule="atLeast"/>
        <w:ind w:left="1080" w:leftChars="257" w:hanging="540"/>
        <w:jc w:val="right"/>
        <w:rPr>
          <w:rFonts w:hint="eastAsia" w:hAnsi="宋体" w:cs="宋体"/>
          <w:sz w:val="24"/>
          <w:lang w:val="en-US" w:eastAsia="zh-CN"/>
        </w:rPr>
      </w:pPr>
    </w:p>
    <w:p>
      <w:pPr>
        <w:pStyle w:val="11"/>
        <w:tabs>
          <w:tab w:val="left" w:pos="5370"/>
        </w:tabs>
        <w:spacing w:line="240" w:lineRule="atLeast"/>
        <w:ind w:left="1080" w:leftChars="257" w:hanging="540"/>
        <w:jc w:val="right"/>
        <w:rPr>
          <w:rFonts w:hAnsi="宋体" w:cs="宋体"/>
          <w:sz w:val="24"/>
          <w:u w:val="single"/>
        </w:rPr>
      </w:pPr>
      <w:r>
        <w:rPr>
          <w:rFonts w:hint="eastAsia" w:hAnsi="宋体" w:cs="宋体"/>
          <w:sz w:val="24"/>
          <w:lang w:val="en-US" w:eastAsia="zh-CN"/>
        </w:rPr>
        <w:t>供应商</w:t>
      </w:r>
      <w:r>
        <w:rPr>
          <w:rFonts w:hint="eastAsia" w:hAnsi="宋体" w:cs="宋体"/>
          <w:sz w:val="24"/>
        </w:rPr>
        <w:t>(盖单位章):</w:t>
      </w:r>
      <w:r>
        <w:rPr>
          <w:rFonts w:hint="eastAsia" w:hAnsi="宋体" w:cs="宋体"/>
          <w:sz w:val="24"/>
          <w:u w:val="single"/>
        </w:rPr>
        <w:tab/>
      </w:r>
    </w:p>
    <w:p>
      <w:pPr>
        <w:jc w:val="right"/>
        <w:rPr>
          <w:rFonts w:hint="eastAsia"/>
          <w:sz w:val="24"/>
          <w:szCs w:val="32"/>
        </w:rPr>
      </w:pPr>
    </w:p>
    <w:p>
      <w:pPr>
        <w:pStyle w:val="11"/>
        <w:spacing w:line="240" w:lineRule="atLeast"/>
        <w:ind w:left="1080" w:leftChars="257" w:hanging="540"/>
        <w:jc w:val="center"/>
        <w:rPr>
          <w:rFonts w:hint="eastAsia" w:hAnsi="宋体" w:cs="宋体"/>
          <w:sz w:val="24"/>
          <w:u w:val="single"/>
        </w:rPr>
      </w:pPr>
      <w:r>
        <w:rPr>
          <w:rFonts w:hint="eastAsia" w:hAnsi="宋体" w:cs="宋体"/>
          <w:sz w:val="24"/>
        </w:rPr>
        <w:t>法定代表人或其委托代理人</w:t>
      </w:r>
      <w:r>
        <w:rPr>
          <w:rFonts w:hint="eastAsia" w:hAnsi="宋体" w:cs="宋体"/>
          <w:sz w:val="24"/>
          <w:lang w:eastAsia="zh-CN"/>
        </w:rPr>
        <w:t>（</w:t>
      </w:r>
      <w:r>
        <w:rPr>
          <w:rFonts w:hint="eastAsia" w:hAnsi="宋体" w:cs="宋体"/>
          <w:sz w:val="24"/>
        </w:rPr>
        <w:t>签字</w:t>
      </w:r>
      <w:r>
        <w:rPr>
          <w:rFonts w:hint="eastAsia" w:hAnsi="宋体" w:cs="宋体"/>
          <w:sz w:val="24"/>
          <w:lang w:val="en-US" w:eastAsia="zh-CN"/>
        </w:rPr>
        <w:t>或盖章）</w:t>
      </w:r>
      <w:r>
        <w:rPr>
          <w:rFonts w:hint="eastAsia" w:hAnsi="宋体" w:cs="宋体"/>
          <w:sz w:val="24"/>
        </w:rPr>
        <w:t>:</w:t>
      </w:r>
      <w:r>
        <w:rPr>
          <w:rFonts w:hint="eastAsia" w:hAnsi="宋体" w:cs="宋体"/>
          <w:sz w:val="24"/>
          <w:u w:val="single"/>
        </w:rPr>
        <w:t xml:space="preserve"> </w:t>
      </w:r>
      <w:r>
        <w:rPr>
          <w:rFonts w:hint="eastAsia" w:hAnsi="宋体" w:cs="宋体"/>
          <w:sz w:val="24"/>
          <w:u w:val="single"/>
        </w:rPr>
        <w:tab/>
      </w:r>
      <w:r>
        <w:rPr>
          <w:rFonts w:hint="eastAsia" w:hAnsi="宋体" w:cs="宋体"/>
          <w:sz w:val="24"/>
          <w:u w:val="single"/>
        </w:rPr>
        <w:t xml:space="preserve">                 </w:t>
      </w:r>
    </w:p>
    <w:p>
      <w:pPr>
        <w:pStyle w:val="12"/>
        <w:jc w:val="right"/>
        <w:rPr>
          <w:rFonts w:hint="eastAsia" w:ascii="宋体" w:hAnsi="宋体" w:cs="宋体"/>
        </w:rPr>
      </w:pPr>
    </w:p>
    <w:p>
      <w:pPr>
        <w:pStyle w:val="19"/>
        <w:jc w:val="right"/>
        <w:rPr>
          <w:rFonts w:hint="eastAsia"/>
        </w:rPr>
      </w:pPr>
    </w:p>
    <w:p>
      <w:pPr>
        <w:pStyle w:val="11"/>
        <w:spacing w:line="240" w:lineRule="atLeast"/>
        <w:ind w:left="1080" w:leftChars="257" w:hanging="540"/>
        <w:rPr>
          <w:rFonts w:hint="eastAsia" w:hAnsi="宋体" w:cs="宋体"/>
          <w:sz w:val="24"/>
        </w:rPr>
      </w:pPr>
    </w:p>
    <w:p>
      <w:pPr>
        <w:pStyle w:val="11"/>
        <w:tabs>
          <w:tab w:val="left" w:pos="5580"/>
        </w:tabs>
        <w:spacing w:line="360" w:lineRule="auto"/>
        <w:ind w:left="1396" w:leftChars="257" w:hanging="856" w:hangingChars="357"/>
        <w:rPr>
          <w:rFonts w:hint="default" w:ascii="宋体" w:hAnsi="宋体" w:eastAsia="宋体" w:cs="宋体"/>
          <w:color w:val="auto"/>
          <w:sz w:val="24"/>
          <w:szCs w:val="24"/>
          <w:lang w:val="en-US" w:eastAsia="zh-CN"/>
        </w:rPr>
      </w:pPr>
      <w:r>
        <w:rPr>
          <w:rFonts w:hint="eastAsia" w:ascii="宋体" w:hAnsi="宋体" w:eastAsia="宋体" w:cs="宋体"/>
          <w:sz w:val="24"/>
          <w:szCs w:val="24"/>
          <w:highlight w:val="none"/>
        </w:rPr>
        <w:t>注:</w:t>
      </w:r>
      <w:r>
        <w:rPr>
          <w:rFonts w:hint="eastAsia" w:ascii="宋体" w:hAnsi="宋体" w:eastAsia="宋体" w:cs="宋体"/>
          <w:sz w:val="24"/>
          <w:szCs w:val="24"/>
          <w:highlight w:val="none"/>
          <w:lang w:val="en-US" w:eastAsia="zh-CN"/>
        </w:rPr>
        <w:t xml:space="preserve">   </w:t>
      </w:r>
      <w:r>
        <w:rPr>
          <w:rFonts w:hint="eastAsia" w:hAnsi="宋体" w:cs="宋体"/>
          <w:color w:val="000000"/>
          <w:sz w:val="24"/>
          <w:szCs w:val="24"/>
          <w:highlight w:val="none"/>
        </w:rPr>
        <w:t>1</w:t>
      </w:r>
      <w:r>
        <w:rPr>
          <w:rFonts w:hint="eastAsia" w:ascii="宋体" w:hAnsi="宋体" w:eastAsia="宋体" w:cs="宋体"/>
          <w:color w:val="000000"/>
          <w:sz w:val="24"/>
          <w:szCs w:val="24"/>
          <w:highlight w:val="none"/>
        </w:rPr>
        <w:t>、</w:t>
      </w:r>
      <w:r>
        <w:rPr>
          <w:rFonts w:hint="eastAsia" w:ascii="宋体" w:hAnsi="宋体" w:eastAsia="宋体" w:cs="宋体"/>
          <w:sz w:val="24"/>
          <w:szCs w:val="24"/>
          <w:lang w:val="en-US" w:eastAsia="zh-CN"/>
        </w:rPr>
        <w:t>本项目为总价不变招数量。</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1200" w:firstLineChars="500"/>
        <w:jc w:val="both"/>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color w:val="auto"/>
          <w:sz w:val="24"/>
          <w:szCs w:val="24"/>
          <w:lang w:val="en-US" w:eastAsia="zh-CN"/>
        </w:rPr>
        <w:t>2、</w:t>
      </w:r>
      <w:r>
        <w:rPr>
          <w:rFonts w:ascii="宋体" w:hAnsi="宋体" w:eastAsia="宋体" w:cs="宋体"/>
          <w:sz w:val="24"/>
          <w:szCs w:val="24"/>
        </w:rPr>
        <w:t>投标商报价时</w:t>
      </w:r>
      <w:r>
        <w:rPr>
          <w:rFonts w:hint="eastAsia" w:ascii="宋体" w:hAnsi="宋体" w:eastAsia="宋体" w:cs="宋体"/>
          <w:sz w:val="24"/>
          <w:szCs w:val="24"/>
          <w:lang w:val="en-US" w:eastAsia="zh-CN"/>
        </w:rPr>
        <w:t>应</w:t>
      </w:r>
      <w:r>
        <w:rPr>
          <w:rFonts w:ascii="宋体" w:hAnsi="宋体" w:eastAsia="宋体" w:cs="宋体"/>
          <w:sz w:val="24"/>
          <w:szCs w:val="24"/>
        </w:rPr>
        <w:t>包含税费等一切与本次项目相关的费用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kern w:val="0"/>
          <w:sz w:val="24"/>
          <w:szCs w:val="24"/>
          <w:highlight w:val="none"/>
          <w:lang w:val="en-US" w:eastAsia="zh-CN" w:bidi="ar-SA"/>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000000"/>
          <w:kern w:val="0"/>
          <w:sz w:val="24"/>
          <w:szCs w:val="24"/>
          <w:highlight w:val="none"/>
          <w:lang w:val="en-US" w:eastAsia="zh-CN" w:bidi="ar-SA"/>
        </w:rPr>
      </w:pPr>
    </w:p>
    <w:p>
      <w:pPr>
        <w:pStyle w:val="5"/>
        <w:spacing w:before="0" w:line="240" w:lineRule="atLeast"/>
        <w:ind w:left="1080" w:leftChars="257" w:hanging="540"/>
        <w:jc w:val="center"/>
        <w:rPr>
          <w:rFonts w:hint="eastAsia" w:ascii="宋体" w:hAnsi="宋体" w:eastAsia="宋体" w:cs="宋体"/>
          <w:sz w:val="24"/>
          <w:szCs w:val="24"/>
          <w:highlight w:val="none"/>
        </w:rPr>
      </w:pPr>
      <w:bookmarkStart w:id="468" w:name="_Toc24908"/>
      <w:bookmarkStart w:id="469" w:name="_Toc19500"/>
      <w:bookmarkStart w:id="470" w:name="_Toc10953"/>
      <w:bookmarkStart w:id="471" w:name="_Toc2812"/>
      <w:r>
        <w:rPr>
          <w:rFonts w:hint="eastAsia" w:ascii="宋体" w:hAnsi="宋体" w:eastAsia="宋体" w:cs="宋体"/>
          <w:b w:val="0"/>
          <w:bCs/>
          <w:sz w:val="32"/>
          <w:szCs w:val="32"/>
          <w:highlight w:val="none"/>
          <w:lang w:val="en-US" w:eastAsia="zh-CN"/>
        </w:rPr>
        <w:t xml:space="preserve">3. </w:t>
      </w:r>
      <w:r>
        <w:rPr>
          <w:rFonts w:hint="eastAsia" w:ascii="宋体" w:hAnsi="宋体" w:eastAsia="宋体" w:cs="宋体"/>
          <w:b w:val="0"/>
          <w:bCs/>
          <w:sz w:val="32"/>
          <w:szCs w:val="32"/>
          <w:highlight w:val="none"/>
        </w:rPr>
        <w:t>技术规格偏离表</w:t>
      </w:r>
      <w:bookmarkEnd w:id="468"/>
      <w:bookmarkEnd w:id="469"/>
      <w:bookmarkEnd w:id="470"/>
      <w:bookmarkEnd w:id="471"/>
    </w:p>
    <w:p>
      <w:pPr>
        <w:pStyle w:val="11"/>
        <w:spacing w:line="240" w:lineRule="atLeast"/>
        <w:ind w:left="1080" w:leftChars="257" w:hanging="540"/>
        <w:rPr>
          <w:rFonts w:hint="eastAsia" w:ascii="宋体" w:hAnsi="宋体" w:eastAsia="宋体" w:cs="宋体"/>
          <w:sz w:val="24"/>
          <w:szCs w:val="24"/>
          <w:highlight w:val="none"/>
        </w:rPr>
      </w:pPr>
    </w:p>
    <w:p>
      <w:pPr>
        <w:pStyle w:val="11"/>
        <w:spacing w:line="240" w:lineRule="atLeast"/>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w:t>
      </w:r>
      <w:r>
        <w:rPr>
          <w:rFonts w:hint="eastAsia" w:ascii="宋体" w:hAnsi="宋体" w:eastAsia="宋体" w:cs="宋体"/>
          <w:sz w:val="24"/>
          <w:szCs w:val="24"/>
          <w:highlight w:val="none"/>
        </w:rPr>
        <w:t xml:space="preserve">编号:              </w:t>
      </w:r>
    </w:p>
    <w:p>
      <w:pPr>
        <w:pStyle w:val="11"/>
        <w:spacing w:line="240" w:lineRule="atLeast"/>
        <w:ind w:left="1080" w:leftChars="257" w:hanging="540"/>
        <w:rPr>
          <w:rFonts w:hint="eastAsia" w:ascii="宋体" w:hAnsi="宋体" w:eastAsia="宋体" w:cs="宋体"/>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00"/>
        <w:gridCol w:w="2227"/>
        <w:gridCol w:w="1233"/>
        <w:gridCol w:w="1260"/>
        <w:gridCol w:w="106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1400"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工程名称</w:t>
            </w:r>
          </w:p>
        </w:tc>
        <w:tc>
          <w:tcPr>
            <w:tcW w:w="2227" w:type="dxa"/>
            <w:noWrap w:val="0"/>
            <w:vAlign w:val="center"/>
          </w:tcPr>
          <w:p>
            <w:pPr>
              <w:pStyle w:val="11"/>
              <w:spacing w:line="240" w:lineRule="atLeast"/>
              <w:ind w:left="269" w:leftChars="128"/>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谈判文件条款号</w:t>
            </w:r>
          </w:p>
        </w:tc>
        <w:tc>
          <w:tcPr>
            <w:tcW w:w="1233"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采购规格</w:t>
            </w:r>
          </w:p>
        </w:tc>
        <w:tc>
          <w:tcPr>
            <w:tcW w:w="1260"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响应规格</w:t>
            </w:r>
          </w:p>
        </w:tc>
        <w:tc>
          <w:tcPr>
            <w:tcW w:w="1067"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偏离</w:t>
            </w:r>
          </w:p>
        </w:tc>
        <w:tc>
          <w:tcPr>
            <w:tcW w:w="947" w:type="dxa"/>
            <w:noWrap w:val="0"/>
            <w:vAlign w:val="center"/>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40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22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33"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26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106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947"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bl>
    <w:p>
      <w:pPr>
        <w:pStyle w:val="11"/>
        <w:spacing w:line="240" w:lineRule="atLeast"/>
        <w:rPr>
          <w:rFonts w:hint="eastAsia" w:ascii="宋体" w:hAnsi="宋体" w:eastAsia="宋体" w:cs="宋体"/>
          <w:sz w:val="24"/>
          <w:szCs w:val="24"/>
          <w:highlight w:val="none"/>
        </w:rPr>
      </w:pPr>
    </w:p>
    <w:p>
      <w:pPr>
        <w:pStyle w:val="11"/>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1"/>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1"/>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2.供应商将响应文件与谈判文件在技术部分的差异之处汇集成此表。偏离表未声明事项视为认同谈判文件标准。</w:t>
      </w:r>
    </w:p>
    <w:p>
      <w:pPr>
        <w:pStyle w:val="11"/>
        <w:spacing w:line="240" w:lineRule="atLeast"/>
        <w:ind w:left="1080" w:leftChars="257" w:hanging="540"/>
        <w:rPr>
          <w:rFonts w:hint="eastAsia" w:ascii="宋体" w:hAnsi="宋体" w:eastAsia="宋体" w:cs="宋体"/>
          <w:sz w:val="24"/>
          <w:szCs w:val="24"/>
          <w:highlight w:val="none"/>
        </w:rPr>
      </w:pPr>
    </w:p>
    <w:p>
      <w:pPr>
        <w:pStyle w:val="11"/>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1"/>
        <w:spacing w:line="240" w:lineRule="atLeast"/>
        <w:ind w:left="1258" w:leftChars="599" w:firstLine="103" w:firstLineChars="43"/>
        <w:rPr>
          <w:rFonts w:hint="eastAsia" w:ascii="宋体" w:hAnsi="宋体" w:eastAsia="宋体" w:cs="宋体"/>
          <w:sz w:val="24"/>
          <w:szCs w:val="24"/>
          <w:highlight w:val="none"/>
        </w:rPr>
      </w:pPr>
    </w:p>
    <w:p>
      <w:pPr>
        <w:pStyle w:val="11"/>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5"/>
        <w:jc w:val="center"/>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br w:type="page"/>
      </w:r>
      <w:bookmarkStart w:id="472" w:name="_Toc1980"/>
      <w:bookmarkStart w:id="473" w:name="_Toc31024"/>
      <w:bookmarkStart w:id="474" w:name="_Toc515647821"/>
      <w:bookmarkStart w:id="475" w:name="_Toc23"/>
      <w:bookmarkStart w:id="476" w:name="_Toc32084"/>
      <w:bookmarkStart w:id="477" w:name="_Toc20812"/>
      <w:bookmarkStart w:id="478" w:name="_Toc216582818"/>
      <w:bookmarkStart w:id="479" w:name="_Toc26917"/>
      <w:bookmarkStart w:id="480" w:name="_Toc13556"/>
      <w:r>
        <w:rPr>
          <w:rFonts w:hint="eastAsia" w:ascii="宋体" w:hAnsi="宋体" w:eastAsia="宋体" w:cs="宋体"/>
          <w:b w:val="0"/>
          <w:bCs/>
          <w:sz w:val="32"/>
          <w:szCs w:val="32"/>
          <w:highlight w:val="none"/>
          <w:lang w:val="en-US" w:eastAsia="zh-CN"/>
        </w:rPr>
        <w:t xml:space="preserve">4. </w:t>
      </w:r>
      <w:r>
        <w:rPr>
          <w:rFonts w:hint="eastAsia" w:ascii="宋体" w:hAnsi="宋体" w:eastAsia="宋体" w:cs="宋体"/>
          <w:b w:val="0"/>
          <w:bCs/>
          <w:sz w:val="32"/>
          <w:szCs w:val="32"/>
          <w:highlight w:val="none"/>
        </w:rPr>
        <w:t>商务条款偏离表</w:t>
      </w:r>
      <w:bookmarkEnd w:id="472"/>
      <w:bookmarkEnd w:id="473"/>
      <w:bookmarkEnd w:id="474"/>
      <w:bookmarkEnd w:id="475"/>
      <w:bookmarkEnd w:id="476"/>
      <w:bookmarkEnd w:id="477"/>
      <w:bookmarkEnd w:id="478"/>
      <w:bookmarkEnd w:id="479"/>
      <w:bookmarkEnd w:id="480"/>
    </w:p>
    <w:p>
      <w:pPr>
        <w:pStyle w:val="11"/>
        <w:spacing w:line="240" w:lineRule="atLeast"/>
        <w:ind w:left="1080" w:leftChars="257" w:hanging="540"/>
        <w:rPr>
          <w:rFonts w:hint="eastAsia" w:ascii="宋体" w:hAnsi="宋体" w:eastAsia="宋体" w:cs="宋体"/>
          <w:sz w:val="24"/>
          <w:szCs w:val="24"/>
          <w:highlight w:val="none"/>
        </w:rPr>
      </w:pPr>
    </w:p>
    <w:p>
      <w:pPr>
        <w:pStyle w:val="11"/>
        <w:spacing w:line="240" w:lineRule="atLeast"/>
        <w:ind w:left="1080" w:leftChars="257" w:hanging="540"/>
        <w:rPr>
          <w:rFonts w:hint="eastAsia" w:ascii="宋体" w:hAnsi="宋体" w:eastAsia="宋体" w:cs="宋体"/>
          <w:sz w:val="24"/>
          <w:szCs w:val="24"/>
          <w:highlight w:val="none"/>
        </w:rPr>
      </w:pPr>
    </w:p>
    <w:p>
      <w:pPr>
        <w:pStyle w:val="11"/>
        <w:spacing w:line="240" w:lineRule="atLeast"/>
        <w:ind w:left="1080" w:leftChars="257" w:hanging="54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 xml:space="preserve">项目名称:                      </w:t>
      </w:r>
      <w:r>
        <w:rPr>
          <w:rFonts w:hint="eastAsia" w:ascii="宋体" w:hAnsi="宋体" w:eastAsia="宋体" w:cs="宋体"/>
          <w:sz w:val="24"/>
          <w:szCs w:val="24"/>
          <w:highlight w:val="none"/>
          <w:lang w:val="en-US" w:eastAsia="zh-CN"/>
        </w:rPr>
        <w:t xml:space="preserve">      项目编号：</w:t>
      </w:r>
    </w:p>
    <w:p>
      <w:pPr>
        <w:pStyle w:val="12"/>
        <w:rPr>
          <w:rFonts w:hint="default"/>
          <w:lang w:val="en-US" w:eastAsia="zh-CN"/>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520"/>
        <w:gridCol w:w="2520"/>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2520" w:type="dxa"/>
            <w:noWrap w:val="0"/>
            <w:vAlign w:val="top"/>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谈判文件的商务条款</w:t>
            </w:r>
          </w:p>
        </w:tc>
        <w:tc>
          <w:tcPr>
            <w:tcW w:w="2520" w:type="dxa"/>
            <w:noWrap w:val="0"/>
            <w:vAlign w:val="top"/>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响应文件的商务条款</w:t>
            </w:r>
          </w:p>
        </w:tc>
        <w:tc>
          <w:tcPr>
            <w:tcW w:w="2166" w:type="dxa"/>
            <w:noWrap w:val="0"/>
            <w:vAlign w:val="top"/>
          </w:tcPr>
          <w:p>
            <w:pPr>
              <w:pStyle w:val="11"/>
              <w:spacing w:line="240" w:lineRule="atLeast"/>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jc w:val="center"/>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jc w:val="center"/>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520"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c>
          <w:tcPr>
            <w:tcW w:w="2166" w:type="dxa"/>
            <w:noWrap w:val="0"/>
            <w:vAlign w:val="top"/>
          </w:tcPr>
          <w:p>
            <w:pPr>
              <w:pStyle w:val="11"/>
              <w:spacing w:line="240" w:lineRule="atLeast"/>
              <w:ind w:left="1080" w:leftChars="257" w:hanging="540"/>
              <w:rPr>
                <w:rFonts w:hint="eastAsia" w:ascii="宋体" w:hAnsi="宋体" w:eastAsia="宋体" w:cs="宋体"/>
                <w:sz w:val="24"/>
                <w:szCs w:val="24"/>
                <w:highlight w:val="none"/>
                <w:lang w:val="en-US" w:eastAsia="zh-CN"/>
              </w:rPr>
            </w:pPr>
          </w:p>
        </w:tc>
      </w:tr>
    </w:tbl>
    <w:p>
      <w:pPr>
        <w:pStyle w:val="11"/>
        <w:spacing w:line="240" w:lineRule="atLeast"/>
        <w:ind w:left="1080" w:leftChars="257" w:hanging="540"/>
        <w:rPr>
          <w:rFonts w:hint="eastAsia" w:ascii="宋体" w:hAnsi="宋体" w:eastAsia="宋体" w:cs="宋体"/>
          <w:sz w:val="24"/>
          <w:szCs w:val="24"/>
          <w:highlight w:val="none"/>
        </w:rPr>
      </w:pPr>
    </w:p>
    <w:p>
      <w:pPr>
        <w:pStyle w:val="11"/>
        <w:spacing w:line="240" w:lineRule="atLeast"/>
        <w:rPr>
          <w:rFonts w:hint="eastAsia" w:ascii="宋体" w:hAnsi="宋体" w:eastAsia="宋体" w:cs="宋体"/>
          <w:sz w:val="24"/>
          <w:szCs w:val="24"/>
          <w:highlight w:val="none"/>
        </w:rPr>
      </w:pPr>
      <w:r>
        <w:rPr>
          <w:rFonts w:hint="eastAsia" w:ascii="宋体" w:hAnsi="宋体" w:eastAsia="宋体" w:cs="宋体"/>
          <w:b/>
          <w:bCs/>
          <w:sz w:val="24"/>
          <w:szCs w:val="24"/>
          <w:highlight w:val="none"/>
        </w:rPr>
        <w:t>注:</w:t>
      </w:r>
    </w:p>
    <w:p>
      <w:pPr>
        <w:pStyle w:val="11"/>
        <w:spacing w:line="240" w:lineRule="atLeas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1.此表仅提供了表格形式，</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可根据项目实际</w:t>
      </w:r>
      <w:r>
        <w:rPr>
          <w:rFonts w:hint="eastAsia" w:ascii="宋体" w:hAnsi="宋体" w:eastAsia="宋体" w:cs="宋体"/>
          <w:sz w:val="24"/>
          <w:szCs w:val="24"/>
          <w:highlight w:val="none"/>
          <w:lang w:eastAsia="zh-CN"/>
        </w:rPr>
        <w:t>供求</w:t>
      </w:r>
      <w:r>
        <w:rPr>
          <w:rFonts w:hint="eastAsia" w:ascii="宋体" w:hAnsi="宋体" w:eastAsia="宋体" w:cs="宋体"/>
          <w:sz w:val="24"/>
          <w:szCs w:val="24"/>
          <w:highlight w:val="none"/>
        </w:rPr>
        <w:t>进行</w:t>
      </w:r>
      <w:r>
        <w:rPr>
          <w:rFonts w:hint="eastAsia" w:ascii="宋体" w:hAnsi="宋体" w:eastAsia="宋体" w:cs="宋体"/>
          <w:sz w:val="24"/>
          <w:szCs w:val="24"/>
          <w:highlight w:val="none"/>
          <w:lang w:eastAsia="zh-CN"/>
        </w:rPr>
        <w:t>适当</w:t>
      </w:r>
      <w:r>
        <w:rPr>
          <w:rFonts w:hint="eastAsia" w:ascii="宋体" w:hAnsi="宋体" w:eastAsia="宋体" w:cs="宋体"/>
          <w:sz w:val="24"/>
          <w:szCs w:val="24"/>
          <w:highlight w:val="none"/>
        </w:rPr>
        <w:t>调整</w:t>
      </w:r>
      <w:r>
        <w:rPr>
          <w:rFonts w:hint="eastAsia" w:ascii="宋体" w:hAnsi="宋体" w:eastAsia="宋体" w:cs="宋体"/>
          <w:sz w:val="24"/>
          <w:szCs w:val="24"/>
          <w:highlight w:val="none"/>
          <w:lang w:eastAsia="zh-CN"/>
        </w:rPr>
        <w:t>。</w:t>
      </w:r>
    </w:p>
    <w:p>
      <w:pPr>
        <w:pStyle w:val="11"/>
        <w:spacing w:line="240" w:lineRule="atLeas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2.供应商将响应文件与谈判文件在商务部分的差异之处汇集成此表。偏离表未声明事项视为认同谈判文件标准。</w:t>
      </w:r>
    </w:p>
    <w:p>
      <w:pPr>
        <w:pStyle w:val="11"/>
        <w:tabs>
          <w:tab w:val="left" w:pos="5370"/>
        </w:tabs>
        <w:spacing w:line="240" w:lineRule="atLeast"/>
        <w:ind w:left="1080" w:leftChars="257" w:hanging="540"/>
        <w:jc w:val="right"/>
        <w:rPr>
          <w:rFonts w:hint="eastAsia" w:ascii="宋体" w:hAnsi="宋体" w:eastAsia="宋体" w:cs="宋体"/>
          <w:sz w:val="24"/>
          <w:szCs w:val="24"/>
          <w:highlight w:val="none"/>
        </w:rPr>
      </w:pPr>
    </w:p>
    <w:p>
      <w:pPr>
        <w:pStyle w:val="11"/>
        <w:tabs>
          <w:tab w:val="left" w:pos="5370"/>
        </w:tabs>
        <w:spacing w:line="240" w:lineRule="atLeast"/>
        <w:ind w:left="1080" w:leftChars="257" w:hanging="540"/>
        <w:jc w:val="righ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供应商(盖单位章):</w:t>
      </w:r>
      <w:r>
        <w:rPr>
          <w:rFonts w:hint="eastAsia" w:ascii="宋体" w:hAnsi="宋体" w:eastAsia="宋体" w:cs="宋体"/>
          <w:sz w:val="24"/>
          <w:szCs w:val="24"/>
          <w:highlight w:val="none"/>
          <w:u w:val="single"/>
        </w:rPr>
        <w:tab/>
      </w:r>
    </w:p>
    <w:p>
      <w:pPr>
        <w:pStyle w:val="11"/>
        <w:spacing w:line="240" w:lineRule="atLeast"/>
        <w:ind w:left="1258" w:leftChars="599" w:firstLine="103" w:firstLineChars="43"/>
        <w:rPr>
          <w:rFonts w:hint="eastAsia" w:ascii="宋体" w:hAnsi="宋体" w:eastAsia="宋体" w:cs="宋体"/>
          <w:sz w:val="24"/>
          <w:szCs w:val="24"/>
          <w:highlight w:val="none"/>
        </w:rPr>
      </w:pPr>
    </w:p>
    <w:p>
      <w:pPr>
        <w:pStyle w:val="11"/>
        <w:spacing w:line="240" w:lineRule="atLeast"/>
        <w:ind w:left="1258" w:leftChars="599" w:firstLine="103" w:firstLineChars="43"/>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val="en-US" w:eastAsia="zh-CN"/>
        </w:rPr>
        <w:t>或盖章）</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u w:val="single"/>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br w:type="page"/>
      </w:r>
    </w:p>
    <w:p>
      <w:pPr>
        <w:pStyle w:val="4"/>
        <w:spacing w:before="0" w:line="240" w:lineRule="atLeast"/>
        <w:ind w:firstLine="256" w:firstLineChars="91"/>
        <w:jc w:val="center"/>
        <w:rPr>
          <w:rFonts w:hint="eastAsia" w:ascii="宋体" w:hAnsi="宋体" w:eastAsia="宋体" w:cs="宋体"/>
          <w:b/>
          <w:bCs/>
          <w:color w:val="000000"/>
          <w:kern w:val="0"/>
          <w:sz w:val="28"/>
          <w:szCs w:val="28"/>
        </w:rPr>
      </w:pPr>
      <w:bookmarkStart w:id="481" w:name="_Toc24702"/>
      <w:bookmarkStart w:id="482" w:name="_Toc3910"/>
      <w:r>
        <w:rPr>
          <w:rFonts w:hint="eastAsia" w:ascii="宋体" w:hAnsi="宋体" w:eastAsia="宋体" w:cs="宋体"/>
          <w:b/>
          <w:bCs/>
          <w:color w:val="000000"/>
          <w:sz w:val="28"/>
          <w:szCs w:val="28"/>
          <w:lang w:val="en-US" w:eastAsia="zh-CN"/>
        </w:rPr>
        <w:t>5</w:t>
      </w:r>
      <w:r>
        <w:rPr>
          <w:rFonts w:hint="eastAsia" w:ascii="宋体" w:hAnsi="宋体" w:eastAsia="宋体" w:cs="宋体"/>
          <w:b/>
          <w:bCs/>
          <w:color w:val="000000"/>
          <w:sz w:val="28"/>
          <w:szCs w:val="28"/>
        </w:rPr>
        <w:t xml:space="preserve">-1  </w:t>
      </w:r>
      <w:bookmarkEnd w:id="481"/>
      <w:r>
        <w:rPr>
          <w:rFonts w:hint="eastAsia" w:ascii="宋体" w:hAnsi="宋体" w:eastAsia="宋体" w:cs="宋体"/>
          <w:b/>
          <w:bCs/>
          <w:color w:val="000000"/>
          <w:sz w:val="28"/>
          <w:szCs w:val="28"/>
        </w:rPr>
        <w:t>中小企业声明函（货物）</w:t>
      </w:r>
      <w:bookmarkEnd w:id="482"/>
    </w:p>
    <w:p>
      <w:pPr>
        <w:keepNext w:val="0"/>
        <w:keepLines w:val="0"/>
        <w:pageBreakBefore w:val="0"/>
        <w:widowControl w:val="0"/>
        <w:kinsoku/>
        <w:wordWrap/>
        <w:overflowPunct/>
        <w:topLinePunct w:val="0"/>
        <w:autoSpaceDE/>
        <w:autoSpaceDN/>
        <w:bidi w:val="0"/>
        <w:adjustRightInd/>
        <w:snapToGrid/>
        <w:spacing w:line="360" w:lineRule="auto"/>
        <w:ind w:firstLine="380" w:firstLineChars="200"/>
        <w:textAlignment w:val="auto"/>
        <w:rPr>
          <w:rFonts w:hint="eastAsia" w:ascii="宋体" w:hAnsi="宋体" w:eastAsia="宋体" w:cs="宋体"/>
          <w:i w:val="0"/>
          <w:iCs w:val="0"/>
          <w:caps w:val="0"/>
          <w:color w:val="000000"/>
          <w:spacing w:val="0"/>
          <w:kern w:val="0"/>
          <w:sz w:val="19"/>
          <w:szCs w:val="19"/>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本公司（联合体）郑重声明，根据《政府采购促进中小企业发展管理办法》（财库 ﹝2020﹞46 号）的规定，本公司（联合体）参加</w:t>
      </w:r>
      <w:r>
        <w:rPr>
          <w:rFonts w:hint="eastAsia" w:ascii="宋体" w:hAnsi="宋体" w:eastAsia="宋体" w:cs="宋体"/>
          <w:sz w:val="24"/>
          <w:szCs w:val="32"/>
          <w:u w:val="single"/>
          <w:lang w:val="en-US" w:eastAsia="zh-CN"/>
        </w:rPr>
        <w:t xml:space="preserve">   （单位名称）  </w:t>
      </w:r>
      <w:r>
        <w:rPr>
          <w:rFonts w:hint="eastAsia" w:ascii="宋体" w:hAnsi="宋体" w:eastAsia="宋体" w:cs="宋体"/>
          <w:sz w:val="24"/>
          <w:szCs w:val="32"/>
          <w:lang w:val="en-US" w:eastAsia="zh-CN"/>
        </w:rPr>
        <w:t>的</w:t>
      </w:r>
      <w:r>
        <w:rPr>
          <w:rFonts w:hint="eastAsia" w:ascii="宋体" w:hAnsi="宋体" w:eastAsia="宋体" w:cs="宋体"/>
          <w:sz w:val="24"/>
          <w:szCs w:val="32"/>
          <w:u w:val="single"/>
          <w:lang w:val="en-US" w:eastAsia="zh-CN"/>
        </w:rPr>
        <w:t xml:space="preserve">   （项目名称）  </w:t>
      </w:r>
      <w:r>
        <w:rPr>
          <w:rFonts w:hint="eastAsia" w:ascii="宋体" w:hAnsi="宋体" w:eastAsia="宋体" w:cs="宋体"/>
          <w:sz w:val="24"/>
          <w:szCs w:val="32"/>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u w:val="single"/>
          <w:lang w:val="en-US" w:eastAsia="zh-CN"/>
        </w:rPr>
        <w:t>（标的名称）</w:t>
      </w:r>
      <w:r>
        <w:rPr>
          <w:rFonts w:hint="eastAsia" w:ascii="宋体" w:hAnsi="宋体" w:eastAsia="宋体" w:cs="宋体"/>
          <w:sz w:val="24"/>
          <w:szCs w:val="32"/>
          <w:lang w:val="en-US" w:eastAsia="zh-CN"/>
        </w:rPr>
        <w:t>，属于</w:t>
      </w:r>
      <w:r>
        <w:rPr>
          <w:rFonts w:hint="eastAsia" w:ascii="宋体" w:hAnsi="宋体" w:eastAsia="宋体" w:cs="宋体"/>
          <w:sz w:val="24"/>
          <w:szCs w:val="32"/>
          <w:u w:val="single"/>
          <w:lang w:val="en-US" w:eastAsia="zh-CN"/>
        </w:rPr>
        <w:t>（采购文件中明确的所属行业）</w:t>
      </w:r>
      <w:r>
        <w:rPr>
          <w:rFonts w:hint="eastAsia" w:ascii="宋体" w:hAnsi="宋体" w:eastAsia="宋体" w:cs="宋体"/>
          <w:sz w:val="24"/>
          <w:szCs w:val="32"/>
          <w:lang w:val="en-US" w:eastAsia="zh-CN"/>
        </w:rPr>
        <w:t>；制造商为</w:t>
      </w:r>
      <w:r>
        <w:rPr>
          <w:rFonts w:hint="eastAsia" w:ascii="宋体" w:hAnsi="宋体" w:eastAsia="宋体" w:cs="宋体"/>
          <w:sz w:val="24"/>
          <w:szCs w:val="32"/>
          <w:u w:val="single"/>
          <w:lang w:val="en-US" w:eastAsia="zh-CN"/>
        </w:rPr>
        <w:t xml:space="preserve"> （企业名称）  </w:t>
      </w:r>
      <w:r>
        <w:rPr>
          <w:rFonts w:hint="eastAsia" w:ascii="宋体" w:hAnsi="宋体" w:eastAsia="宋体" w:cs="宋体"/>
          <w:sz w:val="24"/>
          <w:szCs w:val="32"/>
          <w:lang w:val="en-US" w:eastAsia="zh-CN"/>
        </w:rPr>
        <w:t>，从业人员</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人，营业收入为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万元，资产总额为</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u w:val="single"/>
          <w:lang w:val="en-US" w:eastAsia="zh-CN"/>
        </w:rPr>
        <w:tab/>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万元，属于</w:t>
      </w:r>
      <w:r>
        <w:rPr>
          <w:rFonts w:hint="eastAsia" w:ascii="宋体" w:hAnsi="宋体" w:eastAsia="宋体" w:cs="宋体"/>
          <w:sz w:val="24"/>
          <w:szCs w:val="32"/>
          <w:u w:val="single"/>
          <w:lang w:val="en-US" w:eastAsia="zh-CN"/>
        </w:rPr>
        <w:t xml:space="preserve">             </w:t>
      </w:r>
      <w:r>
        <w:rPr>
          <w:rFonts w:hint="eastAsia" w:ascii="宋体" w:hAnsi="宋体" w:eastAsia="宋体" w:cs="宋体"/>
          <w:sz w:val="24"/>
          <w:szCs w:val="32"/>
          <w:lang w:val="en-US" w:eastAsia="zh-CN"/>
        </w:rPr>
        <w:t>（中型企业、小型企业、微型企业）；</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                                      企业名称（盖章）： </w:t>
      </w:r>
    </w:p>
    <w:p>
      <w:pPr>
        <w:pStyle w:val="23"/>
        <w:rPr>
          <w:rFonts w:hint="default"/>
          <w:lang w:val="en-US" w:eastAsia="zh-CN"/>
        </w:rPr>
      </w:pPr>
      <w:r>
        <w:rPr>
          <w:rFonts w:hint="eastAsia" w:ascii="宋体" w:hAnsi="宋体" w:eastAsia="宋体" w:cs="宋体"/>
          <w:sz w:val="24"/>
          <w:szCs w:val="32"/>
          <w:lang w:val="en-US" w:eastAsia="zh-CN"/>
        </w:rPr>
        <w:t xml:space="preserve"> </w:t>
      </w:r>
    </w:p>
    <w:p>
      <w:pPr>
        <w:keepNext w:val="0"/>
        <w:keepLines w:val="0"/>
        <w:widowControl/>
        <w:suppressLineNumbers w:val="0"/>
        <w:shd w:val="clear" w:color="auto" w:fill="FFFFFF"/>
        <w:spacing w:before="100" w:beforeAutospacing="1" w:after="100" w:afterAutospacing="1" w:line="348" w:lineRule="atLeast"/>
        <w:ind w:left="0" w:right="0" w:firstLine="5786" w:firstLineChars="2411"/>
        <w:jc w:val="left"/>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日期：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备注：1、从业人员、营业收入、资产总额填报上一年度数据，无上一年度数据的新成立企业可不填报。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rPr>
      </w:pPr>
      <w:r>
        <w:rPr>
          <w:rFonts w:hint="eastAsia" w:ascii="宋体" w:hAnsi="宋体" w:eastAsia="宋体" w:cs="宋体"/>
          <w:b/>
          <w:bCs/>
          <w:sz w:val="24"/>
          <w:szCs w:val="32"/>
          <w:lang w:val="en-US" w:eastAsia="zh-CN"/>
        </w:rPr>
        <w:t>2、本项目所属行业为工业。</w:t>
      </w:r>
    </w:p>
    <w:p>
      <w:pPr>
        <w:jc w:val="left"/>
        <w:rPr>
          <w:rFonts w:hint="eastAsia" w:ascii="宋体" w:hAnsi="宋体" w:eastAsia="宋体" w:cs="宋体"/>
          <w:b/>
          <w:bCs/>
          <w:color w:val="000000"/>
          <w:kern w:val="0"/>
          <w:sz w:val="24"/>
          <w:szCs w:val="24"/>
          <w:highlight w:val="none"/>
        </w:rPr>
      </w:pPr>
    </w:p>
    <w:p>
      <w:pPr>
        <w:pStyle w:val="2"/>
        <w:rPr>
          <w:rFonts w:hint="eastAsia" w:ascii="宋体" w:hAnsi="宋体" w:eastAsia="宋体" w:cs="宋体"/>
          <w:b/>
          <w:bCs/>
          <w:color w:val="000000"/>
          <w:kern w:val="0"/>
          <w:sz w:val="24"/>
          <w:szCs w:val="24"/>
          <w:highlight w:val="none"/>
        </w:rPr>
      </w:pPr>
    </w:p>
    <w:p>
      <w:pPr>
        <w:rPr>
          <w:rFonts w:hint="eastAsia" w:ascii="宋体" w:hAnsi="宋体" w:eastAsia="宋体" w:cs="宋体"/>
          <w:b/>
          <w:bCs/>
          <w:color w:val="000000"/>
          <w:kern w:val="0"/>
          <w:sz w:val="24"/>
          <w:szCs w:val="24"/>
          <w:highlight w:val="none"/>
        </w:rPr>
      </w:pPr>
    </w:p>
    <w:p>
      <w:pPr>
        <w:pStyle w:val="2"/>
        <w:rPr>
          <w:rFonts w:hint="eastAsia"/>
        </w:rPr>
      </w:pPr>
    </w:p>
    <w:p>
      <w:pPr>
        <w:jc w:val="left"/>
        <w:rPr>
          <w:rFonts w:hint="eastAsia" w:ascii="宋体" w:hAnsi="宋体" w:eastAsia="宋体" w:cs="宋体"/>
          <w:b/>
          <w:bCs/>
          <w:color w:val="000000"/>
          <w:kern w:val="0"/>
          <w:sz w:val="24"/>
          <w:szCs w:val="24"/>
          <w:highlight w:val="none"/>
        </w:rPr>
      </w:pPr>
    </w:p>
    <w:p>
      <w:pPr>
        <w:jc w:val="left"/>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附：</w:t>
      </w:r>
    </w:p>
    <w:p>
      <w:pPr>
        <w:jc w:val="center"/>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中小微企业划型标准</w:t>
      </w:r>
    </w:p>
    <w:p>
      <w:pPr>
        <w:pStyle w:val="2"/>
        <w:tabs>
          <w:tab w:val="left" w:pos="567"/>
        </w:tabs>
        <w:rPr>
          <w:rFonts w:hint="eastAsia"/>
        </w:rPr>
      </w:pPr>
    </w:p>
    <w:tbl>
      <w:tblPr>
        <w:tblStyle w:val="24"/>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X＜10</w:t>
            </w:r>
          </w:p>
        </w:tc>
      </w:tr>
    </w:tbl>
    <w:p>
      <w:pPr>
        <w:spacing w:line="360" w:lineRule="auto"/>
        <w:rPr>
          <w:rFonts w:hint="eastAsia" w:ascii="宋体" w:hAnsi="宋体" w:eastAsia="宋体" w:cs="宋体"/>
          <w:sz w:val="24"/>
          <w:szCs w:val="24"/>
          <w:highlight w:val="none"/>
        </w:rPr>
      </w:pPr>
    </w:p>
    <w:p>
      <w:pPr>
        <w:snapToGrid w:val="0"/>
        <w:spacing w:line="336" w:lineRule="auto"/>
        <w:ind w:firstLine="482" w:firstLineChars="200"/>
        <w:contextualSpacing/>
        <w:jc w:val="left"/>
        <w:rPr>
          <w:rFonts w:hint="eastAsia" w:ascii="宋体" w:hAnsi="宋体" w:eastAsia="宋体" w:cs="宋体"/>
          <w:sz w:val="24"/>
          <w:szCs w:val="24"/>
          <w:highlight w:val="none"/>
        </w:rPr>
      </w:pPr>
      <w:r>
        <w:rPr>
          <w:rFonts w:hint="eastAsia" w:ascii="宋体" w:hAnsi="宋体" w:eastAsia="宋体" w:cs="宋体"/>
          <w:b/>
          <w:sz w:val="24"/>
          <w:szCs w:val="24"/>
          <w:highlight w:val="none"/>
        </w:rPr>
        <w:t>说明：</w:t>
      </w:r>
      <w:r>
        <w:rPr>
          <w:rFonts w:hint="eastAsia" w:ascii="宋体" w:hAnsi="宋体" w:eastAsia="宋体" w:cs="宋体"/>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sz w:val="24"/>
          <w:szCs w:val="24"/>
          <w:highlight w:val="none"/>
        </w:rPr>
      </w:pPr>
      <w:r>
        <w:rPr>
          <w:rFonts w:hint="eastAsia" w:ascii="宋体" w:hAnsi="宋体" w:eastAsia="宋体" w:cs="宋体"/>
          <w:sz w:val="24"/>
          <w:szCs w:val="24"/>
          <w:highlight w:val="none"/>
        </w:rPr>
        <w:t>在货物采购项目中，供应商提供的货物既有中小企业制造货物，也有大型企业制造货物的，不享受本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rPr>
        <w:sectPr>
          <w:footerReference r:id="rId6" w:type="default"/>
          <w:pgSz w:w="11906" w:h="16838"/>
          <w:pgMar w:top="1440" w:right="1797" w:bottom="1440" w:left="1797" w:header="851" w:footer="992" w:gutter="0"/>
          <w:pgNumType w:fmt="decimal" w:start="1"/>
          <w:cols w:space="720" w:num="1"/>
          <w:docGrid w:linePitch="312" w:charSpace="0"/>
        </w:sectPr>
      </w:pPr>
      <w:r>
        <w:rPr>
          <w:rFonts w:hint="eastAsia" w:ascii="宋体" w:hAnsi="宋体" w:eastAsia="宋体" w:cs="宋体"/>
          <w:sz w:val="24"/>
          <w:szCs w:val="24"/>
          <w:highlight w:val="none"/>
        </w:rPr>
        <w:t>依据本</w:t>
      </w:r>
      <w:r>
        <w:rPr>
          <w:rFonts w:hint="eastAsia" w:ascii="宋体" w:hAnsi="宋体" w:eastAsia="宋体" w:cs="宋体"/>
          <w:sz w:val="24"/>
          <w:szCs w:val="24"/>
          <w:highlight w:val="none"/>
          <w:lang w:eastAsia="zh-CN"/>
        </w:rPr>
        <w:t>招标文件</w:t>
      </w:r>
      <w:r>
        <w:rPr>
          <w:rFonts w:hint="eastAsia" w:ascii="宋体" w:hAnsi="宋体" w:eastAsia="宋体" w:cs="宋体"/>
          <w:sz w:val="24"/>
          <w:szCs w:val="24"/>
          <w:highlight w:val="none"/>
        </w:rPr>
        <w:t>规定享受扶持政策获得政府采购合同的，小微企业不得将合同分包给大中型企业，中型企业不得将合同分包给大型企业</w:t>
      </w:r>
    </w:p>
    <w:p>
      <w:pPr>
        <w:widowControl/>
        <w:spacing w:before="100" w:beforeAutospacing="1" w:after="100" w:afterAutospacing="1" w:line="330" w:lineRule="atLeast"/>
        <w:jc w:val="center"/>
        <w:rPr>
          <w:rFonts w:hint="eastAsia" w:ascii="宋体" w:hAnsi="宋体" w:eastAsia="宋体" w:cs="宋体"/>
          <w:kern w:val="0"/>
          <w:sz w:val="32"/>
          <w:szCs w:val="40"/>
          <w:highlight w:val="none"/>
          <w:lang w:eastAsia="zh-CN"/>
        </w:rPr>
      </w:pPr>
      <w:r>
        <w:rPr>
          <w:rFonts w:hint="eastAsia" w:ascii="宋体" w:hAnsi="宋体" w:eastAsia="宋体" w:cs="宋体"/>
          <w:kern w:val="0"/>
          <w:sz w:val="32"/>
          <w:szCs w:val="40"/>
          <w:highlight w:val="none"/>
        </w:rPr>
        <w:t>5-2  残疾人福利性单位声明函</w:t>
      </w:r>
      <w:r>
        <w:rPr>
          <w:rFonts w:hint="eastAsia" w:ascii="宋体" w:hAnsi="宋体" w:eastAsia="宋体" w:cs="宋体"/>
          <w:kern w:val="0"/>
          <w:sz w:val="32"/>
          <w:szCs w:val="40"/>
          <w:highlight w:val="none"/>
          <w:lang w:eastAsia="zh-CN"/>
        </w:rPr>
        <w:t>（</w:t>
      </w:r>
      <w:r>
        <w:rPr>
          <w:rFonts w:hint="eastAsia" w:ascii="宋体" w:hAnsi="宋体" w:eastAsia="宋体" w:cs="宋体"/>
          <w:kern w:val="0"/>
          <w:sz w:val="32"/>
          <w:szCs w:val="40"/>
          <w:highlight w:val="none"/>
          <w:lang w:val="en-US" w:eastAsia="zh-CN"/>
        </w:rPr>
        <w:t>可选</w:t>
      </w:r>
      <w:r>
        <w:rPr>
          <w:rFonts w:hint="eastAsia" w:ascii="宋体" w:hAnsi="宋体" w:eastAsia="宋体" w:cs="宋体"/>
          <w:kern w:val="0"/>
          <w:sz w:val="32"/>
          <w:szCs w:val="40"/>
          <w:highlight w:val="none"/>
          <w:lang w:eastAsia="zh-CN"/>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80" w:firstLineChars="2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kern w:val="0"/>
          <w:sz w:val="24"/>
          <w:szCs w:val="32"/>
          <w:highlight w:val="none"/>
          <w:u w:val="single"/>
          <w:lang w:val="en-US" w:eastAsia="zh-CN"/>
        </w:rPr>
        <w:t xml:space="preserve">    （采购人名称）   </w:t>
      </w:r>
      <w:r>
        <w:rPr>
          <w:rFonts w:hint="eastAsia" w:ascii="宋体" w:hAnsi="宋体" w:eastAsia="宋体" w:cs="宋体"/>
          <w:kern w:val="0"/>
          <w:sz w:val="24"/>
          <w:szCs w:val="32"/>
          <w:highlight w:val="none"/>
        </w:rPr>
        <w:t>单位的</w:t>
      </w:r>
      <w:r>
        <w:rPr>
          <w:rFonts w:hint="eastAsia" w:ascii="宋体" w:hAnsi="宋体" w:eastAsia="宋体" w:cs="宋体"/>
          <w:kern w:val="0"/>
          <w:sz w:val="24"/>
          <w:szCs w:val="32"/>
          <w:highlight w:val="none"/>
          <w:u w:val="single"/>
          <w:lang w:val="en-US" w:eastAsia="zh-CN"/>
        </w:rPr>
        <w:t xml:space="preserve">   （项目名称）  </w:t>
      </w: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项目</w:t>
      </w:r>
      <w:r>
        <w:rPr>
          <w:rFonts w:hint="eastAsia" w:ascii="宋体" w:hAnsi="宋体" w:eastAsia="宋体" w:cs="宋体"/>
          <w:color w:val="auto"/>
          <w:spacing w:val="6"/>
          <w:sz w:val="24"/>
          <w:szCs w:val="24"/>
          <w:highlight w:val="none"/>
        </w:rPr>
        <w:t>采购活动由本单位承担工程。</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720" w:firstLineChars="300"/>
        <w:jc w:val="both"/>
        <w:textAlignment w:val="auto"/>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本单位对上述声明的真实性负责。如有虚假，将依法承担相应责任。</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p>
    <w:p>
      <w:pPr>
        <w:widowControl/>
        <w:spacing w:before="100" w:beforeAutospacing="1" w:after="100" w:afterAutospacing="1" w:line="330" w:lineRule="atLeast"/>
        <w:ind w:firstLine="3600" w:firstLineChars="1500"/>
        <w:jc w:val="both"/>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残疾人福利性单位名称（盖单位章</w:t>
      </w:r>
      <w:r>
        <w:rPr>
          <w:rFonts w:hint="eastAsia" w:ascii="宋体" w:hAnsi="宋体" w:eastAsia="宋体" w:cs="宋体"/>
          <w:kern w:val="0"/>
          <w:sz w:val="24"/>
          <w:szCs w:val="32"/>
          <w:highlight w:val="none"/>
          <w:lang w:eastAsia="zh-CN"/>
        </w:rPr>
        <w:t>）：</w:t>
      </w:r>
      <w:r>
        <w:rPr>
          <w:rFonts w:hint="eastAsia" w:ascii="宋体" w:hAnsi="宋体" w:eastAsia="宋体" w:cs="宋体"/>
          <w:kern w:val="0"/>
          <w:sz w:val="24"/>
          <w:szCs w:val="32"/>
          <w:highlight w:val="none"/>
        </w:rPr>
        <w:t>______________</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rPr>
        <w:t xml:space="preserve">                 </w:t>
      </w:r>
    </w:p>
    <w:p>
      <w:pPr>
        <w:widowControl/>
        <w:spacing w:before="100" w:beforeAutospacing="1" w:after="100" w:afterAutospacing="1" w:line="330" w:lineRule="atLeast"/>
        <w:ind w:firstLine="3120" w:firstLineChars="1300"/>
        <w:jc w:val="center"/>
        <w:rPr>
          <w:rFonts w:hint="eastAsia" w:ascii="宋体" w:hAnsi="宋体" w:eastAsia="宋体" w:cs="宋体"/>
          <w:kern w:val="0"/>
          <w:sz w:val="24"/>
          <w:szCs w:val="32"/>
          <w:highlight w:val="none"/>
        </w:rPr>
      </w:pPr>
      <w:r>
        <w:rPr>
          <w:rFonts w:hint="eastAsia" w:ascii="宋体" w:hAnsi="宋体" w:eastAsia="宋体" w:cs="宋体"/>
          <w:kern w:val="0"/>
          <w:sz w:val="24"/>
          <w:szCs w:val="32"/>
          <w:highlight w:val="none"/>
          <w:lang w:val="en-US" w:eastAsia="zh-CN"/>
        </w:rPr>
        <w:t xml:space="preserve">                  </w:t>
      </w:r>
      <w:r>
        <w:rPr>
          <w:rFonts w:hint="eastAsia" w:ascii="宋体" w:hAnsi="宋体" w:eastAsia="宋体" w:cs="宋体"/>
          <w:kern w:val="0"/>
          <w:sz w:val="24"/>
          <w:szCs w:val="32"/>
          <w:highlight w:val="none"/>
        </w:rPr>
        <w:t xml:space="preserve">日  期：__________________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_GB2312" w:hAnsi="仿宋_GB2312" w:eastAsia="仿宋_GB2312" w:cs="仿宋"/>
          <w:color w:val="auto"/>
          <w:highlight w:val="none"/>
        </w:rPr>
      </w:pPr>
      <w:r>
        <w:rPr>
          <w:rFonts w:hint="eastAsia" w:ascii="宋体" w:hAnsi="宋体" w:eastAsia="宋体" w:cs="宋体"/>
          <w:color w:val="auto"/>
          <w:sz w:val="24"/>
          <w:szCs w:val="24"/>
          <w:highlight w:val="none"/>
        </w:rPr>
        <w:t>2.供应商为非残疾人福利性单位的，不得提供此声明，提供此声明的，声明无效。</w:t>
      </w:r>
    </w:p>
    <w:p>
      <w:pPr>
        <w:widowControl/>
        <w:spacing w:before="100" w:beforeAutospacing="1" w:after="100" w:afterAutospacing="1" w:line="330" w:lineRule="atLeast"/>
        <w:ind w:firstLine="420"/>
        <w:jc w:val="left"/>
        <w:rPr>
          <w:rFonts w:hint="eastAsia" w:ascii="宋体" w:hAnsi="宋体" w:eastAsia="宋体" w:cs="宋体"/>
          <w:kern w:val="0"/>
          <w:highlight w:val="none"/>
        </w:rPr>
      </w:pPr>
    </w:p>
    <w:p>
      <w:pPr>
        <w:spacing w:line="240" w:lineRule="atLeast"/>
        <w:ind w:left="1080" w:leftChars="257" w:hanging="540"/>
        <w:jc w:val="center"/>
        <w:rPr>
          <w:rFonts w:hint="eastAsia" w:ascii="宋体" w:hAnsi="宋体" w:eastAsia="宋体" w:cs="宋体"/>
          <w:b/>
          <w:kern w:val="0"/>
          <w:szCs w:val="20"/>
          <w:highlight w:val="none"/>
        </w:rPr>
      </w:pPr>
      <w:r>
        <w:rPr>
          <w:rFonts w:hint="eastAsia" w:ascii="宋体" w:hAnsi="宋体" w:eastAsia="宋体" w:cs="宋体"/>
          <w:b/>
          <w:kern w:val="0"/>
          <w:szCs w:val="20"/>
          <w:highlight w:val="none"/>
        </w:rPr>
        <w:t>　</w:t>
      </w:r>
    </w:p>
    <w:p>
      <w:pPr>
        <w:pStyle w:val="30"/>
        <w:rPr>
          <w:rFonts w:hint="eastAsia" w:ascii="宋体" w:hAnsi="宋体" w:eastAsia="宋体" w:cs="宋体"/>
          <w:b/>
          <w:szCs w:val="20"/>
          <w:highlight w:val="none"/>
        </w:rPr>
      </w:pPr>
      <w:r>
        <w:rPr>
          <w:rFonts w:hint="eastAsia" w:ascii="宋体" w:hAnsi="宋体" w:eastAsia="宋体" w:cs="宋体"/>
          <w:b w:val="0"/>
          <w:highlight w:val="none"/>
        </w:rPr>
        <w:br w:type="page"/>
      </w:r>
    </w:p>
    <w:p>
      <w:pPr>
        <w:pStyle w:val="30"/>
        <w:ind w:firstLine="2560" w:firstLineChars="800"/>
        <w:rPr>
          <w:rFonts w:hint="eastAsia" w:ascii="宋体" w:hAnsi="宋体" w:eastAsia="宋体" w:cs="宋体"/>
          <w:color w:val="auto"/>
          <w:kern w:val="0"/>
          <w:sz w:val="32"/>
          <w:szCs w:val="40"/>
          <w:highlight w:val="none"/>
          <w:lang w:val="en-US" w:eastAsia="zh-CN" w:bidi="ar-SA"/>
        </w:rPr>
      </w:pPr>
      <w:r>
        <w:rPr>
          <w:rFonts w:hint="eastAsia" w:ascii="宋体" w:hAnsi="宋体" w:eastAsia="宋体" w:cs="宋体"/>
          <w:color w:val="auto"/>
          <w:kern w:val="0"/>
          <w:sz w:val="32"/>
          <w:szCs w:val="40"/>
          <w:highlight w:val="none"/>
          <w:lang w:val="en-US" w:eastAsia="zh-CN" w:bidi="ar-SA"/>
        </w:rPr>
        <w:t>5-3 监狱企业证明（可选）</w:t>
      </w:r>
    </w:p>
    <w:p>
      <w:pPr>
        <w:pStyle w:val="30"/>
        <w:rPr>
          <w:rFonts w:hint="eastAsia" w:ascii="宋体" w:hAnsi="宋体" w:eastAsia="宋体" w:cs="宋体"/>
          <w:b/>
          <w:szCs w:val="20"/>
          <w:highlight w:val="none"/>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注：1.监狱企业参加政府采购活动时，应当提供由省级以上监狱管理局、戒毒管理局（含新疆生产建设兵团）出具的属于监狱企业的证明文件，并加盖单位公章。</w:t>
      </w:r>
    </w:p>
    <w:p>
      <w:pPr>
        <w:pStyle w:val="30"/>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b w:val="0"/>
          <w:bCs/>
          <w:szCs w:val="20"/>
          <w:highlight w:val="none"/>
        </w:rPr>
      </w:pPr>
      <w:r>
        <w:rPr>
          <w:rFonts w:hint="eastAsia" w:ascii="宋体" w:hAnsi="宋体" w:eastAsia="宋体" w:cs="宋体"/>
          <w:b w:val="0"/>
          <w:bCs/>
          <w:szCs w:val="20"/>
          <w:highlight w:val="none"/>
        </w:rPr>
        <w:t>2.监狱企业视同小型、微型企业，享受预留份额、评审中价格扣除等政府采购促进中小企业发展的政府采购政策。监狱企业属于小型、微型企业的，不重复享受政策。</w:t>
      </w:r>
    </w:p>
    <w:p>
      <w:pPr>
        <w:pStyle w:val="30"/>
        <w:rPr>
          <w:rFonts w:hint="eastAsia" w:ascii="宋体" w:hAnsi="宋体" w:eastAsia="宋体" w:cs="宋体"/>
          <w:b/>
          <w:szCs w:val="20"/>
          <w:highlight w:val="none"/>
        </w:rPr>
      </w:pPr>
    </w:p>
    <w:p>
      <w:pPr>
        <w:pStyle w:val="30"/>
        <w:rPr>
          <w:rFonts w:hint="eastAsia" w:ascii="宋体" w:hAnsi="宋体" w:eastAsia="宋体" w:cs="宋体"/>
          <w:b/>
          <w:szCs w:val="20"/>
          <w:highlight w:val="none"/>
        </w:rPr>
      </w:pPr>
    </w:p>
    <w:p>
      <w:pPr>
        <w:pStyle w:val="30"/>
        <w:rPr>
          <w:rFonts w:hint="eastAsia" w:ascii="宋体" w:hAnsi="宋体" w:eastAsia="宋体" w:cs="宋体"/>
          <w:b/>
          <w:szCs w:val="20"/>
          <w:highlight w:val="none"/>
        </w:rPr>
      </w:pPr>
    </w:p>
    <w:p>
      <w:pPr>
        <w:spacing w:line="240" w:lineRule="atLeast"/>
        <w:ind w:left="1080" w:leftChars="257" w:hanging="540"/>
        <w:jc w:val="center"/>
        <w:rPr>
          <w:rFonts w:hint="eastAsia" w:ascii="宋体" w:hAnsi="宋体" w:eastAsia="宋体" w:cs="宋体"/>
          <w:b/>
          <w:kern w:val="0"/>
          <w:szCs w:val="20"/>
          <w:highlight w:val="none"/>
        </w:rPr>
      </w:pPr>
    </w:p>
    <w:p>
      <w:pPr>
        <w:pStyle w:val="11"/>
        <w:spacing w:line="360" w:lineRule="auto"/>
        <w:ind w:left="1080" w:leftChars="257" w:hanging="540"/>
        <w:jc w:val="left"/>
        <w:outlineLvl w:val="2"/>
        <w:rPr>
          <w:rFonts w:hint="eastAsia" w:ascii="宋体" w:hAnsi="宋体" w:eastAsia="宋体" w:cs="宋体"/>
          <w:sz w:val="24"/>
          <w:highlight w:val="none"/>
          <w:lang w:eastAsia="zh-CN"/>
        </w:rPr>
      </w:pPr>
      <w:bookmarkStart w:id="483" w:name="_Toc7738"/>
      <w:bookmarkStart w:id="484" w:name="_Toc19819"/>
      <w:bookmarkStart w:id="485" w:name="_Toc9764"/>
      <w:bookmarkStart w:id="486" w:name="_Toc1118"/>
      <w:bookmarkStart w:id="487" w:name="_Toc3869"/>
      <w:r>
        <w:rPr>
          <w:rFonts w:hint="eastAsia" w:ascii="宋体" w:hAnsi="宋体" w:eastAsia="宋体" w:cs="宋体"/>
          <w:b/>
          <w:bCs/>
          <w:color w:val="000000"/>
          <w:kern w:val="0"/>
          <w:sz w:val="24"/>
          <w:szCs w:val="24"/>
          <w:highlight w:val="none"/>
          <w:lang w:val="en-US" w:eastAsia="zh-CN" w:bidi="ar"/>
        </w:rPr>
        <w:t>响应文件包括但不仅限于上述内容，如有不足，请自行补充提供</w:t>
      </w:r>
      <w:bookmarkEnd w:id="483"/>
      <w:bookmarkEnd w:id="484"/>
      <w:bookmarkEnd w:id="485"/>
      <w:bookmarkEnd w:id="486"/>
      <w:bookmarkEnd w:id="487"/>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u w:val="none"/>
          <w:lang w:val="en-US" w:eastAsia="zh-CN"/>
        </w:rPr>
        <w:sectPr>
          <w:footerReference r:id="rId7" w:type="default"/>
          <w:pgSz w:w="11906" w:h="16838"/>
          <w:pgMar w:top="1440" w:right="1686" w:bottom="1440" w:left="1180" w:header="851" w:footer="992" w:gutter="0"/>
          <w:pgNumType w:fmt="decimal"/>
          <w:cols w:space="0" w:num="1"/>
          <w:rtlGutter w:val="0"/>
          <w:docGrid w:type="lines" w:linePitch="312" w:charSpace="0"/>
        </w:sectPr>
      </w:pPr>
    </w:p>
    <w:p>
      <w:pPr>
        <w:pStyle w:val="30"/>
        <w:ind w:firstLine="2560" w:firstLineChars="800"/>
        <w:rPr>
          <w:rFonts w:hint="eastAsia" w:ascii="宋体" w:hAnsi="宋体" w:eastAsia="宋体" w:cs="宋体"/>
          <w:color w:val="auto"/>
          <w:kern w:val="0"/>
          <w:sz w:val="32"/>
          <w:szCs w:val="40"/>
          <w:highlight w:val="none"/>
          <w:lang w:val="en-US" w:eastAsia="zh-CN" w:bidi="ar-SA"/>
        </w:rPr>
      </w:pPr>
      <w:r>
        <w:rPr>
          <w:rFonts w:hint="eastAsia" w:hAnsi="宋体" w:cs="宋体"/>
          <w:color w:val="auto"/>
          <w:kern w:val="0"/>
          <w:sz w:val="32"/>
          <w:szCs w:val="40"/>
          <w:highlight w:val="none"/>
          <w:lang w:val="en-US" w:eastAsia="zh-CN" w:bidi="ar-SA"/>
        </w:rPr>
        <w:t>6、</w:t>
      </w:r>
      <w:r>
        <w:rPr>
          <w:rFonts w:hint="eastAsia" w:ascii="宋体" w:hAnsi="宋体" w:eastAsia="宋体" w:cs="宋体"/>
          <w:color w:val="auto"/>
          <w:kern w:val="0"/>
          <w:sz w:val="32"/>
          <w:szCs w:val="40"/>
          <w:highlight w:val="none"/>
          <w:lang w:val="en-US" w:eastAsia="zh-CN" w:bidi="ar-SA"/>
        </w:rPr>
        <w:t>政府采购诚信投标承诺书</w:t>
      </w:r>
    </w:p>
    <w:p>
      <w:pPr>
        <w:spacing w:before="161" w:line="222" w:lineRule="auto"/>
        <w:rPr>
          <w:rFonts w:hint="eastAsia" w:ascii="宋体" w:hAnsi="宋体" w:eastAsia="宋体" w:cs="宋体"/>
          <w:sz w:val="24"/>
          <w:szCs w:val="24"/>
        </w:rPr>
      </w:pPr>
      <w:r>
        <w:rPr>
          <w:rFonts w:hint="eastAsia" w:ascii="宋体" w:hAnsi="宋体" w:eastAsia="宋体" w:cs="宋体"/>
          <w:spacing w:val="8"/>
          <w:sz w:val="24"/>
          <w:szCs w:val="24"/>
          <w:u w:val="single" w:color="auto"/>
        </w:rPr>
        <w:t>(采购人)</w:t>
      </w:r>
      <w:r>
        <w:rPr>
          <w:rFonts w:hint="eastAsia" w:ascii="宋体" w:hAnsi="宋体" w:eastAsia="宋体" w:cs="宋体"/>
          <w:sz w:val="24"/>
          <w:szCs w:val="24"/>
          <w:u w:val="single" w:color="auto"/>
        </w:rPr>
        <w:t xml:space="preserve">  </w:t>
      </w:r>
    </w:p>
    <w:p>
      <w:pPr>
        <w:spacing w:before="116" w:line="311" w:lineRule="auto"/>
        <w:ind w:left="139" w:right="81" w:firstLine="370"/>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pacing w:val="5"/>
          <w:sz w:val="24"/>
          <w:szCs w:val="24"/>
          <w:u w:val="single" w:color="auto"/>
        </w:rPr>
        <w:t xml:space="preserve">              </w:t>
      </w:r>
      <w:r>
        <w:rPr>
          <w:rFonts w:hint="eastAsia" w:ascii="宋体" w:hAnsi="宋体" w:eastAsia="宋体" w:cs="宋体"/>
          <w:spacing w:val="7"/>
          <w:sz w:val="24"/>
          <w:szCs w:val="24"/>
        </w:rPr>
        <w:t xml:space="preserve"> </w:t>
      </w:r>
      <w:r>
        <w:rPr>
          <w:rFonts w:hint="eastAsia" w:ascii="宋体" w:hAnsi="宋体" w:eastAsia="宋体" w:cs="宋体"/>
          <w:sz w:val="24"/>
          <w:szCs w:val="24"/>
        </w:rPr>
        <w:t>(投标人名称)已详细阅读了</w:t>
      </w:r>
      <w:r>
        <w:rPr>
          <w:rFonts w:hint="eastAsia" w:ascii="宋体" w:hAnsi="宋体" w:eastAsia="宋体" w:cs="宋体"/>
          <w:spacing w:val="2"/>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z w:val="24"/>
          <w:szCs w:val="24"/>
        </w:rPr>
        <w:t xml:space="preserve">项目 </w:t>
      </w:r>
      <w:r>
        <w:rPr>
          <w:rFonts w:hint="eastAsia" w:ascii="宋体" w:hAnsi="宋体" w:eastAsia="宋体" w:cs="宋体"/>
          <w:spacing w:val="-16"/>
          <w:sz w:val="24"/>
          <w:szCs w:val="24"/>
        </w:rPr>
        <w:t>(项目编号：</w:t>
      </w:r>
      <w:r>
        <w:rPr>
          <w:rFonts w:hint="eastAsia" w:ascii="宋体" w:hAnsi="宋体" w:eastAsia="宋体" w:cs="宋体"/>
          <w:spacing w:val="30"/>
          <w:sz w:val="24"/>
          <w:szCs w:val="24"/>
        </w:rPr>
        <w:t xml:space="preserve"> </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16"/>
          <w:sz w:val="24"/>
          <w:szCs w:val="24"/>
        </w:rPr>
        <w:t>)</w:t>
      </w:r>
      <w:r>
        <w:rPr>
          <w:rFonts w:hint="eastAsia" w:ascii="宋体" w:hAnsi="宋体" w:eastAsia="宋体" w:cs="宋体"/>
          <w:spacing w:val="-16"/>
          <w:sz w:val="24"/>
          <w:szCs w:val="24"/>
          <w:lang w:val="en-US" w:eastAsia="zh-CN"/>
        </w:rPr>
        <w:t>谈判</w:t>
      </w:r>
      <w:r>
        <w:rPr>
          <w:rFonts w:hint="eastAsia" w:ascii="宋体" w:hAnsi="宋体" w:eastAsia="宋体" w:cs="宋体"/>
          <w:spacing w:val="-16"/>
          <w:sz w:val="24"/>
          <w:szCs w:val="24"/>
        </w:rPr>
        <w:t>文件，</w:t>
      </w:r>
      <w:r>
        <w:rPr>
          <w:rFonts w:hint="eastAsia" w:ascii="宋体" w:hAnsi="宋体" w:eastAsia="宋体" w:cs="宋体"/>
          <w:spacing w:val="15"/>
          <w:sz w:val="24"/>
          <w:szCs w:val="24"/>
        </w:rPr>
        <w:t xml:space="preserve"> </w:t>
      </w:r>
      <w:r>
        <w:rPr>
          <w:rFonts w:hint="eastAsia" w:ascii="宋体" w:hAnsi="宋体" w:eastAsia="宋体" w:cs="宋体"/>
          <w:spacing w:val="-16"/>
          <w:sz w:val="24"/>
          <w:szCs w:val="24"/>
        </w:rPr>
        <w:t>自愿参加本次投标，现就有关事项郑重</w:t>
      </w:r>
    </w:p>
    <w:p>
      <w:pPr>
        <w:spacing w:line="222" w:lineRule="auto"/>
        <w:rPr>
          <w:rFonts w:hint="eastAsia" w:ascii="宋体" w:hAnsi="宋体" w:eastAsia="宋体" w:cs="宋体"/>
          <w:sz w:val="24"/>
          <w:szCs w:val="24"/>
        </w:rPr>
      </w:pPr>
      <w:r>
        <w:rPr>
          <w:rFonts w:hint="eastAsia" w:ascii="宋体" w:hAnsi="宋体" w:eastAsia="宋体" w:cs="宋体"/>
          <w:spacing w:val="-12"/>
          <w:sz w:val="24"/>
          <w:szCs w:val="24"/>
        </w:rPr>
        <w:t>承诺如下：</w:t>
      </w:r>
    </w:p>
    <w:p>
      <w:pPr>
        <w:spacing w:before="114" w:line="311" w:lineRule="auto"/>
        <w:ind w:right="129" w:firstLine="510"/>
        <w:jc w:val="both"/>
        <w:rPr>
          <w:rFonts w:hint="eastAsia" w:ascii="宋体" w:hAnsi="宋体" w:eastAsia="宋体" w:cs="宋体"/>
          <w:sz w:val="24"/>
          <w:szCs w:val="24"/>
        </w:rPr>
      </w:pPr>
      <w:r>
        <w:rPr>
          <w:rFonts w:hint="eastAsia" w:ascii="宋体" w:hAnsi="宋体" w:eastAsia="宋体" w:cs="宋体"/>
          <w:spacing w:val="-9"/>
          <w:sz w:val="24"/>
          <w:szCs w:val="24"/>
        </w:rPr>
        <w:t>一、诚信投标，材料真实。我公司保证所提供的全部材料</w:t>
      </w:r>
      <w:r>
        <w:rPr>
          <w:rFonts w:hint="eastAsia" w:ascii="宋体" w:hAnsi="宋体" w:eastAsia="宋体" w:cs="宋体"/>
          <w:spacing w:val="-10"/>
          <w:sz w:val="24"/>
          <w:szCs w:val="24"/>
        </w:rPr>
        <w:t>、投标内容均真</w:t>
      </w:r>
      <w:r>
        <w:rPr>
          <w:rFonts w:hint="eastAsia" w:ascii="宋体" w:hAnsi="宋体" w:eastAsia="宋体" w:cs="宋体"/>
          <w:spacing w:val="-9"/>
          <w:sz w:val="24"/>
          <w:szCs w:val="24"/>
        </w:rPr>
        <w:t>实、合法、有效，保证不出借或者借用其他企业</w:t>
      </w:r>
      <w:r>
        <w:rPr>
          <w:rFonts w:hint="eastAsia" w:ascii="宋体" w:hAnsi="宋体" w:eastAsia="宋体" w:cs="宋体"/>
          <w:spacing w:val="-10"/>
          <w:sz w:val="24"/>
          <w:szCs w:val="24"/>
        </w:rPr>
        <w:t>资质，不以他人名义投标，不</w:t>
      </w:r>
      <w:r>
        <w:rPr>
          <w:rFonts w:hint="eastAsia" w:ascii="宋体" w:hAnsi="宋体" w:eastAsia="宋体" w:cs="宋体"/>
          <w:spacing w:val="-9"/>
          <w:sz w:val="24"/>
          <w:szCs w:val="24"/>
        </w:rPr>
        <w:t>弄虚作假；未列入失信被执行人、重大税收违法案件当事</w:t>
      </w:r>
      <w:r>
        <w:rPr>
          <w:rFonts w:hint="eastAsia" w:ascii="宋体" w:hAnsi="宋体" w:eastAsia="宋体" w:cs="宋体"/>
          <w:spacing w:val="-10"/>
          <w:sz w:val="24"/>
          <w:szCs w:val="24"/>
        </w:rPr>
        <w:t>人名单、政府采购严</w:t>
      </w:r>
      <w:r>
        <w:rPr>
          <w:rFonts w:hint="eastAsia" w:ascii="宋体" w:hAnsi="宋体" w:eastAsia="宋体" w:cs="宋体"/>
          <w:spacing w:val="-9"/>
          <w:sz w:val="24"/>
          <w:szCs w:val="24"/>
        </w:rPr>
        <w:t>重违法失信行为记录名单及其他不符合《中华人民共和国政府采</w:t>
      </w:r>
      <w:r>
        <w:rPr>
          <w:rFonts w:hint="eastAsia" w:ascii="宋体" w:hAnsi="宋体" w:eastAsia="宋体" w:cs="宋体"/>
          <w:spacing w:val="-10"/>
          <w:sz w:val="24"/>
          <w:szCs w:val="24"/>
        </w:rPr>
        <w:t>购法》第二十</w:t>
      </w:r>
      <w:r>
        <w:rPr>
          <w:rFonts w:hint="eastAsia" w:ascii="宋体" w:hAnsi="宋体" w:eastAsia="宋体" w:cs="宋体"/>
          <w:spacing w:val="-15"/>
          <w:sz w:val="24"/>
          <w:szCs w:val="24"/>
        </w:rPr>
        <w:t>二条规定条件。</w:t>
      </w:r>
    </w:p>
    <w:p>
      <w:pPr>
        <w:spacing w:before="114" w:line="311" w:lineRule="auto"/>
        <w:ind w:right="164" w:firstLine="510"/>
        <w:jc w:val="both"/>
        <w:rPr>
          <w:rFonts w:hint="eastAsia" w:ascii="宋体" w:hAnsi="宋体" w:eastAsia="宋体" w:cs="宋体"/>
          <w:sz w:val="24"/>
          <w:szCs w:val="24"/>
        </w:rPr>
      </w:pPr>
      <w:r>
        <w:rPr>
          <w:rFonts w:hint="eastAsia" w:ascii="宋体" w:hAnsi="宋体" w:eastAsia="宋体" w:cs="宋体"/>
          <w:spacing w:val="-11"/>
          <w:sz w:val="24"/>
          <w:szCs w:val="24"/>
        </w:rPr>
        <w:t>二、遵纪守法，公平竞争。不与其他投标人相互串通、哄抬价格，不排挤</w:t>
      </w:r>
      <w:r>
        <w:rPr>
          <w:rFonts w:hint="eastAsia" w:ascii="宋体" w:hAnsi="宋体" w:eastAsia="宋体" w:cs="宋体"/>
          <w:spacing w:val="-9"/>
          <w:sz w:val="24"/>
          <w:szCs w:val="24"/>
        </w:rPr>
        <w:t>其他投标人，不损害招标人的合法权益；不向</w:t>
      </w:r>
      <w:r>
        <w:rPr>
          <w:rFonts w:hint="eastAsia" w:ascii="宋体" w:hAnsi="宋体" w:eastAsia="宋体" w:cs="宋体"/>
          <w:spacing w:val="-10"/>
          <w:sz w:val="24"/>
          <w:szCs w:val="24"/>
        </w:rPr>
        <w:t>招标人、招标代理机构、评标委</w:t>
      </w:r>
      <w:r>
        <w:rPr>
          <w:rFonts w:hint="eastAsia" w:ascii="宋体" w:hAnsi="宋体" w:eastAsia="宋体" w:cs="宋体"/>
          <w:spacing w:val="-11"/>
          <w:sz w:val="24"/>
          <w:szCs w:val="24"/>
        </w:rPr>
        <w:t>员会成员等及其他参与招标活动的人员行贿或采用其他不正当手段谋取中标。</w:t>
      </w:r>
    </w:p>
    <w:p>
      <w:pPr>
        <w:spacing w:before="124" w:line="310" w:lineRule="auto"/>
        <w:ind w:right="123" w:firstLine="510"/>
        <w:jc w:val="both"/>
        <w:rPr>
          <w:rFonts w:hint="eastAsia" w:ascii="宋体" w:hAnsi="宋体" w:eastAsia="宋体" w:cs="宋体"/>
          <w:sz w:val="24"/>
          <w:szCs w:val="24"/>
        </w:rPr>
      </w:pPr>
      <w:r>
        <w:rPr>
          <w:rFonts w:hint="eastAsia" w:ascii="宋体" w:hAnsi="宋体" w:eastAsia="宋体" w:cs="宋体"/>
          <w:spacing w:val="-11"/>
          <w:sz w:val="24"/>
          <w:szCs w:val="24"/>
        </w:rPr>
        <w:t>三、</w:t>
      </w:r>
      <w:r>
        <w:rPr>
          <w:rFonts w:hint="eastAsia" w:ascii="宋体" w:hAnsi="宋体" w:eastAsia="宋体" w:cs="宋体"/>
          <w:spacing w:val="-63"/>
          <w:sz w:val="24"/>
          <w:szCs w:val="24"/>
        </w:rPr>
        <w:t xml:space="preserve"> </w:t>
      </w:r>
      <w:r>
        <w:rPr>
          <w:rFonts w:hint="eastAsia" w:ascii="宋体" w:hAnsi="宋体" w:eastAsia="宋体" w:cs="宋体"/>
          <w:spacing w:val="-11"/>
          <w:sz w:val="24"/>
          <w:szCs w:val="24"/>
        </w:rPr>
        <w:t>不捏造事实或借用他人名义进行虚假、恶意质疑和投诉，不以质疑或</w:t>
      </w:r>
      <w:r>
        <w:rPr>
          <w:rFonts w:hint="eastAsia" w:ascii="宋体" w:hAnsi="宋体" w:eastAsia="宋体" w:cs="宋体"/>
          <w:spacing w:val="-10"/>
          <w:sz w:val="24"/>
          <w:szCs w:val="24"/>
        </w:rPr>
        <w:t>投诉为名排挤竞争对手，干扰政府采购秩序。如在投标过程和公示期间需要投诉，则保证按照《中华人民共和国招标投标法》的要求进行。投诉的内容和程序符合法律法规的规定，投诉材料加盖企业公章或由法定代表人或授权委托人</w:t>
      </w:r>
      <w:r>
        <w:rPr>
          <w:rFonts w:hint="eastAsia" w:ascii="宋体" w:hAnsi="宋体" w:eastAsia="宋体" w:cs="宋体"/>
          <w:spacing w:val="-16"/>
          <w:sz w:val="24"/>
          <w:szCs w:val="24"/>
        </w:rPr>
        <w:t>签字，并附有相关身份证明复印件；遵守《中华人</w:t>
      </w:r>
      <w:r>
        <w:rPr>
          <w:rFonts w:hint="eastAsia" w:ascii="宋体" w:hAnsi="宋体" w:eastAsia="宋体" w:cs="宋体"/>
          <w:spacing w:val="-17"/>
          <w:sz w:val="24"/>
          <w:szCs w:val="24"/>
        </w:rPr>
        <w:t>民共和国政府采购法》、《政</w:t>
      </w:r>
      <w:r>
        <w:rPr>
          <w:rFonts w:hint="eastAsia" w:ascii="宋体" w:hAnsi="宋体" w:eastAsia="宋体" w:cs="宋体"/>
          <w:spacing w:val="-8"/>
          <w:sz w:val="24"/>
          <w:szCs w:val="24"/>
        </w:rPr>
        <w:t>府采购货物和服务招标投标管理办法》(财政部87号令</w:t>
      </w:r>
      <w:r>
        <w:rPr>
          <w:rFonts w:hint="eastAsia" w:ascii="宋体" w:hAnsi="宋体" w:eastAsia="宋体" w:cs="宋体"/>
          <w:spacing w:val="-9"/>
          <w:sz w:val="24"/>
          <w:szCs w:val="24"/>
        </w:rPr>
        <w:t>)、《财政部关于加强</w:t>
      </w:r>
      <w:r>
        <w:rPr>
          <w:rFonts w:hint="eastAsia" w:ascii="宋体" w:hAnsi="宋体" w:eastAsia="宋体" w:cs="宋体"/>
          <w:spacing w:val="-5"/>
          <w:sz w:val="24"/>
          <w:szCs w:val="24"/>
        </w:rPr>
        <w:t>政府采购货物和服务项目价格评审管理的通知》(财库【2007】</w:t>
      </w:r>
      <w:r>
        <w:rPr>
          <w:rFonts w:hint="eastAsia" w:ascii="宋体" w:hAnsi="宋体" w:eastAsia="宋体" w:cs="宋体"/>
          <w:spacing w:val="-6"/>
          <w:sz w:val="24"/>
          <w:szCs w:val="24"/>
        </w:rPr>
        <w:t>2号文)和《政</w:t>
      </w:r>
      <w:r>
        <w:rPr>
          <w:rFonts w:hint="eastAsia" w:ascii="宋体" w:hAnsi="宋体" w:eastAsia="宋体" w:cs="宋体"/>
          <w:spacing w:val="-5"/>
          <w:sz w:val="24"/>
          <w:szCs w:val="24"/>
        </w:rPr>
        <w:t>府采购非招标采购方式管理办法》(财政部74号令</w:t>
      </w:r>
      <w:r>
        <w:rPr>
          <w:rFonts w:hint="eastAsia" w:ascii="宋体" w:hAnsi="宋体" w:eastAsia="宋体" w:cs="宋体"/>
          <w:spacing w:val="-6"/>
          <w:sz w:val="24"/>
          <w:szCs w:val="24"/>
        </w:rPr>
        <w:t>)的规定。</w:t>
      </w:r>
    </w:p>
    <w:p>
      <w:pPr>
        <w:spacing w:before="117" w:line="311" w:lineRule="auto"/>
        <w:ind w:right="129" w:firstLine="510"/>
        <w:jc w:val="both"/>
        <w:rPr>
          <w:rFonts w:hint="eastAsia" w:ascii="宋体" w:hAnsi="宋体" w:eastAsia="宋体" w:cs="宋体"/>
          <w:sz w:val="24"/>
          <w:szCs w:val="24"/>
        </w:rPr>
      </w:pPr>
      <w:r>
        <w:rPr>
          <w:rFonts w:hint="eastAsia" w:ascii="宋体" w:hAnsi="宋体" w:eastAsia="宋体" w:cs="宋体"/>
          <w:spacing w:val="-9"/>
          <w:sz w:val="24"/>
          <w:szCs w:val="24"/>
        </w:rPr>
        <w:t>四、若中标后，将按照规定及时与招标人签订政府采购合</w:t>
      </w:r>
      <w:r>
        <w:rPr>
          <w:rFonts w:hint="eastAsia" w:ascii="宋体" w:hAnsi="宋体" w:eastAsia="宋体" w:cs="宋体"/>
          <w:spacing w:val="-10"/>
          <w:sz w:val="24"/>
          <w:szCs w:val="24"/>
        </w:rPr>
        <w:t>同，不与招标人订立有悖于招标结果的合同或协议；严格履行政府采购合同，不降低合同约定</w:t>
      </w:r>
      <w:r>
        <w:rPr>
          <w:rFonts w:hint="eastAsia" w:ascii="宋体" w:hAnsi="宋体" w:eastAsia="宋体" w:cs="宋体"/>
          <w:spacing w:val="-9"/>
          <w:sz w:val="24"/>
          <w:szCs w:val="24"/>
        </w:rPr>
        <w:t>的产品质量及相关服务，不擅自变更、中止、终止合同，或者</w:t>
      </w:r>
      <w:r>
        <w:rPr>
          <w:rFonts w:hint="eastAsia" w:ascii="宋体" w:hAnsi="宋体" w:eastAsia="宋体" w:cs="宋体"/>
          <w:spacing w:val="-10"/>
          <w:sz w:val="24"/>
          <w:szCs w:val="24"/>
        </w:rPr>
        <w:t>拒绝履行合同义</w:t>
      </w:r>
    </w:p>
    <w:p>
      <w:pPr>
        <w:spacing w:line="223" w:lineRule="auto"/>
        <w:rPr>
          <w:rFonts w:hint="eastAsia" w:ascii="宋体" w:hAnsi="宋体" w:eastAsia="宋体" w:cs="宋体"/>
          <w:sz w:val="24"/>
          <w:szCs w:val="24"/>
        </w:rPr>
      </w:pPr>
      <w:r>
        <w:rPr>
          <w:rFonts w:hint="eastAsia" w:ascii="宋体" w:hAnsi="宋体" w:eastAsia="宋体" w:cs="宋体"/>
          <w:spacing w:val="-2"/>
          <w:sz w:val="24"/>
          <w:szCs w:val="24"/>
        </w:rPr>
        <w:t>务。</w:t>
      </w:r>
    </w:p>
    <w:p>
      <w:pPr>
        <w:spacing w:before="125" w:line="283" w:lineRule="auto"/>
        <w:ind w:right="121" w:firstLine="510"/>
        <w:jc w:val="both"/>
        <w:rPr>
          <w:rFonts w:hint="eastAsia" w:ascii="宋体" w:hAnsi="宋体" w:eastAsia="宋体" w:cs="宋体"/>
          <w:spacing w:val="-7"/>
          <w:sz w:val="24"/>
          <w:szCs w:val="24"/>
        </w:rPr>
      </w:pPr>
      <w:r>
        <w:rPr>
          <w:rFonts w:hint="eastAsia" w:ascii="宋体" w:hAnsi="宋体" w:eastAsia="宋体" w:cs="宋体"/>
          <w:spacing w:val="-9"/>
          <w:sz w:val="24"/>
          <w:szCs w:val="24"/>
        </w:rPr>
        <w:t>若有违反以上承诺内容的行为，我公司自愿接受取消投标资格、记入信用档案、没收投标保证金、媒体通报、1～3年内禁止参与新疆维吾尔</w:t>
      </w:r>
      <w:r>
        <w:rPr>
          <w:rFonts w:hint="eastAsia" w:ascii="宋体" w:hAnsi="宋体" w:eastAsia="宋体" w:cs="宋体"/>
          <w:spacing w:val="-10"/>
          <w:sz w:val="24"/>
          <w:szCs w:val="24"/>
        </w:rPr>
        <w:t>自治区政府采购活动等处罚；如已中标的，自动放弃中标资格，并承担全部法律责任；给</w:t>
      </w:r>
      <w:r>
        <w:rPr>
          <w:rFonts w:hint="eastAsia" w:ascii="宋体" w:hAnsi="宋体" w:eastAsia="宋体" w:cs="宋体"/>
          <w:spacing w:val="-11"/>
          <w:sz w:val="24"/>
          <w:szCs w:val="24"/>
        </w:rPr>
        <w:t>招标人造成损失的，依法承担赔偿责任。</w:t>
      </w:r>
    </w:p>
    <w:p>
      <w:pPr>
        <w:spacing w:before="117" w:line="221" w:lineRule="auto"/>
        <w:ind w:left="4019"/>
        <w:rPr>
          <w:rFonts w:hint="eastAsia" w:ascii="宋体" w:hAnsi="宋体" w:eastAsia="宋体" w:cs="宋体"/>
          <w:sz w:val="24"/>
          <w:szCs w:val="24"/>
        </w:rPr>
      </w:pPr>
      <w:r>
        <w:rPr>
          <w:rFonts w:hint="eastAsia" w:ascii="宋体" w:hAnsi="宋体" w:eastAsia="宋体" w:cs="宋体"/>
          <w:spacing w:val="-7"/>
          <w:sz w:val="24"/>
          <w:szCs w:val="24"/>
        </w:rPr>
        <w:t>投标人名称(公章):</w:t>
      </w:r>
    </w:p>
    <w:p>
      <w:pPr>
        <w:spacing w:before="123" w:line="222" w:lineRule="auto"/>
        <w:ind w:left="4019"/>
        <w:rPr>
          <w:rFonts w:hint="eastAsia" w:ascii="宋体" w:hAnsi="宋体" w:eastAsia="宋体" w:cs="宋体"/>
          <w:sz w:val="24"/>
          <w:szCs w:val="24"/>
        </w:rPr>
      </w:pPr>
      <w:r>
        <w:rPr>
          <w:rFonts w:hint="eastAsia" w:ascii="宋体" w:hAnsi="宋体" w:eastAsia="宋体" w:cs="宋体"/>
          <w:spacing w:val="9"/>
          <w:sz w:val="24"/>
          <w:szCs w:val="24"/>
        </w:rPr>
        <w:t>法定代表人(签字盖章):</w:t>
      </w:r>
    </w:p>
    <w:p>
      <w:pPr>
        <w:spacing w:before="139" w:line="222" w:lineRule="auto"/>
        <w:ind w:left="4140"/>
        <w:rPr>
          <w:rFonts w:hint="eastAsia" w:ascii="宋体" w:hAnsi="宋体" w:eastAsia="宋体" w:cs="宋体"/>
        </w:rPr>
      </w:pPr>
      <w:r>
        <w:rPr>
          <w:rFonts w:hint="eastAsia" w:ascii="宋体" w:hAnsi="宋体" w:eastAsia="宋体" w:cs="宋体"/>
          <w:spacing w:val="-34"/>
          <w:sz w:val="24"/>
          <w:szCs w:val="24"/>
        </w:rPr>
        <w:t>日</w:t>
      </w:r>
      <w:r>
        <w:rPr>
          <w:rFonts w:hint="eastAsia" w:ascii="宋体" w:hAnsi="宋体" w:eastAsia="宋体" w:cs="宋体"/>
          <w:spacing w:val="-34"/>
          <w:sz w:val="24"/>
          <w:szCs w:val="24"/>
          <w:lang w:val="en-US" w:eastAsia="zh-CN"/>
        </w:rPr>
        <w:t xml:space="preserve"> </w:t>
      </w:r>
      <w:r>
        <w:rPr>
          <w:rFonts w:hint="eastAsia" w:ascii="宋体" w:hAnsi="宋体" w:eastAsia="宋体" w:cs="宋体"/>
          <w:spacing w:val="-34"/>
          <w:sz w:val="24"/>
          <w:szCs w:val="24"/>
        </w:rPr>
        <w:t>期</w:t>
      </w:r>
      <w:r>
        <w:rPr>
          <w:rFonts w:hint="eastAsia" w:ascii="宋体" w:hAnsi="宋体" w:eastAsia="宋体" w:cs="宋体"/>
          <w:spacing w:val="-34"/>
          <w:sz w:val="24"/>
          <w:szCs w:val="24"/>
          <w:lang w:val="en-US" w:eastAsia="zh-CN"/>
        </w:rPr>
        <w:t xml:space="preserve"> </w:t>
      </w:r>
      <w:r>
        <w:rPr>
          <w:rFonts w:hint="eastAsia" w:ascii="宋体" w:hAnsi="宋体" w:eastAsia="宋体" w:cs="宋体"/>
          <w:spacing w:val="-34"/>
          <w:sz w:val="24"/>
          <w:szCs w:val="24"/>
        </w:rPr>
        <w:t>：</w:t>
      </w:r>
      <w:r>
        <w:rPr>
          <w:rFonts w:hint="eastAsia" w:ascii="宋体" w:hAnsi="宋体" w:eastAsia="宋体" w:cs="宋体"/>
          <w:spacing w:val="98"/>
          <w:sz w:val="24"/>
          <w:szCs w:val="24"/>
        </w:rPr>
        <w:t xml:space="preserve"> </w:t>
      </w:r>
      <w:r>
        <w:rPr>
          <w:rFonts w:hint="eastAsia" w:ascii="宋体" w:hAnsi="宋体" w:eastAsia="宋体" w:cs="宋体"/>
          <w:spacing w:val="-34"/>
          <w:sz w:val="24"/>
          <w:szCs w:val="24"/>
        </w:rPr>
        <w:t>年</w:t>
      </w:r>
      <w:r>
        <w:rPr>
          <w:rFonts w:hint="eastAsia" w:ascii="宋体" w:hAnsi="宋体" w:eastAsia="宋体" w:cs="宋体"/>
          <w:spacing w:val="13"/>
          <w:sz w:val="24"/>
          <w:szCs w:val="24"/>
        </w:rPr>
        <w:t xml:space="preserve">   </w:t>
      </w:r>
      <w:r>
        <w:rPr>
          <w:rFonts w:hint="eastAsia" w:ascii="宋体" w:hAnsi="宋体" w:eastAsia="宋体" w:cs="宋体"/>
          <w:spacing w:val="-34"/>
          <w:sz w:val="24"/>
          <w:szCs w:val="24"/>
        </w:rPr>
        <w:t>月</w:t>
      </w:r>
      <w:r>
        <w:rPr>
          <w:rFonts w:hint="eastAsia" w:ascii="宋体" w:hAnsi="宋体" w:eastAsia="宋体" w:cs="宋体"/>
          <w:spacing w:val="5"/>
          <w:sz w:val="24"/>
          <w:szCs w:val="24"/>
        </w:rPr>
        <w:t xml:space="preserve">   </w:t>
      </w:r>
      <w:r>
        <w:rPr>
          <w:rFonts w:hint="eastAsia" w:ascii="宋体" w:hAnsi="宋体" w:eastAsia="宋体" w:cs="宋体"/>
          <w:spacing w:val="-34"/>
          <w:sz w:val="24"/>
          <w:szCs w:val="24"/>
        </w:rPr>
        <w:t>日</w:t>
      </w:r>
    </w:p>
    <w:p>
      <w:pPr>
        <w:keepNext w:val="0"/>
        <w:keepLines w:val="0"/>
        <w:widowControl/>
        <w:suppressLineNumbers w:val="0"/>
        <w:jc w:val="center"/>
        <w:rPr>
          <w:rFonts w:hint="eastAsia" w:ascii="宋体" w:hAnsi="宋体" w:eastAsia="宋体" w:cs="宋体"/>
          <w:b w:val="0"/>
          <w:bCs w:val="0"/>
          <w:color w:val="000000"/>
          <w:kern w:val="0"/>
          <w:sz w:val="32"/>
          <w:szCs w:val="32"/>
          <w:lang w:val="en-US" w:eastAsia="zh-CN" w:bidi="ar"/>
        </w:rPr>
        <w:sectPr>
          <w:pgSz w:w="11906" w:h="16838"/>
          <w:pgMar w:top="1440" w:right="1686" w:bottom="1440" w:left="1180" w:header="851" w:footer="992" w:gutter="0"/>
          <w:pgNumType w:fmt="decimal"/>
          <w:cols w:space="0" w:num="1"/>
          <w:rtlGutter w:val="0"/>
          <w:docGrid w:type="lines" w:linePitch="312" w:charSpace="0"/>
        </w:sectPr>
      </w:pPr>
    </w:p>
    <w:p>
      <w:pPr>
        <w:spacing w:line="240" w:lineRule="atLeast"/>
        <w:ind w:left="1080" w:leftChars="257" w:hanging="540"/>
        <w:jc w:val="center"/>
        <w:outlineLvl w:val="1"/>
        <w:rPr>
          <w:rFonts w:hint="eastAsia" w:ascii="宋体" w:hAnsi="宋体" w:eastAsia="宋体" w:cs="宋体"/>
          <w:b/>
          <w:bCs/>
          <w:color w:val="000000"/>
          <w:sz w:val="32"/>
          <w:szCs w:val="32"/>
        </w:rPr>
      </w:pPr>
      <w:bookmarkStart w:id="488" w:name="_Toc28099"/>
      <w:bookmarkStart w:id="489" w:name="_Toc5305"/>
      <w:bookmarkStart w:id="490" w:name="_Toc30795"/>
      <w:bookmarkStart w:id="491" w:name="_Toc10002"/>
      <w:bookmarkStart w:id="492" w:name="_Toc515647827"/>
      <w:r>
        <w:rPr>
          <w:rFonts w:hint="eastAsia" w:ascii="宋体" w:hAnsi="宋体" w:cs="宋体"/>
          <w:b/>
          <w:bCs/>
          <w:color w:val="000000"/>
          <w:sz w:val="32"/>
          <w:szCs w:val="32"/>
          <w:lang w:val="en-US" w:eastAsia="zh-CN"/>
        </w:rPr>
        <w:t>7</w:t>
      </w:r>
      <w:r>
        <w:rPr>
          <w:rFonts w:hint="eastAsia" w:ascii="宋体" w:hAnsi="宋体" w:cs="宋体"/>
          <w:b/>
          <w:bCs/>
          <w:color w:val="000000"/>
          <w:sz w:val="32"/>
          <w:szCs w:val="32"/>
          <w:lang w:eastAsia="zh-CN"/>
        </w:rPr>
        <w:t>、</w:t>
      </w:r>
      <w:r>
        <w:rPr>
          <w:rFonts w:hint="eastAsia" w:ascii="宋体" w:hAnsi="宋体" w:eastAsia="宋体" w:cs="宋体"/>
          <w:b/>
          <w:bCs/>
          <w:color w:val="000000"/>
          <w:sz w:val="32"/>
          <w:szCs w:val="32"/>
          <w:lang w:eastAsia="zh-CN"/>
        </w:rPr>
        <w:t>供应商</w:t>
      </w:r>
      <w:r>
        <w:rPr>
          <w:rFonts w:hint="eastAsia" w:ascii="宋体" w:hAnsi="宋体" w:eastAsia="宋体" w:cs="宋体"/>
          <w:b/>
          <w:bCs/>
          <w:color w:val="000000"/>
          <w:sz w:val="32"/>
          <w:szCs w:val="32"/>
        </w:rPr>
        <w:t>关联单位的说明</w:t>
      </w:r>
      <w:bookmarkEnd w:id="488"/>
      <w:bookmarkEnd w:id="489"/>
      <w:bookmarkEnd w:id="490"/>
      <w:bookmarkEnd w:id="491"/>
      <w:bookmarkEnd w:id="492"/>
    </w:p>
    <w:p>
      <w:pPr>
        <w:pStyle w:val="6"/>
        <w:jc w:val="center"/>
        <w:rPr>
          <w:rFonts w:hint="eastAsia" w:hAnsi="宋体"/>
          <w:color w:val="000000"/>
          <w:highlight w:val="none"/>
        </w:rPr>
      </w:pPr>
    </w:p>
    <w:p>
      <w:pPr>
        <w:pStyle w:val="6"/>
        <w:ind w:firstLine="480" w:firstLineChars="200"/>
        <w:rPr>
          <w:rFonts w:hint="eastAsia" w:hAnsi="宋体"/>
          <w:color w:val="000000"/>
          <w:highlight w:val="none"/>
        </w:rPr>
      </w:pPr>
      <w:r>
        <w:rPr>
          <w:rFonts w:hint="eastAsia" w:hAnsi="宋体"/>
          <w:color w:val="000000"/>
          <w:highlight w:val="none"/>
        </w:rPr>
        <w:t>说明：</w:t>
      </w:r>
      <w:r>
        <w:rPr>
          <w:rFonts w:hint="eastAsia" w:hAnsi="宋体"/>
          <w:color w:val="000000"/>
          <w:highlight w:val="none"/>
          <w:lang w:eastAsia="zh-CN"/>
        </w:rPr>
        <w:t>供应商</w:t>
      </w:r>
      <w:r>
        <w:rPr>
          <w:rFonts w:hint="eastAsia" w:hAnsi="宋体"/>
          <w:color w:val="000000"/>
          <w:highlight w:val="none"/>
        </w:rPr>
        <w:t>应当如实披露与本单位存在下列关联关系的单位名称：</w:t>
      </w:r>
    </w:p>
    <w:p>
      <w:pPr>
        <w:pStyle w:val="6"/>
        <w:numPr>
          <w:ilvl w:val="0"/>
          <w:numId w:val="10"/>
        </w:numPr>
        <w:ind w:left="-60" w:leftChars="0" w:firstLine="480" w:firstLineChars="0"/>
        <w:rPr>
          <w:rFonts w:hint="eastAsia" w:hAnsi="宋体"/>
          <w:color w:val="000000"/>
          <w:highlight w:val="none"/>
        </w:rPr>
      </w:pPr>
      <w:r>
        <w:rPr>
          <w:rFonts w:hint="eastAsia" w:hAnsi="宋体"/>
          <w:color w:val="000000"/>
          <w:highlight w:val="none"/>
        </w:rPr>
        <w:t>与</w:t>
      </w:r>
      <w:r>
        <w:rPr>
          <w:rFonts w:hint="eastAsia" w:hAnsi="宋体"/>
          <w:color w:val="000000"/>
          <w:highlight w:val="none"/>
          <w:lang w:eastAsia="zh-CN"/>
        </w:rPr>
        <w:t>供应商</w:t>
      </w:r>
      <w:r>
        <w:rPr>
          <w:rFonts w:hint="eastAsia" w:hAnsi="宋体"/>
          <w:color w:val="000000"/>
          <w:highlight w:val="none"/>
        </w:rPr>
        <w:t>单位负责人为同一人的其他单位；</w:t>
      </w:r>
    </w:p>
    <w:p>
      <w:pPr>
        <w:pStyle w:val="6"/>
        <w:numPr>
          <w:ilvl w:val="0"/>
          <w:numId w:val="0"/>
        </w:numPr>
        <w:ind w:firstLine="480" w:firstLineChars="200"/>
        <w:rPr>
          <w:rFonts w:hint="eastAsia" w:hAnsi="宋体"/>
          <w:color w:val="000000"/>
          <w:highlight w:val="none"/>
        </w:rPr>
      </w:pPr>
      <w:r>
        <w:rPr>
          <w:rFonts w:hint="eastAsia" w:hAnsi="宋体"/>
          <w:color w:val="000000"/>
          <w:highlight w:val="none"/>
        </w:rPr>
        <w:t>（2）与</w:t>
      </w:r>
      <w:r>
        <w:rPr>
          <w:rFonts w:hint="eastAsia" w:hAnsi="宋体"/>
          <w:color w:val="000000"/>
          <w:highlight w:val="none"/>
          <w:lang w:eastAsia="zh-CN"/>
        </w:rPr>
        <w:t>供应商</w:t>
      </w:r>
      <w:r>
        <w:rPr>
          <w:rFonts w:hint="eastAsia" w:hAnsi="宋体"/>
          <w:color w:val="000000"/>
          <w:highlight w:val="none"/>
        </w:rPr>
        <w:t>存在直接控股、管理关系的其他单位。</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u w:val="none"/>
          <w:lang w:val="en-US" w:eastAsia="zh-CN"/>
        </w:rPr>
      </w:pPr>
    </w:p>
    <w:p>
      <w:pPr>
        <w:spacing w:line="240" w:lineRule="atLeast"/>
        <w:ind w:left="1080" w:leftChars="257" w:hanging="540"/>
        <w:jc w:val="center"/>
        <w:outlineLvl w:val="1"/>
        <w:rPr>
          <w:rFonts w:hint="eastAsia" w:ascii="宋体" w:hAnsi="宋体" w:cs="宋体"/>
          <w:b/>
          <w:bCs/>
          <w:color w:val="000000"/>
          <w:sz w:val="32"/>
          <w:szCs w:val="32"/>
          <w:lang w:eastAsia="zh-CN"/>
        </w:rPr>
      </w:pPr>
      <w:r>
        <w:rPr>
          <w:rFonts w:hint="eastAsia" w:ascii="宋体" w:hAnsi="宋体" w:cs="宋体"/>
          <w:b/>
          <w:bCs/>
          <w:color w:val="000000"/>
          <w:sz w:val="32"/>
          <w:szCs w:val="32"/>
          <w:lang w:val="en-US" w:eastAsia="zh-CN"/>
        </w:rPr>
        <w:t>8</w:t>
      </w:r>
      <w:r>
        <w:rPr>
          <w:rFonts w:hint="eastAsia" w:ascii="宋体" w:hAnsi="宋体" w:cs="宋体"/>
          <w:b/>
          <w:bCs/>
          <w:color w:val="000000"/>
          <w:sz w:val="32"/>
          <w:szCs w:val="32"/>
          <w:lang w:eastAsia="zh-CN"/>
        </w:rPr>
        <w:t>、</w:t>
      </w:r>
      <w:r>
        <w:rPr>
          <w:rFonts w:hint="eastAsia" w:ascii="宋体" w:hAnsi="宋体" w:cs="宋体"/>
          <w:b/>
          <w:bCs/>
          <w:color w:val="000000"/>
          <w:sz w:val="32"/>
          <w:szCs w:val="32"/>
          <w:lang w:val="en-US" w:eastAsia="zh-CN"/>
        </w:rPr>
        <w:t>提供其他有利于谈判的证明材料</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sz w:val="32"/>
          <w:szCs w:val="32"/>
          <w:highlight w:val="none"/>
          <w:u w:val="none"/>
          <w:lang w:val="en-US" w:eastAsia="zh-CN"/>
        </w:rPr>
        <w:sectPr>
          <w:pgSz w:w="11906" w:h="16838"/>
          <w:pgMar w:top="1440" w:right="1686" w:bottom="1440" w:left="1180" w:header="851" w:footer="992" w:gutter="0"/>
          <w:pgNumType w:fmt="decimal"/>
          <w:cols w:space="0" w:num="1"/>
          <w:rtlGutter w:val="0"/>
          <w:docGrid w:type="lines" w:linePitch="312" w:charSpace="0"/>
        </w:sectPr>
      </w:pPr>
    </w:p>
    <w:p>
      <w:pPr>
        <w:pStyle w:val="3"/>
        <w:bidi w:val="0"/>
        <w:rPr>
          <w:rFonts w:hint="default" w:ascii="宋体" w:hAnsi="宋体" w:eastAsia="宋体" w:cs="宋体"/>
          <w:sz w:val="28"/>
          <w:szCs w:val="28"/>
          <w:highlight w:val="none"/>
          <w:lang w:val="en-US"/>
        </w:rPr>
      </w:pPr>
      <w:bookmarkStart w:id="493" w:name="_Toc12982"/>
      <w:bookmarkStart w:id="494" w:name="_Toc7981"/>
      <w:r>
        <w:rPr>
          <w:rFonts w:hint="eastAsia"/>
          <w:sz w:val="36"/>
          <w:szCs w:val="21"/>
          <w:lang w:val="en-US" w:eastAsia="zh-CN"/>
        </w:rPr>
        <w:t>第三章  谈判邀请</w:t>
      </w:r>
      <w:bookmarkEnd w:id="493"/>
      <w:bookmarkEnd w:id="494"/>
      <w:r>
        <w:rPr>
          <w:rFonts w:hint="eastAsia"/>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lang w:eastAsia="zh-CN"/>
        </w:rPr>
      </w:pPr>
      <w:r>
        <w:rPr>
          <w:rFonts w:hint="eastAsia" w:ascii="宋体" w:hAnsi="宋体" w:eastAsia="宋体" w:cs="宋体"/>
          <w:b/>
          <w:bCs/>
          <w:sz w:val="32"/>
          <w:szCs w:val="32"/>
          <w:highlight w:val="none"/>
          <w:lang w:eastAsia="zh-CN"/>
        </w:rPr>
        <w:t>莎车县现代农业发展（特色林果有害生物防治）项目（二次）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竞争性谈判公告</w:t>
      </w:r>
    </w:p>
    <w:p>
      <w:pPr>
        <w:pStyle w:val="19"/>
        <w:rPr>
          <w:rFonts w:hint="eastAsia"/>
        </w:rPr>
      </w:pPr>
    </w:p>
    <w:p>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项目概况</w:t>
      </w:r>
    </w:p>
    <w:p>
      <w:pPr>
        <w:pBdr>
          <w:top w:val="single" w:color="auto" w:sz="4" w:space="1"/>
          <w:left w:val="single" w:color="auto" w:sz="4" w:space="4"/>
          <w:bottom w:val="single" w:color="auto" w:sz="4" w:space="1"/>
          <w:right w:val="single" w:color="auto" w:sz="4" w:space="4"/>
        </w:pBdr>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495" w:name="_Toc28359089"/>
      <w:bookmarkStart w:id="496" w:name="_Toc35393798"/>
      <w:bookmarkStart w:id="497" w:name="_Toc35393629"/>
      <w:bookmarkStart w:id="498" w:name="_Toc28359012"/>
      <w:r>
        <w:rPr>
          <w:rFonts w:hint="eastAsia" w:ascii="宋体" w:hAnsi="宋体" w:eastAsia="宋体" w:cs="宋体"/>
          <w:b w:val="0"/>
          <w:i w:val="0"/>
          <w:caps w:val="0"/>
          <w:spacing w:val="0"/>
          <w:w w:val="100"/>
          <w:sz w:val="24"/>
          <w:szCs w:val="24"/>
          <w:lang w:eastAsia="zh-CN"/>
        </w:rPr>
        <w:t>莎车县现代农业发展（特色林果有害生物防治）项目（二次）</w:t>
      </w:r>
      <w:r>
        <w:rPr>
          <w:rFonts w:hint="eastAsia" w:ascii="宋体" w:hAnsi="宋体" w:eastAsia="宋体" w:cs="宋体"/>
          <w:b w:val="0"/>
          <w:i w:val="0"/>
          <w:caps w:val="0"/>
          <w:spacing w:val="0"/>
          <w:w w:val="100"/>
          <w:sz w:val="24"/>
          <w:szCs w:val="24"/>
        </w:rPr>
        <w:t>的潜在</w:t>
      </w:r>
      <w:r>
        <w:rPr>
          <w:rFonts w:hint="eastAsia" w:ascii="宋体" w:hAnsi="宋体" w:eastAsia="宋体" w:cs="宋体"/>
          <w:b w:val="0"/>
          <w:i w:val="0"/>
          <w:caps w:val="0"/>
          <w:spacing w:val="0"/>
          <w:w w:val="100"/>
          <w:sz w:val="24"/>
          <w:szCs w:val="24"/>
          <w:lang w:eastAsia="zh-CN"/>
        </w:rPr>
        <w:t>供应商应</w:t>
      </w:r>
      <w:r>
        <w:rPr>
          <w:rFonts w:hint="eastAsia" w:ascii="宋体" w:hAnsi="宋体" w:eastAsia="宋体" w:cs="宋体"/>
          <w:b w:val="0"/>
          <w:i w:val="0"/>
          <w:caps w:val="0"/>
          <w:spacing w:val="0"/>
          <w:w w:val="100"/>
          <w:sz w:val="24"/>
          <w:szCs w:val="24"/>
        </w:rPr>
        <w:t>在</w:t>
      </w:r>
      <w:r>
        <w:rPr>
          <w:rFonts w:hint="eastAsia" w:ascii="宋体" w:hAnsi="宋体" w:eastAsia="宋体" w:cs="宋体"/>
          <w:b w:val="0"/>
          <w:i w:val="0"/>
          <w:caps w:val="0"/>
          <w:spacing w:val="0"/>
          <w:w w:val="100"/>
          <w:sz w:val="24"/>
          <w:szCs w:val="24"/>
          <w:lang w:eastAsia="zh-CN"/>
        </w:rPr>
        <w:t>线上</w:t>
      </w:r>
      <w:r>
        <w:rPr>
          <w:rFonts w:hint="eastAsia" w:ascii="宋体" w:hAnsi="宋体" w:eastAsia="宋体" w:cs="宋体"/>
          <w:b w:val="0"/>
          <w:i w:val="0"/>
          <w:caps w:val="0"/>
          <w:spacing w:val="0"/>
          <w:w w:val="100"/>
          <w:sz w:val="24"/>
          <w:szCs w:val="24"/>
          <w:shd w:val="clear" w:color="auto" w:fill="FFFFFF"/>
        </w:rPr>
        <w:t>获取</w:t>
      </w:r>
      <w:r>
        <w:rPr>
          <w:rFonts w:hint="eastAsia" w:ascii="宋体" w:hAnsi="宋体" w:eastAsia="宋体" w:cs="宋体"/>
          <w:b w:val="0"/>
          <w:i w:val="0"/>
          <w:caps w:val="0"/>
          <w:spacing w:val="0"/>
          <w:w w:val="100"/>
          <w:sz w:val="24"/>
          <w:szCs w:val="24"/>
          <w:shd w:val="clear" w:color="auto" w:fill="FFFFFF"/>
          <w:lang w:eastAsia="zh-CN"/>
        </w:rPr>
        <w:t>采购</w:t>
      </w:r>
      <w:r>
        <w:rPr>
          <w:rFonts w:hint="eastAsia" w:ascii="宋体" w:hAnsi="宋体" w:eastAsia="宋体" w:cs="宋体"/>
          <w:b w:val="0"/>
          <w:i w:val="0"/>
          <w:caps w:val="0"/>
          <w:spacing w:val="0"/>
          <w:w w:val="100"/>
          <w:sz w:val="24"/>
          <w:szCs w:val="24"/>
        </w:rPr>
        <w:t>文件，并于</w:t>
      </w:r>
      <w:r>
        <w:rPr>
          <w:rFonts w:hint="eastAsia" w:ascii="宋体" w:hAnsi="宋体" w:eastAsia="宋体" w:cs="宋体"/>
          <w:b w:val="0"/>
          <w:i w:val="0"/>
          <w:caps w:val="0"/>
          <w:spacing w:val="0"/>
          <w:w w:val="100"/>
          <w:sz w:val="24"/>
          <w:szCs w:val="24"/>
          <w:lang w:eastAsia="zh-CN"/>
        </w:rPr>
        <w:t>202</w:t>
      </w:r>
      <w:r>
        <w:rPr>
          <w:rFonts w:hint="eastAsia" w:ascii="宋体" w:hAnsi="宋体" w:eastAsia="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lang w:eastAsia="zh-CN"/>
        </w:rPr>
        <w:t>年</w:t>
      </w:r>
      <w:r>
        <w:rPr>
          <w:rFonts w:hint="eastAsia" w:ascii="宋体" w:hAnsi="宋体" w:eastAsia="宋体" w:cs="宋体"/>
          <w:b w:val="0"/>
          <w:i w:val="0"/>
          <w:caps w:val="0"/>
          <w:color w:val="auto"/>
          <w:spacing w:val="0"/>
          <w:w w:val="100"/>
          <w:sz w:val="24"/>
          <w:szCs w:val="24"/>
          <w:highlight w:val="none"/>
          <w:lang w:val="en-US" w:eastAsia="zh-CN"/>
        </w:rPr>
        <w:t>03</w:t>
      </w:r>
      <w:r>
        <w:rPr>
          <w:rFonts w:hint="eastAsia" w:ascii="宋体" w:hAnsi="宋体" w:eastAsia="宋体" w:cs="宋体"/>
          <w:b w:val="0"/>
          <w:i w:val="0"/>
          <w:caps w:val="0"/>
          <w:color w:val="auto"/>
          <w:spacing w:val="0"/>
          <w:w w:val="100"/>
          <w:sz w:val="24"/>
          <w:szCs w:val="24"/>
          <w:highlight w:val="none"/>
          <w:lang w:eastAsia="zh-CN"/>
        </w:rPr>
        <w:t>月</w:t>
      </w:r>
      <w:r>
        <w:rPr>
          <w:rFonts w:hint="eastAsia" w:ascii="宋体" w:hAnsi="宋体" w:eastAsia="宋体" w:cs="宋体"/>
          <w:b w:val="0"/>
          <w:i w:val="0"/>
          <w:caps w:val="0"/>
          <w:color w:val="auto"/>
          <w:spacing w:val="0"/>
          <w:w w:val="100"/>
          <w:sz w:val="24"/>
          <w:szCs w:val="24"/>
          <w:highlight w:val="none"/>
          <w:lang w:val="en-US" w:eastAsia="zh-CN"/>
        </w:rPr>
        <w:t>25</w:t>
      </w:r>
      <w:r>
        <w:rPr>
          <w:rFonts w:hint="eastAsia" w:ascii="宋体" w:hAnsi="宋体" w:eastAsia="宋体" w:cs="宋体"/>
          <w:b w:val="0"/>
          <w:i w:val="0"/>
          <w:caps w:val="0"/>
          <w:color w:val="auto"/>
          <w:spacing w:val="0"/>
          <w:w w:val="100"/>
          <w:sz w:val="24"/>
          <w:szCs w:val="24"/>
          <w:highlight w:val="none"/>
          <w:lang w:eastAsia="zh-CN"/>
        </w:rPr>
        <w:t>日</w:t>
      </w:r>
      <w:r>
        <w:rPr>
          <w:rFonts w:hint="eastAsia" w:ascii="宋体" w:hAnsi="宋体" w:eastAsia="宋体" w:cs="宋体"/>
          <w:b w:val="0"/>
          <w:i w:val="0"/>
          <w:caps w:val="0"/>
          <w:color w:val="auto"/>
          <w:spacing w:val="0"/>
          <w:w w:val="100"/>
          <w:sz w:val="24"/>
          <w:szCs w:val="24"/>
          <w:highlight w:val="none"/>
          <w:lang w:val="en-US" w:eastAsia="zh-CN"/>
        </w:rPr>
        <w:t>12</w:t>
      </w:r>
      <w:r>
        <w:rPr>
          <w:rFonts w:hint="eastAsia" w:ascii="宋体" w:hAnsi="宋体" w:eastAsia="宋体" w:cs="宋体"/>
          <w:b w:val="0"/>
          <w:i w:val="0"/>
          <w:caps w:val="0"/>
          <w:color w:val="auto"/>
          <w:spacing w:val="0"/>
          <w:w w:val="100"/>
          <w:sz w:val="24"/>
          <w:szCs w:val="24"/>
          <w:lang w:eastAsia="zh-CN"/>
        </w:rPr>
        <w:t>：</w:t>
      </w:r>
      <w:r>
        <w:rPr>
          <w:rFonts w:hint="eastAsia" w:ascii="宋体" w:hAnsi="宋体" w:eastAsia="宋体" w:cs="宋体"/>
          <w:b w:val="0"/>
          <w:i w:val="0"/>
          <w:caps w:val="0"/>
          <w:color w:val="auto"/>
          <w:spacing w:val="0"/>
          <w:w w:val="100"/>
          <w:sz w:val="24"/>
          <w:szCs w:val="24"/>
          <w:lang w:val="en-US" w:eastAsia="zh-CN"/>
        </w:rPr>
        <w:t>00</w:t>
      </w:r>
      <w:r>
        <w:rPr>
          <w:rFonts w:hint="eastAsia" w:ascii="宋体" w:hAnsi="宋体" w:eastAsia="宋体" w:cs="宋体"/>
          <w:b w:val="0"/>
          <w:i w:val="0"/>
          <w:caps w:val="0"/>
          <w:color w:val="auto"/>
          <w:spacing w:val="0"/>
          <w:w w:val="100"/>
          <w:sz w:val="24"/>
          <w:szCs w:val="24"/>
          <w:lang w:eastAsia="zh-CN"/>
        </w:rPr>
        <w:t>时</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spacing w:val="0"/>
          <w:w w:val="100"/>
          <w:sz w:val="24"/>
          <w:szCs w:val="24"/>
        </w:rPr>
        <w:t>北京时间）前提交</w:t>
      </w:r>
      <w:r>
        <w:rPr>
          <w:rFonts w:hint="eastAsia" w:ascii="宋体" w:hAnsi="宋体" w:eastAsia="宋体" w:cs="宋体"/>
          <w:b w:val="0"/>
          <w:i w:val="0"/>
          <w:caps w:val="0"/>
          <w:spacing w:val="0"/>
          <w:w w:val="100"/>
          <w:sz w:val="24"/>
          <w:szCs w:val="24"/>
          <w:lang w:eastAsia="zh-CN"/>
        </w:rPr>
        <w:t>响应</w:t>
      </w:r>
      <w:r>
        <w:rPr>
          <w:rFonts w:hint="eastAsia" w:ascii="宋体" w:hAnsi="宋体" w:eastAsia="宋体" w:cs="宋体"/>
          <w:b w:val="0"/>
          <w:i w:val="0"/>
          <w:caps w:val="0"/>
          <w:spacing w:val="0"/>
          <w:w w:val="100"/>
          <w:sz w:val="24"/>
          <w:szCs w:val="24"/>
        </w:rPr>
        <w:t>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一、项目基本情况</w:t>
      </w:r>
      <w:bookmarkEnd w:id="495"/>
      <w:bookmarkEnd w:id="496"/>
      <w:bookmarkEnd w:id="497"/>
      <w:bookmarkEnd w:id="498"/>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i w:val="0"/>
          <w:caps w:val="0"/>
          <w:color w:val="auto"/>
          <w:spacing w:val="0"/>
          <w:w w:val="100"/>
          <w:sz w:val="24"/>
          <w:szCs w:val="24"/>
        </w:rPr>
        <w:t>项目编号：</w:t>
      </w:r>
      <w:r>
        <w:rPr>
          <w:rFonts w:hint="eastAsia" w:ascii="宋体" w:hAnsi="宋体" w:eastAsia="宋体" w:cs="宋体"/>
          <w:b w:val="0"/>
          <w:i w:val="0"/>
          <w:caps w:val="0"/>
          <w:color w:val="auto"/>
          <w:spacing w:val="0"/>
          <w:w w:val="100"/>
          <w:sz w:val="24"/>
          <w:szCs w:val="24"/>
        </w:rPr>
        <w:fldChar w:fldCharType="begin"/>
      </w:r>
      <w:r>
        <w:rPr>
          <w:rFonts w:hint="eastAsia" w:ascii="宋体" w:hAnsi="宋体" w:eastAsia="宋体" w:cs="宋体"/>
          <w:b w:val="0"/>
          <w:i w:val="0"/>
          <w:caps w:val="0"/>
          <w:color w:val="auto"/>
          <w:spacing w:val="0"/>
          <w:w w:val="100"/>
          <w:sz w:val="24"/>
          <w:szCs w:val="24"/>
        </w:rPr>
        <w:instrText xml:space="preserve"> HYPERLINK "https://www.zcygov.cn/project-center/_procurement_/project-result-detail/7260833298096586801" \t "https://www.zcygov.cn/project-center/_procurement_/self-project/_blank" </w:instrText>
      </w:r>
      <w:r>
        <w:rPr>
          <w:rFonts w:hint="eastAsia" w:ascii="宋体" w:hAnsi="宋体" w:eastAsia="宋体" w:cs="宋体"/>
          <w:b w:val="0"/>
          <w:i w:val="0"/>
          <w:caps w:val="0"/>
          <w:color w:val="auto"/>
          <w:spacing w:val="0"/>
          <w:w w:val="100"/>
          <w:sz w:val="24"/>
          <w:szCs w:val="24"/>
        </w:rPr>
        <w:fldChar w:fldCharType="separate"/>
      </w:r>
      <w:r>
        <w:rPr>
          <w:rFonts w:hint="eastAsia" w:ascii="宋体" w:hAnsi="宋体" w:eastAsia="宋体" w:cs="宋体"/>
          <w:b w:val="0"/>
          <w:i w:val="0"/>
          <w:caps w:val="0"/>
          <w:color w:val="auto"/>
          <w:spacing w:val="0"/>
          <w:w w:val="100"/>
          <w:sz w:val="24"/>
          <w:szCs w:val="24"/>
        </w:rPr>
        <w:t>FYH-SCX（TP）2024-0</w:t>
      </w:r>
      <w:r>
        <w:rPr>
          <w:rFonts w:hint="eastAsia" w:ascii="宋体" w:hAnsi="宋体" w:eastAsia="宋体" w:cs="宋体"/>
          <w:b w:val="0"/>
          <w:i w:val="0"/>
          <w:caps w:val="0"/>
          <w:color w:val="auto"/>
          <w:spacing w:val="0"/>
          <w:w w:val="100"/>
          <w:sz w:val="24"/>
          <w:szCs w:val="24"/>
          <w:lang w:val="en-US" w:eastAsia="zh-CN"/>
        </w:rPr>
        <w:t>2</w:t>
      </w:r>
      <w:r>
        <w:rPr>
          <w:rFonts w:hint="eastAsia" w:ascii="宋体" w:hAnsi="宋体" w:eastAsia="宋体" w:cs="宋体"/>
          <w:b w:val="0"/>
          <w:i w:val="0"/>
          <w:caps w:val="0"/>
          <w:color w:val="auto"/>
          <w:spacing w:val="0"/>
          <w:w w:val="100"/>
          <w:sz w:val="24"/>
          <w:szCs w:val="24"/>
        </w:rPr>
        <w:fldChar w:fldCharType="end"/>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eastAsia="zh-CN"/>
        </w:rPr>
      </w:pPr>
      <w:r>
        <w:rPr>
          <w:rFonts w:hint="eastAsia" w:ascii="宋体" w:hAnsi="宋体" w:eastAsia="宋体" w:cs="宋体"/>
          <w:b w:val="0"/>
          <w:i w:val="0"/>
          <w:caps w:val="0"/>
          <w:spacing w:val="0"/>
          <w:w w:val="100"/>
          <w:sz w:val="24"/>
          <w:szCs w:val="24"/>
        </w:rPr>
        <w:t>项目名称：</w:t>
      </w:r>
      <w:r>
        <w:rPr>
          <w:rFonts w:hint="eastAsia" w:ascii="宋体" w:hAnsi="宋体" w:eastAsia="宋体" w:cs="宋体"/>
          <w:b w:val="0"/>
          <w:i w:val="0"/>
          <w:caps w:val="0"/>
          <w:spacing w:val="0"/>
          <w:w w:val="100"/>
          <w:sz w:val="24"/>
          <w:szCs w:val="24"/>
          <w:lang w:eastAsia="zh-CN"/>
        </w:rPr>
        <w:t>莎车县现代农业发展（特色林果有害生物防治）项目（二次）</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采购方式：竞争性谈判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预算金额</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lang w:val="en-US" w:eastAsia="zh-CN"/>
        </w:rPr>
        <w:t>元</w:t>
      </w:r>
      <w:r>
        <w:rPr>
          <w:rFonts w:hint="eastAsia" w:ascii="宋体" w:hAnsi="宋体" w:eastAsia="宋体" w:cs="宋体"/>
          <w:b w:val="0"/>
          <w:i w:val="0"/>
          <w:caps w:val="0"/>
          <w:spacing w:val="0"/>
          <w:w w:val="100"/>
          <w:sz w:val="24"/>
          <w:szCs w:val="24"/>
          <w:lang w:eastAsia="zh-CN"/>
        </w:rPr>
        <w:t>）</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spacing w:val="0"/>
          <w:w w:val="100"/>
          <w:sz w:val="24"/>
          <w:szCs w:val="24"/>
          <w:lang w:val="en-US" w:eastAsia="zh-CN"/>
        </w:rPr>
        <w:t>1000000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color w:val="auto"/>
          <w:lang w:val="en-US" w:eastAsia="zh-CN"/>
        </w:rPr>
      </w:pPr>
      <w:r>
        <w:rPr>
          <w:rFonts w:hint="eastAsia" w:ascii="宋体" w:hAnsi="宋体" w:eastAsia="宋体" w:cs="宋体"/>
          <w:b w:val="0"/>
          <w:i w:val="0"/>
          <w:caps w:val="0"/>
          <w:color w:val="auto"/>
          <w:spacing w:val="0"/>
          <w:w w:val="100"/>
          <w:sz w:val="24"/>
          <w:szCs w:val="24"/>
          <w:lang w:val="en-US" w:eastAsia="zh-CN"/>
        </w:rPr>
        <w:t>最高限价（元）：750000，250000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采购需求：</w:t>
      </w:r>
      <w:bookmarkStart w:id="499" w:name="_Toc35393799"/>
      <w:bookmarkStart w:id="500" w:name="_Toc35393630"/>
      <w:bookmarkStart w:id="501" w:name="_Toc28359013"/>
      <w:bookmarkStart w:id="502" w:name="_Toc28359090"/>
      <w:r>
        <w:rPr>
          <w:rFonts w:hint="eastAsia" w:ascii="宋体" w:hAnsi="宋体" w:eastAsia="宋体" w:cs="宋体"/>
          <w:b w:val="0"/>
          <w:i w:val="0"/>
          <w:caps w:val="0"/>
          <w:spacing w:val="0"/>
          <w:w w:val="100"/>
          <w:sz w:val="24"/>
          <w:szCs w:val="24"/>
          <w:lang w:val="en-US" w:eastAsia="zh-CN"/>
        </w:rPr>
        <w:t>/</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标项一</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标项名称：</w:t>
      </w:r>
      <w:r>
        <w:rPr>
          <w:rFonts w:hint="eastAsia" w:ascii="宋体" w:hAnsi="宋体" w:eastAsia="宋体" w:cs="宋体"/>
          <w:b w:val="0"/>
          <w:i w:val="0"/>
          <w:caps w:val="0"/>
          <w:spacing w:val="0"/>
          <w:w w:val="100"/>
          <w:sz w:val="24"/>
          <w:szCs w:val="24"/>
          <w:lang w:eastAsia="zh-CN"/>
        </w:rPr>
        <w:t>莎车县现代农业发展（特色林果有害生物防治）项目（</w:t>
      </w:r>
      <w:r>
        <w:rPr>
          <w:rFonts w:hint="eastAsia" w:ascii="宋体" w:hAnsi="宋体" w:eastAsia="宋体" w:cs="宋体"/>
          <w:b w:val="0"/>
          <w:i w:val="0"/>
          <w:caps w:val="0"/>
          <w:spacing w:val="0"/>
          <w:w w:val="100"/>
          <w:sz w:val="24"/>
          <w:szCs w:val="24"/>
          <w:lang w:val="en-US" w:eastAsia="zh-CN"/>
        </w:rPr>
        <w:t>一包</w:t>
      </w:r>
      <w:r>
        <w:rPr>
          <w:rFonts w:hint="eastAsia" w:ascii="宋体" w:hAnsi="宋体" w:eastAsia="宋体" w:cs="宋体"/>
          <w:b w:val="0"/>
          <w:i w:val="0"/>
          <w:caps w:val="0"/>
          <w:spacing w:val="0"/>
          <w:w w:val="100"/>
          <w:sz w:val="24"/>
          <w:szCs w:val="24"/>
          <w:lang w:eastAsia="zh-CN"/>
        </w:rPr>
        <w:t>）（二次）</w:t>
      </w:r>
      <w:r>
        <w:rPr>
          <w:rFonts w:hint="eastAsia" w:ascii="宋体" w:hAnsi="宋体" w:eastAsia="宋体" w:cs="宋体"/>
          <w:b w:val="0"/>
          <w:i w:val="0"/>
          <w:caps w:val="0"/>
          <w:spacing w:val="0"/>
          <w:w w:val="100"/>
          <w:sz w:val="24"/>
          <w:szCs w:val="24"/>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数量：不限     </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预算金额（元）：750000 </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简要规格描述：四螨哒螨灵：≥15%四螨哒螨灵，其中：四螨嗪含量≥5%，哒螨灵含量≥10%。剂型：可湿性粉剂或悬浮剂，规格为500克/袋。</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备注：/</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标项二</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firstLineChars="20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标项名称：</w:t>
      </w:r>
      <w:r>
        <w:rPr>
          <w:rFonts w:hint="eastAsia" w:ascii="宋体" w:hAnsi="宋体" w:eastAsia="宋体" w:cs="宋体"/>
          <w:b w:val="0"/>
          <w:i w:val="0"/>
          <w:caps w:val="0"/>
          <w:spacing w:val="0"/>
          <w:w w:val="100"/>
          <w:sz w:val="24"/>
          <w:szCs w:val="24"/>
          <w:lang w:eastAsia="zh-CN"/>
        </w:rPr>
        <w:t>莎车县现代农业发展（特色林果有害生物防治）项目（</w:t>
      </w:r>
      <w:r>
        <w:rPr>
          <w:rFonts w:hint="eastAsia" w:ascii="宋体" w:hAnsi="宋体" w:eastAsia="宋体" w:cs="宋体"/>
          <w:b w:val="0"/>
          <w:i w:val="0"/>
          <w:caps w:val="0"/>
          <w:spacing w:val="0"/>
          <w:w w:val="100"/>
          <w:sz w:val="24"/>
          <w:szCs w:val="24"/>
          <w:lang w:val="en-US" w:eastAsia="zh-CN"/>
        </w:rPr>
        <w:t>二包</w:t>
      </w:r>
      <w:r>
        <w:rPr>
          <w:rFonts w:hint="eastAsia" w:ascii="宋体" w:hAnsi="宋体" w:eastAsia="宋体" w:cs="宋体"/>
          <w:b w:val="0"/>
          <w:i w:val="0"/>
          <w:caps w:val="0"/>
          <w:spacing w:val="0"/>
          <w:w w:val="100"/>
          <w:sz w:val="24"/>
          <w:szCs w:val="24"/>
          <w:lang w:eastAsia="zh-CN"/>
        </w:rPr>
        <w:t>）（二次）</w:t>
      </w:r>
      <w:r>
        <w:rPr>
          <w:rFonts w:hint="eastAsia" w:ascii="宋体" w:hAnsi="宋体" w:eastAsia="宋体" w:cs="宋体"/>
          <w:b w:val="0"/>
          <w:i w:val="0"/>
          <w:caps w:val="0"/>
          <w:spacing w:val="0"/>
          <w:w w:val="100"/>
          <w:sz w:val="24"/>
          <w:szCs w:val="24"/>
          <w:lang w:val="en-US" w:eastAsia="zh-CN"/>
        </w:rPr>
        <w:t xml:space="preserve"> </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数量：不限     </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预算金额（元）：250000 </w:t>
      </w:r>
    </w:p>
    <w:p>
      <w:pPr>
        <w:pStyle w:val="19"/>
        <w:keepNext w:val="0"/>
        <w:keepLines w:val="0"/>
        <w:pageBreakBefore w:val="0"/>
        <w:widowControl w:val="0"/>
        <w:kinsoku/>
        <w:wordWrap/>
        <w:overflowPunct/>
        <w:topLinePunct w:val="0"/>
        <w:autoSpaceDE/>
        <w:autoSpaceDN/>
        <w:bidi w:val="0"/>
        <w:adjustRightInd/>
        <w:snapToGrid w:val="0"/>
        <w:spacing w:line="240" w:lineRule="auto"/>
        <w:ind w:firstLine="480"/>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简要规格描述：阿维·乙螨唑：总有效成分含量：≥20%，乙螨唑含量≥15%，阿维菌素含量≥5%，剂型：悬浮剂；规格：500克/瓶。</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备注：/</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 xml:space="preserve">    合同履约期限：标项 1、2，20天</w:t>
      </w:r>
    </w:p>
    <w:p>
      <w:pPr>
        <w:pStyle w:val="19"/>
        <w:keepNext w:val="0"/>
        <w:keepLines w:val="0"/>
        <w:pageBreakBefore w:val="0"/>
        <w:widowControl w:val="0"/>
        <w:kinsoku/>
        <w:wordWrap/>
        <w:overflowPunct/>
        <w:topLinePunct w:val="0"/>
        <w:autoSpaceDE/>
        <w:autoSpaceDN/>
        <w:bidi w:val="0"/>
        <w:adjustRightInd/>
        <w:snapToGrid w:val="0"/>
        <w:spacing w:line="240" w:lineRule="auto"/>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lang w:val="en-US" w:eastAsia="zh-CN"/>
        </w:rPr>
        <w:t xml:space="preserve">    本项目（否）接受联合体投标。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240" w:firstLineChars="1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二、申请人的资格要求：</w:t>
      </w:r>
      <w:bookmarkEnd w:id="499"/>
      <w:bookmarkEnd w:id="500"/>
      <w:bookmarkEnd w:id="501"/>
      <w:bookmarkEnd w:id="502"/>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bookmarkStart w:id="503" w:name="_Toc28359014"/>
      <w:bookmarkStart w:id="504" w:name="_Toc35393631"/>
      <w:bookmarkStart w:id="505" w:name="_Toc35393800"/>
      <w:bookmarkStart w:id="506" w:name="_Toc28359091"/>
      <w:r>
        <w:rPr>
          <w:rFonts w:hint="eastAsia" w:ascii="宋体" w:hAnsi="宋体" w:eastAsia="宋体" w:cs="宋体"/>
          <w:b w:val="0"/>
          <w:i w:val="0"/>
          <w:caps w:val="0"/>
          <w:spacing w:val="0"/>
          <w:w w:val="100"/>
          <w:sz w:val="24"/>
          <w:szCs w:val="24"/>
          <w:lang w:val="en-US" w:eastAsia="zh-CN"/>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2.落实政府采购政策需满足的资格要求：根据《政府采购促进中小企业发展管理办法》，本项目面向中小企业采购。</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i w:val="0"/>
          <w:iCs w:val="0"/>
          <w:color w:val="FF0000"/>
          <w:kern w:val="2"/>
          <w:sz w:val="24"/>
          <w:szCs w:val="24"/>
          <w:highlight w:val="none"/>
          <w:u w:val="none"/>
          <w:lang w:val="en-US" w:eastAsia="zh-CN" w:bidi="ar-SA"/>
        </w:rPr>
      </w:pPr>
      <w:r>
        <w:rPr>
          <w:rFonts w:hint="eastAsia" w:ascii="宋体" w:hAnsi="宋体" w:eastAsia="宋体" w:cs="宋体"/>
          <w:b w:val="0"/>
          <w:i w:val="0"/>
          <w:caps w:val="0"/>
          <w:spacing w:val="0"/>
          <w:w w:val="100"/>
          <w:sz w:val="24"/>
          <w:szCs w:val="24"/>
          <w:lang w:val="en-US" w:eastAsia="zh-CN"/>
        </w:rPr>
        <w:t>3.本项目的特定资格要求：标项1，标项2：</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1、具有独立法人资格（三证合一的营业执照）；</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的农药包装废弃物回收处理承诺书扫描件。</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3、法人本人投标需提供法人身份证及法定代表人资格证明书；授权委托人投标需提供法人授权委托书、法人身份证复印件及被授权委托人身份证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color w:val="auto"/>
          <w:sz w:val="24"/>
          <w:szCs w:val="24"/>
          <w:highlight w:val="none"/>
          <w:lang w:val="en-US" w:eastAsia="zh-CN"/>
        </w:rPr>
        <w:t>4、提供近两年内任意一年的（2022年或2023年）财务审计报告（新成立未满一年的公司可提供近六个月内任意一个月的银行资信证明）</w:t>
      </w:r>
      <w:r>
        <w:rPr>
          <w:rFonts w:hint="eastAsia" w:ascii="宋体" w:hAnsi="宋体" w:eastAsia="宋体" w:cs="宋体"/>
          <w:b w:val="0"/>
          <w:bCs w:val="0"/>
          <w:color w:val="auto"/>
          <w:sz w:val="24"/>
          <w:szCs w:val="24"/>
          <w:highlight w:val="none"/>
        </w:rPr>
        <w:t>；</w:t>
      </w:r>
    </w:p>
    <w:p>
      <w:pPr>
        <w:pageBreakBefore w:val="0"/>
        <w:numPr>
          <w:ilvl w:val="0"/>
          <w:numId w:val="0"/>
        </w:numPr>
        <w:kinsoku/>
        <w:wordWrap/>
        <w:overflowPunct/>
        <w:topLinePunct w:val="0"/>
        <w:bidi w:val="0"/>
        <w:spacing w:line="240" w:lineRule="auto"/>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5、根据《财政部关于在政府采购活动中查询及使用信用记录有关问题的通知》（财库﹝2016﹞125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6、本单位缴纳的近六个月任意一个月的社保缴纳证明及具有税务局开具依法缴纳近六个月任意一个月的完税证明。</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7、参加政府采购活动前3年内在经营活动中没有重大违法记录的书面声明；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ascii="宋体" w:hAnsi="宋体" w:eastAsia="宋体" w:cs="宋体"/>
          <w:b w:val="0"/>
          <w:i w:val="0"/>
          <w:caps w:val="0"/>
          <w:color w:val="auto"/>
          <w:spacing w:val="0"/>
          <w:w w:val="100"/>
          <w:sz w:val="24"/>
          <w:szCs w:val="24"/>
          <w:lang w:val="en-US" w:eastAsia="zh-CN"/>
        </w:rPr>
      </w:pPr>
      <w:r>
        <w:rPr>
          <w:rFonts w:hint="eastAsia" w:ascii="宋体" w:hAnsi="宋体" w:eastAsia="宋体" w:cs="宋体"/>
          <w:b w:val="0"/>
          <w:bCs w:val="0"/>
          <w:i w:val="0"/>
          <w:iCs w:val="0"/>
          <w:color w:val="auto"/>
          <w:sz w:val="24"/>
          <w:szCs w:val="24"/>
          <w:highlight w:val="none"/>
          <w:lang w:val="en-US" w:eastAsia="zh-CN"/>
        </w:rPr>
        <w:t>8、投标单位（供应商）针对本次项目《反商业承诺书》。</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三、获取采购文件</w:t>
      </w:r>
      <w:bookmarkEnd w:id="503"/>
      <w:bookmarkEnd w:id="504"/>
      <w:bookmarkEnd w:id="505"/>
      <w:bookmarkEnd w:id="506"/>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07" w:name="_Toc35393632"/>
      <w:bookmarkStart w:id="508" w:name="_Toc28359015"/>
      <w:bookmarkStart w:id="509" w:name="_Toc35393801"/>
      <w:bookmarkStart w:id="510" w:name="_Toc28359092"/>
      <w:r>
        <w:rPr>
          <w:rFonts w:hint="eastAsia" w:ascii="宋体" w:hAnsi="宋体" w:eastAsia="宋体" w:cs="宋体"/>
          <w:b w:val="0"/>
          <w:i w:val="0"/>
          <w:caps w:val="0"/>
          <w:spacing w:val="0"/>
          <w:w w:val="100"/>
          <w:sz w:val="24"/>
          <w:szCs w:val="24"/>
        </w:rPr>
        <w:t>时间：202</w:t>
      </w:r>
      <w:r>
        <w:rPr>
          <w:rFonts w:hint="eastAsia" w:ascii="宋体" w:hAnsi="宋体" w:eastAsia="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rPr>
        <w:t>年0</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20</w:t>
      </w:r>
      <w:r>
        <w:rPr>
          <w:rFonts w:hint="eastAsia" w:ascii="宋体" w:hAnsi="宋体" w:eastAsia="宋体" w:cs="宋体"/>
          <w:b w:val="0"/>
          <w:i w:val="0"/>
          <w:caps w:val="0"/>
          <w:spacing w:val="0"/>
          <w:w w:val="100"/>
          <w:sz w:val="24"/>
          <w:szCs w:val="24"/>
        </w:rPr>
        <w:t>日至202</w:t>
      </w:r>
      <w:r>
        <w:rPr>
          <w:rFonts w:hint="eastAsia" w:ascii="宋体" w:hAnsi="宋体" w:eastAsia="宋体" w:cs="宋体"/>
          <w:b w:val="0"/>
          <w:i w:val="0"/>
          <w:caps w:val="0"/>
          <w:spacing w:val="0"/>
          <w:w w:val="100"/>
          <w:sz w:val="24"/>
          <w:szCs w:val="24"/>
          <w:lang w:val="en-US" w:eastAsia="zh-CN"/>
        </w:rPr>
        <w:t>4</w:t>
      </w:r>
      <w:r>
        <w:rPr>
          <w:rFonts w:hint="eastAsia" w:ascii="宋体" w:hAnsi="宋体" w:eastAsia="宋体" w:cs="宋体"/>
          <w:b w:val="0"/>
          <w:i w:val="0"/>
          <w:caps w:val="0"/>
          <w:spacing w:val="0"/>
          <w:w w:val="100"/>
          <w:sz w:val="24"/>
          <w:szCs w:val="24"/>
        </w:rPr>
        <w:t>年0</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月</w:t>
      </w:r>
      <w:r>
        <w:rPr>
          <w:rFonts w:hint="eastAsia" w:ascii="宋体" w:hAnsi="宋体" w:eastAsia="宋体" w:cs="宋体"/>
          <w:b w:val="0"/>
          <w:i w:val="0"/>
          <w:caps w:val="0"/>
          <w:spacing w:val="0"/>
          <w:w w:val="100"/>
          <w:sz w:val="24"/>
          <w:szCs w:val="24"/>
          <w:lang w:val="en-US" w:eastAsia="zh-CN"/>
        </w:rPr>
        <w:t>24</w:t>
      </w:r>
      <w:r>
        <w:rPr>
          <w:rFonts w:hint="eastAsia" w:ascii="宋体" w:hAnsi="宋体" w:eastAsia="宋体" w:cs="宋体"/>
          <w:b w:val="0"/>
          <w:i w:val="0"/>
          <w:caps w:val="0"/>
          <w:spacing w:val="0"/>
          <w:w w:val="100"/>
          <w:sz w:val="24"/>
          <w:szCs w:val="24"/>
        </w:rPr>
        <w:t>日，每天上午</w:t>
      </w:r>
      <w:r>
        <w:rPr>
          <w:rFonts w:hint="eastAsia" w:ascii="宋体" w:hAnsi="宋体" w:eastAsia="宋体" w:cs="宋体"/>
          <w:b w:val="0"/>
          <w:i w:val="0"/>
          <w:caps w:val="0"/>
          <w:spacing w:val="0"/>
          <w:w w:val="100"/>
          <w:sz w:val="24"/>
          <w:szCs w:val="24"/>
          <w:lang w:val="en-US" w:eastAsia="zh-CN"/>
        </w:rPr>
        <w:t>0</w:t>
      </w:r>
      <w:r>
        <w:rPr>
          <w:rFonts w:hint="eastAsia" w:ascii="宋体" w:hAnsi="宋体" w:eastAsia="宋体" w:cs="宋体"/>
          <w:b w:val="0"/>
          <w:i w:val="0"/>
          <w:caps w:val="0"/>
          <w:spacing w:val="0"/>
          <w:w w:val="100"/>
          <w:sz w:val="24"/>
          <w:szCs w:val="24"/>
        </w:rPr>
        <w:t>0:00至</w:t>
      </w:r>
      <w:r>
        <w:rPr>
          <w:rFonts w:hint="eastAsia" w:ascii="宋体" w:hAnsi="宋体" w:eastAsia="宋体" w:cs="宋体"/>
          <w:b w:val="0"/>
          <w:i w:val="0"/>
          <w:caps w:val="0"/>
          <w:spacing w:val="0"/>
          <w:w w:val="100"/>
          <w:sz w:val="24"/>
          <w:szCs w:val="24"/>
          <w:lang w:val="en-US" w:eastAsia="zh-CN"/>
        </w:rPr>
        <w:t>12</w:t>
      </w:r>
      <w:r>
        <w:rPr>
          <w:rFonts w:hint="eastAsia" w:ascii="宋体" w:hAnsi="宋体" w:eastAsia="宋体" w:cs="宋体"/>
          <w:b w:val="0"/>
          <w:i w:val="0"/>
          <w:caps w:val="0"/>
          <w:spacing w:val="0"/>
          <w:w w:val="100"/>
          <w:sz w:val="24"/>
          <w:szCs w:val="24"/>
        </w:rPr>
        <w:t>:00，下午1</w:t>
      </w:r>
      <w:r>
        <w:rPr>
          <w:rFonts w:hint="eastAsia" w:ascii="宋体" w:hAnsi="宋体" w:eastAsia="宋体" w:cs="宋体"/>
          <w:b w:val="0"/>
          <w:i w:val="0"/>
          <w:caps w:val="0"/>
          <w:spacing w:val="0"/>
          <w:w w:val="100"/>
          <w:sz w:val="24"/>
          <w:szCs w:val="24"/>
          <w:lang w:val="en-US" w:eastAsia="zh-CN"/>
        </w:rPr>
        <w:t>2</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spacing w:val="0"/>
          <w:w w:val="100"/>
          <w:sz w:val="24"/>
          <w:szCs w:val="24"/>
          <w:lang w:val="en-US" w:eastAsia="zh-CN"/>
        </w:rPr>
        <w:t>0</w:t>
      </w:r>
      <w:r>
        <w:rPr>
          <w:rFonts w:hint="eastAsia" w:ascii="宋体" w:hAnsi="宋体" w:eastAsia="宋体" w:cs="宋体"/>
          <w:b w:val="0"/>
          <w:i w:val="0"/>
          <w:caps w:val="0"/>
          <w:spacing w:val="0"/>
          <w:w w:val="100"/>
          <w:sz w:val="24"/>
          <w:szCs w:val="24"/>
        </w:rPr>
        <w:t>0至</w:t>
      </w:r>
      <w:r>
        <w:rPr>
          <w:rFonts w:hint="eastAsia" w:ascii="宋体" w:hAnsi="宋体" w:eastAsia="宋体" w:cs="宋体"/>
          <w:b w:val="0"/>
          <w:i w:val="0"/>
          <w:caps w:val="0"/>
          <w:spacing w:val="0"/>
          <w:w w:val="100"/>
          <w:sz w:val="24"/>
          <w:szCs w:val="24"/>
          <w:lang w:val="en-US" w:eastAsia="zh-CN"/>
        </w:rPr>
        <w:t>23</w:t>
      </w:r>
      <w:r>
        <w:rPr>
          <w:rFonts w:hint="eastAsia" w:ascii="宋体" w:hAnsi="宋体" w:eastAsia="宋体" w:cs="宋体"/>
          <w:b w:val="0"/>
          <w:i w:val="0"/>
          <w:caps w:val="0"/>
          <w:spacing w:val="0"/>
          <w:w w:val="100"/>
          <w:sz w:val="24"/>
          <w:szCs w:val="24"/>
        </w:rPr>
        <w:t>:</w:t>
      </w:r>
      <w:r>
        <w:rPr>
          <w:rFonts w:hint="eastAsia" w:ascii="宋体" w:hAnsi="宋体" w:eastAsia="宋体" w:cs="宋体"/>
          <w:b w:val="0"/>
          <w:i w:val="0"/>
          <w:caps w:val="0"/>
          <w:spacing w:val="0"/>
          <w:w w:val="100"/>
          <w:sz w:val="24"/>
          <w:szCs w:val="24"/>
          <w:lang w:val="en-US" w:eastAsia="zh-CN"/>
        </w:rPr>
        <w:t>59</w:t>
      </w:r>
      <w:r>
        <w:rPr>
          <w:rFonts w:hint="eastAsia" w:ascii="宋体" w:hAnsi="宋体" w:eastAsia="宋体" w:cs="宋体"/>
          <w:b w:val="0"/>
          <w:i w:val="0"/>
          <w:caps w:val="0"/>
          <w:spacing w:val="0"/>
          <w:w w:val="100"/>
          <w:sz w:val="24"/>
          <w:szCs w:val="24"/>
        </w:rPr>
        <w:t>（北京时间，法定节假日除外）</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地点：政采云平台线上（http://www.ccgp-xinjiang.gov.cn/）</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售价（元）：0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四、响应文件提交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截止时间：</w:t>
      </w:r>
      <w:r>
        <w:rPr>
          <w:rFonts w:hint="eastAsia" w:ascii="宋体" w:hAnsi="宋体" w:eastAsia="宋体" w:cs="宋体"/>
          <w:b w:val="0"/>
          <w:i w:val="0"/>
          <w:caps w:val="0"/>
          <w:color w:val="auto"/>
          <w:spacing w:val="0"/>
          <w:w w:val="100"/>
          <w:sz w:val="24"/>
          <w:szCs w:val="24"/>
          <w:u w:val="single"/>
          <w:lang w:val="en-US" w:eastAsia="zh-CN"/>
        </w:rPr>
        <w:t>2024</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03</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25</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12</w:t>
      </w:r>
      <w:r>
        <w:rPr>
          <w:rFonts w:hint="eastAsia" w:ascii="宋体" w:hAnsi="宋体" w:eastAsia="宋体" w:cs="宋体"/>
          <w:b w:val="0"/>
          <w:i w:val="0"/>
          <w:caps w:val="0"/>
          <w:color w:val="auto"/>
          <w:spacing w:val="0"/>
          <w:w w:val="100"/>
          <w:sz w:val="24"/>
          <w:szCs w:val="24"/>
          <w:u w:val="single"/>
        </w:rPr>
        <w:t>点</w:t>
      </w:r>
      <w:r>
        <w:rPr>
          <w:rFonts w:hint="eastAsia" w:ascii="宋体" w:hAnsi="宋体" w:eastAsia="宋体" w:cs="宋体"/>
          <w:b w:val="0"/>
          <w:i w:val="0"/>
          <w:caps w:val="0"/>
          <w:color w:val="auto"/>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lang w:val="en-US" w:eastAsia="zh-CN"/>
        </w:rPr>
        <w:t>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地点：请登录政采云投标客户端投标</w:t>
      </w:r>
    </w:p>
    <w:bookmarkEnd w:id="507"/>
    <w:bookmarkEnd w:id="508"/>
    <w:bookmarkEnd w:id="509"/>
    <w:bookmarkEnd w:id="510"/>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1" w:name="_Toc28359016"/>
      <w:bookmarkStart w:id="512" w:name="_Toc35393633"/>
      <w:bookmarkStart w:id="513" w:name="_Toc35393802"/>
      <w:bookmarkStart w:id="514" w:name="_Toc28359093"/>
      <w:r>
        <w:rPr>
          <w:rFonts w:hint="eastAsia" w:ascii="宋体" w:hAnsi="宋体" w:eastAsia="宋体" w:cs="宋体"/>
          <w:b w:val="0"/>
          <w:i w:val="0"/>
          <w:caps w:val="0"/>
          <w:spacing w:val="0"/>
          <w:w w:val="100"/>
          <w:sz w:val="24"/>
          <w:szCs w:val="24"/>
        </w:rPr>
        <w:t>五、响应文件开启</w:t>
      </w:r>
      <w:bookmarkEnd w:id="511"/>
      <w:bookmarkEnd w:id="512"/>
      <w:bookmarkEnd w:id="513"/>
      <w:bookmarkEnd w:id="514"/>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时间</w:t>
      </w:r>
      <w:r>
        <w:rPr>
          <w:rFonts w:hint="eastAsia" w:ascii="宋体" w:hAnsi="宋体" w:eastAsia="宋体" w:cs="宋体"/>
          <w:b w:val="0"/>
          <w:i w:val="0"/>
          <w:caps w:val="0"/>
          <w:color w:val="auto"/>
          <w:spacing w:val="0"/>
          <w:w w:val="100"/>
          <w:sz w:val="24"/>
          <w:szCs w:val="24"/>
        </w:rPr>
        <w:t>：</w:t>
      </w:r>
      <w:r>
        <w:rPr>
          <w:rFonts w:hint="eastAsia" w:ascii="宋体" w:hAnsi="宋体" w:eastAsia="宋体" w:cs="宋体"/>
          <w:b w:val="0"/>
          <w:i w:val="0"/>
          <w:caps w:val="0"/>
          <w:color w:val="auto"/>
          <w:spacing w:val="0"/>
          <w:w w:val="100"/>
          <w:sz w:val="24"/>
          <w:szCs w:val="24"/>
          <w:u w:val="single"/>
          <w:lang w:val="en-US" w:eastAsia="zh-CN"/>
        </w:rPr>
        <w:t>2024</w:t>
      </w:r>
      <w:r>
        <w:rPr>
          <w:rFonts w:hint="eastAsia" w:ascii="宋体" w:hAnsi="宋体" w:eastAsia="宋体" w:cs="宋体"/>
          <w:b w:val="0"/>
          <w:i w:val="0"/>
          <w:caps w:val="0"/>
          <w:color w:val="auto"/>
          <w:spacing w:val="0"/>
          <w:w w:val="100"/>
          <w:sz w:val="24"/>
          <w:szCs w:val="24"/>
          <w:u w:val="single"/>
        </w:rPr>
        <w:t>年</w:t>
      </w:r>
      <w:r>
        <w:rPr>
          <w:rFonts w:hint="eastAsia" w:ascii="宋体" w:hAnsi="宋体" w:eastAsia="宋体" w:cs="宋体"/>
          <w:b w:val="0"/>
          <w:i w:val="0"/>
          <w:caps w:val="0"/>
          <w:color w:val="auto"/>
          <w:spacing w:val="0"/>
          <w:w w:val="100"/>
          <w:sz w:val="24"/>
          <w:szCs w:val="24"/>
          <w:u w:val="single"/>
          <w:lang w:val="en-US" w:eastAsia="zh-CN"/>
        </w:rPr>
        <w:t>03</w:t>
      </w:r>
      <w:r>
        <w:rPr>
          <w:rFonts w:hint="eastAsia" w:ascii="宋体" w:hAnsi="宋体" w:eastAsia="宋体" w:cs="宋体"/>
          <w:b w:val="0"/>
          <w:i w:val="0"/>
          <w:caps w:val="0"/>
          <w:color w:val="auto"/>
          <w:spacing w:val="0"/>
          <w:w w:val="100"/>
          <w:sz w:val="24"/>
          <w:szCs w:val="24"/>
          <w:u w:val="single"/>
        </w:rPr>
        <w:t>月</w:t>
      </w:r>
      <w:r>
        <w:rPr>
          <w:rFonts w:hint="eastAsia" w:ascii="宋体" w:hAnsi="宋体" w:eastAsia="宋体" w:cs="宋体"/>
          <w:b w:val="0"/>
          <w:i w:val="0"/>
          <w:caps w:val="0"/>
          <w:color w:val="auto"/>
          <w:spacing w:val="0"/>
          <w:w w:val="100"/>
          <w:sz w:val="24"/>
          <w:szCs w:val="24"/>
          <w:u w:val="single"/>
          <w:lang w:val="en-US" w:eastAsia="zh-CN"/>
        </w:rPr>
        <w:t>25</w:t>
      </w:r>
      <w:r>
        <w:rPr>
          <w:rFonts w:hint="eastAsia" w:ascii="宋体" w:hAnsi="宋体" w:eastAsia="宋体" w:cs="宋体"/>
          <w:b w:val="0"/>
          <w:i w:val="0"/>
          <w:caps w:val="0"/>
          <w:color w:val="auto"/>
          <w:spacing w:val="0"/>
          <w:w w:val="100"/>
          <w:sz w:val="24"/>
          <w:szCs w:val="24"/>
          <w:u w:val="single"/>
        </w:rPr>
        <w:t>日</w:t>
      </w:r>
      <w:r>
        <w:rPr>
          <w:rFonts w:hint="eastAsia" w:ascii="宋体" w:hAnsi="宋体" w:eastAsia="宋体" w:cs="宋体"/>
          <w:b w:val="0"/>
          <w:i w:val="0"/>
          <w:caps w:val="0"/>
          <w:color w:val="auto"/>
          <w:spacing w:val="0"/>
          <w:w w:val="100"/>
          <w:sz w:val="24"/>
          <w:szCs w:val="24"/>
          <w:u w:val="single"/>
          <w:lang w:val="en-US" w:eastAsia="zh-CN"/>
        </w:rPr>
        <w:t>12</w:t>
      </w:r>
      <w:r>
        <w:rPr>
          <w:rFonts w:hint="eastAsia" w:ascii="宋体" w:hAnsi="宋体" w:eastAsia="宋体" w:cs="宋体"/>
          <w:b w:val="0"/>
          <w:i w:val="0"/>
          <w:caps w:val="0"/>
          <w:spacing w:val="0"/>
          <w:w w:val="100"/>
          <w:sz w:val="24"/>
          <w:szCs w:val="24"/>
          <w:u w:val="single"/>
        </w:rPr>
        <w:t>点</w:t>
      </w:r>
      <w:r>
        <w:rPr>
          <w:rFonts w:hint="eastAsia" w:ascii="宋体" w:hAnsi="宋体" w:eastAsia="宋体" w:cs="宋体"/>
          <w:b w:val="0"/>
          <w:i w:val="0"/>
          <w:caps w:val="0"/>
          <w:spacing w:val="0"/>
          <w:w w:val="100"/>
          <w:sz w:val="24"/>
          <w:szCs w:val="24"/>
          <w:u w:val="single"/>
          <w:lang w:val="en-US" w:eastAsia="zh-CN"/>
        </w:rPr>
        <w:t>00</w:t>
      </w:r>
      <w:r>
        <w:rPr>
          <w:rFonts w:hint="eastAsia" w:ascii="宋体" w:hAnsi="宋体" w:eastAsia="宋体" w:cs="宋体"/>
          <w:b w:val="0"/>
          <w:i w:val="0"/>
          <w:caps w:val="0"/>
          <w:spacing w:val="0"/>
          <w:w w:val="100"/>
          <w:sz w:val="24"/>
          <w:szCs w:val="24"/>
          <w:u w:val="single"/>
        </w:rPr>
        <w:t>分</w:t>
      </w:r>
      <w:r>
        <w:rPr>
          <w:rFonts w:hint="eastAsia" w:ascii="宋体" w:hAnsi="宋体" w:eastAsia="宋体" w:cs="宋体"/>
          <w:b w:val="0"/>
          <w:i w:val="0"/>
          <w:caps w:val="0"/>
          <w:spacing w:val="0"/>
          <w:w w:val="100"/>
          <w:sz w:val="24"/>
          <w:szCs w:val="24"/>
        </w:rPr>
        <w:t>（北京时间）</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u w:val="single"/>
        </w:rPr>
      </w:pPr>
      <w:r>
        <w:rPr>
          <w:rFonts w:hint="eastAsia" w:ascii="宋体" w:hAnsi="宋体" w:eastAsia="宋体" w:cs="宋体"/>
          <w:b w:val="0"/>
          <w:i w:val="0"/>
          <w:caps w:val="0"/>
          <w:spacing w:val="0"/>
          <w:w w:val="100"/>
          <w:sz w:val="24"/>
          <w:szCs w:val="24"/>
        </w:rPr>
        <w:t>地点：投标人登录政采云平台https://www.zcygov.cn/，进入“项目采购-开标评标-右边选择对应项目点击“进入项目”进入开标大厅。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5" w:name="_Toc35393634"/>
      <w:bookmarkStart w:id="516" w:name="_Toc28359094"/>
      <w:bookmarkStart w:id="517" w:name="_Toc35393803"/>
      <w:bookmarkStart w:id="518" w:name="_Toc28359017"/>
      <w:r>
        <w:rPr>
          <w:rFonts w:hint="eastAsia" w:ascii="宋体" w:hAnsi="宋体" w:eastAsia="宋体" w:cs="宋体"/>
          <w:b w:val="0"/>
          <w:i w:val="0"/>
          <w:caps w:val="0"/>
          <w:spacing w:val="0"/>
          <w:w w:val="100"/>
          <w:sz w:val="24"/>
          <w:szCs w:val="24"/>
        </w:rPr>
        <w:t>六、公告期限</w:t>
      </w:r>
      <w:bookmarkEnd w:id="515"/>
      <w:bookmarkEnd w:id="516"/>
      <w:bookmarkEnd w:id="517"/>
      <w:bookmarkEnd w:id="518"/>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自本公告发布之日起</w:t>
      </w:r>
      <w:r>
        <w:rPr>
          <w:rFonts w:hint="eastAsia" w:ascii="宋体" w:hAnsi="宋体" w:eastAsia="宋体" w:cs="宋体"/>
          <w:b w:val="0"/>
          <w:i w:val="0"/>
          <w:caps w:val="0"/>
          <w:spacing w:val="0"/>
          <w:w w:val="100"/>
          <w:sz w:val="24"/>
          <w:szCs w:val="24"/>
          <w:lang w:val="en-US" w:eastAsia="zh-CN"/>
        </w:rPr>
        <w:t>3</w:t>
      </w:r>
      <w:r>
        <w:rPr>
          <w:rFonts w:hint="eastAsia" w:ascii="宋体" w:hAnsi="宋体" w:eastAsia="宋体" w:cs="宋体"/>
          <w:b w:val="0"/>
          <w:i w:val="0"/>
          <w:caps w:val="0"/>
          <w:spacing w:val="0"/>
          <w:w w:val="100"/>
          <w:sz w:val="24"/>
          <w:szCs w:val="24"/>
        </w:rPr>
        <w:t>个工作日。</w:t>
      </w:r>
    </w:p>
    <w:p>
      <w:pPr>
        <w:keepNext w:val="0"/>
        <w:keepLines w:val="0"/>
        <w:pageBreakBefore w:val="0"/>
        <w:widowControl w:val="0"/>
        <w:numPr>
          <w:ilvl w:val="0"/>
          <w:numId w:val="11"/>
        </w:numPr>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其他补充事宜</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1、本项目实行网上投标，采用电子投标文件；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2、各供应商应在开标前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4、供应商应当在开标截止时间前,将生成的“电子加密响应文件”上传递交至“政府采购云平台”,截止时间以后上传递交的响应文件将被“政府采购云平台”拒收。</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5、供应商在开标前须提前配置好电脑浏览器（建议使用谷歌浏览器）, 请使用制作加密电子响应文件的CA锁进行解密及报价确认。本项目响应文件解密时间定为30分钟内,如因自身原因导致无法正常解密,后果由供应商自行承担。</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lang w:val="en-US" w:eastAsia="zh-CN"/>
        </w:rPr>
        <w:t>6、供应商登录政采云平台，在开标时间后30分钟内用“项目采购-开标评标”功能进行解密响应文件。若供应商在规定时间内未按时解密的，视为无效投标。解密与加密响应文件须使用同一个 CA。</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特别提示：</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1、超过200万元的货物和服务采购项目、超过400万元的工程采购项目中适宜由中小企业提供的，预留该部分采购项目预算总额的40%以上专门面向中小企业采购，其中预留给小微企业的比例不低于60%。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eastAsia="zh-C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bookmarkStart w:id="519" w:name="_Toc35393636"/>
      <w:bookmarkStart w:id="520" w:name="_Toc28359095"/>
      <w:bookmarkStart w:id="521" w:name="_Toc28359018"/>
      <w:bookmarkStart w:id="522" w:name="_Toc35393805"/>
      <w:r>
        <w:rPr>
          <w:rFonts w:hint="eastAsia" w:ascii="宋体" w:hAnsi="宋体" w:eastAsia="宋体" w:cs="宋体"/>
          <w:b w:val="0"/>
          <w:i w:val="0"/>
          <w:caps w:val="0"/>
          <w:spacing w:val="0"/>
          <w:w w:val="100"/>
          <w:sz w:val="24"/>
          <w:szCs w:val="24"/>
          <w:lang w:val="en-US" w:eastAsia="zh-CN"/>
        </w:rPr>
        <w:t>八</w:t>
      </w:r>
      <w:r>
        <w:rPr>
          <w:rFonts w:hint="eastAsia" w:ascii="宋体" w:hAnsi="宋体" w:eastAsia="宋体" w:cs="宋体"/>
          <w:b w:val="0"/>
          <w:i w:val="0"/>
          <w:caps w:val="0"/>
          <w:spacing w:val="0"/>
          <w:w w:val="100"/>
          <w:sz w:val="24"/>
          <w:szCs w:val="24"/>
        </w:rPr>
        <w:t>、凡对本次采购提出询问，请按以下方式联系。</w:t>
      </w:r>
      <w:bookmarkEnd w:id="519"/>
      <w:bookmarkEnd w:id="520"/>
      <w:bookmarkEnd w:id="521"/>
      <w:bookmarkEnd w:id="522"/>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1.采购人信息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名 称：莎车县农业农村局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地址：</w:t>
      </w:r>
      <w:r>
        <w:rPr>
          <w:rFonts w:hint="eastAsia" w:ascii="宋体" w:hAnsi="宋体" w:eastAsia="宋体" w:cs="宋体"/>
          <w:b w:val="0"/>
          <w:i w:val="0"/>
          <w:caps w:val="0"/>
          <w:spacing w:val="0"/>
          <w:w w:val="100"/>
          <w:sz w:val="24"/>
          <w:szCs w:val="24"/>
          <w:lang w:val="en-US" w:eastAsia="zh-CN"/>
        </w:rPr>
        <w:t>莎车县智慧路32号</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rPr>
        <w:t>联系方式：</w:t>
      </w:r>
      <w:bookmarkStart w:id="523" w:name="_Toc28359009"/>
      <w:bookmarkStart w:id="524" w:name="_Toc28359086"/>
      <w:r>
        <w:rPr>
          <w:rFonts w:hint="eastAsia" w:ascii="宋体" w:hAnsi="宋体" w:eastAsia="宋体" w:cs="宋体"/>
          <w:b w:val="0"/>
          <w:i w:val="0"/>
          <w:caps w:val="0"/>
          <w:spacing w:val="0"/>
          <w:w w:val="100"/>
          <w:sz w:val="24"/>
          <w:szCs w:val="24"/>
        </w:rPr>
        <w:t>13779490388</w:t>
      </w:r>
      <w:r>
        <w:rPr>
          <w:rFonts w:hint="eastAsia" w:ascii="宋体" w:hAnsi="宋体" w:eastAsia="宋体" w:cs="宋体"/>
          <w:b w:val="0"/>
          <w:i w:val="0"/>
          <w:caps w:val="0"/>
          <w:spacing w:val="0"/>
          <w:w w:val="100"/>
          <w:sz w:val="24"/>
          <w:szCs w:val="24"/>
          <w:lang w:val="en-US" w:eastAsia="zh-CN"/>
        </w:rPr>
        <w:t xml:space="preserve"> </w:t>
      </w:r>
    </w:p>
    <w:bookmarkEnd w:id="523"/>
    <w:bookmarkEnd w:id="524"/>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2.采购代理机构信息</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名 称：</w:t>
      </w:r>
      <w:r>
        <w:rPr>
          <w:rFonts w:hint="eastAsia" w:ascii="宋体" w:hAnsi="宋体" w:eastAsia="宋体" w:cs="宋体"/>
          <w:b w:val="0"/>
          <w:i w:val="0"/>
          <w:caps w:val="0"/>
          <w:spacing w:val="0"/>
          <w:w w:val="100"/>
          <w:sz w:val="24"/>
          <w:szCs w:val="24"/>
          <w:lang w:val="en-US" w:eastAsia="zh-CN"/>
        </w:rPr>
        <w:t>新疆方元晖工程项目管理有限公司</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b w:val="0"/>
          <w:i w:val="0"/>
          <w:caps w:val="0"/>
          <w:spacing w:val="0"/>
          <w:w w:val="100"/>
          <w:sz w:val="24"/>
          <w:szCs w:val="24"/>
        </w:rPr>
        <w:t>地 址：新疆喀什地区喀什市西域大道街道西环路社区33号徽商大厦A栋9层903.904室</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联系方式：</w:t>
      </w:r>
      <w:r>
        <w:rPr>
          <w:rFonts w:hint="eastAsia" w:ascii="宋体" w:hAnsi="宋体" w:eastAsia="宋体" w:cs="宋体"/>
          <w:b w:val="0"/>
          <w:i w:val="0"/>
          <w:caps w:val="0"/>
          <w:spacing w:val="0"/>
          <w:w w:val="100"/>
          <w:sz w:val="24"/>
          <w:szCs w:val="24"/>
          <w:lang w:val="en-US" w:eastAsia="zh-CN"/>
        </w:rPr>
        <w:t>16698774668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rPr>
      </w:pPr>
      <w:r>
        <w:rPr>
          <w:rFonts w:hint="eastAsia" w:ascii="宋体" w:hAnsi="宋体" w:eastAsia="宋体" w:cs="宋体"/>
          <w:b w:val="0"/>
          <w:i w:val="0"/>
          <w:caps w:val="0"/>
          <w:spacing w:val="0"/>
          <w:w w:val="100"/>
          <w:sz w:val="24"/>
          <w:szCs w:val="24"/>
        </w:rPr>
        <w:t>3.项目联系方式</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项目联系人：</w:t>
      </w:r>
      <w:r>
        <w:rPr>
          <w:rFonts w:hint="eastAsia" w:ascii="宋体" w:hAnsi="宋体" w:eastAsia="宋体" w:cs="宋体"/>
          <w:b w:val="0"/>
          <w:i w:val="0"/>
          <w:caps w:val="0"/>
          <w:spacing w:val="0"/>
          <w:w w:val="100"/>
          <w:sz w:val="24"/>
          <w:szCs w:val="24"/>
          <w:lang w:val="en-US" w:eastAsia="zh-CN"/>
        </w:rPr>
        <w:t>陈聪</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eastAsia" w:ascii="宋体" w:hAnsi="宋体" w:eastAsia="宋体" w:cs="宋体"/>
          <w:b w:val="0"/>
          <w:i w:val="0"/>
          <w:caps w:val="0"/>
          <w:spacing w:val="0"/>
          <w:w w:val="100"/>
          <w:sz w:val="24"/>
          <w:szCs w:val="24"/>
          <w:lang w:val="en-US" w:eastAsia="zh-CN"/>
        </w:rPr>
      </w:pPr>
      <w:r>
        <w:rPr>
          <w:rFonts w:hint="eastAsia" w:ascii="宋体" w:hAnsi="宋体" w:eastAsia="宋体" w:cs="宋体"/>
          <w:b w:val="0"/>
          <w:i w:val="0"/>
          <w:caps w:val="0"/>
          <w:spacing w:val="0"/>
          <w:w w:val="100"/>
          <w:sz w:val="24"/>
          <w:szCs w:val="24"/>
        </w:rPr>
        <w:t>电 话：</w:t>
      </w:r>
      <w:r>
        <w:rPr>
          <w:rFonts w:hint="eastAsia" w:ascii="宋体" w:hAnsi="宋体" w:eastAsia="宋体" w:cs="宋体"/>
          <w:b w:val="0"/>
          <w:i w:val="0"/>
          <w:caps w:val="0"/>
          <w:spacing w:val="0"/>
          <w:w w:val="100"/>
          <w:sz w:val="24"/>
          <w:szCs w:val="24"/>
          <w:lang w:val="en-US" w:eastAsia="zh-CN"/>
        </w:rPr>
        <w:t>16698774668</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rPr>
      </w:pPr>
      <w:r>
        <w:rPr>
          <w:rFonts w:hint="eastAsia" w:ascii="宋体" w:hAnsi="宋体" w:eastAsia="宋体" w:cs="宋体"/>
          <w:b w:val="0"/>
          <w:i w:val="0"/>
          <w:caps w:val="0"/>
          <w:spacing w:val="0"/>
          <w:w w:val="100"/>
          <w:sz w:val="24"/>
          <w:szCs w:val="24"/>
          <w:lang w:val="en-US" w:eastAsia="zh-CN"/>
        </w:rPr>
        <w:t>4</w:t>
      </w:r>
      <w:r>
        <w:rPr>
          <w:rFonts w:hint="default" w:ascii="宋体" w:hAnsi="宋体" w:eastAsia="宋体" w:cs="宋体"/>
          <w:b w:val="0"/>
          <w:i w:val="0"/>
          <w:caps w:val="0"/>
          <w:spacing w:val="0"/>
          <w:w w:val="100"/>
          <w:sz w:val="24"/>
          <w:szCs w:val="24"/>
          <w:lang w:val="en-US" w:eastAsia="zh-CN"/>
        </w:rPr>
        <w:t>、</w:t>
      </w:r>
      <w:r>
        <w:rPr>
          <w:rFonts w:hint="default" w:ascii="宋体" w:hAnsi="宋体" w:eastAsia="宋体" w:cs="宋体"/>
          <w:b w:val="0"/>
          <w:i w:val="0"/>
          <w:caps w:val="0"/>
          <w:spacing w:val="0"/>
          <w:w w:val="100"/>
          <w:sz w:val="24"/>
          <w:szCs w:val="24"/>
          <w:lang w:val="en-US"/>
        </w:rPr>
        <w:t xml:space="preserve">监督管理部门：莎车县财政局采购办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240" w:lineRule="auto"/>
        <w:ind w:firstLine="480" w:firstLineChars="200"/>
        <w:jc w:val="both"/>
        <w:textAlignment w:val="baseline"/>
        <w:rPr>
          <w:rFonts w:hint="default" w:ascii="宋体" w:hAnsi="宋体" w:eastAsia="宋体" w:cs="宋体"/>
          <w:b w:val="0"/>
          <w:i w:val="0"/>
          <w:caps w:val="0"/>
          <w:spacing w:val="0"/>
          <w:w w:val="100"/>
          <w:sz w:val="24"/>
          <w:szCs w:val="24"/>
          <w:lang w:val="en-US"/>
        </w:rPr>
      </w:pPr>
      <w:r>
        <w:rPr>
          <w:rFonts w:hint="default" w:ascii="宋体" w:hAnsi="宋体" w:eastAsia="宋体" w:cs="宋体"/>
          <w:b w:val="0"/>
          <w:i w:val="0"/>
          <w:caps w:val="0"/>
          <w:spacing w:val="0"/>
          <w:w w:val="100"/>
          <w:sz w:val="24"/>
          <w:szCs w:val="24"/>
          <w:lang w:val="en-US"/>
        </w:rPr>
        <w:t xml:space="preserve">联系人：丁洪                  </w:t>
      </w: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baseline"/>
        <w:rPr>
          <w:rFonts w:hint="default" w:ascii="宋体" w:hAnsi="宋体" w:eastAsia="宋体" w:cs="宋体"/>
          <w:b w:val="0"/>
          <w:i w:val="0"/>
          <w:caps w:val="0"/>
          <w:spacing w:val="0"/>
          <w:w w:val="100"/>
          <w:sz w:val="24"/>
          <w:szCs w:val="24"/>
          <w:lang w:val="en-US" w:eastAsia="zh-CN"/>
        </w:rPr>
      </w:pPr>
      <w:r>
        <w:rPr>
          <w:rFonts w:hint="default" w:ascii="宋体" w:hAnsi="宋体" w:eastAsia="宋体" w:cs="宋体"/>
          <w:b w:val="0"/>
          <w:i w:val="0"/>
          <w:caps w:val="0"/>
          <w:spacing w:val="0"/>
          <w:w w:val="100"/>
          <w:sz w:val="24"/>
          <w:szCs w:val="24"/>
          <w:lang w:val="en-US"/>
        </w:rPr>
        <w:t>监督投诉电话：0998-8512578</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24"/>
          <w:szCs w:val="24"/>
          <w:highlight w:val="none"/>
          <w:u w:val="none"/>
          <w:lang w:val="en-US" w:eastAsia="zh-CN"/>
        </w:rPr>
      </w:pPr>
    </w:p>
    <w:p>
      <w:pPr>
        <w:pStyle w:val="3"/>
        <w:tabs>
          <w:tab w:val="left" w:pos="0"/>
        </w:tabs>
        <w:spacing w:before="0" w:after="0" w:line="240" w:lineRule="atLeast"/>
        <w:rPr>
          <w:rFonts w:hint="eastAsia" w:ascii="宋体" w:hAnsi="宋体" w:eastAsia="宋体" w:cs="宋体"/>
          <w:sz w:val="22"/>
          <w:szCs w:val="28"/>
          <w:highlight w:val="none"/>
        </w:rPr>
      </w:pPr>
      <w:bookmarkStart w:id="525" w:name="_Toc25269"/>
      <w:bookmarkStart w:id="526" w:name="_Toc12716"/>
      <w:r>
        <w:rPr>
          <w:rFonts w:hint="eastAsia" w:ascii="宋体" w:hAnsi="宋体" w:eastAsia="宋体" w:cs="宋体"/>
          <w:highlight w:val="none"/>
          <w:lang w:eastAsia="zh-CN"/>
        </w:rPr>
        <w:t>第四章</w:t>
      </w:r>
      <w:r>
        <w:rPr>
          <w:rFonts w:hint="eastAsia" w:ascii="宋体" w:hAnsi="宋体" w:eastAsia="宋体" w:cs="宋体"/>
          <w:highlight w:val="none"/>
          <w:lang w:val="en-US" w:eastAsia="zh-CN"/>
        </w:rPr>
        <w:t xml:space="preserve"> </w:t>
      </w:r>
      <w:r>
        <w:rPr>
          <w:rFonts w:hint="eastAsia" w:ascii="宋体" w:hAnsi="宋体" w:eastAsia="宋体" w:cs="宋体"/>
          <w:highlight w:val="none"/>
        </w:rPr>
        <w:t>供应商须知资料表</w:t>
      </w:r>
      <w:bookmarkEnd w:id="525"/>
      <w:bookmarkEnd w:id="5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本表是本谈判项目的具体资料，是对供应商须知的具体补充和修改，如有矛盾，应以本资料表为准。</w:t>
      </w:r>
    </w:p>
    <w:tbl>
      <w:tblPr>
        <w:tblStyle w:val="24"/>
        <w:tblpPr w:leftFromText="180" w:rightFromText="180" w:vertAnchor="text" w:horzAnchor="page" w:tblpX="1190" w:tblpY="351"/>
        <w:tblOverlap w:val="never"/>
        <w:tblW w:w="889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86"/>
        <w:gridCol w:w="76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条款号</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16"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采购人名称：</w:t>
            </w:r>
            <w:r>
              <w:rPr>
                <w:rFonts w:hint="eastAsia" w:ascii="宋体" w:hAnsi="宋体" w:eastAsia="宋体" w:cs="宋体"/>
                <w:b w:val="0"/>
                <w:i w:val="0"/>
                <w:caps w:val="0"/>
                <w:spacing w:val="0"/>
                <w:w w:val="100"/>
                <w:sz w:val="24"/>
                <w:szCs w:val="24"/>
                <w:lang w:eastAsia="zh-CN"/>
              </w:rPr>
              <w:t>莎车县农业农村局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地  　址：</w:t>
            </w:r>
            <w:r>
              <w:rPr>
                <w:rFonts w:hint="eastAsia" w:ascii="宋体" w:hAnsi="宋体" w:eastAsia="宋体" w:cs="宋体"/>
                <w:b w:val="0"/>
                <w:i w:val="0"/>
                <w:caps w:val="0"/>
                <w:spacing w:val="0"/>
                <w:w w:val="100"/>
                <w:sz w:val="24"/>
                <w:szCs w:val="24"/>
                <w:lang w:val="en-US" w:eastAsia="zh-CN"/>
              </w:rPr>
              <w:t>莎车县智慧路32号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联 系 人：蒋政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val="en-US" w:eastAsia="zh-CN"/>
              </w:rPr>
              <w:t>联系方式：</w:t>
            </w:r>
            <w:r>
              <w:rPr>
                <w:rFonts w:hint="eastAsia" w:ascii="宋体" w:hAnsi="宋体" w:eastAsia="宋体" w:cs="宋体"/>
                <w:b w:val="0"/>
                <w:i w:val="0"/>
                <w:caps w:val="0"/>
                <w:spacing w:val="0"/>
                <w:w w:val="100"/>
                <w:sz w:val="24"/>
                <w:szCs w:val="24"/>
                <w:lang w:eastAsia="zh-CN"/>
              </w:rPr>
              <w:t>13779490388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06"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1080" w:leftChars="257" w:hanging="54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采购代理机构：新疆方元晖工程项目管理有限公司             </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地址：</w:t>
            </w:r>
            <w:r>
              <w:rPr>
                <w:rFonts w:hint="eastAsia" w:ascii="宋体" w:hAnsi="宋体" w:eastAsia="宋体" w:cs="宋体"/>
                <w:b w:val="0"/>
                <w:i w:val="0"/>
                <w:caps w:val="0"/>
                <w:spacing w:val="0"/>
                <w:w w:val="100"/>
                <w:sz w:val="24"/>
                <w:szCs w:val="24"/>
                <w:lang w:eastAsia="zh-CN"/>
              </w:rPr>
              <w:t>新疆喀什地区喀什市西域大道街道西环路社区33号徽商大厦A栋9层903.904室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val="en-US" w:eastAsia="zh-CN"/>
              </w:rPr>
              <w:t>陈聪</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16698774668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1.3.4</w:t>
            </w:r>
          </w:p>
        </w:tc>
        <w:tc>
          <w:tcPr>
            <w:tcW w:w="76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合格供应商资格要求：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符合《中华人民共和国政府采购法》第二十二条的规定： </w:t>
            </w:r>
          </w:p>
          <w:p>
            <w:pPr>
              <w:pageBreakBefore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auto"/>
                <w:kern w:val="2"/>
                <w:sz w:val="24"/>
                <w:szCs w:val="24"/>
                <w:highlight w:val="none"/>
                <w:u w:val="none"/>
                <w:lang w:val="en-US" w:eastAsia="zh-CN" w:bidi="ar-SA"/>
              </w:rPr>
            </w:pPr>
            <w:r>
              <w:rPr>
                <w:rFonts w:hint="eastAsia" w:ascii="宋体" w:hAnsi="宋体" w:eastAsia="宋体" w:cs="宋体"/>
                <w:b w:val="0"/>
                <w:bCs w:val="0"/>
                <w:i w:val="0"/>
                <w:iCs w:val="0"/>
                <w:color w:val="auto"/>
                <w:kern w:val="2"/>
                <w:sz w:val="24"/>
                <w:szCs w:val="24"/>
                <w:highlight w:val="none"/>
                <w:u w:val="none"/>
                <w:lang w:val="en-US" w:eastAsia="zh-CN" w:bidi="ar-SA"/>
              </w:rPr>
              <w:t>1.具有独立法人资格（三证合一的营业执照）；</w:t>
            </w:r>
          </w:p>
          <w:p>
            <w:pPr>
              <w:pageBreakBefore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的农药包装废弃物回收处理承诺书扫描件。</w:t>
            </w:r>
          </w:p>
          <w:p>
            <w:pPr>
              <w:pageBreakBefore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3.法人本人投标需提供法人身份证及法定代表人资格证明书；授权委托人投标需提供法人授权委托书、法人身份证复印件及被授权委托人身份证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 xml:space="preserve"> </w:t>
            </w:r>
          </w:p>
          <w:p>
            <w:pPr>
              <w:pageBreakBefore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color w:val="auto"/>
                <w:sz w:val="24"/>
                <w:szCs w:val="24"/>
                <w:highlight w:val="none"/>
                <w:lang w:val="en-US" w:eastAsia="zh-CN"/>
              </w:rPr>
              <w:t>4.提供近两年内任意一年的（2022年或2023年）财务审计报告（新成立未满一年的公司可提供近六个月内任意一个月的银行资信证明）</w:t>
            </w:r>
            <w:r>
              <w:rPr>
                <w:rFonts w:hint="eastAsia" w:ascii="宋体" w:hAnsi="宋体" w:eastAsia="宋体" w:cs="宋体"/>
                <w:b w:val="0"/>
                <w:bCs w:val="0"/>
                <w:color w:val="auto"/>
                <w:sz w:val="24"/>
                <w:szCs w:val="24"/>
                <w:highlight w:val="none"/>
              </w:rPr>
              <w:t>；</w:t>
            </w:r>
          </w:p>
          <w:p>
            <w:pPr>
              <w:pageBreakBefore w:val="0"/>
              <w:numPr>
                <w:ilvl w:val="0"/>
                <w:numId w:val="0"/>
              </w:numPr>
              <w:kinsoku/>
              <w:wordWrap/>
              <w:overflowPunct/>
              <w:topLinePunct w:val="0"/>
              <w:bidi w:val="0"/>
              <w:spacing w:line="360" w:lineRule="exact"/>
              <w:ind w:firstLine="480" w:firstLineChars="200"/>
              <w:textAlignment w:val="auto"/>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5.根据《财政部关于在政府采购活动中查询及使用信用记录有关问题的通知》（财库﹝2016﹞125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6.本单位缴纳的近六个月任意一个月的社保缴纳证明及具有税务局开具依法缴纳近六个月任意一个月的完税证明。</w:t>
            </w:r>
          </w:p>
          <w:p>
            <w:pPr>
              <w:keepNext w:val="0"/>
              <w:keepLines w:val="0"/>
              <w:pageBreakBefore w:val="0"/>
              <w:widowControl w:val="0"/>
              <w:numPr>
                <w:ilvl w:val="0"/>
                <w:numId w:val="0"/>
              </w:numPr>
              <w:kinsoku/>
              <w:wordWrap/>
              <w:overflowPunct/>
              <w:topLinePunct w:val="0"/>
              <w:bidi w:val="0"/>
              <w:snapToGrid/>
              <w:spacing w:line="240" w:lineRule="auto"/>
              <w:ind w:firstLine="480" w:firstLine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7.参加政府采购活动前3年内在经营活动中没有重大违法记录的书面声明；</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8.投标单位（供应商）针对本次项目《反商业承诺书》;</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9.谈判保证金的有效凭证</w:t>
            </w:r>
          </w:p>
          <w:p>
            <w:pPr>
              <w:keepNext w:val="0"/>
              <w:keepLines w:val="0"/>
              <w:pageBreakBefore w:val="0"/>
              <w:widowControl w:val="0"/>
              <w:numPr>
                <w:ilvl w:val="0"/>
                <w:numId w:val="0"/>
              </w:numPr>
              <w:kinsoku/>
              <w:wordWrap/>
              <w:overflowPunct/>
              <w:topLinePunct w:val="0"/>
              <w:bidi w:val="0"/>
              <w:snapToGrid/>
              <w:spacing w:line="240" w:lineRule="auto"/>
              <w:ind w:leftChars="200"/>
              <w:textAlignment w:val="auto"/>
              <w:rPr>
                <w:rFonts w:hint="default"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val="en-US" w:eastAsia="zh-CN"/>
              </w:rPr>
              <w:t>10.本项目不接受联合体投标。</w:t>
            </w:r>
          </w:p>
          <w:p>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i w:val="0"/>
                <w:iCs w:val="0"/>
                <w:color w:val="auto"/>
                <w:sz w:val="24"/>
                <w:szCs w:val="24"/>
                <w:highlight w:val="none"/>
                <w:lang w:val="en-US" w:eastAsia="zh-CN"/>
              </w:rPr>
              <w:t>注：(1)近六个月任意一个月是指2023年10月-2024年3月任意一个月;(2)完税证明若为零申报企业，需提供国家税务总局电子税务局“申报结果查询截图”，税务局代收的社保缴费证明不可作为本项目的完税证明（“税种”不可为养老保险、医疗保险、失业保险、工伤保险和生育保险）</w:t>
            </w:r>
            <w:r>
              <w:rPr>
                <w:rFonts w:hint="eastAsia" w:ascii="宋体" w:hAnsi="宋体" w:eastAsia="宋体" w:cs="宋体"/>
                <w:b w:val="0"/>
                <w:bCs w:val="0"/>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93" w:hRule="atLeast"/>
        </w:trPr>
        <w:tc>
          <w:tcPr>
            <w:tcW w:w="1286"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1.3.6</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i w:val="0"/>
                <w:iCs w:val="0"/>
                <w:color w:val="auto"/>
                <w:sz w:val="24"/>
                <w:szCs w:val="24"/>
                <w:u w:val="single"/>
              </w:rPr>
            </w:pPr>
            <w:r>
              <w:rPr>
                <w:rFonts w:hint="eastAsia" w:ascii="宋体" w:hAnsi="宋体" w:eastAsia="宋体" w:cs="宋体"/>
                <w:b w:val="0"/>
                <w:bCs/>
                <w:i w:val="0"/>
                <w:iCs w:val="0"/>
                <w:color w:val="auto"/>
                <w:sz w:val="24"/>
                <w:szCs w:val="24"/>
              </w:rPr>
              <w:t>是否为专门面向中小企业采购：</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single"/>
                <w:lang w:val="en-US" w:eastAsia="zh-CN"/>
              </w:rPr>
              <w:t>是</w:t>
            </w:r>
            <w:r>
              <w:rPr>
                <w:rFonts w:hint="eastAsia" w:ascii="宋体" w:hAnsi="宋体" w:eastAsia="宋体" w:cs="宋体"/>
                <w:b w:val="0"/>
                <w:bCs/>
                <w:i w:val="0"/>
                <w:iCs w:val="0"/>
                <w:color w:val="auto"/>
                <w:sz w:val="24"/>
                <w:szCs w:val="24"/>
                <w:u w:val="single"/>
              </w:rPr>
              <w:t xml:space="preserve">  </w:t>
            </w:r>
            <w:r>
              <w:rPr>
                <w:rFonts w:hint="eastAsia" w:ascii="宋体" w:hAnsi="宋体" w:eastAsia="宋体" w:cs="宋体"/>
                <w:b w:val="0"/>
                <w:bCs/>
                <w:i w:val="0"/>
                <w:iCs w:val="0"/>
                <w:color w:val="auto"/>
                <w:sz w:val="24"/>
                <w:szCs w:val="24"/>
                <w:u w:val="none"/>
              </w:rPr>
              <w:t>（是、否）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i w:val="0"/>
                <w:iCs w:val="0"/>
                <w:color w:val="auto"/>
                <w:sz w:val="24"/>
                <w:szCs w:val="24"/>
              </w:rPr>
            </w:pPr>
            <w:r>
              <w:rPr>
                <w:rFonts w:hint="eastAsia" w:ascii="宋体" w:hAnsi="宋体" w:eastAsia="宋体" w:cs="宋体"/>
                <w:b w:val="0"/>
                <w:bCs/>
                <w:i w:val="0"/>
                <w:iCs w:val="0"/>
                <w:color w:val="auto"/>
                <w:sz w:val="24"/>
                <w:szCs w:val="24"/>
              </w:rPr>
              <w:t>潜在投标企业属于中小微企业的，请在投标文件中提供“中小企业声明函”，如果未提供或提供虚假的“中小微企业声明函”，投标企业将承担由此造成的一切不利于后果。</w:t>
            </w:r>
          </w:p>
          <w:p>
            <w:pPr>
              <w:pStyle w:val="5"/>
              <w:spacing w:line="240" w:lineRule="auto"/>
              <w:rPr>
                <w:rFonts w:hint="eastAsia"/>
                <w:lang w:eastAsia="zh-CN"/>
              </w:rPr>
            </w:pPr>
            <w:r>
              <w:rPr>
                <w:rFonts w:hint="eastAsia" w:ascii="宋体" w:hAnsi="宋体" w:eastAsia="宋体" w:cs="宋体"/>
                <w:b/>
                <w:bCs/>
                <w:color w:val="FF0000"/>
                <w:sz w:val="24"/>
                <w:u w:val="none"/>
                <w:lang w:val="en-US" w:eastAsia="zh-CN"/>
              </w:rPr>
              <w:t>本项目所属行业：工业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1286" w:type="dxa"/>
            <w:noWrap w:val="0"/>
            <w:vAlign w:val="center"/>
          </w:tcPr>
          <w:p>
            <w:pPr>
              <w:pageBreakBefore w:val="0"/>
              <w:kinsoku/>
              <w:wordWrap/>
              <w:overflowPunct/>
              <w:topLinePunct w:val="0"/>
              <w:bidi w:val="0"/>
              <w:spacing w:line="500" w:lineRule="exact"/>
              <w:jc w:val="center"/>
              <w:textAlignment w:val="auto"/>
              <w:rPr>
                <w:rFonts w:hint="eastAsia" w:ascii="宋体" w:hAnsi="宋体" w:eastAsia="宋体" w:cs="宋体"/>
                <w:sz w:val="24"/>
                <w:szCs w:val="24"/>
                <w:highlight w:val="none"/>
              </w:rPr>
            </w:pPr>
            <w:r>
              <w:rPr>
                <w:rFonts w:hint="eastAsia" w:ascii="宋体" w:hAnsi="宋体" w:eastAsia="宋体" w:cs="宋体"/>
                <w:b w:val="0"/>
                <w:bCs/>
                <w:color w:val="auto"/>
                <w:sz w:val="24"/>
                <w:szCs w:val="24"/>
              </w:rPr>
              <w:t>1.4</w:t>
            </w:r>
          </w:p>
        </w:tc>
        <w:tc>
          <w:tcPr>
            <w:tcW w:w="7610" w:type="dxa"/>
            <w:noWrap w:val="0"/>
            <w:vAlign w:val="center"/>
          </w:tcPr>
          <w:p>
            <w:pPr>
              <w:keepNext w:val="0"/>
              <w:keepLines w:val="0"/>
              <w:pageBreakBefore w:val="0"/>
              <w:kinsoku/>
              <w:wordWrap/>
              <w:overflowPunct/>
              <w:topLinePunct w:val="0"/>
              <w:autoSpaceDE/>
              <w:autoSpaceDN/>
              <w:bidi w:val="0"/>
              <w:adjustRightInd/>
              <w:spacing w:line="340" w:lineRule="exact"/>
              <w:jc w:val="both"/>
              <w:textAlignment w:val="auto"/>
              <w:rPr>
                <w:rFonts w:hint="eastAsia" w:ascii="宋体" w:hAnsi="宋体" w:eastAsia="宋体" w:cs="宋体"/>
                <w:b/>
                <w:bCs/>
                <w:i w:val="0"/>
                <w:iCs w:val="0"/>
                <w:sz w:val="24"/>
                <w:szCs w:val="24"/>
                <w:highlight w:val="none"/>
                <w:lang w:eastAsia="zh-CN"/>
              </w:rPr>
            </w:pPr>
            <w:r>
              <w:rPr>
                <w:rFonts w:hint="eastAsia" w:ascii="宋体" w:hAnsi="宋体" w:eastAsia="宋体" w:cs="宋体"/>
                <w:b w:val="0"/>
                <w:bCs/>
                <w:i w:val="0"/>
                <w:iCs w:val="0"/>
                <w:color w:val="auto"/>
                <w:sz w:val="24"/>
                <w:szCs w:val="24"/>
              </w:rPr>
              <w:t>是否允许联合体参加谈判的：</w:t>
            </w:r>
            <w:r>
              <w:rPr>
                <w:rFonts w:hint="eastAsia" w:ascii="宋体" w:hAnsi="宋体" w:eastAsia="宋体" w:cs="宋体"/>
                <w:b w:val="0"/>
                <w:bCs/>
                <w:i w:val="0"/>
                <w:iCs w:val="0"/>
                <w:color w:val="auto"/>
                <w:sz w:val="24"/>
                <w:szCs w:val="24"/>
                <w:u w:val="single"/>
              </w:rPr>
              <w:t xml:space="preserve">  否  </w:t>
            </w:r>
            <w:r>
              <w:rPr>
                <w:rFonts w:hint="eastAsia" w:ascii="宋体" w:hAnsi="宋体" w:eastAsia="宋体" w:cs="宋体"/>
                <w:b w:val="0"/>
                <w:bCs/>
                <w:i w:val="0"/>
                <w:iCs w:val="0"/>
                <w:color w:val="auto"/>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5" w:hRule="atLeast"/>
        </w:trPr>
        <w:tc>
          <w:tcPr>
            <w:tcW w:w="1286" w:type="dxa"/>
            <w:noWrap w:val="0"/>
            <w:vAlign w:val="center"/>
          </w:tcPr>
          <w:p>
            <w:pPr>
              <w:spacing w:line="240" w:lineRule="atLeast"/>
              <w:ind w:firstLine="480" w:firstLineChars="200"/>
              <w:jc w:val="both"/>
              <w:rPr>
                <w:rFonts w:hint="eastAsia" w:ascii="宋体" w:hAnsi="宋体" w:eastAsia="宋体" w:cs="宋体"/>
                <w:b w:val="0"/>
                <w:bCs/>
                <w:color w:val="auto"/>
                <w:sz w:val="24"/>
                <w:szCs w:val="24"/>
              </w:rPr>
            </w:pPr>
            <w:r>
              <w:rPr>
                <w:rFonts w:hint="eastAsia" w:ascii="宋体" w:hAnsi="宋体" w:cs="宋体"/>
                <w:sz w:val="24"/>
              </w:rPr>
              <w:t>1.4.8</w:t>
            </w:r>
          </w:p>
        </w:tc>
        <w:tc>
          <w:tcPr>
            <w:tcW w:w="7610" w:type="dxa"/>
            <w:noWrap w:val="0"/>
            <w:vAlign w:val="center"/>
          </w:tcPr>
          <w:p>
            <w:pPr>
              <w:spacing w:line="240" w:lineRule="atLeast"/>
              <w:jc w:val="left"/>
              <w:rPr>
                <w:rFonts w:hint="eastAsia" w:ascii="宋体" w:hAnsi="宋体" w:eastAsia="宋体" w:cs="宋体"/>
                <w:b w:val="0"/>
                <w:bCs/>
                <w:i w:val="0"/>
                <w:iCs w:val="0"/>
                <w:color w:val="auto"/>
                <w:sz w:val="24"/>
                <w:szCs w:val="24"/>
              </w:rPr>
            </w:pPr>
            <w:r>
              <w:rPr>
                <w:rFonts w:hint="eastAsia" w:ascii="宋体" w:hAnsi="宋体" w:cs="宋体"/>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286" w:type="dxa"/>
            <w:noWrap w:val="0"/>
            <w:vAlign w:val="center"/>
          </w:tcPr>
          <w:p>
            <w:pPr>
              <w:spacing w:line="240" w:lineRule="atLeast"/>
              <w:jc w:val="center"/>
              <w:rPr>
                <w:rFonts w:hint="eastAsia" w:ascii="宋体" w:hAnsi="宋体" w:cs="宋体"/>
                <w:sz w:val="24"/>
              </w:rPr>
            </w:pPr>
            <w:r>
              <w:rPr>
                <w:rFonts w:hint="eastAsia" w:ascii="宋体" w:hAnsi="宋体" w:cs="宋体"/>
                <w:sz w:val="24"/>
              </w:rPr>
              <w:t>2.2</w:t>
            </w:r>
          </w:p>
        </w:tc>
        <w:tc>
          <w:tcPr>
            <w:tcW w:w="7610" w:type="dxa"/>
            <w:noWrap w:val="0"/>
            <w:vAlign w:val="center"/>
          </w:tcPr>
          <w:p>
            <w:pPr>
              <w:widowControl/>
              <w:spacing w:line="440" w:lineRule="exact"/>
              <w:jc w:val="left"/>
              <w:rPr>
                <w:rFonts w:hint="eastAsia" w:ascii="宋体" w:hAnsi="宋体" w:cs="宋体" w:eastAsiaTheme="minorEastAsia"/>
                <w:sz w:val="24"/>
                <w:lang w:eastAsia="zh-CN"/>
              </w:rPr>
            </w:pPr>
            <w:r>
              <w:rPr>
                <w:rFonts w:hint="eastAsia" w:ascii="宋体" w:hAnsi="宋体" w:cs="宋体"/>
                <w:color w:val="0000FF"/>
                <w:sz w:val="24"/>
                <w:lang w:val="en-US" w:eastAsia="zh-CN"/>
              </w:rPr>
              <w:t>预算金额</w:t>
            </w:r>
            <w:r>
              <w:rPr>
                <w:rFonts w:hint="eastAsia" w:ascii="宋体" w:hAnsi="宋体" w:cs="宋体"/>
                <w:color w:val="0000FF"/>
                <w:sz w:val="24"/>
              </w:rPr>
              <w:t>：</w:t>
            </w:r>
            <w:r>
              <w:rPr>
                <w:rFonts w:hint="eastAsia" w:ascii="宋体" w:hAnsi="宋体" w:cs="宋体"/>
                <w:color w:val="0000FF"/>
                <w:sz w:val="24"/>
                <w:lang w:val="en-US" w:eastAsia="zh-CN"/>
              </w:rPr>
              <w:t>250000</w:t>
            </w:r>
            <w:r>
              <w:rPr>
                <w:rFonts w:hint="eastAsia" w:ascii="宋体" w:hAnsi="宋体" w:cs="宋体"/>
                <w:color w:val="0000FF"/>
                <w:sz w:val="24"/>
              </w:rPr>
              <w:t>元</w:t>
            </w:r>
            <w:r>
              <w:rPr>
                <w:rFonts w:hint="eastAsia" w:ascii="宋体" w:hAnsi="宋体" w:cs="宋体"/>
                <w:color w:val="0000FF"/>
                <w:sz w:val="24"/>
                <w:lang w:eastAsia="zh-CN"/>
              </w:rPr>
              <w:t>（</w:t>
            </w:r>
            <w:r>
              <w:rPr>
                <w:rFonts w:hint="eastAsia" w:ascii="宋体" w:hAnsi="宋体" w:cs="宋体"/>
                <w:color w:val="0000FF"/>
                <w:sz w:val="24"/>
                <w:lang w:val="en-US" w:eastAsia="zh-CN"/>
              </w:rPr>
              <w:t>本次招标项目预算金额固定，投标单位报货物数量，最终以参数原有的基础上所投货物数量最多的为第一中标候选人。</w:t>
            </w:r>
            <w:r>
              <w:rPr>
                <w:rFonts w:hint="eastAsia" w:ascii="宋体" w:hAnsi="宋体" w:cs="宋体"/>
                <w:color w:val="0000FF"/>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pPr>
              <w:spacing w:line="240" w:lineRule="atLeast"/>
              <w:ind w:left="1080" w:leftChars="257" w:hanging="540" w:firstLineChars="0"/>
              <w:jc w:val="both"/>
              <w:rPr>
                <w:rFonts w:hint="eastAsia" w:ascii="宋体" w:hAnsi="宋体" w:cs="宋体"/>
                <w:sz w:val="24"/>
              </w:rPr>
            </w:pPr>
            <w:r>
              <w:rPr>
                <w:rFonts w:hint="eastAsia" w:ascii="宋体" w:hAnsi="宋体" w:cs="宋体"/>
                <w:sz w:val="24"/>
              </w:rPr>
              <w:t>8.1</w:t>
            </w:r>
          </w:p>
        </w:tc>
        <w:tc>
          <w:tcPr>
            <w:tcW w:w="7610" w:type="dxa"/>
            <w:noWrap w:val="0"/>
            <w:vAlign w:val="center"/>
          </w:tcPr>
          <w:p>
            <w:pPr>
              <w:spacing w:line="240" w:lineRule="atLeast"/>
              <w:jc w:val="left"/>
              <w:rPr>
                <w:rFonts w:hint="default" w:ascii="宋体" w:hAnsi="宋体" w:cs="宋体" w:eastAsiaTheme="minorEastAsia"/>
                <w:sz w:val="24"/>
                <w:lang w:val="en-US" w:eastAsia="zh-CN"/>
              </w:rPr>
            </w:pPr>
            <w:r>
              <w:rPr>
                <w:rFonts w:hint="eastAsia" w:ascii="宋体" w:hAnsi="宋体" w:cs="宋体"/>
                <w:sz w:val="24"/>
                <w:lang w:val="en-US" w:eastAsia="zh-CN"/>
              </w:rPr>
              <w:t>供货期：20天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45" w:hRule="atLeast"/>
        </w:trPr>
        <w:tc>
          <w:tcPr>
            <w:tcW w:w="1286" w:type="dxa"/>
            <w:noWrap w:val="0"/>
            <w:vAlign w:val="center"/>
          </w:tcPr>
          <w:p>
            <w:pPr>
              <w:spacing w:line="240" w:lineRule="atLeast"/>
              <w:jc w:val="center"/>
              <w:rPr>
                <w:rFonts w:hint="eastAsia" w:ascii="宋体" w:hAnsi="宋体" w:cs="宋体"/>
                <w:sz w:val="24"/>
              </w:rPr>
            </w:pPr>
            <w:r>
              <w:rPr>
                <w:rFonts w:hint="eastAsia" w:ascii="宋体" w:hAnsi="宋体" w:cs="宋体"/>
                <w:sz w:val="24"/>
              </w:rPr>
              <w:t>12.1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谈判</w:t>
            </w:r>
            <w:r>
              <w:rPr>
                <w:rFonts w:hint="eastAsia" w:ascii="宋体" w:hAnsi="宋体" w:cs="宋体"/>
                <w:sz w:val="24"/>
              </w:rPr>
              <w:t>保证金形式：☑保函 ☑电汇 ☑对公转账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lang w:val="en-US" w:eastAsia="zh-CN"/>
              </w:rPr>
              <w:t>谈判</w:t>
            </w:r>
            <w:r>
              <w:rPr>
                <w:rFonts w:hint="eastAsia" w:ascii="宋体" w:hAnsi="宋体" w:cs="宋体"/>
                <w:sz w:val="24"/>
              </w:rPr>
              <w:t>保证金金额：</w:t>
            </w:r>
            <w:r>
              <w:rPr>
                <w:rFonts w:hint="eastAsia" w:ascii="宋体" w:hAnsi="宋体" w:cs="宋体"/>
                <w:sz w:val="24"/>
                <w:lang w:val="en-US" w:eastAsia="zh-CN"/>
              </w:rPr>
              <w:t>5</w:t>
            </w:r>
            <w:r>
              <w:rPr>
                <w:rFonts w:hint="eastAsia" w:ascii="宋体" w:hAnsi="宋体" w:cs="宋体"/>
                <w:sz w:val="24"/>
              </w:rPr>
              <w:t>000 元（</w:t>
            </w:r>
            <w:r>
              <w:rPr>
                <w:rFonts w:hint="eastAsia" w:ascii="宋体" w:hAnsi="宋体" w:cs="宋体"/>
                <w:sz w:val="24"/>
                <w:lang w:val="en-US" w:eastAsia="zh-CN"/>
              </w:rPr>
              <w:t>伍仟元整</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保证金收款人：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账户名称：</w:t>
            </w:r>
            <w:r>
              <w:rPr>
                <w:rFonts w:hint="eastAsia" w:ascii="宋体" w:hAnsi="宋体" w:cs="宋体"/>
                <w:sz w:val="24"/>
                <w:lang w:eastAsia="zh-CN"/>
              </w:rPr>
              <w:t>新疆方元晖工程项目管理有限公司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color w:val="auto"/>
                <w:lang w:val="en-US" w:eastAsia="zh-CN"/>
              </w:rPr>
            </w:pPr>
            <w:r>
              <w:rPr>
                <w:rFonts w:hint="eastAsia" w:ascii="宋体" w:hAnsi="宋体" w:cs="宋体"/>
                <w:sz w:val="24"/>
              </w:rPr>
              <w:t>帐号：3012341409200115562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开户银行：中国工商银行股份有限公司喀什托克扎克路支行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4"/>
              </w:rPr>
            </w:pPr>
            <w:r>
              <w:rPr>
                <w:rFonts w:hint="eastAsia" w:ascii="宋体" w:hAnsi="宋体" w:cs="宋体"/>
                <w:sz w:val="24"/>
              </w:rPr>
              <w:t>（电汇时请在汇款备注栏注明项目名称及包号（如有），并注明是</w:t>
            </w:r>
            <w:r>
              <w:rPr>
                <w:rFonts w:hint="eastAsia" w:ascii="宋体" w:hAnsi="宋体" w:cs="宋体"/>
                <w:sz w:val="24"/>
                <w:lang w:val="en-US" w:eastAsia="zh-CN"/>
              </w:rPr>
              <w:t>谈判</w:t>
            </w:r>
            <w:r>
              <w:rPr>
                <w:rFonts w:hint="eastAsia" w:ascii="宋体" w:hAnsi="宋体" w:cs="宋体"/>
                <w:sz w:val="24"/>
              </w:rPr>
              <w:t>保证</w:t>
            </w:r>
            <w:r>
              <w:rPr>
                <w:rFonts w:hint="eastAsia" w:ascii="宋体" w:hAnsi="宋体" w:cs="宋体"/>
                <w:sz w:val="24"/>
                <w:lang w:val="en-US" w:eastAsia="zh-CN"/>
              </w:rPr>
              <w:t>金。</w:t>
            </w:r>
            <w:r>
              <w:rPr>
                <w:rFonts w:hint="eastAsia" w:ascii="宋体" w:hAnsi="宋体" w:cs="宋体"/>
                <w:sz w:val="24"/>
              </w:rPr>
              <w:t>）</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default" w:ascii="宋体" w:hAnsi="宋体" w:cs="宋体" w:eastAsiaTheme="minorEastAsia"/>
                <w:sz w:val="24"/>
                <w:lang w:val="en-US" w:eastAsia="zh-CN"/>
              </w:rPr>
            </w:pPr>
            <w:r>
              <w:rPr>
                <w:rFonts w:hint="eastAsia" w:ascii="宋体" w:hAnsi="宋体" w:cs="宋体"/>
                <w:sz w:val="24"/>
              </w:rPr>
              <w:t>注：</w:t>
            </w:r>
            <w:r>
              <w:rPr>
                <w:rFonts w:hint="default"/>
                <w:sz w:val="24"/>
                <w:szCs w:val="24"/>
                <w:lang w:val="en-US" w:eastAsia="zh-CN"/>
              </w:rPr>
              <w:t>投标保证金必须在提交投标文件截止时间前从投标供应商的基本账户一次性汇入指定账户中（以实际到账为准）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pPr>
              <w:spacing w:line="240" w:lineRule="atLeast"/>
              <w:jc w:val="center"/>
              <w:rPr>
                <w:rFonts w:hint="default" w:ascii="宋体" w:hAnsi="宋体" w:cs="宋体" w:eastAsiaTheme="minorEastAsia"/>
                <w:sz w:val="24"/>
                <w:lang w:val="en-US" w:eastAsia="zh-CN"/>
              </w:rPr>
            </w:pPr>
            <w:r>
              <w:rPr>
                <w:rFonts w:hint="eastAsia" w:ascii="宋体" w:hAnsi="宋体" w:eastAsia="宋体" w:cs="宋体"/>
                <w:sz w:val="24"/>
                <w:szCs w:val="24"/>
                <w:lang w:val="en-US" w:eastAsia="zh-CN"/>
              </w:rPr>
              <w:t xml:space="preserve"> 13.1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eastAsiaTheme="minorEastAsia"/>
                <w:sz w:val="24"/>
                <w:lang w:val="en-US" w:eastAsia="zh-CN"/>
              </w:rPr>
            </w:pPr>
            <w:r>
              <w:rPr>
                <w:rFonts w:hint="eastAsia" w:ascii="宋体" w:hAnsi="宋体" w:eastAsia="宋体" w:cs="宋体"/>
                <w:sz w:val="24"/>
                <w:szCs w:val="24"/>
                <w:lang w:val="en-US" w:eastAsia="zh-CN"/>
              </w:rPr>
              <w:t>谈判有效期：</w:t>
            </w:r>
            <w:r>
              <w:rPr>
                <w:rFonts w:hint="eastAsia" w:ascii="宋体" w:hAnsi="宋体" w:eastAsia="宋体" w:cs="宋体"/>
                <w:sz w:val="24"/>
                <w:szCs w:val="24"/>
                <w:u w:val="single"/>
                <w:lang w:val="en-US" w:eastAsia="zh-CN"/>
              </w:rPr>
              <w:t>60</w:t>
            </w:r>
            <w:r>
              <w:rPr>
                <w:rFonts w:hint="eastAsia" w:ascii="宋体" w:hAnsi="宋体" w:eastAsia="宋体" w:cs="宋体"/>
                <w:sz w:val="24"/>
                <w:szCs w:val="24"/>
                <w:lang w:val="en-US" w:eastAsia="zh-CN"/>
              </w:rPr>
              <w:t xml:space="preserve">天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cs="宋体"/>
                <w:bCs/>
                <w:color w:val="000000"/>
                <w:sz w:val="24"/>
              </w:rPr>
              <w:t>14.1</w:t>
            </w:r>
          </w:p>
        </w:tc>
        <w:tc>
          <w:tcPr>
            <w:tcW w:w="7610" w:type="dxa"/>
            <w:noWrap w:val="0"/>
            <w:vAlign w:val="center"/>
          </w:tcPr>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（2）本项目实行网上投标，采用电子投标文件(供应商须使用CA加密设备通过政采云电子投标客户端制作投标文件)。若供应商参与投标，自行承担投标一切费用。</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jc w:val="left"/>
              <w:rPr>
                <w:rFonts w:hint="eastAsia" w:ascii="宋体" w:hAnsi="宋体" w:eastAsia="宋体" w:cs="宋体"/>
                <w:b w:val="0"/>
                <w:bCs w:val="0"/>
              </w:rPr>
            </w:pPr>
            <w:r>
              <w:rPr>
                <w:rFonts w:hint="eastAsia" w:ascii="宋体" w:hAnsi="宋体" w:eastAsia="宋体" w:cs="宋体"/>
                <w:b w:val="0"/>
                <w:bCs w:val="0"/>
                <w:sz w:val="24"/>
              </w:rPr>
              <w:t>（5）供应商在开标时须使用制作加密电子投标文件所使用的CA锁及电脑，电脑须提前配置好浏览器（建议使用谷歌浏览器），以便开标时解锁。</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400" w:lineRule="exact"/>
              <w:jc w:val="left"/>
              <w:rPr>
                <w:rFonts w:hint="eastAsia" w:ascii="宋体" w:hAnsi="宋体" w:eastAsia="宋体" w:cs="宋体"/>
                <w:b w:val="0"/>
                <w:bCs w:val="0"/>
                <w:sz w:val="24"/>
              </w:rPr>
            </w:pPr>
            <w:r>
              <w:rPr>
                <w:rFonts w:hint="eastAsia" w:ascii="宋体" w:hAnsi="宋体" w:eastAsia="宋体" w:cs="宋体"/>
                <w:b w:val="0"/>
                <w:bCs w:val="0"/>
                <w:sz w:val="24"/>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rPr>
              <w:t>（9）各供应商在投标截止时间前将“投标文件”上传至政采云平台。投标文件包括“开标一览表表及资格证明文件”与“商务及技术文件”两部分合并成一册。投标文件应按照招标文件规定的格式填写、签署和盖章，并上传至政采云开评标平台</w:t>
            </w:r>
            <w:r>
              <w:rPr>
                <w:rFonts w:hint="eastAsia" w:ascii="宋体" w:hAnsi="宋体" w:eastAsia="宋体" w:cs="宋体"/>
                <w:iCs/>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16.1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递交响应文件截止时间：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03</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25</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12:00</w:t>
            </w:r>
            <w:r>
              <w:rPr>
                <w:rFonts w:hint="eastAsia" w:ascii="宋体" w:hAnsi="宋体" w:eastAsia="宋体" w:cs="宋体"/>
                <w:bCs/>
                <w:color w:val="000000"/>
                <w:sz w:val="24"/>
                <w:szCs w:val="24"/>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18.1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rPr>
            </w:pPr>
            <w:r>
              <w:rPr>
                <w:rFonts w:hint="eastAsia" w:ascii="宋体" w:hAnsi="宋体" w:eastAsia="宋体" w:cs="宋体"/>
                <w:bCs/>
                <w:color w:val="000000"/>
                <w:sz w:val="24"/>
                <w:szCs w:val="24"/>
              </w:rPr>
              <w:t>谈判报价开启时间</w:t>
            </w:r>
            <w:r>
              <w:rPr>
                <w:rFonts w:hint="eastAsia" w:ascii="宋体" w:hAnsi="宋体" w:eastAsia="宋体" w:cs="宋体"/>
                <w:bCs/>
                <w:color w:val="000000"/>
                <w:sz w:val="24"/>
                <w:szCs w:val="24"/>
                <w:lang w:eastAsia="zh-CN"/>
              </w:rPr>
              <w:t>：202</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年</w:t>
            </w:r>
            <w:r>
              <w:rPr>
                <w:rFonts w:hint="eastAsia" w:ascii="宋体" w:hAnsi="宋体" w:eastAsia="宋体" w:cs="宋体"/>
                <w:bCs/>
                <w:color w:val="000000"/>
                <w:sz w:val="24"/>
                <w:szCs w:val="24"/>
                <w:lang w:val="en-US" w:eastAsia="zh-CN"/>
              </w:rPr>
              <w:t>03</w:t>
            </w:r>
            <w:r>
              <w:rPr>
                <w:rFonts w:hint="eastAsia" w:ascii="宋体" w:hAnsi="宋体" w:eastAsia="宋体" w:cs="宋体"/>
                <w:bCs/>
                <w:color w:val="000000"/>
                <w:sz w:val="24"/>
                <w:szCs w:val="24"/>
                <w:lang w:eastAsia="zh-CN"/>
              </w:rPr>
              <w:t>月</w:t>
            </w:r>
            <w:r>
              <w:rPr>
                <w:rFonts w:hint="eastAsia" w:ascii="宋体" w:hAnsi="宋体" w:eastAsia="宋体" w:cs="宋体"/>
                <w:bCs/>
                <w:color w:val="000000"/>
                <w:sz w:val="24"/>
                <w:szCs w:val="24"/>
                <w:lang w:val="en-US" w:eastAsia="zh-CN"/>
              </w:rPr>
              <w:t>25</w:t>
            </w:r>
            <w:r>
              <w:rPr>
                <w:rFonts w:hint="eastAsia" w:ascii="宋体" w:hAnsi="宋体" w:eastAsia="宋体" w:cs="宋体"/>
                <w:bCs/>
                <w:color w:val="000000"/>
                <w:sz w:val="24"/>
                <w:szCs w:val="24"/>
                <w:lang w:eastAsia="zh-CN"/>
              </w:rPr>
              <w:t>日</w:t>
            </w:r>
            <w:r>
              <w:rPr>
                <w:rFonts w:hint="eastAsia" w:ascii="宋体" w:hAnsi="宋体" w:eastAsia="宋体" w:cs="宋体"/>
                <w:bCs/>
                <w:color w:val="000000"/>
                <w:sz w:val="24"/>
                <w:szCs w:val="24"/>
                <w:lang w:val="en-US" w:eastAsia="zh-CN"/>
              </w:rPr>
              <w:t>12:00</w:t>
            </w:r>
            <w:r>
              <w:rPr>
                <w:rFonts w:hint="eastAsia" w:ascii="宋体" w:hAnsi="宋体" w:eastAsia="宋体" w:cs="宋体"/>
                <w:bCs/>
                <w:color w:val="000000"/>
                <w:sz w:val="24"/>
                <w:szCs w:val="24"/>
              </w:rPr>
              <w:t>(北京时间)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iCs/>
                <w:color w:val="000000"/>
                <w:sz w:val="24"/>
                <w:szCs w:val="24"/>
                <w:lang w:val="en-US"/>
              </w:rPr>
            </w:pPr>
            <w:r>
              <w:rPr>
                <w:rFonts w:hint="eastAsia" w:ascii="宋体" w:hAnsi="宋体" w:eastAsia="宋体" w:cs="宋体"/>
                <w:bCs/>
                <w:color w:val="000000"/>
                <w:sz w:val="24"/>
                <w:szCs w:val="24"/>
              </w:rPr>
              <w:t>谈判报价开启地点：政采云平台（https://login.zcygov.cn/user-login/#/login）</w:t>
            </w:r>
            <w:r>
              <w:rPr>
                <w:rFonts w:hint="eastAsia" w:ascii="宋体" w:hAnsi="宋体" w:eastAsia="宋体" w:cs="宋体"/>
                <w:bCs/>
                <w:color w:val="000000"/>
                <w:sz w:val="24"/>
                <w:szCs w:val="24"/>
                <w:lang w:val="en-US" w:eastAsia="zh-CN"/>
              </w:rPr>
              <w:t xml:space="preserve">  </w:t>
            </w:r>
            <w:r>
              <w:rPr>
                <w:rFonts w:hint="eastAsia" w:ascii="宋体" w:hAnsi="宋体" w:eastAsia="宋体" w:cs="宋体"/>
                <w:color w:val="auto"/>
                <w:kern w:val="0"/>
                <w:sz w:val="24"/>
                <w:szCs w:val="24"/>
                <w:lang w:val="en-US" w:eastAsia="zh-CN"/>
              </w:rPr>
              <w:t xml:space="preserve"> </w:t>
            </w:r>
            <w:bookmarkStart w:id="695" w:name="_GoBack"/>
            <w:bookmarkEnd w:id="69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9"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23.2</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rPr>
              <w:t>评审方法：最低评标价法</w:t>
            </w:r>
            <w:r>
              <w:rPr>
                <w:rFonts w:hint="eastAsia" w:ascii="宋体" w:hAnsi="宋体" w:eastAsia="宋体" w:cs="宋体"/>
                <w:b w:val="0"/>
                <w:bCs/>
                <w:color w:val="000000"/>
                <w:sz w:val="24"/>
                <w:szCs w:val="24"/>
                <w:highlight w:val="none"/>
                <w:lang w:eastAsia="zh-CN"/>
              </w:rPr>
              <w:t>，</w:t>
            </w:r>
            <w:r>
              <w:rPr>
                <w:rFonts w:hint="eastAsia" w:ascii="宋体" w:hAnsi="宋体" w:eastAsia="宋体" w:cs="宋体"/>
                <w:b w:val="0"/>
                <w:bCs/>
                <w:color w:val="000000"/>
                <w:sz w:val="24"/>
                <w:szCs w:val="24"/>
                <w:highlight w:val="none"/>
              </w:rPr>
              <w:t>根据质量和服务均能满足采购文件实质性响应要求且报价最低的原则确定成交供应商</w:t>
            </w:r>
            <w:r>
              <w:rPr>
                <w:rFonts w:hint="eastAsia" w:ascii="宋体" w:hAnsi="宋体" w:eastAsia="宋体" w:cs="宋体"/>
                <w:b w:val="0"/>
                <w:bCs/>
                <w:color w:val="000000"/>
                <w:sz w:val="24"/>
                <w:szCs w:val="24"/>
                <w:highlight w:val="none"/>
                <w:lang w:eastAsia="zh-CN"/>
              </w:rPr>
              <w:t>。</w:t>
            </w:r>
          </w:p>
          <w:p>
            <w:pPr>
              <w:keepNext w:val="0"/>
              <w:keepLines w:val="0"/>
              <w:widowControl/>
              <w:suppressLineNumbers w:val="0"/>
              <w:jc w:val="left"/>
              <w:rPr>
                <w:rFonts w:ascii="??" w:hAnsi="??" w:eastAsia="??" w:cs="??"/>
                <w:color w:val="000000"/>
                <w:kern w:val="0"/>
                <w:sz w:val="24"/>
                <w:szCs w:val="24"/>
                <w:lang w:val="en-US" w:eastAsia="zh-CN" w:bidi="ar"/>
              </w:rPr>
            </w:pPr>
            <w:r>
              <w:rPr>
                <w:rFonts w:ascii="??" w:hAnsi="??" w:eastAsia="??" w:cs="??"/>
                <w:color w:val="000000"/>
                <w:kern w:val="0"/>
                <w:sz w:val="24"/>
                <w:szCs w:val="24"/>
                <w:lang w:val="en-US" w:eastAsia="zh-CN" w:bidi="ar"/>
              </w:rPr>
              <w:t>报价方式：第一轮不公开报价，第二轮公开报价。</w:t>
            </w:r>
          </w:p>
          <w:p>
            <w:pPr>
              <w:keepNext w:val="0"/>
              <w:keepLines w:val="0"/>
              <w:widowControl/>
              <w:suppressLineNumbers w:val="0"/>
              <w:jc w:val="left"/>
              <w:rPr>
                <w:rFonts w:hint="eastAsia" w:ascii="宋体" w:hAnsi="宋体" w:eastAsia="宋体" w:cs="宋体"/>
                <w:iCs/>
                <w:color w:val="000000"/>
                <w:sz w:val="24"/>
                <w:szCs w:val="24"/>
              </w:rPr>
            </w:pPr>
            <w:r>
              <w:rPr>
                <w:rFonts w:hint="eastAsia" w:ascii="宋体" w:hAnsi="宋体" w:cs="宋体"/>
                <w:color w:val="0000FF"/>
                <w:sz w:val="24"/>
                <w:lang w:val="en-US" w:eastAsia="zh-CN"/>
              </w:rPr>
              <w:t>本次招标项目预算金额固定，投标单位报货物数量，最终以参数原有的基础上所投货物数量最多的为第一中标候选人。</w:t>
            </w:r>
            <w:r>
              <w:rPr>
                <w:rFonts w:hint="eastAsia" w:ascii="宋体" w:hAnsi="宋体" w:eastAsia="宋体" w:cs="宋体"/>
                <w:b w:val="0"/>
                <w:bCs/>
                <w:color w:val="000000"/>
                <w:sz w:val="24"/>
                <w:szCs w:val="24"/>
                <w:highlight w:val="none"/>
              </w:rPr>
              <w:t>　</w:t>
            </w:r>
            <w:r>
              <w:rPr>
                <w:rFonts w:hint="eastAsia" w:ascii="宋体" w:hAnsi="宋体" w:eastAsia="宋体" w:cs="宋体"/>
                <w:bCs/>
                <w:color w:val="000000"/>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推荐成交候选供应商的数量：</w:t>
            </w:r>
            <w:r>
              <w:rPr>
                <w:rFonts w:hint="eastAsia" w:ascii="宋体" w:hAnsi="宋体" w:eastAsia="宋体" w:cs="宋体"/>
                <w:bCs/>
                <w:color w:val="000000"/>
                <w:sz w:val="24"/>
                <w:szCs w:val="24"/>
                <w:u w:val="single"/>
              </w:rPr>
              <w:t xml:space="preserve">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27</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Cs/>
                <w:color w:val="000000"/>
                <w:sz w:val="24"/>
                <w:szCs w:val="24"/>
              </w:rPr>
            </w:pPr>
            <w:r>
              <w:rPr>
                <w:rFonts w:hint="eastAsia" w:ascii="宋体" w:hAnsi="宋体" w:eastAsia="宋体" w:cs="宋体"/>
                <w:bCs/>
                <w:color w:val="000000"/>
                <w:sz w:val="24"/>
                <w:szCs w:val="24"/>
              </w:rPr>
              <w:t>采购人是否委托谈判小组直接确定成交供应商：</w:t>
            </w:r>
            <w:r>
              <w:rPr>
                <w:rFonts w:hint="eastAsia" w:ascii="宋体" w:hAnsi="宋体" w:eastAsia="宋体" w:cs="宋体"/>
                <w:bCs/>
                <w:color w:val="000000"/>
                <w:sz w:val="24"/>
                <w:szCs w:val="24"/>
                <w:u w:val="single"/>
                <w:lang w:val="en-US" w:eastAsia="zh-CN"/>
              </w:rPr>
              <w:t>是</w:t>
            </w:r>
            <w:r>
              <w:rPr>
                <w:rFonts w:hint="eastAsia" w:ascii="宋体" w:hAnsi="宋体" w:eastAsia="宋体" w:cs="宋体"/>
                <w:bCs/>
                <w:i w:val="0"/>
                <w:iCs/>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31.1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rPr>
              <w:t>履约保证金金额：</w:t>
            </w:r>
            <w:r>
              <w:rPr>
                <w:rFonts w:hint="eastAsia" w:ascii="宋体" w:hAnsi="宋体" w:eastAsia="宋体" w:cs="宋体"/>
                <w:bCs/>
                <w:color w:val="auto"/>
                <w:sz w:val="24"/>
                <w:szCs w:val="24"/>
                <w:highlight w:val="none"/>
                <w:u w:val="single"/>
                <w:lang w:val="en-US" w:eastAsia="zh-CN"/>
              </w:rPr>
              <w:t>合同总价</w:t>
            </w:r>
            <w:r>
              <w:rPr>
                <w:rFonts w:hint="eastAsia" w:ascii="宋体" w:hAnsi="宋体" w:eastAsia="宋体" w:cs="宋体"/>
                <w:bCs/>
                <w:color w:val="auto"/>
                <w:sz w:val="24"/>
                <w:szCs w:val="24"/>
                <w:highlight w:val="none"/>
                <w:u w:val="single"/>
              </w:rPr>
              <w:t>的</w:t>
            </w:r>
            <w:r>
              <w:rPr>
                <w:rFonts w:hint="eastAsia" w:ascii="宋体" w:hAnsi="宋体" w:eastAsia="宋体" w:cs="宋体"/>
                <w:bCs/>
                <w:color w:val="auto"/>
                <w:sz w:val="24"/>
                <w:szCs w:val="24"/>
                <w:highlight w:val="none"/>
                <w:u w:val="single"/>
                <w:lang w:val="en-US" w:eastAsia="zh-CN"/>
              </w:rPr>
              <w:t>5</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u w:val="single"/>
              </w:rPr>
              <w:t>（不得超过政府采购合同金额的 10%）</w:t>
            </w:r>
          </w:p>
          <w:p>
            <w:pPr>
              <w:keepNext w:val="0"/>
              <w:keepLines w:val="0"/>
              <w:pageBreakBefore w:val="0"/>
              <w:widowControl w:val="0"/>
              <w:kinsoku/>
              <w:wordWrap/>
              <w:overflowPunct/>
              <w:topLinePunct w:val="0"/>
              <w:autoSpaceDE/>
              <w:autoSpaceDN/>
              <w:bidi w:val="0"/>
              <w:adjustRightInd/>
              <w:snapToGrid/>
              <w:spacing w:line="360" w:lineRule="auto"/>
              <w:ind w:left="600" w:hanging="600" w:hangingChars="250"/>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履约保证金形式：</w:t>
            </w:r>
            <w:r>
              <w:rPr>
                <w:rFonts w:hint="eastAsia" w:ascii="宋体" w:hAnsi="宋体" w:eastAsia="宋体" w:cs="宋体"/>
                <w:bCs/>
                <w:color w:val="000000"/>
                <w:sz w:val="24"/>
                <w:szCs w:val="24"/>
                <w:lang w:val="en-US" w:eastAsia="zh-CN"/>
              </w:rPr>
              <w:t xml:space="preserve">： </w:t>
            </w:r>
            <w:r>
              <w:rPr>
                <w:rFonts w:hint="eastAsia" w:ascii="宋体" w:hAnsi="宋体" w:eastAsia="宋体" w:cs="宋体"/>
                <w:bCs/>
                <w:color w:val="000000"/>
                <w:sz w:val="24"/>
                <w:szCs w:val="24"/>
                <w:u w:val="single"/>
                <w:lang w:val="en-US" w:eastAsia="zh-CN"/>
              </w:rPr>
              <w:t>保函、电汇、支票、对公转账</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提交履约保证金的时间：</w:t>
            </w:r>
            <w:r>
              <w:rPr>
                <w:rFonts w:hint="eastAsia" w:ascii="宋体" w:hAnsi="宋体" w:eastAsia="宋体" w:cs="宋体"/>
                <w:bCs/>
                <w:color w:val="000000"/>
                <w:sz w:val="24"/>
                <w:szCs w:val="24"/>
                <w:u w:val="single"/>
              </w:rPr>
              <w:t>签订合同</w:t>
            </w:r>
            <w:r>
              <w:rPr>
                <w:rFonts w:hint="eastAsia" w:ascii="宋体" w:hAnsi="宋体" w:eastAsia="宋体" w:cs="宋体"/>
                <w:bCs/>
                <w:color w:val="000000"/>
                <w:sz w:val="24"/>
                <w:szCs w:val="24"/>
                <w:u w:val="single"/>
                <w:lang w:val="en-US" w:eastAsia="zh-CN"/>
              </w:rPr>
              <w:t>后</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lang w:val="en-US" w:eastAsia="zh-CN"/>
              </w:rPr>
              <w:t>转入甲方指定账户。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32</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rPr>
              <w:t>成交服务费：由中标单位支付，</w:t>
            </w:r>
            <w:r>
              <w:rPr>
                <w:rFonts w:hint="eastAsia" w:ascii="宋体" w:hAnsi="宋体" w:eastAsia="宋体" w:cs="宋体"/>
                <w:bCs/>
                <w:color w:val="000000"/>
                <w:sz w:val="24"/>
                <w:szCs w:val="24"/>
                <w:lang w:eastAsia="zh-CN"/>
              </w:rPr>
              <w:t>根据（发改价格[2015]299号文件）采购代理机构依据招标代理协议等相关文件收取，</w:t>
            </w:r>
            <w:r>
              <w:rPr>
                <w:rFonts w:hint="eastAsia" w:ascii="宋体" w:hAnsi="宋体" w:eastAsia="宋体" w:cs="宋体"/>
                <w:bCs/>
                <w:color w:val="000000"/>
                <w:sz w:val="24"/>
                <w:szCs w:val="24"/>
                <w:lang w:val="en-US" w:eastAsia="zh-CN"/>
              </w:rPr>
              <w:t>100</w:t>
            </w:r>
            <w:r>
              <w:rPr>
                <w:rFonts w:hint="eastAsia" w:ascii="宋体" w:hAnsi="宋体" w:eastAsia="宋体" w:cs="宋体"/>
                <w:bCs/>
                <w:color w:val="000000"/>
                <w:sz w:val="24"/>
                <w:szCs w:val="24"/>
                <w:lang w:eastAsia="zh-CN"/>
              </w:rPr>
              <w:t>万以下按1.</w:t>
            </w:r>
            <w:r>
              <w:rPr>
                <w:rFonts w:hint="eastAsia" w:ascii="宋体" w:hAnsi="宋体" w:eastAsia="宋体" w:cs="宋体"/>
                <w:bCs/>
                <w:color w:val="000000"/>
                <w:sz w:val="24"/>
                <w:szCs w:val="24"/>
                <w:lang w:val="en-US" w:eastAsia="zh-CN"/>
              </w:rPr>
              <w:t>4</w:t>
            </w:r>
            <w:r>
              <w:rPr>
                <w:rFonts w:hint="eastAsia" w:ascii="宋体" w:hAnsi="宋体" w:eastAsia="宋体" w:cs="宋体"/>
                <w:bCs/>
                <w:color w:val="000000"/>
                <w:sz w:val="24"/>
                <w:szCs w:val="24"/>
                <w:lang w:eastAsia="zh-CN"/>
              </w:rPr>
              <w:t>%收取，按实际中标金额收取。</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支付形式：</w:t>
            </w:r>
            <w:r>
              <w:rPr>
                <w:rFonts w:hint="eastAsia" w:ascii="宋体" w:hAnsi="宋体" w:eastAsia="宋体" w:cs="宋体"/>
                <w:bCs/>
                <w:color w:val="000000"/>
                <w:sz w:val="24"/>
                <w:szCs w:val="24"/>
                <w:u w:val="single"/>
              </w:rPr>
              <w:t xml:space="preserve">  对公转账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支付时间：</w:t>
            </w:r>
            <w:r>
              <w:rPr>
                <w:rFonts w:hint="eastAsia" w:ascii="宋体" w:hAnsi="宋体" w:eastAsia="宋体" w:cs="宋体"/>
                <w:bCs/>
                <w:color w:val="000000"/>
                <w:sz w:val="24"/>
                <w:szCs w:val="24"/>
                <w:u w:val="single"/>
              </w:rPr>
              <w:t xml:space="preserve">  领取成交通知书时</w:t>
            </w:r>
            <w:r>
              <w:rPr>
                <w:rFonts w:hint="eastAsia" w:ascii="宋体" w:hAnsi="宋体" w:eastAsia="宋体" w:cs="宋体"/>
                <w:bCs/>
                <w:color w:val="000000"/>
                <w:sz w:val="24"/>
                <w:szCs w:val="24"/>
                <w:u w:val="single"/>
                <w:lang w:eastAsia="zh-CN"/>
              </w:rPr>
              <w:t>，</w:t>
            </w:r>
            <w:r>
              <w:rPr>
                <w:rFonts w:hint="eastAsia" w:ascii="宋体" w:hAnsi="宋体" w:eastAsia="宋体" w:cs="宋体"/>
                <w:bCs/>
                <w:color w:val="000000"/>
                <w:sz w:val="24"/>
                <w:szCs w:val="24"/>
                <w:u w:val="single"/>
                <w:lang w:val="en-US" w:eastAsia="zh-CN"/>
              </w:rPr>
              <w:t>一次性支付</w:t>
            </w:r>
            <w:r>
              <w:rPr>
                <w:rFonts w:hint="eastAsia" w:ascii="宋体" w:hAnsi="宋体" w:eastAsia="宋体" w:cs="宋体"/>
                <w:bCs/>
                <w:color w:val="000000"/>
                <w:sz w:val="24"/>
                <w:szCs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33.1</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本项目是否属于信用担保试点范围：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是</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rPr>
              <w:t xml:space="preserve"> </w:t>
            </w:r>
            <w:r>
              <w:rPr>
                <w:rFonts w:hint="eastAsia" w:ascii="宋体" w:hAnsi="宋体" w:eastAsia="宋体" w:cs="宋体"/>
                <w:bCs/>
                <w:i/>
                <w:color w:val="000000"/>
                <w:sz w:val="24"/>
                <w:szCs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28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34</w:t>
            </w:r>
          </w:p>
        </w:tc>
        <w:tc>
          <w:tcPr>
            <w:tcW w:w="76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根据《政府采购活动中进一步推动开展信用担保工作的通知》相关文件要求，本项目允许供应商以专业担保机构出具的保函形式提交政府采购投标（响应）保证金或履约保证金，鼓励使用电子保函。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莎车县宏远融资担保有限责任公司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lang w:val="en-US" w:eastAsia="zh-CN"/>
              </w:rPr>
            </w:pPr>
            <w:r>
              <w:rPr>
                <w:rFonts w:hint="eastAsia" w:ascii="宋体" w:hAnsi="宋体" w:eastAsia="宋体" w:cs="宋体"/>
                <w:bCs/>
                <w:color w:val="000000"/>
                <w:sz w:val="24"/>
                <w:szCs w:val="24"/>
                <w:lang w:val="en-US" w:eastAsia="zh-CN"/>
              </w:rPr>
              <w:t>联系人：郭晓明           联系电话：18997858700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地址：莎车县新城 16号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邮箱：</w:t>
            </w:r>
            <w:r>
              <w:rPr>
                <w:rFonts w:hint="eastAsia" w:ascii="宋体" w:hAnsi="宋体" w:eastAsia="宋体" w:cs="宋体"/>
                <w:bCs/>
                <w:color w:val="000000"/>
                <w:sz w:val="24"/>
                <w:szCs w:val="24"/>
              </w:rPr>
              <w:fldChar w:fldCharType="begin"/>
            </w:r>
            <w:r>
              <w:rPr>
                <w:rFonts w:hint="eastAsia" w:ascii="宋体" w:hAnsi="宋体" w:eastAsia="宋体" w:cs="宋体"/>
                <w:bCs/>
                <w:color w:val="000000"/>
                <w:sz w:val="24"/>
                <w:szCs w:val="24"/>
              </w:rPr>
              <w:instrText xml:space="preserve"> HYPERLINK "mailto:188069076@qq.com" </w:instrText>
            </w:r>
            <w:r>
              <w:rPr>
                <w:rFonts w:hint="eastAsia" w:ascii="宋体" w:hAnsi="宋体" w:eastAsia="宋体" w:cs="宋体"/>
                <w:bCs/>
                <w:color w:val="000000"/>
                <w:sz w:val="24"/>
                <w:szCs w:val="24"/>
              </w:rPr>
              <w:fldChar w:fldCharType="separate"/>
            </w:r>
            <w:r>
              <w:rPr>
                <w:rFonts w:hint="eastAsia" w:ascii="宋体" w:hAnsi="宋体" w:eastAsia="宋体" w:cs="宋体"/>
                <w:bCs/>
                <w:color w:val="000000"/>
                <w:sz w:val="24"/>
                <w:szCs w:val="24"/>
              </w:rPr>
              <w:t>188069076@qq.com</w:t>
            </w:r>
            <w:r>
              <w:rPr>
                <w:rFonts w:hint="eastAsia" w:ascii="宋体" w:hAnsi="宋体" w:eastAsia="宋体" w:cs="宋体"/>
                <w:bCs/>
                <w:color w:val="000000"/>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lang w:val="en-US" w:eastAsia="zh-CN"/>
              </w:rPr>
              <w:t>以上担保机构只是给各投标单位多一项选择，最终选择哪个合法的担保机构，不影响正常项目投标</w:t>
            </w:r>
            <w:r>
              <w:rPr>
                <w:rFonts w:hint="eastAsia" w:ascii="宋体" w:hAnsi="宋体" w:eastAsia="宋体" w:cs="宋体"/>
                <w:bCs/>
                <w:color w:val="000000"/>
                <w:sz w:val="24"/>
                <w:szCs w:val="24"/>
                <w:lang w:eastAsia="zh-CN"/>
              </w:rPr>
              <w:t>）</w:t>
            </w: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宋体" w:hAnsi="宋体" w:eastAsia="宋体" w:cs="宋体"/>
          <w:sz w:val="24"/>
          <w:szCs w:val="24"/>
          <w:highlight w:val="none"/>
          <w:u w:val="none"/>
          <w:lang w:val="en-US" w:eastAsia="zh-CN"/>
        </w:rPr>
      </w:pPr>
    </w:p>
    <w:p>
      <w:pPr>
        <w:widowControl/>
        <w:spacing w:line="360" w:lineRule="exact"/>
        <w:jc w:val="both"/>
        <w:rPr>
          <w:rFonts w:hint="eastAsia" w:ascii="宋体" w:hAnsi="宋体" w:eastAsia="宋体" w:cs="宋体"/>
          <w:b/>
          <w:color w:val="000000"/>
          <w:kern w:val="0"/>
          <w:sz w:val="24"/>
          <w:szCs w:val="24"/>
        </w:rPr>
        <w:sectPr>
          <w:pgSz w:w="11906" w:h="16838"/>
          <w:pgMar w:top="1440" w:right="1686" w:bottom="1440" w:left="1180" w:header="851" w:footer="992" w:gutter="0"/>
          <w:pgNumType w:fmt="decimal"/>
          <w:cols w:space="0" w:num="1"/>
          <w:rtlGutter w:val="0"/>
          <w:docGrid w:type="lines" w:linePitch="312" w:charSpace="0"/>
        </w:sectPr>
      </w:pPr>
    </w:p>
    <w:p>
      <w:pPr>
        <w:widowControl/>
        <w:spacing w:line="360" w:lineRule="exact"/>
        <w:jc w:val="center"/>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资格审查表</w:t>
      </w:r>
    </w:p>
    <w:tbl>
      <w:tblPr>
        <w:tblStyle w:val="24"/>
        <w:tblpPr w:leftFromText="180" w:rightFromText="180" w:vertAnchor="text" w:horzAnchor="page" w:tblpXSpec="center" w:tblpY="131"/>
        <w:tblOverlap w:val="never"/>
        <w:tblW w:w="0" w:type="auto"/>
        <w:jc w:val="center"/>
        <w:tblLayout w:type="autofit"/>
        <w:tblCellMar>
          <w:top w:w="0" w:type="dxa"/>
          <w:left w:w="108" w:type="dxa"/>
          <w:bottom w:w="0" w:type="dxa"/>
          <w:right w:w="108" w:type="dxa"/>
        </w:tblCellMar>
      </w:tblPr>
      <w:tblGrid>
        <w:gridCol w:w="459"/>
        <w:gridCol w:w="743"/>
        <w:gridCol w:w="1753"/>
        <w:gridCol w:w="1174"/>
        <w:gridCol w:w="1303"/>
        <w:gridCol w:w="5079"/>
        <w:gridCol w:w="1037"/>
        <w:gridCol w:w="870"/>
        <w:gridCol w:w="782"/>
        <w:gridCol w:w="547"/>
        <w:gridCol w:w="427"/>
      </w:tblGrid>
      <w:tr>
        <w:tblPrEx>
          <w:tblCellMar>
            <w:top w:w="0" w:type="dxa"/>
            <w:left w:w="108" w:type="dxa"/>
            <w:bottom w:w="0" w:type="dxa"/>
            <w:right w:w="108" w:type="dxa"/>
          </w:tblCellMar>
        </w:tblPrEx>
        <w:trPr>
          <w:trHeight w:val="579" w:hRule="atLeast"/>
          <w:jc w:val="center"/>
        </w:trPr>
        <w:tc>
          <w:tcPr>
            <w:tcW w:w="0" w:type="auto"/>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kern w:val="0"/>
                <w:sz w:val="20"/>
                <w:szCs w:val="20"/>
              </w:rPr>
            </w:pPr>
            <w:r>
              <w:rPr>
                <w:rFonts w:hint="eastAsia" w:ascii="宋体" w:hAnsi="宋体" w:cs="宋体"/>
                <w:kern w:val="0"/>
                <w:sz w:val="20"/>
                <w:szCs w:val="20"/>
              </w:rPr>
              <w:t>投标人名称</w:t>
            </w:r>
          </w:p>
        </w:tc>
        <w:tc>
          <w:tcPr>
            <w:tcW w:w="0" w:type="auto"/>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kern w:val="0"/>
                <w:sz w:val="20"/>
                <w:szCs w:val="20"/>
              </w:rPr>
            </w:pPr>
            <w:r>
              <w:rPr>
                <w:rFonts w:ascii="宋体" w:hAnsi="宋体" w:cs="宋体"/>
                <w:kern w:val="0"/>
                <w:sz w:val="20"/>
                <w:szCs w:val="20"/>
              </w:rPr>
              <w:t>审查</w:t>
            </w:r>
            <w:r>
              <w:rPr>
                <w:rFonts w:hint="eastAsia" w:ascii="宋体" w:hAnsi="宋体" w:cs="宋体"/>
                <w:kern w:val="0"/>
                <w:sz w:val="20"/>
                <w:szCs w:val="20"/>
              </w:rPr>
              <w:t>项目</w:t>
            </w:r>
          </w:p>
        </w:tc>
        <w:tc>
          <w:tcPr>
            <w:tcW w:w="0" w:type="auto"/>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kern w:val="0"/>
                <w:sz w:val="20"/>
                <w:szCs w:val="20"/>
              </w:rPr>
            </w:pPr>
            <w:r>
              <w:rPr>
                <w:rFonts w:hint="eastAsia" w:ascii="宋体" w:hAnsi="宋体" w:cs="宋体"/>
                <w:kern w:val="0"/>
                <w:sz w:val="20"/>
                <w:szCs w:val="20"/>
              </w:rPr>
              <w:t>结论</w:t>
            </w:r>
          </w:p>
        </w:tc>
      </w:tr>
      <w:tr>
        <w:tblPrEx>
          <w:tblCellMar>
            <w:top w:w="0" w:type="dxa"/>
            <w:left w:w="108" w:type="dxa"/>
            <w:bottom w:w="0" w:type="dxa"/>
            <w:right w:w="108" w:type="dxa"/>
          </w:tblCellMar>
        </w:tblPrEx>
        <w:trPr>
          <w:trHeight w:val="5404"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kern w:val="0"/>
                <w:sz w:val="20"/>
                <w:szCs w:val="20"/>
              </w:rPr>
            </w:pP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具有独立法人资格（三证合一的营业执照）</w:t>
            </w: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val="en-US" w:eastAsia="zh-CN"/>
              </w:rPr>
              <w:t>供应商若是经销商，须提供有效期内的农药经营许可证及生产厂家的农药生产许可证、农药标准和农药登记证；供应商若是生产厂家的须提供具备有效期内的农药生产许可证、农药标准和农药登记证；投标人提供生产厂家出具的加盖公章农药包装废弃物回收处理承诺书扫描件；</w:t>
            </w: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lang w:val="en-US" w:eastAsia="zh-CN"/>
              </w:rPr>
              <w:t>法人本人投标需提供法人身份证及法定代表人资格证明书；授权委托人投标需提供法人授权委托书、法人身份证复印件及被授权委托人身份证</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rPr>
            </w:pPr>
          </w:p>
        </w:tc>
        <w:tc>
          <w:tcPr>
            <w:tcW w:w="0" w:type="auto"/>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提供近两年内任意一年的（2022年或2023年）财务审计报告（新成立未满一年的公司可提供近六个月内任意一个月的银行资信证明）</w:t>
            </w: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根据《财政部关于在政府采购活动中查询及使用信用记录有关问题的通知》（财库﹝2016﹞125 号）的要求，凡拟参加本次招标项目的供应商，如在“信用中国” 网站（ www.creditchina.gov.cn） 被列入失信被执行人、重大税收违法案件当事人名单(信用服务-重点领域严重失信主体名单查询-搜索栏输入单位全称)、中国政府采购网（http://www.ccgp.gov.cn/search/cr/）严重违法失信行为记录名单的（尚在处罚期内的）；将拒绝其参加本次招标活动；</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kern w:val="0"/>
                <w:sz w:val="18"/>
                <w:szCs w:val="18"/>
                <w:lang w:val="en-US" w:eastAsia="zh-CN"/>
              </w:rPr>
            </w:pPr>
            <w:r>
              <w:rPr>
                <w:rFonts w:hint="eastAsia" w:ascii="宋体" w:hAnsi="宋体" w:eastAsia="宋体" w:cs="宋体"/>
                <w:i w:val="0"/>
                <w:iCs w:val="0"/>
                <w:kern w:val="0"/>
                <w:sz w:val="18"/>
                <w:szCs w:val="18"/>
                <w:lang w:val="en-US" w:eastAsia="zh-CN"/>
              </w:rPr>
              <w:t>本单位缴纳的近六个月任意一个月的社保缴纳证明及具有税务局开具依法缴纳近六个月任意一个月的完税证明。</w:t>
            </w:r>
          </w:p>
        </w:tc>
        <w:tc>
          <w:tcPr>
            <w:tcW w:w="0" w:type="auto"/>
            <w:tcBorders>
              <w:top w:val="nil"/>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参加政府采购活动前3年内在经营活动中没有重大违法记录的书面声明；</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kern w:val="0"/>
                <w:sz w:val="18"/>
                <w:szCs w:val="18"/>
                <w:lang w:val="en-US" w:eastAsia="zh-CN"/>
              </w:rPr>
            </w:pPr>
          </w:p>
        </w:tc>
        <w:tc>
          <w:tcPr>
            <w:tcW w:w="0" w:type="auto"/>
            <w:tcBorders>
              <w:top w:val="nil"/>
              <w:left w:val="nil"/>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投标单位（供应商）针对本次项目《反商业承诺书》</w:t>
            </w:r>
          </w:p>
        </w:tc>
        <w:tc>
          <w:tcPr>
            <w:tcW w:w="0" w:type="auto"/>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0"/>
                <w:szCs w:val="20"/>
                <w:highlight w:val="none"/>
                <w:lang w:val="en-US" w:eastAsia="zh-CN"/>
              </w:rPr>
            </w:pPr>
            <w:r>
              <w:rPr>
                <w:rFonts w:hint="eastAsia" w:ascii="Times New Roman" w:hAnsi="Times New Roman" w:eastAsia="宋体" w:cs="Times New Roman"/>
                <w:sz w:val="20"/>
                <w:szCs w:val="20"/>
                <w:highlight w:val="none"/>
                <w:lang w:val="en-US" w:eastAsia="zh-CN"/>
              </w:rPr>
              <w:t>谈判保证金的有效凭证或保函</w:t>
            </w:r>
          </w:p>
        </w:tc>
        <w:tc>
          <w:tcPr>
            <w:tcW w:w="0" w:type="auto"/>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sz w:val="20"/>
                <w:szCs w:val="20"/>
                <w:highlight w:val="none"/>
                <w:lang w:val="en-US" w:eastAsia="zh-CN"/>
              </w:rPr>
            </w:pPr>
          </w:p>
        </w:tc>
      </w:tr>
    </w:tbl>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sectPr>
          <w:pgSz w:w="16838" w:h="11906" w:orient="landscape"/>
          <w:pgMar w:top="1179" w:right="1440" w:bottom="1684" w:left="1440" w:header="851" w:footer="992" w:gutter="0"/>
          <w:pgNumType w:fmt="decimal"/>
          <w:cols w:space="0" w:num="1"/>
          <w:titlePg/>
          <w:rtlGutter w:val="0"/>
          <w:docGrid w:type="lines" w:linePitch="322" w:charSpace="0"/>
        </w:sect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default" w:ascii="宋体" w:hAnsi="宋体" w:eastAsia="宋体" w:cs="宋体"/>
          <w:sz w:val="32"/>
          <w:szCs w:val="32"/>
          <w:highlight w:val="none"/>
          <w:u w:val="none"/>
          <w:lang w:val="en-US" w:eastAsia="zh-CN"/>
        </w:rPr>
      </w:pPr>
      <w:bookmarkStart w:id="527" w:name="_Toc9594"/>
      <w:r>
        <w:rPr>
          <w:rFonts w:hint="eastAsia" w:ascii="宋体" w:hAnsi="宋体" w:eastAsia="宋体" w:cs="宋体"/>
          <w:b/>
          <w:kern w:val="44"/>
          <w:sz w:val="32"/>
          <w:szCs w:val="20"/>
          <w:highlight w:val="none"/>
          <w:lang w:val="en-US" w:eastAsia="zh-CN" w:bidi="ar-SA"/>
        </w:rPr>
        <w:t xml:space="preserve">第五章 </w:t>
      </w:r>
      <w:r>
        <w:rPr>
          <w:rFonts w:hint="default" w:ascii="宋体" w:hAnsi="宋体" w:eastAsia="宋体" w:cs="宋体"/>
          <w:b/>
          <w:kern w:val="44"/>
          <w:sz w:val="32"/>
          <w:szCs w:val="20"/>
          <w:highlight w:val="none"/>
          <w:lang w:val="en-US" w:eastAsia="zh-CN" w:bidi="ar-SA"/>
        </w:rPr>
        <w:t>服务需求一览表及技术规格</w:t>
      </w:r>
      <w:bookmarkEnd w:id="527"/>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olor w:val="auto"/>
          <w:sz w:val="24"/>
          <w:szCs w:val="32"/>
          <w:lang w:val="en-US" w:eastAsia="zh-CN"/>
        </w:rPr>
      </w:pPr>
      <w:r>
        <w:rPr>
          <w:rFonts w:hint="eastAsia"/>
          <w:color w:val="auto"/>
          <w:sz w:val="24"/>
          <w:szCs w:val="32"/>
          <w:lang w:val="en-US" w:eastAsia="zh-CN"/>
        </w:rPr>
        <w:t>项目名称：莎车县现代农业发展（特色林果有害生物防治）项目（二包）（二次）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szCs w:val="32"/>
          <w:lang w:val="en-US" w:eastAsia="zh-CN"/>
        </w:rPr>
      </w:pPr>
      <w:r>
        <w:rPr>
          <w:rFonts w:hint="eastAsia"/>
          <w:color w:val="auto"/>
          <w:sz w:val="24"/>
          <w:szCs w:val="32"/>
          <w:lang w:val="en-US" w:eastAsia="zh-CN"/>
        </w:rPr>
        <w:t>交货时间：</w:t>
      </w:r>
      <w:r>
        <w:rPr>
          <w:rFonts w:hint="eastAsia"/>
          <w:b w:val="0"/>
          <w:bCs w:val="0"/>
          <w:color w:val="auto"/>
          <w:sz w:val="24"/>
          <w:szCs w:val="32"/>
          <w:lang w:val="en-US" w:eastAsia="zh-CN"/>
        </w:rPr>
        <w:t>20天。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32"/>
          <w:lang w:val="en-US" w:eastAsia="zh-CN"/>
        </w:rPr>
      </w:pPr>
      <w:r>
        <w:rPr>
          <w:rFonts w:hint="eastAsia"/>
          <w:color w:val="auto"/>
          <w:sz w:val="24"/>
          <w:szCs w:val="32"/>
          <w:lang w:val="en-US" w:eastAsia="zh-CN"/>
        </w:rPr>
        <w:t>交货地点：甲方指定地点。供方负责免费运输、卸货到指定地点。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FF0000"/>
          <w:sz w:val="24"/>
          <w:szCs w:val="32"/>
          <w:lang w:val="en-US" w:eastAsia="zh-CN"/>
        </w:rPr>
      </w:pPr>
      <w:r>
        <w:rPr>
          <w:rFonts w:hint="eastAsia"/>
          <w:b w:val="0"/>
          <w:bCs w:val="0"/>
          <w:color w:val="auto"/>
          <w:sz w:val="24"/>
          <w:szCs w:val="32"/>
          <w:lang w:val="en-US" w:eastAsia="zh-CN"/>
        </w:rPr>
        <w:t>付款方式：签订合同后交纳完履约保证金付30%预付款，供货至采购方指定地点支付合同金额的50%，验收合格出具验收报告后支付合同金额剩余的20%。（具体付款方式以甲乙双方签订合同为准）。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default"/>
          <w:sz w:val="24"/>
          <w:szCs w:val="32"/>
          <w:lang w:val="en-US" w:eastAsia="zh-CN"/>
        </w:rPr>
        <w:t>质保期</w:t>
      </w:r>
      <w:r>
        <w:rPr>
          <w:rFonts w:hint="eastAsia"/>
          <w:sz w:val="24"/>
          <w:szCs w:val="32"/>
          <w:lang w:val="en-US" w:eastAsia="zh-CN"/>
        </w:rPr>
        <w:t>及售后服务：质保期：1年，在质保期内货物出现质量问题投标单位负责免费退换货。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（1）在合同签订时须包含售后服务内容，在使用过程中出现质量问题，成交供应商须无条件给予免费更换，并承担因此给采购人造成的一切经济损失。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（2）成交供应商满足采购人的售后服务紧急需求，提供 24 小时的全方位技术支持和售后服务。对采购人的通知 ，成交供应商在接报后 1 小时内响应，12 小时内到达现场，24 小时内解决问题。如不能在 24 小时内解决问题的，因此给采购人造成的损失由成交供应商承担。重大问題或其他无法迅速解决的问题应在一周内解决或提出明确解决方案，否则成交供应商应赔偿采购人的相应损失。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（3）采购人按成交价格和数量向成交供应商采购本项目货物后，在质保期内若需增加采购相同货物，成交供应商必须按相同的质量要求和不高于成交价格销售给采购人。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（4）货物交付至指定地点后，供应商须提供技术服务、向农户提供培训等。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8"/>
          <w:szCs w:val="36"/>
          <w:lang w:val="en-US" w:eastAsia="zh-CN"/>
        </w:rPr>
      </w:pPr>
      <w:r>
        <w:rPr>
          <w:rFonts w:hint="eastAsia"/>
          <w:sz w:val="24"/>
          <w:szCs w:val="32"/>
          <w:lang w:val="en-US" w:eastAsia="zh-CN"/>
        </w:rPr>
        <w:t>注：以上为售后服务的最低要求，欢迎供应商提供更加优惠的售后服务。</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20" w:firstLineChars="200"/>
        <w:jc w:val="both"/>
        <w:textAlignment w:val="auto"/>
        <w:rPr>
          <w:rFonts w:hint="default" w:ascii="仿宋_GB2312" w:hAnsi="仿宋_GB2312" w:eastAsia="仿宋_GB2312" w:cs="仿宋_GB2312"/>
          <w:b w:val="0"/>
          <w:bCs w:val="0"/>
          <w:color w:val="auto"/>
          <w:kern w:val="0"/>
          <w:sz w:val="31"/>
          <w:szCs w:val="31"/>
          <w:lang w:val="en-US" w:eastAsia="zh-CN" w:bidi="ar"/>
        </w:rPr>
      </w:pPr>
    </w:p>
    <w:p>
      <w:pPr>
        <w:bidi w:val="0"/>
        <w:spacing w:line="240" w:lineRule="auto"/>
        <w:ind w:left="0" w:leftChars="0" w:firstLine="420" w:firstLineChars="0"/>
        <w:rPr>
          <w:rFonts w:hint="default" w:ascii="Times New Roman" w:hAnsi="Times New Roman" w:eastAsia="仿宋" w:cs="Times New Roman"/>
          <w:sz w:val="28"/>
          <w:szCs w:val="24"/>
          <w:lang w:val="en-US" w:eastAsia="zh-CN"/>
        </w:rPr>
      </w:pPr>
      <w:r>
        <w:rPr>
          <w:rFonts w:hint="eastAsia" w:ascii="宋体" w:hAnsi="宋体" w:eastAsia="宋体" w:cs="宋体"/>
          <w:sz w:val="32"/>
          <w:szCs w:val="32"/>
          <w:highlight w:val="none"/>
          <w:u w:val="none"/>
          <w:lang w:val="en-US" w:eastAsia="zh-CN"/>
        </w:rPr>
        <w:t xml:space="preserve">    </w:t>
      </w:r>
      <w:r>
        <w:rPr>
          <w:rFonts w:hint="eastAsia" w:ascii="Times New Roman" w:hAnsi="Times New Roman" w:cs="Times New Roman"/>
          <w:sz w:val="28"/>
          <w:szCs w:val="24"/>
          <w:lang w:val="en-US" w:eastAsia="zh-CN"/>
        </w:rPr>
        <w:t>二包参数：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206"/>
        <w:gridCol w:w="4150"/>
        <w:gridCol w:w="976"/>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Pr>
          <w:p>
            <w:pPr>
              <w:rPr>
                <w:rFonts w:hint="default"/>
                <w:vertAlign w:val="baseline"/>
                <w:lang w:val="en-US" w:eastAsia="zh-CN"/>
              </w:rPr>
            </w:pPr>
            <w:r>
              <w:rPr>
                <w:rFonts w:hint="eastAsia"/>
                <w:vertAlign w:val="baseline"/>
                <w:lang w:val="en-US" w:eastAsia="zh-CN"/>
              </w:rPr>
              <w:t>序号</w:t>
            </w:r>
          </w:p>
        </w:tc>
        <w:tc>
          <w:tcPr>
            <w:tcW w:w="1206" w:type="dxa"/>
          </w:tcPr>
          <w:p>
            <w:pPr>
              <w:rPr>
                <w:rFonts w:hint="default"/>
                <w:vertAlign w:val="baseline"/>
                <w:lang w:val="en-US" w:eastAsia="zh-CN"/>
              </w:rPr>
            </w:pPr>
            <w:r>
              <w:rPr>
                <w:rFonts w:hint="eastAsia"/>
                <w:vertAlign w:val="baseline"/>
                <w:lang w:val="en-US" w:eastAsia="zh-CN"/>
              </w:rPr>
              <w:t>名称</w:t>
            </w:r>
          </w:p>
        </w:tc>
        <w:tc>
          <w:tcPr>
            <w:tcW w:w="4150" w:type="dxa"/>
          </w:tcPr>
          <w:p>
            <w:pPr>
              <w:rPr>
                <w:rFonts w:hint="default"/>
                <w:vertAlign w:val="baseline"/>
                <w:lang w:val="en-US" w:eastAsia="zh-CN"/>
              </w:rPr>
            </w:pPr>
            <w:r>
              <w:rPr>
                <w:rFonts w:hint="eastAsia"/>
                <w:vertAlign w:val="baseline"/>
                <w:lang w:val="en-US" w:eastAsia="zh-CN"/>
              </w:rPr>
              <w:t>参数</w:t>
            </w:r>
          </w:p>
        </w:tc>
        <w:tc>
          <w:tcPr>
            <w:tcW w:w="976" w:type="dxa"/>
          </w:tcPr>
          <w:p>
            <w:pPr>
              <w:rPr>
                <w:rFonts w:hint="default"/>
                <w:vertAlign w:val="baseline"/>
                <w:lang w:val="en-US" w:eastAsia="zh-CN"/>
              </w:rPr>
            </w:pPr>
            <w:r>
              <w:rPr>
                <w:rFonts w:hint="eastAsia"/>
                <w:vertAlign w:val="baseline"/>
                <w:lang w:val="en-US" w:eastAsia="zh-CN"/>
              </w:rPr>
              <w:t>数量</w:t>
            </w:r>
          </w:p>
        </w:tc>
        <w:tc>
          <w:tcPr>
            <w:tcW w:w="1764" w:type="dxa"/>
          </w:tcPr>
          <w:p>
            <w:pP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3" w:type="dxa"/>
          </w:tcPr>
          <w:p>
            <w:pPr>
              <w:rPr>
                <w:rFonts w:hint="default"/>
                <w:vertAlign w:val="baseline"/>
                <w:lang w:val="en-US" w:eastAsia="zh-CN"/>
              </w:rPr>
            </w:pPr>
            <w:r>
              <w:rPr>
                <w:rFonts w:hint="eastAsia"/>
                <w:vertAlign w:val="baseline"/>
                <w:lang w:val="en-US" w:eastAsia="zh-CN"/>
              </w:rPr>
              <w:t>1</w:t>
            </w:r>
          </w:p>
        </w:tc>
        <w:tc>
          <w:tcPr>
            <w:tcW w:w="1206"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阿维·乙螨唑</w:t>
            </w:r>
          </w:p>
        </w:tc>
        <w:tc>
          <w:tcPr>
            <w:tcW w:w="4150" w:type="dxa"/>
            <w:vAlign w:val="top"/>
          </w:tcPr>
          <w:p>
            <w:pPr>
              <w:rPr>
                <w:rFonts w:hint="eastAsia"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总有效成分含量：≥20%，乙螨唑含量≥15%，阿维菌素含量≥5%，剂型：悬浮剂；规格：500克/瓶。</w:t>
            </w:r>
          </w:p>
        </w:tc>
        <w:tc>
          <w:tcPr>
            <w:tcW w:w="976"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vertAlign w:val="baseline"/>
                <w:lang w:val="en-US" w:eastAsia="zh-CN"/>
              </w:rPr>
              <w:t>≥1.471吨</w:t>
            </w:r>
          </w:p>
        </w:tc>
        <w:tc>
          <w:tcPr>
            <w:tcW w:w="1764" w:type="dxa"/>
            <w:vAlign w:val="top"/>
          </w:tcPr>
          <w:p>
            <w:pPr>
              <w:rPr>
                <w:rFonts w:hint="default" w:asciiTheme="minorHAnsi" w:hAnsiTheme="minorHAnsi" w:eastAsiaTheme="minorEastAsia" w:cstheme="minorBidi"/>
                <w:kern w:val="2"/>
                <w:sz w:val="21"/>
                <w:szCs w:val="24"/>
                <w:vertAlign w:val="baseline"/>
                <w:lang w:val="en-US" w:eastAsia="zh-CN" w:bidi="ar-SA"/>
              </w:rPr>
            </w:pPr>
            <w:r>
              <w:rPr>
                <w:rFonts w:hint="eastAsia"/>
                <w:b/>
                <w:bCs/>
                <w:vertAlign w:val="baseline"/>
                <w:lang w:val="en-US" w:eastAsia="zh-CN"/>
              </w:rPr>
              <w:t>总价不变招数量</w:t>
            </w:r>
          </w:p>
        </w:tc>
      </w:tr>
    </w:tbl>
    <w:p>
      <w:pPr>
        <w:ind w:left="0" w:leftChars="0" w:firstLine="0" w:firstLineChars="0"/>
        <w:rPr>
          <w:rFonts w:hint="eastAsia" w:ascii="宋体" w:hAnsi="宋体" w:eastAsia="宋体" w:cs="宋体"/>
          <w:sz w:val="24"/>
          <w:szCs w:val="24"/>
          <w:lang w:val="en-US" w:eastAsia="zh-CN"/>
        </w:rPr>
      </w:pPr>
    </w:p>
    <w:p>
      <w:pPr>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技术要求：</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1）综合单价包括（包含但不限于）：货物本身价格、保险费用、包装费、装卸费、运输费用、农药包装材料回收费、二次搬运费、损耗、技术指导、税金费用、随产品备品备件费、专用工具费、培训费、安装费、调试费及验收合格前和质保期内发生的一切费用、应当提供的伴随服务/售后服务费用及后期服务及国家对中标单位征收的各种税费等所有一切费用，综合单价今后将不作任何调整。</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（2）本项目采购的产品由供货方负责卸货，并保证卸后摆放整齐，如有需要需提供篷布将产品进行遮盖，对雇人卸货的供货方要及时结清卸货费用。</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（3）投标时要在标书里显著位置标明产品的生产地点、厂家及产品彩图。</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（4）投标人所供产品须为近6个月内生产的产品，不得提供积压货物。供货时需提供产品使用说明书。</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（5）包装上应注明货物产品名称、厂家名称、三证号、重量或体积、出厂日期、生产批次、使用时期与方法、注意事项。</w:t>
      </w:r>
    </w:p>
    <w:p>
      <w:pPr>
        <w:keepNext w:val="0"/>
        <w:keepLines w:val="0"/>
        <w:widowControl/>
        <w:numPr>
          <w:ilvl w:val="0"/>
          <w:numId w:val="0"/>
        </w:numPr>
        <w:suppressLineNumbers w:val="0"/>
        <w:ind w:firstLine="480" w:firstLineChars="200"/>
        <w:jc w:val="both"/>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6）包装外观质量要合格，包装乳剂农药瓶盖严密，瓶身无湿润现象，粉剂农药包装袋完整，无结块现象。如内包装材料简陋不耐用，外包装不带防潮层的瓦楞纸板、纸袋、麻织品，包装破损、标签残缺不全或不明确，采购方将拒绝接受货物。</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color w:val="FF0000"/>
          <w:sz w:val="24"/>
          <w:szCs w:val="24"/>
          <w:highlight w:val="none"/>
          <w:u w:val="none"/>
          <w:lang w:val="en-US" w:eastAsia="zh-CN"/>
        </w:rPr>
      </w:pPr>
      <w:r>
        <w:rPr>
          <w:rFonts w:hint="eastAsia" w:ascii="宋体" w:hAnsi="宋体" w:eastAsia="宋体" w:cs="宋体"/>
          <w:b/>
          <w:bCs/>
          <w:color w:val="FF0000"/>
          <w:kern w:val="0"/>
          <w:sz w:val="24"/>
          <w:szCs w:val="24"/>
          <w:lang w:val="en-US" w:eastAsia="zh-CN" w:bidi="ar"/>
        </w:rPr>
        <w:t>（7）其他要求：投标人提供生产厂家出具的加盖公章农药包装废弃物回收处理承诺书扫描件。</w:t>
      </w:r>
    </w:p>
    <w:p>
      <w:pPr>
        <w:keepNext w:val="0"/>
        <w:keepLines w:val="0"/>
        <w:widowControl/>
        <w:numPr>
          <w:ilvl w:val="0"/>
          <w:numId w:val="0"/>
        </w:numPr>
        <w:suppressLineNumbers w:val="0"/>
        <w:ind w:left="479" w:leftChars="228" w:firstLine="0" w:firstLineChars="0"/>
        <w:jc w:val="both"/>
        <w:rPr>
          <w:rFonts w:hint="default" w:ascii="宋体" w:hAnsi="宋体" w:eastAsia="宋体" w:cs="宋体"/>
          <w:b/>
          <w:bCs/>
          <w:color w:val="000000"/>
          <w:kern w:val="0"/>
          <w:sz w:val="24"/>
          <w:szCs w:val="24"/>
          <w:lang w:val="en-US" w:eastAsia="zh-CN" w:bidi="ar"/>
        </w:rPr>
      </w:pPr>
      <w:r>
        <w:rPr>
          <w:rFonts w:hint="default" w:ascii="宋体" w:hAnsi="宋体" w:eastAsia="宋体" w:cs="宋体"/>
          <w:b/>
          <w:bCs/>
          <w:color w:val="FF0000"/>
          <w:kern w:val="0"/>
          <w:sz w:val="24"/>
          <w:szCs w:val="24"/>
          <w:lang w:val="en-US" w:eastAsia="zh-CN" w:bidi="ar"/>
        </w:rPr>
        <w:t>备注：本次招标项目预算金额固定，投标单位报货物数量，最终以参数原有的基础上所投货物数量最多的为第一中标候选人。</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0"/>
        <w:rPr>
          <w:rFonts w:hint="default" w:ascii="宋体" w:hAnsi="宋体" w:eastAsia="宋体" w:cs="宋体"/>
          <w:b/>
          <w:bCs/>
          <w:sz w:val="32"/>
          <w:szCs w:val="32"/>
          <w:highlight w:val="none"/>
          <w:u w:val="none"/>
          <w:lang w:val="en-US" w:eastAsia="zh-CN"/>
        </w:rPr>
      </w:pPr>
      <w:bookmarkStart w:id="528" w:name="_Toc32428"/>
      <w:r>
        <w:rPr>
          <w:rFonts w:hint="eastAsia" w:ascii="宋体" w:hAnsi="宋体" w:eastAsia="宋体" w:cs="宋体"/>
          <w:b/>
          <w:bCs/>
          <w:sz w:val="32"/>
          <w:szCs w:val="32"/>
          <w:highlight w:val="none"/>
          <w:u w:val="none"/>
          <w:lang w:val="en-US" w:eastAsia="zh-CN"/>
        </w:rPr>
        <w:t>第六章</w:t>
      </w:r>
      <w:r>
        <w:rPr>
          <w:rFonts w:hint="default" w:ascii="宋体" w:hAnsi="宋体" w:eastAsia="宋体" w:cs="宋体"/>
          <w:b/>
          <w:bCs/>
          <w:sz w:val="32"/>
          <w:szCs w:val="32"/>
          <w:highlight w:val="none"/>
          <w:u w:val="none"/>
          <w:lang w:val="en-US" w:eastAsia="zh-CN"/>
        </w:rPr>
        <w:t xml:space="preserve"> 评审方法和标准</w:t>
      </w:r>
      <w:bookmarkEnd w:id="528"/>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本项目将按照招标文件第一章供应商须知中“五</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eastAsia="zh-CN"/>
        </w:rPr>
        <w:t>谈判开启及评审</w:t>
      </w:r>
      <w:r>
        <w:rPr>
          <w:rFonts w:hint="default" w:ascii="宋体" w:hAnsi="宋体" w:eastAsia="宋体" w:cs="宋体"/>
          <w:sz w:val="24"/>
          <w:szCs w:val="24"/>
          <w:highlight w:val="none"/>
          <w:u w:val="none"/>
          <w:lang w:val="en-US" w:eastAsia="zh-CN"/>
        </w:rPr>
        <w:t>”、“六</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确定中标”及本章的规定评标。</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注：1.谈判无效的情形：</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（1）单位负责人为同一人或者存在直接控股、管理关系的不同供应商，其相关谈判将被认定为谈判无效。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（2）为本项目提供过整体设计、规范编制或者项目管理、监理、检测等货物的供应商，不得再参加本项目上述货物以外的其他采购活动。否则其谈判将被认定为谈判无效。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供应商在谈判过程中不得向采购人提供、给予任何有价值的物品，影响其正常决策行为。一经发现，其将被认定为谈判无效。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（3）供应商报价超过谈判文件规定的预算金额或者分项、分包最高限价的，其谈判将被认定为谈判无效。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4）供应商应认真阅读谈判文件所有的事项、格式、条款和技术规范等。如供应商没有按照谈判文件要求提交全部资料，或者响应文件没有对谈判文件在各方面都做出实质性响应，可能导致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 xml:space="preserve"> （5）供应商应当对所投分包谈判文件中“服务需求”所列的所有内容进行谈判，如仅响应某一包中的部分内容，其该包谈判将被认定为谈判无效。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（6）供应商未按本须知第12.1和12.3条规定提交谈判保证金的，其谈判资格将被认定为谈判无效。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7）所有磋商均以人民币报价。供应商的谈判报价应遵守《中华人民共和国价格法》。同时，根据《中华人民共和国政府采购法》第二条的规定，为保证公平竞争，如有货物主体部分的赠与行为，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（8）供应商所报的各分项报价单价在合同履行过程中是固定不变的，不得以任何理由予以变更。任何包含价格调整要求的谈判，其谈判将被认定为谈判无效。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（9）谈判应在供应商须知资料表中规定时间内保持有效。谈判有效期不满足要求的谈判，其谈判将被认定为谈判无效。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（10）采购人或采购代理机构将在开标前1个工作日至磋商截止后1小时的期间内查询供应商的信用记录。供应商存在不良信用记录的，其谈判将被认定为谈判无效。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11）总价金额与按单价汇总金额不一致的，以单价金额计算结果为准。同时出现两种以上不一致的，按照前款规定的顺序修正。修正后的报价按照第20.2条的规定经供应商确认后产生约束力，供应商不确认的，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12）在比较与评价之前，根据本须知的规定，谈判小组要审查每份响应文件是否实质上响应了谈判文件的要求。实质上响应的谈判应该是与谈判文件要求的全部条款、条件和规格相符，没有重大偏离的谈判。对关键条款的偏离，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（13）如发现下列情况之一的，其谈判将被认定为谈判无效：</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①</w:t>
      </w:r>
      <w:r>
        <w:rPr>
          <w:rFonts w:hint="default" w:ascii="宋体" w:hAnsi="宋体" w:eastAsia="宋体" w:cs="宋体"/>
          <w:sz w:val="24"/>
          <w:szCs w:val="24"/>
          <w:highlight w:val="none"/>
          <w:u w:val="none"/>
          <w:lang w:val="en-US" w:eastAsia="zh-CN"/>
        </w:rPr>
        <w:t>未按谈判文件规定的形式和金额提交谈判保证金的；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②</w:t>
      </w:r>
      <w:r>
        <w:rPr>
          <w:rFonts w:hint="default" w:ascii="宋体" w:hAnsi="宋体" w:eastAsia="宋体" w:cs="宋体"/>
          <w:sz w:val="24"/>
          <w:szCs w:val="24"/>
          <w:highlight w:val="none"/>
          <w:u w:val="none"/>
          <w:lang w:val="en-US" w:eastAsia="zh-CN"/>
        </w:rPr>
        <w:t>未按照谈判文件规定要求签署、盖章的；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③</w:t>
      </w:r>
      <w:r>
        <w:rPr>
          <w:rFonts w:hint="default" w:ascii="宋体" w:hAnsi="宋体" w:eastAsia="宋体" w:cs="宋体"/>
          <w:sz w:val="24"/>
          <w:szCs w:val="24"/>
          <w:highlight w:val="none"/>
          <w:u w:val="none"/>
          <w:lang w:val="en-US" w:eastAsia="zh-CN"/>
        </w:rPr>
        <w:t>未满足谈判文件中技术条款的实质性要求；</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④</w:t>
      </w:r>
      <w:r>
        <w:rPr>
          <w:rFonts w:hint="default" w:ascii="宋体" w:hAnsi="宋体" w:eastAsia="宋体" w:cs="宋体"/>
          <w:sz w:val="24"/>
          <w:szCs w:val="24"/>
          <w:highlight w:val="none"/>
          <w:u w:val="none"/>
          <w:lang w:val="en-US" w:eastAsia="zh-CN"/>
        </w:rPr>
        <w:t>与其他供应商串通谈判，或者与招标人串通谈判；</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⑤</w:t>
      </w:r>
      <w:r>
        <w:rPr>
          <w:rFonts w:hint="default" w:ascii="宋体" w:hAnsi="宋体" w:eastAsia="宋体" w:cs="宋体"/>
          <w:sz w:val="24"/>
          <w:szCs w:val="24"/>
          <w:highlight w:val="none"/>
          <w:u w:val="none"/>
          <w:lang w:val="en-US" w:eastAsia="zh-CN"/>
        </w:rPr>
        <w:t>属于谈判文件规定的其他谈判无效情形；</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⑥</w:t>
      </w:r>
      <w:r>
        <w:rPr>
          <w:rFonts w:hint="default" w:ascii="宋体" w:hAnsi="宋体" w:eastAsia="宋体" w:cs="宋体"/>
          <w:sz w:val="24"/>
          <w:szCs w:val="24"/>
          <w:highlight w:val="none"/>
          <w:u w:val="none"/>
          <w:lang w:val="en-US" w:eastAsia="zh-CN"/>
        </w:rPr>
        <w:t>谈判小组认为供应商的报价明显低于其他通过符合性检查供应商的报价，有可能影响履约的，且供应商未按照规定证明其报价合理性的；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⑦</w:t>
      </w:r>
      <w:r>
        <w:rPr>
          <w:rFonts w:hint="default" w:ascii="宋体" w:hAnsi="宋体" w:eastAsia="宋体" w:cs="宋体"/>
          <w:sz w:val="24"/>
          <w:szCs w:val="24"/>
          <w:highlight w:val="none"/>
          <w:u w:val="none"/>
          <w:lang w:val="en-US" w:eastAsia="zh-CN"/>
        </w:rPr>
        <w:t>响应文件含有采购人不能接受的附加条件的；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⑧</w:t>
      </w:r>
      <w:r>
        <w:rPr>
          <w:rFonts w:hint="default" w:ascii="宋体" w:hAnsi="宋体" w:eastAsia="宋体" w:cs="宋体"/>
          <w:sz w:val="24"/>
          <w:szCs w:val="24"/>
          <w:highlight w:val="none"/>
          <w:u w:val="none"/>
          <w:lang w:val="en-US" w:eastAsia="zh-CN"/>
        </w:rPr>
        <w:t>不符合法规和谈判文件中规定的其他实质性要求的。</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2.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sz w:val="24"/>
          <w:szCs w:val="24"/>
          <w:highlight w:val="none"/>
          <w:u w:val="single"/>
          <w:lang w:val="en-US" w:eastAsia="zh-CN"/>
        </w:rPr>
        <w:t xml:space="preserve"> 10 </w:t>
      </w:r>
      <w:r>
        <w:rPr>
          <w:rFonts w:hint="default" w:ascii="宋体" w:hAnsi="宋体" w:eastAsia="宋体" w:cs="宋体"/>
          <w:sz w:val="24"/>
          <w:szCs w:val="24"/>
          <w:highlight w:val="none"/>
          <w:u w:val="none"/>
          <w:lang w:val="en-US" w:eastAsia="zh-CN"/>
        </w:rPr>
        <w:t>%后参与评审。对于同时属于小微企业、监狱企业或残疾人福利性单位的，不重复进行报价扣除。</w:t>
      </w:r>
      <w:r>
        <w:rPr>
          <w:rFonts w:hint="eastAsia" w:ascii="宋体" w:hAnsi="宋体" w:eastAsia="宋体" w:cs="宋体"/>
          <w:b/>
          <w:bCs/>
          <w:sz w:val="24"/>
          <w:szCs w:val="24"/>
          <w:highlight w:val="none"/>
          <w:u w:val="none"/>
          <w:lang w:val="en-US" w:eastAsia="zh-CN"/>
        </w:rPr>
        <w:t>（本项目专门面向中小企业）</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3.</w:t>
      </w:r>
      <w:r>
        <w:rPr>
          <w:rFonts w:hint="eastAsia" w:ascii="宋体" w:hAnsi="宋体" w:eastAsia="宋体" w:cs="宋体"/>
          <w:sz w:val="24"/>
          <w:szCs w:val="24"/>
          <w:highlight w:val="none"/>
          <w:u w:val="none"/>
          <w:lang w:val="en-US" w:eastAsia="zh-CN"/>
        </w:rPr>
        <w:t xml:space="preserve"> </w:t>
      </w:r>
      <w:r>
        <w:rPr>
          <w:rFonts w:hint="default" w:ascii="宋体" w:hAnsi="宋体" w:eastAsia="宋体" w:cs="宋体"/>
          <w:sz w:val="24"/>
          <w:szCs w:val="24"/>
          <w:highlight w:val="none"/>
          <w:u w:val="none"/>
          <w:lang w:val="en-US" w:eastAsia="zh-CN"/>
        </w:rPr>
        <w:t>联合协议中约定，小型、微型企业和监狱企业的协议合同金额占到联合体协议合同总金额30%以上的，可给予联合体</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i w:val="0"/>
          <w:iCs w:val="0"/>
          <w:sz w:val="24"/>
          <w:szCs w:val="24"/>
          <w:highlight w:val="none"/>
          <w:u w:val="single"/>
          <w:lang w:val="en-US" w:eastAsia="zh-CN"/>
        </w:rPr>
        <w:t xml:space="preserve">/  </w:t>
      </w:r>
      <w:r>
        <w:rPr>
          <w:rFonts w:hint="default" w:ascii="宋体" w:hAnsi="宋体" w:eastAsia="宋体" w:cs="宋体"/>
          <w:sz w:val="24"/>
          <w:szCs w:val="24"/>
          <w:highlight w:val="none"/>
          <w:u w:val="none"/>
          <w:lang w:val="en-US" w:eastAsia="zh-CN"/>
        </w:rPr>
        <w:t>%的价格扣除。（本项目不适用）</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联合体各方均为小型、微型企业和监狱企业的，联合体视同为小型、微型企业和监狱企业。</w:t>
      </w:r>
    </w:p>
    <w:p>
      <w:pPr>
        <w:pStyle w:val="19"/>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供应商为提供货物在</w:t>
      </w:r>
      <w:r>
        <w:rPr>
          <w:rFonts w:hint="eastAsia" w:ascii="宋体" w:hAnsi="宋体" w:eastAsia="宋体" w:cs="宋体"/>
          <w:sz w:val="24"/>
          <w:szCs w:val="24"/>
          <w:highlight w:val="none"/>
          <w:u w:val="none"/>
          <w:lang w:val="en-US" w:eastAsia="zh-CN"/>
        </w:rPr>
        <w:t>谈判</w:t>
      </w:r>
      <w:r>
        <w:rPr>
          <w:rFonts w:hint="default" w:ascii="宋体" w:hAnsi="宋体" w:eastAsia="宋体" w:cs="宋体"/>
          <w:sz w:val="24"/>
          <w:szCs w:val="24"/>
          <w:highlight w:val="none"/>
          <w:u w:val="none"/>
          <w:lang w:val="en-US" w:eastAsia="zh-CN"/>
        </w:rPr>
        <w:t>中伴随</w:t>
      </w:r>
      <w:r>
        <w:rPr>
          <w:rFonts w:hint="eastAsia" w:ascii="宋体" w:hAnsi="宋体" w:eastAsia="宋体" w:cs="宋体"/>
          <w:sz w:val="24"/>
          <w:szCs w:val="24"/>
          <w:highlight w:val="none"/>
          <w:u w:val="none"/>
          <w:lang w:val="en-US" w:eastAsia="zh-CN"/>
        </w:rPr>
        <w:t>谈判</w:t>
      </w:r>
      <w:r>
        <w:rPr>
          <w:rFonts w:hint="default" w:ascii="宋体" w:hAnsi="宋体" w:eastAsia="宋体" w:cs="宋体"/>
          <w:sz w:val="24"/>
          <w:szCs w:val="24"/>
          <w:highlight w:val="none"/>
          <w:u w:val="none"/>
          <w:lang w:val="en-US" w:eastAsia="zh-CN"/>
        </w:rPr>
        <w:t>的产品如被列入财政部与国家主管部门颁发的节能产品目录或环境标志产品目录或无线局域网产品目录，应提供相关证明，在评标时予以优先采购，具体优惠措施为：供应商所提供产品应优先选择《关于印发节能产品政府采购品目清单的通知》（财库〔2019〕19号）、《关于印发环境标志产品政府采购品目清单的通知》（财库〔2019〕18号）目录内的产品。</w:t>
      </w:r>
    </w:p>
    <w:p>
      <w:pPr>
        <w:pStyle w:val="19"/>
        <w:keepNext w:val="0"/>
        <w:keepLines w:val="0"/>
        <w:pageBreakBefore w:val="0"/>
        <w:widowControl w:val="0"/>
        <w:numPr>
          <w:ilvl w:val="0"/>
          <w:numId w:val="12"/>
        </w:numPr>
        <w:kinsoku/>
        <w:wordWrap/>
        <w:overflowPunct/>
        <w:topLinePunct w:val="0"/>
        <w:autoSpaceDE/>
        <w:autoSpaceDN/>
        <w:bidi w:val="0"/>
        <w:adjustRightInd/>
        <w:snapToGrid w:val="0"/>
        <w:spacing w:line="360" w:lineRule="auto"/>
        <w:ind w:left="0" w:leftChars="0"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对创新产品或创新性企业的优惠措施为：</w:t>
      </w:r>
      <w:r>
        <w:rPr>
          <w:rFonts w:hint="eastAsia" w:ascii="宋体" w:hAnsi="宋体" w:eastAsia="宋体" w:cs="宋体"/>
          <w:sz w:val="24"/>
          <w:szCs w:val="24"/>
          <w:highlight w:val="none"/>
          <w:u w:val="none"/>
          <w:lang w:val="en-US" w:eastAsia="zh-CN"/>
        </w:rPr>
        <w:t>/</w:t>
      </w:r>
      <w:r>
        <w:rPr>
          <w:rFonts w:hint="default" w:ascii="宋体" w:hAnsi="宋体" w:eastAsia="宋体" w:cs="宋体"/>
          <w:sz w:val="24"/>
          <w:szCs w:val="24"/>
          <w:highlight w:val="none"/>
          <w:u w:val="none"/>
          <w:lang w:val="en-US" w:eastAsia="zh-CN"/>
        </w:rPr>
        <w:t xml:space="preserve">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6. </w:t>
      </w:r>
      <w:r>
        <w:rPr>
          <w:rFonts w:hint="default" w:ascii="宋体" w:hAnsi="宋体" w:eastAsia="宋体" w:cs="宋体"/>
          <w:sz w:val="24"/>
          <w:szCs w:val="24"/>
          <w:highlight w:val="none"/>
          <w:u w:val="none"/>
          <w:lang w:val="en-US" w:eastAsia="zh-CN"/>
        </w:rPr>
        <w:t>报价相同的处理方式：</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采用最低评标价法的，评标结果按投标报价由低到高顺序排列。投标报价相同的并列。投标文件满足招标文件全部实质性要求且投标报价最低的投标人为排名第一的中标候选人。</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jc w:val="left"/>
        <w:textAlignment w:val="auto"/>
        <w:rPr>
          <w:rFonts w:hint="default"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w:t>
      </w:r>
      <w:r>
        <w:rPr>
          <w:rFonts w:hint="default" w:ascii="宋体" w:hAnsi="宋体" w:eastAsia="宋体" w:cs="宋体"/>
          <w:sz w:val="24"/>
          <w:szCs w:val="24"/>
          <w:highlight w:val="none"/>
          <w:u w:val="none"/>
          <w:lang w:val="en-US" w:eastAsia="zh-CN"/>
        </w:rPr>
        <w:t xml:space="preserve">成交候选人并列时的处理方式：   </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highlight w:val="none"/>
          <w:u w:val="none"/>
          <w:lang w:val="en-US" w:eastAsia="zh-CN"/>
        </w:rPr>
      </w:pPr>
      <w:r>
        <w:rPr>
          <w:rFonts w:hint="default" w:ascii="宋体" w:hAnsi="宋体" w:eastAsia="宋体" w:cs="宋体"/>
          <w:sz w:val="24"/>
          <w:szCs w:val="24"/>
          <w:highlight w:val="none"/>
          <w:u w:val="none"/>
          <w:lang w:val="en-US" w:eastAsia="zh-CN"/>
        </w:rPr>
        <w:t>采用最低评审办法：自收到评审报告之日起2个工作日内，在评审报告确定的三名成交候选人名单中按顺序确定成交人。招标文件未规定的，采取随机抽取的方式确定。</w:t>
      </w: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宋体" w:hAnsi="宋体" w:eastAsia="宋体" w:cs="宋体"/>
          <w:sz w:val="32"/>
          <w:szCs w:val="32"/>
          <w:highlight w:val="none"/>
          <w:u w:val="none"/>
          <w:lang w:val="en-US" w:eastAsia="zh-CN"/>
        </w:rPr>
      </w:pPr>
    </w:p>
    <w:p>
      <w:pPr>
        <w:pStyle w:val="2"/>
        <w:spacing w:before="0" w:line="400" w:lineRule="exact"/>
        <w:jc w:val="both"/>
        <w:rPr>
          <w:rFonts w:hint="eastAsia" w:ascii="宋体" w:hAnsi="宋体" w:eastAsia="宋体" w:cs="宋体"/>
          <w:b/>
          <w:bCs/>
        </w:rPr>
      </w:pPr>
    </w:p>
    <w:p>
      <w:pPr>
        <w:rPr>
          <w:rFonts w:hint="eastAsia" w:ascii="宋体" w:hAnsi="宋体" w:eastAsia="宋体" w:cs="宋体"/>
          <w:b/>
          <w:bCs/>
        </w:rPr>
      </w:pPr>
    </w:p>
    <w:p>
      <w:pPr>
        <w:pStyle w:val="5"/>
        <w:outlineLvl w:val="9"/>
        <w:rPr>
          <w:rFonts w:hint="eastAsia" w:ascii="宋体" w:hAnsi="宋体" w:eastAsia="宋体" w:cs="宋体"/>
          <w:b/>
          <w:bCs/>
        </w:rPr>
      </w:pPr>
    </w:p>
    <w:p>
      <w:pPr>
        <w:pStyle w:val="6"/>
        <w:rPr>
          <w:rFonts w:hint="eastAsia" w:ascii="宋体" w:hAnsi="宋体" w:eastAsia="宋体" w:cs="宋体"/>
          <w:b/>
          <w:bCs/>
        </w:rPr>
      </w:pPr>
    </w:p>
    <w:p>
      <w:pPr>
        <w:pStyle w:val="7"/>
        <w:rPr>
          <w:rFonts w:hint="eastAsia" w:ascii="宋体" w:hAnsi="宋体" w:eastAsia="宋体" w:cs="宋体"/>
          <w:b/>
          <w:bCs/>
        </w:rPr>
      </w:pPr>
    </w:p>
    <w:p>
      <w:pPr>
        <w:rPr>
          <w:rFonts w:hint="eastAsia" w:ascii="宋体" w:hAnsi="宋体" w:eastAsia="宋体" w:cs="宋体"/>
          <w:b/>
          <w:bCs/>
        </w:rPr>
      </w:pPr>
    </w:p>
    <w:p>
      <w:pPr>
        <w:pStyle w:val="4"/>
        <w:jc w:val="center"/>
        <w:outlineLvl w:val="0"/>
        <w:rPr>
          <w:rFonts w:hint="eastAsia" w:ascii="宋体" w:hAnsi="宋体" w:eastAsia="宋体" w:cs="宋体"/>
          <w:b w:val="0"/>
          <w:bCs/>
          <w:sz w:val="32"/>
          <w:szCs w:val="21"/>
        </w:rPr>
      </w:pPr>
      <w:bookmarkStart w:id="529" w:name="_Toc312"/>
      <w:bookmarkStart w:id="530" w:name="_Toc27265"/>
      <w:r>
        <w:rPr>
          <w:rFonts w:hint="eastAsia" w:ascii="宋体" w:hAnsi="宋体" w:eastAsia="宋体" w:cs="宋体"/>
          <w:b w:val="0"/>
          <w:bCs/>
          <w:sz w:val="32"/>
          <w:szCs w:val="21"/>
        </w:rPr>
        <w:t>符合性审查表</w:t>
      </w:r>
      <w:bookmarkEnd w:id="529"/>
      <w:bookmarkEnd w:id="530"/>
    </w:p>
    <w:tbl>
      <w:tblPr>
        <w:tblStyle w:val="24"/>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71"/>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pacing w:val="-2"/>
                <w:sz w:val="22"/>
                <w:szCs w:val="22"/>
              </w:rPr>
            </w:pPr>
            <w:r>
              <w:rPr>
                <w:rFonts w:hint="eastAsia" w:ascii="宋体" w:hAnsi="宋体" w:eastAsia="宋体" w:cs="宋体"/>
                <w:b/>
                <w:spacing w:val="-2"/>
                <w:sz w:val="22"/>
                <w:szCs w:val="22"/>
              </w:rPr>
              <w:t>评审内容</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r>
              <w:rPr>
                <w:rFonts w:hint="eastAsia" w:ascii="宋体" w:hAnsi="宋体" w:eastAsia="宋体" w:cs="宋体"/>
                <w:b/>
                <w:sz w:val="22"/>
                <w:szCs w:val="22"/>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r>
              <w:rPr>
                <w:rFonts w:hint="eastAsia" w:ascii="宋体" w:hAnsi="宋体" w:eastAsia="宋体" w:cs="宋体"/>
                <w:sz w:val="22"/>
                <w:szCs w:val="22"/>
              </w:rPr>
              <w:t>序号</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lang w:eastAsia="zh-CN"/>
              </w:rPr>
            </w:pPr>
            <w:r>
              <w:rPr>
                <w:rFonts w:hint="eastAsia" w:ascii="宋体" w:hAnsi="宋体" w:eastAsia="宋体" w:cs="宋体"/>
                <w:spacing w:val="-2"/>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谈判报价</w:t>
            </w:r>
            <w:r>
              <w:rPr>
                <w:rFonts w:hint="eastAsia" w:ascii="宋体" w:hAnsi="宋体" w:eastAsia="宋体" w:cs="宋体"/>
                <w:kern w:val="0"/>
                <w:sz w:val="22"/>
                <w:szCs w:val="22"/>
                <w:lang w:val="en-US" w:eastAsia="zh-CN"/>
              </w:rPr>
              <w:t>没有超过</w:t>
            </w:r>
            <w:r>
              <w:rPr>
                <w:rFonts w:hint="eastAsia" w:ascii="宋体" w:hAnsi="宋体" w:eastAsia="宋体" w:cs="宋体"/>
                <w:kern w:val="0"/>
                <w:sz w:val="22"/>
                <w:szCs w:val="22"/>
              </w:rPr>
              <w:t>预算金额；</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2</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评标委员会认为投标人的报价无明显低于其他通过符合性审查投标 人的报价的，投标人的报价不存在异常一致并成规律性的，其报价合理；</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3</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供应商之间或者供应商与采购人没有串通参加谈判；</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4</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没有以行贿手段谋取成交或者以其他弄虚作假方式参加谈判；</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5</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响应文件按照谈判文件的规定编制、标记及签署盖章的，法定代表 人或其授权代表签字（章）和加盖投标单位公章的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6</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项目完成期限不高于谈判文件规定期限；</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7</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响应文件载明的技术规格、技术标准，符合谈判文件要求；</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8</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供应商附有详细地址、联系人、电话标明；</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9</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不同供应商的响应文件不存在错漏一致的情况；</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2"/>
                <w:szCs w:val="22"/>
              </w:rPr>
            </w:pPr>
            <w:r>
              <w:rPr>
                <w:rFonts w:hint="eastAsia" w:ascii="宋体" w:hAnsi="宋体" w:eastAsia="宋体" w:cs="宋体"/>
                <w:kern w:val="0"/>
                <w:sz w:val="22"/>
                <w:szCs w:val="22"/>
              </w:rPr>
              <w:t>10</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响应文件无附有采购人不能接受条件的；</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11</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kern w:val="0"/>
                <w:sz w:val="22"/>
                <w:szCs w:val="22"/>
                <w:lang w:val="en-US"/>
              </w:rPr>
            </w:pPr>
            <w:r>
              <w:rPr>
                <w:rFonts w:hint="eastAsia" w:ascii="宋体" w:hAnsi="宋体" w:eastAsia="宋体" w:cs="宋体"/>
                <w:kern w:val="0"/>
                <w:sz w:val="22"/>
                <w:szCs w:val="22"/>
                <w:lang w:val="en-US" w:eastAsia="zh-CN"/>
              </w:rPr>
              <w:t>中小企业声明函；</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2"/>
                <w:szCs w:val="22"/>
                <w:lang w:val="en-US" w:eastAsia="zh-CN"/>
              </w:rPr>
            </w:pPr>
            <w:r>
              <w:rPr>
                <w:rFonts w:hint="eastAsia" w:ascii="宋体" w:hAnsi="宋体" w:eastAsia="宋体" w:cs="宋体"/>
                <w:kern w:val="0"/>
                <w:sz w:val="22"/>
                <w:szCs w:val="22"/>
                <w:lang w:val="en-US" w:eastAsia="zh-CN"/>
              </w:rPr>
              <w:t>12</w:t>
            </w:r>
          </w:p>
        </w:tc>
        <w:tc>
          <w:tcPr>
            <w:tcW w:w="677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2"/>
                <w:szCs w:val="22"/>
              </w:rPr>
            </w:pPr>
            <w:r>
              <w:rPr>
                <w:rFonts w:hint="eastAsia" w:ascii="宋体" w:hAnsi="宋体" w:eastAsia="宋体" w:cs="宋体"/>
                <w:kern w:val="0"/>
                <w:sz w:val="22"/>
                <w:szCs w:val="22"/>
              </w:rPr>
              <w:t>谈判小组共同确定没有实质上不响应谈判文件要求的其他情形。</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pacing w:val="-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1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r>
              <w:rPr>
                <w:rFonts w:hint="eastAsia" w:ascii="宋体" w:hAnsi="宋体" w:eastAsia="宋体" w:cs="宋体"/>
                <w:spacing w:val="-2"/>
                <w:sz w:val="22"/>
                <w:szCs w:val="22"/>
              </w:rPr>
              <w:t>结论：通过评审打“√”，未通过评审打“×”</w:t>
            </w:r>
          </w:p>
        </w:tc>
        <w:tc>
          <w:tcPr>
            <w:tcW w:w="14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388" w:firstLineChars="180"/>
              <w:jc w:val="center"/>
              <w:textAlignment w:val="auto"/>
              <w:rPr>
                <w:rFonts w:hint="eastAsia" w:ascii="宋体" w:hAnsi="宋体" w:eastAsia="宋体" w:cs="宋体"/>
                <w:spacing w:val="-2"/>
                <w:sz w:val="22"/>
                <w:szCs w:val="22"/>
              </w:rPr>
            </w:pP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（1）上述各项中用“√”表示</w:t>
      </w:r>
      <w:r>
        <w:rPr>
          <w:rFonts w:hint="eastAsia" w:ascii="宋体" w:hAnsi="宋体" w:eastAsia="宋体" w:cs="宋体"/>
          <w:sz w:val="22"/>
          <w:szCs w:val="22"/>
          <w:lang w:eastAsia="zh-CN"/>
        </w:rPr>
        <w:t>合格</w:t>
      </w:r>
      <w:r>
        <w:rPr>
          <w:rFonts w:hint="eastAsia" w:ascii="宋体" w:hAnsi="宋体" w:eastAsia="宋体" w:cs="宋体"/>
          <w:sz w:val="22"/>
          <w:szCs w:val="22"/>
        </w:rPr>
        <w:t>，“×”表示不</w:t>
      </w:r>
      <w:r>
        <w:rPr>
          <w:rFonts w:hint="eastAsia" w:ascii="宋体" w:hAnsi="宋体" w:eastAsia="宋体" w:cs="宋体"/>
          <w:sz w:val="22"/>
          <w:szCs w:val="22"/>
          <w:lang w:eastAsia="zh-CN"/>
        </w:rPr>
        <w:t>合格</w:t>
      </w:r>
      <w:r>
        <w:rPr>
          <w:rFonts w:hint="eastAsia" w:ascii="宋体" w:hAnsi="宋体" w:eastAsia="宋体" w:cs="宋体"/>
          <w:sz w:val="22"/>
          <w:szCs w:val="22"/>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（2）上述各项中如有一项为“×”，则结论为“</w:t>
      </w:r>
      <w:r>
        <w:rPr>
          <w:rFonts w:hint="eastAsia" w:ascii="宋体" w:hAnsi="宋体" w:eastAsia="宋体" w:cs="宋体"/>
          <w:sz w:val="22"/>
          <w:szCs w:val="22"/>
          <w:lang w:eastAsia="zh-CN"/>
        </w:rPr>
        <w:t>不通过</w:t>
      </w:r>
      <w:r>
        <w:rPr>
          <w:rFonts w:hint="eastAsia" w:ascii="宋体" w:hAnsi="宋体" w:eastAsia="宋体" w:cs="宋体"/>
          <w:sz w:val="22"/>
          <w:szCs w:val="22"/>
        </w:rPr>
        <w:t>”，表示该响应文件中存在重大偏差，不能通过初步评审；评委对某一分项评审认为不合格时，必须要写明原因。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2"/>
          <w:szCs w:val="22"/>
        </w:rPr>
      </w:pPr>
      <w:r>
        <w:rPr>
          <w:rFonts w:hint="eastAsia" w:ascii="宋体" w:hAnsi="宋体" w:eastAsia="宋体" w:cs="宋体"/>
          <w:sz w:val="22"/>
          <w:szCs w:val="22"/>
        </w:rPr>
        <w:t>（3）响应文件最终合格与否，以所有评委的评审意见中少数服从多数为原则定论。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2"/>
          <w:szCs w:val="22"/>
        </w:rPr>
      </w:pPr>
      <w:r>
        <w:rPr>
          <w:rFonts w:hint="eastAsia" w:ascii="宋体" w:hAnsi="宋体" w:eastAsia="宋体" w:cs="宋体"/>
          <w:b/>
          <w:bCs/>
          <w:sz w:val="22"/>
          <w:szCs w:val="22"/>
        </w:rPr>
        <w:t>备注：如果响应文件中有一项未通过上述审查标准，谈判小组会将认定整个响应文件未响应谈判文件而予以无效处理。</w:t>
      </w:r>
    </w:p>
    <w:p>
      <w:pPr>
        <w:pStyle w:val="23"/>
        <w:rPr>
          <w:rFonts w:hint="eastAsia" w:ascii="宋体" w:hAnsi="宋体" w:eastAsia="宋体" w:cs="宋体"/>
          <w:b/>
          <w:bCs/>
          <w:sz w:val="22"/>
          <w:szCs w:val="22"/>
        </w:rPr>
      </w:pPr>
    </w:p>
    <w:p>
      <w:pPr>
        <w:jc w:val="left"/>
        <w:rPr>
          <w:rFonts w:hint="eastAsia" w:ascii="宋体" w:hAnsi="宋体" w:cs="宋体"/>
          <w:b/>
          <w:bCs/>
          <w:kern w:val="0"/>
          <w:sz w:val="32"/>
          <w:szCs w:val="32"/>
        </w:rPr>
      </w:pPr>
    </w:p>
    <w:p>
      <w:pPr>
        <w:pStyle w:val="3"/>
        <w:numPr>
          <w:ilvl w:val="0"/>
          <w:numId w:val="0"/>
        </w:numPr>
        <w:tabs>
          <w:tab w:val="left" w:pos="0"/>
        </w:tabs>
        <w:spacing w:before="0" w:after="0" w:line="240" w:lineRule="atLeast"/>
        <w:ind w:left="-15" w:leftChars="0"/>
        <w:rPr>
          <w:rFonts w:hint="eastAsia" w:hAnsi="宋体" w:cs="宋体"/>
          <w:b/>
          <w:bCs w:val="0"/>
          <w:color w:val="000000"/>
          <w:highlight w:val="none"/>
        </w:rPr>
      </w:pPr>
      <w:bookmarkStart w:id="531" w:name="_Toc2911"/>
      <w:bookmarkStart w:id="532" w:name="_Toc3496"/>
      <w:r>
        <w:rPr>
          <w:rFonts w:hint="eastAsia" w:cs="宋体"/>
          <w:b/>
          <w:bCs w:val="0"/>
          <w:color w:val="000000"/>
          <w:highlight w:val="none"/>
          <w:lang w:val="en-US" w:eastAsia="zh-CN"/>
        </w:rPr>
        <w:t>第七章</w:t>
      </w:r>
      <w:r>
        <w:rPr>
          <w:rFonts w:hint="eastAsia" w:hAnsi="宋体" w:cs="宋体"/>
          <w:b/>
          <w:bCs w:val="0"/>
          <w:color w:val="000000"/>
          <w:highlight w:val="none"/>
          <w:lang w:val="en-US" w:eastAsia="zh-CN"/>
        </w:rPr>
        <w:t xml:space="preserve"> </w:t>
      </w:r>
      <w:r>
        <w:rPr>
          <w:rFonts w:hint="eastAsia" w:hAnsi="宋体" w:cs="宋体"/>
          <w:b/>
          <w:bCs w:val="0"/>
          <w:color w:val="000000"/>
          <w:highlight w:val="none"/>
        </w:rPr>
        <w:t>政府采购合同</w:t>
      </w:r>
      <w:bookmarkEnd w:id="531"/>
      <w:bookmarkEnd w:id="532"/>
      <w:bookmarkStart w:id="533" w:name="_Hlt487972895"/>
      <w:bookmarkEnd w:id="533"/>
      <w:bookmarkStart w:id="534" w:name="_Toc216513788"/>
      <w:bookmarkStart w:id="535" w:name="_Toc487900382"/>
    </w:p>
    <w:bookmarkEnd w:id="534"/>
    <w:bookmarkEnd w:id="535"/>
    <w:p>
      <w:pPr>
        <w:spacing w:line="240" w:lineRule="atLeast"/>
        <w:rPr>
          <w:rFonts w:hint="eastAsia" w:ascii="宋体" w:hAnsi="宋体" w:cs="宋体"/>
          <w:b/>
          <w:color w:val="000000"/>
          <w:kern w:val="44"/>
          <w:sz w:val="32"/>
          <w:szCs w:val="20"/>
          <w:highlight w:val="none"/>
        </w:rPr>
      </w:pPr>
    </w:p>
    <w:p>
      <w:pPr>
        <w:rPr>
          <w:rFonts w:hint="eastAsia" w:ascii="宋体" w:hAnsi="宋体" w:cs="宋体"/>
          <w:color w:val="000000"/>
          <w:sz w:val="24"/>
          <w:highlight w:val="none"/>
        </w:rPr>
      </w:pPr>
    </w:p>
    <w:p>
      <w:pPr>
        <w:rPr>
          <w:rFonts w:hint="eastAsia" w:ascii="宋体" w:hAnsi="宋体" w:cs="宋体"/>
          <w:color w:val="000000"/>
          <w:sz w:val="24"/>
          <w:highlight w:val="none"/>
        </w:rPr>
      </w:pPr>
    </w:p>
    <w:p>
      <w:pPr>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41"/>
        <w:ind w:firstLine="0"/>
        <w:rPr>
          <w:rFonts w:hint="eastAsia" w:hAnsi="宋体" w:cs="宋体"/>
          <w:color w:val="000000"/>
          <w:szCs w:val="24"/>
          <w:highlight w:val="none"/>
        </w:rPr>
      </w:pPr>
    </w:p>
    <w:p>
      <w:pPr>
        <w:pStyle w:val="41"/>
        <w:ind w:firstLine="0"/>
        <w:rPr>
          <w:rFonts w:hint="eastAsia" w:hAnsi="宋体" w:cs="宋体"/>
          <w:color w:val="000000"/>
          <w:szCs w:val="24"/>
          <w:highlight w:val="none"/>
        </w:rPr>
      </w:pPr>
    </w:p>
    <w:p>
      <w:pPr>
        <w:pStyle w:val="41"/>
        <w:ind w:firstLine="0"/>
        <w:rPr>
          <w:rFonts w:hint="eastAsia" w:hAnsi="宋体" w:cs="宋体"/>
          <w:color w:val="000000"/>
          <w:szCs w:val="24"/>
          <w:highlight w:val="none"/>
        </w:rPr>
      </w:pPr>
    </w:p>
    <w:p>
      <w:pPr>
        <w:pStyle w:val="41"/>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pStyle w:val="41"/>
        <w:ind w:firstLine="0"/>
        <w:rPr>
          <w:rFonts w:hint="eastAsia" w:hAnsi="宋体" w:cs="宋体"/>
          <w:color w:val="000000"/>
          <w:szCs w:val="24"/>
          <w:highlight w:val="none"/>
        </w:rPr>
      </w:pPr>
    </w:p>
    <w:p>
      <w:pPr>
        <w:pStyle w:val="41"/>
        <w:ind w:firstLine="0"/>
        <w:rPr>
          <w:rFonts w:hint="eastAsia" w:hAnsi="宋体" w:cs="宋体"/>
          <w:color w:val="000000"/>
          <w:szCs w:val="24"/>
          <w:highlight w:val="none"/>
        </w:rPr>
      </w:pP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42"/>
        <w:spacing w:before="120" w:line="22" w:lineRule="atLeast"/>
        <w:rPr>
          <w:rFonts w:hint="eastAsia" w:ascii="宋体" w:hAnsi="宋体" w:eastAsia="宋体" w:cs="宋体"/>
          <w:color w:val="000000"/>
          <w:szCs w:val="24"/>
          <w:highlight w:val="none"/>
        </w:rPr>
      </w:pPr>
    </w:p>
    <w:p>
      <w:pPr>
        <w:pStyle w:val="42"/>
        <w:spacing w:before="120" w:line="22" w:lineRule="atLeast"/>
        <w:rPr>
          <w:rFonts w:hint="eastAsia" w:ascii="宋体" w:hAnsi="宋体" w:eastAsia="宋体" w:cs="宋体"/>
          <w:color w:val="000000"/>
          <w:szCs w:val="24"/>
          <w:highlight w:val="none"/>
        </w:rPr>
      </w:pPr>
    </w:p>
    <w:p>
      <w:pPr>
        <w:rPr>
          <w:rFonts w:hint="eastAsia" w:ascii="宋体" w:hAnsi="宋体" w:cs="宋体"/>
          <w:color w:val="000000"/>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autoSpaceDE w:val="0"/>
        <w:autoSpaceDN w:val="0"/>
        <w:adjustRightInd w:val="0"/>
        <w:spacing w:line="600" w:lineRule="exact"/>
        <w:ind w:firstLine="640"/>
        <w:jc w:val="center"/>
        <w:rPr>
          <w:rFonts w:hint="eastAsia" w:ascii="宋体" w:hAnsi="宋体" w:cs="宋体"/>
          <w:color w:val="000000"/>
          <w:sz w:val="24"/>
          <w:highlight w:val="none"/>
        </w:rPr>
        <w:sectPr>
          <w:headerReference r:id="rId10" w:type="first"/>
          <w:footerReference r:id="rId13" w:type="first"/>
          <w:headerReference r:id="rId8" w:type="default"/>
          <w:footerReference r:id="rId11" w:type="default"/>
          <w:headerReference r:id="rId9" w:type="even"/>
          <w:footerReference r:id="rId12" w:type="even"/>
          <w:pgSz w:w="11911" w:h="16840"/>
          <w:pgMar w:top="1899" w:right="1332" w:bottom="1519" w:left="1123" w:header="850" w:footer="1247" w:gutter="0"/>
          <w:pgNumType w:fmt="decimal"/>
          <w:cols w:space="0" w:num="1"/>
          <w:rtlGutter w:val="0"/>
          <w:docGrid w:linePitch="462" w:charSpace="0"/>
        </w:sectPr>
      </w:pP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发出之日起三十日内，按照采购文件确定的事项签订本合同。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w:t>
      </w:r>
      <w:r>
        <w:rPr>
          <w:rFonts w:hint="eastAsia" w:ascii="宋体" w:hAnsi="宋体" w:cs="宋体"/>
          <w:color w:val="000000"/>
          <w:sz w:val="24"/>
          <w:highlight w:val="none"/>
          <w:lang w:val="en-US" w:eastAsia="zh-CN"/>
        </w:rPr>
        <w:t>民法典</w:t>
      </w:r>
      <w:r>
        <w:rPr>
          <w:rFonts w:hint="eastAsia" w:ascii="宋体" w:hAnsi="宋体" w:cs="宋体"/>
          <w:color w:val="000000"/>
          <w:sz w:val="24"/>
          <w:highlight w:val="none"/>
          <w:lang w:val="zh-CN"/>
        </w:rPr>
        <w:t>》、《中华人民共和国政府采购法》等相关法律法规之规定，按照平等、自愿、公平和诚实信用的原则，经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560" w:lineRule="exact"/>
        <w:ind w:firstLine="482" w:firstLineChars="200"/>
        <w:outlineLvl w:val="9"/>
        <w:rPr>
          <w:rFonts w:hint="eastAsia" w:ascii="宋体" w:hAnsi="宋体" w:cs="宋体"/>
          <w:b/>
          <w:color w:val="000000"/>
          <w:sz w:val="24"/>
          <w:highlight w:val="none"/>
        </w:rPr>
      </w:pPr>
      <w:bookmarkStart w:id="536" w:name="_Toc3029"/>
      <w:bookmarkStart w:id="537" w:name="_Toc24059"/>
      <w:bookmarkStart w:id="538" w:name="_Toc2232"/>
      <w:r>
        <w:rPr>
          <w:rFonts w:hint="eastAsia" w:ascii="宋体" w:hAnsi="宋体" w:cs="宋体"/>
          <w:b/>
          <w:color w:val="000000"/>
          <w:sz w:val="24"/>
          <w:highlight w:val="none"/>
        </w:rPr>
        <w:t>1.1 合同组成部分</w:t>
      </w:r>
      <w:bookmarkEnd w:id="536"/>
      <w:bookmarkEnd w:id="537"/>
      <w:bookmarkEnd w:id="53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1.1.2 </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1.1.3 </w:t>
      </w:r>
      <w:r>
        <w:rPr>
          <w:rFonts w:hint="eastAsia" w:ascii="宋体" w:hAnsi="宋体" w:cs="宋体"/>
          <w:color w:val="000000"/>
          <w:sz w:val="24"/>
          <w:highlight w:val="none"/>
          <w:lang w:eastAsia="zh-CN"/>
        </w:rPr>
        <w:t>响应文件</w:t>
      </w:r>
      <w:r>
        <w:rPr>
          <w:rFonts w:hint="eastAsia" w:ascii="宋体" w:hAnsi="宋体" w:cs="宋体"/>
          <w:color w:val="000000"/>
          <w:sz w:val="24"/>
          <w:highlight w:val="none"/>
        </w:rPr>
        <w:t>（含澄清或者说明文件）；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1.1.4 </w:t>
      </w:r>
      <w:r>
        <w:rPr>
          <w:rFonts w:hint="eastAsia" w:ascii="宋体" w:hAnsi="宋体" w:cs="宋体"/>
          <w:color w:val="000000"/>
          <w:sz w:val="24"/>
          <w:highlight w:val="none"/>
          <w:lang w:eastAsia="zh-CN"/>
        </w:rPr>
        <w:t>询价文件</w:t>
      </w:r>
      <w:r>
        <w:rPr>
          <w:rFonts w:hint="eastAsia" w:ascii="宋体" w:hAnsi="宋体" w:cs="宋体"/>
          <w:color w:val="000000"/>
          <w:sz w:val="24"/>
          <w:highlight w:val="none"/>
        </w:rPr>
        <w:t>（含澄清或者修改文件）；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560" w:lineRule="exact"/>
        <w:ind w:firstLine="482" w:firstLineChars="200"/>
        <w:outlineLvl w:val="9"/>
        <w:rPr>
          <w:rFonts w:hint="eastAsia" w:ascii="宋体" w:hAnsi="宋体" w:cs="宋体"/>
          <w:b/>
          <w:color w:val="000000"/>
          <w:sz w:val="24"/>
          <w:highlight w:val="none"/>
        </w:rPr>
      </w:pPr>
      <w:bookmarkStart w:id="539" w:name="_Toc21295"/>
      <w:bookmarkStart w:id="540" w:name="_Toc24300"/>
      <w:bookmarkStart w:id="541" w:name="_Toc27126"/>
      <w:r>
        <w:rPr>
          <w:rFonts w:hint="eastAsia" w:ascii="宋体" w:hAnsi="宋体" w:cs="宋体"/>
          <w:b/>
          <w:color w:val="000000"/>
          <w:sz w:val="24"/>
          <w:highlight w:val="none"/>
        </w:rPr>
        <w:t>1.2 货物</w:t>
      </w:r>
      <w:bookmarkEnd w:id="539"/>
      <w:bookmarkEnd w:id="540"/>
      <w:bookmarkEnd w:id="541"/>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542" w:name="_Toc21551"/>
      <w:bookmarkStart w:id="543" w:name="_Toc21631"/>
      <w:bookmarkStart w:id="544" w:name="_Toc23292"/>
      <w:r>
        <w:rPr>
          <w:rFonts w:hint="eastAsia" w:ascii="宋体" w:hAnsi="宋体" w:cs="宋体"/>
          <w:b/>
          <w:color w:val="000000"/>
          <w:sz w:val="24"/>
          <w:highlight w:val="none"/>
        </w:rPr>
        <w:t>1.3 价款</w:t>
      </w:r>
      <w:bookmarkEnd w:id="542"/>
      <w:bookmarkEnd w:id="543"/>
      <w:bookmarkEnd w:id="54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序号</w:t>
            </w:r>
          </w:p>
        </w:tc>
        <w:tc>
          <w:tcPr>
            <w:tcW w:w="340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分项名称</w:t>
            </w:r>
          </w:p>
        </w:tc>
        <w:tc>
          <w:tcPr>
            <w:tcW w:w="2552" w:type="dxa"/>
            <w:noWrap w:val="0"/>
            <w:vAlign w:val="center"/>
          </w:tcPr>
          <w:p>
            <w:pPr>
              <w:pStyle w:val="43"/>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340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255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340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255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340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255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340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c>
          <w:tcPr>
            <w:tcW w:w="255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总价</w:t>
            </w:r>
          </w:p>
        </w:tc>
        <w:tc>
          <w:tcPr>
            <w:tcW w:w="2552" w:type="dxa"/>
            <w:noWrap w:val="0"/>
            <w:vAlign w:val="center"/>
          </w:tcPr>
          <w:p>
            <w:pPr>
              <w:pStyle w:val="43"/>
              <w:spacing w:line="560" w:lineRule="exact"/>
              <w:ind w:firstLine="200"/>
              <w:jc w:val="center"/>
              <w:rPr>
                <w:rFonts w:hint="eastAsia" w:hAnsi="宋体" w:cs="宋体"/>
                <w:color w:val="000000"/>
                <w:kern w:val="2"/>
                <w:sz w:val="24"/>
                <w:szCs w:val="24"/>
                <w:highlight w:val="none"/>
                <w:lang w:val="en-US" w:eastAsia="zh-CN"/>
              </w:rPr>
            </w:pPr>
          </w:p>
        </w:tc>
      </w:tr>
    </w:tbl>
    <w:p>
      <w:pPr>
        <w:spacing w:line="560" w:lineRule="exact"/>
        <w:ind w:firstLine="482" w:firstLineChars="200"/>
        <w:outlineLvl w:val="9"/>
        <w:rPr>
          <w:rFonts w:hint="eastAsia" w:ascii="宋体" w:hAnsi="宋体" w:cs="宋体"/>
          <w:b/>
          <w:color w:val="000000"/>
          <w:sz w:val="24"/>
          <w:highlight w:val="none"/>
        </w:rPr>
      </w:pPr>
      <w:bookmarkStart w:id="545" w:name="_Toc10340"/>
      <w:bookmarkStart w:id="546" w:name="_Toc1814"/>
      <w:bookmarkStart w:id="547" w:name="_Toc22618"/>
      <w:r>
        <w:rPr>
          <w:rFonts w:hint="eastAsia" w:ascii="宋体" w:hAnsi="宋体" w:cs="宋体"/>
          <w:b/>
          <w:color w:val="000000"/>
          <w:sz w:val="24"/>
          <w:highlight w:val="none"/>
        </w:rPr>
        <w:t>1.4 付款方式和发票开具方式</w:t>
      </w:r>
      <w:bookmarkEnd w:id="545"/>
      <w:bookmarkEnd w:id="546"/>
      <w:bookmarkEnd w:id="54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1.4.1 付款方式：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548" w:name="_Toc19304"/>
      <w:bookmarkStart w:id="549" w:name="_Toc2846"/>
      <w:bookmarkStart w:id="550" w:name="_Toc32071"/>
      <w:r>
        <w:rPr>
          <w:rFonts w:hint="eastAsia" w:ascii="宋体" w:hAnsi="宋体" w:cs="宋体"/>
          <w:b/>
          <w:color w:val="000000"/>
          <w:sz w:val="24"/>
          <w:highlight w:val="none"/>
        </w:rPr>
        <w:t>1.5 货物交付期限、地点和方式</w:t>
      </w:r>
      <w:bookmarkEnd w:id="548"/>
      <w:bookmarkEnd w:id="549"/>
      <w:bookmarkEnd w:id="550"/>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551" w:name="_Toc27250"/>
      <w:bookmarkStart w:id="552" w:name="_Toc19554"/>
      <w:bookmarkStart w:id="553" w:name="_Toc21423"/>
      <w:r>
        <w:rPr>
          <w:rFonts w:hint="eastAsia" w:ascii="宋体" w:hAnsi="宋体" w:cs="宋体"/>
          <w:b/>
          <w:color w:val="000000"/>
          <w:sz w:val="24"/>
          <w:highlight w:val="none"/>
        </w:rPr>
        <w:t>1.6 违约责任</w:t>
      </w:r>
      <w:bookmarkEnd w:id="551"/>
      <w:bookmarkEnd w:id="552"/>
      <w:bookmarkEnd w:id="55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9"/>
        <w:rPr>
          <w:rFonts w:hint="eastAsia" w:ascii="宋体" w:hAnsi="宋体" w:cs="宋体"/>
          <w:b/>
          <w:color w:val="000000"/>
          <w:sz w:val="24"/>
          <w:highlight w:val="none"/>
        </w:rPr>
      </w:pPr>
      <w:bookmarkStart w:id="554" w:name="_Toc15583"/>
      <w:bookmarkStart w:id="555" w:name="_Toc28375"/>
      <w:bookmarkStart w:id="556" w:name="_Toc16021"/>
      <w:r>
        <w:rPr>
          <w:rFonts w:hint="eastAsia" w:ascii="宋体" w:hAnsi="宋体" w:cs="宋体"/>
          <w:b/>
          <w:color w:val="000000"/>
          <w:sz w:val="24"/>
          <w:highlight w:val="none"/>
        </w:rPr>
        <w:t>1.7 合同争议的解决</w:t>
      </w:r>
      <w:bookmarkEnd w:id="554"/>
      <w:bookmarkEnd w:id="555"/>
      <w:bookmarkEnd w:id="55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spacing w:line="560" w:lineRule="exact"/>
        <w:ind w:firstLine="482" w:firstLineChars="200"/>
        <w:outlineLvl w:val="9"/>
        <w:rPr>
          <w:rFonts w:hint="eastAsia" w:ascii="宋体" w:hAnsi="宋体" w:cs="宋体"/>
          <w:b/>
          <w:color w:val="000000"/>
          <w:sz w:val="24"/>
          <w:highlight w:val="none"/>
        </w:rPr>
      </w:pPr>
      <w:bookmarkStart w:id="557" w:name="_Toc11173"/>
      <w:bookmarkStart w:id="558" w:name="_Toc15322"/>
      <w:bookmarkStart w:id="559" w:name="_Toc7245"/>
      <w:r>
        <w:rPr>
          <w:rFonts w:hint="eastAsia" w:ascii="宋体" w:hAnsi="宋体" w:cs="宋体"/>
          <w:b/>
          <w:color w:val="000000"/>
          <w:sz w:val="24"/>
          <w:highlight w:val="none"/>
        </w:rPr>
        <w:t>1.8 合同生效</w:t>
      </w:r>
      <w:bookmarkEnd w:id="557"/>
      <w:bookmarkEnd w:id="558"/>
      <w:bookmarkEnd w:id="559"/>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560" w:lineRule="exact"/>
        <w:jc w:val="left"/>
        <w:rPr>
          <w:rFonts w:hint="eastAsia" w:ascii="宋体" w:hAnsi="宋体" w:cs="宋体"/>
          <w:b/>
          <w:color w:val="000000"/>
          <w:kern w:val="0"/>
          <w:sz w:val="24"/>
          <w:highlight w:val="none"/>
        </w:rPr>
      </w:pPr>
      <w:bookmarkStart w:id="560" w:name="_Toc331685783"/>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p>
    <w:p>
      <w:pPr>
        <w:pStyle w:val="41"/>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560"/>
    </w:p>
    <w:p>
      <w:pPr>
        <w:spacing w:line="560" w:lineRule="exact"/>
        <w:ind w:firstLine="482" w:firstLineChars="200"/>
        <w:outlineLvl w:val="9"/>
        <w:rPr>
          <w:rFonts w:hint="eastAsia" w:ascii="宋体" w:hAnsi="宋体" w:cs="宋体"/>
          <w:b/>
          <w:color w:val="000000"/>
          <w:sz w:val="24"/>
          <w:highlight w:val="none"/>
        </w:rPr>
      </w:pPr>
      <w:bookmarkStart w:id="561" w:name="_Ref467378404"/>
      <w:bookmarkStart w:id="562" w:name="_Ref467379214"/>
      <w:bookmarkStart w:id="563" w:name="_Ref467379195"/>
      <w:bookmarkStart w:id="564" w:name="_Ref467378499"/>
      <w:bookmarkStart w:id="565" w:name="_Ref467379225"/>
      <w:bookmarkStart w:id="566" w:name="_Toc279701240"/>
      <w:bookmarkStart w:id="567" w:name="_Toc16917"/>
      <w:bookmarkStart w:id="568" w:name="_Toc259093669"/>
      <w:bookmarkStart w:id="569" w:name="_Ref467378463"/>
      <w:bookmarkStart w:id="570" w:name="_Ref467379094"/>
      <w:bookmarkStart w:id="571" w:name="_Ref467379101"/>
      <w:bookmarkStart w:id="572" w:name="_Ref467379109"/>
      <w:bookmarkStart w:id="573" w:name="_Ref467379205"/>
      <w:bookmarkStart w:id="574" w:name="_Toc19614"/>
      <w:bookmarkStart w:id="575" w:name="_Toc28763"/>
      <w:bookmarkStart w:id="576" w:name="_Toc487900349"/>
      <w:r>
        <w:rPr>
          <w:rFonts w:hint="eastAsia" w:ascii="宋体" w:hAnsi="宋体" w:cs="宋体"/>
          <w:b/>
          <w:color w:val="000000"/>
          <w:sz w:val="24"/>
          <w:highlight w:val="none"/>
        </w:rPr>
        <w:t>2.1 定义</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sz w:val="24"/>
          <w:highlight w:val="none"/>
        </w:rPr>
      </w:pPr>
      <w:bookmarkStart w:id="577" w:name="_Ref467378840"/>
      <w:r>
        <w:rPr>
          <w:rFonts w:hint="eastAsia" w:ascii="宋体" w:hAnsi="宋体" w:cs="宋体"/>
          <w:color w:val="000000"/>
          <w:sz w:val="24"/>
          <w:highlight w:val="none"/>
        </w:rPr>
        <w:t>2.1.4 “甲方”系指与中标供应商签署合同的采购人</w:t>
      </w:r>
      <w:bookmarkEnd w:id="577"/>
      <w:r>
        <w:rPr>
          <w:rFonts w:hint="eastAsia" w:ascii="宋体" w:hAnsi="宋体" w:cs="宋体"/>
          <w:color w:val="000000"/>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sz w:val="24"/>
          <w:highlight w:val="none"/>
        </w:rPr>
      </w:pPr>
      <w:bookmarkStart w:id="578" w:name="_Ref467379400"/>
      <w:r>
        <w:rPr>
          <w:rFonts w:hint="eastAsia" w:ascii="宋体" w:hAnsi="宋体" w:cs="宋体"/>
          <w:color w:val="000000"/>
          <w:sz w:val="24"/>
          <w:highlight w:val="none"/>
        </w:rPr>
        <w:t>2.1.5 “乙方”系指根据合同约定交付货物的中标供应商</w:t>
      </w:r>
      <w:bookmarkEnd w:id="578"/>
      <w:r>
        <w:rPr>
          <w:rFonts w:hint="eastAsia" w:ascii="宋体" w:hAnsi="宋体" w:cs="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sz w:val="24"/>
          <w:highlight w:val="none"/>
        </w:rPr>
      </w:pPr>
      <w:bookmarkStart w:id="579" w:name="_Ref467379436"/>
      <w:r>
        <w:rPr>
          <w:rFonts w:hint="eastAsia" w:ascii="宋体" w:hAnsi="宋体" w:cs="宋体"/>
          <w:color w:val="000000"/>
          <w:sz w:val="24"/>
          <w:highlight w:val="none"/>
        </w:rPr>
        <w:t>2.1.6 “现场”系指合同约定货物将要运至或者安装的地点。</w:t>
      </w:r>
      <w:bookmarkEnd w:id="579"/>
    </w:p>
    <w:p>
      <w:pPr>
        <w:spacing w:line="560" w:lineRule="exact"/>
        <w:ind w:firstLine="482" w:firstLineChars="200"/>
        <w:outlineLvl w:val="9"/>
        <w:rPr>
          <w:rFonts w:hint="eastAsia" w:ascii="宋体" w:hAnsi="宋体" w:cs="宋体"/>
          <w:b/>
          <w:color w:val="000000"/>
          <w:sz w:val="24"/>
          <w:highlight w:val="none"/>
        </w:rPr>
      </w:pPr>
      <w:bookmarkStart w:id="580" w:name="_Toc259093670"/>
      <w:bookmarkStart w:id="581" w:name="_Toc13336"/>
      <w:bookmarkStart w:id="582" w:name="_Toc487900350"/>
      <w:bookmarkStart w:id="583" w:name="_Toc279701241"/>
      <w:bookmarkStart w:id="584" w:name="_Toc27635"/>
      <w:bookmarkStart w:id="585" w:name="_Toc32504"/>
      <w:r>
        <w:rPr>
          <w:rFonts w:hint="eastAsia" w:ascii="宋体" w:hAnsi="宋体" w:cs="宋体"/>
          <w:b/>
          <w:color w:val="000000"/>
          <w:sz w:val="24"/>
          <w:highlight w:val="none"/>
        </w:rPr>
        <w:t>2.2 技术规范</w:t>
      </w:r>
      <w:bookmarkEnd w:id="580"/>
      <w:bookmarkEnd w:id="581"/>
      <w:bookmarkEnd w:id="582"/>
      <w:bookmarkEnd w:id="583"/>
      <w:bookmarkEnd w:id="584"/>
      <w:bookmarkEnd w:id="58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9"/>
        <w:rPr>
          <w:rFonts w:hint="eastAsia" w:ascii="宋体" w:hAnsi="宋体" w:cs="宋体"/>
          <w:b/>
          <w:color w:val="000000"/>
          <w:sz w:val="24"/>
          <w:highlight w:val="none"/>
        </w:rPr>
      </w:pPr>
      <w:bookmarkStart w:id="586" w:name="_Toc27853"/>
      <w:bookmarkStart w:id="587" w:name="_Toc279701242"/>
      <w:bookmarkStart w:id="588" w:name="_Toc31634"/>
      <w:bookmarkStart w:id="589" w:name="_Toc487900351"/>
      <w:bookmarkStart w:id="590" w:name="_Toc9829"/>
      <w:bookmarkStart w:id="591" w:name="_Toc259093671"/>
      <w:r>
        <w:rPr>
          <w:rFonts w:hint="eastAsia" w:ascii="宋体" w:hAnsi="宋体" w:cs="宋体"/>
          <w:b/>
          <w:color w:val="000000"/>
          <w:sz w:val="24"/>
          <w:highlight w:val="none"/>
        </w:rPr>
        <w:t>2.3 知识产权</w:t>
      </w:r>
      <w:bookmarkEnd w:id="586"/>
      <w:bookmarkEnd w:id="587"/>
      <w:bookmarkEnd w:id="588"/>
      <w:bookmarkEnd w:id="589"/>
      <w:bookmarkEnd w:id="590"/>
      <w:bookmarkEnd w:id="59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2.3.2具有知识产权的计算机软件等货物的知识产权归属，详见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592" w:name="_Toc4194"/>
      <w:bookmarkStart w:id="593" w:name="_Toc29149"/>
      <w:bookmarkStart w:id="594" w:name="_Toc11932"/>
      <w:r>
        <w:rPr>
          <w:rFonts w:hint="eastAsia" w:ascii="宋体" w:hAnsi="宋体" w:cs="宋体"/>
          <w:b/>
          <w:color w:val="000000"/>
          <w:sz w:val="24"/>
          <w:highlight w:val="none"/>
        </w:rPr>
        <w:t>2.4 包装和装运</w:t>
      </w:r>
      <w:bookmarkEnd w:id="592"/>
      <w:bookmarkEnd w:id="593"/>
      <w:bookmarkEnd w:id="59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2.4.1除</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2.4.2 装运货物的要求和通知，详见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595" w:name="_Ref467379527"/>
      <w:bookmarkStart w:id="596" w:name="_Ref467378591"/>
      <w:bookmarkStart w:id="597" w:name="_Toc487900354"/>
      <w:bookmarkStart w:id="598" w:name="_Toc259093674"/>
      <w:bookmarkStart w:id="599" w:name="_Ref467379536"/>
      <w:bookmarkStart w:id="600" w:name="_Ref467378541"/>
      <w:bookmarkStart w:id="601" w:name="_Toc279701245"/>
      <w:bookmarkStart w:id="602" w:name="_Ref467379542"/>
      <w:bookmarkStart w:id="603" w:name="_Toc26182"/>
      <w:bookmarkStart w:id="604" w:name="_Toc30272"/>
      <w:bookmarkStart w:id="605" w:name="_Toc19074"/>
      <w:r>
        <w:rPr>
          <w:rFonts w:hint="eastAsia" w:ascii="宋体" w:hAnsi="宋体" w:cs="宋体"/>
          <w:b/>
          <w:color w:val="000000"/>
          <w:sz w:val="24"/>
          <w:highlight w:val="none"/>
        </w:rPr>
        <w:t>2.</w:t>
      </w:r>
      <w:bookmarkEnd w:id="595"/>
      <w:bookmarkEnd w:id="596"/>
      <w:bookmarkEnd w:id="597"/>
      <w:bookmarkEnd w:id="598"/>
      <w:bookmarkEnd w:id="599"/>
      <w:bookmarkEnd w:id="600"/>
      <w:bookmarkEnd w:id="601"/>
      <w:bookmarkEnd w:id="602"/>
      <w:r>
        <w:rPr>
          <w:rFonts w:hint="eastAsia" w:ascii="宋体" w:hAnsi="宋体" w:cs="宋体"/>
          <w:b/>
          <w:color w:val="000000"/>
          <w:sz w:val="24"/>
          <w:highlight w:val="none"/>
        </w:rPr>
        <w:t>5 履约检查和问题反馈</w:t>
      </w:r>
      <w:bookmarkEnd w:id="603"/>
      <w:bookmarkEnd w:id="604"/>
      <w:bookmarkEnd w:id="605"/>
    </w:p>
    <w:p>
      <w:pPr>
        <w:spacing w:line="560" w:lineRule="exact"/>
        <w:ind w:firstLine="480" w:firstLineChars="200"/>
        <w:rPr>
          <w:rFonts w:hint="eastAsia" w:ascii="宋体" w:hAnsi="宋体" w:cs="宋体"/>
          <w:color w:val="000000"/>
          <w:sz w:val="24"/>
          <w:highlight w:val="none"/>
        </w:rPr>
      </w:pPr>
      <w:bookmarkStart w:id="606" w:name="_Ref467379657"/>
      <w:r>
        <w:rPr>
          <w:rFonts w:hint="eastAsia" w:ascii="宋体" w:hAnsi="宋体" w:cs="宋体"/>
          <w:color w:val="000000"/>
          <w:sz w:val="24"/>
          <w:highlight w:val="none"/>
        </w:rPr>
        <w:t>2.5.1</w:t>
      </w:r>
      <w:bookmarkEnd w:id="606"/>
      <w:bookmarkStart w:id="607" w:name="_Toc186431854"/>
      <w:bookmarkStart w:id="608" w:name="_Toc279701247"/>
      <w:bookmarkStart w:id="609" w:name="_Ref467379793"/>
      <w:bookmarkStart w:id="610" w:name="_Ref467379807"/>
      <w:bookmarkStart w:id="611" w:name="_Toc259093676"/>
      <w:bookmarkStart w:id="612" w:name="_Toc487900357"/>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607"/>
      <w:bookmarkStart w:id="613" w:name="_Toc186431855"/>
      <w:r>
        <w:rPr>
          <w:rFonts w:hint="eastAsia" w:ascii="宋体" w:hAnsi="宋体" w:cs="宋体"/>
          <w:color w:val="000000"/>
          <w:sz w:val="24"/>
          <w:highlight w:val="none"/>
        </w:rPr>
        <w:t>。</w:t>
      </w:r>
    </w:p>
    <w:bookmarkEnd w:id="613"/>
    <w:p>
      <w:pPr>
        <w:spacing w:line="560" w:lineRule="exact"/>
        <w:ind w:firstLine="482" w:firstLineChars="200"/>
        <w:outlineLvl w:val="9"/>
        <w:rPr>
          <w:rFonts w:hint="eastAsia" w:ascii="宋体" w:hAnsi="宋体" w:cs="宋体"/>
          <w:b/>
          <w:color w:val="000000"/>
          <w:sz w:val="24"/>
          <w:highlight w:val="none"/>
        </w:rPr>
      </w:pPr>
      <w:bookmarkStart w:id="614" w:name="_Toc7836"/>
      <w:bookmarkStart w:id="615" w:name="_Toc19219"/>
      <w:bookmarkStart w:id="616" w:name="_Toc28451"/>
      <w:r>
        <w:rPr>
          <w:rFonts w:hint="eastAsia" w:ascii="宋体" w:hAnsi="宋体" w:cs="宋体"/>
          <w:b/>
          <w:color w:val="000000"/>
          <w:sz w:val="24"/>
          <w:highlight w:val="none"/>
        </w:rPr>
        <w:t>2.6 结算方式和付款条件</w:t>
      </w:r>
      <w:bookmarkEnd w:id="608"/>
      <w:bookmarkEnd w:id="609"/>
      <w:bookmarkEnd w:id="610"/>
      <w:bookmarkEnd w:id="611"/>
      <w:bookmarkEnd w:id="612"/>
      <w:bookmarkEnd w:id="614"/>
      <w:bookmarkEnd w:id="615"/>
      <w:bookmarkEnd w:id="616"/>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617" w:name="_Ref467379863"/>
      <w:bookmarkStart w:id="618" w:name="_Toc259093677"/>
      <w:bookmarkStart w:id="619" w:name="_Ref467379852"/>
      <w:bookmarkStart w:id="620" w:name="_Toc279701248"/>
      <w:bookmarkStart w:id="621" w:name="_Ref467379923"/>
      <w:bookmarkStart w:id="622" w:name="_Toc487900358"/>
      <w:bookmarkStart w:id="623" w:name="_Toc16110"/>
      <w:bookmarkStart w:id="624" w:name="_Toc774"/>
      <w:bookmarkStart w:id="625" w:name="_Toc3225"/>
      <w:r>
        <w:rPr>
          <w:rFonts w:hint="eastAsia" w:ascii="宋体" w:hAnsi="宋体" w:cs="宋体"/>
          <w:b/>
          <w:color w:val="000000"/>
          <w:sz w:val="24"/>
          <w:highlight w:val="none"/>
        </w:rPr>
        <w:t>2.7 技术资料</w:t>
      </w:r>
      <w:bookmarkEnd w:id="617"/>
      <w:bookmarkEnd w:id="618"/>
      <w:bookmarkEnd w:id="619"/>
      <w:bookmarkEnd w:id="620"/>
      <w:bookmarkEnd w:id="621"/>
      <w:bookmarkEnd w:id="622"/>
      <w:r>
        <w:rPr>
          <w:rFonts w:hint="eastAsia" w:ascii="宋体" w:hAnsi="宋体" w:cs="宋体"/>
          <w:b/>
          <w:color w:val="000000"/>
          <w:sz w:val="24"/>
          <w:highlight w:val="none"/>
        </w:rPr>
        <w:t>和保密义务</w:t>
      </w:r>
      <w:bookmarkEnd w:id="623"/>
      <w:bookmarkEnd w:id="624"/>
      <w:bookmarkEnd w:id="62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9"/>
        <w:rPr>
          <w:rFonts w:hint="eastAsia" w:ascii="宋体" w:hAnsi="宋体" w:cs="宋体"/>
          <w:b/>
          <w:color w:val="000000"/>
          <w:sz w:val="24"/>
          <w:highlight w:val="none"/>
        </w:rPr>
      </w:pPr>
      <w:bookmarkStart w:id="626" w:name="_Toc7860"/>
      <w:r>
        <w:rPr>
          <w:rFonts w:hint="eastAsia" w:ascii="宋体" w:hAnsi="宋体" w:cs="宋体"/>
          <w:b/>
          <w:color w:val="000000"/>
          <w:sz w:val="24"/>
          <w:highlight w:val="none"/>
        </w:rPr>
        <w:t>2.8 质量保证</w:t>
      </w:r>
      <w:bookmarkEnd w:id="62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9"/>
        <w:rPr>
          <w:rFonts w:hint="eastAsia" w:ascii="宋体" w:hAnsi="宋体" w:cs="宋体"/>
          <w:b/>
          <w:color w:val="000000"/>
          <w:sz w:val="24"/>
          <w:highlight w:val="none"/>
        </w:rPr>
      </w:pPr>
      <w:bookmarkStart w:id="627" w:name="_Toc17244"/>
      <w:bookmarkStart w:id="628" w:name="_Toc279701252"/>
      <w:bookmarkStart w:id="629" w:name="_Toc487900362"/>
      <w:bookmarkStart w:id="630" w:name="_Toc259093681"/>
      <w:r>
        <w:rPr>
          <w:rFonts w:hint="eastAsia" w:ascii="宋体" w:hAnsi="宋体" w:cs="宋体"/>
          <w:b/>
          <w:color w:val="000000"/>
          <w:sz w:val="24"/>
          <w:highlight w:val="none"/>
        </w:rPr>
        <w:t>2.9 货物的风险负担</w:t>
      </w:r>
      <w:bookmarkEnd w:id="627"/>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货物或者在途货物或者交付给第一承运人后的货物毁损、灭失的风险负担详见</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9"/>
        <w:rPr>
          <w:rFonts w:hint="eastAsia" w:ascii="宋体" w:hAnsi="宋体" w:cs="宋体"/>
          <w:b/>
          <w:color w:val="000000"/>
          <w:sz w:val="24"/>
          <w:highlight w:val="none"/>
        </w:rPr>
      </w:pPr>
      <w:bookmarkStart w:id="631" w:name="_Toc14055"/>
      <w:r>
        <w:rPr>
          <w:rFonts w:hint="eastAsia" w:ascii="宋体" w:hAnsi="宋体" w:cs="宋体"/>
          <w:b/>
          <w:color w:val="000000"/>
          <w:sz w:val="24"/>
          <w:highlight w:val="none"/>
        </w:rPr>
        <w:t>2.10 延迟交货</w:t>
      </w:r>
      <w:bookmarkEnd w:id="628"/>
      <w:bookmarkEnd w:id="629"/>
      <w:bookmarkEnd w:id="630"/>
      <w:bookmarkEnd w:id="63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9"/>
        <w:rPr>
          <w:rFonts w:hint="eastAsia" w:ascii="宋体" w:hAnsi="宋体" w:cs="宋体"/>
          <w:b/>
          <w:color w:val="000000"/>
          <w:sz w:val="24"/>
          <w:highlight w:val="none"/>
        </w:rPr>
      </w:pPr>
      <w:bookmarkStart w:id="632" w:name="_Toc7502"/>
      <w:bookmarkStart w:id="633" w:name="_Toc259093683"/>
      <w:bookmarkStart w:id="634" w:name="_Toc487900364"/>
      <w:bookmarkStart w:id="635" w:name="_Ref467378121"/>
      <w:bookmarkStart w:id="636" w:name="_Toc279701254"/>
      <w:r>
        <w:rPr>
          <w:rFonts w:hint="eastAsia" w:ascii="宋体" w:hAnsi="宋体" w:cs="宋体"/>
          <w:b/>
          <w:color w:val="000000"/>
          <w:sz w:val="24"/>
          <w:highlight w:val="none"/>
        </w:rPr>
        <w:t>2.11 合同变更</w:t>
      </w:r>
      <w:bookmarkEnd w:id="63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637" w:name="_Toc279701259"/>
      <w:bookmarkStart w:id="638" w:name="_Toc487900369"/>
      <w:bookmarkStart w:id="639" w:name="_Toc259093688"/>
    </w:p>
    <w:p>
      <w:pPr>
        <w:spacing w:line="560" w:lineRule="exact"/>
        <w:ind w:firstLine="482" w:firstLineChars="200"/>
        <w:outlineLvl w:val="9"/>
        <w:rPr>
          <w:rFonts w:hint="eastAsia" w:ascii="宋体" w:hAnsi="宋体" w:cs="宋体"/>
          <w:b/>
          <w:color w:val="000000"/>
          <w:sz w:val="24"/>
          <w:highlight w:val="none"/>
        </w:rPr>
      </w:pPr>
      <w:bookmarkStart w:id="640" w:name="_Toc15237"/>
      <w:bookmarkStart w:id="641" w:name="_Toc22955"/>
      <w:bookmarkStart w:id="642" w:name="_Toc10366"/>
      <w:r>
        <w:rPr>
          <w:rFonts w:hint="eastAsia" w:ascii="宋体" w:hAnsi="宋体" w:cs="宋体"/>
          <w:b/>
          <w:color w:val="000000"/>
          <w:sz w:val="24"/>
          <w:highlight w:val="none"/>
        </w:rPr>
        <w:t>2.12 合同转让</w:t>
      </w:r>
      <w:bookmarkEnd w:id="637"/>
      <w:bookmarkEnd w:id="638"/>
      <w:bookmarkEnd w:id="639"/>
      <w:r>
        <w:rPr>
          <w:rFonts w:hint="eastAsia" w:ascii="宋体" w:hAnsi="宋体" w:cs="宋体"/>
          <w:b/>
          <w:color w:val="000000"/>
          <w:sz w:val="24"/>
          <w:highlight w:val="none"/>
        </w:rPr>
        <w:t>和分包</w:t>
      </w:r>
      <w:bookmarkEnd w:id="640"/>
      <w:bookmarkEnd w:id="641"/>
      <w:bookmarkEnd w:id="64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9"/>
        <w:rPr>
          <w:rFonts w:hint="eastAsia" w:ascii="宋体" w:hAnsi="宋体" w:cs="宋体"/>
          <w:b/>
          <w:color w:val="000000"/>
          <w:sz w:val="24"/>
          <w:highlight w:val="none"/>
        </w:rPr>
      </w:pPr>
      <w:bookmarkStart w:id="643" w:name="_Toc14066"/>
      <w:bookmarkStart w:id="644" w:name="_Toc13566"/>
      <w:bookmarkStart w:id="645" w:name="_Toc16508"/>
      <w:r>
        <w:rPr>
          <w:rFonts w:hint="eastAsia" w:ascii="宋体" w:hAnsi="宋体" w:cs="宋体"/>
          <w:b/>
          <w:color w:val="000000"/>
          <w:sz w:val="24"/>
          <w:highlight w:val="none"/>
        </w:rPr>
        <w:t>2.13 不可抗力</w:t>
      </w:r>
      <w:bookmarkEnd w:id="643"/>
      <w:bookmarkEnd w:id="644"/>
      <w:bookmarkEnd w:id="64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2.13.3 因不可抗力致使合同有变更必要的，双方当事人应</w:t>
      </w:r>
      <w:r>
        <w:rPr>
          <w:rFonts w:hint="eastAsia" w:ascii="宋体" w:hAnsi="宋体" w:cs="宋体"/>
          <w:b w:val="0"/>
          <w:bCs w:val="0"/>
          <w:color w:val="000000"/>
          <w:sz w:val="24"/>
          <w:highlight w:val="none"/>
        </w:rPr>
        <w:t>在</w:t>
      </w:r>
      <w:r>
        <w:rPr>
          <w:rFonts w:hint="eastAsia" w:ascii="宋体" w:hAnsi="宋体" w:cs="宋体"/>
          <w:b w:val="0"/>
          <w:bCs w:val="0"/>
          <w:i/>
          <w:color w:val="000000"/>
          <w:sz w:val="24"/>
          <w:highlight w:val="none"/>
          <w:u w:val="single"/>
        </w:rPr>
        <w:t>合</w:t>
      </w:r>
      <w:r>
        <w:rPr>
          <w:rFonts w:hint="eastAsia" w:ascii="宋体" w:hAnsi="宋体" w:cs="宋体"/>
          <w:b w:val="0"/>
          <w:bCs/>
          <w:i/>
          <w:color w:val="000000"/>
          <w:sz w:val="24"/>
          <w:highlight w:val="none"/>
          <w:u w:val="single"/>
        </w:rPr>
        <w:t>同专用条款</w:t>
      </w:r>
      <w:r>
        <w:rPr>
          <w:rFonts w:hint="eastAsia" w:ascii="宋体" w:hAnsi="宋体" w:cs="宋体"/>
          <w:b w:val="0"/>
          <w:bCs/>
          <w:color w:val="000000"/>
          <w:sz w:val="24"/>
          <w:highlight w:val="none"/>
        </w:rPr>
        <w:t>约定时间内以书面形式变更合同；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2.13.4受不可抗力影响的一方在不可抗力发生后，应在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约定时间内以书面形式通知对方当事人，并在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约定时间内，将有关部</w:t>
      </w:r>
      <w:r>
        <w:rPr>
          <w:rFonts w:hint="eastAsia" w:ascii="宋体" w:hAnsi="宋体" w:cs="宋体"/>
          <w:color w:val="000000"/>
          <w:sz w:val="24"/>
          <w:highlight w:val="none"/>
        </w:rPr>
        <w:t>门出具的证明文件送达对方当事人。</w:t>
      </w:r>
    </w:p>
    <w:p>
      <w:pPr>
        <w:spacing w:line="560" w:lineRule="exact"/>
        <w:ind w:firstLine="482" w:firstLineChars="200"/>
        <w:outlineLvl w:val="9"/>
        <w:rPr>
          <w:rFonts w:hint="eastAsia" w:ascii="宋体" w:hAnsi="宋体" w:cs="宋体"/>
          <w:b/>
          <w:color w:val="000000"/>
          <w:sz w:val="24"/>
          <w:highlight w:val="none"/>
        </w:rPr>
      </w:pPr>
      <w:bookmarkStart w:id="646" w:name="_Toc259093684"/>
      <w:bookmarkStart w:id="647" w:name="_Toc487900365"/>
      <w:bookmarkStart w:id="648" w:name="_Toc689"/>
      <w:bookmarkStart w:id="649" w:name="_Toc279701255"/>
      <w:bookmarkStart w:id="650" w:name="_Toc30676"/>
      <w:bookmarkStart w:id="651" w:name="_Toc6969"/>
      <w:r>
        <w:rPr>
          <w:rFonts w:hint="eastAsia" w:ascii="宋体" w:hAnsi="宋体" w:cs="宋体"/>
          <w:b/>
          <w:color w:val="000000"/>
          <w:sz w:val="24"/>
          <w:highlight w:val="none"/>
        </w:rPr>
        <w:t>2.14 税费</w:t>
      </w:r>
      <w:bookmarkEnd w:id="646"/>
      <w:bookmarkEnd w:id="647"/>
      <w:bookmarkEnd w:id="648"/>
      <w:bookmarkEnd w:id="649"/>
      <w:bookmarkEnd w:id="650"/>
      <w:bookmarkEnd w:id="65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560" w:lineRule="exact"/>
        <w:ind w:firstLine="482" w:firstLineChars="200"/>
        <w:outlineLvl w:val="9"/>
        <w:rPr>
          <w:rFonts w:hint="eastAsia" w:ascii="宋体" w:hAnsi="宋体" w:cs="宋体"/>
          <w:b/>
          <w:color w:val="000000"/>
          <w:sz w:val="24"/>
          <w:highlight w:val="none"/>
        </w:rPr>
      </w:pPr>
      <w:bookmarkStart w:id="652" w:name="_Toc7102"/>
      <w:bookmarkStart w:id="653" w:name="_Toc8298"/>
      <w:bookmarkStart w:id="654" w:name="_Toc279701258"/>
      <w:bookmarkStart w:id="655" w:name="_Toc259093687"/>
      <w:bookmarkStart w:id="656" w:name="_Toc487900368"/>
      <w:r>
        <w:rPr>
          <w:rFonts w:hint="eastAsia" w:ascii="宋体" w:hAnsi="宋体" w:cs="宋体"/>
          <w:b/>
          <w:color w:val="000000"/>
          <w:sz w:val="24"/>
          <w:highlight w:val="none"/>
        </w:rPr>
        <w:t>2.15 乙方破产</w:t>
      </w:r>
      <w:bookmarkEnd w:id="652"/>
      <w:bookmarkEnd w:id="653"/>
      <w:bookmarkEnd w:id="654"/>
      <w:bookmarkEnd w:id="655"/>
      <w:bookmarkEnd w:id="65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9"/>
        <w:rPr>
          <w:rFonts w:hint="eastAsia" w:ascii="宋体" w:hAnsi="宋体" w:cs="宋体"/>
          <w:b/>
          <w:color w:val="000000"/>
          <w:sz w:val="24"/>
          <w:highlight w:val="none"/>
        </w:rPr>
      </w:pPr>
      <w:bookmarkStart w:id="657" w:name="_Toc15387"/>
      <w:bookmarkStart w:id="658" w:name="_Toc6134"/>
      <w:bookmarkStart w:id="659" w:name="_Toc29333"/>
      <w:r>
        <w:rPr>
          <w:rFonts w:hint="eastAsia" w:ascii="宋体" w:hAnsi="宋体" w:cs="宋体"/>
          <w:b/>
          <w:color w:val="000000"/>
          <w:sz w:val="24"/>
          <w:highlight w:val="none"/>
        </w:rPr>
        <w:t>2.16 合同中止、终止</w:t>
      </w:r>
      <w:bookmarkEnd w:id="657"/>
      <w:bookmarkEnd w:id="658"/>
      <w:bookmarkEnd w:id="65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9"/>
        <w:rPr>
          <w:rFonts w:hint="eastAsia" w:ascii="宋体" w:hAnsi="宋体" w:cs="宋体"/>
          <w:b/>
          <w:color w:val="000000"/>
          <w:sz w:val="24"/>
          <w:highlight w:val="none"/>
        </w:rPr>
      </w:pPr>
      <w:bookmarkStart w:id="660" w:name="_Toc6596"/>
      <w:bookmarkStart w:id="661" w:name="_Toc1125"/>
      <w:bookmarkStart w:id="662" w:name="_Toc14563"/>
      <w:r>
        <w:rPr>
          <w:rFonts w:hint="eastAsia" w:ascii="宋体" w:hAnsi="宋体" w:cs="宋体"/>
          <w:b/>
          <w:color w:val="000000"/>
          <w:sz w:val="24"/>
          <w:highlight w:val="none"/>
        </w:rPr>
        <w:t>2.17 检验和验收</w:t>
      </w:r>
      <w:bookmarkEnd w:id="660"/>
      <w:bookmarkEnd w:id="661"/>
      <w:bookmarkEnd w:id="662"/>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2.17.3 检验和验收标准、程序等具体内容以及前述验收书的效力详见</w:t>
      </w:r>
      <w:r>
        <w:rPr>
          <w:rFonts w:hint="eastAsia" w:ascii="宋体" w:hAnsi="宋体" w:cs="宋体"/>
          <w:b w:val="0"/>
          <w:bCs/>
          <w:i/>
          <w:color w:val="000000"/>
          <w:sz w:val="24"/>
          <w:highlight w:val="none"/>
          <w:u w:val="single"/>
        </w:rPr>
        <w:t>合同专用条款</w:t>
      </w:r>
      <w:r>
        <w:rPr>
          <w:rFonts w:hint="eastAsia" w:ascii="宋体" w:hAnsi="宋体" w:cs="宋体"/>
          <w:b w:val="0"/>
          <w:bCs/>
          <w:i/>
          <w:color w:val="000000"/>
          <w:sz w:val="24"/>
          <w:highlight w:val="none"/>
        </w:rPr>
        <w:t>。</w:t>
      </w:r>
    </w:p>
    <w:bookmarkEnd w:id="633"/>
    <w:bookmarkEnd w:id="634"/>
    <w:bookmarkEnd w:id="635"/>
    <w:bookmarkEnd w:id="636"/>
    <w:p>
      <w:pPr>
        <w:spacing w:line="560" w:lineRule="exact"/>
        <w:ind w:firstLine="482" w:firstLineChars="200"/>
        <w:outlineLvl w:val="9"/>
        <w:rPr>
          <w:rFonts w:hint="eastAsia" w:ascii="宋体" w:hAnsi="宋体" w:cs="宋体"/>
          <w:b/>
          <w:color w:val="000000"/>
          <w:sz w:val="24"/>
          <w:highlight w:val="none"/>
        </w:rPr>
      </w:pPr>
      <w:bookmarkStart w:id="663" w:name="_Toc487900371"/>
      <w:bookmarkStart w:id="664" w:name="_Toc259093690"/>
      <w:bookmarkStart w:id="665" w:name="_Toc279701261"/>
      <w:bookmarkStart w:id="666" w:name="_Toc25182"/>
      <w:bookmarkStart w:id="667" w:name="_Toc11284"/>
      <w:bookmarkStart w:id="668" w:name="_Toc19604"/>
      <w:r>
        <w:rPr>
          <w:rFonts w:hint="eastAsia" w:ascii="宋体" w:hAnsi="宋体" w:cs="宋体"/>
          <w:b/>
          <w:color w:val="000000"/>
          <w:sz w:val="24"/>
          <w:highlight w:val="none"/>
        </w:rPr>
        <w:t>2.18 通知</w:t>
      </w:r>
      <w:bookmarkEnd w:id="663"/>
      <w:bookmarkEnd w:id="664"/>
      <w:bookmarkEnd w:id="665"/>
      <w:r>
        <w:rPr>
          <w:rFonts w:hint="eastAsia" w:ascii="宋体" w:hAnsi="宋体" w:cs="宋体"/>
          <w:b/>
          <w:color w:val="000000"/>
          <w:sz w:val="24"/>
          <w:highlight w:val="none"/>
        </w:rPr>
        <w:t>和送达</w:t>
      </w:r>
      <w:bookmarkEnd w:id="666"/>
      <w:bookmarkEnd w:id="667"/>
      <w:bookmarkEnd w:id="668"/>
    </w:p>
    <w:p>
      <w:pPr>
        <w:spacing w:line="560" w:lineRule="exact"/>
        <w:ind w:firstLine="480" w:firstLineChars="200"/>
        <w:rPr>
          <w:rFonts w:hint="eastAsia" w:ascii="宋体" w:hAnsi="宋体" w:cs="宋体"/>
          <w:color w:val="000000"/>
          <w:sz w:val="24"/>
          <w:highlight w:val="none"/>
        </w:rPr>
      </w:pPr>
      <w:bookmarkStart w:id="669" w:name="_Toc3135"/>
      <w:bookmarkStart w:id="670" w:name="_Toc6698"/>
      <w:bookmarkStart w:id="671" w:name="_Toc487900372"/>
      <w:bookmarkStart w:id="672" w:name="_Toc279701262"/>
      <w:bookmarkStart w:id="673" w:name="_Toc259093691"/>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669"/>
      <w:bookmarkEnd w:id="670"/>
    </w:p>
    <w:p>
      <w:pPr>
        <w:spacing w:line="560" w:lineRule="exact"/>
        <w:ind w:firstLine="480" w:firstLineChars="200"/>
        <w:rPr>
          <w:rFonts w:hint="eastAsia" w:ascii="宋体" w:hAnsi="宋体" w:cs="宋体"/>
          <w:color w:val="000000"/>
          <w:sz w:val="24"/>
          <w:highlight w:val="none"/>
        </w:rPr>
      </w:pPr>
      <w:bookmarkStart w:id="674" w:name="_Toc23128"/>
      <w:bookmarkStart w:id="675"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74"/>
      <w:bookmarkEnd w:id="675"/>
    </w:p>
    <w:p>
      <w:pPr>
        <w:spacing w:line="560" w:lineRule="exact"/>
        <w:ind w:firstLine="482" w:firstLineChars="200"/>
        <w:outlineLvl w:val="9"/>
        <w:rPr>
          <w:rFonts w:hint="eastAsia" w:ascii="宋体" w:hAnsi="宋体" w:cs="宋体"/>
          <w:b/>
          <w:color w:val="000000"/>
          <w:sz w:val="24"/>
          <w:highlight w:val="none"/>
        </w:rPr>
      </w:pPr>
      <w:bookmarkStart w:id="676" w:name="_Toc30599"/>
      <w:bookmarkStart w:id="677" w:name="_Toc18540"/>
      <w:bookmarkStart w:id="678" w:name="_Toc4355"/>
      <w:r>
        <w:rPr>
          <w:rFonts w:hint="eastAsia" w:ascii="宋体" w:hAnsi="宋体" w:cs="宋体"/>
          <w:b/>
          <w:color w:val="000000"/>
          <w:sz w:val="24"/>
          <w:highlight w:val="none"/>
        </w:rPr>
        <w:t>2.19 计量单位</w:t>
      </w:r>
      <w:bookmarkEnd w:id="671"/>
      <w:bookmarkEnd w:id="672"/>
      <w:bookmarkEnd w:id="673"/>
      <w:bookmarkEnd w:id="676"/>
      <w:bookmarkEnd w:id="677"/>
      <w:bookmarkEnd w:id="67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560" w:lineRule="exact"/>
        <w:ind w:firstLine="482" w:firstLineChars="200"/>
        <w:outlineLvl w:val="9"/>
        <w:rPr>
          <w:rFonts w:hint="eastAsia" w:ascii="宋体" w:hAnsi="宋体" w:cs="宋体"/>
          <w:b/>
          <w:color w:val="000000"/>
          <w:sz w:val="24"/>
          <w:highlight w:val="none"/>
        </w:rPr>
      </w:pPr>
      <w:bookmarkStart w:id="679" w:name="_Toc12773"/>
      <w:bookmarkStart w:id="680" w:name="_Toc18567"/>
      <w:bookmarkStart w:id="681" w:name="_Toc10330"/>
      <w:bookmarkStart w:id="682" w:name="_Toc487900373"/>
      <w:bookmarkStart w:id="683" w:name="_Toc279701263"/>
      <w:bookmarkStart w:id="684" w:name="_Toc259093692"/>
      <w:r>
        <w:rPr>
          <w:rFonts w:hint="eastAsia" w:ascii="宋体" w:hAnsi="宋体" w:cs="宋体"/>
          <w:b/>
          <w:color w:val="000000"/>
          <w:sz w:val="24"/>
          <w:highlight w:val="none"/>
        </w:rPr>
        <w:t>2.20 合同使用的文字和适用的法律</w:t>
      </w:r>
      <w:bookmarkEnd w:id="679"/>
      <w:bookmarkEnd w:id="680"/>
      <w:bookmarkEnd w:id="681"/>
      <w:bookmarkEnd w:id="682"/>
      <w:bookmarkEnd w:id="683"/>
      <w:bookmarkEnd w:id="68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560" w:lineRule="exact"/>
        <w:ind w:firstLine="482" w:firstLineChars="200"/>
        <w:outlineLvl w:val="9"/>
        <w:rPr>
          <w:rFonts w:hint="eastAsia" w:ascii="宋体" w:hAnsi="宋体" w:cs="宋体"/>
          <w:b/>
          <w:color w:val="000000"/>
          <w:sz w:val="24"/>
          <w:highlight w:val="none"/>
        </w:rPr>
      </w:pPr>
      <w:bookmarkStart w:id="685" w:name="_Toc259093693"/>
      <w:bookmarkStart w:id="686" w:name="_Toc279701264"/>
      <w:bookmarkStart w:id="687" w:name="_Toc16673"/>
      <w:bookmarkStart w:id="688" w:name="_Toc3148"/>
      <w:bookmarkStart w:id="689" w:name="_Toc12004"/>
      <w:bookmarkStart w:id="690" w:name="_Toc487900374"/>
      <w:r>
        <w:rPr>
          <w:rFonts w:hint="eastAsia" w:ascii="宋体" w:hAnsi="宋体" w:cs="宋体"/>
          <w:b/>
          <w:color w:val="000000"/>
          <w:sz w:val="24"/>
          <w:highlight w:val="none"/>
        </w:rPr>
        <w:t>2.21 履约保证金</w:t>
      </w:r>
      <w:bookmarkEnd w:id="685"/>
      <w:bookmarkEnd w:id="686"/>
      <w:bookmarkEnd w:id="687"/>
      <w:bookmarkEnd w:id="688"/>
      <w:bookmarkEnd w:id="689"/>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2.21.2  履约保证金在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000000"/>
          <w:sz w:val="24"/>
          <w:highlight w:val="none"/>
          <w:u w:val="single"/>
        </w:rPr>
        <w:t xml:space="preserve">  </w:t>
      </w:r>
      <w:r>
        <w:rPr>
          <w:rFonts w:hint="eastAsia" w:ascii="宋体" w:hAnsi="宋体" w:cs="宋体"/>
          <w:color w:val="000000"/>
          <w:sz w:val="24"/>
          <w:highlight w:val="none"/>
        </w:rPr>
        <w:t>个工作日内，甲方应将履约保证金退还乙方；</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690"/>
    <w:p>
      <w:pPr>
        <w:spacing w:line="560" w:lineRule="exact"/>
        <w:ind w:firstLine="482" w:firstLineChars="200"/>
        <w:outlineLvl w:val="9"/>
        <w:rPr>
          <w:rFonts w:hint="eastAsia" w:ascii="宋体" w:hAnsi="宋体" w:cs="宋体"/>
          <w:b/>
          <w:color w:val="000000"/>
          <w:sz w:val="24"/>
          <w:highlight w:val="none"/>
        </w:rPr>
      </w:pPr>
      <w:bookmarkStart w:id="691" w:name="_Toc6885"/>
      <w:bookmarkStart w:id="692" w:name="_Toc19890"/>
      <w:bookmarkStart w:id="693" w:name="_Toc14001"/>
      <w:r>
        <w:rPr>
          <w:rFonts w:hint="eastAsia" w:ascii="宋体" w:hAnsi="宋体" w:cs="宋体"/>
          <w:b/>
          <w:color w:val="000000"/>
          <w:sz w:val="24"/>
          <w:highlight w:val="none"/>
        </w:rPr>
        <w:t>2.22 合同份数</w:t>
      </w:r>
      <w:bookmarkEnd w:id="691"/>
      <w:bookmarkEnd w:id="692"/>
      <w:bookmarkEnd w:id="69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合同份数按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规定</w:t>
      </w:r>
      <w:r>
        <w:rPr>
          <w:rFonts w:hint="eastAsia" w:ascii="宋体" w:hAnsi="宋体" w:cs="宋体"/>
          <w:color w:val="000000"/>
          <w:sz w:val="24"/>
          <w:highlight w:val="none"/>
        </w:rPr>
        <w:t>，每份均具有同等法律效力。</w:t>
      </w:r>
    </w:p>
    <w:p>
      <w:pPr>
        <w:pStyle w:val="41"/>
        <w:spacing w:line="560" w:lineRule="exact"/>
        <w:ind w:firstLine="0"/>
        <w:jc w:val="center"/>
        <w:rPr>
          <w:rFonts w:hint="eastAsia" w:hAnsi="宋体" w:cs="宋体"/>
          <w:b/>
          <w:color w:val="000000"/>
          <w:szCs w:val="24"/>
          <w:highlight w:val="none"/>
        </w:rPr>
      </w:pPr>
      <w:r>
        <w:rPr>
          <w:rFonts w:hint="eastAsia" w:hAnsi="宋体" w:cs="宋体"/>
          <w:color w:val="000000"/>
          <w:szCs w:val="24"/>
          <w:highlight w:val="none"/>
        </w:rPr>
        <w:br w:type="page"/>
      </w:r>
      <w:bookmarkStart w:id="694" w:name="_Toc331685784"/>
      <w:r>
        <w:rPr>
          <w:rFonts w:hint="eastAsia" w:hAnsi="宋体" w:cs="宋体"/>
          <w:b/>
          <w:color w:val="000000"/>
          <w:szCs w:val="24"/>
          <w:highlight w:val="none"/>
        </w:rPr>
        <w:t>第三部分  合同专用条款</w:t>
      </w:r>
      <w:bookmarkEnd w:id="69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pPr w:leftFromText="180" w:rightFromText="180" w:vertAnchor="text" w:horzAnchor="page" w:tblpX="1730" w:tblpY="654"/>
        <w:tblOverlap w:val="never"/>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noWrap w:val="0"/>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hint="eastAsia" w:ascii="宋体" w:hAnsi="宋体" w:cs="宋体"/>
                <w:color w:val="000000"/>
                <w:sz w:val="24"/>
                <w:highlight w:val="none"/>
              </w:rPr>
            </w:pPr>
          </w:p>
        </w:tc>
        <w:tc>
          <w:tcPr>
            <w:tcW w:w="7633" w:type="dxa"/>
            <w:noWrap w:val="0"/>
            <w:vAlign w:val="center"/>
          </w:tcPr>
          <w:p>
            <w:pPr>
              <w:spacing w:line="560" w:lineRule="exact"/>
              <w:rPr>
                <w:rFonts w:hint="eastAsia" w:ascii="宋体" w:hAnsi="宋体" w:cs="宋体"/>
                <w:color w:val="000000"/>
                <w:sz w:val="24"/>
                <w:highlight w:val="none"/>
              </w:rPr>
            </w:pPr>
          </w:p>
        </w:tc>
      </w:tr>
    </w:tbl>
    <w:p>
      <w:pPr>
        <w:spacing w:after="156" w:line="560" w:lineRule="exact"/>
        <w:ind w:firstLine="480"/>
        <w:rPr>
          <w:rFonts w:hint="eastAsia" w:ascii="宋体" w:hAnsi="宋体" w:cs="宋体"/>
          <w:color w:val="000000"/>
          <w:highlight w:val="none"/>
        </w:rPr>
      </w:pPr>
    </w:p>
    <w:p>
      <w:pPr>
        <w:pStyle w:val="19"/>
        <w:rPr>
          <w:rFonts w:hint="eastAsia" w:ascii="宋体" w:hAnsi="宋体" w:eastAsia="宋体" w:cs="宋体"/>
          <w:sz w:val="24"/>
          <w:szCs w:val="24"/>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p>
      <w:pPr>
        <w:pStyle w:val="19"/>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default" w:ascii="宋体" w:hAnsi="宋体" w:eastAsia="宋体" w:cs="宋体"/>
          <w:sz w:val="32"/>
          <w:szCs w:val="32"/>
          <w:highlight w:val="none"/>
          <w:u w:val="none"/>
          <w:lang w:val="en-US" w:eastAsia="zh-CN"/>
        </w:rPr>
      </w:pPr>
    </w:p>
    <w:sectPr>
      <w:footerReference r:id="rId15" w:type="first"/>
      <w:footerReference r:id="rId14" w:type="default"/>
      <w:pgSz w:w="11906" w:h="16838"/>
      <w:pgMar w:top="1417" w:right="1417" w:bottom="1417" w:left="141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default" w:ascii="宋体" w:hAnsi="宋体" w:eastAsia="宋体" w:cs="宋体"/>
        <w:b w:val="0"/>
        <w:bCs w:val="0"/>
        <w:color w:val="000000" w:themeColor="text1"/>
        <w:sz w:val="21"/>
        <w:szCs w:val="21"/>
        <w:u w:val="double"/>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ascii="宋体" w:hAnsi="宋体" w:eastAsia="宋体" w:cs="宋体"/>
        <w:b/>
        <w:bCs/>
        <w:color w:val="000000" w:themeColor="text1"/>
        <w:sz w:val="21"/>
        <w:szCs w:val="21"/>
        <w:lang w:val="en-US" w:eastAsia="zh-CN"/>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9525">
          <w14:solidFill>
            <w14:srgbClr w14:val="000000"/>
          </w14:solidFill>
          <w14:round/>
        </w14:textOutline>
        <w14:textFill>
          <w14:solidFill>
            <w14:schemeClr w14:val="tx1"/>
          </w14:solidFill>
        </w14:textFill>
        <w14:props3d w14:extrusionH="0" w14:contourW="0" w14:prstMaterial="clear"/>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w:t>
                    </w:r>
                    <w:r>
                      <w:fldChar w:fldCharType="end"/>
                    </w:r>
                  </w:p>
                </w:txbxContent>
              </v:textbox>
            </v:shape>
          </w:pict>
        </mc:Fallback>
      </mc:AlternateContent>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4795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6432;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pb8P0QAAAAMBAAAPAAAAAAAAAAEAIAAAACIAAABkcnMvZG93&#10;bnJldi54bWxQSwECFAAUAAAACACHTuJAFP9+6c4BAACXAwAADgAAAAAAAAABACAAAAAgAQAAZHJz&#10;L2Uyb0RvYy54bWxQSwUGAAAAAAYABgBZAQAAYAUAAAAA&#10;">
              <v:fill on="f" focussize="0,0"/>
              <v:stroke on="f"/>
              <v:imagedata o:title=""/>
              <o:lock v:ext="edit" aspectratio="f"/>
              <v:textbox inset="0mm,0mm,0mm,0mm" style="mso-fit-shape-to-text:t;">
                <w:txbxContent>
                  <w:p>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both"/>
      <w:rPr>
        <w:rFonts w:hint="eastAsia" w:eastAsiaTheme="minorEastAsia"/>
        <w:lang w:eastAsia="zh-CN"/>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7F852"/>
    <w:multiLevelType w:val="singleLevel"/>
    <w:tmpl w:val="9927F852"/>
    <w:lvl w:ilvl="0" w:tentative="0">
      <w:start w:val="6"/>
      <w:numFmt w:val="decimal"/>
      <w:lvlText w:val="%1."/>
      <w:lvlJc w:val="left"/>
      <w:pPr>
        <w:tabs>
          <w:tab w:val="left" w:pos="312"/>
        </w:tabs>
      </w:pPr>
    </w:lvl>
  </w:abstractNum>
  <w:abstractNum w:abstractNumId="1">
    <w:nsid w:val="C5D19322"/>
    <w:multiLevelType w:val="singleLevel"/>
    <w:tmpl w:val="C5D19322"/>
    <w:lvl w:ilvl="0" w:tentative="0">
      <w:start w:val="1"/>
      <w:numFmt w:val="decimal"/>
      <w:suff w:val="nothing"/>
      <w:lvlText w:val="（%1）"/>
      <w:lvlJc w:val="left"/>
      <w:pPr>
        <w:ind w:left="-60"/>
      </w:pPr>
    </w:lvl>
  </w:abstractNum>
  <w:abstractNum w:abstractNumId="2">
    <w:nsid w:val="D75EE62E"/>
    <w:multiLevelType w:val="singleLevel"/>
    <w:tmpl w:val="D75EE62E"/>
    <w:lvl w:ilvl="0" w:tentative="0">
      <w:start w:val="2"/>
      <w:numFmt w:val="chineseCounting"/>
      <w:suff w:val="space"/>
      <w:lvlText w:val="第%1部分"/>
      <w:lvlJc w:val="left"/>
      <w:rPr>
        <w:rFonts w:hint="eastAsia"/>
      </w:rPr>
    </w:lvl>
  </w:abstractNum>
  <w:abstractNum w:abstractNumId="3">
    <w:nsid w:val="DA6F1908"/>
    <w:multiLevelType w:val="singleLevel"/>
    <w:tmpl w:val="DA6F1908"/>
    <w:lvl w:ilvl="0" w:tentative="0">
      <w:start w:val="4"/>
      <w:numFmt w:val="decimal"/>
      <w:suff w:val="space"/>
      <w:lvlText w:val="%1."/>
      <w:lvlJc w:val="left"/>
    </w:lvl>
  </w:abstractNum>
  <w:abstractNum w:abstractNumId="4">
    <w:nsid w:val="0000000D"/>
    <w:multiLevelType w:val="multilevel"/>
    <w:tmpl w:val="0000000D"/>
    <w:lvl w:ilvl="0" w:tentative="0">
      <w:start w:val="1"/>
      <w:numFmt w:val="upperLetter"/>
      <w:pStyle w:val="8"/>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17253E8"/>
    <w:multiLevelType w:val="singleLevel"/>
    <w:tmpl w:val="017253E8"/>
    <w:lvl w:ilvl="0" w:tentative="0">
      <w:start w:val="7"/>
      <w:numFmt w:val="chineseCounting"/>
      <w:suff w:val="nothing"/>
      <w:lvlText w:val="%1、"/>
      <w:lvlJc w:val="left"/>
      <w:rPr>
        <w:rFonts w:hint="eastAsia"/>
      </w:rPr>
    </w:lvl>
  </w:abstractNum>
  <w:abstractNum w:abstractNumId="6">
    <w:nsid w:val="1542D30B"/>
    <w:multiLevelType w:val="singleLevel"/>
    <w:tmpl w:val="1542D30B"/>
    <w:lvl w:ilvl="0" w:tentative="0">
      <w:start w:val="6"/>
      <w:numFmt w:val="decimal"/>
      <w:suff w:val="nothing"/>
      <w:lvlText w:val="%1、"/>
      <w:lvlJc w:val="left"/>
    </w:lvl>
  </w:abstractNum>
  <w:abstractNum w:abstractNumId="7">
    <w:nsid w:val="28F9819F"/>
    <w:multiLevelType w:val="multilevel"/>
    <w:tmpl w:val="28F9819F"/>
    <w:lvl w:ilvl="0" w:tentative="0">
      <w:start w:val="18"/>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290AF74C"/>
    <w:multiLevelType w:val="singleLevel"/>
    <w:tmpl w:val="290AF74C"/>
    <w:lvl w:ilvl="0" w:tentative="0">
      <w:start w:val="10"/>
      <w:numFmt w:val="decimal"/>
      <w:suff w:val="nothing"/>
      <w:lvlText w:val="%1、"/>
      <w:lvlJc w:val="left"/>
    </w:lvl>
  </w:abstractNum>
  <w:abstractNum w:abstractNumId="9">
    <w:nsid w:val="40A3C75B"/>
    <w:multiLevelType w:val="singleLevel"/>
    <w:tmpl w:val="40A3C75B"/>
    <w:lvl w:ilvl="0" w:tentative="0">
      <w:start w:val="1"/>
      <w:numFmt w:val="decimal"/>
      <w:suff w:val="nothing"/>
      <w:lvlText w:val="%1、"/>
      <w:lvlJc w:val="left"/>
    </w:lvl>
  </w:abstractNum>
  <w:abstractNum w:abstractNumId="10">
    <w:nsid w:val="52712B9D"/>
    <w:multiLevelType w:val="singleLevel"/>
    <w:tmpl w:val="52712B9D"/>
    <w:lvl w:ilvl="0" w:tentative="0">
      <w:start w:val="2"/>
      <w:numFmt w:val="chineseCounting"/>
      <w:suff w:val="space"/>
      <w:lvlText w:val="第%1章"/>
      <w:lvlJc w:val="left"/>
      <w:rPr>
        <w:rFonts w:hint="eastAsia"/>
      </w:rPr>
    </w:lvl>
  </w:abstractNum>
  <w:abstractNum w:abstractNumId="11">
    <w:nsid w:val="646166B2"/>
    <w:multiLevelType w:val="singleLevel"/>
    <w:tmpl w:val="646166B2"/>
    <w:lvl w:ilvl="0" w:tentative="0">
      <w:start w:val="1"/>
      <w:numFmt w:val="decimal"/>
      <w:lvlText w:val="%1."/>
      <w:lvlJc w:val="left"/>
      <w:pPr>
        <w:tabs>
          <w:tab w:val="left" w:pos="312"/>
        </w:tabs>
      </w:pPr>
    </w:lvl>
  </w:abstractNum>
  <w:num w:numId="1">
    <w:abstractNumId w:val="4"/>
  </w:num>
  <w:num w:numId="2">
    <w:abstractNumId w:val="7"/>
  </w:num>
  <w:num w:numId="3">
    <w:abstractNumId w:val="11"/>
  </w:num>
  <w:num w:numId="4">
    <w:abstractNumId w:val="10"/>
  </w:num>
  <w:num w:numId="5">
    <w:abstractNumId w:val="9"/>
  </w:num>
  <w:num w:numId="6">
    <w:abstractNumId w:val="6"/>
  </w:num>
  <w:num w:numId="7">
    <w:abstractNumId w:val="8"/>
  </w:num>
  <w:num w:numId="8">
    <w:abstractNumId w:val="2"/>
  </w:num>
  <w:num w:numId="9">
    <w:abstractNumId w:val="0"/>
  </w:num>
  <w:num w:numId="10">
    <w:abstractNumId w:val="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yZWVlM2IzZmNlNWNmMjg4NWZlZTdkYjM4OTc1ODQifQ=="/>
    <w:docVar w:name="KSO_WPS_MARK_KEY" w:val="66dccfe4-6a32-4382-89fa-51b85a9999d8"/>
  </w:docVars>
  <w:rsids>
    <w:rsidRoot w:val="11482671"/>
    <w:rsid w:val="000B5404"/>
    <w:rsid w:val="00245594"/>
    <w:rsid w:val="0049418E"/>
    <w:rsid w:val="005A2D64"/>
    <w:rsid w:val="005C4D2E"/>
    <w:rsid w:val="00692DA5"/>
    <w:rsid w:val="00973FB8"/>
    <w:rsid w:val="009C15CF"/>
    <w:rsid w:val="00A83AD0"/>
    <w:rsid w:val="00AA3CEC"/>
    <w:rsid w:val="00AD558A"/>
    <w:rsid w:val="00B2494E"/>
    <w:rsid w:val="00BF0E19"/>
    <w:rsid w:val="00C36B5B"/>
    <w:rsid w:val="00DB20F7"/>
    <w:rsid w:val="00E46AD2"/>
    <w:rsid w:val="00F76805"/>
    <w:rsid w:val="00FE7B94"/>
    <w:rsid w:val="01080A12"/>
    <w:rsid w:val="011E0236"/>
    <w:rsid w:val="01210A8F"/>
    <w:rsid w:val="01227D26"/>
    <w:rsid w:val="012D0479"/>
    <w:rsid w:val="01457570"/>
    <w:rsid w:val="01875DDB"/>
    <w:rsid w:val="01890B71"/>
    <w:rsid w:val="019E3125"/>
    <w:rsid w:val="01A7022B"/>
    <w:rsid w:val="01B464A4"/>
    <w:rsid w:val="01C20BC1"/>
    <w:rsid w:val="01C963F3"/>
    <w:rsid w:val="01CC1A40"/>
    <w:rsid w:val="01D134FA"/>
    <w:rsid w:val="01D95F0B"/>
    <w:rsid w:val="02041547"/>
    <w:rsid w:val="02184C85"/>
    <w:rsid w:val="02232F51"/>
    <w:rsid w:val="022A6766"/>
    <w:rsid w:val="02313F99"/>
    <w:rsid w:val="02353A89"/>
    <w:rsid w:val="023B2499"/>
    <w:rsid w:val="023C2195"/>
    <w:rsid w:val="023D0B8F"/>
    <w:rsid w:val="0247556A"/>
    <w:rsid w:val="024B6E08"/>
    <w:rsid w:val="02547DEB"/>
    <w:rsid w:val="025832D3"/>
    <w:rsid w:val="025A529E"/>
    <w:rsid w:val="0261662C"/>
    <w:rsid w:val="02623CC6"/>
    <w:rsid w:val="02667C75"/>
    <w:rsid w:val="0273635F"/>
    <w:rsid w:val="0293255D"/>
    <w:rsid w:val="02A846B7"/>
    <w:rsid w:val="02AB3D4B"/>
    <w:rsid w:val="02B20C36"/>
    <w:rsid w:val="02B250DA"/>
    <w:rsid w:val="02C31095"/>
    <w:rsid w:val="02D432A2"/>
    <w:rsid w:val="02D7069C"/>
    <w:rsid w:val="02DA63DE"/>
    <w:rsid w:val="02E96621"/>
    <w:rsid w:val="02EB292B"/>
    <w:rsid w:val="03100052"/>
    <w:rsid w:val="03101E00"/>
    <w:rsid w:val="031713E0"/>
    <w:rsid w:val="035B12CD"/>
    <w:rsid w:val="036208AE"/>
    <w:rsid w:val="036D1000"/>
    <w:rsid w:val="03887BE8"/>
    <w:rsid w:val="038A7E04"/>
    <w:rsid w:val="038D16A3"/>
    <w:rsid w:val="03912F41"/>
    <w:rsid w:val="03962305"/>
    <w:rsid w:val="039A5595"/>
    <w:rsid w:val="039B791C"/>
    <w:rsid w:val="039D18E6"/>
    <w:rsid w:val="03C249D5"/>
    <w:rsid w:val="03C36E72"/>
    <w:rsid w:val="03D746CC"/>
    <w:rsid w:val="03FF60FC"/>
    <w:rsid w:val="04161698"/>
    <w:rsid w:val="042A41F9"/>
    <w:rsid w:val="043B10FF"/>
    <w:rsid w:val="045A1585"/>
    <w:rsid w:val="04651CD8"/>
    <w:rsid w:val="048D195A"/>
    <w:rsid w:val="04937D1C"/>
    <w:rsid w:val="04A86794"/>
    <w:rsid w:val="04B327A2"/>
    <w:rsid w:val="04B52C5F"/>
    <w:rsid w:val="04C3537C"/>
    <w:rsid w:val="04D01847"/>
    <w:rsid w:val="04FF212C"/>
    <w:rsid w:val="0506170D"/>
    <w:rsid w:val="0526590B"/>
    <w:rsid w:val="05444B47"/>
    <w:rsid w:val="05485881"/>
    <w:rsid w:val="055C132D"/>
    <w:rsid w:val="057F6DC9"/>
    <w:rsid w:val="05816FE5"/>
    <w:rsid w:val="05940AC6"/>
    <w:rsid w:val="05A21435"/>
    <w:rsid w:val="05D709B3"/>
    <w:rsid w:val="05E05ABA"/>
    <w:rsid w:val="05E11832"/>
    <w:rsid w:val="06075A72"/>
    <w:rsid w:val="06233BF8"/>
    <w:rsid w:val="0627193B"/>
    <w:rsid w:val="06497B03"/>
    <w:rsid w:val="06585F98"/>
    <w:rsid w:val="065A1D10"/>
    <w:rsid w:val="06635A79"/>
    <w:rsid w:val="066B5CCB"/>
    <w:rsid w:val="06734B80"/>
    <w:rsid w:val="067B3A34"/>
    <w:rsid w:val="06954AF6"/>
    <w:rsid w:val="06A27213"/>
    <w:rsid w:val="06AA0E3B"/>
    <w:rsid w:val="06B37672"/>
    <w:rsid w:val="06B64A6C"/>
    <w:rsid w:val="06BA630B"/>
    <w:rsid w:val="06BF1B73"/>
    <w:rsid w:val="06C4362D"/>
    <w:rsid w:val="06CC603E"/>
    <w:rsid w:val="06CE1F71"/>
    <w:rsid w:val="06D10F0F"/>
    <w:rsid w:val="06DC432D"/>
    <w:rsid w:val="0721282E"/>
    <w:rsid w:val="073A569E"/>
    <w:rsid w:val="076F3599"/>
    <w:rsid w:val="07950B26"/>
    <w:rsid w:val="07A019A5"/>
    <w:rsid w:val="07A331FF"/>
    <w:rsid w:val="07BE1E2B"/>
    <w:rsid w:val="07F30A94"/>
    <w:rsid w:val="07FE491D"/>
    <w:rsid w:val="081859DF"/>
    <w:rsid w:val="08202AE5"/>
    <w:rsid w:val="083224FA"/>
    <w:rsid w:val="086B2D03"/>
    <w:rsid w:val="08850B9A"/>
    <w:rsid w:val="088E7A4F"/>
    <w:rsid w:val="089B03BE"/>
    <w:rsid w:val="089F1C5C"/>
    <w:rsid w:val="08AE1E9F"/>
    <w:rsid w:val="08D6619F"/>
    <w:rsid w:val="08F0070A"/>
    <w:rsid w:val="08F63846"/>
    <w:rsid w:val="08FF6B9F"/>
    <w:rsid w:val="090B5543"/>
    <w:rsid w:val="09297778"/>
    <w:rsid w:val="093A7BD7"/>
    <w:rsid w:val="093F51ED"/>
    <w:rsid w:val="09524819"/>
    <w:rsid w:val="095A5B83"/>
    <w:rsid w:val="09750C0F"/>
    <w:rsid w:val="09945539"/>
    <w:rsid w:val="09A3577C"/>
    <w:rsid w:val="09CA2D09"/>
    <w:rsid w:val="09E57B43"/>
    <w:rsid w:val="09ED69F7"/>
    <w:rsid w:val="09F4422A"/>
    <w:rsid w:val="0A00672A"/>
    <w:rsid w:val="0A2E773B"/>
    <w:rsid w:val="0A3463D4"/>
    <w:rsid w:val="0A4707FD"/>
    <w:rsid w:val="0A481E7F"/>
    <w:rsid w:val="0A6F38B0"/>
    <w:rsid w:val="0A717628"/>
    <w:rsid w:val="0A791B72"/>
    <w:rsid w:val="0A8A2498"/>
    <w:rsid w:val="0AAA2B3A"/>
    <w:rsid w:val="0AB46469"/>
    <w:rsid w:val="0ABE2142"/>
    <w:rsid w:val="0ADA2C67"/>
    <w:rsid w:val="0ADA51CD"/>
    <w:rsid w:val="0ADB0F46"/>
    <w:rsid w:val="0AEA1189"/>
    <w:rsid w:val="0AF618DB"/>
    <w:rsid w:val="0B065FC2"/>
    <w:rsid w:val="0B0A5387"/>
    <w:rsid w:val="0B0C10FF"/>
    <w:rsid w:val="0B1A7CC0"/>
    <w:rsid w:val="0B41349E"/>
    <w:rsid w:val="0B41524D"/>
    <w:rsid w:val="0B4E7969"/>
    <w:rsid w:val="0B575693"/>
    <w:rsid w:val="0B6759FE"/>
    <w:rsid w:val="0B7D3DAB"/>
    <w:rsid w:val="0B81389B"/>
    <w:rsid w:val="0B867103"/>
    <w:rsid w:val="0BD22349"/>
    <w:rsid w:val="0BF40511"/>
    <w:rsid w:val="0C142961"/>
    <w:rsid w:val="0C2D757F"/>
    <w:rsid w:val="0C693EAF"/>
    <w:rsid w:val="0C8607AA"/>
    <w:rsid w:val="0C877CDB"/>
    <w:rsid w:val="0C931AD8"/>
    <w:rsid w:val="0C9D2956"/>
    <w:rsid w:val="0CDB6DC8"/>
    <w:rsid w:val="0CDD4969"/>
    <w:rsid w:val="0CED3C38"/>
    <w:rsid w:val="0CFF34DF"/>
    <w:rsid w:val="0D006A41"/>
    <w:rsid w:val="0D15073F"/>
    <w:rsid w:val="0D186481"/>
    <w:rsid w:val="0D3F3A0E"/>
    <w:rsid w:val="0D4728C2"/>
    <w:rsid w:val="0D4C1C87"/>
    <w:rsid w:val="0D4E3C51"/>
    <w:rsid w:val="0D7D4536"/>
    <w:rsid w:val="0DB53CD0"/>
    <w:rsid w:val="0DC7755F"/>
    <w:rsid w:val="0DD00B0A"/>
    <w:rsid w:val="0DD0598D"/>
    <w:rsid w:val="0DD34156"/>
    <w:rsid w:val="0DF742E8"/>
    <w:rsid w:val="0DF76096"/>
    <w:rsid w:val="0E06277D"/>
    <w:rsid w:val="0E342E47"/>
    <w:rsid w:val="0E5B4877"/>
    <w:rsid w:val="0E5B6625"/>
    <w:rsid w:val="0E772D33"/>
    <w:rsid w:val="0E912047"/>
    <w:rsid w:val="0E9E4764"/>
    <w:rsid w:val="0EA0672E"/>
    <w:rsid w:val="0ECC307F"/>
    <w:rsid w:val="0ECC7523"/>
    <w:rsid w:val="0ED9579C"/>
    <w:rsid w:val="0EE04D7C"/>
    <w:rsid w:val="0EE26D46"/>
    <w:rsid w:val="0EF80318"/>
    <w:rsid w:val="0F063D14"/>
    <w:rsid w:val="0F0B68D1"/>
    <w:rsid w:val="0F220EF1"/>
    <w:rsid w:val="0F2B249C"/>
    <w:rsid w:val="0F40581B"/>
    <w:rsid w:val="0F4873EB"/>
    <w:rsid w:val="0F543075"/>
    <w:rsid w:val="0F625791"/>
    <w:rsid w:val="0F8E2A2A"/>
    <w:rsid w:val="0F917E25"/>
    <w:rsid w:val="0FAB751C"/>
    <w:rsid w:val="0FB30F30"/>
    <w:rsid w:val="0FB727C8"/>
    <w:rsid w:val="0FB81855"/>
    <w:rsid w:val="0FD0094D"/>
    <w:rsid w:val="0FE663C2"/>
    <w:rsid w:val="10132FE9"/>
    <w:rsid w:val="10282537"/>
    <w:rsid w:val="1030763E"/>
    <w:rsid w:val="10345380"/>
    <w:rsid w:val="105A46BB"/>
    <w:rsid w:val="10771710"/>
    <w:rsid w:val="10895E99"/>
    <w:rsid w:val="10944070"/>
    <w:rsid w:val="10A2678D"/>
    <w:rsid w:val="10BE4C49"/>
    <w:rsid w:val="10C83D1A"/>
    <w:rsid w:val="10CD7582"/>
    <w:rsid w:val="10D821AF"/>
    <w:rsid w:val="10F66AD9"/>
    <w:rsid w:val="11421D1E"/>
    <w:rsid w:val="114535BD"/>
    <w:rsid w:val="11482671"/>
    <w:rsid w:val="114A0BD3"/>
    <w:rsid w:val="11691059"/>
    <w:rsid w:val="117A5014"/>
    <w:rsid w:val="117F262B"/>
    <w:rsid w:val="11851C0B"/>
    <w:rsid w:val="11934328"/>
    <w:rsid w:val="119F468C"/>
    <w:rsid w:val="11A7392F"/>
    <w:rsid w:val="11A9197F"/>
    <w:rsid w:val="11D566EF"/>
    <w:rsid w:val="11E626AA"/>
    <w:rsid w:val="11FA6155"/>
    <w:rsid w:val="11FC1ECD"/>
    <w:rsid w:val="12105979"/>
    <w:rsid w:val="12130FC5"/>
    <w:rsid w:val="121A05A5"/>
    <w:rsid w:val="123C27A6"/>
    <w:rsid w:val="123C27D6"/>
    <w:rsid w:val="12535865"/>
    <w:rsid w:val="12575356"/>
    <w:rsid w:val="12582E7C"/>
    <w:rsid w:val="126E7CEE"/>
    <w:rsid w:val="12771554"/>
    <w:rsid w:val="12810624"/>
    <w:rsid w:val="128F2D41"/>
    <w:rsid w:val="12A12A75"/>
    <w:rsid w:val="12A54313"/>
    <w:rsid w:val="12AB56A1"/>
    <w:rsid w:val="12BB58E4"/>
    <w:rsid w:val="12CB1117"/>
    <w:rsid w:val="12DD62D4"/>
    <w:rsid w:val="12E0534B"/>
    <w:rsid w:val="12EC1F42"/>
    <w:rsid w:val="12F10925"/>
    <w:rsid w:val="12FE5199"/>
    <w:rsid w:val="12FE7EC7"/>
    <w:rsid w:val="130C6140"/>
    <w:rsid w:val="13150595"/>
    <w:rsid w:val="13255454"/>
    <w:rsid w:val="132A0CBC"/>
    <w:rsid w:val="13367661"/>
    <w:rsid w:val="134206BE"/>
    <w:rsid w:val="1351449B"/>
    <w:rsid w:val="1356560D"/>
    <w:rsid w:val="136C3083"/>
    <w:rsid w:val="13723DD1"/>
    <w:rsid w:val="13741F37"/>
    <w:rsid w:val="137649DA"/>
    <w:rsid w:val="13826402"/>
    <w:rsid w:val="138F0B1F"/>
    <w:rsid w:val="139D3E6B"/>
    <w:rsid w:val="13D84274"/>
    <w:rsid w:val="13DC1FB6"/>
    <w:rsid w:val="13F60B9E"/>
    <w:rsid w:val="13F82B05"/>
    <w:rsid w:val="14011A1D"/>
    <w:rsid w:val="14027543"/>
    <w:rsid w:val="14171240"/>
    <w:rsid w:val="144A7FBC"/>
    <w:rsid w:val="144E2788"/>
    <w:rsid w:val="14575AE1"/>
    <w:rsid w:val="145C6C53"/>
    <w:rsid w:val="147815B3"/>
    <w:rsid w:val="14863CD0"/>
    <w:rsid w:val="149A3C1F"/>
    <w:rsid w:val="149E726C"/>
    <w:rsid w:val="150F1F18"/>
    <w:rsid w:val="152359C3"/>
    <w:rsid w:val="152539A3"/>
    <w:rsid w:val="152A4FA3"/>
    <w:rsid w:val="153011FF"/>
    <w:rsid w:val="15311E8E"/>
    <w:rsid w:val="15363948"/>
    <w:rsid w:val="153C4EBB"/>
    <w:rsid w:val="154222ED"/>
    <w:rsid w:val="155E4C4D"/>
    <w:rsid w:val="1564220B"/>
    <w:rsid w:val="15691D54"/>
    <w:rsid w:val="15997A33"/>
    <w:rsid w:val="15A5287C"/>
    <w:rsid w:val="15A9411A"/>
    <w:rsid w:val="15BC3411"/>
    <w:rsid w:val="15BE749A"/>
    <w:rsid w:val="15C54CCC"/>
    <w:rsid w:val="15CC605B"/>
    <w:rsid w:val="16092E0B"/>
    <w:rsid w:val="163A700E"/>
    <w:rsid w:val="16473933"/>
    <w:rsid w:val="165027E8"/>
    <w:rsid w:val="16907088"/>
    <w:rsid w:val="169A1CB5"/>
    <w:rsid w:val="16A35612"/>
    <w:rsid w:val="16A36DBB"/>
    <w:rsid w:val="16B74615"/>
    <w:rsid w:val="16BF1B00"/>
    <w:rsid w:val="16C84A74"/>
    <w:rsid w:val="16D8458B"/>
    <w:rsid w:val="16F26FFB"/>
    <w:rsid w:val="170D06D9"/>
    <w:rsid w:val="17215F32"/>
    <w:rsid w:val="173E4D36"/>
    <w:rsid w:val="173F32A6"/>
    <w:rsid w:val="174F0863"/>
    <w:rsid w:val="17546308"/>
    <w:rsid w:val="17683B61"/>
    <w:rsid w:val="17797B1C"/>
    <w:rsid w:val="178A7F7B"/>
    <w:rsid w:val="179E3386"/>
    <w:rsid w:val="17A728DB"/>
    <w:rsid w:val="17AD5A18"/>
    <w:rsid w:val="17BD3EAD"/>
    <w:rsid w:val="17DD62FD"/>
    <w:rsid w:val="17FB6783"/>
    <w:rsid w:val="1804388A"/>
    <w:rsid w:val="180F2C66"/>
    <w:rsid w:val="18185587"/>
    <w:rsid w:val="181A12FF"/>
    <w:rsid w:val="18335F1D"/>
    <w:rsid w:val="18351C95"/>
    <w:rsid w:val="183D0B4A"/>
    <w:rsid w:val="18581E27"/>
    <w:rsid w:val="185A16FC"/>
    <w:rsid w:val="18622CA6"/>
    <w:rsid w:val="186B56B7"/>
    <w:rsid w:val="1873100E"/>
    <w:rsid w:val="1881312C"/>
    <w:rsid w:val="188B7B07"/>
    <w:rsid w:val="18A00175"/>
    <w:rsid w:val="18A4506D"/>
    <w:rsid w:val="18AA6A88"/>
    <w:rsid w:val="18BE612E"/>
    <w:rsid w:val="18C474BD"/>
    <w:rsid w:val="18E84B6B"/>
    <w:rsid w:val="18F338FE"/>
    <w:rsid w:val="18F356AC"/>
    <w:rsid w:val="18F71640"/>
    <w:rsid w:val="19350DDE"/>
    <w:rsid w:val="193D16FC"/>
    <w:rsid w:val="19406B43"/>
    <w:rsid w:val="19520625"/>
    <w:rsid w:val="195A46B8"/>
    <w:rsid w:val="196640D0"/>
    <w:rsid w:val="197F30DB"/>
    <w:rsid w:val="19874772"/>
    <w:rsid w:val="199944A6"/>
    <w:rsid w:val="19A277FE"/>
    <w:rsid w:val="19BB441C"/>
    <w:rsid w:val="19D35C0A"/>
    <w:rsid w:val="19D96F98"/>
    <w:rsid w:val="19DD33D8"/>
    <w:rsid w:val="19F85670"/>
    <w:rsid w:val="1A07140F"/>
    <w:rsid w:val="1A113F28"/>
    <w:rsid w:val="1A3D7527"/>
    <w:rsid w:val="1A4B1D34"/>
    <w:rsid w:val="1A530AF8"/>
    <w:rsid w:val="1A5A3C35"/>
    <w:rsid w:val="1A604FC3"/>
    <w:rsid w:val="1A6E148E"/>
    <w:rsid w:val="1A7C004F"/>
    <w:rsid w:val="1A872550"/>
    <w:rsid w:val="1A8C7B66"/>
    <w:rsid w:val="1A9165C6"/>
    <w:rsid w:val="1A986518"/>
    <w:rsid w:val="1AA02CB3"/>
    <w:rsid w:val="1AAC0209"/>
    <w:rsid w:val="1AB23A71"/>
    <w:rsid w:val="1ABF7F3C"/>
    <w:rsid w:val="1AC11F06"/>
    <w:rsid w:val="1AC63078"/>
    <w:rsid w:val="1AC92B69"/>
    <w:rsid w:val="1AD804B9"/>
    <w:rsid w:val="1AE45BF4"/>
    <w:rsid w:val="1AE479A2"/>
    <w:rsid w:val="1AF37BE5"/>
    <w:rsid w:val="1AF446CC"/>
    <w:rsid w:val="1AFF658A"/>
    <w:rsid w:val="1B1464DA"/>
    <w:rsid w:val="1B281F85"/>
    <w:rsid w:val="1B3E5305"/>
    <w:rsid w:val="1B4548E5"/>
    <w:rsid w:val="1B610FF3"/>
    <w:rsid w:val="1B79458F"/>
    <w:rsid w:val="1B866CAC"/>
    <w:rsid w:val="1BA23AE5"/>
    <w:rsid w:val="1BAD5FE6"/>
    <w:rsid w:val="1BB455C7"/>
    <w:rsid w:val="1BCA4DEA"/>
    <w:rsid w:val="1BCF0653"/>
    <w:rsid w:val="1BEA723A"/>
    <w:rsid w:val="1C0E117B"/>
    <w:rsid w:val="1C112A19"/>
    <w:rsid w:val="1C1147C7"/>
    <w:rsid w:val="1C116575"/>
    <w:rsid w:val="1C2344FA"/>
    <w:rsid w:val="1C245C8F"/>
    <w:rsid w:val="1C2A5889"/>
    <w:rsid w:val="1C2C7853"/>
    <w:rsid w:val="1C316C17"/>
    <w:rsid w:val="1C3861F8"/>
    <w:rsid w:val="1C6B037B"/>
    <w:rsid w:val="1C721EF7"/>
    <w:rsid w:val="1C796B0B"/>
    <w:rsid w:val="1C9571A6"/>
    <w:rsid w:val="1C9A0C60"/>
    <w:rsid w:val="1C9D42AD"/>
    <w:rsid w:val="1CA94A00"/>
    <w:rsid w:val="1CB81820"/>
    <w:rsid w:val="1CDF063D"/>
    <w:rsid w:val="1CFA525B"/>
    <w:rsid w:val="1D085BCA"/>
    <w:rsid w:val="1D21125A"/>
    <w:rsid w:val="1D3F35B6"/>
    <w:rsid w:val="1D440BCC"/>
    <w:rsid w:val="1D4604A0"/>
    <w:rsid w:val="1D4D7A81"/>
    <w:rsid w:val="1D5A03F0"/>
    <w:rsid w:val="1D725739"/>
    <w:rsid w:val="1D81597C"/>
    <w:rsid w:val="1D824837"/>
    <w:rsid w:val="1DA43419"/>
    <w:rsid w:val="1DB00010"/>
    <w:rsid w:val="1DC213D7"/>
    <w:rsid w:val="1DE877AA"/>
    <w:rsid w:val="1DEC729A"/>
    <w:rsid w:val="1DF75C3F"/>
    <w:rsid w:val="1DFD14A7"/>
    <w:rsid w:val="1E0345E3"/>
    <w:rsid w:val="1E116D00"/>
    <w:rsid w:val="1E276524"/>
    <w:rsid w:val="1E2C0F41"/>
    <w:rsid w:val="1E3A380F"/>
    <w:rsid w:val="1E4470D6"/>
    <w:rsid w:val="1E562965"/>
    <w:rsid w:val="1E605592"/>
    <w:rsid w:val="1E6416BE"/>
    <w:rsid w:val="1E650DFA"/>
    <w:rsid w:val="1E672DC4"/>
    <w:rsid w:val="1E696B3C"/>
    <w:rsid w:val="1E731769"/>
    <w:rsid w:val="1E74207C"/>
    <w:rsid w:val="1E795EF0"/>
    <w:rsid w:val="1E7D4396"/>
    <w:rsid w:val="1E990AA4"/>
    <w:rsid w:val="1E9D0594"/>
    <w:rsid w:val="1EDA17E8"/>
    <w:rsid w:val="1EE6018D"/>
    <w:rsid w:val="1EED151B"/>
    <w:rsid w:val="1F0E1492"/>
    <w:rsid w:val="1F274302"/>
    <w:rsid w:val="1F2E7CBE"/>
    <w:rsid w:val="1F3507CD"/>
    <w:rsid w:val="1F5609E3"/>
    <w:rsid w:val="1F5E781E"/>
    <w:rsid w:val="1F615A66"/>
    <w:rsid w:val="1F6B41EE"/>
    <w:rsid w:val="1F7A36E2"/>
    <w:rsid w:val="1F8B211C"/>
    <w:rsid w:val="1F8D685B"/>
    <w:rsid w:val="1F952829"/>
    <w:rsid w:val="1FAD0CAB"/>
    <w:rsid w:val="1FB21E1D"/>
    <w:rsid w:val="1FB45B95"/>
    <w:rsid w:val="1FD71884"/>
    <w:rsid w:val="200E06F7"/>
    <w:rsid w:val="201B3E66"/>
    <w:rsid w:val="201E74B3"/>
    <w:rsid w:val="20450EE3"/>
    <w:rsid w:val="206F41B2"/>
    <w:rsid w:val="207812B9"/>
    <w:rsid w:val="207B62A3"/>
    <w:rsid w:val="20830A31"/>
    <w:rsid w:val="20895274"/>
    <w:rsid w:val="209634ED"/>
    <w:rsid w:val="20A025BE"/>
    <w:rsid w:val="20A420AE"/>
    <w:rsid w:val="20B87300"/>
    <w:rsid w:val="20BB73F7"/>
    <w:rsid w:val="20F2737F"/>
    <w:rsid w:val="20F36B91"/>
    <w:rsid w:val="21470C8B"/>
    <w:rsid w:val="214D006F"/>
    <w:rsid w:val="21657FED"/>
    <w:rsid w:val="217A696B"/>
    <w:rsid w:val="21A41C3A"/>
    <w:rsid w:val="21A8797C"/>
    <w:rsid w:val="21BA76AF"/>
    <w:rsid w:val="21BC6F83"/>
    <w:rsid w:val="21C10A3D"/>
    <w:rsid w:val="21CB5418"/>
    <w:rsid w:val="21CD2F3E"/>
    <w:rsid w:val="21FA56F9"/>
    <w:rsid w:val="220A5F40"/>
    <w:rsid w:val="220D3C83"/>
    <w:rsid w:val="221C4930"/>
    <w:rsid w:val="222E4DF9"/>
    <w:rsid w:val="22356D36"/>
    <w:rsid w:val="223B259E"/>
    <w:rsid w:val="224A458F"/>
    <w:rsid w:val="2268710B"/>
    <w:rsid w:val="227B6E3E"/>
    <w:rsid w:val="22AC5CB1"/>
    <w:rsid w:val="22C04851"/>
    <w:rsid w:val="22F34C27"/>
    <w:rsid w:val="230F7587"/>
    <w:rsid w:val="23144B9D"/>
    <w:rsid w:val="23166B67"/>
    <w:rsid w:val="2322550C"/>
    <w:rsid w:val="2329689A"/>
    <w:rsid w:val="23403BE4"/>
    <w:rsid w:val="235A7016"/>
    <w:rsid w:val="23733FB9"/>
    <w:rsid w:val="23781B21"/>
    <w:rsid w:val="23827D58"/>
    <w:rsid w:val="23847F75"/>
    <w:rsid w:val="239301B8"/>
    <w:rsid w:val="239F6B5C"/>
    <w:rsid w:val="23A55D03"/>
    <w:rsid w:val="23AB72AF"/>
    <w:rsid w:val="23B4085A"/>
    <w:rsid w:val="23F24EDE"/>
    <w:rsid w:val="240370EB"/>
    <w:rsid w:val="2409617F"/>
    <w:rsid w:val="242B599B"/>
    <w:rsid w:val="24333BE3"/>
    <w:rsid w:val="24415459"/>
    <w:rsid w:val="24575689"/>
    <w:rsid w:val="246456B0"/>
    <w:rsid w:val="248B0E8F"/>
    <w:rsid w:val="24A00DDE"/>
    <w:rsid w:val="24E231A5"/>
    <w:rsid w:val="250F2833"/>
    <w:rsid w:val="251543AF"/>
    <w:rsid w:val="251A5CCC"/>
    <w:rsid w:val="2524556B"/>
    <w:rsid w:val="252F5CBE"/>
    <w:rsid w:val="253357AE"/>
    <w:rsid w:val="253D487F"/>
    <w:rsid w:val="25423C43"/>
    <w:rsid w:val="25861D82"/>
    <w:rsid w:val="259C009E"/>
    <w:rsid w:val="25A95A70"/>
    <w:rsid w:val="25BC1C48"/>
    <w:rsid w:val="25CB1E8B"/>
    <w:rsid w:val="25DA0320"/>
    <w:rsid w:val="25EB7E37"/>
    <w:rsid w:val="25FE2142"/>
    <w:rsid w:val="26040EF9"/>
    <w:rsid w:val="26061115"/>
    <w:rsid w:val="26235823"/>
    <w:rsid w:val="26527EB6"/>
    <w:rsid w:val="26760048"/>
    <w:rsid w:val="269C3827"/>
    <w:rsid w:val="269E30FB"/>
    <w:rsid w:val="26C863CA"/>
    <w:rsid w:val="26F1147D"/>
    <w:rsid w:val="26F31699"/>
    <w:rsid w:val="26F947D6"/>
    <w:rsid w:val="27090EBD"/>
    <w:rsid w:val="273B4DEE"/>
    <w:rsid w:val="27475541"/>
    <w:rsid w:val="279B588D"/>
    <w:rsid w:val="27A40BE5"/>
    <w:rsid w:val="27AE3812"/>
    <w:rsid w:val="27BA5D13"/>
    <w:rsid w:val="27BF77CD"/>
    <w:rsid w:val="27C507AC"/>
    <w:rsid w:val="27F356C9"/>
    <w:rsid w:val="282633A8"/>
    <w:rsid w:val="28327F9F"/>
    <w:rsid w:val="2849353B"/>
    <w:rsid w:val="28546167"/>
    <w:rsid w:val="28610884"/>
    <w:rsid w:val="28687E65"/>
    <w:rsid w:val="28801FE8"/>
    <w:rsid w:val="288051AE"/>
    <w:rsid w:val="288D78CB"/>
    <w:rsid w:val="28AB1AFF"/>
    <w:rsid w:val="28C3509B"/>
    <w:rsid w:val="28C36E49"/>
    <w:rsid w:val="28C57065"/>
    <w:rsid w:val="28D56B7C"/>
    <w:rsid w:val="28DA4193"/>
    <w:rsid w:val="28F160A4"/>
    <w:rsid w:val="28F65471"/>
    <w:rsid w:val="29080D00"/>
    <w:rsid w:val="290C4C94"/>
    <w:rsid w:val="29234A57"/>
    <w:rsid w:val="292F0982"/>
    <w:rsid w:val="293E2974"/>
    <w:rsid w:val="29787C34"/>
    <w:rsid w:val="29C25353"/>
    <w:rsid w:val="29C820D5"/>
    <w:rsid w:val="29F91087"/>
    <w:rsid w:val="29FC6AB7"/>
    <w:rsid w:val="2A070FB7"/>
    <w:rsid w:val="2A187669"/>
    <w:rsid w:val="2A1C0F07"/>
    <w:rsid w:val="2A1C40C0"/>
    <w:rsid w:val="2A1E5C2A"/>
    <w:rsid w:val="2A331DAD"/>
    <w:rsid w:val="2A333AC3"/>
    <w:rsid w:val="2A3A313B"/>
    <w:rsid w:val="2A3A75DF"/>
    <w:rsid w:val="2A557F75"/>
    <w:rsid w:val="2A5C57A7"/>
    <w:rsid w:val="2A612DBE"/>
    <w:rsid w:val="2A622692"/>
    <w:rsid w:val="2AA66A22"/>
    <w:rsid w:val="2AC05D36"/>
    <w:rsid w:val="2ACB46DB"/>
    <w:rsid w:val="2AD01CF1"/>
    <w:rsid w:val="2AE148B4"/>
    <w:rsid w:val="2AE93303"/>
    <w:rsid w:val="2AFC4894"/>
    <w:rsid w:val="2B0B2D29"/>
    <w:rsid w:val="2B12230A"/>
    <w:rsid w:val="2B1E480B"/>
    <w:rsid w:val="2B25203D"/>
    <w:rsid w:val="2B2D7144"/>
    <w:rsid w:val="2B41674B"/>
    <w:rsid w:val="2B4D6E9E"/>
    <w:rsid w:val="2B5A113B"/>
    <w:rsid w:val="2B6366C1"/>
    <w:rsid w:val="2B6D12EE"/>
    <w:rsid w:val="2B832919"/>
    <w:rsid w:val="2B8A6344"/>
    <w:rsid w:val="2BA430B1"/>
    <w:rsid w:val="2BB27984"/>
    <w:rsid w:val="2BC03B14"/>
    <w:rsid w:val="2BC453B2"/>
    <w:rsid w:val="2BCA04EF"/>
    <w:rsid w:val="2BCC070B"/>
    <w:rsid w:val="2BF11F1F"/>
    <w:rsid w:val="2BF27637"/>
    <w:rsid w:val="2C0E2AD1"/>
    <w:rsid w:val="2C2422F5"/>
    <w:rsid w:val="2C29790B"/>
    <w:rsid w:val="2C2B3683"/>
    <w:rsid w:val="2C385DA0"/>
    <w:rsid w:val="2C414C55"/>
    <w:rsid w:val="2C464019"/>
    <w:rsid w:val="2C5B55EB"/>
    <w:rsid w:val="2C624BCB"/>
    <w:rsid w:val="2C6B7F24"/>
    <w:rsid w:val="2C6E531E"/>
    <w:rsid w:val="2C714E0E"/>
    <w:rsid w:val="2C7E1ECD"/>
    <w:rsid w:val="2C840FE5"/>
    <w:rsid w:val="2C932FD6"/>
    <w:rsid w:val="2CAC12D7"/>
    <w:rsid w:val="2CBE44F7"/>
    <w:rsid w:val="2CCD473A"/>
    <w:rsid w:val="2CE555E6"/>
    <w:rsid w:val="2CE850D0"/>
    <w:rsid w:val="2D0F6B01"/>
    <w:rsid w:val="2D145EC5"/>
    <w:rsid w:val="2D2B6043"/>
    <w:rsid w:val="2D2C76B3"/>
    <w:rsid w:val="2D502C75"/>
    <w:rsid w:val="2D517119"/>
    <w:rsid w:val="2D522E91"/>
    <w:rsid w:val="2D614E83"/>
    <w:rsid w:val="2D6456C4"/>
    <w:rsid w:val="2D6A01DB"/>
    <w:rsid w:val="2D6A0DBA"/>
    <w:rsid w:val="2D8A262B"/>
    <w:rsid w:val="2DA83E6E"/>
    <w:rsid w:val="2DC31699"/>
    <w:rsid w:val="2DCE2518"/>
    <w:rsid w:val="2DD35D80"/>
    <w:rsid w:val="2DD83397"/>
    <w:rsid w:val="2DE0224B"/>
    <w:rsid w:val="2DF16206"/>
    <w:rsid w:val="2DF9330D"/>
    <w:rsid w:val="2E017221"/>
    <w:rsid w:val="2E344345"/>
    <w:rsid w:val="2E3600BD"/>
    <w:rsid w:val="2E3D58F0"/>
    <w:rsid w:val="2E415B63"/>
    <w:rsid w:val="2E422F06"/>
    <w:rsid w:val="2E4647A4"/>
    <w:rsid w:val="2E70537D"/>
    <w:rsid w:val="2E8E614B"/>
    <w:rsid w:val="2E960B5C"/>
    <w:rsid w:val="2E9D638E"/>
    <w:rsid w:val="2EA119DB"/>
    <w:rsid w:val="2EAD65D1"/>
    <w:rsid w:val="2EEE56C0"/>
    <w:rsid w:val="2F0957D2"/>
    <w:rsid w:val="2F1228D8"/>
    <w:rsid w:val="2F1403FE"/>
    <w:rsid w:val="2F1C3757"/>
    <w:rsid w:val="2F366214"/>
    <w:rsid w:val="2F3F599D"/>
    <w:rsid w:val="2F432A92"/>
    <w:rsid w:val="2F803CE6"/>
    <w:rsid w:val="2F807842"/>
    <w:rsid w:val="2F8D6403"/>
    <w:rsid w:val="2FB614B6"/>
    <w:rsid w:val="2FDB53C0"/>
    <w:rsid w:val="2FF124EE"/>
    <w:rsid w:val="2FFD5337"/>
    <w:rsid w:val="301D4299"/>
    <w:rsid w:val="30313232"/>
    <w:rsid w:val="30420F9B"/>
    <w:rsid w:val="3042134B"/>
    <w:rsid w:val="30442F65"/>
    <w:rsid w:val="304C5976"/>
    <w:rsid w:val="305667F5"/>
    <w:rsid w:val="30662713"/>
    <w:rsid w:val="306727B0"/>
    <w:rsid w:val="30696528"/>
    <w:rsid w:val="3071362F"/>
    <w:rsid w:val="307A6987"/>
    <w:rsid w:val="307B625B"/>
    <w:rsid w:val="30817D16"/>
    <w:rsid w:val="30986E0D"/>
    <w:rsid w:val="309F019C"/>
    <w:rsid w:val="30A6768F"/>
    <w:rsid w:val="30A9726C"/>
    <w:rsid w:val="30B023A9"/>
    <w:rsid w:val="30DA11D4"/>
    <w:rsid w:val="30FF50DE"/>
    <w:rsid w:val="3103697D"/>
    <w:rsid w:val="310444A3"/>
    <w:rsid w:val="31271F3F"/>
    <w:rsid w:val="31337F00"/>
    <w:rsid w:val="315471D8"/>
    <w:rsid w:val="31603DCF"/>
    <w:rsid w:val="31660CB9"/>
    <w:rsid w:val="31B47C77"/>
    <w:rsid w:val="31D245A1"/>
    <w:rsid w:val="31DD5420"/>
    <w:rsid w:val="31E02532"/>
    <w:rsid w:val="31E56082"/>
    <w:rsid w:val="31F723E5"/>
    <w:rsid w:val="3215151D"/>
    <w:rsid w:val="32193F7E"/>
    <w:rsid w:val="32222E32"/>
    <w:rsid w:val="322C4385"/>
    <w:rsid w:val="326E7E26"/>
    <w:rsid w:val="32847649"/>
    <w:rsid w:val="32A23F73"/>
    <w:rsid w:val="32AC6BA0"/>
    <w:rsid w:val="32AE7C54"/>
    <w:rsid w:val="32B31CDC"/>
    <w:rsid w:val="32B45B9E"/>
    <w:rsid w:val="32DC56D7"/>
    <w:rsid w:val="32E20814"/>
    <w:rsid w:val="32E620B2"/>
    <w:rsid w:val="330E1609"/>
    <w:rsid w:val="33294832"/>
    <w:rsid w:val="3330332D"/>
    <w:rsid w:val="333C43C8"/>
    <w:rsid w:val="33510E6D"/>
    <w:rsid w:val="336747D4"/>
    <w:rsid w:val="3390201E"/>
    <w:rsid w:val="339935C8"/>
    <w:rsid w:val="33BE302F"/>
    <w:rsid w:val="33C5616B"/>
    <w:rsid w:val="33C82EA2"/>
    <w:rsid w:val="33F7209D"/>
    <w:rsid w:val="34120C85"/>
    <w:rsid w:val="3421711A"/>
    <w:rsid w:val="342A2472"/>
    <w:rsid w:val="34337579"/>
    <w:rsid w:val="349D2C44"/>
    <w:rsid w:val="34AE4E51"/>
    <w:rsid w:val="34CE2DFE"/>
    <w:rsid w:val="34DA5C46"/>
    <w:rsid w:val="34DA77F4"/>
    <w:rsid w:val="34E02B31"/>
    <w:rsid w:val="34EA39B0"/>
    <w:rsid w:val="34F605A6"/>
    <w:rsid w:val="34FF56AD"/>
    <w:rsid w:val="3502424E"/>
    <w:rsid w:val="35076310"/>
    <w:rsid w:val="35245113"/>
    <w:rsid w:val="35537780"/>
    <w:rsid w:val="35610116"/>
    <w:rsid w:val="356B689E"/>
    <w:rsid w:val="35843E04"/>
    <w:rsid w:val="359A3628"/>
    <w:rsid w:val="35A63D7A"/>
    <w:rsid w:val="35B50461"/>
    <w:rsid w:val="35BE2E72"/>
    <w:rsid w:val="35CD1307"/>
    <w:rsid w:val="35D22DC1"/>
    <w:rsid w:val="35D72186"/>
    <w:rsid w:val="35DC154A"/>
    <w:rsid w:val="35E328D9"/>
    <w:rsid w:val="36020A0E"/>
    <w:rsid w:val="36343134"/>
    <w:rsid w:val="36370E76"/>
    <w:rsid w:val="36405F7D"/>
    <w:rsid w:val="366E2AEA"/>
    <w:rsid w:val="3689304D"/>
    <w:rsid w:val="368E4F3A"/>
    <w:rsid w:val="36A302BA"/>
    <w:rsid w:val="36A54032"/>
    <w:rsid w:val="36A55DE0"/>
    <w:rsid w:val="36A75FFC"/>
    <w:rsid w:val="36BE2D6B"/>
    <w:rsid w:val="36E92171"/>
    <w:rsid w:val="3701395E"/>
    <w:rsid w:val="371A4138"/>
    <w:rsid w:val="371D0FDB"/>
    <w:rsid w:val="373D070E"/>
    <w:rsid w:val="3744384B"/>
    <w:rsid w:val="37667C65"/>
    <w:rsid w:val="37732382"/>
    <w:rsid w:val="37947F2A"/>
    <w:rsid w:val="37C130EE"/>
    <w:rsid w:val="37C93D50"/>
    <w:rsid w:val="37CB050B"/>
    <w:rsid w:val="37D01583"/>
    <w:rsid w:val="37DA7D0B"/>
    <w:rsid w:val="37DC7A31"/>
    <w:rsid w:val="37E1109A"/>
    <w:rsid w:val="37EC3F5E"/>
    <w:rsid w:val="380A4A95"/>
    <w:rsid w:val="381256F7"/>
    <w:rsid w:val="38163439"/>
    <w:rsid w:val="38431D54"/>
    <w:rsid w:val="38575800"/>
    <w:rsid w:val="38685317"/>
    <w:rsid w:val="387719FE"/>
    <w:rsid w:val="387E2D8D"/>
    <w:rsid w:val="389D1465"/>
    <w:rsid w:val="389E342F"/>
    <w:rsid w:val="38A04AB1"/>
    <w:rsid w:val="38AE2389"/>
    <w:rsid w:val="38B30C88"/>
    <w:rsid w:val="38E075A3"/>
    <w:rsid w:val="38EB1A6D"/>
    <w:rsid w:val="38EC24F7"/>
    <w:rsid w:val="38FD1F03"/>
    <w:rsid w:val="390A2872"/>
    <w:rsid w:val="391536F1"/>
    <w:rsid w:val="39167469"/>
    <w:rsid w:val="39225E0E"/>
    <w:rsid w:val="39567866"/>
    <w:rsid w:val="39581830"/>
    <w:rsid w:val="395F496C"/>
    <w:rsid w:val="397A79F8"/>
    <w:rsid w:val="39A95BE7"/>
    <w:rsid w:val="39B0341A"/>
    <w:rsid w:val="39B32F0A"/>
    <w:rsid w:val="39D07618"/>
    <w:rsid w:val="39D92970"/>
    <w:rsid w:val="39F350B4"/>
    <w:rsid w:val="39F61D71"/>
    <w:rsid w:val="39FA4695"/>
    <w:rsid w:val="3A217E73"/>
    <w:rsid w:val="3A485400"/>
    <w:rsid w:val="3A606BEE"/>
    <w:rsid w:val="3A6366DE"/>
    <w:rsid w:val="3A773F37"/>
    <w:rsid w:val="3A7B57D6"/>
    <w:rsid w:val="3A7D4B07"/>
    <w:rsid w:val="3A7E52C6"/>
    <w:rsid w:val="3A8521B0"/>
    <w:rsid w:val="3A8C79E3"/>
    <w:rsid w:val="3A922B1F"/>
    <w:rsid w:val="3AA54601"/>
    <w:rsid w:val="3AAA1C17"/>
    <w:rsid w:val="3AAB598F"/>
    <w:rsid w:val="3AAF1923"/>
    <w:rsid w:val="3ABD5DEE"/>
    <w:rsid w:val="3ABE1B66"/>
    <w:rsid w:val="3AC56A51"/>
    <w:rsid w:val="3AC84793"/>
    <w:rsid w:val="3AD4138A"/>
    <w:rsid w:val="3AE3337B"/>
    <w:rsid w:val="3AEA64B7"/>
    <w:rsid w:val="3AEF3ACE"/>
    <w:rsid w:val="3AF70BD4"/>
    <w:rsid w:val="3B0E664A"/>
    <w:rsid w:val="3B225C51"/>
    <w:rsid w:val="3B253A7F"/>
    <w:rsid w:val="3B2D45F6"/>
    <w:rsid w:val="3B304812"/>
    <w:rsid w:val="3B49319C"/>
    <w:rsid w:val="3B701023"/>
    <w:rsid w:val="3B7B1805"/>
    <w:rsid w:val="3B81506E"/>
    <w:rsid w:val="3B903503"/>
    <w:rsid w:val="3B9603ED"/>
    <w:rsid w:val="3BA23236"/>
    <w:rsid w:val="3BA24FE4"/>
    <w:rsid w:val="3BA774E8"/>
    <w:rsid w:val="3BC073E4"/>
    <w:rsid w:val="3BDC22A4"/>
    <w:rsid w:val="3BFF2436"/>
    <w:rsid w:val="3C0417FB"/>
    <w:rsid w:val="3C090BBF"/>
    <w:rsid w:val="3C0B4937"/>
    <w:rsid w:val="3C1F4887"/>
    <w:rsid w:val="3C2123AD"/>
    <w:rsid w:val="3C3F2833"/>
    <w:rsid w:val="3C4936B2"/>
    <w:rsid w:val="3C4A14A4"/>
    <w:rsid w:val="3C5A141B"/>
    <w:rsid w:val="3C66681A"/>
    <w:rsid w:val="3C6E4EC6"/>
    <w:rsid w:val="3C7B66FC"/>
    <w:rsid w:val="3C812E4B"/>
    <w:rsid w:val="3C814BF9"/>
    <w:rsid w:val="3C847DBD"/>
    <w:rsid w:val="3C8841DA"/>
    <w:rsid w:val="3CD83E64"/>
    <w:rsid w:val="3CDD23AC"/>
    <w:rsid w:val="3CE31410"/>
    <w:rsid w:val="3CEB6517"/>
    <w:rsid w:val="3D115F7D"/>
    <w:rsid w:val="3D232155"/>
    <w:rsid w:val="3D265A50"/>
    <w:rsid w:val="3D2A5291"/>
    <w:rsid w:val="3D332398"/>
    <w:rsid w:val="3D3D3216"/>
    <w:rsid w:val="3D5D5666"/>
    <w:rsid w:val="3D6764E5"/>
    <w:rsid w:val="3D74475E"/>
    <w:rsid w:val="3D7B3D3F"/>
    <w:rsid w:val="3D7B5AED"/>
    <w:rsid w:val="3D8726E3"/>
    <w:rsid w:val="3D9A2417"/>
    <w:rsid w:val="3D9B1CEB"/>
    <w:rsid w:val="3DB919FC"/>
    <w:rsid w:val="3DBA4867"/>
    <w:rsid w:val="3DC96858"/>
    <w:rsid w:val="3DCE0312"/>
    <w:rsid w:val="3DD05E38"/>
    <w:rsid w:val="3DD31485"/>
    <w:rsid w:val="3DDA2813"/>
    <w:rsid w:val="3DEC564C"/>
    <w:rsid w:val="3DEF4C0B"/>
    <w:rsid w:val="3DFF04CC"/>
    <w:rsid w:val="3DFF671E"/>
    <w:rsid w:val="3E1A3557"/>
    <w:rsid w:val="3E467EA9"/>
    <w:rsid w:val="3E497999"/>
    <w:rsid w:val="3E94330A"/>
    <w:rsid w:val="3EB63280"/>
    <w:rsid w:val="3EB834E6"/>
    <w:rsid w:val="3ECD4126"/>
    <w:rsid w:val="3ED9523E"/>
    <w:rsid w:val="3EF26282"/>
    <w:rsid w:val="3EF52C8B"/>
    <w:rsid w:val="3F0538C0"/>
    <w:rsid w:val="3F067638"/>
    <w:rsid w:val="3F2D2E17"/>
    <w:rsid w:val="3F5E7474"/>
    <w:rsid w:val="3FAD3B38"/>
    <w:rsid w:val="3FAD5971"/>
    <w:rsid w:val="3FAE3F57"/>
    <w:rsid w:val="3FBF6165"/>
    <w:rsid w:val="3FCA41B2"/>
    <w:rsid w:val="3FF73B50"/>
    <w:rsid w:val="40055B41"/>
    <w:rsid w:val="40073668"/>
    <w:rsid w:val="400E49F6"/>
    <w:rsid w:val="40390E17"/>
    <w:rsid w:val="405D772B"/>
    <w:rsid w:val="4061546E"/>
    <w:rsid w:val="4061721C"/>
    <w:rsid w:val="40776A3F"/>
    <w:rsid w:val="4081341A"/>
    <w:rsid w:val="408D6263"/>
    <w:rsid w:val="409018AF"/>
    <w:rsid w:val="40990487"/>
    <w:rsid w:val="40A315E2"/>
    <w:rsid w:val="40A9471F"/>
    <w:rsid w:val="40B530C4"/>
    <w:rsid w:val="40BC26A4"/>
    <w:rsid w:val="40C94DC1"/>
    <w:rsid w:val="40FA6487"/>
    <w:rsid w:val="40FF07E3"/>
    <w:rsid w:val="4110479E"/>
    <w:rsid w:val="41214BFD"/>
    <w:rsid w:val="41287D39"/>
    <w:rsid w:val="41354204"/>
    <w:rsid w:val="41393870"/>
    <w:rsid w:val="4176014F"/>
    <w:rsid w:val="418D4040"/>
    <w:rsid w:val="418E45D3"/>
    <w:rsid w:val="41990C37"/>
    <w:rsid w:val="41A97BD6"/>
    <w:rsid w:val="41AA2E44"/>
    <w:rsid w:val="41C77552"/>
    <w:rsid w:val="41D41C6F"/>
    <w:rsid w:val="41E2083D"/>
    <w:rsid w:val="4226071D"/>
    <w:rsid w:val="423F358D"/>
    <w:rsid w:val="42442951"/>
    <w:rsid w:val="424A412C"/>
    <w:rsid w:val="425A03C6"/>
    <w:rsid w:val="425D7EB7"/>
    <w:rsid w:val="42642FF3"/>
    <w:rsid w:val="42CB4E20"/>
    <w:rsid w:val="42D9578F"/>
    <w:rsid w:val="430F2F5F"/>
    <w:rsid w:val="43122A4F"/>
    <w:rsid w:val="43192030"/>
    <w:rsid w:val="431D0ECB"/>
    <w:rsid w:val="431E7646"/>
    <w:rsid w:val="43290ADC"/>
    <w:rsid w:val="432D5ADB"/>
    <w:rsid w:val="434B5F61"/>
    <w:rsid w:val="4355293C"/>
    <w:rsid w:val="43655275"/>
    <w:rsid w:val="436A288B"/>
    <w:rsid w:val="436A4639"/>
    <w:rsid w:val="436D4129"/>
    <w:rsid w:val="437E00E5"/>
    <w:rsid w:val="439F5B10"/>
    <w:rsid w:val="43B9111D"/>
    <w:rsid w:val="43BB30E7"/>
    <w:rsid w:val="43BB4E95"/>
    <w:rsid w:val="43D852E3"/>
    <w:rsid w:val="43DA6EE0"/>
    <w:rsid w:val="43E31A09"/>
    <w:rsid w:val="440727AF"/>
    <w:rsid w:val="44093E52"/>
    <w:rsid w:val="440F51E1"/>
    <w:rsid w:val="44130D52"/>
    <w:rsid w:val="44283229"/>
    <w:rsid w:val="442962A2"/>
    <w:rsid w:val="442C7B41"/>
    <w:rsid w:val="4436276D"/>
    <w:rsid w:val="44366C11"/>
    <w:rsid w:val="443978D3"/>
    <w:rsid w:val="443E1EDD"/>
    <w:rsid w:val="44676DCB"/>
    <w:rsid w:val="44B00772"/>
    <w:rsid w:val="44C22253"/>
    <w:rsid w:val="44C4421D"/>
    <w:rsid w:val="44D161EA"/>
    <w:rsid w:val="44D73F50"/>
    <w:rsid w:val="44D77AAC"/>
    <w:rsid w:val="44EC107E"/>
    <w:rsid w:val="44F00B6E"/>
    <w:rsid w:val="44F3240C"/>
    <w:rsid w:val="44F93EC7"/>
    <w:rsid w:val="450D1720"/>
    <w:rsid w:val="4517434D"/>
    <w:rsid w:val="45196317"/>
    <w:rsid w:val="45325427"/>
    <w:rsid w:val="45352A25"/>
    <w:rsid w:val="454C355D"/>
    <w:rsid w:val="455A248C"/>
    <w:rsid w:val="456B6447"/>
    <w:rsid w:val="45837C34"/>
    <w:rsid w:val="45857508"/>
    <w:rsid w:val="45992FB4"/>
    <w:rsid w:val="45997458"/>
    <w:rsid w:val="45B379F7"/>
    <w:rsid w:val="45CA13BF"/>
    <w:rsid w:val="45CC15DB"/>
    <w:rsid w:val="45F96148"/>
    <w:rsid w:val="46004DE1"/>
    <w:rsid w:val="46040D75"/>
    <w:rsid w:val="46054AED"/>
    <w:rsid w:val="461207DE"/>
    <w:rsid w:val="461E170B"/>
    <w:rsid w:val="462D194E"/>
    <w:rsid w:val="463A4797"/>
    <w:rsid w:val="463F1DAD"/>
    <w:rsid w:val="464408BF"/>
    <w:rsid w:val="4656412B"/>
    <w:rsid w:val="466D29D0"/>
    <w:rsid w:val="46794B93"/>
    <w:rsid w:val="467D0B27"/>
    <w:rsid w:val="467F21AA"/>
    <w:rsid w:val="468C0D6B"/>
    <w:rsid w:val="46963997"/>
    <w:rsid w:val="469A023F"/>
    <w:rsid w:val="46B72B91"/>
    <w:rsid w:val="46C44060"/>
    <w:rsid w:val="470C0561"/>
    <w:rsid w:val="470E352E"/>
    <w:rsid w:val="471825FE"/>
    <w:rsid w:val="47307948"/>
    <w:rsid w:val="47394A4E"/>
    <w:rsid w:val="475C24EB"/>
    <w:rsid w:val="476D64A6"/>
    <w:rsid w:val="477535AD"/>
    <w:rsid w:val="477E06B3"/>
    <w:rsid w:val="477E7882"/>
    <w:rsid w:val="479779C7"/>
    <w:rsid w:val="47A3636C"/>
    <w:rsid w:val="47AF2F63"/>
    <w:rsid w:val="47C14A44"/>
    <w:rsid w:val="47D14C87"/>
    <w:rsid w:val="47E524E0"/>
    <w:rsid w:val="47E80223"/>
    <w:rsid w:val="47F170D7"/>
    <w:rsid w:val="47F44E19"/>
    <w:rsid w:val="47FD3CCE"/>
    <w:rsid w:val="48020068"/>
    <w:rsid w:val="480A1F47"/>
    <w:rsid w:val="480E5EDB"/>
    <w:rsid w:val="481132D5"/>
    <w:rsid w:val="48233009"/>
    <w:rsid w:val="482E20D9"/>
    <w:rsid w:val="48376AB4"/>
    <w:rsid w:val="483F42E6"/>
    <w:rsid w:val="48403993"/>
    <w:rsid w:val="48541414"/>
    <w:rsid w:val="486A50DB"/>
    <w:rsid w:val="48710218"/>
    <w:rsid w:val="48873598"/>
    <w:rsid w:val="48904B42"/>
    <w:rsid w:val="48A91760"/>
    <w:rsid w:val="48E1539E"/>
    <w:rsid w:val="48F21359"/>
    <w:rsid w:val="48F76E74"/>
    <w:rsid w:val="490B5F77"/>
    <w:rsid w:val="491017DF"/>
    <w:rsid w:val="49226B2C"/>
    <w:rsid w:val="49247038"/>
    <w:rsid w:val="49300CEB"/>
    <w:rsid w:val="49331BA1"/>
    <w:rsid w:val="4957480F"/>
    <w:rsid w:val="495A6EFE"/>
    <w:rsid w:val="495C2C76"/>
    <w:rsid w:val="495F62C2"/>
    <w:rsid w:val="497F6965"/>
    <w:rsid w:val="499A5A23"/>
    <w:rsid w:val="49A14B2D"/>
    <w:rsid w:val="49AA1C33"/>
    <w:rsid w:val="49CA5E32"/>
    <w:rsid w:val="49D7054F"/>
    <w:rsid w:val="49E05655"/>
    <w:rsid w:val="49E8450A"/>
    <w:rsid w:val="4A3239D7"/>
    <w:rsid w:val="4A484FA8"/>
    <w:rsid w:val="4A5A33C8"/>
    <w:rsid w:val="4A7162AD"/>
    <w:rsid w:val="4A8E6E5F"/>
    <w:rsid w:val="4AAA7A11"/>
    <w:rsid w:val="4AD11442"/>
    <w:rsid w:val="4AE44CD1"/>
    <w:rsid w:val="4AF13892"/>
    <w:rsid w:val="4AF40C8C"/>
    <w:rsid w:val="4AF56EDE"/>
    <w:rsid w:val="4B045373"/>
    <w:rsid w:val="4B0E1D4E"/>
    <w:rsid w:val="4B117A90"/>
    <w:rsid w:val="4B166E55"/>
    <w:rsid w:val="4B237456"/>
    <w:rsid w:val="4B337A07"/>
    <w:rsid w:val="4B4C5754"/>
    <w:rsid w:val="4B5A31E5"/>
    <w:rsid w:val="4B704606"/>
    <w:rsid w:val="4B8D7117"/>
    <w:rsid w:val="4B9F58B7"/>
    <w:rsid w:val="4BB74194"/>
    <w:rsid w:val="4BCB7C3F"/>
    <w:rsid w:val="4BCF5981"/>
    <w:rsid w:val="4BD05255"/>
    <w:rsid w:val="4BD5386C"/>
    <w:rsid w:val="4BE8259F"/>
    <w:rsid w:val="4BEF7DD1"/>
    <w:rsid w:val="4BF2341E"/>
    <w:rsid w:val="4C1710D6"/>
    <w:rsid w:val="4C206AA7"/>
    <w:rsid w:val="4C237A7B"/>
    <w:rsid w:val="4C2C0F1E"/>
    <w:rsid w:val="4C5B5467"/>
    <w:rsid w:val="4C7107E7"/>
    <w:rsid w:val="4C982217"/>
    <w:rsid w:val="4CB93F3C"/>
    <w:rsid w:val="4CBC6C27"/>
    <w:rsid w:val="4CEA0599"/>
    <w:rsid w:val="4D2409BE"/>
    <w:rsid w:val="4D4001B9"/>
    <w:rsid w:val="4D491763"/>
    <w:rsid w:val="4D53613E"/>
    <w:rsid w:val="4D783DF7"/>
    <w:rsid w:val="4D891B60"/>
    <w:rsid w:val="4DAD3AA0"/>
    <w:rsid w:val="4DB50BA7"/>
    <w:rsid w:val="4DB7491F"/>
    <w:rsid w:val="4DB766CD"/>
    <w:rsid w:val="4DC030AB"/>
    <w:rsid w:val="4DEB281B"/>
    <w:rsid w:val="4DED0341"/>
    <w:rsid w:val="4DF21FC2"/>
    <w:rsid w:val="4DF3347D"/>
    <w:rsid w:val="4E092CA1"/>
    <w:rsid w:val="4E0A43F8"/>
    <w:rsid w:val="4E0B07C7"/>
    <w:rsid w:val="4E2A3343"/>
    <w:rsid w:val="4E2F0959"/>
    <w:rsid w:val="4E3221F7"/>
    <w:rsid w:val="4E4A5793"/>
    <w:rsid w:val="4E6C395B"/>
    <w:rsid w:val="4E984750"/>
    <w:rsid w:val="4EB3158A"/>
    <w:rsid w:val="4ECD3CCE"/>
    <w:rsid w:val="4EE01C53"/>
    <w:rsid w:val="4EE554BC"/>
    <w:rsid w:val="4EF456FF"/>
    <w:rsid w:val="4F1B712F"/>
    <w:rsid w:val="4F1F277C"/>
    <w:rsid w:val="4F272DEC"/>
    <w:rsid w:val="4F29184C"/>
    <w:rsid w:val="4F42646A"/>
    <w:rsid w:val="4F5842B9"/>
    <w:rsid w:val="4F5A1A06"/>
    <w:rsid w:val="4F710AFD"/>
    <w:rsid w:val="4F7A3E56"/>
    <w:rsid w:val="4F8627FB"/>
    <w:rsid w:val="4F876573"/>
    <w:rsid w:val="4F90367A"/>
    <w:rsid w:val="4FD974F3"/>
    <w:rsid w:val="4FEB4D54"/>
    <w:rsid w:val="500876B4"/>
    <w:rsid w:val="50280311"/>
    <w:rsid w:val="50483F54"/>
    <w:rsid w:val="505521CD"/>
    <w:rsid w:val="50970A38"/>
    <w:rsid w:val="50AC6291"/>
    <w:rsid w:val="50B60EBE"/>
    <w:rsid w:val="50B9275C"/>
    <w:rsid w:val="50CC248F"/>
    <w:rsid w:val="50E7551B"/>
    <w:rsid w:val="5116195C"/>
    <w:rsid w:val="511D0F3D"/>
    <w:rsid w:val="51273B6A"/>
    <w:rsid w:val="514069D9"/>
    <w:rsid w:val="5150055F"/>
    <w:rsid w:val="5153670D"/>
    <w:rsid w:val="515E50B1"/>
    <w:rsid w:val="51730B5D"/>
    <w:rsid w:val="51735001"/>
    <w:rsid w:val="51BB2504"/>
    <w:rsid w:val="51D830B6"/>
    <w:rsid w:val="51DC4954"/>
    <w:rsid w:val="51DF61F2"/>
    <w:rsid w:val="51E657D3"/>
    <w:rsid w:val="51E7154B"/>
    <w:rsid w:val="51FC6AEF"/>
    <w:rsid w:val="5209326F"/>
    <w:rsid w:val="521C11F4"/>
    <w:rsid w:val="52263E21"/>
    <w:rsid w:val="52383B54"/>
    <w:rsid w:val="52680FB1"/>
    <w:rsid w:val="52741030"/>
    <w:rsid w:val="52834BB8"/>
    <w:rsid w:val="528D20F2"/>
    <w:rsid w:val="529E7E5B"/>
    <w:rsid w:val="53165C44"/>
    <w:rsid w:val="53474F2C"/>
    <w:rsid w:val="534F6994"/>
    <w:rsid w:val="535D3873"/>
    <w:rsid w:val="53715570"/>
    <w:rsid w:val="53916534"/>
    <w:rsid w:val="539D45B7"/>
    <w:rsid w:val="539F032F"/>
    <w:rsid w:val="539F20DD"/>
    <w:rsid w:val="53A148D4"/>
    <w:rsid w:val="53A45945"/>
    <w:rsid w:val="53B37937"/>
    <w:rsid w:val="53C2401E"/>
    <w:rsid w:val="53D63625"/>
    <w:rsid w:val="53D855EF"/>
    <w:rsid w:val="53D8739D"/>
    <w:rsid w:val="53F341D7"/>
    <w:rsid w:val="540153AA"/>
    <w:rsid w:val="54065CB8"/>
    <w:rsid w:val="541525BF"/>
    <w:rsid w:val="54181E8F"/>
    <w:rsid w:val="542919A7"/>
    <w:rsid w:val="54790B80"/>
    <w:rsid w:val="549A0AF6"/>
    <w:rsid w:val="54A656ED"/>
    <w:rsid w:val="54AA0D3A"/>
    <w:rsid w:val="54B62EEB"/>
    <w:rsid w:val="54C21D33"/>
    <w:rsid w:val="54D538DD"/>
    <w:rsid w:val="54E65E7A"/>
    <w:rsid w:val="54ED6E78"/>
    <w:rsid w:val="54F22BCE"/>
    <w:rsid w:val="54FB1595"/>
    <w:rsid w:val="5505279E"/>
    <w:rsid w:val="55326F81"/>
    <w:rsid w:val="55444D1F"/>
    <w:rsid w:val="55482300"/>
    <w:rsid w:val="554967A4"/>
    <w:rsid w:val="554A42CB"/>
    <w:rsid w:val="55506739"/>
    <w:rsid w:val="55515659"/>
    <w:rsid w:val="55630EE8"/>
    <w:rsid w:val="55654C60"/>
    <w:rsid w:val="557E5D22"/>
    <w:rsid w:val="558A46C7"/>
    <w:rsid w:val="558F1CDD"/>
    <w:rsid w:val="559F4616"/>
    <w:rsid w:val="55A559A5"/>
    <w:rsid w:val="55D17B18"/>
    <w:rsid w:val="55F66200"/>
    <w:rsid w:val="55FD758F"/>
    <w:rsid w:val="560721BC"/>
    <w:rsid w:val="56116B96"/>
    <w:rsid w:val="561346BC"/>
    <w:rsid w:val="56332FB1"/>
    <w:rsid w:val="56470D51"/>
    <w:rsid w:val="564B02FA"/>
    <w:rsid w:val="565A22EB"/>
    <w:rsid w:val="565C6063"/>
    <w:rsid w:val="56764C4B"/>
    <w:rsid w:val="567710EF"/>
    <w:rsid w:val="56830C54"/>
    <w:rsid w:val="568D446F"/>
    <w:rsid w:val="56951575"/>
    <w:rsid w:val="56982E14"/>
    <w:rsid w:val="56A93273"/>
    <w:rsid w:val="56BD287A"/>
    <w:rsid w:val="56C80241"/>
    <w:rsid w:val="56D57BC4"/>
    <w:rsid w:val="56F2798A"/>
    <w:rsid w:val="56F50266"/>
    <w:rsid w:val="570E7C0D"/>
    <w:rsid w:val="572A6162"/>
    <w:rsid w:val="57367199"/>
    <w:rsid w:val="57422161"/>
    <w:rsid w:val="57430FD1"/>
    <w:rsid w:val="57476D14"/>
    <w:rsid w:val="574A1037"/>
    <w:rsid w:val="577D0987"/>
    <w:rsid w:val="577E025B"/>
    <w:rsid w:val="57825F9E"/>
    <w:rsid w:val="578515EA"/>
    <w:rsid w:val="57945CD1"/>
    <w:rsid w:val="57B43C7D"/>
    <w:rsid w:val="57CD4D3F"/>
    <w:rsid w:val="57F549C2"/>
    <w:rsid w:val="57F81DBC"/>
    <w:rsid w:val="57FA3D86"/>
    <w:rsid w:val="580E7831"/>
    <w:rsid w:val="580F5357"/>
    <w:rsid w:val="58160494"/>
    <w:rsid w:val="581A4428"/>
    <w:rsid w:val="581F37ED"/>
    <w:rsid w:val="582E78D1"/>
    <w:rsid w:val="585C67EF"/>
    <w:rsid w:val="586871E0"/>
    <w:rsid w:val="5878114F"/>
    <w:rsid w:val="58B77EC9"/>
    <w:rsid w:val="58C16652"/>
    <w:rsid w:val="58C3061C"/>
    <w:rsid w:val="58CD3249"/>
    <w:rsid w:val="58F72073"/>
    <w:rsid w:val="58FA6008"/>
    <w:rsid w:val="59103135"/>
    <w:rsid w:val="59115079"/>
    <w:rsid w:val="592B61C1"/>
    <w:rsid w:val="592D018B"/>
    <w:rsid w:val="5932477C"/>
    <w:rsid w:val="59413C36"/>
    <w:rsid w:val="59505C28"/>
    <w:rsid w:val="5954396A"/>
    <w:rsid w:val="596040BD"/>
    <w:rsid w:val="59710078"/>
    <w:rsid w:val="599975CF"/>
    <w:rsid w:val="599A407D"/>
    <w:rsid w:val="59A85A64"/>
    <w:rsid w:val="59E634E5"/>
    <w:rsid w:val="59F760A3"/>
    <w:rsid w:val="59FA62BF"/>
    <w:rsid w:val="5A117165"/>
    <w:rsid w:val="5A2E7D17"/>
    <w:rsid w:val="5A47527D"/>
    <w:rsid w:val="5A706581"/>
    <w:rsid w:val="5A715E56"/>
    <w:rsid w:val="5A9A1850"/>
    <w:rsid w:val="5AB3646E"/>
    <w:rsid w:val="5ABA3CA0"/>
    <w:rsid w:val="5AC266B1"/>
    <w:rsid w:val="5ACE4C84"/>
    <w:rsid w:val="5ACE5056"/>
    <w:rsid w:val="5ADE798F"/>
    <w:rsid w:val="5AE825BC"/>
    <w:rsid w:val="5AED7BD2"/>
    <w:rsid w:val="5AF116BD"/>
    <w:rsid w:val="5AF727FF"/>
    <w:rsid w:val="5AF745AD"/>
    <w:rsid w:val="5B0B62AA"/>
    <w:rsid w:val="5B102138"/>
    <w:rsid w:val="5B1A473F"/>
    <w:rsid w:val="5B1F58B2"/>
    <w:rsid w:val="5B394BC5"/>
    <w:rsid w:val="5B3C46B5"/>
    <w:rsid w:val="5B411776"/>
    <w:rsid w:val="5B4F263B"/>
    <w:rsid w:val="5B647768"/>
    <w:rsid w:val="5B6D486F"/>
    <w:rsid w:val="5B7C71A8"/>
    <w:rsid w:val="5B834092"/>
    <w:rsid w:val="5BA858A7"/>
    <w:rsid w:val="5BAA7871"/>
    <w:rsid w:val="5BBA5751"/>
    <w:rsid w:val="5BD60666"/>
    <w:rsid w:val="5BD90156"/>
    <w:rsid w:val="5BF705DC"/>
    <w:rsid w:val="5BFE459E"/>
    <w:rsid w:val="5C08232A"/>
    <w:rsid w:val="5C0F1DCA"/>
    <w:rsid w:val="5C292E8C"/>
    <w:rsid w:val="5C367357"/>
    <w:rsid w:val="5C732359"/>
    <w:rsid w:val="5C7D31D8"/>
    <w:rsid w:val="5C7D6D34"/>
    <w:rsid w:val="5C8B76A2"/>
    <w:rsid w:val="5C8E0F41"/>
    <w:rsid w:val="5CAE381C"/>
    <w:rsid w:val="5CB87D6C"/>
    <w:rsid w:val="5CBF734C"/>
    <w:rsid w:val="5CC901CB"/>
    <w:rsid w:val="5CD526CC"/>
    <w:rsid w:val="5CD52C65"/>
    <w:rsid w:val="5CF35248"/>
    <w:rsid w:val="5CF80AB0"/>
    <w:rsid w:val="5CFC3A31"/>
    <w:rsid w:val="5D057255"/>
    <w:rsid w:val="5D0905C7"/>
    <w:rsid w:val="5D096819"/>
    <w:rsid w:val="5D1458EA"/>
    <w:rsid w:val="5D395350"/>
    <w:rsid w:val="5D9000D4"/>
    <w:rsid w:val="5D942587"/>
    <w:rsid w:val="5DC015CE"/>
    <w:rsid w:val="5DEB5F1F"/>
    <w:rsid w:val="5DFE20F6"/>
    <w:rsid w:val="5E1A3396"/>
    <w:rsid w:val="5E1C257C"/>
    <w:rsid w:val="5E2A2EEB"/>
    <w:rsid w:val="5E385608"/>
    <w:rsid w:val="5E3F60FA"/>
    <w:rsid w:val="5E532442"/>
    <w:rsid w:val="5E541D16"/>
    <w:rsid w:val="5E547F68"/>
    <w:rsid w:val="5E587A58"/>
    <w:rsid w:val="5E5E4943"/>
    <w:rsid w:val="5E655CD1"/>
    <w:rsid w:val="5E6F4DA2"/>
    <w:rsid w:val="5E875C48"/>
    <w:rsid w:val="5E912F6A"/>
    <w:rsid w:val="5E9345EC"/>
    <w:rsid w:val="5EA04F5B"/>
    <w:rsid w:val="5EAE7678"/>
    <w:rsid w:val="5EB32EE1"/>
    <w:rsid w:val="5EC43140"/>
    <w:rsid w:val="5EC944B2"/>
    <w:rsid w:val="5ED35331"/>
    <w:rsid w:val="5ED510A9"/>
    <w:rsid w:val="5ED95F01"/>
    <w:rsid w:val="5EDE46E9"/>
    <w:rsid w:val="5EEC1F4F"/>
    <w:rsid w:val="5F3C1128"/>
    <w:rsid w:val="5F4144FC"/>
    <w:rsid w:val="5F6917F1"/>
    <w:rsid w:val="5F750471"/>
    <w:rsid w:val="5F7A1C50"/>
    <w:rsid w:val="5F830B05"/>
    <w:rsid w:val="5F84608B"/>
    <w:rsid w:val="5F85487D"/>
    <w:rsid w:val="5F893C41"/>
    <w:rsid w:val="5FA171DD"/>
    <w:rsid w:val="5FAD5B82"/>
    <w:rsid w:val="5FC133DB"/>
    <w:rsid w:val="5FC66C44"/>
    <w:rsid w:val="5FCF78A6"/>
    <w:rsid w:val="5FD70E51"/>
    <w:rsid w:val="5FE377F5"/>
    <w:rsid w:val="600D6620"/>
    <w:rsid w:val="603D6F06"/>
    <w:rsid w:val="60487659"/>
    <w:rsid w:val="60786190"/>
    <w:rsid w:val="60854409"/>
    <w:rsid w:val="6085619F"/>
    <w:rsid w:val="60A26D69"/>
    <w:rsid w:val="60B116A2"/>
    <w:rsid w:val="60B13450"/>
    <w:rsid w:val="60EC6236"/>
    <w:rsid w:val="6105554A"/>
    <w:rsid w:val="611063C8"/>
    <w:rsid w:val="611539DF"/>
    <w:rsid w:val="613B1EC5"/>
    <w:rsid w:val="6151253D"/>
    <w:rsid w:val="61693D2A"/>
    <w:rsid w:val="618D7A19"/>
    <w:rsid w:val="618E553F"/>
    <w:rsid w:val="61903065"/>
    <w:rsid w:val="61926DDD"/>
    <w:rsid w:val="61950925"/>
    <w:rsid w:val="61954B1F"/>
    <w:rsid w:val="61DB4C28"/>
    <w:rsid w:val="61E82EA1"/>
    <w:rsid w:val="61FE0917"/>
    <w:rsid w:val="620F48D2"/>
    <w:rsid w:val="62157A0E"/>
    <w:rsid w:val="622D2FAA"/>
    <w:rsid w:val="62344338"/>
    <w:rsid w:val="623A1223"/>
    <w:rsid w:val="624B3430"/>
    <w:rsid w:val="62516C98"/>
    <w:rsid w:val="625E3532"/>
    <w:rsid w:val="626A5FAC"/>
    <w:rsid w:val="627079CF"/>
    <w:rsid w:val="628E0987"/>
    <w:rsid w:val="6292105F"/>
    <w:rsid w:val="62952214"/>
    <w:rsid w:val="6299661F"/>
    <w:rsid w:val="62A019CE"/>
    <w:rsid w:val="62BB6808"/>
    <w:rsid w:val="62DB2A06"/>
    <w:rsid w:val="62DD052C"/>
    <w:rsid w:val="62EE098B"/>
    <w:rsid w:val="631A52DC"/>
    <w:rsid w:val="631D301E"/>
    <w:rsid w:val="63260125"/>
    <w:rsid w:val="6339083A"/>
    <w:rsid w:val="63541227"/>
    <w:rsid w:val="635527B8"/>
    <w:rsid w:val="635B58F5"/>
    <w:rsid w:val="635C3B47"/>
    <w:rsid w:val="637A3FCD"/>
    <w:rsid w:val="63807109"/>
    <w:rsid w:val="638766EA"/>
    <w:rsid w:val="63A252D2"/>
    <w:rsid w:val="63BC4884"/>
    <w:rsid w:val="63ED47CD"/>
    <w:rsid w:val="64020C2E"/>
    <w:rsid w:val="640D3093"/>
    <w:rsid w:val="642F125B"/>
    <w:rsid w:val="64371EBE"/>
    <w:rsid w:val="645962D8"/>
    <w:rsid w:val="645C7B76"/>
    <w:rsid w:val="646A5DEF"/>
    <w:rsid w:val="648844C8"/>
    <w:rsid w:val="649B41FB"/>
    <w:rsid w:val="64A62BA0"/>
    <w:rsid w:val="64AC7531"/>
    <w:rsid w:val="64B54E6A"/>
    <w:rsid w:val="64D2404F"/>
    <w:rsid w:val="64E859B0"/>
    <w:rsid w:val="64F61D79"/>
    <w:rsid w:val="651D2E62"/>
    <w:rsid w:val="652E32C1"/>
    <w:rsid w:val="6546685C"/>
    <w:rsid w:val="65546A37"/>
    <w:rsid w:val="655F16CC"/>
    <w:rsid w:val="656211BC"/>
    <w:rsid w:val="65660CAD"/>
    <w:rsid w:val="65744A4C"/>
    <w:rsid w:val="65746D8A"/>
    <w:rsid w:val="65841133"/>
    <w:rsid w:val="65B65064"/>
    <w:rsid w:val="65C459D3"/>
    <w:rsid w:val="65F82BEA"/>
    <w:rsid w:val="65FF07B9"/>
    <w:rsid w:val="661164FE"/>
    <w:rsid w:val="663761A5"/>
    <w:rsid w:val="665A00E6"/>
    <w:rsid w:val="66611474"/>
    <w:rsid w:val="666317DA"/>
    <w:rsid w:val="66703465"/>
    <w:rsid w:val="667473F9"/>
    <w:rsid w:val="667747F4"/>
    <w:rsid w:val="66783D95"/>
    <w:rsid w:val="66815672"/>
    <w:rsid w:val="6683763C"/>
    <w:rsid w:val="66860EDB"/>
    <w:rsid w:val="66897701"/>
    <w:rsid w:val="668D04BB"/>
    <w:rsid w:val="66A17AC3"/>
    <w:rsid w:val="66AC3F2B"/>
    <w:rsid w:val="66BA2932"/>
    <w:rsid w:val="66EA1469"/>
    <w:rsid w:val="66EC6F90"/>
    <w:rsid w:val="66F67E0E"/>
    <w:rsid w:val="67073DC9"/>
    <w:rsid w:val="671169F6"/>
    <w:rsid w:val="671309C0"/>
    <w:rsid w:val="671865AC"/>
    <w:rsid w:val="67193AFD"/>
    <w:rsid w:val="672C1A82"/>
    <w:rsid w:val="67340937"/>
    <w:rsid w:val="673D5A3D"/>
    <w:rsid w:val="67670D0C"/>
    <w:rsid w:val="677B0314"/>
    <w:rsid w:val="678E44EB"/>
    <w:rsid w:val="67A55390"/>
    <w:rsid w:val="67E22987"/>
    <w:rsid w:val="67FF0F45"/>
    <w:rsid w:val="68093B71"/>
    <w:rsid w:val="681A7B2C"/>
    <w:rsid w:val="682D5AB2"/>
    <w:rsid w:val="683A3D2B"/>
    <w:rsid w:val="68460921"/>
    <w:rsid w:val="684D1CB0"/>
    <w:rsid w:val="685B53D9"/>
    <w:rsid w:val="686F0EA4"/>
    <w:rsid w:val="68972A5B"/>
    <w:rsid w:val="68996CA3"/>
    <w:rsid w:val="68DE6DAC"/>
    <w:rsid w:val="68EC771B"/>
    <w:rsid w:val="68F1503B"/>
    <w:rsid w:val="68F22857"/>
    <w:rsid w:val="68F760C0"/>
    <w:rsid w:val="68FE11FC"/>
    <w:rsid w:val="6908207B"/>
    <w:rsid w:val="693966D8"/>
    <w:rsid w:val="693E5A9D"/>
    <w:rsid w:val="69401815"/>
    <w:rsid w:val="694035C3"/>
    <w:rsid w:val="6942733B"/>
    <w:rsid w:val="69531548"/>
    <w:rsid w:val="695D5F23"/>
    <w:rsid w:val="69692B1A"/>
    <w:rsid w:val="69715E72"/>
    <w:rsid w:val="69913E1E"/>
    <w:rsid w:val="69951B60"/>
    <w:rsid w:val="69A04061"/>
    <w:rsid w:val="69B95123"/>
    <w:rsid w:val="69C9180A"/>
    <w:rsid w:val="69D45379"/>
    <w:rsid w:val="69DD0250"/>
    <w:rsid w:val="69F24BF3"/>
    <w:rsid w:val="69F34AD9"/>
    <w:rsid w:val="69F85BB3"/>
    <w:rsid w:val="6A022F6E"/>
    <w:rsid w:val="6A2922A9"/>
    <w:rsid w:val="6A4C66B8"/>
    <w:rsid w:val="6A501EEA"/>
    <w:rsid w:val="6A5F216E"/>
    <w:rsid w:val="6A7412DB"/>
    <w:rsid w:val="6A7D43A3"/>
    <w:rsid w:val="6A8D2838"/>
    <w:rsid w:val="6A90057A"/>
    <w:rsid w:val="6A90501F"/>
    <w:rsid w:val="6AA10091"/>
    <w:rsid w:val="6AB44268"/>
    <w:rsid w:val="6AB62858"/>
    <w:rsid w:val="6ABE50E7"/>
    <w:rsid w:val="6AD91087"/>
    <w:rsid w:val="6ADA17F5"/>
    <w:rsid w:val="6AE11769"/>
    <w:rsid w:val="6AF24D91"/>
    <w:rsid w:val="6B106FC5"/>
    <w:rsid w:val="6B19231D"/>
    <w:rsid w:val="6B2111D2"/>
    <w:rsid w:val="6B250CC2"/>
    <w:rsid w:val="6B2667E8"/>
    <w:rsid w:val="6B421874"/>
    <w:rsid w:val="6B4355EC"/>
    <w:rsid w:val="6B95409A"/>
    <w:rsid w:val="6BA66221"/>
    <w:rsid w:val="6BAA7419"/>
    <w:rsid w:val="6BB81B36"/>
    <w:rsid w:val="6BC8789F"/>
    <w:rsid w:val="6BDA5F51"/>
    <w:rsid w:val="6BE413C0"/>
    <w:rsid w:val="6BEC27A8"/>
    <w:rsid w:val="6C21592D"/>
    <w:rsid w:val="6C3A69EF"/>
    <w:rsid w:val="6C3D203B"/>
    <w:rsid w:val="6C4E5FF7"/>
    <w:rsid w:val="6C5630FD"/>
    <w:rsid w:val="6C613F7C"/>
    <w:rsid w:val="6C922387"/>
    <w:rsid w:val="6C9A56E0"/>
    <w:rsid w:val="6CB5251A"/>
    <w:rsid w:val="6CC40D94"/>
    <w:rsid w:val="6CC938CF"/>
    <w:rsid w:val="6CCE5D26"/>
    <w:rsid w:val="6CD86C36"/>
    <w:rsid w:val="6CDF1345"/>
    <w:rsid w:val="6CE1330F"/>
    <w:rsid w:val="6CE626D3"/>
    <w:rsid w:val="6D1D70C2"/>
    <w:rsid w:val="6D203E37"/>
    <w:rsid w:val="6D3D7CBB"/>
    <w:rsid w:val="6D437B25"/>
    <w:rsid w:val="6D5C4F28"/>
    <w:rsid w:val="6D725D15"/>
    <w:rsid w:val="6D785A21"/>
    <w:rsid w:val="6DAA1953"/>
    <w:rsid w:val="6DE210EC"/>
    <w:rsid w:val="6DE309C1"/>
    <w:rsid w:val="6DE5298B"/>
    <w:rsid w:val="6DEC1F6B"/>
    <w:rsid w:val="6DFB3F5C"/>
    <w:rsid w:val="6DFD5F26"/>
    <w:rsid w:val="6E0C43BB"/>
    <w:rsid w:val="6E1332C6"/>
    <w:rsid w:val="6E166FE8"/>
    <w:rsid w:val="6E1F7C4B"/>
    <w:rsid w:val="6E2C680B"/>
    <w:rsid w:val="6E31797E"/>
    <w:rsid w:val="6E34121C"/>
    <w:rsid w:val="6E35746E"/>
    <w:rsid w:val="6E4D2D00"/>
    <w:rsid w:val="6E4E6782"/>
    <w:rsid w:val="6E7361E8"/>
    <w:rsid w:val="6E7E0654"/>
    <w:rsid w:val="6E9B3DF5"/>
    <w:rsid w:val="6E9E1E02"/>
    <w:rsid w:val="6EB5235D"/>
    <w:rsid w:val="6EC82F51"/>
    <w:rsid w:val="6ED65063"/>
    <w:rsid w:val="6EEA74D2"/>
    <w:rsid w:val="6EF94940"/>
    <w:rsid w:val="6F1277AF"/>
    <w:rsid w:val="6F173018"/>
    <w:rsid w:val="6F2B0871"/>
    <w:rsid w:val="6F3C482C"/>
    <w:rsid w:val="6F4A6F49"/>
    <w:rsid w:val="6F5E29F5"/>
    <w:rsid w:val="6F851C86"/>
    <w:rsid w:val="6F871F4B"/>
    <w:rsid w:val="6F881820"/>
    <w:rsid w:val="6F9B0AD8"/>
    <w:rsid w:val="6F9E4FD8"/>
    <w:rsid w:val="6FA348AB"/>
    <w:rsid w:val="6FA56875"/>
    <w:rsid w:val="6FAC3760"/>
    <w:rsid w:val="6FC00FB9"/>
    <w:rsid w:val="6FC72562"/>
    <w:rsid w:val="6FF944CB"/>
    <w:rsid w:val="70180DF5"/>
    <w:rsid w:val="702C664F"/>
    <w:rsid w:val="70495453"/>
    <w:rsid w:val="70567B70"/>
    <w:rsid w:val="7064228D"/>
    <w:rsid w:val="70666005"/>
    <w:rsid w:val="706A1AA4"/>
    <w:rsid w:val="70710506"/>
    <w:rsid w:val="70853FB1"/>
    <w:rsid w:val="708B5A6B"/>
    <w:rsid w:val="708E2E66"/>
    <w:rsid w:val="70A46B2D"/>
    <w:rsid w:val="70AD18CC"/>
    <w:rsid w:val="70AE52B6"/>
    <w:rsid w:val="70B84386"/>
    <w:rsid w:val="70BD199D"/>
    <w:rsid w:val="70BF5715"/>
    <w:rsid w:val="70C42D2B"/>
    <w:rsid w:val="70C43B69"/>
    <w:rsid w:val="70DF7B65"/>
    <w:rsid w:val="70E46F2A"/>
    <w:rsid w:val="70E62CA2"/>
    <w:rsid w:val="70EB650A"/>
    <w:rsid w:val="71566079"/>
    <w:rsid w:val="71584194"/>
    <w:rsid w:val="716562BC"/>
    <w:rsid w:val="71724535"/>
    <w:rsid w:val="7189187F"/>
    <w:rsid w:val="71987D6B"/>
    <w:rsid w:val="71A65ADA"/>
    <w:rsid w:val="71B66B18"/>
    <w:rsid w:val="71B96608"/>
    <w:rsid w:val="71BB412E"/>
    <w:rsid w:val="71C70D25"/>
    <w:rsid w:val="71C72AD3"/>
    <w:rsid w:val="71D40D4C"/>
    <w:rsid w:val="71DE606F"/>
    <w:rsid w:val="71EA0570"/>
    <w:rsid w:val="71F72789"/>
    <w:rsid w:val="71FD4747"/>
    <w:rsid w:val="720A29C0"/>
    <w:rsid w:val="72371998"/>
    <w:rsid w:val="7242215A"/>
    <w:rsid w:val="724C0203"/>
    <w:rsid w:val="72524A70"/>
    <w:rsid w:val="72600832"/>
    <w:rsid w:val="726245AA"/>
    <w:rsid w:val="729624A5"/>
    <w:rsid w:val="729A3D44"/>
    <w:rsid w:val="72B868C0"/>
    <w:rsid w:val="72BA2638"/>
    <w:rsid w:val="72C214EC"/>
    <w:rsid w:val="72DC25AE"/>
    <w:rsid w:val="72F01BB6"/>
    <w:rsid w:val="72F21DD2"/>
    <w:rsid w:val="72FC167C"/>
    <w:rsid w:val="730B69EF"/>
    <w:rsid w:val="73137F9A"/>
    <w:rsid w:val="731738A1"/>
    <w:rsid w:val="73217FC1"/>
    <w:rsid w:val="733221CE"/>
    <w:rsid w:val="733D7598"/>
    <w:rsid w:val="7372081D"/>
    <w:rsid w:val="737C78ED"/>
    <w:rsid w:val="738D1AFA"/>
    <w:rsid w:val="73944C37"/>
    <w:rsid w:val="73A3131E"/>
    <w:rsid w:val="73AA26AC"/>
    <w:rsid w:val="73C848E1"/>
    <w:rsid w:val="73FC458A"/>
    <w:rsid w:val="74066F0C"/>
    <w:rsid w:val="7408079A"/>
    <w:rsid w:val="74253A54"/>
    <w:rsid w:val="74277859"/>
    <w:rsid w:val="742F4960"/>
    <w:rsid w:val="745362D6"/>
    <w:rsid w:val="74597C2E"/>
    <w:rsid w:val="746C0E4C"/>
    <w:rsid w:val="74850A24"/>
    <w:rsid w:val="7487654A"/>
    <w:rsid w:val="74934EEE"/>
    <w:rsid w:val="74AC7D5E"/>
    <w:rsid w:val="74CC0400"/>
    <w:rsid w:val="74CC21AE"/>
    <w:rsid w:val="74D80B53"/>
    <w:rsid w:val="74E90FB2"/>
    <w:rsid w:val="74EF066E"/>
    <w:rsid w:val="74FD680C"/>
    <w:rsid w:val="750000AA"/>
    <w:rsid w:val="75097E5E"/>
    <w:rsid w:val="7518696C"/>
    <w:rsid w:val="7561323F"/>
    <w:rsid w:val="75680129"/>
    <w:rsid w:val="75734D20"/>
    <w:rsid w:val="757E5B9F"/>
    <w:rsid w:val="75812F99"/>
    <w:rsid w:val="75836A21"/>
    <w:rsid w:val="759F78C3"/>
    <w:rsid w:val="75AA6994"/>
    <w:rsid w:val="75AD1FE0"/>
    <w:rsid w:val="75AE7B06"/>
    <w:rsid w:val="75AF05E9"/>
    <w:rsid w:val="75B25848"/>
    <w:rsid w:val="75DF4163"/>
    <w:rsid w:val="760342F6"/>
    <w:rsid w:val="760616F0"/>
    <w:rsid w:val="76065B94"/>
    <w:rsid w:val="76120C3F"/>
    <w:rsid w:val="76191423"/>
    <w:rsid w:val="76353A74"/>
    <w:rsid w:val="76480798"/>
    <w:rsid w:val="766034F6"/>
    <w:rsid w:val="7660706A"/>
    <w:rsid w:val="76612DCA"/>
    <w:rsid w:val="766D176F"/>
    <w:rsid w:val="76832D41"/>
    <w:rsid w:val="76A71125"/>
    <w:rsid w:val="76BF021D"/>
    <w:rsid w:val="76D417EE"/>
    <w:rsid w:val="76E2215D"/>
    <w:rsid w:val="76E61C4D"/>
    <w:rsid w:val="76E737F5"/>
    <w:rsid w:val="76FD2AF3"/>
    <w:rsid w:val="77016C3D"/>
    <w:rsid w:val="7715608F"/>
    <w:rsid w:val="77183DD1"/>
    <w:rsid w:val="7718792D"/>
    <w:rsid w:val="772E53A2"/>
    <w:rsid w:val="773547FB"/>
    <w:rsid w:val="773F4EBA"/>
    <w:rsid w:val="77416E84"/>
    <w:rsid w:val="77585F7B"/>
    <w:rsid w:val="775D3592"/>
    <w:rsid w:val="775F555C"/>
    <w:rsid w:val="777C4360"/>
    <w:rsid w:val="778576B9"/>
    <w:rsid w:val="77A05FDA"/>
    <w:rsid w:val="77A15B74"/>
    <w:rsid w:val="77AB254F"/>
    <w:rsid w:val="77B51620"/>
    <w:rsid w:val="77C16217"/>
    <w:rsid w:val="77CB0E43"/>
    <w:rsid w:val="77CE623E"/>
    <w:rsid w:val="781C51FB"/>
    <w:rsid w:val="781E71C5"/>
    <w:rsid w:val="783562BD"/>
    <w:rsid w:val="7836450F"/>
    <w:rsid w:val="783C3AEF"/>
    <w:rsid w:val="78770683"/>
    <w:rsid w:val="788C2381"/>
    <w:rsid w:val="78A27DF6"/>
    <w:rsid w:val="78A51694"/>
    <w:rsid w:val="78B74F24"/>
    <w:rsid w:val="78C80887"/>
    <w:rsid w:val="78D12489"/>
    <w:rsid w:val="78DB3308"/>
    <w:rsid w:val="78DB6E64"/>
    <w:rsid w:val="78E51A91"/>
    <w:rsid w:val="78FB12B4"/>
    <w:rsid w:val="7904460D"/>
    <w:rsid w:val="79084BE7"/>
    <w:rsid w:val="79100199"/>
    <w:rsid w:val="791D747D"/>
    <w:rsid w:val="794744F9"/>
    <w:rsid w:val="79652BD2"/>
    <w:rsid w:val="79674B9C"/>
    <w:rsid w:val="79725A1A"/>
    <w:rsid w:val="799153B7"/>
    <w:rsid w:val="799C2A97"/>
    <w:rsid w:val="79A74F98"/>
    <w:rsid w:val="79B17BC5"/>
    <w:rsid w:val="79BC4EE7"/>
    <w:rsid w:val="79E85CDC"/>
    <w:rsid w:val="79EA1A55"/>
    <w:rsid w:val="79F60EB3"/>
    <w:rsid w:val="7A010B4C"/>
    <w:rsid w:val="7A122EE4"/>
    <w:rsid w:val="7A2B7977"/>
    <w:rsid w:val="7A301431"/>
    <w:rsid w:val="7A432F13"/>
    <w:rsid w:val="7A440A39"/>
    <w:rsid w:val="7A4E3666"/>
    <w:rsid w:val="7A594901"/>
    <w:rsid w:val="7A603AC5"/>
    <w:rsid w:val="7A756E44"/>
    <w:rsid w:val="7AA00365"/>
    <w:rsid w:val="7AA31C03"/>
    <w:rsid w:val="7AA80806"/>
    <w:rsid w:val="7AB3043C"/>
    <w:rsid w:val="7ACC115A"/>
    <w:rsid w:val="7AD85D51"/>
    <w:rsid w:val="7AD973D3"/>
    <w:rsid w:val="7ADD5115"/>
    <w:rsid w:val="7AF406B1"/>
    <w:rsid w:val="7AF4245F"/>
    <w:rsid w:val="7AF81F4F"/>
    <w:rsid w:val="7AF93799"/>
    <w:rsid w:val="7B1B3E90"/>
    <w:rsid w:val="7B1D3764"/>
    <w:rsid w:val="7B1D7C08"/>
    <w:rsid w:val="7B2A724E"/>
    <w:rsid w:val="7B354F51"/>
    <w:rsid w:val="7B445194"/>
    <w:rsid w:val="7B48223F"/>
    <w:rsid w:val="7B5B3A3C"/>
    <w:rsid w:val="7B8C6B3B"/>
    <w:rsid w:val="7BCE4A5E"/>
    <w:rsid w:val="7BD52290"/>
    <w:rsid w:val="7BE6624C"/>
    <w:rsid w:val="7BEC1388"/>
    <w:rsid w:val="7C18217D"/>
    <w:rsid w:val="7C305719"/>
    <w:rsid w:val="7C312428"/>
    <w:rsid w:val="7C345209"/>
    <w:rsid w:val="7C4F2043"/>
    <w:rsid w:val="7C595D10"/>
    <w:rsid w:val="7C5E5DE2"/>
    <w:rsid w:val="7C624981"/>
    <w:rsid w:val="7C7E46D6"/>
    <w:rsid w:val="7C943EFA"/>
    <w:rsid w:val="7CCF6CE0"/>
    <w:rsid w:val="7CDD764F"/>
    <w:rsid w:val="7CE65DD7"/>
    <w:rsid w:val="7CF229CE"/>
    <w:rsid w:val="7CF84488"/>
    <w:rsid w:val="7D13776F"/>
    <w:rsid w:val="7D3134F6"/>
    <w:rsid w:val="7D4C16D7"/>
    <w:rsid w:val="7D4D1141"/>
    <w:rsid w:val="7D553689"/>
    <w:rsid w:val="7D5B67C5"/>
    <w:rsid w:val="7D5F62B6"/>
    <w:rsid w:val="7D67516A"/>
    <w:rsid w:val="7D6C2781"/>
    <w:rsid w:val="7D733B0F"/>
    <w:rsid w:val="7D816BAC"/>
    <w:rsid w:val="7D8A30C1"/>
    <w:rsid w:val="7DC720AD"/>
    <w:rsid w:val="7DD50326"/>
    <w:rsid w:val="7DD722F0"/>
    <w:rsid w:val="7DE95B7F"/>
    <w:rsid w:val="7E096221"/>
    <w:rsid w:val="7E1846B6"/>
    <w:rsid w:val="7E235535"/>
    <w:rsid w:val="7E244E09"/>
    <w:rsid w:val="7E2D7A48"/>
    <w:rsid w:val="7E32656A"/>
    <w:rsid w:val="7E3F1C43"/>
    <w:rsid w:val="7E4E00D8"/>
    <w:rsid w:val="7E4F632A"/>
    <w:rsid w:val="7E5F4093"/>
    <w:rsid w:val="7E6A3164"/>
    <w:rsid w:val="7E9E696A"/>
    <w:rsid w:val="7EAA744B"/>
    <w:rsid w:val="7EDE320A"/>
    <w:rsid w:val="7EE60311"/>
    <w:rsid w:val="7EED31C9"/>
    <w:rsid w:val="7EF742CC"/>
    <w:rsid w:val="7F037115"/>
    <w:rsid w:val="7F1D01D6"/>
    <w:rsid w:val="7F475253"/>
    <w:rsid w:val="7F487639"/>
    <w:rsid w:val="7F4C4618"/>
    <w:rsid w:val="7F5F07EF"/>
    <w:rsid w:val="7F976A07"/>
    <w:rsid w:val="7FAA7DF6"/>
    <w:rsid w:val="7FB0104A"/>
    <w:rsid w:val="7FCA7D95"/>
    <w:rsid w:val="7FD36AE7"/>
    <w:rsid w:val="7FF2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120" w:after="120" w:line="300" w:lineRule="auto"/>
      <w:jc w:val="center"/>
      <w:outlineLvl w:val="0"/>
    </w:pPr>
    <w:rPr>
      <w:rFonts w:ascii="宋体" w:hAnsi="宋体"/>
      <w:b/>
      <w:kern w:val="44"/>
      <w:sz w:val="32"/>
      <w:szCs w:val="20"/>
    </w:rPr>
  </w:style>
  <w:style w:type="paragraph" w:styleId="4">
    <w:name w:val="heading 2"/>
    <w:basedOn w:val="1"/>
    <w:next w:val="1"/>
    <w:link w:val="34"/>
    <w:qFormat/>
    <w:uiPriority w:val="0"/>
    <w:pPr>
      <w:keepNext/>
      <w:keepLines/>
      <w:autoSpaceDE w:val="0"/>
      <w:autoSpaceDN w:val="0"/>
      <w:adjustRightInd w:val="0"/>
      <w:spacing w:before="240" w:line="300" w:lineRule="auto"/>
      <w:jc w:val="left"/>
      <w:outlineLvl w:val="1"/>
    </w:pPr>
    <w:rPr>
      <w:rFonts w:ascii="Arial" w:hAnsi="Arial" w:eastAsia="黑体"/>
      <w:b/>
      <w:kern w:val="0"/>
      <w:sz w:val="28"/>
      <w:szCs w:val="20"/>
    </w:rPr>
  </w:style>
  <w:style w:type="paragraph" w:styleId="5">
    <w:name w:val="heading 3"/>
    <w:basedOn w:val="1"/>
    <w:next w:val="6"/>
    <w:autoRedefine/>
    <w:qFormat/>
    <w:uiPriority w:val="0"/>
    <w:pPr>
      <w:keepNext/>
      <w:keepLines/>
      <w:autoSpaceDE w:val="0"/>
      <w:autoSpaceDN w:val="0"/>
      <w:adjustRightInd w:val="0"/>
      <w:snapToGrid w:val="0"/>
      <w:spacing w:before="120" w:after="120"/>
      <w:jc w:val="left"/>
      <w:outlineLvl w:val="2"/>
    </w:pPr>
    <w:rPr>
      <w:rFonts w:ascii="宋体" w:hAnsi="宋体"/>
      <w:b/>
      <w:kern w:val="0"/>
      <w:szCs w:val="20"/>
    </w:rPr>
  </w:style>
  <w:style w:type="paragraph" w:styleId="8">
    <w:name w:val="heading 4"/>
    <w:basedOn w:val="1"/>
    <w:next w:val="1"/>
    <w:autoRedefine/>
    <w:qFormat/>
    <w:uiPriority w:val="0"/>
    <w:pPr>
      <w:keepNext/>
      <w:numPr>
        <w:ilvl w:val="0"/>
        <w:numId w:val="1"/>
      </w:numPr>
      <w:outlineLvl w:val="3"/>
    </w:pPr>
    <w:rPr>
      <w:b/>
      <w:color w:val="000000"/>
      <w:sz w:val="28"/>
      <w:szCs w:val="24"/>
      <w:u w:val="single"/>
    </w:rPr>
  </w:style>
  <w:style w:type="paragraph" w:styleId="9">
    <w:name w:val="heading 5"/>
    <w:basedOn w:val="1"/>
    <w:next w:val="1"/>
    <w:qFormat/>
    <w:uiPriority w:val="0"/>
    <w:pPr>
      <w:keepNext/>
      <w:keepLines/>
      <w:spacing w:before="280" w:beforeLines="0" w:after="290" w:afterLines="0" w:line="376" w:lineRule="auto"/>
      <w:outlineLvl w:val="4"/>
    </w:pPr>
    <w:rPr>
      <w:b/>
      <w:bCs/>
      <w:sz w:val="28"/>
      <w:szCs w:val="28"/>
    </w:rPr>
  </w:style>
  <w:style w:type="character" w:default="1" w:styleId="26">
    <w:name w:val="Default Paragraph Font"/>
    <w:autoRedefine/>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next w:val="7"/>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unhideWhenUsed/>
    <w:qFormat/>
    <w:uiPriority w:val="99"/>
    <w:pPr>
      <w:spacing w:before="120" w:beforeLines="0"/>
    </w:pPr>
    <w:rPr>
      <w:rFonts w:ascii="Cambria" w:hAnsi="Cambria" w:cs="Times New Roman"/>
      <w:sz w:val="24"/>
      <w:szCs w:val="24"/>
    </w:rPr>
  </w:style>
  <w:style w:type="paragraph" w:styleId="10">
    <w:name w:val="Body Text Indent"/>
    <w:basedOn w:val="1"/>
    <w:next w:val="8"/>
    <w:unhideWhenUsed/>
    <w:qFormat/>
    <w:uiPriority w:val="99"/>
    <w:pPr>
      <w:spacing w:after="120"/>
      <w:ind w:left="420" w:leftChars="200"/>
    </w:pPr>
  </w:style>
  <w:style w:type="paragraph" w:styleId="11">
    <w:name w:val="Plain Text"/>
    <w:basedOn w:val="1"/>
    <w:next w:val="12"/>
    <w:qFormat/>
    <w:uiPriority w:val="0"/>
    <w:rPr>
      <w:rFonts w:ascii="宋体" w:hAnsi="Courier New"/>
      <w:sz w:val="21"/>
      <w:szCs w:val="20"/>
    </w:rPr>
  </w:style>
  <w:style w:type="paragraph" w:styleId="12">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3">
    <w:name w:val="Body Text Indent 2"/>
    <w:basedOn w:val="1"/>
    <w:autoRedefine/>
    <w:qFormat/>
    <w:uiPriority w:val="0"/>
    <w:pPr>
      <w:ind w:firstLine="480" w:firstLineChars="200"/>
    </w:pPr>
    <w:rPr>
      <w:rFonts w:ascii="仿宋_GB2312" w:eastAsia="仿宋_GB2312"/>
      <w:sz w:val="24"/>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4"/>
    <w:basedOn w:val="1"/>
    <w:next w:val="1"/>
    <w:autoRedefine/>
    <w:qFormat/>
    <w:uiPriority w:val="0"/>
    <w:pPr>
      <w:wordWrap w:val="0"/>
      <w:ind w:left="850"/>
      <w:jc w:val="both"/>
    </w:pPr>
    <w:rPr>
      <w:rFonts w:ascii="Calibri" w:hAnsi="Calibri" w:eastAsia="宋体" w:cs="Times New Roman"/>
      <w:sz w:val="21"/>
      <w:lang w:val="en-US" w:eastAsia="zh-CN" w:bidi="ar-SA"/>
    </w:rPr>
  </w:style>
  <w:style w:type="paragraph" w:styleId="18">
    <w:name w:val="List"/>
    <w:basedOn w:val="1"/>
    <w:unhideWhenUsed/>
    <w:qFormat/>
    <w:uiPriority w:val="99"/>
    <w:pPr>
      <w:ind w:left="200" w:hanging="200" w:hangingChars="200"/>
      <w:contextualSpacing/>
    </w:pPr>
  </w:style>
  <w:style w:type="paragraph" w:styleId="19">
    <w:name w:val="footnote text"/>
    <w:basedOn w:val="1"/>
    <w:autoRedefine/>
    <w:qFormat/>
    <w:uiPriority w:val="0"/>
    <w:pPr>
      <w:snapToGrid w:val="0"/>
      <w:jc w:val="left"/>
    </w:pPr>
    <w:rPr>
      <w:sz w:val="18"/>
    </w:rPr>
  </w:style>
  <w:style w:type="paragraph" w:styleId="20">
    <w:name w:val="toc 2"/>
    <w:basedOn w:val="1"/>
    <w:next w:val="1"/>
    <w:autoRedefine/>
    <w:qFormat/>
    <w:uiPriority w:val="0"/>
    <w:pPr>
      <w:ind w:left="420" w:leftChars="200"/>
    </w:pPr>
  </w:style>
  <w:style w:type="paragraph" w:styleId="21">
    <w:name w:val="Body Text 2"/>
    <w:basedOn w:val="1"/>
    <w:autoRedefine/>
    <w:qFormat/>
    <w:uiPriority w:val="0"/>
    <w:pPr>
      <w:spacing w:after="120" w:line="480" w:lineRule="auto"/>
    </w:pPr>
    <w:rPr>
      <w:rFonts w:ascii="Arial" w:hAnsi="Arial"/>
      <w:sz w:val="24"/>
    </w:rPr>
  </w:style>
  <w:style w:type="paragraph" w:styleId="22">
    <w:name w:val="Normal (Web)"/>
    <w:basedOn w:val="1"/>
    <w:next w:val="1"/>
    <w:autoRedefine/>
    <w:qFormat/>
    <w:uiPriority w:val="99"/>
    <w:pPr>
      <w:widowControl/>
      <w:spacing w:before="100" w:beforeAutospacing="1" w:after="100" w:afterAutospacing="1"/>
      <w:jc w:val="left"/>
    </w:pPr>
    <w:rPr>
      <w:rFonts w:ascii="宋体" w:hAnsi="宋体" w:cs="宋体"/>
      <w:kern w:val="0"/>
      <w:sz w:val="24"/>
    </w:rPr>
  </w:style>
  <w:style w:type="paragraph" w:styleId="23">
    <w:name w:val="Body Text First Indent 2"/>
    <w:basedOn w:val="10"/>
    <w:next w:val="6"/>
    <w:autoRedefine/>
    <w:unhideWhenUsed/>
    <w:qFormat/>
    <w:uiPriority w:val="99"/>
    <w:pPr>
      <w:ind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99"/>
  </w:style>
  <w:style w:type="character" w:styleId="28">
    <w:name w:val="Hyperlink"/>
    <w:basedOn w:val="26"/>
    <w:autoRedefine/>
    <w:qFormat/>
    <w:uiPriority w:val="0"/>
    <w:rPr>
      <w:color w:val="0000FF"/>
      <w:u w:val="single"/>
    </w:rPr>
  </w:style>
  <w:style w:type="character" w:styleId="29">
    <w:name w:val="HTML Sample"/>
    <w:basedOn w:val="26"/>
    <w:autoRedefine/>
    <w:qFormat/>
    <w:uiPriority w:val="0"/>
    <w:rPr>
      <w:rFonts w:ascii="Courier New" w:hAnsi="Courier New"/>
    </w:rPr>
  </w:style>
  <w:style w:type="paragraph" w:customStyle="1" w:styleId="30">
    <w:name w:val="Default"/>
    <w:link w:val="35"/>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1">
    <w:name w:val="WPSOffice手动目录 1"/>
    <w:autoRedefine/>
    <w:qFormat/>
    <w:uiPriority w:val="0"/>
    <w:pPr>
      <w:ind w:leftChars="0"/>
    </w:pPr>
    <w:rPr>
      <w:rFonts w:ascii="Times New Roman" w:hAnsi="Times New Roman" w:eastAsia="宋体" w:cs="Times New Roman"/>
      <w:sz w:val="20"/>
      <w:szCs w:val="20"/>
    </w:rPr>
  </w:style>
  <w:style w:type="paragraph" w:customStyle="1" w:styleId="32">
    <w:name w:val="WPSOffice手动目录 2"/>
    <w:autoRedefine/>
    <w:qFormat/>
    <w:uiPriority w:val="0"/>
    <w:pPr>
      <w:ind w:leftChars="200"/>
    </w:pPr>
    <w:rPr>
      <w:rFonts w:ascii="Times New Roman" w:hAnsi="Times New Roman" w:eastAsia="宋体" w:cs="Times New Roman"/>
      <w:sz w:val="20"/>
      <w:szCs w:val="20"/>
    </w:rPr>
  </w:style>
  <w:style w:type="paragraph" w:customStyle="1" w:styleId="33">
    <w:name w:val="WPSOffice手动目录 3"/>
    <w:autoRedefine/>
    <w:qFormat/>
    <w:uiPriority w:val="0"/>
    <w:pPr>
      <w:ind w:leftChars="400"/>
    </w:pPr>
    <w:rPr>
      <w:rFonts w:ascii="Times New Roman" w:hAnsi="Times New Roman" w:eastAsia="宋体" w:cs="Times New Roman"/>
      <w:sz w:val="20"/>
      <w:szCs w:val="20"/>
    </w:rPr>
  </w:style>
  <w:style w:type="character" w:customStyle="1" w:styleId="34">
    <w:name w:val="标题 2 Char"/>
    <w:link w:val="4"/>
    <w:autoRedefine/>
    <w:qFormat/>
    <w:uiPriority w:val="0"/>
    <w:rPr>
      <w:rFonts w:ascii="Arial" w:hAnsi="Arial" w:eastAsia="黑体"/>
      <w:b/>
      <w:kern w:val="0"/>
      <w:sz w:val="28"/>
      <w:szCs w:val="20"/>
    </w:rPr>
  </w:style>
  <w:style w:type="character" w:customStyle="1" w:styleId="35">
    <w:name w:val="Default Char"/>
    <w:link w:val="30"/>
    <w:autoRedefine/>
    <w:qFormat/>
    <w:uiPriority w:val="0"/>
    <w:rPr>
      <w:rFonts w:ascii="宋体" w:hAnsi="Times New Roman" w:eastAsia="宋体" w:cs="宋体"/>
      <w:color w:val="000000"/>
      <w:sz w:val="24"/>
      <w:szCs w:val="24"/>
      <w:lang w:val="en-US" w:eastAsia="zh-CN" w:bidi="ar-SA"/>
    </w:rPr>
  </w:style>
  <w:style w:type="paragraph" w:customStyle="1" w:styleId="3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7">
    <w:name w:val="标题3居中"/>
    <w:basedOn w:val="5"/>
    <w:next w:val="1"/>
    <w:autoRedefine/>
    <w:qFormat/>
    <w:uiPriority w:val="0"/>
    <w:pPr>
      <w:jc w:val="center"/>
    </w:p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_Style 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Char Char Char Char Char Char Char Char Char Char"/>
    <w:basedOn w:val="1"/>
    <w:qFormat/>
    <w:uiPriority w:val="0"/>
    <w:pPr>
      <w:adjustRightInd w:val="0"/>
      <w:spacing w:line="360" w:lineRule="auto"/>
    </w:pPr>
    <w:rPr>
      <w:kern w:val="0"/>
      <w:sz w:val="24"/>
      <w:szCs w:val="20"/>
    </w:rPr>
  </w:style>
  <w:style w:type="paragraph" w:customStyle="1" w:styleId="41">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2">
    <w:name w:val="索引 11"/>
    <w:basedOn w:val="1"/>
    <w:next w:val="1"/>
    <w:qFormat/>
    <w:uiPriority w:val="0"/>
    <w:pPr>
      <w:spacing w:line="360" w:lineRule="auto"/>
    </w:pPr>
    <w:rPr>
      <w:rFonts w:ascii="仿宋_GB2312" w:eastAsia="仿宋_GB2312"/>
      <w:sz w:val="24"/>
      <w:szCs w:val="20"/>
    </w:rPr>
  </w:style>
  <w:style w:type="paragraph" w:customStyle="1" w:styleId="43">
    <w:name w:val="纯文本1"/>
    <w:basedOn w:val="1"/>
    <w:autoRedefine/>
    <w:qFormat/>
    <w:uiPriority w:val="0"/>
    <w:rPr>
      <w:rFonts w:ascii="宋体" w:hAnsi="Courier New"/>
      <w:kern w:val="0"/>
      <w:sz w:val="20"/>
      <w:szCs w:val="20"/>
    </w:rPr>
  </w:style>
  <w:style w:type="paragraph" w:customStyle="1" w:styleId="44">
    <w:name w:val="Table Text"/>
    <w:basedOn w:val="1"/>
    <w:autoRedefine/>
    <w:semiHidden/>
    <w:qFormat/>
    <w:uiPriority w:val="0"/>
    <w:rPr>
      <w:rFonts w:ascii="仿宋" w:hAnsi="仿宋" w:eastAsia="仿宋" w:cs="仿宋"/>
      <w:sz w:val="24"/>
      <w:szCs w:val="24"/>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36940</Words>
  <Characters>39690</Characters>
  <Lines>0</Lines>
  <Paragraphs>0</Paragraphs>
  <TotalTime>2</TotalTime>
  <ScaleCrop>false</ScaleCrop>
  <LinksUpToDate>false</LinksUpToDate>
  <CharactersWithSpaces>44085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2022-06-16T03:31:00Z</dcterms:created>
  <dc:creator>❤️轨迹</dc:creator>
  <cp:lastModifiedBy>（︶︿︶）</cp:lastModifiedBy>
  <cp:lastPrinted>2024-03-10T09:04:00Z</cp:lastPrinted>
  <dcterms:modified xsi:type="dcterms:W3CDTF">2024-03-18T04:26:09Z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4534C835D06F4D33B0DF59E12AF18F89</vt:lpwstr>
  </property>
</Properties>
</file>