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rPr>
      </w:pPr>
    </w:p>
    <w:p>
      <w:pPr>
        <w:pStyle w:val="2"/>
        <w:adjustRightInd w:val="0"/>
        <w:snapToGrid w:val="0"/>
        <w:spacing w:line="360" w:lineRule="auto"/>
        <w:jc w:val="center"/>
        <w:rPr>
          <w:rFonts w:hint="eastAsia" w:ascii="仿宋" w:hAnsi="仿宋" w:eastAsia="仿宋" w:cs="仿宋"/>
          <w:b/>
          <w:bCs w:val="0"/>
          <w:color w:val="000000" w:themeColor="text1"/>
          <w:sz w:val="56"/>
          <w:szCs w:val="56"/>
          <w:highlight w:val="none"/>
          <w:lang w:val="en-US" w:eastAsia="zh-CN"/>
          <w14:textFill>
            <w14:solidFill>
              <w14:schemeClr w14:val="tx1"/>
            </w14:solidFill>
          </w14:textFill>
        </w:rPr>
      </w:pPr>
      <w:r>
        <w:rPr>
          <w:rFonts w:hint="eastAsia" w:ascii="仿宋" w:hAnsi="仿宋" w:eastAsia="仿宋" w:cs="仿宋"/>
          <w:b/>
          <w:bCs w:val="0"/>
          <w:color w:val="000000" w:themeColor="text1"/>
          <w:sz w:val="56"/>
          <w:szCs w:val="56"/>
          <w:highlight w:val="none"/>
          <w:lang w:val="en-US" w:eastAsia="zh-CN"/>
          <w14:textFill>
            <w14:solidFill>
              <w14:schemeClr w14:val="tx1"/>
            </w14:solidFill>
          </w14:textFill>
        </w:rPr>
        <w:t>民丰县行政服务和公共资源交易中心采购项目</w:t>
      </w:r>
    </w:p>
    <w:p>
      <w:pPr>
        <w:pStyle w:val="2"/>
        <w:adjustRightInd w:val="0"/>
        <w:snapToGrid w:val="0"/>
        <w:spacing w:line="360" w:lineRule="auto"/>
        <w:jc w:val="center"/>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eastAsia="zh-CN"/>
          <w14:textFill>
            <w14:solidFill>
              <w14:schemeClr w14:val="tx1"/>
            </w14:solidFill>
          </w14:textFill>
        </w:rPr>
        <w:t>项目编号：MFX-FJY-CG-001</w:t>
      </w:r>
    </w:p>
    <w:p>
      <w:pPr>
        <w:pStyle w:val="2"/>
        <w:adjustRightInd w:val="0"/>
        <w:snapToGrid w:val="0"/>
        <w:spacing w:line="360" w:lineRule="auto"/>
        <w:jc w:val="center"/>
        <w:rPr>
          <w:rFonts w:hint="eastAsia" w:ascii="仿宋" w:hAnsi="仿宋" w:eastAsia="仿宋" w:cs="仿宋"/>
          <w:b/>
          <w:color w:val="000000" w:themeColor="text1"/>
          <w:sz w:val="32"/>
          <w:szCs w:val="32"/>
          <w:highlight w:val="none"/>
          <w:lang w:eastAsia="zh-CN"/>
          <w14:textFill>
            <w14:solidFill>
              <w14:schemeClr w14:val="tx1"/>
            </w14:solidFill>
          </w14:textFill>
        </w:rPr>
      </w:pPr>
    </w:p>
    <w:p>
      <w:pPr>
        <w:pStyle w:val="2"/>
        <w:adjustRightInd w:val="0"/>
        <w:snapToGrid w:val="0"/>
        <w:spacing w:line="360" w:lineRule="auto"/>
        <w:jc w:val="center"/>
        <w:rPr>
          <w:rFonts w:hint="eastAsia"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竞</w:t>
      </w:r>
    </w:p>
    <w:p>
      <w:pPr>
        <w:pStyle w:val="2"/>
        <w:adjustRightInd w:val="0"/>
        <w:snapToGrid w:val="0"/>
        <w:spacing w:line="360" w:lineRule="auto"/>
        <w:jc w:val="center"/>
        <w:rPr>
          <w:rFonts w:hint="eastAsia"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争</w:t>
      </w:r>
    </w:p>
    <w:p>
      <w:pPr>
        <w:pStyle w:val="2"/>
        <w:adjustRightInd w:val="0"/>
        <w:snapToGrid w:val="0"/>
        <w:spacing w:line="360" w:lineRule="auto"/>
        <w:jc w:val="center"/>
        <w:rPr>
          <w:rFonts w:hint="eastAsia"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性</w:t>
      </w:r>
    </w:p>
    <w:p>
      <w:pPr>
        <w:pStyle w:val="2"/>
        <w:adjustRightInd w:val="0"/>
        <w:snapToGrid w:val="0"/>
        <w:spacing w:line="360" w:lineRule="auto"/>
        <w:jc w:val="center"/>
        <w:rPr>
          <w:rFonts w:hint="eastAsia"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谈</w:t>
      </w:r>
    </w:p>
    <w:p>
      <w:pPr>
        <w:pStyle w:val="2"/>
        <w:adjustRightInd w:val="0"/>
        <w:snapToGrid w:val="0"/>
        <w:spacing w:line="360" w:lineRule="auto"/>
        <w:jc w:val="center"/>
        <w:rPr>
          <w:rFonts w:hint="eastAsia"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判</w:t>
      </w:r>
    </w:p>
    <w:p>
      <w:pPr>
        <w:pStyle w:val="2"/>
        <w:adjustRightInd w:val="0"/>
        <w:snapToGrid w:val="0"/>
        <w:spacing w:line="360" w:lineRule="auto"/>
        <w:jc w:val="center"/>
        <w:rPr>
          <w:rFonts w:hint="eastAsia"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文</w:t>
      </w:r>
    </w:p>
    <w:p>
      <w:pPr>
        <w:pStyle w:val="2"/>
        <w:adjustRightInd w:val="0"/>
        <w:snapToGrid w:val="0"/>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件</w:t>
      </w:r>
    </w:p>
    <w:p>
      <w:pPr>
        <w:pStyle w:val="2"/>
        <w:adjustRightInd w:val="0"/>
        <w:snapToGrid w:val="0"/>
        <w:spacing w:line="360" w:lineRule="auto"/>
        <w:jc w:val="both"/>
        <w:rPr>
          <w:rFonts w:hint="eastAsia" w:ascii="仿宋" w:hAnsi="仿宋" w:eastAsia="仿宋" w:cs="仿宋"/>
          <w:b/>
          <w:color w:val="000000" w:themeColor="text1"/>
          <w:sz w:val="32"/>
          <w:szCs w:val="32"/>
          <w:highlight w:val="none"/>
          <w14:textFill>
            <w14:solidFill>
              <w14:schemeClr w14:val="tx1"/>
            </w14:solidFill>
          </w14:textFill>
        </w:rPr>
      </w:pPr>
    </w:p>
    <w:p>
      <w:pPr>
        <w:pStyle w:val="2"/>
        <w:adjustRightInd w:val="0"/>
        <w:snapToGrid w:val="0"/>
        <w:spacing w:line="360" w:lineRule="auto"/>
        <w:jc w:val="center"/>
        <w:rPr>
          <w:rFonts w:hint="eastAsia" w:ascii="仿宋" w:hAnsi="仿宋" w:eastAsia="仿宋" w:cs="仿宋"/>
          <w:b/>
          <w:color w:val="000000" w:themeColor="text1"/>
          <w:sz w:val="32"/>
          <w:szCs w:val="32"/>
          <w:highlight w:val="none"/>
          <w:lang w:val="zh-CN" w:eastAsia="zh-CN"/>
          <w14:textFill>
            <w14:solidFill>
              <w14:schemeClr w14:val="tx1"/>
            </w14:solidFill>
          </w14:textFill>
        </w:rPr>
      </w:pPr>
      <w:r>
        <w:rPr>
          <w:rFonts w:hint="eastAsia" w:ascii="仿宋" w:hAnsi="仿宋" w:eastAsia="仿宋" w:cs="仿宋"/>
          <w:b/>
          <w:color w:val="000000" w:themeColor="text1"/>
          <w:sz w:val="32"/>
          <w:szCs w:val="32"/>
          <w:highlight w:val="none"/>
          <w:lang w:val="zh-CN" w:eastAsia="zh-CN"/>
          <w14:textFill>
            <w14:solidFill>
              <w14:schemeClr w14:val="tx1"/>
            </w14:solidFill>
          </w14:textFill>
        </w:rPr>
        <w:t>新疆沣疆源工程咨询有限责任公司</w:t>
      </w:r>
    </w:p>
    <w:p>
      <w:pPr>
        <w:pStyle w:val="2"/>
        <w:adjustRightInd w:val="0"/>
        <w:snapToGrid w:val="0"/>
        <w:spacing w:line="360" w:lineRule="auto"/>
        <w:jc w:val="center"/>
        <w:rPr>
          <w:rFonts w:hint="eastAsia" w:ascii="仿宋" w:hAnsi="仿宋" w:eastAsia="仿宋" w:cs="仿宋"/>
          <w:b/>
          <w:color w:val="000000" w:themeColor="text1"/>
          <w:spacing w:val="160"/>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eastAsia="zh-CN"/>
          <w14:textFill>
            <w14:solidFill>
              <w14:schemeClr w14:val="tx1"/>
            </w14:solidFill>
          </w14:textFill>
        </w:rPr>
        <w:t>二〇</w:t>
      </w:r>
      <w:r>
        <w:rPr>
          <w:rFonts w:hint="eastAsia" w:ascii="仿宋" w:hAnsi="仿宋" w:eastAsia="仿宋" w:cs="仿宋"/>
          <w:b/>
          <w:color w:val="000000" w:themeColor="text1"/>
          <w:sz w:val="32"/>
          <w:szCs w:val="32"/>
          <w:highlight w:val="none"/>
          <w:lang w:val="en-US" w:eastAsia="zh-CN"/>
          <w14:textFill>
            <w14:solidFill>
              <w14:schemeClr w14:val="tx1"/>
            </w14:solidFill>
          </w14:textFill>
        </w:rPr>
        <w:t>二二</w:t>
      </w:r>
      <w:r>
        <w:rPr>
          <w:rFonts w:hint="eastAsia" w:ascii="仿宋" w:hAnsi="仿宋" w:eastAsia="仿宋" w:cs="仿宋"/>
          <w:b/>
          <w:color w:val="000000" w:themeColor="text1"/>
          <w:sz w:val="32"/>
          <w:szCs w:val="32"/>
          <w:highlight w:val="none"/>
          <w:lang w:eastAsia="zh-CN"/>
          <w14:textFill>
            <w14:solidFill>
              <w14:schemeClr w14:val="tx1"/>
            </w14:solidFill>
          </w14:textFill>
        </w:rPr>
        <w:t>年</w:t>
      </w:r>
      <w:r>
        <w:rPr>
          <w:rFonts w:hint="eastAsia" w:ascii="仿宋" w:hAnsi="仿宋" w:eastAsia="仿宋" w:cs="仿宋"/>
          <w:b/>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b/>
          <w:color w:val="000000" w:themeColor="text1"/>
          <w:sz w:val="32"/>
          <w:szCs w:val="32"/>
          <w:highlight w:val="none"/>
          <w:lang w:eastAsia="zh-CN"/>
          <w14:textFill>
            <w14:solidFill>
              <w14:schemeClr w14:val="tx1"/>
            </w14:solidFill>
          </w14:textFill>
        </w:rPr>
        <w:t>月</w:t>
      </w:r>
    </w:p>
    <w:p>
      <w:pPr>
        <w:autoSpaceDE w:val="0"/>
        <w:autoSpaceDN w:val="0"/>
        <w:adjustRightInd w:val="0"/>
        <w:jc w:val="left"/>
        <w:rPr>
          <w:rFonts w:hint="eastAsia" w:ascii="仿宋" w:hAnsi="仿宋" w:eastAsia="仿宋" w:cs="仿宋"/>
          <w:bCs/>
          <w:color w:val="000000" w:themeColor="text1"/>
          <w:kern w:val="0"/>
          <w:sz w:val="36"/>
          <w:szCs w:val="36"/>
          <w:highlight w:val="none"/>
          <w14:textFill>
            <w14:solidFill>
              <w14:schemeClr w14:val="tx1"/>
            </w14:solidFill>
          </w14:textFill>
        </w:rPr>
      </w:pPr>
    </w:p>
    <w:p>
      <w:pPr>
        <w:pStyle w:val="19"/>
        <w:rPr>
          <w:rFonts w:hint="eastAsia"/>
        </w:rPr>
      </w:pPr>
    </w:p>
    <w:p>
      <w:pPr>
        <w:autoSpaceDE w:val="0"/>
        <w:autoSpaceDN w:val="0"/>
        <w:adjustRightInd w:val="0"/>
        <w:jc w:val="center"/>
        <w:rPr>
          <w:rFonts w:hint="eastAsia" w:ascii="仿宋" w:hAnsi="仿宋" w:eastAsia="仿宋" w:cs="仿宋"/>
          <w:b/>
          <w:bCs w:val="0"/>
          <w:color w:val="000000" w:themeColor="text1"/>
          <w:kern w:val="0"/>
          <w:sz w:val="36"/>
          <w:szCs w:val="36"/>
          <w:highlight w:val="none"/>
          <w:lang w:val="en-US" w:eastAsia="zh-CN"/>
          <w14:textFill>
            <w14:solidFill>
              <w14:schemeClr w14:val="tx1"/>
            </w14:solidFill>
          </w14:textFill>
        </w:rPr>
      </w:pPr>
      <w:r>
        <w:rPr>
          <w:rFonts w:hint="eastAsia" w:ascii="仿宋" w:hAnsi="仿宋" w:eastAsia="仿宋" w:cs="仿宋"/>
          <w:b/>
          <w:bCs w:val="0"/>
          <w:color w:val="000000" w:themeColor="text1"/>
          <w:kern w:val="0"/>
          <w:sz w:val="36"/>
          <w:szCs w:val="36"/>
          <w:highlight w:val="none"/>
          <w:lang w:eastAsia="zh-CN"/>
          <w14:textFill>
            <w14:solidFill>
              <w14:schemeClr w14:val="tx1"/>
            </w14:solidFill>
          </w14:textFill>
        </w:rPr>
        <w:t>新疆·和田地区·</w:t>
      </w:r>
      <w:r>
        <w:rPr>
          <w:rFonts w:hint="eastAsia" w:ascii="仿宋" w:hAnsi="仿宋" w:eastAsia="仿宋" w:cs="仿宋"/>
          <w:b/>
          <w:bCs w:val="0"/>
          <w:color w:val="000000" w:themeColor="text1"/>
          <w:kern w:val="0"/>
          <w:sz w:val="36"/>
          <w:szCs w:val="36"/>
          <w:highlight w:val="none"/>
          <w:lang w:val="en-US" w:eastAsia="zh-CN"/>
          <w14:textFill>
            <w14:solidFill>
              <w14:schemeClr w14:val="tx1"/>
            </w14:solidFill>
          </w14:textFill>
        </w:rPr>
        <w:t>民丰县</w:t>
      </w:r>
    </w:p>
    <w:p>
      <w:pPr>
        <w:autoSpaceDE w:val="0"/>
        <w:autoSpaceDN w:val="0"/>
        <w:adjustRightInd w:val="0"/>
        <w:jc w:val="center"/>
        <w:rPr>
          <w:rFonts w:hint="eastAsia" w:ascii="仿宋" w:hAnsi="仿宋" w:eastAsia="仿宋" w:cs="仿宋"/>
          <w:bCs/>
          <w:color w:val="000000" w:themeColor="text1"/>
          <w:kern w:val="0"/>
          <w:sz w:val="36"/>
          <w:szCs w:val="36"/>
          <w:highlight w:val="none"/>
          <w:lang w:eastAsia="zh-CN"/>
          <w14:textFill>
            <w14:solidFill>
              <w14:schemeClr w14:val="tx1"/>
            </w14:solidFill>
          </w14:textFill>
        </w:rPr>
        <w:sectPr>
          <w:headerReference r:id="rId3" w:type="default"/>
          <w:footerReference r:id="rId4" w:type="default"/>
          <w:type w:val="continuous"/>
          <w:pgSz w:w="11907" w:h="16840"/>
          <w:pgMar w:top="1440" w:right="1247" w:bottom="1361" w:left="1247" w:header="851" w:footer="850" w:gutter="0"/>
          <w:pgBorders>
            <w:top w:val="none" w:sz="0" w:space="0"/>
            <w:left w:val="none" w:sz="0" w:space="0"/>
            <w:bottom w:val="none" w:sz="0" w:space="0"/>
            <w:right w:val="none" w:sz="0" w:space="0"/>
          </w:pgBorders>
          <w:pgNumType w:fmt="decimal" w:start="1"/>
          <w:cols w:space="720" w:num="1"/>
          <w:rtlGutter w:val="0"/>
          <w:docGrid w:linePitch="462" w:charSpace="0"/>
        </w:sectPr>
      </w:pPr>
    </w:p>
    <w:p>
      <w:pPr>
        <w:autoSpaceDE w:val="0"/>
        <w:autoSpaceDN w:val="0"/>
        <w:adjustRightInd w:val="0"/>
        <w:jc w:val="left"/>
        <w:rPr>
          <w:rFonts w:hint="eastAsia" w:ascii="仿宋" w:hAnsi="仿宋" w:eastAsia="仿宋" w:cs="仿宋"/>
          <w:b/>
          <w:bCs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b/>
          <w:bCs w:val="0"/>
          <w:color w:val="000000" w:themeColor="text1"/>
          <w:kern w:val="0"/>
          <w:sz w:val="32"/>
          <w:szCs w:val="32"/>
          <w:highlight w:val="none"/>
          <w:lang w:eastAsia="zh-CN"/>
          <w14:textFill>
            <w14:solidFill>
              <w14:schemeClr w14:val="tx1"/>
            </w14:solidFill>
          </w14:textFill>
        </w:rPr>
        <w:t>招投标监督管理机构备案登记栏</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5" w:hRule="atLeast"/>
          <w:jc w:val="center"/>
        </w:trPr>
        <w:tc>
          <w:tcPr>
            <w:tcW w:w="9540" w:type="dxa"/>
            <w:noWrap w:val="0"/>
            <w:vAlign w:val="top"/>
          </w:tcPr>
          <w:p>
            <w:pPr>
              <w:autoSpaceDE w:val="0"/>
              <w:autoSpaceDN w:val="0"/>
              <w:adjustRightInd w:val="0"/>
              <w:jc w:val="center"/>
              <w:rPr>
                <w:rFonts w:hint="eastAsia" w:ascii="仿宋" w:hAnsi="仿宋" w:eastAsia="仿宋" w:cs="仿宋"/>
                <w:bCs/>
                <w:color w:val="000000" w:themeColor="text1"/>
                <w:kern w:val="0"/>
                <w:sz w:val="36"/>
                <w:szCs w:val="36"/>
                <w:highlight w:val="none"/>
                <w:lang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eastAsia="zh-CN"/>
                <w14:textFill>
                  <w14:solidFill>
                    <w14:schemeClr w14:val="tx1"/>
                  </w14:solidFill>
                </w14:textFill>
              </w:rPr>
            </w:pPr>
            <w:r>
              <w:rPr>
                <w:rFonts w:hint="eastAsia" w:ascii="仿宋" w:hAnsi="仿宋" w:eastAsia="仿宋" w:cs="仿宋"/>
                <w:bCs/>
                <w:color w:val="000000" w:themeColor="text1"/>
                <w:kern w:val="0"/>
                <w:sz w:val="36"/>
                <w:szCs w:val="36"/>
                <w:highlight w:val="none"/>
                <w:lang w:eastAsia="zh-CN"/>
                <w14:textFill>
                  <w14:solidFill>
                    <w14:schemeClr w14:val="tx1"/>
                  </w14:solidFill>
                </w14:textFill>
              </w:rPr>
              <w:t>本文件已报备</w:t>
            </w:r>
          </w:p>
          <w:p>
            <w:pPr>
              <w:pStyle w:val="19"/>
              <w:rPr>
                <w:rFonts w:hint="eastAsia"/>
                <w:lang w:val="en-US" w:eastAsia="zh-CN"/>
              </w:rPr>
            </w:pP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t>民丰县行政服务和公共资源交易中心采购项目</w:t>
            </w: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t>备案日期：  年  月  日</w:t>
            </w:r>
          </w:p>
          <w:p>
            <w:pPr>
              <w:autoSpaceDE w:val="0"/>
              <w:autoSpaceDN w:val="0"/>
              <w:adjustRightInd w:val="0"/>
              <w:jc w:val="center"/>
              <w:rPr>
                <w:rFonts w:hint="eastAsia" w:ascii="仿宋" w:hAnsi="仿宋" w:eastAsia="仿宋" w:cs="仿宋"/>
                <w:bCs/>
                <w:color w:val="000000" w:themeColor="text1"/>
                <w:kern w:val="0"/>
                <w:sz w:val="36"/>
                <w:szCs w:val="36"/>
                <w:highlight w:val="none"/>
                <w:lang w:val="en-US" w:eastAsia="zh-CN"/>
                <w14:textFill>
                  <w14:solidFill>
                    <w14:schemeClr w14:val="tx1"/>
                  </w14:solidFill>
                </w14:textFill>
              </w:rPr>
            </w:pPr>
          </w:p>
        </w:tc>
      </w:tr>
    </w:tbl>
    <w:p>
      <w:pPr>
        <w:autoSpaceDE w:val="0"/>
        <w:autoSpaceDN w:val="0"/>
        <w:adjustRightInd w:val="0"/>
        <w:jc w:val="center"/>
        <w:rPr>
          <w:rFonts w:hint="eastAsia" w:ascii="仿宋" w:hAnsi="仿宋" w:eastAsia="仿宋" w:cs="仿宋"/>
          <w:bCs/>
          <w:color w:val="000000" w:themeColor="text1"/>
          <w:kern w:val="0"/>
          <w:sz w:val="36"/>
          <w:szCs w:val="36"/>
          <w:highlight w:val="none"/>
          <w:lang w:eastAsia="zh-CN"/>
          <w14:textFill>
            <w14:solidFill>
              <w14:schemeClr w14:val="tx1"/>
            </w14:solidFill>
          </w14:textFill>
        </w:rPr>
        <w:sectPr>
          <w:pgSz w:w="11907" w:h="16840"/>
          <w:pgMar w:top="1440" w:right="1247" w:bottom="1361" w:left="1247" w:header="851" w:footer="850" w:gutter="0"/>
          <w:pgBorders>
            <w:top w:val="none" w:sz="0" w:space="0"/>
            <w:left w:val="none" w:sz="0" w:space="0"/>
            <w:bottom w:val="none" w:sz="0" w:space="0"/>
            <w:right w:val="none" w:sz="0" w:space="0"/>
          </w:pgBorders>
          <w:pgNumType w:fmt="decimal" w:start="1"/>
          <w:cols w:space="720" w:num="1"/>
          <w:rtlGutter w:val="0"/>
          <w:docGrid w:linePitch="462" w:charSpace="0"/>
        </w:sectPr>
      </w:pPr>
    </w:p>
    <w:p>
      <w:pPr>
        <w:autoSpaceDE w:val="0"/>
        <w:autoSpaceDN w:val="0"/>
        <w:adjustRightInd w:val="0"/>
        <w:jc w:val="center"/>
        <w:rPr>
          <w:rFonts w:hint="eastAsia" w:ascii="仿宋" w:hAnsi="仿宋" w:eastAsia="仿宋" w:cs="仿宋"/>
          <w:bCs/>
          <w:color w:val="000000" w:themeColor="text1"/>
          <w:kern w:val="0"/>
          <w:sz w:val="36"/>
          <w:szCs w:val="36"/>
          <w:highlight w:val="none"/>
          <w:lang w:eastAsia="zh-CN"/>
          <w14:textFill>
            <w14:solidFill>
              <w14:schemeClr w14:val="tx1"/>
            </w14:solidFill>
          </w14:textFill>
        </w:rPr>
      </w:pPr>
      <w:r>
        <w:rPr>
          <w:rFonts w:hint="eastAsia" w:ascii="仿宋" w:hAnsi="仿宋" w:eastAsia="仿宋" w:cs="仿宋"/>
          <w:bCs/>
          <w:color w:val="000000" w:themeColor="text1"/>
          <w:kern w:val="0"/>
          <w:sz w:val="36"/>
          <w:szCs w:val="36"/>
          <w:highlight w:val="none"/>
          <w:lang w:eastAsia="zh-CN"/>
          <w14:textFill>
            <w14:solidFill>
              <w14:schemeClr w14:val="tx1"/>
            </w14:solidFill>
          </w14:textFill>
        </w:rPr>
        <w:t>（竞争性谈判</w:t>
      </w:r>
      <w:r>
        <w:rPr>
          <w:rFonts w:hint="eastAsia" w:ascii="仿宋" w:hAnsi="仿宋" w:eastAsia="仿宋" w:cs="仿宋"/>
          <w:bCs/>
          <w:color w:val="000000" w:themeColor="text1"/>
          <w:kern w:val="0"/>
          <w:sz w:val="36"/>
          <w:szCs w:val="36"/>
          <w:highlight w:val="none"/>
          <w14:textFill>
            <w14:solidFill>
              <w14:schemeClr w14:val="tx1"/>
            </w14:solidFill>
          </w14:textFill>
        </w:rPr>
        <w:t>文件</w:t>
      </w:r>
      <w:r>
        <w:rPr>
          <w:rFonts w:hint="eastAsia" w:ascii="仿宋" w:hAnsi="仿宋" w:eastAsia="仿宋" w:cs="仿宋"/>
          <w:bCs/>
          <w:color w:val="000000" w:themeColor="text1"/>
          <w:kern w:val="0"/>
          <w:sz w:val="36"/>
          <w:szCs w:val="36"/>
          <w:highlight w:val="none"/>
          <w:lang w:eastAsia="zh-CN"/>
          <w14:textFill>
            <w14:solidFill>
              <w14:schemeClr w14:val="tx1"/>
            </w14:solidFill>
          </w14:textFill>
        </w:rPr>
        <w:t>）</w:t>
      </w:r>
    </w:p>
    <w:p>
      <w:pPr>
        <w:ind w:firstLine="420" w:firstLineChars="150"/>
        <w:jc w:val="left"/>
        <w:rPr>
          <w:rFonts w:hint="eastAsia" w:ascii="仿宋" w:hAnsi="仿宋" w:eastAsia="仿宋" w:cs="仿宋"/>
          <w:bCs/>
          <w:color w:val="000000" w:themeColor="text1"/>
          <w:sz w:val="28"/>
          <w:szCs w:val="28"/>
          <w:highlight w:val="none"/>
          <w:lang w:val="zh-CN"/>
          <w14:textFill>
            <w14:solidFill>
              <w14:schemeClr w14:val="tx1"/>
            </w14:solidFill>
          </w14:textFill>
        </w:rPr>
      </w:pPr>
    </w:p>
    <w:p>
      <w:pPr>
        <w:autoSpaceDE w:val="0"/>
        <w:autoSpaceDN w:val="0"/>
        <w:adjustRightInd w:val="0"/>
        <w:spacing w:line="680" w:lineRule="exact"/>
        <w:jc w:val="left"/>
        <w:rPr>
          <w:rFonts w:hint="eastAsia" w:ascii="仿宋" w:hAnsi="仿宋" w:eastAsia="仿宋" w:cs="仿宋"/>
          <w:bCs/>
          <w:color w:val="000000" w:themeColor="text1"/>
          <w:sz w:val="24"/>
          <w:szCs w:val="24"/>
          <w:highlight w:val="none"/>
          <w:lang w:val="zh-CN"/>
          <w14:textFill>
            <w14:solidFill>
              <w14:schemeClr w14:val="tx1"/>
            </w14:solidFill>
          </w14:textFill>
        </w:rPr>
      </w:pPr>
    </w:p>
    <w:p>
      <w:pPr>
        <w:autoSpaceDE w:val="0"/>
        <w:autoSpaceDN w:val="0"/>
        <w:adjustRightInd w:val="0"/>
        <w:spacing w:line="680" w:lineRule="exact"/>
        <w:jc w:val="left"/>
        <w:rPr>
          <w:rFonts w:hint="eastAsia" w:ascii="仿宋" w:hAnsi="仿宋" w:eastAsia="仿宋" w:cs="仿宋"/>
          <w:bCs/>
          <w:color w:val="000000" w:themeColor="text1"/>
          <w:sz w:val="24"/>
          <w:szCs w:val="24"/>
          <w:highlight w:val="none"/>
          <w:lang w:val="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项目名称：民丰县行政服务和公共资源交易中心采购项目</w:t>
      </w:r>
    </w:p>
    <w:p>
      <w:pPr>
        <w:autoSpaceDE w:val="0"/>
        <w:autoSpaceDN w:val="0"/>
        <w:adjustRightInd w:val="0"/>
        <w:spacing w:line="680" w:lineRule="exact"/>
        <w:jc w:val="left"/>
        <w:rPr>
          <w:rFonts w:hint="eastAsia" w:ascii="仿宋" w:hAnsi="仿宋" w:eastAsia="仿宋" w:cs="仿宋"/>
          <w:bCs/>
          <w:color w:val="000000" w:themeColor="text1"/>
          <w:sz w:val="24"/>
          <w:szCs w:val="24"/>
          <w:highlight w:val="none"/>
          <w:lang w:val="zh-CN" w:eastAsia="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采购单位：</w:t>
      </w:r>
      <w:r>
        <w:rPr>
          <w:rFonts w:hint="eastAsia" w:ascii="仿宋" w:hAnsi="仿宋" w:eastAsia="仿宋" w:cs="仿宋"/>
          <w:sz w:val="24"/>
          <w:szCs w:val="24"/>
          <w:u w:val="none"/>
          <w:lang w:eastAsia="zh-CN"/>
        </w:rPr>
        <w:t>民丰县行政服务和公共资源交易中心</w:t>
      </w:r>
    </w:p>
    <w:p>
      <w:pPr>
        <w:autoSpaceDE w:val="0"/>
        <w:autoSpaceDN w:val="0"/>
        <w:adjustRightInd w:val="0"/>
        <w:spacing w:line="680" w:lineRule="exact"/>
        <w:jc w:val="left"/>
        <w:rPr>
          <w:rFonts w:hint="eastAsia" w:ascii="仿宋" w:hAnsi="仿宋" w:eastAsia="仿宋" w:cs="仿宋"/>
          <w:bCs/>
          <w:color w:val="000000" w:themeColor="text1"/>
          <w:sz w:val="24"/>
          <w:szCs w:val="24"/>
          <w:highlight w:val="none"/>
          <w:lang w:val="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联 系 人：艾麦提江</w:t>
      </w:r>
    </w:p>
    <w:p>
      <w:pPr>
        <w:autoSpaceDE w:val="0"/>
        <w:autoSpaceDN w:val="0"/>
        <w:adjustRightInd w:val="0"/>
        <w:spacing w:line="680" w:lineRule="exact"/>
        <w:jc w:val="left"/>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电    话：</w:t>
      </w:r>
      <w:r>
        <w:rPr>
          <w:rFonts w:hint="eastAsia" w:ascii="仿宋" w:hAnsi="仿宋" w:eastAsia="仿宋" w:cs="仿宋"/>
          <w:sz w:val="24"/>
          <w:szCs w:val="24"/>
          <w:u w:val="none"/>
          <w:lang w:val="en-US" w:eastAsia="zh-CN"/>
        </w:rPr>
        <w:t>0903-6751900</w:t>
      </w:r>
    </w:p>
    <w:p>
      <w:pPr>
        <w:autoSpaceDE w:val="0"/>
        <w:autoSpaceDN w:val="0"/>
        <w:adjustRightInd w:val="0"/>
        <w:spacing w:line="680" w:lineRule="exact"/>
        <w:jc w:val="left"/>
        <w:rPr>
          <w:rFonts w:hint="eastAsia" w:ascii="仿宋" w:hAnsi="仿宋" w:eastAsia="仿宋" w:cs="仿宋"/>
          <w:bCs/>
          <w:color w:val="000000" w:themeColor="text1"/>
          <w:sz w:val="22"/>
          <w:szCs w:val="22"/>
          <w:highlight w:val="none"/>
          <w:lang w:val="zh-CN"/>
          <w14:textFill>
            <w14:solidFill>
              <w14:schemeClr w14:val="tx1"/>
            </w14:solidFill>
          </w14:textFill>
        </w:rPr>
      </w:pPr>
    </w:p>
    <w:p>
      <w:pPr>
        <w:autoSpaceDE w:val="0"/>
        <w:autoSpaceDN w:val="0"/>
        <w:adjustRightInd w:val="0"/>
        <w:spacing w:line="680" w:lineRule="exact"/>
        <w:jc w:val="left"/>
        <w:rPr>
          <w:rFonts w:hint="eastAsia" w:ascii="仿宋" w:hAnsi="仿宋" w:eastAsia="仿宋" w:cs="仿宋"/>
          <w:bCs/>
          <w:color w:val="000000" w:themeColor="text1"/>
          <w:sz w:val="22"/>
          <w:szCs w:val="22"/>
          <w:highlight w:val="none"/>
          <w:lang w:val="zh-CN"/>
          <w14:textFill>
            <w14:solidFill>
              <w14:schemeClr w14:val="tx1"/>
            </w14:solidFill>
          </w14:textFill>
        </w:rPr>
      </w:pPr>
    </w:p>
    <w:p>
      <w:pPr>
        <w:autoSpaceDE w:val="0"/>
        <w:autoSpaceDN w:val="0"/>
        <w:adjustRightInd w:val="0"/>
        <w:spacing w:line="680" w:lineRule="exact"/>
        <w:jc w:val="left"/>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w:t>
      </w:r>
    </w:p>
    <w:p>
      <w:pPr>
        <w:autoSpaceDE w:val="0"/>
        <w:autoSpaceDN w:val="0"/>
        <w:adjustRightInd w:val="0"/>
        <w:spacing w:line="680" w:lineRule="exact"/>
        <w:ind w:left="1231" w:leftChars="513"/>
        <w:jc w:val="left"/>
        <w:rPr>
          <w:rFonts w:hint="eastAsia" w:ascii="仿宋" w:hAnsi="仿宋" w:eastAsia="仿宋" w:cs="仿宋"/>
          <w:bCs/>
          <w:color w:val="000000" w:themeColor="text1"/>
          <w:sz w:val="24"/>
          <w:szCs w:val="28"/>
          <w:highlight w:val="none"/>
          <w:lang w:val="zh-CN"/>
          <w14:textFill>
            <w14:solidFill>
              <w14:schemeClr w14:val="tx1"/>
            </w14:solidFill>
          </w14:textFill>
        </w:rPr>
      </w:pPr>
    </w:p>
    <w:p>
      <w:pPr>
        <w:pStyle w:val="24"/>
        <w:jc w:val="left"/>
        <w:rPr>
          <w:rFonts w:hint="eastAsia" w:ascii="仿宋" w:hAnsi="仿宋" w:eastAsia="仿宋" w:cs="仿宋"/>
          <w:color w:val="000000" w:themeColor="text1"/>
          <w:sz w:val="22"/>
          <w:szCs w:val="22"/>
          <w:highlight w:val="none"/>
          <w:lang w:val="zh-CN"/>
          <w14:textFill>
            <w14:solidFill>
              <w14:schemeClr w14:val="tx1"/>
            </w14:solidFill>
          </w14:textFill>
        </w:rPr>
      </w:pPr>
    </w:p>
    <w:p>
      <w:pPr>
        <w:autoSpaceDE w:val="0"/>
        <w:autoSpaceDN w:val="0"/>
        <w:adjustRightInd w:val="0"/>
        <w:spacing w:line="680" w:lineRule="exact"/>
        <w:jc w:val="left"/>
        <w:rPr>
          <w:rFonts w:hint="eastAsia" w:ascii="仿宋" w:hAnsi="仿宋" w:eastAsia="仿宋" w:cs="仿宋"/>
          <w:bCs/>
          <w:color w:val="000000" w:themeColor="text1"/>
          <w:sz w:val="24"/>
          <w:szCs w:val="24"/>
          <w:highlight w:val="none"/>
          <w:lang w:val="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招标代理机构：新疆沣疆源工程咨询有限责任公司</w:t>
      </w:r>
    </w:p>
    <w:p>
      <w:pPr>
        <w:autoSpaceDE w:val="0"/>
        <w:autoSpaceDN w:val="0"/>
        <w:adjustRightInd w:val="0"/>
        <w:spacing w:line="680" w:lineRule="exact"/>
        <w:jc w:val="left"/>
        <w:rPr>
          <w:rFonts w:hint="eastAsia" w:ascii="仿宋" w:hAnsi="仿宋" w:eastAsia="仿宋" w:cs="仿宋"/>
          <w:bCs/>
          <w:color w:val="000000" w:themeColor="text1"/>
          <w:sz w:val="24"/>
          <w:szCs w:val="24"/>
          <w:highlight w:val="none"/>
          <w:lang w:val="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联 系 人：代娜</w:t>
      </w:r>
    </w:p>
    <w:p>
      <w:pPr>
        <w:autoSpaceDE w:val="0"/>
        <w:autoSpaceDN w:val="0"/>
        <w:adjustRightInd w:val="0"/>
        <w:spacing w:line="680" w:lineRule="exact"/>
        <w:jc w:val="left"/>
        <w:rPr>
          <w:rFonts w:hint="eastAsia" w:ascii="仿宋" w:hAnsi="仿宋" w:eastAsia="仿宋" w:cs="仿宋"/>
          <w:bCs/>
          <w:color w:val="000000" w:themeColor="text1"/>
          <w:sz w:val="24"/>
          <w:szCs w:val="24"/>
          <w:highlight w:val="none"/>
          <w:lang w:val="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电    话：0903-2520096</w:t>
      </w:r>
    </w:p>
    <w:p>
      <w:pPr>
        <w:autoSpaceDE w:val="0"/>
        <w:autoSpaceDN w:val="0"/>
        <w:adjustRightInd w:val="0"/>
        <w:spacing w:line="680" w:lineRule="exact"/>
        <w:jc w:val="left"/>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详细地址：和田市玉都国际广场银座8楼</w:t>
      </w:r>
    </w:p>
    <w:p>
      <w:pPr>
        <w:spacing w:before="0" w:beforeLines="0" w:after="0" w:afterLines="0" w:line="360" w:lineRule="auto"/>
        <w:ind w:left="0" w:leftChars="0" w:right="0" w:rightChars="0" w:firstLine="0" w:firstLineChars="0"/>
        <w:jc w:val="left"/>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360" w:lineRule="auto"/>
        <w:ind w:left="0" w:leftChars="0" w:right="0" w:rightChars="0" w:firstLine="0" w:firstLineChars="0"/>
        <w:jc w:val="left"/>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360" w:lineRule="auto"/>
        <w:ind w:left="0" w:leftChars="0" w:right="0" w:rightChars="0" w:firstLine="0" w:firstLineChars="0"/>
        <w:jc w:val="left"/>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360" w:lineRule="auto"/>
        <w:ind w:left="0" w:leftChars="0" w:right="0" w:rightChars="0" w:firstLine="0" w:firstLineChars="0"/>
        <w:jc w:val="left"/>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sectPr>
          <w:pgSz w:w="11907" w:h="16840"/>
          <w:pgMar w:top="1440" w:right="1247" w:bottom="1361" w:left="1247" w:header="851" w:footer="850" w:gutter="0"/>
          <w:pgBorders>
            <w:top w:val="none" w:sz="0" w:space="0"/>
            <w:left w:val="none" w:sz="0" w:space="0"/>
            <w:bottom w:val="none" w:sz="0" w:space="0"/>
            <w:right w:val="none" w:sz="0" w:space="0"/>
          </w:pgBorders>
          <w:pgNumType w:fmt="decimal" w:start="1"/>
          <w:cols w:space="720" w:num="1"/>
          <w:rtlGutter w:val="0"/>
          <w:docGrid w:linePitch="462" w:charSpace="0"/>
        </w:sectPr>
      </w:pPr>
    </w:p>
    <w:p>
      <w:pPr>
        <w:spacing w:before="0" w:beforeLines="0" w:after="0" w:afterLines="0" w:line="360" w:lineRule="auto"/>
        <w:ind w:left="0" w:leftChars="0" w:right="0" w:rightChars="0" w:firstLine="0" w:firstLineChars="0"/>
        <w:jc w:val="both"/>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p>
    <w:sdt>
      <w:sdtP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id w:val="147469218"/>
        <w15:color w:val="DBDBDB"/>
        <w:docPartObj>
          <w:docPartGallery w:val="Table of Contents"/>
          <w:docPartUnique/>
        </w:docPartObj>
      </w:sdtPr>
      <w:sdtEndPr>
        <w:rPr>
          <w:rFonts w:hint="eastAsia" w:ascii="仿宋" w:hAnsi="仿宋" w:eastAsia="仿宋" w:cs="仿宋"/>
          <w:b/>
          <w:bCs/>
          <w:color w:val="000000" w:themeColor="text1"/>
          <w:kern w:val="2"/>
          <w:sz w:val="24"/>
          <w:szCs w:val="32"/>
          <w:highlight w:val="none"/>
          <w:lang w:val="en-US" w:eastAsia="zh-CN" w:bidi="ar-SA"/>
          <w14:textFill>
            <w14:solidFill>
              <w14:schemeClr w14:val="tx1"/>
            </w14:solidFill>
          </w14:textFill>
        </w:rPr>
      </w:sdtEndPr>
      <w:sdtContent>
        <w:p>
          <w:pPr>
            <w:pStyle w:val="2"/>
            <w:adjustRightInd w:val="0"/>
            <w:snapToGrid w:val="0"/>
            <w:spacing w:line="360" w:lineRule="auto"/>
            <w:jc w:val="cente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bookmarkStart w:id="0" w:name="_Toc28359011"/>
          <w:bookmarkStart w:id="1" w:name="_Toc35393797"/>
          <w:bookmarkStart w:id="2" w:name="_Toc7164"/>
          <w:bookmarkStart w:id="3" w:name="_Toc10298"/>
        </w:p>
        <w:p>
          <w:pPr>
            <w:pStyle w:val="2"/>
            <w:adjustRightInd w:val="0"/>
            <w:snapToGrid w:val="0"/>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pacing w:val="160"/>
              <w:sz w:val="36"/>
              <w:szCs w:val="36"/>
              <w:highlight w:val="none"/>
              <w14:textFill>
                <w14:solidFill>
                  <w14:schemeClr w14:val="tx1"/>
                </w14:solidFill>
              </w14:textFill>
            </w:rPr>
            <w:t>目录</w:t>
          </w:r>
        </w:p>
        <w:p>
          <w:pPr>
            <w:pStyle w:val="17"/>
            <w:tabs>
              <w:tab w:val="right" w:pos="8306"/>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TOC \o "1-3" \n  \h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_Toc2370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 xml:space="preserve">第一章 </w:t>
          </w:r>
          <w:r>
            <w:rPr>
              <w:rFonts w:hint="eastAsia" w:ascii="仿宋" w:hAnsi="仿宋" w:eastAsia="仿宋" w:cs="仿宋"/>
              <w:color w:val="000000" w:themeColor="text1"/>
              <w:sz w:val="28"/>
              <w:szCs w:val="28"/>
              <w:highlight w:val="none"/>
              <w:lang w:eastAsia="zh-CN"/>
              <w14:textFill>
                <w14:solidFill>
                  <w14:schemeClr w14:val="tx1"/>
                </w14:solidFill>
              </w14:textFill>
            </w:rPr>
            <w:t>招标</w:t>
          </w:r>
          <w:r>
            <w:rPr>
              <w:rFonts w:hint="eastAsia" w:ascii="仿宋" w:hAnsi="仿宋" w:eastAsia="仿宋" w:cs="仿宋"/>
              <w:color w:val="000000" w:themeColor="text1"/>
              <w:sz w:val="28"/>
              <w:szCs w:val="28"/>
              <w:highlight w:val="none"/>
              <w14:textFill>
                <w14:solidFill>
                  <w14:schemeClr w14:val="tx1"/>
                </w14:solidFill>
              </w14:textFill>
            </w:rPr>
            <w:t>公告</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pos="8306"/>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_Toc25577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 xml:space="preserve">第二章 </w:t>
          </w:r>
          <w:r>
            <w:rPr>
              <w:rFonts w:hint="eastAsia" w:ascii="仿宋" w:hAnsi="仿宋" w:eastAsia="仿宋" w:cs="仿宋"/>
              <w:color w:val="000000" w:themeColor="text1"/>
              <w:sz w:val="28"/>
              <w:szCs w:val="28"/>
              <w:highlight w:val="none"/>
              <w:lang w:eastAsia="zh-CN"/>
              <w14:textFill>
                <w14:solidFill>
                  <w14:schemeClr w14:val="tx1"/>
                </w14:solidFill>
              </w14:textFill>
            </w:rPr>
            <w:t>投标</w:t>
          </w:r>
          <w:r>
            <w:rPr>
              <w:rFonts w:hint="eastAsia" w:ascii="仿宋" w:hAnsi="仿宋" w:eastAsia="仿宋" w:cs="仿宋"/>
              <w:color w:val="000000" w:themeColor="text1"/>
              <w:sz w:val="28"/>
              <w:szCs w:val="28"/>
              <w:highlight w:val="none"/>
              <w14:textFill>
                <w14:solidFill>
                  <w14:schemeClr w14:val="tx1"/>
                </w14:solidFill>
              </w14:textFill>
            </w:rPr>
            <w:t>须知</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pos="8306"/>
            </w:tabs>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第三章</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合同条款</w:t>
          </w:r>
        </w:p>
        <w:p>
          <w:pPr>
            <w:pStyle w:val="17"/>
            <w:tabs>
              <w:tab w:val="right" w:pos="8306"/>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_Toc4941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第四章 采购需求</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pos="8306"/>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_Toc9218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第五章 质疑及处理</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pos="8306"/>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_Toc1980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eastAsia="zh-CN"/>
              <w14:textFill>
                <w14:solidFill>
                  <w14:schemeClr w14:val="tx1"/>
                </w14:solidFill>
              </w14:textFill>
            </w:rPr>
            <w:t>第六章</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14:textFill>
                <w14:solidFill>
                  <w14:schemeClr w14:val="tx1"/>
                </w14:solidFill>
              </w14:textFill>
            </w:rPr>
            <w:t>格式</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pos="8306"/>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pStyle w:val="3"/>
            <w:tabs>
              <w:tab w:val="left" w:pos="0"/>
            </w:tabs>
            <w:autoSpaceDE w:val="0"/>
            <w:autoSpaceDN w:val="0"/>
            <w:adjustRightInd w:val="0"/>
            <w:spacing w:before="0" w:after="0" w:line="360" w:lineRule="auto"/>
            <w:outlineLvl w:val="9"/>
            <w:rPr>
              <w:rFonts w:hint="eastAsia" w:ascii="仿宋" w:hAnsi="仿宋" w:eastAsia="仿宋" w:cs="仿宋"/>
              <w:b/>
              <w:bCs/>
              <w:color w:val="000000" w:themeColor="text1"/>
              <w:kern w:val="2"/>
              <w:sz w:val="24"/>
              <w:szCs w:val="32"/>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end"/>
          </w:r>
        </w:p>
      </w:sdtContent>
    </w:sdt>
    <w:p>
      <w:pPr>
        <w:rPr>
          <w:rFonts w:hint="eastAsia" w:ascii="仿宋" w:hAnsi="仿宋" w:eastAsia="仿宋" w:cs="仿宋"/>
          <w:b/>
          <w:bCs/>
          <w:color w:val="000000" w:themeColor="text1"/>
          <w:kern w:val="2"/>
          <w:sz w:val="24"/>
          <w:szCs w:val="32"/>
          <w:highlight w:val="none"/>
          <w:lang w:val="en-US" w:eastAsia="zh-CN" w:bidi="ar-SA"/>
          <w14:textFill>
            <w14:solidFill>
              <w14:schemeClr w14:val="tx1"/>
            </w14:solidFill>
          </w14:textFill>
        </w:rPr>
      </w:pPr>
    </w:p>
    <w:p>
      <w:pPr>
        <w:pStyle w:val="5"/>
        <w:outlineLvl w:val="9"/>
        <w:rPr>
          <w:rFonts w:hint="eastAsia" w:ascii="仿宋" w:hAnsi="仿宋" w:eastAsia="仿宋" w:cs="仿宋"/>
          <w:b/>
          <w:bCs/>
          <w:color w:val="000000" w:themeColor="text1"/>
          <w:kern w:val="2"/>
          <w:sz w:val="24"/>
          <w:szCs w:val="32"/>
          <w:highlight w:val="none"/>
          <w:lang w:val="en-US" w:eastAsia="zh-CN" w:bidi="ar-SA"/>
          <w14:textFill>
            <w14:solidFill>
              <w14:schemeClr w14:val="tx1"/>
            </w14:solidFill>
          </w14:textFill>
        </w:rPr>
      </w:pPr>
    </w:p>
    <w:p>
      <w:pPr>
        <w:rPr>
          <w:rFonts w:hint="eastAsia" w:ascii="仿宋" w:hAnsi="仿宋" w:eastAsia="仿宋" w:cs="仿宋"/>
          <w:b/>
          <w:bCs/>
          <w:color w:val="000000" w:themeColor="text1"/>
          <w:kern w:val="2"/>
          <w:sz w:val="24"/>
          <w:szCs w:val="32"/>
          <w:highlight w:val="none"/>
          <w:lang w:val="en-US" w:eastAsia="zh-CN" w:bidi="ar-SA"/>
          <w14:textFill>
            <w14:solidFill>
              <w14:schemeClr w14:val="tx1"/>
            </w14:solidFill>
          </w14:textFill>
        </w:rPr>
      </w:pPr>
    </w:p>
    <w:bookmarkEnd w:id="0"/>
    <w:bookmarkEnd w:id="1"/>
    <w:bookmarkEnd w:id="2"/>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000000" w:themeColor="text1"/>
          <w:highlight w:val="none"/>
          <w:lang w:eastAsia="zh-CN"/>
          <w14:textFill>
            <w14:solidFill>
              <w14:schemeClr w14:val="tx1"/>
            </w14:solidFill>
          </w14:textFill>
        </w:rPr>
      </w:pPr>
      <w:bookmarkStart w:id="4" w:name="_Toc23939"/>
      <w:bookmarkStart w:id="5" w:name="_Toc31013"/>
    </w:p>
    <w:p>
      <w:pPr>
        <w:rPr>
          <w:rFonts w:hint="eastAsia" w:ascii="仿宋" w:hAnsi="仿宋" w:eastAsia="仿宋" w:cs="仿宋"/>
          <w:color w:val="000000" w:themeColor="text1"/>
          <w:highlight w:val="none"/>
          <w:lang w:eastAsia="zh-CN"/>
          <w14:textFill>
            <w14:solidFill>
              <w14:schemeClr w14:val="tx1"/>
            </w14:solidFill>
          </w14:textFill>
        </w:rPr>
      </w:pPr>
    </w:p>
    <w:p>
      <w:pPr>
        <w:rPr>
          <w:rFonts w:hint="eastAsia" w:ascii="仿宋" w:hAnsi="仿宋" w:eastAsia="仿宋" w:cs="仿宋"/>
          <w:color w:val="000000" w:themeColor="text1"/>
          <w:highlight w:val="none"/>
          <w:lang w:eastAsia="zh-CN"/>
          <w14:textFill>
            <w14:solidFill>
              <w14:schemeClr w14:val="tx1"/>
            </w14:solidFill>
          </w14:textFill>
        </w:rPr>
      </w:pPr>
    </w:p>
    <w:p>
      <w:pPr>
        <w:pStyle w:val="24"/>
        <w:rPr>
          <w:rFonts w:hint="eastAsia" w:ascii="仿宋" w:hAnsi="仿宋" w:eastAsia="仿宋" w:cs="仿宋"/>
          <w:color w:val="000000" w:themeColor="text1"/>
          <w:highlight w:val="none"/>
          <w:lang w:eastAsia="zh-CN"/>
          <w14:textFill>
            <w14:solidFill>
              <w14:schemeClr w14:val="tx1"/>
            </w14:solidFill>
          </w14:textFill>
        </w:rPr>
      </w:pPr>
    </w:p>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000000" w:themeColor="text1"/>
          <w:highlight w:val="none"/>
          <w:lang w:eastAsia="zh-CN"/>
          <w14:textFill>
            <w14:solidFill>
              <w14:schemeClr w14:val="tx1"/>
            </w14:solidFill>
          </w14:textFill>
        </w:rPr>
      </w:pPr>
    </w:p>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000000" w:themeColor="text1"/>
          <w:highlight w:val="none"/>
          <w:lang w:eastAsia="zh-CN"/>
          <w14:textFill>
            <w14:solidFill>
              <w14:schemeClr w14:val="tx1"/>
            </w14:solidFill>
          </w14:textFill>
        </w:rPr>
      </w:pPr>
    </w:p>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jc w:val="both"/>
        <w:textAlignment w:val="auto"/>
        <w:rPr>
          <w:rFonts w:hint="eastAsia" w:ascii="仿宋" w:hAnsi="仿宋" w:eastAsia="仿宋" w:cs="仿宋"/>
          <w:color w:val="000000" w:themeColor="text1"/>
          <w:highlight w:val="none"/>
          <w:lang w:eastAsia="zh-CN"/>
          <w14:textFill>
            <w14:solidFill>
              <w14:schemeClr w14:val="tx1"/>
            </w14:solidFill>
          </w14:textFill>
        </w:rPr>
      </w:pPr>
    </w:p>
    <w:p>
      <w:pPr>
        <w:rPr>
          <w:rFonts w:hint="eastAsia" w:ascii="仿宋" w:hAnsi="仿宋" w:eastAsia="仿宋" w:cs="仿宋"/>
          <w:color w:val="000000" w:themeColor="text1"/>
          <w:highlight w:val="none"/>
          <w:lang w:eastAsia="zh-CN"/>
          <w14:textFill>
            <w14:solidFill>
              <w14:schemeClr w14:val="tx1"/>
            </w14:solidFill>
          </w14:textFill>
        </w:rPr>
      </w:pPr>
    </w:p>
    <w:p>
      <w:pPr>
        <w:pStyle w:val="24"/>
        <w:rPr>
          <w:rFonts w:hint="eastAsia" w:ascii="仿宋" w:hAnsi="仿宋" w:eastAsia="仿宋" w:cs="仿宋"/>
          <w:color w:val="000000" w:themeColor="text1"/>
          <w:highlight w:val="none"/>
          <w:lang w:eastAsia="zh-CN"/>
          <w14:textFill>
            <w14:solidFill>
              <w14:schemeClr w14:val="tx1"/>
            </w14:solidFill>
          </w14:textFill>
        </w:rPr>
      </w:pPr>
    </w:p>
    <w:p>
      <w:pPr>
        <w:pStyle w:val="24"/>
        <w:rPr>
          <w:rFonts w:hint="eastAsia" w:ascii="仿宋" w:hAnsi="仿宋" w:eastAsia="仿宋" w:cs="仿宋"/>
          <w:color w:val="000000" w:themeColor="text1"/>
          <w:highlight w:val="none"/>
          <w:lang w:eastAsia="zh-CN"/>
          <w14:textFill>
            <w14:solidFill>
              <w14:schemeClr w14:val="tx1"/>
            </w14:solidFill>
          </w14:textFill>
        </w:rPr>
      </w:pPr>
    </w:p>
    <w:p>
      <w:pPr>
        <w:pStyle w:val="24"/>
        <w:rPr>
          <w:rFonts w:hint="eastAsia" w:ascii="仿宋" w:hAnsi="仿宋" w:eastAsia="仿宋" w:cs="仿宋"/>
          <w:color w:val="000000" w:themeColor="text1"/>
          <w:highlight w:val="none"/>
          <w:lang w:eastAsia="zh-CN"/>
          <w14:textFill>
            <w14:solidFill>
              <w14:schemeClr w14:val="tx1"/>
            </w14:solidFill>
          </w14:textFill>
        </w:rPr>
      </w:pPr>
    </w:p>
    <w:p>
      <w:pPr>
        <w:pStyle w:val="24"/>
        <w:rPr>
          <w:rFonts w:hint="eastAsia" w:ascii="仿宋" w:hAnsi="仿宋" w:eastAsia="仿宋" w:cs="仿宋"/>
          <w:color w:val="000000" w:themeColor="text1"/>
          <w:highlight w:val="none"/>
          <w:lang w:eastAsia="zh-CN"/>
          <w14:textFill>
            <w14:solidFill>
              <w14:schemeClr w14:val="tx1"/>
            </w14:solidFill>
          </w14:textFill>
        </w:rPr>
      </w:pPr>
    </w:p>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jc w:val="both"/>
        <w:textAlignment w:val="auto"/>
        <w:rPr>
          <w:rFonts w:hint="eastAsia" w:ascii="仿宋" w:hAnsi="仿宋" w:eastAsia="仿宋" w:cs="仿宋"/>
          <w:color w:val="000000" w:themeColor="text1"/>
          <w:highlight w:val="none"/>
          <w:lang w:eastAsia="zh-CN"/>
          <w14:textFill>
            <w14:solidFill>
              <w14:schemeClr w14:val="tx1"/>
            </w14:solidFill>
          </w14:textFill>
        </w:rPr>
      </w:pPr>
    </w:p>
    <w:p>
      <w:pPr>
        <w:rPr>
          <w:rFonts w:hint="eastAsia" w:ascii="仿宋" w:hAnsi="仿宋" w:eastAsia="仿宋" w:cs="仿宋"/>
          <w:color w:val="000000" w:themeColor="text1"/>
          <w:highlight w:val="none"/>
          <w:lang w:eastAsia="zh-CN"/>
          <w14:textFill>
            <w14:solidFill>
              <w14:schemeClr w14:val="tx1"/>
            </w14:solidFill>
          </w14:textFill>
        </w:rPr>
      </w:pPr>
    </w:p>
    <w:p>
      <w:pPr>
        <w:rPr>
          <w:rFonts w:hint="eastAsia" w:ascii="仿宋" w:hAnsi="仿宋" w:eastAsia="仿宋" w:cs="仿宋"/>
          <w:color w:val="000000" w:themeColor="text1"/>
          <w:highlight w:val="none"/>
          <w:lang w:eastAsia="zh-CN"/>
          <w14:textFill>
            <w14:solidFill>
              <w14:schemeClr w14:val="tx1"/>
            </w14:solidFill>
          </w14:textFill>
        </w:rPr>
      </w:pPr>
    </w:p>
    <w:bookmarkEnd w:id="3"/>
    <w:bookmarkEnd w:id="4"/>
    <w:bookmarkEnd w:id="5"/>
    <w:p>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36"/>
          <w:szCs w:val="36"/>
          <w:highlight w:val="none"/>
          <w:lang w:val="en-US" w:eastAsia="zh-CN"/>
        </w:rPr>
      </w:pPr>
      <w:bookmarkStart w:id="6" w:name="_Toc14876"/>
      <w:r>
        <w:rPr>
          <w:rFonts w:hint="eastAsia" w:ascii="宋体" w:hAnsi="宋体" w:cs="宋体"/>
          <w:b/>
          <w:bCs/>
          <w:sz w:val="36"/>
          <w:szCs w:val="36"/>
          <w:highlight w:val="none"/>
          <w:lang w:val="en-US" w:eastAsia="zh-CN"/>
        </w:rPr>
        <w:t>民丰县行政服务和公共资源交易中心采购项目</w:t>
      </w:r>
    </w:p>
    <w:p>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val="en-US" w:eastAsia="zh-CN"/>
        </w:rPr>
        <w:t>竞争性谈判公告</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民丰县行政服务和公共资源交易中心采购项目的潜在供应商应在新疆政府采购网（http://www.ccgp-xinjiang.gov.cn/）查阅本项目公告，并在该项目采购公告附件中获取采购文件，并于</w:t>
            </w:r>
            <w:r>
              <w:rPr>
                <w:rFonts w:hint="eastAsia" w:ascii="仿宋" w:hAnsi="仿宋" w:eastAsia="仿宋" w:cs="仿宋"/>
                <w:sz w:val="24"/>
                <w:highlight w:val="yellow"/>
                <w:lang w:val="en-US" w:eastAsia="zh-CN"/>
              </w:rPr>
              <w:t>5月18日11点00分</w:t>
            </w:r>
            <w:r>
              <w:rPr>
                <w:rFonts w:hint="eastAsia" w:ascii="仿宋" w:hAnsi="仿宋" w:eastAsia="仿宋" w:cs="仿宋"/>
                <w:sz w:val="24"/>
                <w:highlight w:val="none"/>
                <w:lang w:val="en-US" w:eastAsia="zh-CN"/>
              </w:rPr>
              <w:t>（北京时间）前提交响应文件。</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bookmarkStart w:id="7" w:name="_Toc35393629"/>
      <w:bookmarkStart w:id="8" w:name="_Toc35393798"/>
      <w:bookmarkStart w:id="9" w:name="_Toc28359089"/>
      <w:bookmarkStart w:id="10" w:name="_Toc2875_WPSOffice_Level2"/>
      <w:bookmarkStart w:id="11" w:name="_Toc28359012"/>
      <w:bookmarkStart w:id="12" w:name="_Toc6237"/>
      <w:r>
        <w:rPr>
          <w:rFonts w:hint="eastAsia" w:ascii="仿宋" w:hAnsi="仿宋" w:eastAsia="仿宋" w:cs="仿宋"/>
          <w:b/>
          <w:bCs/>
          <w:sz w:val="24"/>
          <w:highlight w:val="none"/>
          <w:lang w:val="en-US" w:eastAsia="zh-CN"/>
        </w:rPr>
        <w:t>一、项目基本情况</w:t>
      </w:r>
      <w:bookmarkEnd w:id="7"/>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bookmarkStart w:id="13" w:name="_Toc35393630"/>
      <w:bookmarkStart w:id="14" w:name="_Toc28359090"/>
      <w:bookmarkStart w:id="15" w:name="_Toc28359013"/>
      <w:bookmarkStart w:id="16" w:name="_Toc31877"/>
      <w:bookmarkStart w:id="17" w:name="_Toc13117_WPSOffice_Level2"/>
      <w:bookmarkStart w:id="18" w:name="_Toc35393799"/>
      <w:r>
        <w:rPr>
          <w:rFonts w:hint="eastAsia" w:ascii="仿宋" w:hAnsi="仿宋" w:eastAsia="仿宋" w:cs="仿宋"/>
          <w:b w:val="0"/>
          <w:bCs w:val="0"/>
          <w:sz w:val="24"/>
          <w:highlight w:val="none"/>
          <w:lang w:val="en-US" w:eastAsia="zh-CN"/>
        </w:rPr>
        <w:t>项目编号：</w:t>
      </w:r>
      <w:r>
        <w:rPr>
          <w:rFonts w:hint="eastAsia" w:ascii="仿宋" w:hAnsi="仿宋" w:eastAsia="仿宋" w:cs="仿宋"/>
          <w:b/>
          <w:color w:val="000000" w:themeColor="text1"/>
          <w:highlight w:val="none"/>
          <w:lang w:eastAsia="zh-CN"/>
          <w14:textFill>
            <w14:solidFill>
              <w14:schemeClr w14:val="tx1"/>
            </w14:solidFill>
          </w14:textFill>
        </w:rPr>
        <w:t>MFX-FJY-CG-001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项目名称：</w:t>
      </w:r>
      <w:r>
        <w:rPr>
          <w:rFonts w:hint="eastAsia" w:ascii="仿宋" w:hAnsi="仿宋" w:eastAsia="仿宋" w:cs="仿宋"/>
          <w:sz w:val="24"/>
          <w:highlight w:val="none"/>
          <w:lang w:val="en-US" w:eastAsia="zh-CN"/>
        </w:rPr>
        <w:t>民丰县行政服务和公共资源交易中心采购项目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采购方式：竞争性谈判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预算金额（元）:</w:t>
      </w:r>
      <w:r>
        <w:rPr>
          <w:rFonts w:hint="eastAsia" w:ascii="仿宋" w:hAnsi="仿宋" w:eastAsia="仿宋" w:cs="仿宋"/>
          <w:sz w:val="24"/>
          <w:highlight w:val="none"/>
          <w:lang w:val="en-US" w:eastAsia="zh-CN"/>
        </w:rPr>
        <w:t>610380.00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最高限价（元）:</w:t>
      </w:r>
      <w:r>
        <w:rPr>
          <w:rFonts w:hint="eastAsia" w:ascii="仿宋" w:hAnsi="仿宋" w:eastAsia="仿宋" w:cs="仿宋"/>
          <w:sz w:val="24"/>
          <w:highlight w:val="none"/>
          <w:lang w:val="en-US" w:eastAsia="zh-CN"/>
        </w:rPr>
        <w:t>610380.00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采购需求：采购政务智能化硬件设备一批（详见谈判文件）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b w:val="0"/>
          <w:bCs w:val="0"/>
          <w:sz w:val="24"/>
          <w:highlight w:val="none"/>
          <w:lang w:val="en-US" w:eastAsia="zh-CN"/>
        </w:rPr>
        <w:t>标项名称:</w:t>
      </w:r>
      <w:r>
        <w:rPr>
          <w:rFonts w:hint="eastAsia" w:ascii="仿宋" w:hAnsi="仿宋" w:eastAsia="仿宋" w:cs="仿宋"/>
          <w:sz w:val="24"/>
          <w:highlight w:val="none"/>
          <w:lang w:val="en-US" w:eastAsia="zh-CN"/>
        </w:rPr>
        <w:t>民丰县行政服务和公共资源交易中心采购项目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数量:1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预算金额（元）:</w:t>
      </w:r>
      <w:r>
        <w:rPr>
          <w:rFonts w:hint="eastAsia" w:ascii="仿宋" w:hAnsi="仿宋" w:eastAsia="仿宋" w:cs="仿宋"/>
          <w:sz w:val="24"/>
          <w:highlight w:val="none"/>
          <w:lang w:val="en-US" w:eastAsia="zh-CN"/>
        </w:rPr>
        <w:t>610380.00</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hint="default" w:ascii="仿宋" w:hAnsi="仿宋" w:eastAsia="仿宋" w:cs="仿宋"/>
          <w:sz w:val="24"/>
          <w:highlight w:val="none"/>
          <w:lang w:val="en-US" w:eastAsia="zh-CN"/>
        </w:rPr>
      </w:pPr>
      <w:r>
        <w:rPr>
          <w:rFonts w:hint="eastAsia" w:ascii="仿宋" w:hAnsi="仿宋" w:eastAsia="仿宋" w:cs="仿宋"/>
          <w:b w:val="0"/>
          <w:bCs w:val="0"/>
          <w:sz w:val="24"/>
          <w:highlight w:val="none"/>
          <w:lang w:val="en-US" w:eastAsia="zh-CN"/>
        </w:rPr>
        <w:t>简要规格描述或项目基本概况介绍、用途：采购实验室设备一批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yellow"/>
          <w:lang w:val="en-US" w:eastAsia="zh-CN"/>
        </w:rPr>
      </w:pPr>
      <w:r>
        <w:rPr>
          <w:rFonts w:hint="eastAsia" w:ascii="仿宋" w:hAnsi="仿宋" w:eastAsia="仿宋" w:cs="仿宋"/>
          <w:b w:val="0"/>
          <w:bCs w:val="0"/>
          <w:sz w:val="24"/>
          <w:highlight w:val="none"/>
          <w:lang w:val="en-US" w:eastAsia="zh-CN"/>
        </w:rPr>
        <w:t>合同履约期限：</w:t>
      </w:r>
      <w:r>
        <w:rPr>
          <w:rFonts w:hint="eastAsia" w:ascii="仿宋" w:hAnsi="仿宋" w:eastAsia="仿宋" w:cs="仿宋"/>
          <w:i w:val="0"/>
          <w:iCs w:val="0"/>
          <w:caps w:val="0"/>
          <w:color w:val="000000"/>
          <w:spacing w:val="0"/>
          <w:sz w:val="24"/>
          <w:szCs w:val="24"/>
          <w:highlight w:val="yellow"/>
        </w:rPr>
        <w:t>自合同签订</w:t>
      </w:r>
      <w:r>
        <w:rPr>
          <w:rFonts w:hint="eastAsia" w:ascii="仿宋" w:hAnsi="仿宋" w:eastAsia="仿宋" w:cs="仿宋"/>
          <w:i w:val="0"/>
          <w:iCs w:val="0"/>
          <w:caps w:val="0"/>
          <w:color w:val="000000"/>
          <w:spacing w:val="0"/>
          <w:sz w:val="24"/>
          <w:szCs w:val="24"/>
          <w:highlight w:val="yellow"/>
          <w:lang w:val="en-US" w:eastAsia="zh-CN"/>
        </w:rPr>
        <w:t>7</w:t>
      </w:r>
      <w:r>
        <w:rPr>
          <w:rFonts w:hint="eastAsia" w:ascii="仿宋" w:hAnsi="仿宋" w:eastAsia="仿宋" w:cs="仿宋"/>
          <w:i w:val="0"/>
          <w:iCs w:val="0"/>
          <w:caps w:val="0"/>
          <w:color w:val="000000"/>
          <w:spacing w:val="0"/>
          <w:sz w:val="24"/>
          <w:szCs w:val="24"/>
          <w:highlight w:val="yellow"/>
        </w:rPr>
        <w:t>天（包含采购、安装、调试、试运行，直至验收合格交付使用）</w:t>
      </w:r>
      <w:r>
        <w:rPr>
          <w:rFonts w:hint="eastAsia" w:ascii="仿宋" w:hAnsi="仿宋" w:eastAsia="仿宋" w:cs="仿宋"/>
          <w:b w:val="0"/>
          <w:bCs w:val="0"/>
          <w:sz w:val="24"/>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本项目（否）接受联合体投标。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二、申请人的资格要求：</w:t>
      </w:r>
      <w:bookmarkEnd w:id="13"/>
      <w:bookmarkEnd w:id="14"/>
      <w:bookmarkEnd w:id="15"/>
      <w:bookmarkEnd w:id="16"/>
      <w:bookmarkEnd w:id="17"/>
      <w:bookmarkEnd w:id="18"/>
    </w:p>
    <w:p>
      <w:pPr>
        <w:pStyle w:val="22"/>
        <w:keepNext w:val="0"/>
        <w:keepLines w:val="0"/>
        <w:widowControl/>
        <w:suppressLineNumbers w:val="0"/>
        <w:spacing w:before="75" w:beforeAutospacing="0" w:after="75" w:afterAutospacing="0" w:line="360" w:lineRule="auto"/>
        <w:ind w:left="0" w:right="0" w:firstLine="657" w:firstLineChars="274"/>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1.满足《中华人民共和国政府采购法》第二十二条规定；</w:t>
      </w:r>
    </w:p>
    <w:p>
      <w:pPr>
        <w:pStyle w:val="22"/>
        <w:keepNext w:val="0"/>
        <w:keepLines w:val="0"/>
        <w:widowControl/>
        <w:suppressLineNumbers w:val="0"/>
        <w:spacing w:before="75" w:beforeAutospacing="0" w:after="75" w:afterAutospacing="0" w:line="360" w:lineRule="auto"/>
        <w:ind w:left="0" w:right="0" w:firstLine="657" w:firstLineChars="274"/>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2.落实政府采购政策需满足的资格要求：</w:t>
      </w:r>
    </w:p>
    <w:p>
      <w:pPr>
        <w:pStyle w:val="22"/>
        <w:keepNext w:val="0"/>
        <w:keepLines w:val="0"/>
        <w:widowControl/>
        <w:suppressLineNumbers w:val="0"/>
        <w:spacing w:before="75" w:beforeAutospacing="0" w:after="75" w:afterAutospacing="0" w:line="360" w:lineRule="auto"/>
        <w:ind w:right="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（1）根据《政府采购促进中小企业发展管理办法》（财库﹝2020﹞46 号）。</w:t>
      </w:r>
    </w:p>
    <w:p>
      <w:pPr>
        <w:pStyle w:val="22"/>
        <w:keepNext w:val="0"/>
        <w:keepLines w:val="0"/>
        <w:widowControl/>
        <w:suppressLineNumbers w:val="0"/>
        <w:spacing w:before="75" w:beforeAutospacing="0" w:after="75" w:afterAutospacing="0" w:line="360" w:lineRule="auto"/>
        <w:ind w:right="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p>
    <w:p>
      <w:pPr>
        <w:pStyle w:val="22"/>
        <w:keepNext w:val="0"/>
        <w:keepLines w:val="0"/>
        <w:widowControl/>
        <w:suppressLineNumbers w:val="0"/>
        <w:spacing w:before="75" w:beforeAutospacing="0" w:after="75" w:afterAutospacing="0" w:line="360" w:lineRule="auto"/>
        <w:ind w:right="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（3）《财政部发展改革委生态环境部市场监管总局关于调整优化节能产品、环境标志产品政府采购执行机制的通知》（财库〔2019〕9号）</w:t>
      </w:r>
      <w:r>
        <w:rPr>
          <w:rFonts w:hint="eastAsia" w:ascii="仿宋" w:hAnsi="仿宋" w:eastAsia="仿宋" w:cs="仿宋"/>
          <w:i w:val="0"/>
          <w:iCs w:val="0"/>
          <w:caps w:val="0"/>
          <w:color w:val="000000"/>
          <w:spacing w:val="0"/>
          <w:sz w:val="24"/>
          <w:szCs w:val="24"/>
          <w:highlight w:val="none"/>
          <w:lang w:eastAsia="zh-CN"/>
        </w:rPr>
        <w:t>。</w:t>
      </w:r>
    </w:p>
    <w:p>
      <w:pPr>
        <w:pStyle w:val="22"/>
        <w:keepNext w:val="0"/>
        <w:keepLines w:val="0"/>
        <w:widowControl/>
        <w:suppressLineNumbers w:val="0"/>
        <w:spacing w:before="75" w:beforeAutospacing="0" w:after="75" w:afterAutospacing="0" w:line="360" w:lineRule="auto"/>
        <w:ind w:left="0" w:leftChars="0" w:right="0" w:firstLine="480" w:firstLineChars="2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3.本项目的特定资格要求：</w:t>
      </w:r>
    </w:p>
    <w:p>
      <w:pPr>
        <w:pStyle w:val="22"/>
        <w:keepNext w:val="0"/>
        <w:keepLines w:val="0"/>
        <w:widowControl/>
        <w:suppressLineNumbers w:val="0"/>
        <w:spacing w:before="75" w:beforeAutospacing="0" w:after="75" w:afterAutospacing="0" w:line="36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（1）供应商须具备有效的营业执照；</w:t>
      </w:r>
    </w:p>
    <w:p>
      <w:pPr>
        <w:pStyle w:val="22"/>
        <w:keepNext w:val="0"/>
        <w:keepLines w:val="0"/>
        <w:widowControl/>
        <w:suppressLineNumbers w:val="0"/>
        <w:spacing w:before="75" w:beforeAutospacing="0" w:after="75" w:afterAutospacing="0" w:line="36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）法定代表人投标需携带法定代表人证明书及法定代表人身份证（原件），委托代理人投标需携带法定代表人授权委托书及委托代理人身份证（原件）；需提供公司近三个月社保证明（缴费凭证，个人明细）。；</w:t>
      </w:r>
    </w:p>
    <w:p>
      <w:pPr>
        <w:pStyle w:val="22"/>
        <w:keepNext w:val="0"/>
        <w:keepLines w:val="0"/>
        <w:widowControl/>
        <w:suppressLineNumbers w:val="0"/>
        <w:spacing w:before="75" w:beforeAutospacing="0" w:after="75" w:afterAutospacing="0" w:line="36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3</w:t>
      </w:r>
      <w:r>
        <w:rPr>
          <w:rFonts w:hint="eastAsia" w:ascii="仿宋" w:hAnsi="仿宋" w:eastAsia="仿宋" w:cs="仿宋"/>
          <w:i w:val="0"/>
          <w:iCs w:val="0"/>
          <w:caps w:val="0"/>
          <w:color w:val="000000"/>
          <w:spacing w:val="0"/>
          <w:sz w:val="24"/>
          <w:szCs w:val="24"/>
          <w:highlight w:val="none"/>
        </w:rPr>
        <w:t>）具有良好的商业信誉和健全的财务会计制度（需提供会计事务所出具2020或2021年度财务审计报告，2021年10月份后成立的公司可不提供但需提供银行出具的近三个月的资信证明原件；如已完成2021年度财务审计报告应提供最新一年度财务审计报告）。</w:t>
      </w:r>
    </w:p>
    <w:p>
      <w:pPr>
        <w:pStyle w:val="22"/>
        <w:keepNext w:val="0"/>
        <w:keepLines w:val="0"/>
        <w:widowControl/>
        <w:suppressLineNumbers w:val="0"/>
        <w:spacing w:before="75" w:beforeAutospacing="0" w:after="75" w:afterAutospacing="0" w:line="36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4</w:t>
      </w:r>
      <w:r>
        <w:rPr>
          <w:rFonts w:hint="eastAsia" w:ascii="仿宋" w:hAnsi="仿宋" w:eastAsia="仿宋" w:cs="仿宋"/>
          <w:i w:val="0"/>
          <w:iCs w:val="0"/>
          <w:caps w:val="0"/>
          <w:color w:val="000000"/>
          <w:spacing w:val="0"/>
          <w:sz w:val="24"/>
          <w:szCs w:val="24"/>
          <w:highlight w:val="none"/>
        </w:rPr>
        <w:t>）提供税务机关出具近三个月的完税证明，以填发日期为准。（新成立公司按实际发生提供）。</w:t>
      </w:r>
    </w:p>
    <w:p>
      <w:pPr>
        <w:pStyle w:val="22"/>
        <w:keepNext w:val="0"/>
        <w:keepLines w:val="0"/>
        <w:widowControl/>
        <w:suppressLineNumbers w:val="0"/>
        <w:spacing w:before="75" w:beforeAutospacing="0" w:after="75" w:afterAutospacing="0" w:line="36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5</w:t>
      </w:r>
      <w:r>
        <w:rPr>
          <w:rFonts w:hint="eastAsia" w:ascii="仿宋" w:hAnsi="仿宋" w:eastAsia="仿宋" w:cs="仿宋"/>
          <w:i w:val="0"/>
          <w:iCs w:val="0"/>
          <w:caps w:val="0"/>
          <w:color w:val="000000"/>
          <w:spacing w:val="0"/>
          <w:sz w:val="24"/>
          <w:szCs w:val="24"/>
          <w:highlight w:val="none"/>
        </w:rPr>
        <w:t>）凡拟参加本次采购项目的投标企业如在“信用中国”网站(www.creditchina.gov.cn)被列入失信被执行人、重大税收违法案件当事人名单、政府采购严重违法失信行为记录名单的、中国政府釆购网(www.ccgp.gov.cn)政府采购严重违法失信行为记录名单的、国家企业信用信息公示系统(www.gsxt.gov.cn)经营异常名录的，将拒绝其参与本次政府釆购活动；（开标现场查询）；</w:t>
      </w:r>
    </w:p>
    <w:p>
      <w:pPr>
        <w:pStyle w:val="22"/>
        <w:keepNext w:val="0"/>
        <w:keepLines w:val="0"/>
        <w:widowControl/>
        <w:suppressLineNumbers w:val="0"/>
        <w:spacing w:before="75" w:beforeAutospacing="0" w:after="75" w:afterAutospacing="0" w:line="36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6</w:t>
      </w:r>
      <w:r>
        <w:rPr>
          <w:rFonts w:hint="eastAsia" w:ascii="仿宋" w:hAnsi="仿宋" w:eastAsia="仿宋" w:cs="仿宋"/>
          <w:i w:val="0"/>
          <w:iCs w:val="0"/>
          <w:caps w:val="0"/>
          <w:color w:val="000000"/>
          <w:spacing w:val="0"/>
          <w:sz w:val="24"/>
          <w:szCs w:val="24"/>
          <w:highlight w:val="none"/>
        </w:rPr>
        <w:t>）单位负责人为同一人或者存在控股、管理关系的不同供应商，不得参加同一合同项目下的政府采购活动；</w:t>
      </w:r>
    </w:p>
    <w:p>
      <w:pPr>
        <w:keepNext w:val="0"/>
        <w:keepLines w:val="0"/>
        <w:pageBreakBefore w:val="0"/>
        <w:widowControl w:val="0"/>
        <w:kinsoku/>
        <w:wordWrap/>
        <w:overflowPunct/>
        <w:topLinePunct w:val="0"/>
        <w:autoSpaceDE/>
        <w:autoSpaceDN/>
        <w:bidi w:val="0"/>
        <w:adjustRightInd w:val="0"/>
        <w:snapToGrid w:val="0"/>
        <w:spacing w:line="360" w:lineRule="auto"/>
        <w:ind w:left="550" w:leftChars="229" w:firstLine="0" w:firstLineChars="0"/>
        <w:textAlignment w:val="auto"/>
        <w:rPr>
          <w:rFonts w:ascii="仿宋" w:hAnsi="仿宋" w:eastAsia="仿宋" w:cs="仿宋"/>
          <w:b/>
          <w:bCs/>
          <w:color w:val="auto"/>
          <w:sz w:val="24"/>
          <w:highlight w:val="none"/>
        </w:rPr>
      </w:pPr>
      <w:r>
        <w:rPr>
          <w:rFonts w:hint="eastAsia" w:ascii="仿宋" w:hAnsi="仿宋" w:eastAsia="仿宋" w:cs="仿宋"/>
          <w:b/>
          <w:bCs/>
          <w:sz w:val="24"/>
          <w:highlight w:val="none"/>
          <w:lang w:eastAsia="zh-CN"/>
        </w:rPr>
        <w:t>三</w:t>
      </w:r>
      <w:r>
        <w:rPr>
          <w:rFonts w:hint="eastAsia" w:ascii="仿宋" w:hAnsi="仿宋" w:eastAsia="仿宋" w:cs="仿宋"/>
          <w:b/>
          <w:bCs/>
          <w:sz w:val="24"/>
          <w:highlight w:val="none"/>
        </w:rPr>
        <w:t>、获</w:t>
      </w:r>
      <w:r>
        <w:rPr>
          <w:rFonts w:hint="eastAsia" w:ascii="仿宋" w:hAnsi="仿宋" w:eastAsia="仿宋" w:cs="仿宋"/>
          <w:b/>
          <w:bCs/>
          <w:color w:val="auto"/>
          <w:sz w:val="24"/>
          <w:highlight w:val="none"/>
        </w:rPr>
        <w:t>取</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highlight w:val="yellow"/>
          <w:lang w:val="en-US" w:eastAsia="zh-CN"/>
        </w:rPr>
      </w:pPr>
      <w:r>
        <w:rPr>
          <w:rFonts w:hint="default" w:ascii="仿宋" w:hAnsi="仿宋" w:eastAsia="仿宋" w:cs="仿宋"/>
          <w:color w:val="auto"/>
          <w:sz w:val="24"/>
          <w:highlight w:val="none"/>
          <w:lang w:val="en-US" w:eastAsia="zh-CN"/>
        </w:rPr>
        <w:t>时间</w:t>
      </w:r>
      <w:r>
        <w:rPr>
          <w:rFonts w:hint="default" w:ascii="仿宋" w:hAnsi="仿宋" w:eastAsia="仿宋" w:cs="仿宋"/>
          <w:color w:val="auto"/>
          <w:sz w:val="24"/>
          <w:highlight w:val="yellow"/>
          <w:lang w:val="en-US" w:eastAsia="zh-CN"/>
        </w:rPr>
        <w:t>：</w:t>
      </w:r>
      <w:r>
        <w:rPr>
          <w:rFonts w:hint="eastAsia" w:ascii="仿宋" w:hAnsi="仿宋" w:eastAsia="仿宋" w:cs="仿宋"/>
          <w:color w:val="auto"/>
          <w:sz w:val="24"/>
          <w:highlight w:val="yellow"/>
          <w:lang w:val="en-US" w:eastAsia="zh-CN"/>
        </w:rPr>
        <w:t>2022年5月13日</w:t>
      </w:r>
      <w:r>
        <w:rPr>
          <w:rFonts w:hint="default" w:ascii="仿宋" w:hAnsi="仿宋" w:eastAsia="仿宋" w:cs="仿宋"/>
          <w:color w:val="auto"/>
          <w:sz w:val="24"/>
          <w:highlight w:val="yellow"/>
          <w:lang w:val="en-US" w:eastAsia="zh-CN"/>
        </w:rPr>
        <w:t>至</w:t>
      </w:r>
      <w:r>
        <w:rPr>
          <w:rFonts w:hint="eastAsia" w:ascii="仿宋" w:hAnsi="仿宋" w:eastAsia="仿宋" w:cs="仿宋"/>
          <w:color w:val="auto"/>
          <w:sz w:val="24"/>
          <w:highlight w:val="yellow"/>
          <w:lang w:val="en-US" w:eastAsia="zh-CN"/>
        </w:rPr>
        <w:t>2022年5月17日</w:t>
      </w:r>
      <w:r>
        <w:rPr>
          <w:rFonts w:hint="default" w:ascii="仿宋" w:hAnsi="仿宋" w:eastAsia="仿宋" w:cs="仿宋"/>
          <w:color w:val="auto"/>
          <w:sz w:val="24"/>
          <w:highlight w:val="yellow"/>
          <w:lang w:val="en-US" w:eastAsia="zh-CN"/>
        </w:rPr>
        <w:t>，每天上午</w:t>
      </w:r>
      <w:r>
        <w:rPr>
          <w:rFonts w:hint="eastAsia" w:ascii="仿宋" w:hAnsi="仿宋" w:eastAsia="仿宋" w:cs="仿宋"/>
          <w:color w:val="auto"/>
          <w:sz w:val="24"/>
          <w:highlight w:val="yellow"/>
          <w:lang w:val="en-US" w:eastAsia="zh-CN"/>
        </w:rPr>
        <w:t>00:00</w:t>
      </w:r>
      <w:r>
        <w:rPr>
          <w:rFonts w:hint="default" w:ascii="仿宋" w:hAnsi="仿宋" w:eastAsia="仿宋" w:cs="仿宋"/>
          <w:color w:val="auto"/>
          <w:sz w:val="24"/>
          <w:highlight w:val="yellow"/>
          <w:lang w:val="en-US" w:eastAsia="zh-CN"/>
        </w:rPr>
        <w:t>至12:00，下午</w:t>
      </w:r>
      <w:r>
        <w:rPr>
          <w:rFonts w:hint="eastAsia" w:ascii="仿宋" w:hAnsi="仿宋" w:eastAsia="仿宋" w:cs="仿宋"/>
          <w:color w:val="auto"/>
          <w:sz w:val="24"/>
          <w:highlight w:val="yellow"/>
          <w:lang w:val="en-US" w:eastAsia="zh-CN"/>
        </w:rPr>
        <w:t>12</w:t>
      </w:r>
      <w:r>
        <w:rPr>
          <w:rFonts w:hint="default" w:ascii="仿宋" w:hAnsi="仿宋" w:eastAsia="仿宋" w:cs="仿宋"/>
          <w:color w:val="auto"/>
          <w:sz w:val="24"/>
          <w:highlight w:val="yellow"/>
          <w:lang w:val="en-US" w:eastAsia="zh-CN"/>
        </w:rPr>
        <w:t>:00至</w:t>
      </w:r>
      <w:r>
        <w:rPr>
          <w:rFonts w:hint="eastAsia" w:ascii="仿宋" w:hAnsi="仿宋" w:eastAsia="仿宋" w:cs="仿宋"/>
          <w:color w:val="auto"/>
          <w:sz w:val="24"/>
          <w:highlight w:val="yellow"/>
          <w:lang w:val="en-US" w:eastAsia="zh-CN"/>
        </w:rPr>
        <w:t>23</w:t>
      </w:r>
      <w:r>
        <w:rPr>
          <w:rFonts w:hint="default" w:ascii="仿宋" w:hAnsi="仿宋" w:eastAsia="仿宋" w:cs="仿宋"/>
          <w:color w:val="auto"/>
          <w:sz w:val="24"/>
          <w:highlight w:val="yellow"/>
          <w:lang w:val="en-US" w:eastAsia="zh-CN"/>
        </w:rPr>
        <w:t>:</w:t>
      </w:r>
      <w:r>
        <w:rPr>
          <w:rFonts w:hint="eastAsia" w:ascii="仿宋" w:hAnsi="仿宋" w:eastAsia="仿宋" w:cs="仿宋"/>
          <w:color w:val="auto"/>
          <w:sz w:val="24"/>
          <w:highlight w:val="yellow"/>
          <w:lang w:val="en-US" w:eastAsia="zh-CN"/>
        </w:rPr>
        <w:t>59</w:t>
      </w:r>
      <w:r>
        <w:rPr>
          <w:rFonts w:hint="default" w:ascii="仿宋" w:hAnsi="仿宋" w:eastAsia="仿宋" w:cs="仿宋"/>
          <w:color w:val="auto"/>
          <w:sz w:val="24"/>
          <w:highlight w:val="yellow"/>
          <w:lang w:val="en-US" w:eastAsia="zh-CN"/>
        </w:rPr>
        <w:t>（北京时间，法定节假日除外）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地点：新疆政府采购网</w:t>
      </w:r>
      <w:r>
        <w:rPr>
          <w:rFonts w:hint="eastAsia" w:ascii="仿宋" w:hAnsi="仿宋" w:eastAsia="仿宋" w:cs="仿宋"/>
          <w:color w:val="auto"/>
          <w:sz w:val="24"/>
          <w:highlight w:val="none"/>
          <w:lang w:val="en-US" w:eastAsia="zh-CN"/>
        </w:rPr>
        <w:t>下载（http://www.cc</w:t>
      </w:r>
      <w:r>
        <w:rPr>
          <w:rFonts w:hint="eastAsia" w:ascii="仿宋" w:hAnsi="仿宋" w:eastAsia="仿宋" w:cs="仿宋"/>
          <w:sz w:val="24"/>
          <w:highlight w:val="none"/>
          <w:lang w:val="en-US" w:eastAsia="zh-CN"/>
        </w:rPr>
        <w:t>gp-xinjiang.gov.cn/)</w:t>
      </w:r>
    </w:p>
    <w:p>
      <w:pPr>
        <w:pStyle w:val="22"/>
        <w:keepNext w:val="0"/>
        <w:keepLines w:val="0"/>
        <w:widowControl/>
        <w:suppressLineNumbers w:val="0"/>
        <w:spacing w:before="75" w:beforeAutospacing="0" w:after="75" w:afterAutospacing="0" w:line="360" w:lineRule="auto"/>
        <w:ind w:left="0" w:right="0" w:firstLine="240" w:firstLineChars="100"/>
        <w:rPr>
          <w:rFonts w:hint="eastAsia" w:ascii="仿宋" w:hAnsi="仿宋" w:eastAsia="仿宋" w:cs="仿宋"/>
          <w:sz w:val="24"/>
          <w:highlight w:val="none"/>
          <w:lang w:val="en-US" w:eastAsia="zh-CN"/>
        </w:rPr>
      </w:pPr>
      <w:r>
        <w:rPr>
          <w:rFonts w:hint="eastAsia" w:ascii="仿宋" w:hAnsi="仿宋" w:eastAsia="仿宋" w:cs="仿宋"/>
          <w:color w:val="auto"/>
          <w:sz w:val="24"/>
          <w:highlight w:val="none"/>
          <w:lang w:val="en-US" w:eastAsia="zh-CN"/>
        </w:rPr>
        <w:t>方式：</w:t>
      </w:r>
      <w:r>
        <w:rPr>
          <w:rFonts w:hint="eastAsia" w:ascii="仿宋" w:hAnsi="仿宋" w:eastAsia="仿宋" w:cs="仿宋"/>
          <w:i w:val="0"/>
          <w:iCs w:val="0"/>
          <w:caps w:val="0"/>
          <w:color w:val="000000"/>
          <w:spacing w:val="0"/>
          <w:sz w:val="24"/>
          <w:szCs w:val="24"/>
          <w:highlight w:val="none"/>
        </w:rPr>
        <w:t>供应商企业自行登录新疆政府采购网官网（http://www.ccgp-xinjiang.gov.cn/），首页点击“采购公告”，进入项目公告中自行下载</w:t>
      </w:r>
      <w:r>
        <w:rPr>
          <w:rFonts w:hint="eastAsia" w:ascii="仿宋" w:hAnsi="仿宋" w:eastAsia="仿宋" w:cs="仿宋"/>
          <w:i w:val="0"/>
          <w:iCs w:val="0"/>
          <w:caps w:val="0"/>
          <w:color w:val="000000"/>
          <w:spacing w:val="0"/>
          <w:sz w:val="24"/>
          <w:szCs w:val="24"/>
          <w:highlight w:val="none"/>
          <w:lang w:val="en-US" w:eastAsia="zh-CN"/>
        </w:rPr>
        <w:t>磋商</w:t>
      </w:r>
      <w:r>
        <w:rPr>
          <w:rFonts w:hint="eastAsia" w:ascii="仿宋" w:hAnsi="仿宋" w:eastAsia="仿宋" w:cs="仿宋"/>
          <w:i w:val="0"/>
          <w:iCs w:val="0"/>
          <w:caps w:val="0"/>
          <w:color w:val="000000"/>
          <w:spacing w:val="0"/>
          <w:sz w:val="24"/>
          <w:szCs w:val="24"/>
          <w:highlight w:val="none"/>
        </w:rPr>
        <w:t>文件并参与投标。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售价（元）：</w:t>
      </w:r>
      <w:r>
        <w:rPr>
          <w:rFonts w:hint="eastAsia" w:ascii="仿宋" w:hAnsi="仿宋" w:eastAsia="仿宋" w:cs="仿宋"/>
          <w:sz w:val="24"/>
          <w:highlight w:val="none"/>
          <w:lang w:val="en-US" w:eastAsia="zh-CN"/>
        </w:rPr>
        <w:t>0</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截止时间：</w:t>
      </w:r>
      <w:r>
        <w:rPr>
          <w:rFonts w:hint="eastAsia" w:ascii="仿宋" w:hAnsi="仿宋" w:eastAsia="仿宋" w:cs="仿宋"/>
          <w:color w:val="auto"/>
          <w:sz w:val="24"/>
          <w:highlight w:val="none"/>
          <w:lang w:val="en-US" w:eastAsia="zh-CN"/>
        </w:rPr>
        <w:t>2022年5月18日11：00（北京时间）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w:t>
      </w:r>
      <w:r>
        <w:rPr>
          <w:rFonts w:hint="eastAsia" w:ascii="仿宋" w:hAnsi="仿宋" w:eastAsia="仿宋" w:cs="仿宋"/>
          <w:color w:val="auto"/>
          <w:sz w:val="24"/>
          <w:highlight w:val="none"/>
          <w:lang w:val="en-US" w:eastAsia="zh-CN"/>
        </w:rPr>
        <w:t>民丰县行政服务和公共资源交易中心（民丰县买迪尼也提东路7号）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响应文件开启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开启时间：2022年5月18日11：00（北京时间）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w:t>
      </w:r>
      <w:r>
        <w:rPr>
          <w:rFonts w:hint="eastAsia" w:ascii="仿宋" w:hAnsi="仿宋" w:eastAsia="仿宋" w:cs="仿宋"/>
          <w:color w:val="auto"/>
          <w:sz w:val="24"/>
          <w:highlight w:val="none"/>
          <w:lang w:val="en-US" w:eastAsia="zh-CN"/>
        </w:rPr>
        <w:t>民丰县行政服务和公共资源交易中心（民丰县买迪尼也提东路7号）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0" w:leftChars="0" w:firstLine="482" w:firstLineChars="2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公告期限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80" w:leftChars="200" w:firstLine="0" w:firstLineChars="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自本公告发布之日起</w:t>
      </w:r>
      <w:r>
        <w:rPr>
          <w:rFonts w:hint="eastAsia" w:ascii="仿宋" w:hAnsi="仿宋" w:eastAsia="仿宋" w:cs="仿宋"/>
          <w:sz w:val="24"/>
          <w:highlight w:val="none"/>
          <w:lang w:val="en-US" w:eastAsia="zh-CN"/>
        </w:rPr>
        <w:t>3</w:t>
      </w:r>
      <w:r>
        <w:rPr>
          <w:rFonts w:hint="default" w:ascii="仿宋" w:hAnsi="仿宋" w:eastAsia="仿宋" w:cs="仿宋"/>
          <w:sz w:val="24"/>
          <w:highlight w:val="none"/>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七、其他补充事宜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无</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八、凡对本次招标提出询问，请按以下方式联系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采购人名称：民丰县行政服务和公共资源交易中心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联系电话：0903-6751900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采购代理机构名称：新疆沣疆源工程咨询有限责任公司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联系电话：0903-2520096</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地址：和田市人民路18号玉都国际广场银座8楼805室</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pStyle w:val="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投标人须知前附表</w:t>
      </w:r>
      <w:bookmarkEnd w:id="6"/>
    </w:p>
    <w:tbl>
      <w:tblPr>
        <w:tblStyle w:val="25"/>
        <w:tblW w:w="948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9"/>
        <w:gridCol w:w="2678"/>
        <w:gridCol w:w="60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条款号</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条款名称</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民丰县行政服务和公共资源交易中心采购项目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采购内容</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b w:val="0"/>
                <w:bCs w:val="0"/>
                <w:sz w:val="24"/>
                <w:highlight w:val="none"/>
                <w:lang w:val="en-US" w:eastAsia="zh-CN"/>
              </w:rPr>
              <w:t>采购政务智能化硬件设备一批</w:t>
            </w:r>
            <w:r>
              <w:rPr>
                <w:rFonts w:hint="eastAsia" w:ascii="仿宋" w:hAnsi="仿宋" w:eastAsia="仿宋" w:cs="仿宋"/>
                <w:color w:val="000000" w:themeColor="text1"/>
                <w:sz w:val="24"/>
                <w:szCs w:val="24"/>
                <w:highlight w:val="none"/>
                <w:lang w:val="en-US" w:eastAsia="zh-CN"/>
                <w14:textFill>
                  <w14:solidFill>
                    <w14:schemeClr w14:val="tx1"/>
                  </w14:solidFill>
                </w14:textFill>
              </w:rPr>
              <w:t>（具体要求详见竞争性谈判文件）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采购方式</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竞争性谈判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交货地点</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供货</w:t>
            </w:r>
            <w:r>
              <w:rPr>
                <w:rFonts w:hint="eastAsia" w:ascii="仿宋" w:hAnsi="仿宋" w:eastAsia="仿宋" w:cs="仿宋"/>
                <w:color w:val="000000" w:themeColor="text1"/>
                <w:sz w:val="24"/>
                <w:szCs w:val="24"/>
                <w:highlight w:val="none"/>
                <w14:textFill>
                  <w14:solidFill>
                    <w14:schemeClr w14:val="tx1"/>
                  </w14:solidFill>
                </w14:textFill>
              </w:rPr>
              <w:t>期</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质保金</w:t>
            </w:r>
            <w:r>
              <w:rPr>
                <w:rFonts w:hint="eastAsia" w:ascii="仿宋" w:hAnsi="仿宋" w:eastAsia="仿宋" w:cs="仿宋"/>
                <w:color w:val="000000" w:themeColor="text1"/>
                <w:sz w:val="24"/>
                <w:szCs w:val="24"/>
                <w:highlight w:val="none"/>
                <w:lang w:val="en-US" w:eastAsia="zh-CN"/>
                <w14:textFill>
                  <w14:solidFill>
                    <w14:schemeClr w14:val="tx1"/>
                  </w14:solidFill>
                </w14:textFill>
              </w:rPr>
              <w:t>/质保期</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sz w:val="24"/>
                <w:szCs w:val="24"/>
                <w:highlight w:val="yellow"/>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供货期：</w:t>
            </w:r>
            <w:r>
              <w:rPr>
                <w:rFonts w:hint="eastAsia" w:ascii="仿宋" w:hAnsi="仿宋" w:eastAsia="仿宋" w:cs="仿宋"/>
                <w:i w:val="0"/>
                <w:iCs w:val="0"/>
                <w:caps w:val="0"/>
                <w:color w:val="000000"/>
                <w:spacing w:val="0"/>
                <w:sz w:val="24"/>
                <w:szCs w:val="24"/>
                <w:highlight w:val="yellow"/>
              </w:rPr>
              <w:t>自合同签订</w:t>
            </w:r>
            <w:r>
              <w:rPr>
                <w:rFonts w:hint="eastAsia" w:ascii="仿宋" w:hAnsi="仿宋" w:eastAsia="仿宋" w:cs="仿宋"/>
                <w:i w:val="0"/>
                <w:iCs w:val="0"/>
                <w:caps w:val="0"/>
                <w:color w:val="000000"/>
                <w:spacing w:val="0"/>
                <w:sz w:val="24"/>
                <w:szCs w:val="24"/>
                <w:highlight w:val="yellow"/>
                <w:lang w:val="en-US" w:eastAsia="zh-CN"/>
              </w:rPr>
              <w:t>7</w:t>
            </w:r>
            <w:r>
              <w:rPr>
                <w:rFonts w:hint="eastAsia" w:ascii="仿宋" w:hAnsi="仿宋" w:eastAsia="仿宋" w:cs="仿宋"/>
                <w:i w:val="0"/>
                <w:iCs w:val="0"/>
                <w:caps w:val="0"/>
                <w:color w:val="000000"/>
                <w:spacing w:val="0"/>
                <w:sz w:val="24"/>
                <w:szCs w:val="24"/>
                <w:highlight w:val="yellow"/>
              </w:rPr>
              <w:t>天（包含采购、安装、调试、试运行，直至验收合格交付使用）</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质量要求：合格。</w:t>
            </w:r>
          </w:p>
          <w:p>
            <w:pPr>
              <w:keepNext w:val="0"/>
              <w:keepLines w:val="0"/>
              <w:pageBreakBefore w:val="0"/>
              <w:kinsoku/>
              <w:wordWrap/>
              <w:overflowPunct/>
              <w:topLinePunct w:val="0"/>
              <w:bidi w:val="0"/>
              <w:adjustRightInd w:val="0"/>
              <w:snapToGrid w:val="0"/>
              <w:spacing w:line="336" w:lineRule="auto"/>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质保金：中标金额的5%。</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质保期：自验收合格之日起1年。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名  称：</w:t>
            </w:r>
            <w:r>
              <w:rPr>
                <w:rFonts w:hint="eastAsia" w:ascii="仿宋" w:hAnsi="仿宋" w:eastAsia="仿宋" w:cs="仿宋"/>
                <w:sz w:val="24"/>
                <w:szCs w:val="24"/>
                <w:u w:val="none"/>
                <w:lang w:eastAsia="zh-CN"/>
              </w:rPr>
              <w:t>民丰县行政服务和公共资源交易中心</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联系人：</w:t>
            </w:r>
            <w:r>
              <w:rPr>
                <w:rFonts w:hint="eastAsia" w:ascii="仿宋" w:hAnsi="仿宋" w:eastAsia="仿宋" w:cs="仿宋"/>
                <w:color w:val="000000" w:themeColor="text1"/>
                <w:sz w:val="24"/>
                <w:szCs w:val="24"/>
                <w:highlight w:val="none"/>
                <w:u w:val="none"/>
                <w:lang w:eastAsia="zh-CN"/>
                <w14:textFill>
                  <w14:solidFill>
                    <w14:schemeClr w14:val="tx1"/>
                  </w14:solidFill>
                </w14:textFill>
              </w:rPr>
              <w:t>艾麦提江</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 xml:space="preserve">联系电话: </w:t>
            </w:r>
            <w:r>
              <w:rPr>
                <w:rFonts w:hint="eastAsia" w:ascii="仿宋" w:hAnsi="仿宋" w:eastAsia="仿宋" w:cs="仿宋"/>
                <w:sz w:val="24"/>
                <w:szCs w:val="24"/>
                <w:u w:val="none"/>
                <w:lang w:val="en-US" w:eastAsia="zh-CN"/>
              </w:rPr>
              <w:t>0903-6751900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招标代理机构：</w:t>
            </w:r>
            <w:r>
              <w:rPr>
                <w:rFonts w:hint="eastAsia" w:ascii="仿宋" w:hAnsi="仿宋" w:eastAsia="仿宋" w:cs="仿宋"/>
                <w:color w:val="000000" w:themeColor="text1"/>
                <w:sz w:val="24"/>
                <w:szCs w:val="24"/>
                <w:highlight w:val="none"/>
                <w:lang w:eastAsia="zh-CN"/>
                <w14:textFill>
                  <w14:solidFill>
                    <w14:schemeClr w14:val="tx1"/>
                  </w14:solidFill>
                </w14:textFill>
              </w:rPr>
              <w:t>新疆沣疆源工程咨询有限责任公司</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r>
              <w:rPr>
                <w:rFonts w:hint="eastAsia" w:ascii="仿宋" w:hAnsi="仿宋" w:eastAsia="仿宋" w:cs="仿宋"/>
                <w:color w:val="000000" w:themeColor="text1"/>
                <w:sz w:val="24"/>
                <w:szCs w:val="24"/>
                <w:highlight w:val="none"/>
                <w:lang w:eastAsia="zh-CN"/>
                <w14:textFill>
                  <w14:solidFill>
                    <w14:schemeClr w14:val="tx1"/>
                  </w14:solidFill>
                </w14:textFill>
              </w:rPr>
              <w:t>代娜</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lang w:eastAsia="zh-CN"/>
                <w14:textFill>
                  <w14:solidFill>
                    <w14:schemeClr w14:val="tx1"/>
                  </w14:solidFill>
                </w14:textFill>
              </w:rPr>
              <w:t>0903-2520096</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详细地址：</w:t>
            </w:r>
            <w:r>
              <w:rPr>
                <w:rFonts w:hint="eastAsia" w:ascii="仿宋" w:hAnsi="仿宋" w:eastAsia="仿宋" w:cs="仿宋"/>
                <w:color w:val="000000" w:themeColor="text1"/>
                <w:sz w:val="24"/>
                <w:szCs w:val="24"/>
                <w:highlight w:val="none"/>
                <w:lang w:eastAsia="zh-CN"/>
                <w14:textFill>
                  <w14:solidFill>
                    <w14:schemeClr w14:val="tx1"/>
                  </w14:solidFill>
                </w14:textFill>
              </w:rPr>
              <w:t>和田市玉都国际广场银座8楼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投标人资格条件</w:t>
            </w:r>
          </w:p>
        </w:tc>
        <w:tc>
          <w:tcPr>
            <w:tcW w:w="6026" w:type="dxa"/>
            <w:noWrap w:val="0"/>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36" w:lineRule="auto"/>
              <w:ind w:right="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1.满足《中华人民共和国政府采购法》第二十二条规定；</w:t>
            </w: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36" w:lineRule="auto"/>
              <w:ind w:right="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2.落实政府采购政策需满足的资格要求：</w:t>
            </w: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36" w:lineRule="auto"/>
              <w:ind w:right="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（1）根据《政府采购促进中小企业发展管理办法》（财库﹝2020﹞46 号）。</w:t>
            </w: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36" w:lineRule="auto"/>
              <w:ind w:right="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36" w:lineRule="auto"/>
              <w:ind w:right="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（3）《财政部发展改革委生态环境部市场监管总局关于调整优化节能产品、环境标志产品政府采购执行机制的通知》（财库〔2019〕9号）</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 </w:t>
            </w: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36" w:lineRule="auto"/>
              <w:ind w:right="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3.本项目的特定资格要求：</w:t>
            </w: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36" w:lineRule="auto"/>
              <w:ind w:right="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（1）供应商须具备有效的营业执照；</w:t>
            </w: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36" w:lineRule="auto"/>
              <w:ind w:right="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）法定代表人投标需携带法定代表人证明书及法定代表人身份证（原件），委托代理人投标需携带法定代表人授权委托书及委托代理人身份证（原件）；需提供公司近三个月社保证明（缴费凭证，个人明细）。；</w:t>
            </w: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36" w:lineRule="auto"/>
              <w:ind w:right="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14:textFill>
                  <w14:solidFill>
                    <w14:schemeClr w14:val="tx1"/>
                  </w14:solidFill>
                </w14:textFill>
              </w:rPr>
              <w:t>）具有良好的商业信誉和健全的财务会计制度（需提供会计事务所出具2020或2021年度财务审计报告，2021年10月份后成立的公司可不提供但需提供银行出具的近三个月的资信证明原件；如已完成2021年度财务审计报告应提供最新一年度财务审计报告）。</w:t>
            </w: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36" w:lineRule="auto"/>
              <w:ind w:right="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bCs/>
                <w:color w:val="000000" w:themeColor="text1"/>
                <w:sz w:val="24"/>
                <w:szCs w:val="24"/>
                <w:highlight w:val="none"/>
                <w14:textFill>
                  <w14:solidFill>
                    <w14:schemeClr w14:val="tx1"/>
                  </w14:solidFill>
                </w14:textFill>
              </w:rPr>
              <w:t>）提供税务机关出具近三个月的完税证明，以填发日期为准。（新成立公司按实际发生提供）。</w:t>
            </w: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36" w:lineRule="auto"/>
              <w:ind w:right="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szCs w:val="24"/>
                <w:highlight w:val="none"/>
                <w14:textFill>
                  <w14:solidFill>
                    <w14:schemeClr w14:val="tx1"/>
                  </w14:solidFill>
                </w14:textFill>
              </w:rPr>
              <w:t>）凡拟参加本次采购项目的投标企业如在“信用中国”网站(www.creditchina.gov.cn)被列入失信被执行人、重大税收违法案件当事人名单、政府采购严重违法失信行为记录名单的、中国政府釆购网(www.ccgp.gov.cn)政府采购严重违法失信行为记录名单的、国家企业信用信息公示系统(www.gsxt.gov.cn)经营异常名录的，将拒绝其参与本次政府釆购活动；（开标现场查询）；</w:t>
            </w: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36" w:lineRule="auto"/>
              <w:ind w:right="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szCs w:val="24"/>
                <w:highlight w:val="none"/>
                <w14:textFill>
                  <w14:solidFill>
                    <w14:schemeClr w14:val="tx1"/>
                  </w14:solidFill>
                </w14:textFill>
              </w:rPr>
              <w:t>）单位负责人为同一人或者存在控股、管理关系的不同供应商，不得参加同一合同项目下的政府采购活动；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联合体形式</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对联合体各方的要求</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现场考察</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不组织，投标人自行对项目现场和其周围环境进行考察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vMerge w:val="restart"/>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p>
        </w:tc>
        <w:tc>
          <w:tcPr>
            <w:tcW w:w="2678" w:type="dxa"/>
            <w:noWrap w:val="0"/>
            <w:vAlign w:val="center"/>
          </w:tcPr>
          <w:p>
            <w:pPr>
              <w:pStyle w:val="50"/>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支持中小企业发展</w:t>
            </w:r>
          </w:p>
        </w:tc>
        <w:tc>
          <w:tcPr>
            <w:tcW w:w="6026" w:type="dxa"/>
            <w:noWrap w:val="0"/>
            <w:vAlign w:val="center"/>
          </w:tcPr>
          <w:p>
            <w:pPr>
              <w:pStyle w:val="50"/>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给予小型和微型企业产品的价格给予6%-10/%的扣除，用扣除后的价格参与评审，本项目具体扣除比例为6%。</w:t>
            </w:r>
          </w:p>
          <w:p>
            <w:pPr>
              <w:pStyle w:val="50"/>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小型和微型企业适用价格扣除办法时应提供的相关资料：</w:t>
            </w:r>
          </w:p>
          <w:p>
            <w:pPr>
              <w:pStyle w:val="50"/>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①《中小企业声明函》；</w:t>
            </w:r>
          </w:p>
          <w:p>
            <w:pPr>
              <w:pStyle w:val="50"/>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②提供供应商工商行政登记所在地管理部门出具的小微企业证明文件。</w:t>
            </w:r>
          </w:p>
          <w:p>
            <w:pPr>
              <w:pStyle w:val="50"/>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③代理产品提供生产厂家的属地主管部门出具的小微企业证明文件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9" w:type="dxa"/>
            <w:vMerge w:val="continue"/>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678" w:type="dxa"/>
            <w:noWrap w:val="0"/>
            <w:vAlign w:val="center"/>
          </w:tcPr>
          <w:p>
            <w:pPr>
              <w:pStyle w:val="50"/>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政府采购促进残疾人就业</w:t>
            </w:r>
          </w:p>
        </w:tc>
        <w:tc>
          <w:tcPr>
            <w:tcW w:w="6026" w:type="dxa"/>
            <w:noWrap w:val="0"/>
            <w:vAlign w:val="center"/>
          </w:tcPr>
          <w:p>
            <w:pPr>
              <w:keepNext w:val="0"/>
              <w:keepLines w:val="0"/>
              <w:pageBreakBefore w:val="0"/>
              <w:kinsoku/>
              <w:wordWrap/>
              <w:overflowPunct/>
              <w:topLinePunct w:val="0"/>
              <w:bidi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审中价格扣除等促进中小企业发展的政府采购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p>
        </w:tc>
        <w:tc>
          <w:tcPr>
            <w:tcW w:w="2678" w:type="dxa"/>
            <w:noWrap w:val="0"/>
            <w:vAlign w:val="center"/>
          </w:tcPr>
          <w:p>
            <w:pPr>
              <w:keepNext w:val="0"/>
              <w:keepLines w:val="0"/>
              <w:pageBreakBefore w:val="0"/>
              <w:kinsoku/>
              <w:wordWrap/>
              <w:overflowPunct/>
              <w:topLinePunct w:val="0"/>
              <w:bidi w:val="0"/>
              <w:snapToGrid w:val="0"/>
              <w:spacing w:line="336"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投标截止及开标时间</w:t>
            </w:r>
          </w:p>
        </w:tc>
        <w:tc>
          <w:tcPr>
            <w:tcW w:w="6026" w:type="dxa"/>
            <w:noWrap w:val="0"/>
            <w:vAlign w:val="center"/>
          </w:tcPr>
          <w:p>
            <w:pPr>
              <w:keepNext w:val="0"/>
              <w:keepLines w:val="0"/>
              <w:pageBreakBefore w:val="0"/>
              <w:kinsoku/>
              <w:wordWrap/>
              <w:overflowPunct/>
              <w:topLinePunct w:val="0"/>
              <w:bidi w:val="0"/>
              <w:snapToGrid w:val="0"/>
              <w:spacing w:line="336"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2022年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18</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日 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点</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0</w:t>
            </w:r>
            <w:r>
              <w:rPr>
                <w:rFonts w:hint="eastAsia" w:ascii="仿宋" w:hAnsi="仿宋" w:eastAsia="仿宋" w:cs="仿宋"/>
                <w:color w:val="000000" w:themeColor="text1"/>
                <w:kern w:val="0"/>
                <w:sz w:val="24"/>
                <w:szCs w:val="24"/>
                <w:highlight w:val="none"/>
                <w:lang w:eastAsia="zh-CN"/>
                <w14:textFill>
                  <w14:solidFill>
                    <w14:schemeClr w14:val="tx1"/>
                  </w14:solidFill>
                </w14:textFill>
              </w:rPr>
              <w:t>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14</w:t>
            </w:r>
          </w:p>
        </w:tc>
        <w:tc>
          <w:tcPr>
            <w:tcW w:w="2678" w:type="dxa"/>
            <w:noWrap w:val="0"/>
            <w:vAlign w:val="center"/>
          </w:tcPr>
          <w:p>
            <w:pPr>
              <w:keepNext w:val="0"/>
              <w:keepLines w:val="0"/>
              <w:pageBreakBefore w:val="0"/>
              <w:kinsoku/>
              <w:wordWrap/>
              <w:overflowPunct/>
              <w:topLinePunct w:val="0"/>
              <w:bidi w:val="0"/>
              <w:snapToGrid w:val="0"/>
              <w:spacing w:line="336"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采购项目预算</w:t>
            </w:r>
          </w:p>
        </w:tc>
        <w:tc>
          <w:tcPr>
            <w:tcW w:w="6026" w:type="dxa"/>
            <w:noWrap w:val="0"/>
            <w:vAlign w:val="center"/>
          </w:tcPr>
          <w:p>
            <w:pPr>
              <w:keepNext w:val="0"/>
              <w:keepLines w:val="0"/>
              <w:pageBreakBefore w:val="0"/>
              <w:kinsoku/>
              <w:wordWrap/>
              <w:overflowPunct/>
              <w:topLinePunct w:val="0"/>
              <w:bidi w:val="0"/>
              <w:snapToGrid w:val="0"/>
              <w:spacing w:line="336" w:lineRule="auto"/>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highlight w:val="none"/>
                <w14:textFill>
                  <w14:solidFill>
                    <w14:schemeClr w14:val="tx1"/>
                  </w14:solidFill>
                </w14:textFill>
              </w:rPr>
              <w:t>预算</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总</w:t>
            </w:r>
            <w:r>
              <w:rPr>
                <w:rFonts w:hint="eastAsia" w:ascii="仿宋" w:hAnsi="仿宋" w:eastAsia="仿宋" w:cs="仿宋"/>
                <w:color w:val="000000" w:themeColor="text1"/>
                <w:kern w:val="0"/>
                <w:sz w:val="24"/>
                <w:szCs w:val="24"/>
                <w:highlight w:val="none"/>
                <w14:textFill>
                  <w14:solidFill>
                    <w14:schemeClr w14:val="tx1"/>
                  </w14:solidFill>
                </w14:textFill>
              </w:rPr>
              <w:t>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sz w:val="24"/>
                <w:szCs w:val="24"/>
                <w:lang w:val="en-US" w:eastAsia="zh-CN"/>
              </w:rPr>
              <w:t xml:space="preserve">610380.00元 </w:t>
            </w:r>
          </w:p>
          <w:p>
            <w:pPr>
              <w:keepNext w:val="0"/>
              <w:keepLines w:val="0"/>
              <w:pageBreakBefore w:val="0"/>
              <w:kinsoku/>
              <w:wordWrap/>
              <w:overflowPunct/>
              <w:topLinePunct w:val="0"/>
              <w:bidi w:val="0"/>
              <w:snapToGrid w:val="0"/>
              <w:spacing w:line="336"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sz w:val="24"/>
                <w:szCs w:val="24"/>
                <w:lang w:val="en-US" w:eastAsia="zh-CN"/>
              </w:rPr>
              <w:t>最高限价：</w:t>
            </w:r>
            <w:r>
              <w:rPr>
                <w:rFonts w:hint="eastAsia" w:ascii="仿宋" w:hAnsi="仿宋" w:eastAsia="仿宋" w:cs="仿宋"/>
                <w:color w:val="FF0000"/>
                <w:sz w:val="24"/>
                <w:szCs w:val="24"/>
                <w:lang w:val="en-US" w:eastAsia="zh-CN"/>
              </w:rPr>
              <w:t>610380.00</w:t>
            </w:r>
            <w:r>
              <w:rPr>
                <w:rFonts w:hint="eastAsia" w:ascii="仿宋" w:hAnsi="仿宋" w:eastAsia="仿宋" w:cs="仿宋"/>
                <w:sz w:val="24"/>
                <w:szCs w:val="24"/>
                <w:lang w:val="en-US" w:eastAsia="zh-CN"/>
              </w:rPr>
              <w:t>元</w:t>
            </w:r>
            <w:r>
              <w:rPr>
                <w:rFonts w:hint="eastAsia" w:ascii="仿宋" w:hAnsi="仿宋" w:eastAsia="仿宋" w:cs="仿宋"/>
                <w:color w:val="000000" w:themeColor="text1"/>
                <w:kern w:val="0"/>
                <w:sz w:val="24"/>
                <w:szCs w:val="24"/>
                <w:highlight w:val="none"/>
                <w14:textFill>
                  <w14:solidFill>
                    <w14:schemeClr w14:val="tx1"/>
                  </w14:solidFill>
                </w14:textFill>
              </w:rPr>
              <w:t>（投标报价超出</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最高限价</w:t>
            </w:r>
            <w:r>
              <w:rPr>
                <w:rFonts w:hint="eastAsia" w:ascii="仿宋" w:hAnsi="仿宋" w:eastAsia="仿宋" w:cs="仿宋"/>
                <w:color w:val="000000" w:themeColor="text1"/>
                <w:kern w:val="0"/>
                <w:sz w:val="24"/>
                <w:szCs w:val="24"/>
                <w:highlight w:val="none"/>
                <w14:textFill>
                  <w14:solidFill>
                    <w14:schemeClr w14:val="tx1"/>
                  </w14:solidFill>
                </w14:textFill>
              </w:rPr>
              <w:t>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均</w:t>
            </w:r>
            <w:r>
              <w:rPr>
                <w:rFonts w:hint="eastAsia" w:ascii="仿宋" w:hAnsi="仿宋" w:eastAsia="仿宋" w:cs="仿宋"/>
                <w:color w:val="000000" w:themeColor="text1"/>
                <w:kern w:val="0"/>
                <w:sz w:val="24"/>
                <w:szCs w:val="24"/>
                <w:highlight w:val="none"/>
                <w14:textFill>
                  <w14:solidFill>
                    <w14:schemeClr w14:val="tx1"/>
                  </w14:solidFill>
                </w14:textFill>
              </w:rPr>
              <w:t>做无效报价处理）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p>
        </w:tc>
        <w:tc>
          <w:tcPr>
            <w:tcW w:w="2678" w:type="dxa"/>
            <w:noWrap w:val="0"/>
            <w:vAlign w:val="center"/>
          </w:tcPr>
          <w:p>
            <w:pPr>
              <w:keepNext w:val="0"/>
              <w:keepLines w:val="0"/>
              <w:pageBreakBefore w:val="0"/>
              <w:kinsoku/>
              <w:wordWrap/>
              <w:overflowPunct/>
              <w:topLinePunct w:val="0"/>
              <w:bidi w:val="0"/>
              <w:snapToGrid w:val="0"/>
              <w:spacing w:line="336"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保证金</w:t>
            </w:r>
          </w:p>
        </w:tc>
        <w:tc>
          <w:tcPr>
            <w:tcW w:w="602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投标保证金的形式：转账、汇款（须从</w:t>
            </w:r>
            <w:r>
              <w:rPr>
                <w:rFonts w:hint="eastAsia" w:ascii="宋体" w:hAnsi="宋体" w:eastAsia="宋体" w:cs="宋体"/>
                <w:b/>
                <w:bCs w:val="0"/>
                <w:color w:val="000000"/>
                <w:sz w:val="24"/>
                <w:highlight w:val="none"/>
                <w:lang w:eastAsia="zh-CN"/>
              </w:rPr>
              <w:t>投标企业</w:t>
            </w:r>
            <w:r>
              <w:rPr>
                <w:rFonts w:hint="eastAsia" w:ascii="宋体" w:hAnsi="宋体" w:eastAsia="宋体" w:cs="宋体"/>
                <w:b/>
                <w:bCs w:val="0"/>
                <w:color w:val="000000"/>
                <w:sz w:val="24"/>
                <w:highlight w:val="none"/>
              </w:rPr>
              <w:t>基本账户转出）</w:t>
            </w:r>
          </w:p>
          <w:p>
            <w:pPr>
              <w:keepNext w:val="0"/>
              <w:keepLines w:val="0"/>
              <w:suppressLineNumbers w:val="0"/>
              <w:spacing w:before="0" w:beforeAutospacing="0" w:after="0" w:afterAutospacing="0" w:line="360" w:lineRule="auto"/>
              <w:ind w:left="0" w:right="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投标保证金：¥.6000.00元（陆仟元整）</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请于采购文件指定日期前将投标保证金足额汇入（存入）以下账户</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 xml:space="preserve">开户名称：民丰县行政服务和公共资源交易中心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 xml:space="preserve">开户银行：中国农业银行股份有限公司民丰县支行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账号：30582301040020842</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特别注意：投标人请于投标截止时间及开标时间前将投标保证金缴入指定账户，注明项目名称及用途，以进账时间为准确定投标保证金缴纳的时效性，无须到民丰县公共资源交易中心换取收据，开标时需携带投标保证金电子回单。</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投标保证金有效期应当与投标有效期一致。</w:t>
            </w:r>
          </w:p>
          <w:p>
            <w:pPr>
              <w:spacing w:line="360" w:lineRule="auto"/>
              <w:ind w:firstLine="0" w:firstLineChars="0"/>
              <w:rPr>
                <w:rFonts w:hint="eastAsia"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由投标人基本账户汇出，且不得以分公司的名义转账。</w:t>
            </w:r>
          </w:p>
          <w:p>
            <w:pPr>
              <w:pStyle w:val="19"/>
              <w:rPr>
                <w:rFonts w:hint="eastAsia" w:ascii="宋体" w:hAnsi="宋体" w:eastAsia="宋体" w:cs="宋体"/>
                <w:b/>
                <w:bCs/>
                <w:sz w:val="24"/>
                <w:szCs w:val="24"/>
              </w:rPr>
            </w:pPr>
            <w:r>
              <w:rPr>
                <w:rFonts w:hint="eastAsia" w:ascii="宋体" w:hAnsi="宋体" w:eastAsia="宋体" w:cs="宋体"/>
                <w:b/>
                <w:bCs/>
                <w:color w:val="000000"/>
                <w:sz w:val="24"/>
                <w:szCs w:val="24"/>
                <w:highlight w:val="none"/>
                <w:lang w:val="en-US" w:eastAsia="zh-CN"/>
              </w:rPr>
              <w:t>集团公司可采用名下子公司账户汇出，但开标现场须提供相关证明材料。</w:t>
            </w:r>
          </w:p>
          <w:p>
            <w:pPr>
              <w:spacing w:line="360" w:lineRule="auto"/>
              <w:ind w:firstLine="0" w:firstLineChars="0"/>
              <w:rPr>
                <w:rFonts w:hint="eastAsia"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投标单位须在汇款单备注栏标明：XXX项目XXX包段（标段）及项目编号。</w:t>
            </w:r>
          </w:p>
          <w:p>
            <w:pPr>
              <w:keepNext w:val="0"/>
              <w:keepLines w:val="0"/>
              <w:pageBreakBefore w:val="0"/>
              <w:numPr>
                <w:ilvl w:val="0"/>
                <w:numId w:val="0"/>
              </w:numPr>
              <w:kinsoku/>
              <w:wordWrap/>
              <w:overflowPunct/>
              <w:topLinePunct w:val="0"/>
              <w:bidi w:val="0"/>
              <w:snapToGrid w:val="0"/>
              <w:spacing w:line="336"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宋体" w:hAnsi="Times New Roman" w:eastAsia="宋体" w:cs="Times New Roman"/>
                <w:b/>
                <w:color w:val="000000"/>
                <w:sz w:val="24"/>
                <w:highlight w:val="none"/>
                <w:lang w:val="en-US" w:eastAsia="zh-CN"/>
              </w:rPr>
              <w:t>退保证金需要：投标保证金回执单、开户许可证、退回保证金收据。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16</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bCs/>
                <w:color w:val="000000" w:themeColor="text1"/>
                <w:sz w:val="24"/>
                <w:szCs w:val="24"/>
                <w:highlight w:val="none"/>
                <w14:textFill>
                  <w14:solidFill>
                    <w14:schemeClr w14:val="tx1"/>
                  </w14:solidFill>
                </w14:textFill>
              </w:rPr>
              <w:t>有效期</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17</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副本份数</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纸质版文件：正本一份，副本</w:t>
            </w:r>
            <w:r>
              <w:rPr>
                <w:rFonts w:hint="eastAsia" w:ascii="仿宋" w:hAnsi="仿宋" w:eastAsia="仿宋" w:cs="仿宋"/>
                <w:color w:val="000000" w:themeColor="text1"/>
                <w:sz w:val="24"/>
                <w:szCs w:val="24"/>
                <w:highlight w:val="none"/>
                <w:lang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份</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keepNext w:val="0"/>
              <w:keepLines w:val="0"/>
              <w:pageBreakBefore w:val="0"/>
              <w:kinsoku/>
              <w:wordWrap/>
              <w:overflowPunct/>
              <w:topLinePunct w:val="0"/>
              <w:bidi w:val="0"/>
              <w:adjustRightInd w:val="0"/>
              <w:snapToGrid w:val="0"/>
              <w:spacing w:line="336" w:lineRule="auto"/>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开标一览表：一份</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电子版文件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PDF格式</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：一份（包括</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正本全部内容；以U盘</w:t>
            </w:r>
            <w:r>
              <w:rPr>
                <w:rFonts w:hint="eastAsia" w:ascii="仿宋" w:hAnsi="仿宋" w:eastAsia="仿宋" w:cs="仿宋"/>
                <w:color w:val="000000" w:themeColor="text1"/>
                <w:sz w:val="24"/>
                <w:szCs w:val="24"/>
                <w:highlight w:val="none"/>
                <w:lang w:eastAsia="zh-CN"/>
                <w14:textFill>
                  <w14:solidFill>
                    <w14:schemeClr w14:val="tx1"/>
                  </w14:solidFill>
                </w14:textFill>
              </w:rPr>
              <w:t>或光盘</w:t>
            </w:r>
            <w:r>
              <w:rPr>
                <w:rFonts w:hint="eastAsia" w:ascii="仿宋" w:hAnsi="仿宋" w:eastAsia="仿宋" w:cs="仿宋"/>
                <w:color w:val="000000" w:themeColor="text1"/>
                <w:sz w:val="24"/>
                <w:szCs w:val="24"/>
                <w:highlight w:val="none"/>
                <w14:textFill>
                  <w14:solidFill>
                    <w14:schemeClr w14:val="tx1"/>
                  </w14:solidFill>
                </w14:textFill>
              </w:rPr>
              <w:t>形式递交）；</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1、电子版文件要求包含</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正本全部内容，电子版表面标记单位名称。电子版文件内容与</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正本内容不一致时以</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正本为准。</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2、凡进入开标、唱标程序的</w:t>
            </w:r>
            <w:r>
              <w:rPr>
                <w:rFonts w:hint="eastAsia" w:ascii="仿宋" w:hAnsi="仿宋" w:eastAsia="仿宋" w:cs="仿宋"/>
                <w:bCs/>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bCs/>
                <w:color w:val="000000" w:themeColor="text1"/>
                <w:sz w:val="24"/>
                <w:szCs w:val="24"/>
                <w:highlight w:val="none"/>
                <w14:textFill>
                  <w14:solidFill>
                    <w14:schemeClr w14:val="tx1"/>
                  </w14:solidFill>
                </w14:textFill>
              </w:rPr>
              <w:t>概不退还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18</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封套上应载明的信息</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人名称：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编号：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p>
            <w:pPr>
              <w:keepNext w:val="0"/>
              <w:keepLines w:val="0"/>
              <w:pageBreakBefore w:val="0"/>
              <w:kinsoku/>
              <w:wordWrap/>
              <w:overflowPunct/>
              <w:topLinePunct w:val="0"/>
              <w:bidi w:val="0"/>
              <w:adjustRightInd w:val="0"/>
              <w:snapToGrid w:val="0"/>
              <w:spacing w:line="336" w:lineRule="auto"/>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包装内容：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文件正本/副本/电子版</w:t>
            </w:r>
            <w:r>
              <w:rPr>
                <w:rFonts w:hint="eastAsia" w:ascii="仿宋" w:hAnsi="仿宋" w:eastAsia="仿宋" w:cs="仿宋"/>
                <w:color w:val="000000" w:themeColor="text1"/>
                <w:sz w:val="24"/>
                <w:szCs w:val="24"/>
                <w:highlight w:val="none"/>
                <w:lang w:val="en-US" w:eastAsia="zh-CN"/>
                <w14:textFill>
                  <w14:solidFill>
                    <w14:schemeClr w14:val="tx1"/>
                  </w14:solidFill>
                </w14:textFill>
              </w:rPr>
              <w:t>/开标一览表</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投标人名称：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投标人地址：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联 系 人：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联系电话：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传    真：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在规定的</w:t>
            </w:r>
            <w:r>
              <w:rPr>
                <w:rFonts w:hint="eastAsia" w:ascii="仿宋" w:hAnsi="仿宋" w:eastAsia="仿宋" w:cs="仿宋"/>
                <w:color w:val="000000" w:themeColor="text1"/>
                <w:sz w:val="24"/>
                <w:szCs w:val="24"/>
                <w:highlight w:val="none"/>
                <w:lang w:eastAsia="zh-CN"/>
                <w14:textFill>
                  <w14:solidFill>
                    <w14:schemeClr w14:val="tx1"/>
                  </w14:solidFill>
                </w14:textFill>
              </w:rPr>
              <w:t>投标截止</w:t>
            </w:r>
            <w:r>
              <w:rPr>
                <w:rFonts w:hint="eastAsia" w:ascii="仿宋" w:hAnsi="仿宋" w:eastAsia="仿宋" w:cs="仿宋"/>
                <w:color w:val="000000" w:themeColor="text1"/>
                <w:sz w:val="24"/>
                <w:szCs w:val="24"/>
                <w:highlight w:val="none"/>
                <w14:textFill>
                  <w14:solidFill>
                    <w14:schemeClr w14:val="tx1"/>
                  </w14:solidFill>
                </w14:textFill>
              </w:rPr>
              <w:t>时间  年 月 日  ：  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的递交地点</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民丰县行政服务和公共资源交易中心（民丰县买迪尼也提东路7号）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推荐</w:t>
            </w:r>
            <w:r>
              <w:rPr>
                <w:rFonts w:hint="eastAsia" w:ascii="仿宋" w:hAnsi="仿宋" w:eastAsia="仿宋" w:cs="仿宋"/>
                <w:color w:val="000000" w:themeColor="text1"/>
                <w:sz w:val="24"/>
                <w:szCs w:val="24"/>
                <w:highlight w:val="none"/>
                <w:lang w:eastAsia="zh-CN"/>
                <w14:textFill>
                  <w14:solidFill>
                    <w14:schemeClr w14:val="tx1"/>
                  </w14:solidFill>
                </w14:textFill>
              </w:rPr>
              <w:t>候选人数量</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公告发布媒介</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default"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新疆</w:t>
            </w:r>
            <w:r>
              <w:rPr>
                <w:rFonts w:hint="eastAsia" w:ascii="仿宋" w:hAnsi="仿宋" w:eastAsia="仿宋" w:cs="仿宋"/>
                <w:color w:val="000000" w:themeColor="text1"/>
                <w:sz w:val="24"/>
                <w:szCs w:val="24"/>
                <w:highlight w:val="none"/>
                <w:lang w:eastAsia="zh-CN"/>
                <w14:textFill>
                  <w14:solidFill>
                    <w14:schemeClr w14:val="tx1"/>
                  </w14:solidFill>
                </w14:textFill>
              </w:rPr>
              <w:t>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履约担保</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履约保证金：</w:t>
            </w:r>
            <w:r>
              <w:rPr>
                <w:rFonts w:hint="eastAsia" w:ascii="仿宋" w:hAnsi="仿宋" w:eastAsia="仿宋" w:cs="仿宋"/>
                <w:color w:val="000000" w:themeColor="text1"/>
                <w:sz w:val="24"/>
                <w:szCs w:val="24"/>
                <w:highlight w:val="none"/>
                <w:lang w:val="en-US" w:eastAsia="zh-CN"/>
                <w14:textFill>
                  <w14:solidFill>
                    <w14:schemeClr w14:val="tx1"/>
                  </w14:solidFill>
                </w14:textFill>
              </w:rPr>
              <w:t>不超</w:t>
            </w:r>
            <w:r>
              <w:rPr>
                <w:rFonts w:hint="eastAsia" w:ascii="仿宋" w:hAnsi="仿宋" w:eastAsia="仿宋" w:cs="仿宋"/>
                <w:color w:val="000000" w:themeColor="text1"/>
                <w:sz w:val="24"/>
                <w:szCs w:val="24"/>
                <w:highlight w:val="none"/>
                <w14:textFill>
                  <w14:solidFill>
                    <w14:schemeClr w14:val="tx1"/>
                  </w14:solidFill>
                </w14:textFill>
              </w:rPr>
              <w:t>成交价的</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由中标人与采购人签订合同时自主协商。</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履约保证金递交：成交供应商收到成交通知书后（签订合同前）向采购人缴纳；</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履约保证金形式：支票、汇票、本票等非现金形式；</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成交供应商未按本文件规定缴纳履约保证金的，其保证金将不予退还。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采购代理服务费</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招标工作结束后</w:t>
            </w:r>
            <w:r>
              <w:rPr>
                <w:rFonts w:hint="eastAsia" w:ascii="仿宋" w:hAnsi="仿宋" w:eastAsia="仿宋" w:cs="仿宋"/>
                <w:color w:val="000000" w:themeColor="text1"/>
                <w:sz w:val="24"/>
                <w:szCs w:val="24"/>
                <w:highlight w:val="none"/>
                <w:lang w:val="en-US" w:eastAsia="zh-CN"/>
                <w14:textFill>
                  <w14:solidFill>
                    <w14:schemeClr w14:val="tx1"/>
                  </w14:solidFill>
                </w14:textFill>
              </w:rPr>
              <w:t>由</w:t>
            </w:r>
            <w:r>
              <w:rPr>
                <w:rFonts w:hint="eastAsia" w:ascii="仿宋" w:hAnsi="仿宋" w:eastAsia="仿宋" w:cs="仿宋"/>
                <w:color w:val="000000" w:themeColor="text1"/>
                <w:sz w:val="24"/>
                <w:szCs w:val="24"/>
                <w:highlight w:val="yellow"/>
                <w:lang w:val="en-US" w:eastAsia="zh-CN"/>
                <w14:textFill>
                  <w14:solidFill>
                    <w14:schemeClr w14:val="tx1"/>
                  </w14:solidFill>
                </w14:textFill>
              </w:rPr>
              <w:t>甲方</w:t>
            </w:r>
            <w:r>
              <w:rPr>
                <w:rFonts w:hint="eastAsia" w:ascii="仿宋" w:hAnsi="仿宋" w:eastAsia="仿宋" w:cs="仿宋"/>
                <w:color w:val="000000" w:themeColor="text1"/>
                <w:sz w:val="24"/>
                <w:szCs w:val="24"/>
                <w:highlight w:val="none"/>
                <w:lang w:eastAsia="zh-CN"/>
                <w14:textFill>
                  <w14:solidFill>
                    <w14:schemeClr w14:val="tx1"/>
                  </w14:solidFill>
                </w14:textFill>
              </w:rPr>
              <w:t>向采购代理机构支付代理服务费，</w:t>
            </w:r>
            <w:r>
              <w:rPr>
                <w:rFonts w:hint="eastAsia" w:ascii="仿宋" w:hAnsi="仿宋" w:eastAsia="仿宋" w:cs="仿宋"/>
                <w:color w:val="000000" w:themeColor="text1"/>
                <w:sz w:val="24"/>
                <w:szCs w:val="24"/>
                <w:highlight w:val="none"/>
                <w:lang w:val="en-US" w:eastAsia="zh-CN"/>
                <w14:textFill>
                  <w14:solidFill>
                    <w14:schemeClr w14:val="tx1"/>
                  </w14:solidFill>
                </w14:textFill>
              </w:rPr>
              <w:t>参照</w:t>
            </w:r>
            <w:r>
              <w:rPr>
                <w:rFonts w:hint="eastAsia" w:ascii="仿宋" w:hAnsi="仿宋" w:eastAsia="仿宋" w:cs="仿宋"/>
                <w:color w:val="C00000"/>
                <w:sz w:val="24"/>
                <w:szCs w:val="24"/>
                <w:highlight w:val="none"/>
                <w:lang w:eastAsia="zh-CN"/>
              </w:rPr>
              <w:t>《招标代理服务收费管理暂行办法》计价格[2002]1980号文和发改价格[2011]534号</w:t>
            </w:r>
            <w:r>
              <w:rPr>
                <w:rFonts w:hint="eastAsia" w:ascii="仿宋" w:hAnsi="仿宋" w:eastAsia="仿宋" w:cs="仿宋"/>
                <w:color w:val="000000" w:themeColor="text1"/>
                <w:sz w:val="24"/>
                <w:szCs w:val="24"/>
                <w:highlight w:val="none"/>
                <w:lang w:val="en-US" w:eastAsia="zh-CN"/>
                <w14:textFill>
                  <w14:solidFill>
                    <w14:schemeClr w14:val="tx1"/>
                  </w14:solidFill>
                </w14:textFill>
              </w:rPr>
              <w:t>计算</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本项目评标办法</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采用最低评标价法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评标委员的组建</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评标委员会构成</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人或</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以上单数组成、其中评标专家</w:t>
            </w:r>
            <w:r>
              <w:rPr>
                <w:rFonts w:hint="eastAsia" w:ascii="仿宋" w:hAnsi="仿宋" w:eastAsia="仿宋" w:cs="仿宋"/>
                <w:color w:val="000000" w:themeColor="text1"/>
                <w:sz w:val="24"/>
                <w:szCs w:val="24"/>
                <w:highlight w:val="none"/>
                <w:lang w:val="en-US" w:eastAsia="zh-CN"/>
                <w14:textFill>
                  <w14:solidFill>
                    <w14:schemeClr w14:val="tx1"/>
                  </w14:solidFill>
                </w14:textFill>
              </w:rPr>
              <w:t>2人、业主专家1人</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26</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公示期</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1个工作日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中标通知书领取时间及采购合同签订时间</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中标公示期满后次日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会现场投标人需提供下列证件原件</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（1）供应商须具备有效的营业执照；</w:t>
            </w:r>
          </w:p>
          <w:p>
            <w:pPr>
              <w:keepNext w:val="0"/>
              <w:keepLines w:val="0"/>
              <w:pageBreakBefore w:val="0"/>
              <w:kinsoku/>
              <w:wordWrap/>
              <w:overflowPunct/>
              <w:topLinePunct w:val="0"/>
              <w:bidi w:val="0"/>
              <w:adjustRightInd w:val="0"/>
              <w:snapToGrid w:val="0"/>
              <w:spacing w:line="336"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法定代表人投标需携带法定代表人证明书及法定代表人身份证（原件），委托代理人投标需携带法定代表人授权委托书及委托代理人身份证（原件）；需提供公司近三个月社保证明（缴费凭证，个人明细）。；</w:t>
            </w:r>
          </w:p>
          <w:p>
            <w:pPr>
              <w:keepNext w:val="0"/>
              <w:keepLines w:val="0"/>
              <w:pageBreakBefore w:val="0"/>
              <w:kinsoku/>
              <w:wordWrap/>
              <w:overflowPunct/>
              <w:topLinePunct w:val="0"/>
              <w:bidi w:val="0"/>
              <w:adjustRightInd w:val="0"/>
              <w:snapToGrid w:val="0"/>
              <w:spacing w:line="336"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具有良好的商业信誉和健全的财务会计制度（需提供会计事务所出具2020或2021年度财务审计报告，2021年10月份后成立的公司可不提供但需提供银行出具的近三个月的资信证明原件；如已完成2021年度财务审计报告应提供最新一年度财务审计报告）。</w:t>
            </w:r>
          </w:p>
          <w:p>
            <w:pPr>
              <w:keepNext w:val="0"/>
              <w:keepLines w:val="0"/>
              <w:pageBreakBefore w:val="0"/>
              <w:kinsoku/>
              <w:wordWrap/>
              <w:overflowPunct/>
              <w:topLinePunct w:val="0"/>
              <w:bidi w:val="0"/>
              <w:adjustRightInd w:val="0"/>
              <w:snapToGrid w:val="0"/>
              <w:spacing w:line="336"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（4）提供税务机关出具近三个月的完税证明，以填发日期为准。（新成立公司按实际发生提供）。</w:t>
            </w:r>
          </w:p>
          <w:p>
            <w:pPr>
              <w:keepNext w:val="0"/>
              <w:keepLines w:val="0"/>
              <w:pageBreakBefore w:val="0"/>
              <w:kinsoku/>
              <w:wordWrap/>
              <w:overflowPunct/>
              <w:topLinePunct w:val="0"/>
              <w:bidi w:val="0"/>
              <w:adjustRightInd w:val="0"/>
              <w:snapToGrid w:val="0"/>
              <w:spacing w:line="336"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凡拟参加本次采购项目的投标企业如在“信用中国”网站(www.creditchina.gov.cn)被列入失信被执行人、重大税收违法案件当事人名单、政府采购严重违法失信行为记录名单的、中国政府釆购网(www.ccgp.gov.cn)政府采购严重违法失信行为记录名单的、国家企业信用信息公示系统(www.gsxt.gov.cn)经营异常名录的，将拒绝其参与本次政府釆购活动；（开标现场查询）；</w:t>
            </w:r>
          </w:p>
          <w:p>
            <w:pPr>
              <w:keepNext w:val="0"/>
              <w:keepLines w:val="0"/>
              <w:pageBreakBefore w:val="0"/>
              <w:kinsoku/>
              <w:wordWrap/>
              <w:overflowPunct/>
              <w:topLinePunct w:val="0"/>
              <w:bidi w:val="0"/>
              <w:adjustRightInd w:val="0"/>
              <w:snapToGrid w:val="0"/>
              <w:spacing w:line="336" w:lineRule="auto"/>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auto"/>
                <w:sz w:val="24"/>
                <w:szCs w:val="24"/>
                <w:highlight w:val="none"/>
                <w:lang w:val="en-US" w:eastAsia="zh-CN"/>
              </w:rPr>
              <w:t>（6）保证金汇款凭证及收据（加盖公章）；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付款方式</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招标工作结束后由采购人与中标人签订合同时自主协商。</w:t>
            </w:r>
          </w:p>
        </w:tc>
      </w:tr>
    </w:tbl>
    <w:p>
      <w:pPr>
        <w:spacing w:line="360" w:lineRule="auto"/>
        <w:ind w:right="56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pPr>
        <w:pStyle w:val="3"/>
        <w:spacing w:line="360" w:lineRule="auto"/>
        <w:rPr>
          <w:rFonts w:hint="eastAsia" w:ascii="仿宋" w:hAnsi="仿宋" w:eastAsia="仿宋" w:cs="仿宋"/>
          <w:color w:val="000000" w:themeColor="text1"/>
          <w:highlight w:val="none"/>
          <w14:textFill>
            <w14:solidFill>
              <w14:schemeClr w14:val="tx1"/>
            </w14:solidFill>
          </w14:textFill>
        </w:rPr>
      </w:pPr>
      <w:bookmarkStart w:id="19" w:name="_Toc17405"/>
      <w:bookmarkStart w:id="20" w:name="_Toc19400"/>
      <w:bookmarkStart w:id="21" w:name="_Toc23052"/>
      <w:bookmarkStart w:id="22" w:name="_Toc28178"/>
      <w:r>
        <w:rPr>
          <w:rFonts w:hint="eastAsia" w:ascii="仿宋" w:hAnsi="仿宋" w:eastAsia="仿宋" w:cs="仿宋"/>
          <w:color w:val="000000" w:themeColor="text1"/>
          <w:highlight w:val="none"/>
          <w14:textFill>
            <w14:solidFill>
              <w14:schemeClr w14:val="tx1"/>
            </w14:solidFill>
          </w14:textFill>
        </w:rPr>
        <w:t>第一章  项目谈判有关说明</w:t>
      </w:r>
      <w:bookmarkEnd w:id="19"/>
      <w:bookmarkEnd w:id="20"/>
      <w:bookmarkEnd w:id="21"/>
      <w:bookmarkEnd w:id="22"/>
    </w:p>
    <w:p>
      <w:pPr>
        <w:spacing w:line="360" w:lineRule="auto"/>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新疆沣疆源工程咨询有限责任公司</w:t>
      </w:r>
      <w:r>
        <w:rPr>
          <w:rFonts w:hint="eastAsia" w:ascii="仿宋" w:hAnsi="仿宋" w:eastAsia="仿宋" w:cs="仿宋"/>
          <w:color w:val="000000" w:themeColor="text1"/>
          <w:highlight w:val="none"/>
          <w14:textFill>
            <w14:solidFill>
              <w14:schemeClr w14:val="tx1"/>
            </w14:solidFill>
          </w14:textFill>
        </w:rPr>
        <w:t>受</w:t>
      </w:r>
      <w:r>
        <w:rPr>
          <w:rFonts w:hint="eastAsia" w:ascii="仿宋" w:hAnsi="仿宋" w:eastAsia="仿宋" w:cs="仿宋"/>
          <w:sz w:val="24"/>
          <w:szCs w:val="24"/>
          <w:u w:val="none"/>
          <w:lang w:eastAsia="zh-CN"/>
        </w:rPr>
        <w:t>民丰县行政服务和公共资源交易中心</w:t>
      </w:r>
      <w:r>
        <w:rPr>
          <w:rFonts w:hint="eastAsia" w:ascii="仿宋" w:hAnsi="仿宋" w:eastAsia="仿宋" w:cs="仿宋"/>
          <w:color w:val="000000" w:themeColor="text1"/>
          <w:highlight w:val="none"/>
          <w14:textFill>
            <w14:solidFill>
              <w14:schemeClr w14:val="tx1"/>
            </w14:solidFill>
          </w14:textFill>
        </w:rPr>
        <w:t>委托，对本次采购项目进行竞争性谈判采购。</w:t>
      </w:r>
    </w:p>
    <w:p>
      <w:pPr>
        <w:numPr>
          <w:ilvl w:val="0"/>
          <w:numId w:val="3"/>
        </w:numPr>
        <w:spacing w:line="360" w:lineRule="auto"/>
        <w:rPr>
          <w:rFonts w:hint="eastAsia"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竞争性谈判项目编号：</w:t>
      </w:r>
      <w:r>
        <w:rPr>
          <w:rFonts w:hint="eastAsia" w:ascii="仿宋" w:hAnsi="仿宋" w:eastAsia="仿宋" w:cs="仿宋"/>
          <w:b/>
          <w:color w:val="000000" w:themeColor="text1"/>
          <w:highlight w:val="none"/>
          <w:lang w:eastAsia="zh-CN"/>
          <w14:textFill>
            <w14:solidFill>
              <w14:schemeClr w14:val="tx1"/>
            </w14:solidFill>
          </w14:textFill>
        </w:rPr>
        <w:t>MFX-FJY-CG-001</w:t>
      </w:r>
    </w:p>
    <w:p>
      <w:pPr>
        <w:numPr>
          <w:ilvl w:val="0"/>
          <w:numId w:val="3"/>
        </w:numPr>
        <w:spacing w:line="360" w:lineRule="auto"/>
        <w:rPr>
          <w:rFonts w:hint="eastAsia"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竞争性谈判项目名称：</w:t>
      </w:r>
      <w:r>
        <w:rPr>
          <w:rFonts w:hint="eastAsia" w:ascii="仿宋" w:hAnsi="仿宋" w:eastAsia="仿宋" w:cs="仿宋"/>
          <w:b/>
          <w:color w:val="000000" w:themeColor="text1"/>
          <w:highlight w:val="none"/>
          <w:lang w:eastAsia="zh-CN"/>
          <w14:textFill>
            <w14:solidFill>
              <w14:schemeClr w14:val="tx1"/>
            </w14:solidFill>
          </w14:textFill>
        </w:rPr>
        <w:t>民丰县行政服务和公共资源交易中心采购项目</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三、重要说明：</w:t>
      </w:r>
    </w:p>
    <w:p>
      <w:pPr>
        <w:spacing w:line="360" w:lineRule="auto"/>
        <w:ind w:firstLine="236" w:firstLineChars="98"/>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  </w:t>
      </w:r>
      <w:r>
        <w:rPr>
          <w:rFonts w:hint="eastAsia" w:ascii="仿宋" w:hAnsi="仿宋" w:eastAsia="仿宋" w:cs="仿宋"/>
          <w:b/>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1、服务地点：</w:t>
      </w:r>
      <w:r>
        <w:rPr>
          <w:rFonts w:hint="eastAsia" w:ascii="仿宋" w:hAnsi="仿宋" w:eastAsia="仿宋" w:cs="仿宋"/>
          <w:color w:val="000000" w:themeColor="text1"/>
          <w:highlight w:val="none"/>
          <w:lang w:val="en-US" w:eastAsia="zh-CN"/>
          <w14:textFill>
            <w14:solidFill>
              <w14:schemeClr w14:val="tx1"/>
            </w14:solidFill>
          </w14:textFill>
        </w:rPr>
        <w:t>采购人指定地点。</w:t>
      </w:r>
    </w:p>
    <w:p>
      <w:pPr>
        <w:spacing w:line="360" w:lineRule="auto"/>
        <w:ind w:firstLine="538"/>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color w:val="000000" w:themeColor="text1"/>
          <w:highlight w:val="none"/>
          <w14:textFill>
            <w14:solidFill>
              <w14:schemeClr w14:val="tx1"/>
            </w14:solidFill>
          </w14:textFill>
        </w:rPr>
        <w:t>2、采购范围：</w:t>
      </w:r>
      <w:r>
        <w:rPr>
          <w:rFonts w:hint="eastAsia" w:ascii="仿宋" w:hAnsi="仿宋" w:eastAsia="仿宋" w:cs="仿宋"/>
          <w:i w:val="0"/>
          <w:iCs w:val="0"/>
          <w:caps w:val="0"/>
          <w:color w:val="000000"/>
          <w:spacing w:val="0"/>
          <w:sz w:val="24"/>
          <w:szCs w:val="24"/>
          <w:lang w:val="en-US" w:eastAsia="zh-CN"/>
        </w:rPr>
        <w:t>采购实验室设备一批及实验室基础设施建设。（具体要求详见竞争性谈判文件）</w:t>
      </w:r>
    </w:p>
    <w:p>
      <w:pPr>
        <w:spacing w:line="360" w:lineRule="auto"/>
        <w:ind w:firstLine="5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3、供货期限：</w:t>
      </w:r>
      <w:r>
        <w:rPr>
          <w:rFonts w:hint="eastAsia" w:ascii="仿宋" w:hAnsi="仿宋" w:eastAsia="仿宋" w:cs="仿宋"/>
          <w:i w:val="0"/>
          <w:iCs w:val="0"/>
          <w:caps w:val="0"/>
          <w:color w:val="000000"/>
          <w:spacing w:val="0"/>
          <w:sz w:val="24"/>
          <w:szCs w:val="24"/>
          <w:highlight w:val="none"/>
        </w:rPr>
        <w:t>自合同签订</w:t>
      </w:r>
      <w:r>
        <w:rPr>
          <w:rFonts w:hint="eastAsia" w:ascii="仿宋" w:hAnsi="仿宋" w:eastAsia="仿宋" w:cs="仿宋"/>
          <w:i w:val="0"/>
          <w:iCs w:val="0"/>
          <w:caps w:val="0"/>
          <w:color w:val="000000"/>
          <w:spacing w:val="0"/>
          <w:sz w:val="24"/>
          <w:szCs w:val="24"/>
          <w:highlight w:val="none"/>
          <w:lang w:val="en-US" w:eastAsia="zh-CN"/>
        </w:rPr>
        <w:t>7</w:t>
      </w:r>
      <w:bookmarkStart w:id="161" w:name="_GoBack"/>
      <w:bookmarkEnd w:id="161"/>
      <w:r>
        <w:rPr>
          <w:rFonts w:hint="eastAsia" w:ascii="仿宋" w:hAnsi="仿宋" w:eastAsia="仿宋" w:cs="仿宋"/>
          <w:i w:val="0"/>
          <w:iCs w:val="0"/>
          <w:caps w:val="0"/>
          <w:color w:val="000000"/>
          <w:spacing w:val="0"/>
          <w:sz w:val="24"/>
          <w:szCs w:val="24"/>
          <w:highlight w:val="none"/>
        </w:rPr>
        <w:t>天（包含采购、安装、调试、试运行，直至验收合格交付使用）</w:t>
      </w:r>
    </w:p>
    <w:p>
      <w:pPr>
        <w:spacing w:line="360" w:lineRule="auto"/>
        <w:ind w:firstLine="5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4、本次的谈判内容为：</w:t>
      </w:r>
      <w:r>
        <w:rPr>
          <w:rFonts w:hint="eastAsia" w:ascii="仿宋" w:hAnsi="仿宋" w:eastAsia="仿宋" w:cs="仿宋"/>
          <w:color w:val="000000" w:themeColor="text1"/>
          <w:highlight w:val="none"/>
          <w:lang w:val="en-US" w:eastAsia="zh-CN"/>
          <w14:textFill>
            <w14:solidFill>
              <w14:schemeClr w14:val="tx1"/>
            </w14:solidFill>
          </w14:textFill>
        </w:rPr>
        <w:t>采购政务智能化硬件设备一批；</w:t>
      </w:r>
      <w:r>
        <w:rPr>
          <w:rFonts w:hint="eastAsia" w:ascii="仿宋" w:hAnsi="仿宋" w:eastAsia="仿宋" w:cs="仿宋"/>
          <w:color w:val="000000" w:themeColor="text1"/>
          <w:highlight w:val="none"/>
          <w14:textFill>
            <w14:solidFill>
              <w14:schemeClr w14:val="tx1"/>
            </w14:solidFill>
          </w14:textFill>
        </w:rPr>
        <w:t>（具体技术参数详见第三章），在质量、品种、采购要求等方面，均有国家和行业的具体规范标准，所供货物执行国家和行业规范标准，投标人概不能够以本文件未提及为由而违背国家和行业规范标准要求。</w:t>
      </w:r>
    </w:p>
    <w:p>
      <w:pPr>
        <w:spacing w:line="360" w:lineRule="auto"/>
        <w:ind w:firstLine="5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5、谈判文件未列出的本次采购所依据检验、验收标准，报价人须在谈判响应文件中列出。</w:t>
      </w:r>
    </w:p>
    <w:p>
      <w:pPr>
        <w:spacing w:line="360" w:lineRule="auto"/>
        <w:ind w:firstLine="5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6、在合同签订后，采购方有权提出因规范、标准等实际情况发生变化而产生的补充要求。</w:t>
      </w:r>
    </w:p>
    <w:p>
      <w:pPr>
        <w:spacing w:line="360" w:lineRule="auto"/>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7、供货须提供国家正规货物发票。</w:t>
      </w:r>
    </w:p>
    <w:p>
      <w:pPr>
        <w:spacing w:line="360" w:lineRule="auto"/>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8、本项目不接受联合体谈判。</w:t>
      </w:r>
    </w:p>
    <w:p>
      <w:pPr>
        <w:spacing w:line="360" w:lineRule="auto"/>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四、采购内容：</w:t>
      </w:r>
      <w:r>
        <w:rPr>
          <w:rFonts w:hint="eastAsia" w:ascii="仿宋" w:hAnsi="仿宋" w:eastAsia="仿宋" w:cs="仿宋"/>
          <w:color w:val="000000" w:themeColor="text1"/>
          <w:highlight w:val="none"/>
          <w14:textFill>
            <w14:solidFill>
              <w14:schemeClr w14:val="tx1"/>
            </w14:solidFill>
          </w14:textFill>
        </w:rPr>
        <w:t>详见第三章“采购要求”</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五、谈判保证金数额：</w:t>
      </w:r>
      <w:r>
        <w:rPr>
          <w:rFonts w:hint="eastAsia" w:ascii="仿宋" w:hAnsi="仿宋" w:eastAsia="仿宋" w:cs="仿宋"/>
          <w:color w:val="000000" w:themeColor="text1"/>
          <w:highlight w:val="none"/>
          <w14:textFill>
            <w14:solidFill>
              <w14:schemeClr w14:val="tx1"/>
            </w14:solidFill>
          </w14:textFill>
        </w:rPr>
        <w:t>详见报价人须知前附表第1</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条。</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六、特别提示</w:t>
      </w:r>
    </w:p>
    <w:p>
      <w:pPr>
        <w:spacing w:line="360" w:lineRule="auto"/>
        <w:ind w:firstLine="480"/>
        <w:jc w:val="left"/>
        <w:rPr>
          <w:rFonts w:hint="eastAsia" w:ascii="仿宋" w:hAnsi="仿宋" w:eastAsia="仿宋" w:cs="仿宋"/>
          <w:color w:val="000000" w:themeColor="text1"/>
          <w:highlight w:val="yellow"/>
          <w:lang w:val="en-US"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1、付款方式：</w:t>
      </w:r>
      <w:r>
        <w:rPr>
          <w:rFonts w:hint="eastAsia" w:ascii="仿宋" w:hAnsi="仿宋" w:eastAsia="仿宋" w:cs="仿宋"/>
          <w:color w:val="000000" w:themeColor="text1"/>
          <w:highlight w:val="none"/>
          <w:lang w:val="en-US" w:eastAsia="zh-CN"/>
          <w14:textFill>
            <w14:solidFill>
              <w14:schemeClr w14:val="tx1"/>
            </w14:solidFill>
          </w14:textFill>
        </w:rPr>
        <w:t>招标工作结束后由采购人与中标人签订合同时自主协商。</w:t>
      </w:r>
    </w:p>
    <w:p>
      <w:pPr>
        <w:spacing w:line="360" w:lineRule="auto"/>
        <w:ind w:firstLine="720" w:firstLineChars="3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2、竞争性谈判文件</w:t>
      </w:r>
      <w:r>
        <w:rPr>
          <w:rFonts w:hint="eastAsia" w:ascii="仿宋" w:hAnsi="仿宋" w:eastAsia="仿宋" w:cs="仿宋"/>
          <w:color w:val="000000" w:themeColor="text1"/>
          <w:highlight w:val="none"/>
          <w:lang w:val="en-US" w:eastAsia="zh-CN"/>
          <w14:textFill>
            <w14:solidFill>
              <w14:schemeClr w14:val="tx1"/>
            </w14:solidFill>
          </w14:textFill>
        </w:rPr>
        <w:t>获</w:t>
      </w:r>
      <w:r>
        <w:rPr>
          <w:rFonts w:hint="eastAsia" w:ascii="仿宋" w:hAnsi="仿宋" w:eastAsia="仿宋" w:cs="仿宋"/>
          <w:color w:val="000000" w:themeColor="text1"/>
          <w:highlight w:val="none"/>
          <w14:textFill>
            <w14:solidFill>
              <w14:schemeClr w14:val="tx1"/>
            </w14:solidFill>
          </w14:textFill>
        </w:rPr>
        <w:t>取地点：</w:t>
      </w:r>
      <w:r>
        <w:rPr>
          <w:rFonts w:hint="eastAsia" w:ascii="仿宋" w:hAnsi="仿宋" w:eastAsia="仿宋" w:cs="仿宋"/>
          <w:color w:val="000000" w:themeColor="text1"/>
          <w:highlight w:val="none"/>
          <w:lang w:val="en-US" w:eastAsia="zh-CN"/>
          <w14:textFill>
            <w14:solidFill>
              <w14:schemeClr w14:val="tx1"/>
            </w14:solidFill>
          </w14:textFill>
        </w:rPr>
        <w:t>新</w:t>
      </w:r>
      <w:r>
        <w:rPr>
          <w:rFonts w:hint="eastAsia" w:ascii="仿宋" w:hAnsi="仿宋" w:eastAsia="仿宋" w:cs="仿宋"/>
          <w:color w:val="000000" w:themeColor="text1"/>
          <w:highlight w:val="none"/>
          <w14:textFill>
            <w14:solidFill>
              <w14:schemeClr w14:val="tx1"/>
            </w14:solidFill>
          </w14:textFill>
        </w:rPr>
        <w:t>疆政府采购网（http://www.ccgp-xinjiang.gov.cn/）</w:t>
      </w:r>
    </w:p>
    <w:p>
      <w:pPr>
        <w:spacing w:line="360" w:lineRule="auto"/>
        <w:ind w:firstLine="480"/>
        <w:rPr>
          <w:rFonts w:hint="eastAsia" w:ascii="仿宋" w:hAnsi="仿宋" w:eastAsia="仿宋" w:cs="仿宋"/>
          <w:color w:val="000000" w:themeColor="text1"/>
          <w:highlight w:val="none"/>
          <w14:textFill>
            <w14:solidFill>
              <w14:schemeClr w14:val="tx1"/>
            </w14:solidFill>
          </w14:textFill>
        </w:rPr>
      </w:pPr>
    </w:p>
    <w:p>
      <w:pPr>
        <w:pStyle w:val="3"/>
        <w:spacing w:line="360" w:lineRule="auto"/>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23" w:name="_Toc11200"/>
      <w:bookmarkStart w:id="24" w:name="_Toc17796"/>
      <w:bookmarkStart w:id="25" w:name="_Toc31345"/>
      <w:bookmarkStart w:id="26" w:name="_Toc26800"/>
      <w:r>
        <w:rPr>
          <w:rFonts w:hint="eastAsia" w:ascii="仿宋" w:hAnsi="仿宋" w:eastAsia="仿宋" w:cs="仿宋"/>
          <w:color w:val="000000" w:themeColor="text1"/>
          <w:sz w:val="32"/>
          <w:highlight w:val="none"/>
          <w14:textFill>
            <w14:solidFill>
              <w14:schemeClr w14:val="tx1"/>
            </w14:solidFill>
          </w14:textFill>
        </w:rPr>
        <w:t>第二章  报价人须知</w:t>
      </w:r>
      <w:bookmarkEnd w:id="23"/>
      <w:bookmarkEnd w:id="24"/>
      <w:bookmarkEnd w:id="25"/>
      <w:bookmarkEnd w:id="26"/>
    </w:p>
    <w:p>
      <w:pPr>
        <w:pStyle w:val="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27" w:name="_Toc7037"/>
      <w:bookmarkStart w:id="28" w:name="_Toc24673"/>
      <w:r>
        <w:rPr>
          <w:rFonts w:hint="eastAsia" w:ascii="仿宋" w:hAnsi="仿宋" w:eastAsia="仿宋" w:cs="仿宋"/>
          <w:color w:val="000000" w:themeColor="text1"/>
          <w:sz w:val="28"/>
          <w:szCs w:val="28"/>
          <w:highlight w:val="none"/>
          <w14:textFill>
            <w14:solidFill>
              <w14:schemeClr w14:val="tx1"/>
            </w14:solidFill>
          </w14:textFill>
        </w:rPr>
        <w:t>一、总  则</w:t>
      </w:r>
      <w:bookmarkEnd w:id="27"/>
      <w:bookmarkEnd w:id="28"/>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1、适用范围</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1.1</w:t>
      </w:r>
      <w:r>
        <w:rPr>
          <w:rFonts w:hint="eastAsia" w:ascii="仿宋" w:hAnsi="仿宋" w:eastAsia="仿宋" w:cs="仿宋"/>
          <w:color w:val="000000" w:themeColor="text1"/>
          <w:highlight w:val="none"/>
          <w14:textFill>
            <w14:solidFill>
              <w14:schemeClr w14:val="tx1"/>
            </w14:solidFill>
          </w14:textFill>
        </w:rPr>
        <w:t xml:space="preserve"> 本谈判文件仅适用于本次采购项目货物供应、劳务服务及其它。</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2、合格的报价人</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2.1</w:t>
      </w:r>
      <w:r>
        <w:rPr>
          <w:rFonts w:hint="eastAsia" w:ascii="仿宋" w:hAnsi="仿宋" w:eastAsia="仿宋" w:cs="仿宋"/>
          <w:bCs/>
          <w:color w:val="000000" w:themeColor="text1"/>
          <w:highlight w:val="none"/>
          <w14:textFill>
            <w14:solidFill>
              <w14:schemeClr w14:val="tx1"/>
            </w14:solidFill>
          </w14:textFill>
        </w:rPr>
        <w:t>报价人</w:t>
      </w:r>
      <w:r>
        <w:rPr>
          <w:rFonts w:hint="eastAsia" w:ascii="仿宋" w:hAnsi="仿宋" w:eastAsia="仿宋" w:cs="仿宋"/>
          <w:color w:val="000000" w:themeColor="text1"/>
          <w:highlight w:val="none"/>
          <w14:textFill>
            <w14:solidFill>
              <w14:schemeClr w14:val="tx1"/>
            </w14:solidFill>
          </w14:textFill>
        </w:rPr>
        <w:t>资格要求：</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1.满足《中华人民共和国政府采购法》第二十二条规定；</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2.落实政府采购政策需满足的资格要求：</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（1）根据《政府采购促进中小企业发展管理办法》（财库﹝2020﹞46 号）。</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（3）《财政部发展改革委生态环境部市场监管总局关于调整优化节能产品、环境标志产品政府采购执行机制的通知》（财库〔2019〕9号）</w:t>
      </w:r>
      <w:r>
        <w:rPr>
          <w:rFonts w:hint="eastAsia" w:ascii="仿宋" w:hAnsi="仿宋" w:eastAsia="仿宋" w:cs="仿宋"/>
          <w:b/>
          <w:color w:val="000000" w:themeColor="text1"/>
          <w:highlight w:val="none"/>
          <w:lang w:eastAsia="zh-CN"/>
          <w14:textFill>
            <w14:solidFill>
              <w14:schemeClr w14:val="tx1"/>
            </w14:solidFill>
          </w14:textFill>
        </w:rPr>
        <w:t>。</w:t>
      </w:r>
      <w:r>
        <w:rPr>
          <w:rFonts w:hint="eastAsia" w:ascii="仿宋" w:hAnsi="仿宋" w:eastAsia="仿宋" w:cs="仿宋"/>
          <w:b/>
          <w:color w:val="000000" w:themeColor="text1"/>
          <w:highlight w:val="none"/>
          <w14:textFill>
            <w14:solidFill>
              <w14:schemeClr w14:val="tx1"/>
            </w14:solidFill>
          </w14:textFill>
        </w:rPr>
        <w:t> </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3.本项目的特定资格要求：</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（1）供应商须具备有效的营业执照；</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w:t>
      </w:r>
      <w:r>
        <w:rPr>
          <w:rFonts w:hint="eastAsia" w:ascii="仿宋" w:hAnsi="仿宋" w:eastAsia="仿宋" w:cs="仿宋"/>
          <w:b/>
          <w:color w:val="000000" w:themeColor="text1"/>
          <w:highlight w:val="none"/>
          <w:lang w:val="en-US" w:eastAsia="zh-CN"/>
          <w14:textFill>
            <w14:solidFill>
              <w14:schemeClr w14:val="tx1"/>
            </w14:solidFill>
          </w14:textFill>
        </w:rPr>
        <w:t>2</w:t>
      </w:r>
      <w:r>
        <w:rPr>
          <w:rFonts w:hint="eastAsia" w:ascii="仿宋" w:hAnsi="仿宋" w:eastAsia="仿宋" w:cs="仿宋"/>
          <w:b/>
          <w:color w:val="000000" w:themeColor="text1"/>
          <w:highlight w:val="none"/>
          <w14:textFill>
            <w14:solidFill>
              <w14:schemeClr w14:val="tx1"/>
            </w14:solidFill>
          </w14:textFill>
        </w:rPr>
        <w:t>）法定代表人投标需携带法定代表人证明书及法定代表人身份证（原件），委托代理人投标需携带法定代表人授权委托书及委托代理人身份证（原件）；需提供公司近三个月社保证明（缴费凭证，个人明细）。；</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w:t>
      </w:r>
      <w:r>
        <w:rPr>
          <w:rFonts w:hint="eastAsia" w:ascii="仿宋" w:hAnsi="仿宋" w:eastAsia="仿宋" w:cs="仿宋"/>
          <w:b/>
          <w:color w:val="000000" w:themeColor="text1"/>
          <w:highlight w:val="none"/>
          <w:lang w:val="en-US" w:eastAsia="zh-CN"/>
          <w14:textFill>
            <w14:solidFill>
              <w14:schemeClr w14:val="tx1"/>
            </w14:solidFill>
          </w14:textFill>
        </w:rPr>
        <w:t>3</w:t>
      </w:r>
      <w:r>
        <w:rPr>
          <w:rFonts w:hint="eastAsia" w:ascii="仿宋" w:hAnsi="仿宋" w:eastAsia="仿宋" w:cs="仿宋"/>
          <w:b/>
          <w:color w:val="000000" w:themeColor="text1"/>
          <w:highlight w:val="none"/>
          <w14:textFill>
            <w14:solidFill>
              <w14:schemeClr w14:val="tx1"/>
            </w14:solidFill>
          </w14:textFill>
        </w:rPr>
        <w:t>）具有良好的商业信誉和健全的财务会计制度（需提供会计事务所出具2020或2021年度财务审计报告，2021年10月份后成立的公司可不提供但需提供银行出具的近三个月的资信证明原件；如已完成2021年度财务审计报告应提供最新一年度财务审计报告）。</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w:t>
      </w:r>
      <w:r>
        <w:rPr>
          <w:rFonts w:hint="eastAsia" w:ascii="仿宋" w:hAnsi="仿宋" w:eastAsia="仿宋" w:cs="仿宋"/>
          <w:b/>
          <w:color w:val="000000" w:themeColor="text1"/>
          <w:highlight w:val="none"/>
          <w:lang w:val="en-US" w:eastAsia="zh-CN"/>
          <w14:textFill>
            <w14:solidFill>
              <w14:schemeClr w14:val="tx1"/>
            </w14:solidFill>
          </w14:textFill>
        </w:rPr>
        <w:t>4</w:t>
      </w:r>
      <w:r>
        <w:rPr>
          <w:rFonts w:hint="eastAsia" w:ascii="仿宋" w:hAnsi="仿宋" w:eastAsia="仿宋" w:cs="仿宋"/>
          <w:b/>
          <w:color w:val="000000" w:themeColor="text1"/>
          <w:highlight w:val="none"/>
          <w14:textFill>
            <w14:solidFill>
              <w14:schemeClr w14:val="tx1"/>
            </w14:solidFill>
          </w14:textFill>
        </w:rPr>
        <w:t>）提供税务机关出具近三个月的完税证明，以填发日期为准。（新成立公司按实际发生提供）。</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w:t>
      </w:r>
      <w:r>
        <w:rPr>
          <w:rFonts w:hint="eastAsia" w:ascii="仿宋" w:hAnsi="仿宋" w:eastAsia="仿宋" w:cs="仿宋"/>
          <w:b/>
          <w:color w:val="000000" w:themeColor="text1"/>
          <w:highlight w:val="none"/>
          <w:lang w:val="en-US" w:eastAsia="zh-CN"/>
          <w14:textFill>
            <w14:solidFill>
              <w14:schemeClr w14:val="tx1"/>
            </w14:solidFill>
          </w14:textFill>
        </w:rPr>
        <w:t>5</w:t>
      </w:r>
      <w:r>
        <w:rPr>
          <w:rFonts w:hint="eastAsia" w:ascii="仿宋" w:hAnsi="仿宋" w:eastAsia="仿宋" w:cs="仿宋"/>
          <w:b/>
          <w:color w:val="000000" w:themeColor="text1"/>
          <w:highlight w:val="none"/>
          <w14:textFill>
            <w14:solidFill>
              <w14:schemeClr w14:val="tx1"/>
            </w14:solidFill>
          </w14:textFill>
        </w:rPr>
        <w:t>）凡拟参加本次采购项目的投标企业如在“信用中国”网站(www.creditchina.gov.cn)被列入失信被执行人、重大税收违法案件当事人名单、政府采购严重违法失信行为记录名单的、中国政府釆购网(www.ccgp.gov.cn)政府采购严重违法失信行为记录名单的、国家企业信用信息公示系统(www.gsxt.gov.cn)经营异常名录的，将拒绝其参与本次政府釆购活动；（开标现场查询）；</w:t>
      </w:r>
    </w:p>
    <w:p>
      <w:pPr>
        <w:spacing w:line="360" w:lineRule="auto"/>
        <w:rPr>
          <w:rFonts w:hint="eastAsia"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w:t>
      </w:r>
      <w:r>
        <w:rPr>
          <w:rFonts w:hint="eastAsia" w:ascii="仿宋" w:hAnsi="仿宋" w:eastAsia="仿宋" w:cs="仿宋"/>
          <w:b/>
          <w:color w:val="000000" w:themeColor="text1"/>
          <w:highlight w:val="none"/>
          <w:lang w:val="en-US" w:eastAsia="zh-CN"/>
          <w14:textFill>
            <w14:solidFill>
              <w14:schemeClr w14:val="tx1"/>
            </w14:solidFill>
          </w14:textFill>
        </w:rPr>
        <w:t>6</w:t>
      </w:r>
      <w:r>
        <w:rPr>
          <w:rFonts w:hint="eastAsia" w:ascii="仿宋" w:hAnsi="仿宋" w:eastAsia="仿宋" w:cs="仿宋"/>
          <w:b/>
          <w:color w:val="000000" w:themeColor="text1"/>
          <w:highlight w:val="none"/>
          <w14:textFill>
            <w14:solidFill>
              <w14:schemeClr w14:val="tx1"/>
            </w14:solidFill>
          </w14:textFill>
        </w:rPr>
        <w:t>）单位负责人为同一人或者存在控股、管理关系的不同供应商，不得参加同一合同项目下的政府采购活动</w:t>
      </w:r>
      <w:r>
        <w:rPr>
          <w:rFonts w:hint="eastAsia" w:ascii="仿宋" w:hAnsi="仿宋" w:eastAsia="仿宋" w:cs="仿宋"/>
          <w:b/>
          <w:color w:val="000000" w:themeColor="text1"/>
          <w:highlight w:val="none"/>
          <w:lang w:eastAsia="zh-CN"/>
          <w14:textFill>
            <w14:solidFill>
              <w14:schemeClr w14:val="tx1"/>
            </w14:solidFill>
          </w14:textFill>
        </w:rPr>
        <w:t>；</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2.2 </w:t>
      </w:r>
      <w:r>
        <w:rPr>
          <w:rFonts w:hint="eastAsia" w:ascii="仿宋" w:hAnsi="仿宋" w:eastAsia="仿宋" w:cs="仿宋"/>
          <w:color w:val="000000" w:themeColor="text1"/>
          <w:highlight w:val="none"/>
          <w14:textFill>
            <w14:solidFill>
              <w14:schemeClr w14:val="tx1"/>
            </w14:solidFill>
          </w14:textFill>
        </w:rPr>
        <w:t>报价人在本次竞争性谈判中，必须遵守《中华人民共和国政府采购法》的规定。</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3、定义</w:t>
      </w:r>
    </w:p>
    <w:p>
      <w:pPr>
        <w:spacing w:line="360" w:lineRule="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3.1 </w:t>
      </w:r>
      <w:r>
        <w:rPr>
          <w:rFonts w:hint="eastAsia" w:ascii="仿宋" w:hAnsi="仿宋" w:eastAsia="仿宋" w:cs="仿宋"/>
          <w:color w:val="000000" w:themeColor="text1"/>
          <w:highlight w:val="none"/>
          <w14:textFill>
            <w14:solidFill>
              <w14:schemeClr w14:val="tx1"/>
            </w14:solidFill>
          </w14:textFill>
        </w:rPr>
        <w:t>“采购人”为</w:t>
      </w:r>
      <w:r>
        <w:rPr>
          <w:rFonts w:hint="eastAsia" w:ascii="仿宋" w:hAnsi="仿宋" w:eastAsia="仿宋" w:cs="仿宋"/>
          <w:color w:val="000000" w:themeColor="text1"/>
          <w:highlight w:val="none"/>
          <w:lang w:eastAsia="zh-CN"/>
          <w14:textFill>
            <w14:solidFill>
              <w14:schemeClr w14:val="tx1"/>
            </w14:solidFill>
          </w14:textFill>
        </w:rPr>
        <w:t>民丰县行政服务和公共资源交易中心</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3.2 </w:t>
      </w:r>
      <w:r>
        <w:rPr>
          <w:rFonts w:hint="eastAsia" w:ascii="仿宋" w:hAnsi="仿宋" w:eastAsia="仿宋" w:cs="仿宋"/>
          <w:color w:val="000000" w:themeColor="text1"/>
          <w:highlight w:val="none"/>
          <w14:textFill>
            <w14:solidFill>
              <w14:schemeClr w14:val="tx1"/>
            </w14:solidFill>
          </w14:textFill>
        </w:rPr>
        <w:t>“合格报价人”系指报名合格、购买了谈判文件、提交了谈判响应文件的报价人，中标后即为中标人，签订合同后即为卖方。</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3.3</w:t>
      </w:r>
      <w:r>
        <w:rPr>
          <w:rFonts w:hint="eastAsia" w:ascii="仿宋" w:hAnsi="仿宋" w:eastAsia="仿宋" w:cs="仿宋"/>
          <w:color w:val="000000" w:themeColor="text1"/>
          <w:highlight w:val="none"/>
          <w14:textFill>
            <w14:solidFill>
              <w14:schemeClr w14:val="tx1"/>
            </w14:solidFill>
          </w14:textFill>
        </w:rPr>
        <w:t xml:space="preserve"> “代理机构”为</w:t>
      </w:r>
      <w:r>
        <w:rPr>
          <w:rFonts w:hint="eastAsia" w:ascii="仿宋" w:hAnsi="仿宋" w:eastAsia="仿宋" w:cs="仿宋"/>
          <w:color w:val="000000" w:themeColor="text1"/>
          <w:highlight w:val="none"/>
          <w:lang w:eastAsia="zh-CN"/>
          <w14:textFill>
            <w14:solidFill>
              <w14:schemeClr w14:val="tx1"/>
            </w14:solidFill>
          </w14:textFill>
        </w:rPr>
        <w:t>新疆沣疆源工程咨询有限责任公司</w:t>
      </w:r>
      <w:r>
        <w:rPr>
          <w:rFonts w:hint="eastAsia" w:ascii="仿宋" w:hAnsi="仿宋" w:eastAsia="仿宋" w:cs="仿宋"/>
          <w:color w:val="000000" w:themeColor="text1"/>
          <w:highlight w:val="none"/>
          <w14:textFill>
            <w14:solidFill>
              <w14:schemeClr w14:val="tx1"/>
            </w14:solidFill>
          </w14:textFill>
        </w:rPr>
        <w:t>。</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3.4</w:t>
      </w:r>
      <w:r>
        <w:rPr>
          <w:rFonts w:hint="eastAsia" w:ascii="仿宋" w:hAnsi="仿宋" w:eastAsia="仿宋" w:cs="仿宋"/>
          <w:color w:val="000000" w:themeColor="text1"/>
          <w:highlight w:val="none"/>
          <w14:textFill>
            <w14:solidFill>
              <w14:schemeClr w14:val="tx1"/>
            </w14:solidFill>
          </w14:textFill>
        </w:rPr>
        <w:t xml:space="preserve"> “货物”系指卖方按合同要求，须向买方提供的一切产品及其他技术资料和材料。</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3.5</w:t>
      </w:r>
      <w:r>
        <w:rPr>
          <w:rFonts w:hint="eastAsia" w:ascii="仿宋" w:hAnsi="仿宋" w:eastAsia="仿宋" w:cs="仿宋"/>
          <w:color w:val="000000" w:themeColor="text1"/>
          <w:highlight w:val="none"/>
          <w14:textFill>
            <w14:solidFill>
              <w14:schemeClr w14:val="tx1"/>
            </w14:solidFill>
          </w14:textFill>
        </w:rPr>
        <w:t xml:space="preserve"> “服务”系指按合同规定卖方须承担的货物供应、服务及售后服务等其他类似的义务。</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3.6</w:t>
      </w:r>
      <w:r>
        <w:rPr>
          <w:rFonts w:hint="eastAsia" w:ascii="仿宋" w:hAnsi="仿宋" w:eastAsia="仿宋" w:cs="仿宋"/>
          <w:color w:val="000000" w:themeColor="text1"/>
          <w:highlight w:val="none"/>
          <w14:textFill>
            <w14:solidFill>
              <w14:schemeClr w14:val="tx1"/>
            </w14:solidFill>
          </w14:textFill>
        </w:rPr>
        <w:t xml:space="preserve"> “卖方”系指提供合同货物和服务的报价人。</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3.7</w:t>
      </w:r>
      <w:r>
        <w:rPr>
          <w:rFonts w:hint="eastAsia" w:ascii="仿宋" w:hAnsi="仿宋" w:eastAsia="仿宋" w:cs="仿宋"/>
          <w:color w:val="000000" w:themeColor="text1"/>
          <w:highlight w:val="none"/>
          <w14:textFill>
            <w14:solidFill>
              <w14:schemeClr w14:val="tx1"/>
            </w14:solidFill>
          </w14:textFill>
        </w:rPr>
        <w:t xml:space="preserve"> “买方”系指购买货物的单位。</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4、谈判费用</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4.1</w:t>
      </w:r>
      <w:r>
        <w:rPr>
          <w:rFonts w:hint="eastAsia" w:ascii="仿宋" w:hAnsi="仿宋" w:eastAsia="仿宋" w:cs="仿宋"/>
          <w:color w:val="000000" w:themeColor="text1"/>
          <w:highlight w:val="none"/>
          <w14:textFill>
            <w14:solidFill>
              <w14:schemeClr w14:val="tx1"/>
            </w14:solidFill>
          </w14:textFill>
        </w:rPr>
        <w:t xml:space="preserve"> 无论本次结果如何，报价人须自行承担所有与参加谈判有关的全部费用。</w:t>
      </w:r>
    </w:p>
    <w:p>
      <w:pPr>
        <w:pStyle w:val="4"/>
        <w:spacing w:line="360" w:lineRule="auto"/>
        <w:ind w:firstLine="3626" w:firstLineChars="1290"/>
        <w:rPr>
          <w:rFonts w:hint="eastAsia" w:ascii="仿宋" w:hAnsi="仿宋" w:eastAsia="仿宋" w:cs="仿宋"/>
          <w:color w:val="000000" w:themeColor="text1"/>
          <w:sz w:val="28"/>
          <w:highlight w:val="none"/>
          <w14:textFill>
            <w14:solidFill>
              <w14:schemeClr w14:val="tx1"/>
            </w14:solidFill>
          </w14:textFill>
        </w:rPr>
      </w:pPr>
      <w:bookmarkStart w:id="29" w:name="_Toc26514"/>
      <w:bookmarkStart w:id="30" w:name="_Toc26900"/>
    </w:p>
    <w:p>
      <w:pPr>
        <w:pStyle w:val="4"/>
        <w:spacing w:line="360" w:lineRule="auto"/>
        <w:ind w:firstLine="3626" w:firstLineChars="1290"/>
        <w:rPr>
          <w:rFonts w:hint="eastAsia"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二、竞争性谈判文件</w:t>
      </w:r>
      <w:bookmarkEnd w:id="29"/>
      <w:bookmarkEnd w:id="30"/>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5、竞争性谈判文件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5.1 </w:t>
      </w:r>
      <w:r>
        <w:rPr>
          <w:rFonts w:hint="eastAsia" w:ascii="仿宋" w:hAnsi="仿宋" w:eastAsia="仿宋" w:cs="仿宋"/>
          <w:color w:val="000000" w:themeColor="text1"/>
          <w:highlight w:val="none"/>
          <w14:textFill>
            <w14:solidFill>
              <w14:schemeClr w14:val="tx1"/>
            </w14:solidFill>
          </w14:textFill>
        </w:rPr>
        <w:t>竞争性谈判文件用以阐明所的内容，谈判程序及合同条款，包括：</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5.1.1谈判说明；</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5.1.2 报价人须知；</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5.1.3 技术规格要求；</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5.1.4 合同条款；</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5.1.5 特殊条款；</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附件：</w:t>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_Toc3314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（一）投标函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_Toc6723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（二）投标人资格证明文件</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_Toc18466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（三）商务偏离表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_Toc31364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（四）开标一览表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_Toc14099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（五）</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w:t>
      </w:r>
      <w:r>
        <w:rPr>
          <w:rFonts w:hint="eastAsia" w:ascii="仿宋" w:hAnsi="仿宋" w:eastAsia="仿宋" w:cs="仿宋"/>
          <w:b w:val="0"/>
          <w:bCs w:val="0"/>
          <w:color w:val="000000" w:themeColor="text1"/>
          <w:sz w:val="24"/>
          <w:szCs w:val="24"/>
          <w:highlight w:val="none"/>
          <w14:textFill>
            <w14:solidFill>
              <w14:schemeClr w14:val="tx1"/>
            </w14:solidFill>
          </w14:textFill>
        </w:rPr>
        <w:t>报价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明细</w:t>
      </w:r>
      <w:r>
        <w:rPr>
          <w:rFonts w:hint="eastAsia" w:ascii="仿宋" w:hAnsi="仿宋" w:eastAsia="仿宋" w:cs="仿宋"/>
          <w:b w:val="0"/>
          <w:bCs w:val="0"/>
          <w:color w:val="000000" w:themeColor="text1"/>
          <w:sz w:val="24"/>
          <w:szCs w:val="24"/>
          <w:highlight w:val="none"/>
          <w14:textFill>
            <w14:solidFill>
              <w14:schemeClr w14:val="tx1"/>
            </w14:solidFill>
          </w14:textFill>
        </w:rPr>
        <w:t>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_Toc12085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）法定代表人身份证明及法定代表人授权委托书格式</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_Toc656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七</w:t>
      </w:r>
      <w:r>
        <w:rPr>
          <w:rFonts w:hint="eastAsia" w:ascii="仿宋" w:hAnsi="仿宋" w:eastAsia="仿宋" w:cs="仿宋"/>
          <w:b w:val="0"/>
          <w:bCs w:val="0"/>
          <w:color w:val="000000" w:themeColor="text1"/>
          <w:sz w:val="24"/>
          <w:szCs w:val="24"/>
          <w:highlight w:val="none"/>
          <w14:textFill>
            <w14:solidFill>
              <w14:schemeClr w14:val="tx1"/>
            </w14:solidFill>
          </w14:textFill>
        </w:rPr>
        <w:t>）投标单位反商业贿赂承诺书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_Toc17833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（八）</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节能、环保产品证明（如有）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_Toc13195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（九）</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中小企业声明函（如是）</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_Toc14418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十</w:t>
      </w:r>
      <w:r>
        <w:rPr>
          <w:rFonts w:hint="eastAsia" w:ascii="仿宋" w:hAnsi="仿宋" w:eastAsia="仿宋" w:cs="仿宋"/>
          <w:b w:val="0"/>
          <w:bCs w:val="0"/>
          <w:color w:val="000000" w:themeColor="text1"/>
          <w:sz w:val="24"/>
          <w:szCs w:val="24"/>
          <w:highlight w:val="none"/>
          <w14:textFill>
            <w14:solidFill>
              <w14:schemeClr w14:val="tx1"/>
            </w14:solidFill>
          </w14:textFill>
        </w:rPr>
        <w:t>）投标保证金</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_Toc3019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val="0"/>
          <w:bCs w:val="0"/>
          <w:color w:val="000000" w:themeColor="text1"/>
          <w:sz w:val="24"/>
          <w:szCs w:val="24"/>
          <w:highlight w:val="none"/>
          <w14:textFill>
            <w14:solidFill>
              <w14:schemeClr w14:val="tx1"/>
            </w14:solidFill>
          </w14:textFill>
        </w:rPr>
        <w:t>）技术条款偏离表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_Toc23781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val="0"/>
          <w:bCs w:val="0"/>
          <w:color w:val="000000" w:themeColor="text1"/>
          <w:sz w:val="24"/>
          <w:szCs w:val="24"/>
          <w:highlight w:val="none"/>
          <w14:textFill>
            <w14:solidFill>
              <w14:schemeClr w14:val="tx1"/>
            </w14:solidFill>
          </w14:textFill>
        </w:rPr>
        <w:t>）投标人基本情况表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_Toc30025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（十三）服务方案</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_Toc15412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val="0"/>
          <w:bCs w:val="0"/>
          <w:color w:val="000000" w:themeColor="text1"/>
          <w:sz w:val="24"/>
          <w:szCs w:val="24"/>
          <w:highlight w:val="none"/>
          <w14:textFill>
            <w14:solidFill>
              <w14:schemeClr w14:val="tx1"/>
            </w14:solidFill>
          </w14:textFill>
        </w:rPr>
        <w:t>）质量保证措施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_Toc23967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售后</w:t>
      </w:r>
      <w:r>
        <w:rPr>
          <w:rFonts w:hint="eastAsia" w:ascii="仿宋" w:hAnsi="仿宋" w:eastAsia="仿宋" w:cs="仿宋"/>
          <w:b w:val="0"/>
          <w:bCs w:val="0"/>
          <w:color w:val="000000" w:themeColor="text1"/>
          <w:sz w:val="24"/>
          <w:szCs w:val="24"/>
          <w:highlight w:val="none"/>
          <w14:textFill>
            <w14:solidFill>
              <w14:schemeClr w14:val="tx1"/>
            </w14:solidFill>
          </w14:textFill>
        </w:rPr>
        <w:t>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_Toc25484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）其他有利于投标人的资料（如有）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5.2</w:t>
      </w:r>
      <w:r>
        <w:rPr>
          <w:rFonts w:hint="eastAsia" w:ascii="仿宋" w:hAnsi="仿宋" w:eastAsia="仿宋" w:cs="仿宋"/>
          <w:color w:val="000000" w:themeColor="text1"/>
          <w:highlight w:val="none"/>
          <w14:textFill>
            <w14:solidFill>
              <w14:schemeClr w14:val="tx1"/>
            </w14:solidFill>
          </w14:textFill>
        </w:rPr>
        <w:t xml:space="preserve"> 报价人应仔细阅读谈判文件中所有内容。代理机构将拒绝未按照谈判文件的要求提供全部资料或提交的谈判响应文件未对谈判文件做出实质性响应的报价。</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6、谈判文件的澄清</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14:textFill>
            <w14:solidFill>
              <w14:schemeClr w14:val="tx1"/>
            </w14:solidFill>
          </w14:textFill>
        </w:rPr>
        <w:t xml:space="preserve"> 投标企业下载竞争性谈判文件后请仔细阅读，如对竞争性谈判文件内容有质疑，投标人应自收到采购文件之日或者采购文件公告期限届满之日（公告发布后的第3个工作日）起</w:t>
      </w:r>
      <w:r>
        <w:rPr>
          <w:rFonts w:hint="eastAsia" w:ascii="仿宋" w:hAnsi="仿宋" w:eastAsia="仿宋" w:cs="仿宋"/>
          <w:color w:val="000000" w:themeColor="text1"/>
          <w:highlight w:val="none"/>
          <w:lang w:val="en-US" w:eastAsia="zh-CN"/>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个工作日内按竞争性谈判文件中载明的邮箱：</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lang w:val="en-US" w:eastAsia="zh-CN"/>
          <w14:textFill>
            <w14:solidFill>
              <w14:schemeClr w14:val="tx1"/>
            </w14:solidFill>
          </w14:textFill>
        </w:rPr>
        <w:t>906069379@qq.com</w:t>
      </w:r>
      <w:r>
        <w:rPr>
          <w:rFonts w:hint="eastAsia" w:ascii="仿宋" w:hAnsi="仿宋" w:eastAsia="仿宋" w:cs="仿宋"/>
          <w:color w:val="000000" w:themeColor="text1"/>
          <w:highlight w:val="none"/>
          <w14:textFill>
            <w14:solidFill>
              <w14:schemeClr w14:val="tx1"/>
            </w14:solidFill>
          </w14:textFill>
        </w:rPr>
        <w:t>地址，以书面形式、应加盖公章通知招标人。招标人认为必要时，将（澄清）修改后的公告发布在新疆政府采购网，敬请投标企业及时关注。在规定期限内投标企业未提出质疑的视为投标企业默认竞争性谈判文件不存在质疑的相关问题。超过竞争性谈判文件质疑时间将不再接受投标企业所提出的质疑。</w:t>
      </w:r>
      <w:r>
        <w:rPr>
          <w:rFonts w:hint="eastAsia" w:ascii="仿宋" w:hAnsi="仿宋" w:eastAsia="仿宋" w:cs="仿宋"/>
          <w:color w:val="000000" w:themeColor="text1"/>
          <w:highlight w:val="none"/>
          <w14:textFill>
            <w14:solidFill>
              <w14:schemeClr w14:val="tx1"/>
            </w14:solidFill>
          </w14:textFill>
        </w:rPr>
        <w:fldChar w:fldCharType="end"/>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7、谈判文件的修改</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7.1</w:t>
      </w:r>
      <w:r>
        <w:rPr>
          <w:rFonts w:hint="eastAsia" w:ascii="仿宋" w:hAnsi="仿宋" w:eastAsia="仿宋" w:cs="仿宋"/>
          <w:color w:val="000000" w:themeColor="text1"/>
          <w:highlight w:val="none"/>
          <w14:textFill>
            <w14:solidFill>
              <w14:schemeClr w14:val="tx1"/>
            </w14:solidFill>
          </w14:textFill>
        </w:rPr>
        <w:t xml:space="preserve"> 在开标时间</w:t>
      </w:r>
      <w:r>
        <w:rPr>
          <w:rFonts w:hint="eastAsia" w:ascii="仿宋" w:hAnsi="仿宋" w:eastAsia="仿宋" w:cs="仿宋"/>
          <w:color w:val="000000" w:themeColor="text1"/>
          <w:highlight w:val="none"/>
          <w:u w:val="single"/>
          <w14:textFill>
            <w14:solidFill>
              <w14:schemeClr w14:val="tx1"/>
            </w14:solidFill>
          </w14:textFill>
        </w:rPr>
        <w:t>24</w:t>
      </w:r>
      <w:r>
        <w:rPr>
          <w:rFonts w:hint="eastAsia" w:ascii="仿宋" w:hAnsi="仿宋" w:eastAsia="仿宋" w:cs="仿宋"/>
          <w:color w:val="000000" w:themeColor="text1"/>
          <w:highlight w:val="none"/>
          <w14:textFill>
            <w14:solidFill>
              <w14:schemeClr w14:val="tx1"/>
            </w14:solidFill>
          </w14:textFill>
        </w:rPr>
        <w:t>小时以前，采购人都可能以《文件补充》的方式修改竞争性谈判文件文件，代理公司将于开标前2天在本次招标公告刊登的媒体（</w:t>
      </w:r>
      <w:r>
        <w:rPr>
          <w:rFonts w:hint="eastAsia" w:ascii="仿宋" w:hAnsi="仿宋" w:eastAsia="仿宋" w:cs="仿宋"/>
          <w:color w:val="000000" w:themeColor="text1"/>
          <w:highlight w:val="none"/>
          <w:lang w:val="en-US" w:eastAsia="zh-CN"/>
          <w14:textFill>
            <w14:solidFill>
              <w14:schemeClr w14:val="tx1"/>
            </w14:solidFill>
          </w14:textFill>
        </w:rPr>
        <w:t>新疆政府采购网</w:t>
      </w:r>
      <w:r>
        <w:rPr>
          <w:rFonts w:hint="eastAsia" w:ascii="仿宋" w:hAnsi="仿宋" w:eastAsia="仿宋" w:cs="仿宋"/>
          <w:color w:val="000000" w:themeColor="text1"/>
          <w:highlight w:val="none"/>
          <w14:textFill>
            <w14:solidFill>
              <w14:schemeClr w14:val="tx1"/>
            </w14:solidFill>
          </w14:textFill>
        </w:rPr>
        <w:t>）上予以公布，该补充或修改的内容为竞争性谈判文件文件的组成部分；补充或修改不足2天的，应顺延投标截至时间。</w:t>
      </w:r>
    </w:p>
    <w:p>
      <w:pPr>
        <w:spacing w:line="360" w:lineRule="auto"/>
        <w:rPr>
          <w:rFonts w:hint="eastAsia" w:ascii="仿宋" w:hAnsi="仿宋" w:eastAsia="仿宋" w:cs="仿宋"/>
          <w:snapToGrid w:val="0"/>
          <w:color w:val="000000" w:themeColor="text1"/>
          <w:kern w:val="0"/>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7.2</w:t>
      </w:r>
      <w:r>
        <w:rPr>
          <w:rFonts w:hint="eastAsia" w:ascii="仿宋" w:hAnsi="仿宋" w:eastAsia="仿宋" w:cs="仿宋"/>
          <w:color w:val="000000" w:themeColor="text1"/>
          <w:highlight w:val="none"/>
          <w14:textFill>
            <w14:solidFill>
              <w14:schemeClr w14:val="tx1"/>
            </w14:solidFill>
          </w14:textFill>
        </w:rPr>
        <w:t xml:space="preserve"> 《竞争性谈判文件补充》作为竞争性谈判文件的组成部分，对采购人具有同等约束力。如果竞争性谈判文件补充内容与此竞争性谈判文件补充发出之前的竞争性谈判文件</w:t>
      </w:r>
      <w:r>
        <w:rPr>
          <w:rFonts w:hint="eastAsia" w:ascii="仿宋" w:hAnsi="仿宋" w:eastAsia="仿宋" w:cs="仿宋"/>
          <w:snapToGrid w:val="0"/>
          <w:color w:val="000000" w:themeColor="text1"/>
          <w:kern w:val="0"/>
          <w:highlight w:val="none"/>
          <w14:textFill>
            <w14:solidFill>
              <w14:schemeClr w14:val="tx1"/>
            </w14:solidFill>
          </w14:textFill>
        </w:rPr>
        <w:t>等书面材料中相关内容相冲突，请投标人执行</w:t>
      </w:r>
      <w:r>
        <w:rPr>
          <w:rFonts w:hint="eastAsia" w:ascii="仿宋" w:hAnsi="仿宋" w:eastAsia="仿宋" w:cs="仿宋"/>
          <w:color w:val="000000" w:themeColor="text1"/>
          <w:highlight w:val="none"/>
          <w14:textFill>
            <w14:solidFill>
              <w14:schemeClr w14:val="tx1"/>
            </w14:solidFill>
          </w14:textFill>
        </w:rPr>
        <w:t>竞争性谈判文件</w:t>
      </w:r>
      <w:r>
        <w:rPr>
          <w:rFonts w:hint="eastAsia" w:ascii="仿宋" w:hAnsi="仿宋" w:eastAsia="仿宋" w:cs="仿宋"/>
          <w:snapToGrid w:val="0"/>
          <w:color w:val="000000" w:themeColor="text1"/>
          <w:kern w:val="0"/>
          <w:highlight w:val="none"/>
          <w14:textFill>
            <w14:solidFill>
              <w14:schemeClr w14:val="tx1"/>
            </w14:solidFill>
          </w14:textFill>
        </w:rPr>
        <w:t>补充的相关内容，先前发出的文件等书面材料中相关内容自动废止。</w:t>
      </w:r>
    </w:p>
    <w:p>
      <w:pPr>
        <w:spacing w:line="360" w:lineRule="auto"/>
        <w:rPr>
          <w:rFonts w:hint="eastAsia" w:ascii="仿宋" w:hAnsi="仿宋" w:eastAsia="仿宋" w:cs="仿宋"/>
          <w:snapToGrid w:val="0"/>
          <w:color w:val="000000" w:themeColor="text1"/>
          <w:kern w:val="0"/>
          <w:highlight w:val="none"/>
          <w14:textFill>
            <w14:solidFill>
              <w14:schemeClr w14:val="tx1"/>
            </w14:solidFill>
          </w14:textFill>
        </w:rPr>
      </w:pPr>
      <w:r>
        <w:rPr>
          <w:rFonts w:hint="eastAsia" w:ascii="仿宋" w:hAnsi="仿宋" w:eastAsia="仿宋" w:cs="仿宋"/>
          <w:b/>
          <w:snapToGrid w:val="0"/>
          <w:color w:val="000000" w:themeColor="text1"/>
          <w:kern w:val="0"/>
          <w:highlight w:val="none"/>
          <w14:textFill>
            <w14:solidFill>
              <w14:schemeClr w14:val="tx1"/>
            </w14:solidFill>
          </w14:textFill>
        </w:rPr>
        <w:t>7.3</w:t>
      </w:r>
      <w:r>
        <w:rPr>
          <w:rFonts w:hint="eastAsia" w:ascii="仿宋" w:hAnsi="仿宋" w:eastAsia="仿宋" w:cs="仿宋"/>
          <w:snapToGrid w:val="0"/>
          <w:color w:val="000000" w:themeColor="text1"/>
          <w:kern w:val="0"/>
          <w:highlight w:val="none"/>
          <w14:textFill>
            <w14:solidFill>
              <w14:schemeClr w14:val="tx1"/>
            </w14:solidFill>
          </w14:textFill>
        </w:rPr>
        <w:t xml:space="preserve"> 为使投标人在编制谈判响应文件时把《文件补充》内容考虑进去，采购人可以相应延长谈判截止日期，具体时间将在《文件补充》中写明。</w:t>
      </w:r>
    </w:p>
    <w:p>
      <w:pPr>
        <w:pStyle w:val="6"/>
        <w:spacing w:line="36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snapToGrid w:val="0"/>
          <w:color w:val="000000" w:themeColor="text1"/>
          <w:kern w:val="0"/>
          <w:highlight w:val="none"/>
          <w14:textFill>
            <w14:solidFill>
              <w14:schemeClr w14:val="tx1"/>
            </w14:solidFill>
          </w14:textFill>
        </w:rPr>
        <w:t xml:space="preserve">7.4 </w:t>
      </w:r>
      <w:r>
        <w:rPr>
          <w:rFonts w:hint="eastAsia" w:ascii="仿宋" w:hAnsi="仿宋" w:eastAsia="仿宋" w:cs="仿宋"/>
          <w:color w:val="000000" w:themeColor="text1"/>
          <w:highlight w:val="none"/>
          <w14:textFill>
            <w14:solidFill>
              <w14:schemeClr w14:val="tx1"/>
            </w14:solidFill>
          </w14:textFill>
        </w:rPr>
        <w:t>对于投标人澄清要求有必要时，或者竞争性谈判文件的修改补充文件，招标机构均将在本次竞争性谈判公告刊登的媒体（</w:t>
      </w:r>
      <w:r>
        <w:rPr>
          <w:rFonts w:hint="eastAsia" w:ascii="仿宋" w:hAnsi="仿宋" w:eastAsia="仿宋" w:cs="仿宋"/>
          <w:color w:val="000000" w:themeColor="text1"/>
          <w:highlight w:val="none"/>
          <w:lang w:val="en-US" w:eastAsia="zh-CN"/>
          <w14:textFill>
            <w14:solidFill>
              <w14:schemeClr w14:val="tx1"/>
            </w14:solidFill>
          </w14:textFill>
        </w:rPr>
        <w:t>新疆政府采购网</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上</w:t>
      </w:r>
      <w:r>
        <w:rPr>
          <w:rFonts w:hint="eastAsia" w:ascii="仿宋" w:hAnsi="仿宋" w:eastAsia="仿宋" w:cs="仿宋"/>
          <w:color w:val="000000" w:themeColor="text1"/>
          <w:highlight w:val="none"/>
          <w14:textFill>
            <w14:solidFill>
              <w14:schemeClr w14:val="tx1"/>
            </w14:solidFill>
          </w14:textFill>
        </w:rPr>
        <w:t>予以公布。请各投标人注意！</w:t>
      </w:r>
    </w:p>
    <w:p>
      <w:pPr>
        <w:pStyle w:val="4"/>
        <w:spacing w:line="360" w:lineRule="auto"/>
        <w:ind w:firstLine="3204" w:firstLineChars="1140"/>
        <w:rPr>
          <w:rFonts w:hint="eastAsia" w:ascii="仿宋" w:hAnsi="仿宋" w:eastAsia="仿宋" w:cs="仿宋"/>
          <w:snapToGrid w:val="0"/>
          <w:color w:val="000000" w:themeColor="text1"/>
          <w:kern w:val="0"/>
          <w:sz w:val="28"/>
          <w:highlight w:val="none"/>
          <w14:textFill>
            <w14:solidFill>
              <w14:schemeClr w14:val="tx1"/>
            </w14:solidFill>
          </w14:textFill>
        </w:rPr>
      </w:pPr>
      <w:bookmarkStart w:id="31" w:name="_Toc9357"/>
      <w:bookmarkStart w:id="32" w:name="_Toc15024"/>
      <w:r>
        <w:rPr>
          <w:rFonts w:hint="eastAsia" w:ascii="仿宋" w:hAnsi="仿宋" w:eastAsia="仿宋" w:cs="仿宋"/>
          <w:snapToGrid w:val="0"/>
          <w:color w:val="000000" w:themeColor="text1"/>
          <w:kern w:val="0"/>
          <w:sz w:val="28"/>
          <w:highlight w:val="none"/>
          <w14:textFill>
            <w14:solidFill>
              <w14:schemeClr w14:val="tx1"/>
            </w14:solidFill>
          </w14:textFill>
        </w:rPr>
        <w:t>三、谈判响应文件的编制</w:t>
      </w:r>
      <w:bookmarkEnd w:id="31"/>
      <w:bookmarkEnd w:id="32"/>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8、谈判响应文件的编写</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8.1</w:t>
      </w:r>
      <w:r>
        <w:rPr>
          <w:rFonts w:hint="eastAsia" w:ascii="仿宋" w:hAnsi="仿宋" w:eastAsia="仿宋" w:cs="仿宋"/>
          <w:color w:val="000000" w:themeColor="text1"/>
          <w:highlight w:val="none"/>
          <w14:textFill>
            <w14:solidFill>
              <w14:schemeClr w14:val="tx1"/>
            </w14:solidFill>
          </w14:textFill>
        </w:rPr>
        <w:t xml:space="preserve"> 报价人应仔细阅读谈判文件，了解文件的要求。在充分理解谈判文件提出的技术要求、服务和商务条件后，编制谈判响应文件。</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9、谈判及报价语言</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9.1 </w:t>
      </w:r>
      <w:r>
        <w:rPr>
          <w:rFonts w:hint="eastAsia" w:ascii="仿宋" w:hAnsi="仿宋" w:eastAsia="仿宋" w:cs="仿宋"/>
          <w:color w:val="000000" w:themeColor="text1"/>
          <w:highlight w:val="none"/>
          <w14:textFill>
            <w14:solidFill>
              <w14:schemeClr w14:val="tx1"/>
            </w14:solidFill>
          </w14:textFill>
        </w:rPr>
        <w:t>报价人的谈判响应文件以及报价人与代理机构就有关谈判活动的所有来往函电均应使用中文。如果谈判响应文件或与谈判有关的其他文件、信件及来往函电以其他语言书写，报价人应将其译成中文。</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9.2</w:t>
      </w:r>
      <w:r>
        <w:rPr>
          <w:rFonts w:hint="eastAsia" w:ascii="仿宋" w:hAnsi="仿宋" w:eastAsia="仿宋" w:cs="仿宋"/>
          <w:color w:val="000000" w:themeColor="text1"/>
          <w:highlight w:val="none"/>
          <w14:textFill>
            <w14:solidFill>
              <w14:schemeClr w14:val="tx1"/>
            </w14:solidFill>
          </w14:textFill>
        </w:rPr>
        <w:t xml:space="preserve"> 谈判响应文件中使用的计量单位除谈判文件中有特殊规定外，一律使用法定计量单位。</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10、谈判响应文件构成：</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详细如下：</w:t>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_Toc3314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（一）投标函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_Toc6723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（二）投标人资格证明文件</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_Toc18466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（三）商务偏离表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_Toc31364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（四）开标一览表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_Toc14099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（五）</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w:t>
      </w:r>
      <w:r>
        <w:rPr>
          <w:rFonts w:hint="eastAsia" w:ascii="仿宋" w:hAnsi="仿宋" w:eastAsia="仿宋" w:cs="仿宋"/>
          <w:b w:val="0"/>
          <w:bCs w:val="0"/>
          <w:color w:val="000000" w:themeColor="text1"/>
          <w:sz w:val="24"/>
          <w:szCs w:val="24"/>
          <w:highlight w:val="none"/>
          <w14:textFill>
            <w14:solidFill>
              <w14:schemeClr w14:val="tx1"/>
            </w14:solidFill>
          </w14:textFill>
        </w:rPr>
        <w:t>报价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明细</w:t>
      </w:r>
      <w:r>
        <w:rPr>
          <w:rFonts w:hint="eastAsia" w:ascii="仿宋" w:hAnsi="仿宋" w:eastAsia="仿宋" w:cs="仿宋"/>
          <w:b w:val="0"/>
          <w:bCs w:val="0"/>
          <w:color w:val="000000" w:themeColor="text1"/>
          <w:sz w:val="24"/>
          <w:szCs w:val="24"/>
          <w:highlight w:val="none"/>
          <w14:textFill>
            <w14:solidFill>
              <w14:schemeClr w14:val="tx1"/>
            </w14:solidFill>
          </w14:textFill>
        </w:rPr>
        <w:t>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_Toc12085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）法定代表人身份证明及法定代表人授权委托书格式</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_Toc656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七</w:t>
      </w:r>
      <w:r>
        <w:rPr>
          <w:rFonts w:hint="eastAsia" w:ascii="仿宋" w:hAnsi="仿宋" w:eastAsia="仿宋" w:cs="仿宋"/>
          <w:b w:val="0"/>
          <w:bCs w:val="0"/>
          <w:color w:val="000000" w:themeColor="text1"/>
          <w:sz w:val="24"/>
          <w:szCs w:val="24"/>
          <w:highlight w:val="none"/>
          <w14:textFill>
            <w14:solidFill>
              <w14:schemeClr w14:val="tx1"/>
            </w14:solidFill>
          </w14:textFill>
        </w:rPr>
        <w:t>）投标单位反商业贿赂承诺书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_Toc17833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（八）</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节能、环保产品证明（如有）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_Toc13195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（九）</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中小企业声明函（如是）</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_Toc14418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十</w:t>
      </w:r>
      <w:r>
        <w:rPr>
          <w:rFonts w:hint="eastAsia" w:ascii="仿宋" w:hAnsi="仿宋" w:eastAsia="仿宋" w:cs="仿宋"/>
          <w:b w:val="0"/>
          <w:bCs w:val="0"/>
          <w:color w:val="000000" w:themeColor="text1"/>
          <w:sz w:val="24"/>
          <w:szCs w:val="24"/>
          <w:highlight w:val="none"/>
          <w14:textFill>
            <w14:solidFill>
              <w14:schemeClr w14:val="tx1"/>
            </w14:solidFill>
          </w14:textFill>
        </w:rPr>
        <w:t>）投标保证金</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_Toc3019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val="0"/>
          <w:bCs w:val="0"/>
          <w:color w:val="000000" w:themeColor="text1"/>
          <w:sz w:val="24"/>
          <w:szCs w:val="24"/>
          <w:highlight w:val="none"/>
          <w14:textFill>
            <w14:solidFill>
              <w14:schemeClr w14:val="tx1"/>
            </w14:solidFill>
          </w14:textFill>
        </w:rPr>
        <w:t>）技术条款偏离表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_Toc23781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val="0"/>
          <w:bCs w:val="0"/>
          <w:color w:val="000000" w:themeColor="text1"/>
          <w:sz w:val="24"/>
          <w:szCs w:val="24"/>
          <w:highlight w:val="none"/>
          <w14:textFill>
            <w14:solidFill>
              <w14:schemeClr w14:val="tx1"/>
            </w14:solidFill>
          </w14:textFill>
        </w:rPr>
        <w:t>）投标人基本情况表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_Toc30025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（十三）服务方案</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_Toc15412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val="0"/>
          <w:bCs w:val="0"/>
          <w:color w:val="000000" w:themeColor="text1"/>
          <w:sz w:val="24"/>
          <w:szCs w:val="24"/>
          <w:highlight w:val="none"/>
          <w14:textFill>
            <w14:solidFill>
              <w14:schemeClr w14:val="tx1"/>
            </w14:solidFill>
          </w14:textFill>
        </w:rPr>
        <w:t>）质量保证措施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_Toc23967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售后</w:t>
      </w:r>
      <w:r>
        <w:rPr>
          <w:rFonts w:hint="eastAsia" w:ascii="仿宋" w:hAnsi="仿宋" w:eastAsia="仿宋" w:cs="仿宋"/>
          <w:b w:val="0"/>
          <w:bCs w:val="0"/>
          <w:color w:val="000000" w:themeColor="text1"/>
          <w:sz w:val="24"/>
          <w:szCs w:val="24"/>
          <w:highlight w:val="none"/>
          <w14:textFill>
            <w14:solidFill>
              <w14:schemeClr w14:val="tx1"/>
            </w14:solidFill>
          </w14:textFill>
        </w:rPr>
        <w:t>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_Toc25484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）其他有利于投标人的资料（如有）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11、报价：</w:t>
      </w:r>
    </w:p>
    <w:p>
      <w:pPr>
        <w:spacing w:line="360" w:lineRule="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11.1 </w:t>
      </w:r>
      <w:r>
        <w:rPr>
          <w:rFonts w:hint="eastAsia" w:ascii="仿宋" w:hAnsi="仿宋" w:eastAsia="仿宋" w:cs="仿宋"/>
          <w:b/>
          <w:bCs/>
          <w:color w:val="000000" w:themeColor="text1"/>
          <w:highlight w:val="none"/>
          <w14:textFill>
            <w14:solidFill>
              <w14:schemeClr w14:val="tx1"/>
            </w14:solidFill>
          </w14:textFill>
        </w:rPr>
        <w:t>投标总报价超预算金额的，其报价无效，不进入评标阶段。</w:t>
      </w:r>
    </w:p>
    <w:p>
      <w:pPr>
        <w:spacing w:line="44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11.2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招标方不接受任何有选择性的报价。</w:t>
      </w:r>
    </w:p>
    <w:p>
      <w:pPr>
        <w:spacing w:line="44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11.3 报价人如果免费提供某项产品、部件或服务，除在价格栏中填写“0”外，还必须在备注栏中声明免费或赠送。</w:t>
      </w:r>
    </w:p>
    <w:p>
      <w:pPr>
        <w:spacing w:line="44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11.4 投标报价时应注意包括下列几项费用：</w:t>
      </w:r>
    </w:p>
    <w:p>
      <w:pPr>
        <w:spacing w:line="44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 招标文件中特别要求的备品备件、易损件和专用工具的费用；</w:t>
      </w:r>
    </w:p>
    <w:p>
      <w:pPr>
        <w:spacing w:line="44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 招标文件中特别要求的货物的供应、运输、装卸、安装、调试、税费等全部费用；</w:t>
      </w:r>
    </w:p>
    <w:p>
      <w:pPr>
        <w:spacing w:line="44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 报价人提供的在中华人民共和国制造的货物，其货物的投标价即交货价中，包括制造、组装该货物所使用的零部件及原材料已付的全部关税、销售税和其他税。</w:t>
      </w:r>
    </w:p>
    <w:p>
      <w:pPr>
        <w:spacing w:line="44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 综合单价必须包括供应、运输、装卸、安装、调试、税费等全部报价。</w:t>
      </w:r>
    </w:p>
    <w:p>
      <w:pPr>
        <w:spacing w:line="44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11.5 </w:t>
      </w:r>
      <w:r>
        <w:rPr>
          <w:rFonts w:hint="eastAsia" w:ascii="仿宋" w:hAnsi="仿宋" w:eastAsia="仿宋" w:cs="仿宋"/>
          <w:bCs/>
          <w:color w:val="000000" w:themeColor="text1"/>
          <w:highlight w:val="none"/>
          <w14:textFill>
            <w14:solidFill>
              <w14:schemeClr w14:val="tx1"/>
            </w14:solidFill>
          </w14:textFill>
        </w:rPr>
        <w:t>报价</w:t>
      </w:r>
      <w:r>
        <w:rPr>
          <w:rFonts w:hint="eastAsia" w:ascii="仿宋" w:hAnsi="仿宋" w:eastAsia="仿宋" w:cs="仿宋"/>
          <w:color w:val="000000" w:themeColor="text1"/>
          <w:highlight w:val="none"/>
          <w14:textFill>
            <w14:solidFill>
              <w14:schemeClr w14:val="tx1"/>
            </w14:solidFill>
          </w14:textFill>
        </w:rPr>
        <w:t>人应对投标货物提供完整的详细的书面说明。</w:t>
      </w:r>
    </w:p>
    <w:p>
      <w:pPr>
        <w:spacing w:line="44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11.6投标报价单位为人民币。各项价格必须清楚、准确、详细。</w:t>
      </w:r>
    </w:p>
    <w:p>
      <w:pPr>
        <w:spacing w:line="44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11.7报价方提供的在中华人民共和国制造的货物，或已在中华人民共和国境内的、国外生产的、已经进口货物，其货物的报价即交货价中，包括制造、组装该货物所使用的零部件及原材料已付的全部关税、销售税和其他税。</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12、报价货币</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12.1</w:t>
      </w:r>
      <w:r>
        <w:rPr>
          <w:rFonts w:hint="eastAsia" w:ascii="仿宋" w:hAnsi="仿宋" w:eastAsia="仿宋" w:cs="仿宋"/>
          <w:color w:val="000000" w:themeColor="text1"/>
          <w:highlight w:val="none"/>
          <w14:textFill>
            <w14:solidFill>
              <w14:schemeClr w14:val="tx1"/>
            </w14:solidFill>
          </w14:textFill>
        </w:rPr>
        <w:t xml:space="preserve"> 报价应以人民币报价。</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13、证明报价人资格的文件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13.1</w:t>
      </w:r>
      <w:r>
        <w:rPr>
          <w:rFonts w:hint="eastAsia" w:ascii="仿宋" w:hAnsi="仿宋" w:eastAsia="仿宋" w:cs="仿宋"/>
          <w:color w:val="000000" w:themeColor="text1"/>
          <w:highlight w:val="none"/>
          <w14:textFill>
            <w14:solidFill>
              <w14:schemeClr w14:val="tx1"/>
            </w14:solidFill>
          </w14:textFill>
        </w:rPr>
        <w:t xml:space="preserve"> 报价人应提交证明其有资格参加谈判和一旦成交则有能力履行合同的文件，并作为其谈判响应文件的一部分。详细如下：</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13.1.1 报价人有效“工商营业执照”副本内页；</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13.1.2 法人代表资格证明书或法人代表授权书；</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13.1.3 法人代表身份证或法人授权代表身份证；</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13.1.4近一年来经审计或税务部门审核的年度财务报表（包括：损益表、资产负债表、现金流量表。</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13.1.5</w:t>
      </w:r>
      <w:r>
        <w:rPr>
          <w:rFonts w:hint="eastAsia" w:ascii="仿宋" w:hAnsi="仿宋" w:eastAsia="仿宋" w:cs="仿宋"/>
          <w:b/>
          <w:color w:val="000000" w:themeColor="text1"/>
          <w:highlight w:val="none"/>
          <w14:textFill>
            <w14:solidFill>
              <w14:schemeClr w14:val="tx1"/>
            </w14:solidFill>
          </w14:textFill>
        </w:rPr>
        <w:t xml:space="preserve"> </w:t>
      </w:r>
      <w:r>
        <w:rPr>
          <w:rFonts w:hint="eastAsia" w:ascii="仿宋" w:hAnsi="仿宋" w:eastAsia="仿宋" w:cs="仿宋"/>
          <w:bCs/>
          <w:color w:val="000000" w:themeColor="text1"/>
          <w:highlight w:val="none"/>
          <w14:textFill>
            <w14:solidFill>
              <w14:schemeClr w14:val="tx1"/>
            </w14:solidFill>
          </w14:textFill>
        </w:rPr>
        <w:t>其他招标文件中要求列出的资格证明文件。</w:t>
      </w:r>
    </w:p>
    <w:p>
      <w:pPr>
        <w:pStyle w:val="24"/>
        <w:ind w:left="0" w:leftChars="0" w:firstLine="0" w:firstLineChars="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13.1.6 投标单位认为有必要提供的声明及文件资料。</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14、报价人应逐条详细阅读谈判文件有关要求，表明所提供的服务是否对文件做出实质性响应。</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15、谈判响应文件的有效期</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15.1</w:t>
      </w:r>
      <w:r>
        <w:rPr>
          <w:rFonts w:hint="eastAsia" w:ascii="仿宋" w:hAnsi="仿宋" w:eastAsia="仿宋" w:cs="仿宋"/>
          <w:color w:val="000000" w:themeColor="text1"/>
          <w:highlight w:val="none"/>
          <w14:textFill>
            <w14:solidFill>
              <w14:schemeClr w14:val="tx1"/>
            </w14:solidFill>
          </w14:textFill>
        </w:rPr>
        <w:t xml:space="preserve"> 谈判响应文件从实质谈判之日起</w:t>
      </w:r>
      <w:r>
        <w:rPr>
          <w:rFonts w:hint="eastAsia" w:ascii="仿宋" w:hAnsi="仿宋" w:eastAsia="仿宋" w:cs="仿宋"/>
          <w:color w:val="000000" w:themeColor="text1"/>
          <w:highlight w:val="none"/>
          <w:lang w:val="en-US" w:eastAsia="zh-CN"/>
          <w14:textFill>
            <w14:solidFill>
              <w14:schemeClr w14:val="tx1"/>
            </w14:solidFill>
          </w14:textFill>
        </w:rPr>
        <w:t>90</w:t>
      </w:r>
      <w:r>
        <w:rPr>
          <w:rFonts w:hint="eastAsia" w:ascii="仿宋" w:hAnsi="仿宋" w:eastAsia="仿宋" w:cs="仿宋"/>
          <w:color w:val="000000" w:themeColor="text1"/>
          <w:highlight w:val="none"/>
          <w14:textFill>
            <w14:solidFill>
              <w14:schemeClr w14:val="tx1"/>
            </w14:solidFill>
          </w14:textFill>
        </w:rPr>
        <w:t>天内有效。</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15.2</w:t>
      </w:r>
      <w:r>
        <w:rPr>
          <w:rFonts w:hint="eastAsia" w:ascii="仿宋" w:hAnsi="仿宋" w:eastAsia="仿宋" w:cs="仿宋"/>
          <w:color w:val="000000" w:themeColor="text1"/>
          <w:highlight w:val="none"/>
          <w14:textFill>
            <w14:solidFill>
              <w14:schemeClr w14:val="tx1"/>
            </w14:solidFill>
          </w14:textFill>
        </w:rPr>
        <w:t xml:space="preserve"> 如遇特殊情况，在原报价有效期届满之前，采购人可与报价人协商延长谈判响应文件的有效期，并经报价人确认。</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16、谈判响应文件的份数、签署、字体、装订</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16.1</w:t>
      </w:r>
      <w:r>
        <w:rPr>
          <w:rFonts w:hint="eastAsia" w:ascii="仿宋" w:hAnsi="仿宋" w:eastAsia="仿宋" w:cs="仿宋"/>
          <w:color w:val="000000" w:themeColor="text1"/>
          <w:highlight w:val="none"/>
          <w14:textFill>
            <w14:solidFill>
              <w14:schemeClr w14:val="tx1"/>
            </w14:solidFill>
          </w14:textFill>
        </w:rPr>
        <w:t>报价人必须按“报价人须知前附表”中规定的“正本”和“副本”份数，谈判响应文件正本和副本如有不一致之处，以正本为准，电子版投标文件与纸质投标文件不一致时，以纸质投标文件为准，参考资料数量不限。</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16.2</w:t>
      </w:r>
      <w:r>
        <w:rPr>
          <w:rFonts w:hint="eastAsia" w:ascii="仿宋" w:hAnsi="仿宋" w:eastAsia="仿宋" w:cs="仿宋"/>
          <w:color w:val="000000" w:themeColor="text1"/>
          <w:highlight w:val="none"/>
          <w14:textFill>
            <w14:solidFill>
              <w14:schemeClr w14:val="tx1"/>
            </w14:solidFill>
          </w14:textFill>
        </w:rPr>
        <w:t xml:space="preserve"> 谈判响应文件正本与副本须用A4纸用不褪色的墨水笔书写或打印。谈判响应文件的书写应清楚工整，修改处须由报价人法人代表或授权委托人代表签章。</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16.3</w:t>
      </w:r>
      <w:r>
        <w:rPr>
          <w:rFonts w:hint="eastAsia" w:ascii="仿宋" w:hAnsi="仿宋" w:eastAsia="仿宋" w:cs="仿宋"/>
          <w:color w:val="000000" w:themeColor="text1"/>
          <w:highlight w:val="none"/>
          <w14:textFill>
            <w14:solidFill>
              <w14:schemeClr w14:val="tx1"/>
            </w14:solidFill>
          </w14:textFill>
        </w:rPr>
        <w:t xml:space="preserve"> 谈判响应文件应由企业法人或法人授权代表在规定签章处逐一签署及加盖单位公章。</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16.4</w:t>
      </w:r>
      <w:r>
        <w:rPr>
          <w:rFonts w:hint="eastAsia" w:ascii="仿宋" w:hAnsi="仿宋" w:eastAsia="仿宋" w:cs="仿宋"/>
          <w:color w:val="000000" w:themeColor="text1"/>
          <w:highlight w:val="none"/>
          <w14:textFill>
            <w14:solidFill>
              <w14:schemeClr w14:val="tx1"/>
            </w14:solidFill>
          </w14:textFill>
        </w:rPr>
        <w:t xml:space="preserve"> 谈判响应文件一律采用胶装方式进行装订。</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17、谈判保证金</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17.1</w:t>
      </w:r>
      <w:r>
        <w:rPr>
          <w:rFonts w:hint="eastAsia" w:ascii="仿宋" w:hAnsi="仿宋" w:eastAsia="仿宋" w:cs="仿宋"/>
          <w:color w:val="000000" w:themeColor="text1"/>
          <w:highlight w:val="none"/>
          <w14:textFill>
            <w14:solidFill>
              <w14:schemeClr w14:val="tx1"/>
            </w14:solidFill>
          </w14:textFill>
        </w:rPr>
        <w:t xml:space="preserve"> 谈判保证金数额详见投标须知前附表第</w:t>
      </w:r>
      <w:r>
        <w:rPr>
          <w:rFonts w:hint="eastAsia" w:ascii="仿宋" w:hAnsi="仿宋" w:eastAsia="仿宋" w:cs="仿宋"/>
          <w:color w:val="000000" w:themeColor="text1"/>
          <w:highlight w:val="none"/>
          <w:lang w:val="en-US" w:eastAsia="zh-CN"/>
          <w14:textFill>
            <w14:solidFill>
              <w14:schemeClr w14:val="tx1"/>
            </w14:solidFill>
          </w14:textFill>
        </w:rPr>
        <w:t>15</w:t>
      </w:r>
      <w:r>
        <w:rPr>
          <w:rFonts w:hint="eastAsia" w:ascii="仿宋" w:hAnsi="仿宋" w:eastAsia="仿宋" w:cs="仿宋"/>
          <w:color w:val="000000" w:themeColor="text1"/>
          <w:highlight w:val="none"/>
          <w14:textFill>
            <w14:solidFill>
              <w14:schemeClr w14:val="tx1"/>
            </w14:solidFill>
          </w14:textFill>
        </w:rPr>
        <w:t>条。</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17.2</w:t>
      </w:r>
      <w:r>
        <w:rPr>
          <w:rFonts w:hint="eastAsia" w:ascii="仿宋" w:hAnsi="仿宋" w:eastAsia="仿宋" w:cs="仿宋"/>
          <w:color w:val="000000" w:themeColor="text1"/>
          <w:highlight w:val="none"/>
          <w14:textFill>
            <w14:solidFill>
              <w14:schemeClr w14:val="tx1"/>
            </w14:solidFill>
          </w14:textFill>
        </w:rPr>
        <w:t xml:space="preserve"> 谈判保证金用于应对本次因报价人违规、违约而产生的风险。</w:t>
      </w:r>
    </w:p>
    <w:p>
      <w:pPr>
        <w:spacing w:line="360" w:lineRule="auto"/>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17.3</w:t>
      </w:r>
      <w:r>
        <w:rPr>
          <w:rFonts w:hint="eastAsia" w:ascii="仿宋" w:hAnsi="仿宋" w:eastAsia="仿宋" w:cs="仿宋"/>
          <w:color w:val="000000" w:themeColor="text1"/>
          <w:highlight w:val="none"/>
          <w14:textFill>
            <w14:solidFill>
              <w14:schemeClr w14:val="tx1"/>
            </w14:solidFill>
          </w14:textFill>
        </w:rPr>
        <w:t xml:space="preserve"> 谈判保证金须以单位名义缴纳，未成交单位的谈判保证金，退还给原缴纳单位。谈判保证金应于谈判时间前存入指定账户（开户信息：见【报价须知前附表】）。对未按要求提交谈判保证金的谈判响应文件，谈判小组将视为不响应谈判文件予以拒绝。</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17.4</w:t>
      </w:r>
      <w:r>
        <w:rPr>
          <w:rFonts w:hint="eastAsia" w:ascii="仿宋" w:hAnsi="仿宋" w:eastAsia="仿宋" w:cs="仿宋"/>
          <w:color w:val="000000" w:themeColor="text1"/>
          <w:highlight w:val="none"/>
          <w14:textFill>
            <w14:solidFill>
              <w14:schemeClr w14:val="tx1"/>
            </w14:solidFill>
          </w14:textFill>
        </w:rPr>
        <w:t xml:space="preserve"> 谈判保证金以银行汇票、支票的方式提交，不接受现金及银行保函形式的谈判保证金。</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17.5</w:t>
      </w:r>
      <w:r>
        <w:rPr>
          <w:rFonts w:hint="eastAsia" w:ascii="仿宋" w:hAnsi="仿宋" w:eastAsia="仿宋" w:cs="仿宋"/>
          <w:color w:val="000000" w:themeColor="text1"/>
          <w:highlight w:val="none"/>
          <w14:textFill>
            <w14:solidFill>
              <w14:schemeClr w14:val="tx1"/>
            </w14:solidFill>
          </w14:textFill>
        </w:rPr>
        <w:t xml:space="preserve"> 《成交通知书》发出3日内，采购方向未成交方发出《未成交通知书》并退还谈判保证金。</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17.6</w:t>
      </w:r>
      <w:r>
        <w:rPr>
          <w:rFonts w:hint="eastAsia" w:ascii="仿宋" w:hAnsi="仿宋" w:eastAsia="仿宋" w:cs="仿宋"/>
          <w:color w:val="000000" w:themeColor="text1"/>
          <w:highlight w:val="none"/>
          <w14:textFill>
            <w14:solidFill>
              <w14:schemeClr w14:val="tx1"/>
            </w14:solidFill>
          </w14:textFill>
        </w:rPr>
        <w:t xml:space="preserve"> 在采购方规定的报价有效期满之前，采购方将以书面形式发出《成交通知书》，《成交通知书》一经发出即发生法律效力。</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17.7</w:t>
      </w:r>
      <w:r>
        <w:rPr>
          <w:rFonts w:hint="eastAsia" w:ascii="仿宋" w:hAnsi="仿宋" w:eastAsia="仿宋" w:cs="仿宋"/>
          <w:color w:val="000000" w:themeColor="text1"/>
          <w:highlight w:val="none"/>
          <w14:textFill>
            <w14:solidFill>
              <w14:schemeClr w14:val="tx1"/>
            </w14:solidFill>
          </w14:textFill>
        </w:rPr>
        <w:t>发生以下情况，谈判保证金可能被没收：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17.7.1 投标人在投标有效期内撤回投标文件的；</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17.7.2投标人在投标过程中弄虚作假，提供虚假材料的；</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17.7.3中标人无正当理由不与招标人签订合同的；</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17.7.4其他严重扰乱招投标程序的；</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17.7.5 成交人未能做到：按本章第29条规定签订合同；</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17.7.6 投标人在投标过程中有其他违反有关法律法规行为的。</w:t>
      </w:r>
    </w:p>
    <w:p>
      <w:pPr>
        <w:pStyle w:val="4"/>
        <w:spacing w:line="360" w:lineRule="auto"/>
        <w:ind w:firstLine="3204" w:firstLineChars="1140"/>
        <w:rPr>
          <w:rFonts w:hint="eastAsia" w:ascii="仿宋" w:hAnsi="仿宋" w:eastAsia="仿宋" w:cs="仿宋"/>
          <w:color w:val="000000" w:themeColor="text1"/>
          <w:sz w:val="28"/>
          <w:highlight w:val="none"/>
          <w14:textFill>
            <w14:solidFill>
              <w14:schemeClr w14:val="tx1"/>
            </w14:solidFill>
          </w14:textFill>
        </w:rPr>
      </w:pPr>
      <w:bookmarkStart w:id="33" w:name="_Toc16246"/>
      <w:bookmarkStart w:id="34" w:name="_Toc8723"/>
      <w:r>
        <w:rPr>
          <w:rFonts w:hint="eastAsia" w:ascii="仿宋" w:hAnsi="仿宋" w:eastAsia="仿宋" w:cs="仿宋"/>
          <w:color w:val="000000" w:themeColor="text1"/>
          <w:sz w:val="28"/>
          <w:highlight w:val="none"/>
          <w14:textFill>
            <w14:solidFill>
              <w14:schemeClr w14:val="tx1"/>
            </w14:solidFill>
          </w14:textFill>
        </w:rPr>
        <w:t>四、谈判响应文件递交</w:t>
      </w:r>
      <w:bookmarkEnd w:id="33"/>
      <w:bookmarkEnd w:id="34"/>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18、谈判响应文件的密封与标记</w:t>
      </w:r>
    </w:p>
    <w:p>
      <w:pPr>
        <w:tabs>
          <w:tab w:val="left" w:pos="1662"/>
        </w:tabs>
        <w:autoSpaceDE w:val="0"/>
        <w:autoSpaceDN w:val="0"/>
        <w:spacing w:before="113" w:line="400" w:lineRule="exact"/>
        <w:ind w:left="154" w:leftChars="64"/>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lang w:val="zh-CN"/>
          <w14:textFill>
            <w14:solidFill>
              <w14:schemeClr w14:val="tx1"/>
            </w14:solidFill>
          </w14:textFill>
        </w:rPr>
        <w:t>.1 投标文件的密封详见投标人须知前附表。</w:t>
      </w:r>
    </w:p>
    <w:p>
      <w:pPr>
        <w:tabs>
          <w:tab w:val="left" w:pos="1662"/>
        </w:tabs>
        <w:autoSpaceDE w:val="0"/>
        <w:autoSpaceDN w:val="0"/>
        <w:spacing w:before="113" w:line="400" w:lineRule="exact"/>
        <w:ind w:left="154" w:leftChars="64"/>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lang w:val="zh-CN"/>
          <w14:textFill>
            <w14:solidFill>
              <w14:schemeClr w14:val="tx1"/>
            </w14:solidFill>
          </w14:textFill>
        </w:rPr>
        <w:t>.2 如果投标人未按上述要求对投标文件密封及加写标记，招标代理机构对由此造成的文件的误投或过早启封概不负责，招标代理机构有权予以拒绝，并退回投标人。</w:t>
      </w:r>
    </w:p>
    <w:p>
      <w:pPr>
        <w:tabs>
          <w:tab w:val="left" w:pos="1662"/>
        </w:tabs>
        <w:autoSpaceDE w:val="0"/>
        <w:autoSpaceDN w:val="0"/>
        <w:spacing w:before="113" w:line="400" w:lineRule="exact"/>
        <w:ind w:left="154" w:leftChars="64"/>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lang w:val="zh-CN"/>
          <w14:textFill>
            <w14:solidFill>
              <w14:schemeClr w14:val="tx1"/>
            </w14:solidFill>
          </w14:textFill>
        </w:rPr>
        <w:t>.3 由于不可抗拒的原因或无法控制的事件而导致丢失或损坏投标包装体内的投标文件，招标人将不负责任。</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19、谈判响应文件递交的截止日期</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19.1</w:t>
      </w:r>
      <w:r>
        <w:rPr>
          <w:rFonts w:hint="eastAsia" w:ascii="仿宋" w:hAnsi="仿宋" w:eastAsia="仿宋" w:cs="仿宋"/>
          <w:color w:val="000000" w:themeColor="text1"/>
          <w:highlight w:val="none"/>
          <w14:textFill>
            <w14:solidFill>
              <w14:schemeClr w14:val="tx1"/>
            </w14:solidFill>
          </w14:textFill>
        </w:rPr>
        <w:t xml:space="preserve"> 报价人必须在“报价人须知前附表”中规定的谈判时间前将谈判响应文件送达谈判地点。</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19.2</w:t>
      </w:r>
      <w:r>
        <w:rPr>
          <w:rFonts w:hint="eastAsia" w:ascii="仿宋" w:hAnsi="仿宋" w:eastAsia="仿宋" w:cs="仿宋"/>
          <w:color w:val="000000" w:themeColor="text1"/>
          <w:highlight w:val="none"/>
          <w14:textFill>
            <w14:solidFill>
              <w14:schemeClr w14:val="tx1"/>
            </w14:solidFill>
          </w14:textFill>
        </w:rPr>
        <w:t xml:space="preserve"> 超过谈判文件要求的谈判时间送达或邮寄的谈判响应文件将不予接受。</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20、谈判响应文件的修改和撤销</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20.1</w:t>
      </w:r>
      <w:r>
        <w:rPr>
          <w:rFonts w:hint="eastAsia" w:ascii="仿宋" w:hAnsi="仿宋" w:eastAsia="仿宋" w:cs="仿宋"/>
          <w:color w:val="000000" w:themeColor="text1"/>
          <w:highlight w:val="none"/>
          <w14:textFill>
            <w14:solidFill>
              <w14:schemeClr w14:val="tx1"/>
            </w14:solidFill>
          </w14:textFill>
        </w:rPr>
        <w:t xml:space="preserve"> 报价人可以在递交谈判响应文件后，在谈判时间前，以书面形式向采购人递交通知修改或撤回其谈判响应文件。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20.2</w:t>
      </w:r>
      <w:r>
        <w:rPr>
          <w:rFonts w:hint="eastAsia" w:ascii="仿宋" w:hAnsi="仿宋" w:eastAsia="仿宋" w:cs="仿宋"/>
          <w:color w:val="000000" w:themeColor="text1"/>
          <w:highlight w:val="none"/>
          <w14:textFill>
            <w14:solidFill>
              <w14:schemeClr w14:val="tx1"/>
            </w14:solidFill>
          </w14:textFill>
        </w:rPr>
        <w:t xml:space="preserve"> 报价人对谈判响应文件的修改或撤销应按本章第18和19条规定进行准备、密封、标注和递交。</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20.3</w:t>
      </w:r>
      <w:r>
        <w:rPr>
          <w:rFonts w:hint="eastAsia" w:ascii="仿宋" w:hAnsi="仿宋" w:eastAsia="仿宋" w:cs="仿宋"/>
          <w:color w:val="000000" w:themeColor="text1"/>
          <w:highlight w:val="none"/>
          <w14:textFill>
            <w14:solidFill>
              <w14:schemeClr w14:val="tx1"/>
            </w14:solidFill>
          </w14:textFill>
        </w:rPr>
        <w:t xml:space="preserve"> 谈判开始后不得随意修改谈判响应文件。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20.4</w:t>
      </w:r>
      <w:r>
        <w:rPr>
          <w:rFonts w:hint="eastAsia" w:ascii="仿宋" w:hAnsi="仿宋" w:eastAsia="仿宋" w:cs="仿宋"/>
          <w:color w:val="000000" w:themeColor="text1"/>
          <w:highlight w:val="none"/>
          <w14:textFill>
            <w14:solidFill>
              <w14:schemeClr w14:val="tx1"/>
            </w14:solidFill>
          </w14:textFill>
        </w:rPr>
        <w:t xml:space="preserve"> 报价人不得在谈判开始起至谈判响应文件有效期满前撤销谈判响应文件，否则代理机构将没收谈判保证金，作为对代理机构和采购人的违约赔偿金。</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20.5谈判响应文件的澄清</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20.5.1</w:t>
      </w:r>
      <w:r>
        <w:rPr>
          <w:rFonts w:hint="eastAsia" w:ascii="仿宋" w:hAnsi="仿宋" w:eastAsia="仿宋" w:cs="仿宋"/>
          <w:color w:val="000000" w:themeColor="text1"/>
          <w:highlight w:val="none"/>
          <w14:textFill>
            <w14:solidFill>
              <w14:schemeClr w14:val="tx1"/>
            </w14:solidFill>
          </w14:textFill>
        </w:rPr>
        <w:t xml:space="preserve"> 谈判小组在谈判过程中有权随时请报价人就谈判响应文件中含混之处加以澄清或答疑。</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20.5.2</w:t>
      </w:r>
      <w:r>
        <w:rPr>
          <w:rFonts w:hint="eastAsia" w:ascii="仿宋" w:hAnsi="仿宋" w:eastAsia="仿宋" w:cs="仿宋"/>
          <w:color w:val="000000" w:themeColor="text1"/>
          <w:highlight w:val="none"/>
          <w14:textFill>
            <w14:solidFill>
              <w14:schemeClr w14:val="tx1"/>
            </w14:solidFill>
          </w14:textFill>
        </w:rPr>
        <w:t xml:space="preserve"> 报价人对要求澄清的问题应以书面形式明确答复，并应有法人授权代表的签署。</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20.5.3</w:t>
      </w:r>
      <w:r>
        <w:rPr>
          <w:rFonts w:hint="eastAsia" w:ascii="仿宋" w:hAnsi="仿宋" w:eastAsia="仿宋" w:cs="仿宋"/>
          <w:color w:val="000000" w:themeColor="text1"/>
          <w:highlight w:val="none"/>
          <w14:textFill>
            <w14:solidFill>
              <w14:schemeClr w14:val="tx1"/>
            </w14:solidFill>
          </w14:textFill>
        </w:rPr>
        <w:t xml:space="preserve"> 报价人的澄清文件是谈判响应文件的组成部分，并取代谈判响应文件中被澄清的部分。</w:t>
      </w:r>
    </w:p>
    <w:p>
      <w:pPr>
        <w:spacing w:line="24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20.5.4</w:t>
      </w:r>
      <w:r>
        <w:rPr>
          <w:rFonts w:hint="eastAsia" w:ascii="仿宋" w:hAnsi="仿宋" w:eastAsia="仿宋" w:cs="仿宋"/>
          <w:color w:val="000000" w:themeColor="text1"/>
          <w:highlight w:val="none"/>
          <w14:textFill>
            <w14:solidFill>
              <w14:schemeClr w14:val="tx1"/>
            </w14:solidFill>
          </w14:textFill>
        </w:rPr>
        <w:t xml:space="preserve"> 谈判响应文件的澄清不得改变报价的实质内容。</w:t>
      </w:r>
    </w:p>
    <w:p>
      <w:pPr>
        <w:spacing w:line="24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20.5.5 </w:t>
      </w:r>
      <w:r>
        <w:rPr>
          <w:rFonts w:hint="eastAsia" w:ascii="仿宋" w:hAnsi="仿宋" w:eastAsia="仿宋" w:cs="仿宋"/>
          <w:color w:val="000000" w:themeColor="text1"/>
          <w:highlight w:val="none"/>
          <w14:textFill>
            <w14:solidFill>
              <w14:schemeClr w14:val="tx1"/>
            </w14:solidFill>
          </w14:textFill>
        </w:rPr>
        <w:t>如果报价人在谈判响应文件中未对文件中的条款或参数要求提出偏离意见或澄清将视同报价人同意谈判文件的全部或部分要求。</w:t>
      </w:r>
    </w:p>
    <w:p>
      <w:pPr>
        <w:pStyle w:val="4"/>
        <w:spacing w:line="240" w:lineRule="auto"/>
        <w:ind w:firstLine="3626" w:firstLineChars="1290"/>
        <w:rPr>
          <w:rFonts w:hint="eastAsia" w:ascii="仿宋" w:hAnsi="仿宋" w:eastAsia="仿宋" w:cs="仿宋"/>
          <w:color w:val="000000" w:themeColor="text1"/>
          <w:sz w:val="28"/>
          <w:highlight w:val="none"/>
          <w14:textFill>
            <w14:solidFill>
              <w14:schemeClr w14:val="tx1"/>
            </w14:solidFill>
          </w14:textFill>
        </w:rPr>
      </w:pPr>
      <w:bookmarkStart w:id="35" w:name="_Toc926"/>
      <w:bookmarkStart w:id="36" w:name="_Toc20020"/>
      <w:r>
        <w:rPr>
          <w:rFonts w:hint="eastAsia" w:ascii="仿宋" w:hAnsi="仿宋" w:eastAsia="仿宋" w:cs="仿宋"/>
          <w:color w:val="000000" w:themeColor="text1"/>
          <w:sz w:val="28"/>
          <w:highlight w:val="none"/>
          <w14:textFill>
            <w14:solidFill>
              <w14:schemeClr w14:val="tx1"/>
            </w14:solidFill>
          </w14:textFill>
        </w:rPr>
        <w:t>五、谈判</w:t>
      </w:r>
      <w:bookmarkEnd w:id="35"/>
      <w:bookmarkEnd w:id="36"/>
    </w:p>
    <w:p>
      <w:pPr>
        <w:spacing w:line="24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21、谈判</w:t>
      </w:r>
    </w:p>
    <w:p>
      <w:pPr>
        <w:spacing w:line="24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21.1 </w:t>
      </w:r>
      <w:r>
        <w:rPr>
          <w:rFonts w:hint="eastAsia" w:ascii="仿宋" w:hAnsi="仿宋" w:eastAsia="仿宋" w:cs="仿宋"/>
          <w:color w:val="000000" w:themeColor="text1"/>
          <w:highlight w:val="none"/>
          <w14:textFill>
            <w14:solidFill>
              <w14:schemeClr w14:val="tx1"/>
            </w14:solidFill>
          </w14:textFill>
        </w:rPr>
        <w:t>代理机构在“报价人须知前附表”中规定的日期、时间和地点组织谈判。届时请监督人和采购方代表参加并签到。</w:t>
      </w:r>
    </w:p>
    <w:p>
      <w:pPr>
        <w:spacing w:line="24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21.2</w:t>
      </w:r>
      <w:r>
        <w:rPr>
          <w:rFonts w:hint="eastAsia" w:ascii="仿宋" w:hAnsi="仿宋" w:eastAsia="仿宋" w:cs="仿宋"/>
          <w:color w:val="000000" w:themeColor="text1"/>
          <w:highlight w:val="none"/>
          <w14:textFill>
            <w14:solidFill>
              <w14:schemeClr w14:val="tx1"/>
            </w14:solidFill>
          </w14:textFill>
        </w:rPr>
        <w:t xml:space="preserve"> 谈判时先由采购人代表和监督人对报价人有效资质及谈判响应文件的密封性进行核查；唱标人宣读谈判响应文件正本、“开标一览表”有关内容及谈判响应文件的修改、撤销和代理机构认为合适的其他内容。</w:t>
      </w:r>
    </w:p>
    <w:p>
      <w:pPr>
        <w:pStyle w:val="8"/>
        <w:rPr>
          <w:rFonts w:hint="eastAsia" w:ascii="宋体" w:hAnsi="宋体" w:eastAsia="宋体" w:cs="宋体"/>
          <w:b/>
          <w:bCs w:val="0"/>
          <w:color w:val="FF0000"/>
          <w:sz w:val="24"/>
          <w:highlight w:val="yellow"/>
        </w:rPr>
      </w:pPr>
      <w:r>
        <w:rPr>
          <w:rFonts w:hint="eastAsia" w:ascii="宋体" w:hAnsi="宋体" w:eastAsia="宋体" w:cs="宋体"/>
          <w:b/>
          <w:bCs w:val="0"/>
          <w:color w:val="FF0000"/>
          <w:sz w:val="24"/>
          <w:highlight w:val="yellow"/>
          <w:lang w:val="en-US" w:eastAsia="zh-CN"/>
        </w:rPr>
        <w:t>21.2.1谈判响应人对所投产品根据市场行情自主报价：竞争性谈判采购方式要求必须进行至少二次以上的报价，通常进行两轮报价（特殊情况可能进行三次或三次以上的报价），第一轮以谈判响应文件正本中的“谈判函”内的价格为准（不公开宣布第一轮参与谈判的谈判响应人的报价情况），招标代理机构将在开标现场组织谈判小组谈判过后符合条件的谈判响应人进行最终报价，在符合采购需求、质量和服务相等的前提下，推荐最终报价中提出最低报价的谈判响应人作为成交供应商。</w:t>
      </w:r>
      <w:r>
        <w:rPr>
          <w:rFonts w:hint="eastAsia" w:ascii="宋体" w:hAnsi="宋体" w:eastAsia="宋体" w:cs="宋体"/>
          <w:b/>
          <w:bCs w:val="0"/>
          <w:color w:val="FF0000"/>
          <w:sz w:val="24"/>
          <w:highlight w:val="yellow"/>
        </w:rPr>
        <w:t>（注：第二次报价可以和第一次报价相同，但不能</w:t>
      </w:r>
      <w:r>
        <w:rPr>
          <w:rFonts w:hint="eastAsia" w:ascii="宋体" w:hAnsi="宋体" w:eastAsia="宋体" w:cs="宋体"/>
          <w:b/>
          <w:bCs w:val="0"/>
          <w:color w:val="FF0000"/>
          <w:sz w:val="24"/>
          <w:highlight w:val="yellow"/>
          <w:lang w:val="en-US" w:eastAsia="zh-CN"/>
        </w:rPr>
        <w:t>高</w:t>
      </w:r>
      <w:r>
        <w:rPr>
          <w:rFonts w:hint="eastAsia" w:ascii="宋体" w:hAnsi="宋体" w:eastAsia="宋体" w:cs="宋体"/>
          <w:b/>
          <w:bCs w:val="0"/>
          <w:color w:val="FF0000"/>
          <w:sz w:val="24"/>
          <w:highlight w:val="yellow"/>
        </w:rPr>
        <w:t>于第一次报价；举例：如第一次报价为</w:t>
      </w:r>
      <w:r>
        <w:rPr>
          <w:rFonts w:hint="eastAsia" w:ascii="宋体" w:hAnsi="宋体" w:eastAsia="宋体" w:cs="宋体"/>
          <w:b/>
          <w:bCs w:val="0"/>
          <w:color w:val="FF0000"/>
          <w:sz w:val="24"/>
          <w:highlight w:val="yellow"/>
          <w:lang w:val="en-US" w:eastAsia="zh-CN"/>
        </w:rPr>
        <w:t>100元</w:t>
      </w:r>
      <w:r>
        <w:rPr>
          <w:rFonts w:hint="eastAsia" w:ascii="宋体" w:hAnsi="宋体" w:eastAsia="宋体" w:cs="宋体"/>
          <w:b/>
          <w:bCs w:val="0"/>
          <w:color w:val="FF0000"/>
          <w:sz w:val="24"/>
          <w:highlight w:val="yellow"/>
        </w:rPr>
        <w:t>，则第二次报价不能</w:t>
      </w:r>
      <w:r>
        <w:rPr>
          <w:rFonts w:hint="eastAsia" w:ascii="宋体" w:hAnsi="宋体" w:eastAsia="宋体" w:cs="宋体"/>
          <w:b/>
          <w:bCs w:val="0"/>
          <w:color w:val="FF0000"/>
          <w:sz w:val="24"/>
          <w:highlight w:val="yellow"/>
          <w:lang w:val="en-US" w:eastAsia="zh-CN"/>
        </w:rPr>
        <w:t>高于100元。</w:t>
      </w:r>
      <w:r>
        <w:rPr>
          <w:rFonts w:hint="eastAsia" w:ascii="宋体" w:hAnsi="宋体" w:eastAsia="宋体" w:cs="宋体"/>
          <w:b/>
          <w:bCs w:val="0"/>
          <w:color w:val="FF0000"/>
          <w:sz w:val="24"/>
          <w:highlight w:val="yellow"/>
        </w:rPr>
        <w:t>）</w:t>
      </w:r>
    </w:p>
    <w:p>
      <w:pPr>
        <w:rPr>
          <w:rFonts w:hint="eastAsia" w:ascii="宋体" w:hAnsi="宋体" w:eastAsia="宋体" w:cs="宋体"/>
          <w:sz w:val="24"/>
        </w:rPr>
      </w:pPr>
      <w:r>
        <w:rPr>
          <w:rFonts w:hint="eastAsia" w:ascii="宋体" w:hAnsi="宋体" w:cs="宋体"/>
          <w:sz w:val="24"/>
          <w:lang w:val="en-US" w:eastAsia="zh-CN"/>
        </w:rPr>
        <w:t>21.2.2</w:t>
      </w:r>
      <w:r>
        <w:rPr>
          <w:rFonts w:hint="eastAsia" w:ascii="宋体" w:hAnsi="宋体" w:eastAsia="宋体" w:cs="宋体"/>
          <w:sz w:val="24"/>
        </w:rPr>
        <w:t>谈判小组仅对实质上响应谈判文件要求的谈判响应文件进行评估和比较；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宋体" w:hAnsi="宋体" w:cs="宋体"/>
          <w:color w:val="000000"/>
          <w:sz w:val="24"/>
          <w:lang w:val="en-US" w:eastAsia="zh-CN"/>
        </w:rPr>
        <w:t>21.2.3</w:t>
      </w:r>
      <w:r>
        <w:rPr>
          <w:rFonts w:hint="eastAsia" w:ascii="宋体" w:hAnsi="宋体" w:eastAsia="宋体" w:cs="宋体"/>
          <w:color w:val="000000"/>
          <w:sz w:val="24"/>
        </w:rPr>
        <w:t>谈判小组所有成员集中与单一供应商分别进行谈判。若谈判内容有实质性变动的，谈判小组应当以书面形式通知所有参加谈判的供应商；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宋体" w:hAnsi="宋体" w:cs="宋体"/>
          <w:bCs/>
          <w:color w:val="000000"/>
          <w:sz w:val="24"/>
          <w:lang w:val="en-US" w:eastAsia="zh-CN"/>
        </w:rPr>
        <w:t>21.2.4</w:t>
      </w:r>
      <w:r>
        <w:rPr>
          <w:rFonts w:hint="eastAsia" w:ascii="宋体" w:hAnsi="宋体" w:eastAsia="宋体" w:cs="宋体"/>
          <w:color w:val="000000"/>
          <w:sz w:val="24"/>
        </w:rPr>
        <w:t>谈判共分二次进行：响应文件中的内容为第一次谈判内容，第一次谈判内容保密，谈判小组将根据第一次谈判的内容确定不少于三家的供应商参加第二次谈判，第二次谈判内容为最终谈判内容，所有参加第二次谈判（最终）的供应商在规定时间内递交最终报价函，最后进行公开宣标；</w:t>
      </w:r>
    </w:p>
    <w:p>
      <w:pPr>
        <w:rPr>
          <w:rFonts w:hint="eastAsia"/>
          <w:lang w:val="en-US" w:eastAsia="zh-CN"/>
        </w:rPr>
      </w:pPr>
      <w:r>
        <w:rPr>
          <w:rFonts w:hint="eastAsia" w:ascii="宋体" w:hAnsi="宋体" w:eastAsia="宋体" w:cs="宋体"/>
          <w:b/>
          <w:i w:val="0"/>
          <w:color w:val="000000"/>
          <w:kern w:val="0"/>
          <w:sz w:val="32"/>
          <w:szCs w:val="32"/>
          <w:u w:val="none"/>
          <w:lang w:val="en-US" w:eastAsia="zh-CN" w:bidi="ar"/>
        </w:rPr>
        <w:br w:type="page"/>
      </w:r>
    </w:p>
    <w:p>
      <w:pPr>
        <w:pStyle w:val="19"/>
        <w:spacing w:before="120" w:line="360" w:lineRule="auto"/>
        <w:jc w:val="center"/>
        <w:rPr>
          <w:rFonts w:hint="eastAsia" w:ascii="宋体" w:hAnsi="宋体" w:eastAsia="宋体" w:cs="宋体"/>
          <w:color w:val="000000"/>
          <w:sz w:val="32"/>
          <w:szCs w:val="32"/>
        </w:rPr>
      </w:pPr>
      <w:r>
        <w:rPr>
          <w:rFonts w:hint="eastAsia" w:ascii="宋体" w:hAnsi="宋体" w:eastAsia="宋体" w:cs="宋体"/>
          <w:b/>
          <w:i w:val="0"/>
          <w:color w:val="000000"/>
          <w:kern w:val="0"/>
          <w:sz w:val="32"/>
          <w:szCs w:val="32"/>
          <w:u w:val="none"/>
          <w:lang w:val="en-US" w:eastAsia="zh-CN" w:bidi="ar"/>
        </w:rPr>
        <w:t>报价人资格审查</w:t>
      </w:r>
    </w:p>
    <w:p>
      <w:pPr>
        <w:pStyle w:val="5"/>
        <w:numPr>
          <w:ilvl w:val="0"/>
          <w:numId w:val="0"/>
        </w:numPr>
        <w:ind w:leftChars="0"/>
        <w:jc w:val="center"/>
        <w:rPr>
          <w:rFonts w:hint="eastAsia" w:ascii="仿宋" w:hAnsi="仿宋" w:eastAsia="仿宋" w:cs="仿宋"/>
          <w:b/>
          <w:bCs/>
          <w:color w:val="000000" w:themeColor="text1"/>
          <w:highlight w:val="none"/>
          <w14:textFill>
            <w14:solidFill>
              <w14:schemeClr w14:val="tx1"/>
            </w14:solidFill>
          </w14:textFill>
        </w:rPr>
      </w:pPr>
      <w:bookmarkStart w:id="37" w:name="_Toc18387"/>
      <w:r>
        <w:rPr>
          <w:rFonts w:hint="eastAsia" w:ascii="宋体" w:hAnsi="宋体" w:eastAsia="宋体" w:cs="宋体"/>
          <w:b/>
          <w:i w:val="0"/>
          <w:color w:val="000000"/>
          <w:kern w:val="0"/>
          <w:sz w:val="32"/>
          <w:szCs w:val="32"/>
          <w:u w:val="none"/>
          <w:lang w:val="en-US" w:eastAsia="zh-CN" w:bidi="ar"/>
        </w:rPr>
        <w:t>资格审查表</w:t>
      </w:r>
      <w:bookmarkEnd w:id="37"/>
    </w:p>
    <w:tbl>
      <w:tblPr>
        <w:tblStyle w:val="25"/>
        <w:tblpPr w:leftFromText="180" w:rightFromText="180" w:vertAnchor="text" w:horzAnchor="page" w:tblpX="1614" w:tblpY="78"/>
        <w:tblOverlap w:val="never"/>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6472"/>
        <w:gridCol w:w="797"/>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01" w:type="dxa"/>
            <w:vMerge w:val="restart"/>
            <w:noWrap w:val="0"/>
            <w:vAlign w:val="center"/>
          </w:tcPr>
          <w:p>
            <w:pPr>
              <w:autoSpaceDE w:val="0"/>
              <w:autoSpaceDN w:val="0"/>
              <w:spacing w:line="240" w:lineRule="auto"/>
              <w:ind w:left="50" w:right="62" w:hanging="120" w:hangingChars="5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6472" w:type="dxa"/>
            <w:vMerge w:val="restart"/>
            <w:noWrap w:val="0"/>
            <w:vAlign w:val="center"/>
          </w:tcPr>
          <w:p>
            <w:pPr>
              <w:autoSpaceDE w:val="0"/>
              <w:autoSpaceDN w:val="0"/>
              <w:spacing w:line="240" w:lineRule="auto"/>
              <w:ind w:left="50" w:right="62" w:hanging="120" w:hangingChars="5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评审内容</w:t>
            </w:r>
          </w:p>
        </w:tc>
        <w:tc>
          <w:tcPr>
            <w:tcW w:w="1911" w:type="dxa"/>
            <w:gridSpan w:val="2"/>
            <w:noWrap w:val="0"/>
            <w:vAlign w:val="center"/>
          </w:tcPr>
          <w:p>
            <w:pPr>
              <w:autoSpaceDE w:val="0"/>
              <w:autoSpaceDN w:val="0"/>
              <w:spacing w:line="240" w:lineRule="auto"/>
              <w:ind w:left="50" w:right="62" w:hanging="120" w:hangingChars="5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901" w:type="dxa"/>
            <w:vMerge w:val="continue"/>
            <w:noWrap w:val="0"/>
            <w:vAlign w:val="center"/>
          </w:tcPr>
          <w:p>
            <w:pPr>
              <w:autoSpaceDE w:val="0"/>
              <w:autoSpaceDN w:val="0"/>
              <w:spacing w:line="240" w:lineRule="auto"/>
              <w:ind w:left="50" w:right="62" w:hanging="120" w:hangingChars="50"/>
              <w:jc w:val="center"/>
              <w:rPr>
                <w:rFonts w:hint="eastAsia" w:ascii="宋体" w:hAnsi="宋体" w:eastAsia="宋体" w:cs="宋体"/>
                <w:color w:val="000000"/>
                <w:sz w:val="24"/>
                <w:szCs w:val="24"/>
              </w:rPr>
            </w:pPr>
          </w:p>
        </w:tc>
        <w:tc>
          <w:tcPr>
            <w:tcW w:w="6472" w:type="dxa"/>
            <w:vMerge w:val="continue"/>
            <w:noWrap w:val="0"/>
            <w:vAlign w:val="center"/>
          </w:tcPr>
          <w:p>
            <w:pPr>
              <w:autoSpaceDE w:val="0"/>
              <w:autoSpaceDN w:val="0"/>
              <w:spacing w:line="240" w:lineRule="auto"/>
              <w:ind w:left="50" w:right="62" w:hanging="120" w:hangingChars="50"/>
              <w:rPr>
                <w:rFonts w:hint="eastAsia" w:ascii="宋体" w:hAnsi="宋体" w:eastAsia="宋体" w:cs="宋体"/>
                <w:color w:val="000000"/>
                <w:sz w:val="24"/>
                <w:szCs w:val="24"/>
              </w:rPr>
            </w:pPr>
          </w:p>
        </w:tc>
        <w:tc>
          <w:tcPr>
            <w:tcW w:w="797" w:type="dxa"/>
            <w:noWrap w:val="0"/>
            <w:vAlign w:val="center"/>
          </w:tcPr>
          <w:p>
            <w:pPr>
              <w:autoSpaceDE w:val="0"/>
              <w:autoSpaceDN w:val="0"/>
              <w:spacing w:line="240" w:lineRule="auto"/>
              <w:ind w:left="50" w:right="62" w:hanging="120" w:hangingChars="5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通过</w:t>
            </w:r>
          </w:p>
        </w:tc>
        <w:tc>
          <w:tcPr>
            <w:tcW w:w="1114" w:type="dxa"/>
            <w:noWrap w:val="0"/>
            <w:vAlign w:val="center"/>
          </w:tcPr>
          <w:p>
            <w:pPr>
              <w:autoSpaceDE w:val="0"/>
              <w:autoSpaceDN w:val="0"/>
              <w:spacing w:line="240" w:lineRule="auto"/>
              <w:ind w:left="50" w:right="62" w:hanging="120" w:hangingChars="5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01" w:type="dxa"/>
            <w:noWrap w:val="0"/>
            <w:vAlign w:val="center"/>
          </w:tcPr>
          <w:p>
            <w:pPr>
              <w:widowControl/>
              <w:spacing w:line="240" w:lineRule="auto"/>
              <w:jc w:val="center"/>
              <w:textAlignment w:val="center"/>
              <w:rPr>
                <w:rFonts w:hint="eastAsia" w:ascii="仿宋" w:hAnsi="仿宋" w:eastAsia="仿宋" w:cs="仿宋"/>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highlight w:val="none"/>
                <w:lang w:val="en-US" w:eastAsia="zh-CN" w:bidi="ar"/>
                <w14:textFill>
                  <w14:solidFill>
                    <w14:schemeClr w14:val="tx1"/>
                  </w14:solidFill>
                </w14:textFill>
              </w:rPr>
              <w:t>1</w:t>
            </w:r>
          </w:p>
        </w:tc>
        <w:tc>
          <w:tcPr>
            <w:tcW w:w="6472" w:type="dxa"/>
            <w:noWrap w:val="0"/>
            <w:vAlign w:val="center"/>
          </w:tcPr>
          <w:p>
            <w:pPr>
              <w:widowControl/>
              <w:spacing w:line="240" w:lineRule="auto"/>
              <w:jc w:val="left"/>
              <w:textAlignment w:val="center"/>
              <w:rPr>
                <w:rFonts w:hint="eastAsia" w:ascii="仿宋" w:hAnsi="仿宋" w:eastAsia="仿宋" w:cs="仿宋"/>
                <w:color w:val="000000" w:themeColor="text1"/>
                <w:kern w:val="0"/>
                <w:sz w:val="24"/>
                <w:highlight w:val="none"/>
                <w:lang w:val="en-US" w:eastAsia="zh-CN" w:bidi="ar"/>
                <w14:textFill>
                  <w14:solidFill>
                    <w14:schemeClr w14:val="tx1"/>
                  </w14:solidFill>
                </w14:textFill>
              </w:rPr>
            </w:pPr>
            <w:bookmarkStart w:id="38" w:name="_Toc9730"/>
            <w:bookmarkStart w:id="39" w:name="_Toc21253"/>
            <w:bookmarkStart w:id="40" w:name="_Toc3899"/>
            <w:bookmarkStart w:id="41" w:name="_Toc30258"/>
            <w:bookmarkStart w:id="42" w:name="_Toc3702"/>
            <w:r>
              <w:rPr>
                <w:rFonts w:hint="eastAsia" w:ascii="仿宋" w:hAnsi="仿宋" w:eastAsia="仿宋" w:cs="仿宋"/>
                <w:color w:val="000000" w:themeColor="text1"/>
                <w:kern w:val="0"/>
                <w:sz w:val="24"/>
                <w:highlight w:val="none"/>
                <w:lang w:val="en-US" w:eastAsia="zh-CN" w:bidi="ar"/>
                <w14:textFill>
                  <w14:solidFill>
                    <w14:schemeClr w14:val="tx1"/>
                  </w14:solidFill>
                </w14:textFill>
              </w:rPr>
              <w:t>满</w:t>
            </w:r>
            <w:r>
              <w:rPr>
                <w:rFonts w:hint="eastAsia" w:ascii="仿宋" w:hAnsi="仿宋" w:eastAsia="仿宋" w:cs="仿宋"/>
                <w:i w:val="0"/>
                <w:iCs w:val="0"/>
                <w:caps w:val="0"/>
                <w:color w:val="000000"/>
                <w:spacing w:val="0"/>
                <w:sz w:val="24"/>
                <w:szCs w:val="24"/>
                <w:lang w:val="en-US" w:eastAsia="zh-CN"/>
              </w:rPr>
              <w:t>足《中华人民共和国政府采购法》第二十二条规定</w:t>
            </w:r>
            <w:r>
              <w:rPr>
                <w:rFonts w:hint="eastAsia" w:ascii="仿宋" w:hAnsi="仿宋" w:eastAsia="仿宋" w:cs="仿宋"/>
                <w:color w:val="000000" w:themeColor="text1"/>
                <w:kern w:val="0"/>
                <w:sz w:val="24"/>
                <w:highlight w:val="none"/>
                <w:lang w:val="en-US" w:eastAsia="zh-CN" w:bidi="ar"/>
                <w14:textFill>
                  <w14:solidFill>
                    <w14:schemeClr w14:val="tx1"/>
                  </w14:solidFill>
                </w14:textFill>
              </w:rPr>
              <w:t>；</w:t>
            </w:r>
            <w:bookmarkEnd w:id="38"/>
            <w:bookmarkEnd w:id="39"/>
            <w:bookmarkEnd w:id="40"/>
            <w:bookmarkEnd w:id="41"/>
            <w:bookmarkEnd w:id="42"/>
          </w:p>
        </w:tc>
        <w:tc>
          <w:tcPr>
            <w:tcW w:w="797"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c>
          <w:tcPr>
            <w:tcW w:w="1114"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01" w:type="dxa"/>
            <w:noWrap w:val="0"/>
            <w:vAlign w:val="center"/>
          </w:tcPr>
          <w:p>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仿宋" w:hAnsi="仿宋" w:eastAsia="仿宋" w:cs="仿宋"/>
                <w:color w:val="000000" w:themeColor="text1"/>
                <w:kern w:val="0"/>
                <w:sz w:val="24"/>
                <w:highlight w:val="none"/>
                <w:lang w:bidi="ar"/>
                <w14:textFill>
                  <w14:solidFill>
                    <w14:schemeClr w14:val="tx1"/>
                  </w14:solidFill>
                </w14:textFill>
              </w:rPr>
              <w:t>2</w:t>
            </w:r>
          </w:p>
        </w:tc>
        <w:tc>
          <w:tcPr>
            <w:tcW w:w="6472" w:type="dxa"/>
            <w:noWrap w:val="0"/>
            <w:vAlign w:val="center"/>
          </w:tcPr>
          <w:p>
            <w:pPr>
              <w:widowControl/>
              <w:spacing w:line="240" w:lineRule="auto"/>
              <w:jc w:val="left"/>
              <w:textAlignment w:val="center"/>
              <w:rPr>
                <w:rFonts w:hint="eastAsia" w:ascii="宋体" w:hAnsi="宋体" w:eastAsia="宋体" w:cs="宋体"/>
                <w:color w:val="000000"/>
                <w:kern w:val="0"/>
                <w:sz w:val="24"/>
                <w:szCs w:val="24"/>
                <w:lang w:eastAsia="zh-CN"/>
              </w:rPr>
            </w:pPr>
            <w:r>
              <w:rPr>
                <w:rFonts w:hint="eastAsia" w:ascii="仿宋" w:hAnsi="仿宋" w:eastAsia="仿宋" w:cs="仿宋"/>
                <w:i w:val="0"/>
                <w:iCs w:val="0"/>
                <w:caps w:val="0"/>
                <w:color w:val="000000"/>
                <w:spacing w:val="0"/>
                <w:sz w:val="24"/>
                <w:szCs w:val="24"/>
                <w:highlight w:val="none"/>
              </w:rPr>
              <w:t>供应商须具备有效的营业执照；</w:t>
            </w:r>
          </w:p>
        </w:tc>
        <w:tc>
          <w:tcPr>
            <w:tcW w:w="797"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c>
          <w:tcPr>
            <w:tcW w:w="1114"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901" w:type="dxa"/>
            <w:noWrap w:val="0"/>
            <w:vAlign w:val="center"/>
          </w:tcPr>
          <w:p>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仿宋" w:hAnsi="仿宋" w:eastAsia="仿宋" w:cs="仿宋"/>
                <w:color w:val="000000" w:themeColor="text1"/>
                <w:kern w:val="0"/>
                <w:sz w:val="24"/>
                <w:highlight w:val="none"/>
                <w:lang w:val="en-US" w:eastAsia="zh-CN" w:bidi="ar"/>
                <w14:textFill>
                  <w14:solidFill>
                    <w14:schemeClr w14:val="tx1"/>
                  </w14:solidFill>
                </w14:textFill>
              </w:rPr>
              <w:t>3</w:t>
            </w:r>
          </w:p>
        </w:tc>
        <w:tc>
          <w:tcPr>
            <w:tcW w:w="6472" w:type="dxa"/>
            <w:noWrap w:val="0"/>
            <w:vAlign w:val="center"/>
          </w:tcPr>
          <w:p>
            <w:pPr>
              <w:widowControl/>
              <w:spacing w:line="240" w:lineRule="auto"/>
              <w:jc w:val="left"/>
              <w:textAlignment w:val="center"/>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法定代表人投标需携带法定代表人证明书及法定代表人身份证（原件），委托代理人投标需携带法定代表人授权委托书及委托代理人身份证（原件）；需提供公司近三个月社保证明（缴费凭证，个人明细）；</w:t>
            </w:r>
          </w:p>
        </w:tc>
        <w:tc>
          <w:tcPr>
            <w:tcW w:w="797"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c>
          <w:tcPr>
            <w:tcW w:w="1114"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901" w:type="dxa"/>
            <w:noWrap w:val="0"/>
            <w:vAlign w:val="center"/>
          </w:tcPr>
          <w:p>
            <w:pPr>
              <w:widowControl/>
              <w:spacing w:line="240" w:lineRule="auto"/>
              <w:jc w:val="center"/>
              <w:textAlignment w:val="cente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highlight w:val="none"/>
                <w:lang w:val="en-US" w:eastAsia="zh-CN" w:bidi="ar"/>
                <w14:textFill>
                  <w14:solidFill>
                    <w14:schemeClr w14:val="tx1"/>
                  </w14:solidFill>
                </w14:textFill>
              </w:rPr>
              <w:t>4</w:t>
            </w:r>
          </w:p>
        </w:tc>
        <w:tc>
          <w:tcPr>
            <w:tcW w:w="6472" w:type="dxa"/>
            <w:noWrap w:val="0"/>
            <w:vAlign w:val="center"/>
          </w:tcPr>
          <w:p>
            <w:pPr>
              <w:widowControl/>
              <w:spacing w:line="240" w:lineRule="auto"/>
              <w:jc w:val="left"/>
              <w:textAlignment w:val="center"/>
              <w:rPr>
                <w:rFonts w:hint="eastAsia" w:ascii="宋体" w:hAnsi="宋体" w:eastAsia="宋体" w:cs="宋体"/>
                <w:color w:val="000000"/>
                <w:kern w:val="0"/>
                <w:sz w:val="24"/>
                <w:szCs w:val="24"/>
                <w:lang w:eastAsia="zh-CN"/>
              </w:rPr>
            </w:pPr>
            <w:r>
              <w:rPr>
                <w:rFonts w:hint="eastAsia" w:ascii="仿宋" w:hAnsi="仿宋" w:eastAsia="仿宋" w:cs="仿宋"/>
                <w:i w:val="0"/>
                <w:iCs w:val="0"/>
                <w:caps w:val="0"/>
                <w:color w:val="000000"/>
                <w:spacing w:val="0"/>
                <w:sz w:val="24"/>
                <w:szCs w:val="24"/>
                <w:highlight w:val="none"/>
              </w:rPr>
              <w:t>具有良好的商业信誉和健全的财务会计制度（需提供会计事务所出具2020或2021年度财务审计报告，2021年10月份后成立的公司可不提供但需提供银行出具的近三个月的资信证明原件；如已完成2021年度财务审计报告应提供最新一年度财务审计报告）。</w:t>
            </w:r>
          </w:p>
        </w:tc>
        <w:tc>
          <w:tcPr>
            <w:tcW w:w="797"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c>
          <w:tcPr>
            <w:tcW w:w="1114"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901" w:type="dxa"/>
            <w:noWrap w:val="0"/>
            <w:vAlign w:val="center"/>
          </w:tcPr>
          <w:p>
            <w:pPr>
              <w:widowControl/>
              <w:spacing w:line="240" w:lineRule="auto"/>
              <w:jc w:val="center"/>
              <w:textAlignment w:val="center"/>
              <w:rPr>
                <w:rFonts w:hint="default" w:ascii="宋体" w:hAnsi="宋体" w:eastAsia="宋体" w:cs="宋体"/>
                <w:color w:val="000000"/>
                <w:kern w:val="2"/>
                <w:sz w:val="24"/>
                <w:szCs w:val="24"/>
                <w:lang w:val="en-US" w:eastAsia="zh-CN" w:bidi="ar-SA"/>
              </w:rPr>
            </w:pPr>
            <w:r>
              <w:rPr>
                <w:rFonts w:hint="eastAsia" w:ascii="仿宋" w:hAnsi="仿宋" w:eastAsia="仿宋" w:cs="仿宋"/>
                <w:color w:val="000000" w:themeColor="text1"/>
                <w:sz w:val="24"/>
                <w:highlight w:val="none"/>
                <w:lang w:val="en-US" w:eastAsia="zh-CN"/>
                <w14:textFill>
                  <w14:solidFill>
                    <w14:schemeClr w14:val="tx1"/>
                  </w14:solidFill>
                </w14:textFill>
              </w:rPr>
              <w:t>5</w:t>
            </w:r>
          </w:p>
        </w:tc>
        <w:tc>
          <w:tcPr>
            <w:tcW w:w="6472" w:type="dxa"/>
            <w:noWrap w:val="0"/>
            <w:vAlign w:val="center"/>
          </w:tcPr>
          <w:p>
            <w:pPr>
              <w:pStyle w:val="22"/>
              <w:keepNext w:val="0"/>
              <w:keepLines w:val="0"/>
              <w:widowControl/>
              <w:suppressLineNumbers w:val="0"/>
              <w:spacing w:before="75" w:beforeAutospacing="0" w:after="75" w:afterAutospacing="0" w:line="240" w:lineRule="auto"/>
              <w:ind w:right="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highlight w:val="none"/>
              </w:rPr>
              <w:t>提供税务机关出具近三个月的完税证明，以填发日期为准。（新成立公司按实际发生提供）。</w:t>
            </w:r>
          </w:p>
        </w:tc>
        <w:tc>
          <w:tcPr>
            <w:tcW w:w="797"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c>
          <w:tcPr>
            <w:tcW w:w="1114"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01" w:type="dxa"/>
            <w:noWrap w:val="0"/>
            <w:vAlign w:val="center"/>
          </w:tcPr>
          <w:p>
            <w:pPr>
              <w:widowControl/>
              <w:spacing w:line="240" w:lineRule="auto"/>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6</w:t>
            </w:r>
          </w:p>
        </w:tc>
        <w:tc>
          <w:tcPr>
            <w:tcW w:w="6472" w:type="dxa"/>
            <w:noWrap w:val="0"/>
            <w:vAlign w:val="center"/>
          </w:tcPr>
          <w:p>
            <w:pPr>
              <w:pStyle w:val="22"/>
              <w:keepNext w:val="0"/>
              <w:keepLines w:val="0"/>
              <w:widowControl/>
              <w:suppressLineNumbers w:val="0"/>
              <w:spacing w:before="75" w:beforeAutospacing="0" w:after="75" w:afterAutospacing="0" w:line="240" w:lineRule="auto"/>
              <w:ind w:right="0"/>
              <w:rPr>
                <w:rFonts w:hint="eastAsia" w:ascii="宋体" w:hAnsi="宋体" w:eastAsia="仿宋" w:cs="宋体"/>
                <w:color w:val="000000"/>
                <w:sz w:val="24"/>
                <w:szCs w:val="24"/>
                <w:lang w:val="en-US" w:eastAsia="zh-CN"/>
              </w:rPr>
            </w:pPr>
            <w:r>
              <w:rPr>
                <w:rFonts w:hint="eastAsia" w:ascii="仿宋" w:hAnsi="仿宋" w:eastAsia="仿宋" w:cs="仿宋"/>
                <w:i w:val="0"/>
                <w:iCs w:val="0"/>
                <w:caps w:val="0"/>
                <w:color w:val="000000"/>
                <w:spacing w:val="0"/>
                <w:sz w:val="24"/>
                <w:szCs w:val="24"/>
                <w:highlight w:val="none"/>
              </w:rPr>
              <w:t>凡拟参加本次采购项目的投标企业如在“信用中国”网站(www.creditchina.gov.cn)被列入失信被执行人、重大税收违法案件当事人名单、政府采购严重违法失信行为记录名单的、中国政府釆购网(www.ccgp.gov.cn)政府采购严重违法失信行为记录名单的、国家企业信用信息公示系统(www.gsxt.gov.cn)经营异常名录的，将拒绝其参与本次政府釆购活动；</w:t>
            </w:r>
          </w:p>
        </w:tc>
        <w:tc>
          <w:tcPr>
            <w:tcW w:w="797"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c>
          <w:tcPr>
            <w:tcW w:w="1114"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01" w:type="dxa"/>
            <w:noWrap w:val="0"/>
            <w:vAlign w:val="center"/>
          </w:tcPr>
          <w:p>
            <w:pPr>
              <w:widowControl/>
              <w:spacing w:line="240" w:lineRule="auto"/>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6472" w:type="dxa"/>
            <w:noWrap w:val="0"/>
            <w:vAlign w:val="center"/>
          </w:tcPr>
          <w:p>
            <w:pPr>
              <w:widowControl/>
              <w:spacing w:line="240" w:lineRule="auto"/>
              <w:jc w:val="left"/>
              <w:textAlignment w:val="center"/>
              <w:rPr>
                <w:rFonts w:hint="eastAsia" w:ascii="宋体" w:hAnsi="宋体" w:eastAsia="仿宋" w:cs="宋体"/>
                <w:color w:val="000000"/>
                <w:sz w:val="24"/>
                <w:szCs w:val="24"/>
                <w:lang w:val="en-US" w:eastAsia="zh-CN"/>
              </w:rPr>
            </w:pPr>
            <w:r>
              <w:rPr>
                <w:rFonts w:hint="eastAsia" w:ascii="宋体" w:hAnsi="宋体" w:eastAsia="仿宋" w:cs="宋体"/>
                <w:color w:val="000000"/>
                <w:sz w:val="24"/>
                <w:szCs w:val="24"/>
                <w:lang w:val="en-US" w:eastAsia="zh-CN"/>
              </w:rPr>
              <w:t>保证金汇款凭证及收据（加盖公章）；</w:t>
            </w:r>
          </w:p>
        </w:tc>
        <w:tc>
          <w:tcPr>
            <w:tcW w:w="797"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c>
          <w:tcPr>
            <w:tcW w:w="1114"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7373" w:type="dxa"/>
            <w:gridSpan w:val="2"/>
            <w:noWrap w:val="0"/>
            <w:vAlign w:val="center"/>
          </w:tcPr>
          <w:p>
            <w:pPr>
              <w:widowControl/>
              <w:spacing w:line="240" w:lineRule="auto"/>
              <w:jc w:val="center"/>
              <w:textAlignment w:val="center"/>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结论：是否通过评审</w:t>
            </w:r>
          </w:p>
        </w:tc>
        <w:tc>
          <w:tcPr>
            <w:tcW w:w="797"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c>
          <w:tcPr>
            <w:tcW w:w="1114" w:type="dxa"/>
            <w:noWrap w:val="0"/>
            <w:vAlign w:val="top"/>
          </w:tcPr>
          <w:p>
            <w:pPr>
              <w:autoSpaceDE w:val="0"/>
              <w:autoSpaceDN w:val="0"/>
              <w:spacing w:line="240" w:lineRule="auto"/>
              <w:ind w:left="50" w:right="62" w:hanging="120" w:hangingChars="50"/>
              <w:jc w:val="left"/>
              <w:rPr>
                <w:rFonts w:hint="eastAsia" w:ascii="宋体" w:hAnsi="宋体" w:eastAsia="宋体" w:cs="宋体"/>
                <w:color w:val="000000"/>
                <w:sz w:val="24"/>
                <w:szCs w:val="24"/>
              </w:rPr>
            </w:pPr>
          </w:p>
        </w:tc>
      </w:tr>
    </w:tbl>
    <w:p>
      <w:pPr>
        <w:spacing w:line="240" w:lineRule="auto"/>
        <w:rPr>
          <w:rFonts w:hint="eastAsia" w:ascii="仿宋" w:hAnsi="仿宋" w:eastAsia="仿宋" w:cs="仿宋"/>
          <w:color w:val="000000" w:themeColor="text1"/>
          <w:highlight w:val="none"/>
          <w14:textFill>
            <w14:solidFill>
              <w14:schemeClr w14:val="tx1"/>
            </w14:solidFill>
          </w14:textFill>
        </w:rPr>
      </w:pPr>
    </w:p>
    <w:p>
      <w:pPr>
        <w:spacing w:line="24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22.2</w:t>
      </w:r>
      <w:r>
        <w:rPr>
          <w:rFonts w:hint="eastAsia" w:ascii="仿宋" w:hAnsi="仿宋" w:eastAsia="仿宋" w:cs="仿宋"/>
          <w:color w:val="000000" w:themeColor="text1"/>
          <w:highlight w:val="none"/>
          <w14:textFill>
            <w14:solidFill>
              <w14:schemeClr w14:val="tx1"/>
            </w14:solidFill>
          </w14:textFill>
        </w:rPr>
        <w:t>谈判开始时，谈判小组对各谈判响应文件的内容进行全面审查，并确认谈判响应文件是否符合或实质上响应了谈判文件的有关要求，只有实质上响应了谈判文件的谈判响应文件才能被采购人接受。</w:t>
      </w:r>
    </w:p>
    <w:p>
      <w:pPr>
        <w:widowControl/>
        <w:spacing w:line="240" w:lineRule="auto"/>
        <w:jc w:val="left"/>
        <w:textAlignment w:val="center"/>
        <w:outlineLvl w:val="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如果谈判响应文件实质上不响应文件的要求，采购人将予以否决，并且不允许通过修正或撤销其不符合要求的差异或意见保留，使之成为具有响应性的投标。无效报价的确定按国家计委等七部委发布的《评标委员会和评标方法暂行规定》和本谈判文件的规定执行。</w:t>
      </w:r>
    </w:p>
    <w:p>
      <w:pPr>
        <w:pStyle w:val="19"/>
        <w:spacing w:before="120" w:line="360" w:lineRule="auto"/>
        <w:jc w:val="center"/>
        <w:rPr>
          <w:rFonts w:hint="eastAsia" w:ascii="仿宋" w:hAnsi="仿宋" w:eastAsia="仿宋" w:cs="仿宋"/>
          <w:b/>
          <w:bCs/>
          <w:color w:val="auto"/>
          <w:sz w:val="24"/>
          <w:highlight w:val="none"/>
        </w:rPr>
      </w:pPr>
      <w:r>
        <w:rPr>
          <w:rFonts w:hint="eastAsia" w:ascii="宋体" w:hAnsi="宋体" w:eastAsia="宋体" w:cs="宋体"/>
          <w:b/>
          <w:i w:val="0"/>
          <w:color w:val="000000"/>
          <w:kern w:val="0"/>
          <w:sz w:val="32"/>
          <w:szCs w:val="32"/>
          <w:u w:val="none"/>
          <w:lang w:val="en-US" w:eastAsia="zh-CN" w:bidi="ar"/>
        </w:rPr>
        <w:t>符合性评审表</w:t>
      </w:r>
    </w:p>
    <w:tbl>
      <w:tblPr>
        <w:tblStyle w:val="25"/>
        <w:tblpPr w:leftFromText="180" w:rightFromText="180" w:vertAnchor="text" w:horzAnchor="page" w:tblpXSpec="center" w:tblpY="16"/>
        <w:tblOverlap w:val="never"/>
        <w:tblW w:w="9095" w:type="dxa"/>
        <w:jc w:val="center"/>
        <w:tblLayout w:type="fixed"/>
        <w:tblCellMar>
          <w:top w:w="15" w:type="dxa"/>
          <w:left w:w="15" w:type="dxa"/>
          <w:bottom w:w="15" w:type="dxa"/>
          <w:right w:w="15" w:type="dxa"/>
        </w:tblCellMar>
      </w:tblPr>
      <w:tblGrid>
        <w:gridCol w:w="688"/>
        <w:gridCol w:w="5825"/>
        <w:gridCol w:w="2582"/>
      </w:tblGrid>
      <w:tr>
        <w:tblPrEx>
          <w:tblCellMar>
            <w:top w:w="15" w:type="dxa"/>
            <w:left w:w="15" w:type="dxa"/>
            <w:bottom w:w="15" w:type="dxa"/>
            <w:right w:w="15" w:type="dxa"/>
          </w:tblCellMar>
        </w:tblPrEx>
        <w:trPr>
          <w:trHeight w:val="118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序号</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评审内容</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是否通过评审（注：通过的打“√”，未通过的打“×”）</w:t>
            </w: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谈判响应文件签字或盖章是否满足招标文件要求；</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p>
        </w:tc>
      </w:tr>
      <w:tr>
        <w:tblPrEx>
          <w:tblCellMar>
            <w:top w:w="15" w:type="dxa"/>
            <w:left w:w="15" w:type="dxa"/>
            <w:bottom w:w="15" w:type="dxa"/>
            <w:right w:w="15" w:type="dxa"/>
          </w:tblCellMar>
        </w:tblPrEx>
        <w:trPr>
          <w:trHeight w:val="90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2</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谈判响应文件是否按谈判文件要求编制，内容是否全面或字迹是否模糊、辨认不清的；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p>
        </w:tc>
      </w:tr>
      <w:tr>
        <w:tblPrEx>
          <w:tblCellMar>
            <w:top w:w="15" w:type="dxa"/>
            <w:left w:w="15" w:type="dxa"/>
            <w:bottom w:w="15" w:type="dxa"/>
            <w:right w:w="15" w:type="dxa"/>
          </w:tblCellMar>
        </w:tblPrEx>
        <w:trPr>
          <w:trHeight w:val="76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3</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投标文件是否不齐全或者内容虚假的；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p>
        </w:tc>
      </w:tr>
      <w:tr>
        <w:tblPrEx>
          <w:tblCellMar>
            <w:top w:w="15" w:type="dxa"/>
            <w:left w:w="15" w:type="dxa"/>
            <w:bottom w:w="15" w:type="dxa"/>
            <w:right w:w="15" w:type="dxa"/>
          </w:tblCellMar>
        </w:tblPrEx>
        <w:trPr>
          <w:trHeight w:val="66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4</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投标有效期是否满足谈判文件要求的；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p>
        </w:tc>
      </w:tr>
      <w:tr>
        <w:tblPrEx>
          <w:tblCellMar>
            <w:top w:w="15" w:type="dxa"/>
            <w:left w:w="15" w:type="dxa"/>
            <w:bottom w:w="15" w:type="dxa"/>
            <w:right w:w="15" w:type="dxa"/>
          </w:tblCellMar>
        </w:tblPrEx>
        <w:trPr>
          <w:trHeight w:val="69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5</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投标报价没有高于采购预算价；</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p>
        </w:tc>
      </w:tr>
      <w:tr>
        <w:tblPrEx>
          <w:tblCellMar>
            <w:top w:w="15" w:type="dxa"/>
            <w:left w:w="15" w:type="dxa"/>
            <w:bottom w:w="15" w:type="dxa"/>
            <w:right w:w="15" w:type="dxa"/>
          </w:tblCellMar>
        </w:tblPrEx>
        <w:trPr>
          <w:trHeight w:val="8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6</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采购人没有递交两份或两份以上内容不同的投标书，已声明哪一份有效的；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p>
        </w:tc>
      </w:tr>
      <w:tr>
        <w:tblPrEx>
          <w:tblCellMar>
            <w:top w:w="15" w:type="dxa"/>
            <w:left w:w="15" w:type="dxa"/>
            <w:bottom w:w="15" w:type="dxa"/>
            <w:right w:w="15" w:type="dxa"/>
          </w:tblCellMar>
        </w:tblPrEx>
        <w:trPr>
          <w:trHeight w:val="617"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7</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技术条款是否有偏离情况的；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p>
        </w:tc>
      </w:tr>
      <w:tr>
        <w:tblPrEx>
          <w:tblCellMar>
            <w:top w:w="15" w:type="dxa"/>
            <w:left w:w="15" w:type="dxa"/>
            <w:bottom w:w="15" w:type="dxa"/>
            <w:right w:w="15" w:type="dxa"/>
          </w:tblCellMar>
        </w:tblPrEx>
        <w:trPr>
          <w:trHeight w:val="617"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8</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商务条款是否有偏离情况的；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p>
        </w:tc>
      </w:tr>
      <w:tr>
        <w:tblPrEx>
          <w:tblCellMar>
            <w:top w:w="15" w:type="dxa"/>
            <w:left w:w="15" w:type="dxa"/>
            <w:bottom w:w="15" w:type="dxa"/>
            <w:right w:w="15" w:type="dxa"/>
          </w:tblCellMar>
        </w:tblPrEx>
        <w:trPr>
          <w:trHeight w:val="557"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9</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投标文件是否附有采购人不能接受条件的；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p>
        </w:tc>
      </w:tr>
      <w:tr>
        <w:tblPrEx>
          <w:tblCellMar>
            <w:top w:w="15" w:type="dxa"/>
            <w:left w:w="15" w:type="dxa"/>
            <w:bottom w:w="15" w:type="dxa"/>
            <w:right w:w="15" w:type="dxa"/>
          </w:tblCellMar>
        </w:tblPrEx>
        <w:trPr>
          <w:trHeight w:val="7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10</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投标保证金的缴纳主体与采购人是否一致；</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p>
        </w:tc>
      </w:tr>
      <w:tr>
        <w:tblPrEx>
          <w:tblCellMar>
            <w:top w:w="15" w:type="dxa"/>
            <w:left w:w="15" w:type="dxa"/>
            <w:bottom w:w="15" w:type="dxa"/>
            <w:right w:w="15" w:type="dxa"/>
          </w:tblCellMar>
        </w:tblPrEx>
        <w:trPr>
          <w:trHeight w:val="678"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11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是否满足招标文件实质性要求的其他情形；</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000000" w:themeColor="text1"/>
                <w:highlight w:val="none"/>
                <w:lang w:val="en-US" w:eastAsia="zh-CN"/>
                <w14:textFill>
                  <w14:solidFill>
                    <w14:schemeClr w14:val="tx1"/>
                  </w14:solidFill>
                </w14:textFill>
              </w:rPr>
            </w:pPr>
          </w:p>
        </w:tc>
      </w:tr>
    </w:tbl>
    <w:p>
      <w:pPr>
        <w:pageBreakBefore w:val="0"/>
        <w:kinsoku/>
        <w:wordWrap/>
        <w:topLinePunct w:val="0"/>
        <w:autoSpaceDE/>
        <w:autoSpaceDN/>
        <w:bidi w:val="0"/>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未通过响应性文件响应程度</w:t>
      </w:r>
      <w:r>
        <w:rPr>
          <w:rFonts w:hint="eastAsia" w:ascii="仿宋" w:hAnsi="仿宋" w:eastAsia="仿宋" w:cs="仿宋"/>
          <w:b/>
          <w:bCs/>
          <w:color w:val="auto"/>
          <w:sz w:val="24"/>
          <w:szCs w:val="24"/>
          <w:highlight w:val="none"/>
          <w:lang w:eastAsia="zh-CN"/>
        </w:rPr>
        <w:t>初步审查</w:t>
      </w:r>
      <w:r>
        <w:rPr>
          <w:rFonts w:hint="eastAsia" w:ascii="仿宋" w:hAnsi="仿宋" w:eastAsia="仿宋" w:cs="仿宋"/>
          <w:b/>
          <w:bCs/>
          <w:color w:val="auto"/>
          <w:sz w:val="24"/>
          <w:szCs w:val="24"/>
          <w:highlight w:val="none"/>
        </w:rPr>
        <w:t>企业，</w:t>
      </w:r>
      <w:r>
        <w:rPr>
          <w:rFonts w:hint="eastAsia" w:ascii="仿宋" w:hAnsi="仿宋" w:eastAsia="仿宋" w:cs="仿宋"/>
          <w:b/>
          <w:bCs/>
          <w:color w:val="auto"/>
          <w:sz w:val="24"/>
          <w:szCs w:val="24"/>
          <w:highlight w:val="none"/>
          <w:lang w:eastAsia="zh-CN"/>
        </w:rPr>
        <w:t>做否决投标处理</w:t>
      </w:r>
      <w:r>
        <w:rPr>
          <w:rFonts w:hint="eastAsia" w:ascii="仿宋" w:hAnsi="仿宋" w:eastAsia="仿宋" w:cs="仿宋"/>
          <w:b/>
          <w:bCs/>
          <w:color w:val="auto"/>
          <w:sz w:val="24"/>
          <w:szCs w:val="24"/>
          <w:highlight w:val="none"/>
        </w:rPr>
        <w:t>，不进入响应性文件响应程度详细评审</w:t>
      </w:r>
      <w:r>
        <w:rPr>
          <w:rFonts w:hint="eastAsia" w:ascii="仿宋" w:hAnsi="仿宋" w:eastAsia="仿宋" w:cs="仿宋"/>
          <w:b/>
          <w:bCs/>
          <w:color w:val="auto"/>
          <w:sz w:val="24"/>
          <w:szCs w:val="24"/>
          <w:highlight w:val="none"/>
          <w:lang w:eastAsia="zh-CN"/>
        </w:rPr>
        <w:t>阶段</w:t>
      </w:r>
      <w:r>
        <w:rPr>
          <w:rFonts w:hint="eastAsia" w:ascii="仿宋" w:hAnsi="仿宋" w:eastAsia="仿宋" w:cs="仿宋"/>
          <w:b/>
          <w:bCs/>
          <w:color w:val="auto"/>
          <w:sz w:val="24"/>
          <w:szCs w:val="24"/>
          <w:highlight w:val="none"/>
        </w:rPr>
        <w:t>。</w:t>
      </w:r>
    </w:p>
    <w:p>
      <w:pPr>
        <w:pStyle w:val="5"/>
        <w:pageBreakBefore w:val="0"/>
        <w:kinsoku/>
        <w:wordWrap/>
        <w:topLinePunct w:val="0"/>
        <w:autoSpaceDE/>
        <w:autoSpaceDN/>
        <w:bidi w:val="0"/>
        <w:spacing w:before="0" w:after="0" w:line="400" w:lineRule="exact"/>
        <w:rPr>
          <w:rFonts w:hint="eastAsia" w:ascii="仿宋" w:hAnsi="仿宋" w:eastAsia="仿宋" w:cs="仿宋"/>
          <w:b w:val="0"/>
          <w:bCs w:val="0"/>
          <w:color w:val="auto"/>
          <w:spacing w:val="-2"/>
          <w:sz w:val="24"/>
          <w:szCs w:val="24"/>
          <w:highlight w:val="none"/>
        </w:rPr>
      </w:pPr>
    </w:p>
    <w:p>
      <w:pPr>
        <w:rPr>
          <w:rFonts w:hint="eastAsia" w:ascii="仿宋" w:hAnsi="仿宋" w:eastAsia="仿宋" w:cs="仿宋"/>
          <w:b w:val="0"/>
          <w:bCs w:val="0"/>
          <w:color w:val="auto"/>
          <w:spacing w:val="-2"/>
          <w:sz w:val="24"/>
          <w:szCs w:val="24"/>
          <w:highlight w:val="none"/>
        </w:rPr>
        <w:sectPr>
          <w:headerReference r:id="rId5" w:type="default"/>
          <w:footerReference r:id="rId6" w:type="default"/>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22.3</w:t>
      </w:r>
      <w:r>
        <w:rPr>
          <w:rFonts w:hint="eastAsia" w:ascii="仿宋" w:hAnsi="仿宋" w:eastAsia="仿宋" w:cs="仿宋"/>
          <w:bCs/>
          <w:color w:val="000000" w:themeColor="text1"/>
          <w:highlight w:val="none"/>
          <w14:textFill>
            <w14:solidFill>
              <w14:schemeClr w14:val="tx1"/>
            </w14:solidFill>
          </w14:textFill>
        </w:rPr>
        <w:t>谈判小组将与进入谈判的报价人依照递交谈判响应文件顺序分别进行一对一谈判。</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22.4</w:t>
      </w:r>
      <w:r>
        <w:rPr>
          <w:rFonts w:hint="eastAsia" w:ascii="仿宋" w:hAnsi="仿宋" w:eastAsia="仿宋" w:cs="仿宋"/>
          <w:bCs/>
          <w:color w:val="000000" w:themeColor="text1"/>
          <w:highlight w:val="none"/>
          <w14:textFill>
            <w14:solidFill>
              <w14:schemeClr w14:val="tx1"/>
            </w14:solidFill>
          </w14:textFill>
        </w:rPr>
        <w:t>谈判小组可要求报价人就谈判中的具体问题作出书面回答或承诺，报价人提交的书面回答或承诺应由受托人的签字或盖章，并将作为其谈判响应文件的一部分。谈判次数及每个报价人的谈判时间将由谈判小组根据具体谈判情况确定。在谈判中，谈判小组可以对谈判文件进行调整，但将告知每个参与谈判的报价人。</w:t>
      </w:r>
    </w:p>
    <w:p>
      <w:pPr>
        <w:spacing w:line="360" w:lineRule="auto"/>
        <w:ind w:firstLine="48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23.谈判原则</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由谈判小组结合谈判响应文件及最终承诺，</w:t>
      </w:r>
      <w:r>
        <w:rPr>
          <w:rFonts w:hint="eastAsia" w:ascii="仿宋" w:hAnsi="仿宋" w:eastAsia="仿宋" w:cs="仿宋"/>
          <w:b/>
          <w:color w:val="000000" w:themeColor="text1"/>
          <w:highlight w:val="none"/>
          <w14:textFill>
            <w14:solidFill>
              <w14:schemeClr w14:val="tx1"/>
            </w14:solidFill>
          </w14:textFill>
        </w:rPr>
        <w:t>在符合采购需求、质量和服务相等的前提下，推荐提出最低报价的供应商作为成交供应商。</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23.1</w:t>
      </w:r>
      <w:r>
        <w:rPr>
          <w:rFonts w:hint="eastAsia" w:ascii="仿宋" w:hAnsi="仿宋" w:eastAsia="仿宋" w:cs="仿宋"/>
          <w:bCs/>
          <w:color w:val="000000" w:themeColor="text1"/>
          <w:highlight w:val="none"/>
          <w14:textFill>
            <w14:solidFill>
              <w14:schemeClr w14:val="tx1"/>
            </w14:solidFill>
          </w14:textFill>
        </w:rPr>
        <w:t>报价人在谈判响应文件及最终承诺中应对产品技术参数及产品要求作出完全性、真实性的响应。</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23.2</w:t>
      </w:r>
      <w:r>
        <w:rPr>
          <w:rFonts w:hint="eastAsia" w:ascii="仿宋" w:hAnsi="仿宋" w:eastAsia="仿宋" w:cs="仿宋"/>
          <w:bCs/>
          <w:color w:val="000000" w:themeColor="text1"/>
          <w:highlight w:val="none"/>
          <w14:textFill>
            <w14:solidFill>
              <w14:schemeClr w14:val="tx1"/>
            </w14:solidFill>
          </w14:textFill>
        </w:rPr>
        <w:t>报价人应有能力保证供货安装计划的实施。</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23.3最终报价</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23.4</w:t>
      </w:r>
      <w:r>
        <w:rPr>
          <w:rFonts w:hint="eastAsia" w:ascii="仿宋" w:hAnsi="仿宋" w:eastAsia="仿宋" w:cs="仿宋"/>
          <w:bCs/>
          <w:color w:val="000000" w:themeColor="text1"/>
          <w:highlight w:val="none"/>
          <w14:textFill>
            <w14:solidFill>
              <w14:schemeClr w14:val="tx1"/>
            </w14:solidFill>
          </w14:textFill>
        </w:rPr>
        <w:t>在谈判小组谈判结束后，根据报价人报价及谈判情况要求所有参加谈判的报价人在规定时间内同时提交最终报价。</w:t>
      </w:r>
    </w:p>
    <w:p>
      <w:pPr>
        <w:pStyle w:val="4"/>
        <w:jc w:val="center"/>
        <w:rPr>
          <w:rFonts w:hint="eastAsia" w:ascii="仿宋" w:hAnsi="仿宋" w:eastAsia="仿宋" w:cs="仿宋"/>
          <w:color w:val="000000" w:themeColor="text1"/>
          <w:highlight w:val="none"/>
          <w14:textFill>
            <w14:solidFill>
              <w14:schemeClr w14:val="tx1"/>
            </w14:solidFill>
          </w14:textFill>
        </w:rPr>
      </w:pPr>
      <w:bookmarkStart w:id="43" w:name="_Toc21213"/>
      <w:bookmarkStart w:id="44" w:name="_Toc17523"/>
      <w:r>
        <w:rPr>
          <w:rFonts w:hint="eastAsia" w:ascii="仿宋" w:hAnsi="仿宋" w:eastAsia="仿宋" w:cs="仿宋"/>
          <w:color w:val="000000" w:themeColor="text1"/>
          <w:highlight w:val="none"/>
          <w14:textFill>
            <w14:solidFill>
              <w14:schemeClr w14:val="tx1"/>
            </w14:solidFill>
          </w14:textFill>
        </w:rPr>
        <w:t>六、成交</w:t>
      </w:r>
      <w:bookmarkEnd w:id="43"/>
      <w:bookmarkEnd w:id="44"/>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24.成交通知书</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24.1</w:t>
      </w:r>
      <w:r>
        <w:rPr>
          <w:rFonts w:hint="eastAsia" w:ascii="仿宋" w:hAnsi="仿宋" w:eastAsia="仿宋" w:cs="仿宋"/>
          <w:bCs/>
          <w:color w:val="000000" w:themeColor="text1"/>
          <w:highlight w:val="none"/>
          <w14:textFill>
            <w14:solidFill>
              <w14:schemeClr w14:val="tx1"/>
            </w14:solidFill>
          </w14:textFill>
        </w:rPr>
        <w:t>成交人确定后，招标代理机构将向成交人发出成交通知书。</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24.2</w:t>
      </w:r>
      <w:r>
        <w:rPr>
          <w:rFonts w:hint="eastAsia" w:ascii="仿宋" w:hAnsi="仿宋" w:eastAsia="仿宋" w:cs="仿宋"/>
          <w:bCs/>
          <w:color w:val="000000" w:themeColor="text1"/>
          <w:highlight w:val="none"/>
          <w14:textFill>
            <w14:solidFill>
              <w14:schemeClr w14:val="tx1"/>
            </w14:solidFill>
          </w14:textFill>
        </w:rPr>
        <w:t>成交通知书是合同的一个组成部分。</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25.成交通知</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25.1</w:t>
      </w:r>
      <w:r>
        <w:rPr>
          <w:rFonts w:hint="eastAsia" w:ascii="仿宋" w:hAnsi="仿宋" w:eastAsia="仿宋" w:cs="仿宋"/>
          <w:color w:val="000000" w:themeColor="text1"/>
          <w:highlight w:val="none"/>
          <w14:textFill>
            <w14:solidFill>
              <w14:schemeClr w14:val="tx1"/>
            </w14:solidFill>
          </w14:textFill>
        </w:rPr>
        <w:t>成交公示期：成交结果公示一个工作日。</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25.2</w:t>
      </w:r>
      <w:r>
        <w:rPr>
          <w:rFonts w:hint="eastAsia" w:ascii="仿宋" w:hAnsi="仿宋" w:eastAsia="仿宋" w:cs="仿宋"/>
          <w:color w:val="000000" w:themeColor="text1"/>
          <w:highlight w:val="none"/>
          <w14:textFill>
            <w14:solidFill>
              <w14:schemeClr w14:val="tx1"/>
            </w14:solidFill>
          </w14:textFill>
        </w:rPr>
        <w:t>代理机构根据谈判结果，在报价有效期届满前，以书面形式向成交单位发出成交通知书。</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25.3</w:t>
      </w:r>
      <w:r>
        <w:rPr>
          <w:rFonts w:hint="eastAsia" w:ascii="仿宋" w:hAnsi="仿宋" w:eastAsia="仿宋" w:cs="仿宋"/>
          <w:color w:val="000000" w:themeColor="text1"/>
          <w:highlight w:val="none"/>
          <w14:textFill>
            <w14:solidFill>
              <w14:schemeClr w14:val="tx1"/>
            </w14:solidFill>
          </w14:textFill>
        </w:rPr>
        <w:t>代理机构将谈判结果及时通知未成交的报价人，无需解释未成交原因。</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26.拒绝某些或所有投标的权利</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采购人有</w:t>
      </w:r>
      <w:r>
        <w:rPr>
          <w:rFonts w:hint="eastAsia" w:ascii="仿宋" w:hAnsi="仿宋" w:eastAsia="仿宋" w:cs="仿宋"/>
          <w:color w:val="000000" w:themeColor="text1"/>
          <w:highlight w:val="none"/>
          <w14:textFill>
            <w14:solidFill>
              <w14:schemeClr w14:val="tx1"/>
            </w14:solidFill>
          </w14:textFill>
        </w:rPr>
        <w:t>权在确定中标报价人之前拒绝任何有不正当行为或扰乱正常工作的报价人，由此对报价人造成的损失不负任何责任，同时对此无需做出任何解释。</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27.付款方式：</w:t>
      </w:r>
      <w:r>
        <w:rPr>
          <w:rFonts w:hint="eastAsia" w:ascii="仿宋" w:hAnsi="仿宋" w:eastAsia="仿宋" w:cs="仿宋"/>
          <w:color w:val="000000" w:themeColor="text1"/>
          <w:highlight w:val="none"/>
          <w14:textFill>
            <w14:solidFill>
              <w14:schemeClr w14:val="tx1"/>
            </w14:solidFill>
          </w14:textFill>
        </w:rPr>
        <w:t>按成交人与采购人签订合同的付款方式执行。每次付款时均由供货方提供国家正规发票。</w:t>
      </w:r>
    </w:p>
    <w:p>
      <w:pPr>
        <w:pStyle w:val="4"/>
        <w:spacing w:line="360" w:lineRule="auto"/>
        <w:jc w:val="center"/>
        <w:rPr>
          <w:rFonts w:hint="eastAsia" w:ascii="仿宋" w:hAnsi="仿宋" w:eastAsia="仿宋" w:cs="仿宋"/>
          <w:color w:val="000000" w:themeColor="text1"/>
          <w:highlight w:val="none"/>
          <w14:textFill>
            <w14:solidFill>
              <w14:schemeClr w14:val="tx1"/>
            </w14:solidFill>
          </w14:textFill>
        </w:rPr>
      </w:pPr>
      <w:bookmarkStart w:id="45" w:name="_Toc17137"/>
      <w:bookmarkStart w:id="46" w:name="_Toc19776"/>
      <w:r>
        <w:rPr>
          <w:rFonts w:hint="eastAsia" w:ascii="仿宋" w:hAnsi="仿宋" w:eastAsia="仿宋" w:cs="仿宋"/>
          <w:color w:val="000000" w:themeColor="text1"/>
          <w:highlight w:val="none"/>
          <w14:textFill>
            <w14:solidFill>
              <w14:schemeClr w14:val="tx1"/>
            </w14:solidFill>
          </w14:textFill>
        </w:rPr>
        <w:t>七、合同签订</w:t>
      </w:r>
      <w:bookmarkEnd w:id="45"/>
      <w:bookmarkEnd w:id="46"/>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28、签订合同</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28.1</w:t>
      </w:r>
      <w:r>
        <w:rPr>
          <w:rFonts w:hint="eastAsia" w:ascii="仿宋" w:hAnsi="仿宋" w:eastAsia="仿宋" w:cs="仿宋"/>
          <w:color w:val="000000" w:themeColor="text1"/>
          <w:highlight w:val="none"/>
          <w14:textFill>
            <w14:solidFill>
              <w14:schemeClr w14:val="tx1"/>
            </w14:solidFill>
          </w14:textFill>
        </w:rPr>
        <w:t xml:space="preserve"> 采购人和成交人在自成交通知书发出之日起，依据《中华人民共和国</w:t>
      </w:r>
      <w:r>
        <w:rPr>
          <w:rFonts w:hint="eastAsia" w:ascii="仿宋" w:hAnsi="仿宋" w:eastAsia="仿宋" w:cs="仿宋"/>
          <w:color w:val="000000" w:themeColor="text1"/>
          <w:highlight w:val="none"/>
          <w:lang w:eastAsia="zh-CN"/>
          <w14:textFill>
            <w14:solidFill>
              <w14:schemeClr w14:val="tx1"/>
            </w14:solidFill>
          </w14:textFill>
        </w:rPr>
        <w:t>民法典</w:t>
      </w:r>
      <w:r>
        <w:rPr>
          <w:rFonts w:hint="eastAsia" w:ascii="仿宋" w:hAnsi="仿宋" w:eastAsia="仿宋" w:cs="仿宋"/>
          <w:color w:val="000000" w:themeColor="text1"/>
          <w:highlight w:val="none"/>
          <w14:textFill>
            <w14:solidFill>
              <w14:schemeClr w14:val="tx1"/>
            </w14:solidFill>
          </w14:textFill>
        </w:rPr>
        <w:t>》等有关法律法规及谈判响应文件内容签订合同。</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30.2</w:t>
      </w:r>
      <w:r>
        <w:rPr>
          <w:rFonts w:hint="eastAsia" w:ascii="仿宋" w:hAnsi="仿宋" w:eastAsia="仿宋" w:cs="仿宋"/>
          <w:color w:val="000000" w:themeColor="text1"/>
          <w:highlight w:val="none"/>
          <w14:textFill>
            <w14:solidFill>
              <w14:schemeClr w14:val="tx1"/>
            </w14:solidFill>
          </w14:textFill>
        </w:rPr>
        <w:t xml:space="preserve"> 成交合同不得转让。</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30.3</w:t>
      </w:r>
      <w:r>
        <w:rPr>
          <w:rFonts w:hint="eastAsia" w:ascii="仿宋" w:hAnsi="仿宋" w:eastAsia="仿宋" w:cs="仿宋"/>
          <w:color w:val="000000" w:themeColor="text1"/>
          <w:highlight w:val="none"/>
          <w14:textFill>
            <w14:solidFill>
              <w14:schemeClr w14:val="tx1"/>
            </w14:solidFill>
          </w14:textFill>
        </w:rPr>
        <w:t xml:space="preserve"> 采购人如遇成交人违约，可从候选成交人中重新选定成交人，并签订经济合同。</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30.</w:t>
      </w:r>
      <w:r>
        <w:rPr>
          <w:rFonts w:hint="eastAsia" w:ascii="仿宋" w:hAnsi="仿宋" w:eastAsia="仿宋" w:cs="仿宋"/>
          <w:b/>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合同经采购人成交人双方签字盖章后即生效。采购人、成交人双方亦可自愿申请公证。</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31、合同组成</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31.1</w:t>
      </w:r>
      <w:r>
        <w:rPr>
          <w:rFonts w:hint="eastAsia" w:ascii="仿宋" w:hAnsi="仿宋" w:eastAsia="仿宋" w:cs="仿宋"/>
          <w:color w:val="000000" w:themeColor="text1"/>
          <w:highlight w:val="none"/>
          <w14:textFill>
            <w14:solidFill>
              <w14:schemeClr w14:val="tx1"/>
            </w14:solidFill>
          </w14:textFill>
        </w:rPr>
        <w:t xml:space="preserve"> 以下文件均为合同不可分割的部分：</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31.1.1 专用合同</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31.1.2 合同条款</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31.1.3 成交通知书</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31.1.4 报价人谈判响应文件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31.1.5 其它文件</w:t>
      </w:r>
    </w:p>
    <w:p>
      <w:pPr>
        <w:spacing w:line="360" w:lineRule="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32、履约保证金</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32.1</w:t>
      </w:r>
      <w:r>
        <w:rPr>
          <w:rFonts w:hint="eastAsia" w:ascii="仿宋" w:hAnsi="仿宋" w:eastAsia="仿宋" w:cs="仿宋"/>
          <w:color w:val="000000" w:themeColor="text1"/>
          <w:sz w:val="24"/>
          <w:szCs w:val="24"/>
          <w:highlight w:val="none"/>
          <w:lang w:val="en-US" w:eastAsia="zh-CN"/>
          <w14:textFill>
            <w14:solidFill>
              <w14:schemeClr w14:val="tx1"/>
            </w14:solidFill>
          </w14:textFill>
        </w:rPr>
        <w:t>不超</w:t>
      </w:r>
      <w:r>
        <w:rPr>
          <w:rFonts w:hint="eastAsia" w:ascii="仿宋" w:hAnsi="仿宋" w:eastAsia="仿宋" w:cs="仿宋"/>
          <w:color w:val="000000" w:themeColor="text1"/>
          <w:sz w:val="24"/>
          <w:szCs w:val="24"/>
          <w:highlight w:val="none"/>
          <w14:textFill>
            <w14:solidFill>
              <w14:schemeClr w14:val="tx1"/>
            </w14:solidFill>
          </w14:textFill>
        </w:rPr>
        <w:t>成交价的</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由中标人与采购人签订合同时自主协商</w:t>
      </w:r>
      <w:r>
        <w:rPr>
          <w:rFonts w:hint="eastAsia" w:ascii="仿宋" w:hAnsi="仿宋" w:eastAsia="仿宋" w:cs="仿宋"/>
          <w:color w:val="000000" w:themeColor="text1"/>
          <w:highlight w:val="none"/>
          <w14:textFill>
            <w14:solidFill>
              <w14:schemeClr w14:val="tx1"/>
            </w14:solidFill>
          </w14:textFill>
        </w:rPr>
        <w:t>。</w:t>
      </w:r>
    </w:p>
    <w:p>
      <w:pPr>
        <w:spacing w:line="360" w:lineRule="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32.2 中标人与招标人签订合同</w:t>
      </w:r>
      <w:r>
        <w:rPr>
          <w:rFonts w:hint="eastAsia" w:ascii="仿宋" w:hAnsi="仿宋" w:eastAsia="仿宋" w:cs="仿宋"/>
          <w:color w:val="000000" w:themeColor="text1"/>
          <w:highlight w:val="none"/>
          <w:lang w:val="en-US" w:eastAsia="zh-CN"/>
          <w14:textFill>
            <w14:solidFill>
              <w14:schemeClr w14:val="tx1"/>
            </w14:solidFill>
          </w14:textFill>
        </w:rPr>
        <w:t>之前</w:t>
      </w:r>
      <w:r>
        <w:rPr>
          <w:rFonts w:hint="eastAsia" w:ascii="仿宋" w:hAnsi="仿宋" w:eastAsia="仿宋" w:cs="仿宋"/>
          <w:color w:val="000000" w:themeColor="text1"/>
          <w:highlight w:val="none"/>
          <w14:textFill>
            <w14:solidFill>
              <w14:schemeClr w14:val="tx1"/>
            </w14:solidFill>
          </w14:textFill>
        </w:rPr>
        <w:t>提交履约保证金，如中标人未按招标文件规定的工期供货、安装和调试完毕，则扣除履约保证金，</w:t>
      </w:r>
      <w:r>
        <w:rPr>
          <w:rFonts w:hint="eastAsia" w:ascii="仿宋" w:hAnsi="仿宋" w:eastAsia="仿宋" w:cs="仿宋"/>
          <w:b/>
          <w:bCs/>
          <w:color w:val="000000" w:themeColor="text1"/>
          <w:highlight w:val="none"/>
          <w14:textFill>
            <w14:solidFill>
              <w14:schemeClr w14:val="tx1"/>
            </w14:solidFill>
          </w14:textFill>
        </w:rPr>
        <w:t>且三年内不得参加</w:t>
      </w:r>
      <w:r>
        <w:rPr>
          <w:rFonts w:hint="eastAsia" w:ascii="仿宋" w:hAnsi="仿宋" w:eastAsia="仿宋" w:cs="仿宋"/>
          <w:b/>
          <w:bCs/>
          <w:color w:val="000000" w:themeColor="text1"/>
          <w:highlight w:val="none"/>
          <w:lang w:val="en-US" w:eastAsia="zh-CN"/>
          <w14:textFill>
            <w14:solidFill>
              <w14:schemeClr w14:val="tx1"/>
            </w14:solidFill>
          </w14:textFill>
        </w:rPr>
        <w:t>政府采购</w:t>
      </w:r>
      <w:r>
        <w:rPr>
          <w:rFonts w:hint="eastAsia" w:ascii="仿宋" w:hAnsi="仿宋" w:eastAsia="仿宋" w:cs="仿宋"/>
          <w:b/>
          <w:bCs/>
          <w:color w:val="000000" w:themeColor="text1"/>
          <w:highlight w:val="none"/>
          <w14:textFill>
            <w14:solidFill>
              <w14:schemeClr w14:val="tx1"/>
            </w14:solidFill>
          </w14:textFill>
        </w:rPr>
        <w:t>所有采购招投标活动。</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32.3履约保证金（无息）将在乙方履行完成合同所有义务后凭乙方的收款收据在五天内退返乙方。</w:t>
      </w:r>
    </w:p>
    <w:p>
      <w:pPr>
        <w:pStyle w:val="4"/>
        <w:spacing w:line="360" w:lineRule="auto"/>
        <w:ind w:firstLine="3626" w:firstLineChars="1290"/>
        <w:rPr>
          <w:rFonts w:hint="eastAsia" w:ascii="仿宋" w:hAnsi="仿宋" w:eastAsia="仿宋" w:cs="仿宋"/>
          <w:color w:val="000000" w:themeColor="text1"/>
          <w:sz w:val="28"/>
          <w:highlight w:val="none"/>
          <w14:textFill>
            <w14:solidFill>
              <w14:schemeClr w14:val="tx1"/>
            </w14:solidFill>
          </w14:textFill>
        </w:rPr>
      </w:pPr>
      <w:bookmarkStart w:id="47" w:name="_Toc27889"/>
      <w:bookmarkStart w:id="48" w:name="_Toc14192"/>
      <w:r>
        <w:rPr>
          <w:rFonts w:hint="eastAsia" w:ascii="仿宋" w:hAnsi="仿宋" w:eastAsia="仿宋" w:cs="仿宋"/>
          <w:color w:val="000000" w:themeColor="text1"/>
          <w:sz w:val="28"/>
          <w:highlight w:val="none"/>
          <w14:textFill>
            <w14:solidFill>
              <w14:schemeClr w14:val="tx1"/>
            </w14:solidFill>
          </w14:textFill>
        </w:rPr>
        <w:t>八、特别提示</w:t>
      </w:r>
      <w:bookmarkEnd w:id="47"/>
      <w:bookmarkEnd w:id="48"/>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32、</w:t>
      </w:r>
      <w:r>
        <w:rPr>
          <w:rFonts w:hint="eastAsia" w:ascii="仿宋" w:hAnsi="仿宋" w:eastAsia="仿宋" w:cs="仿宋"/>
          <w:color w:val="000000" w:themeColor="text1"/>
          <w:highlight w:val="none"/>
          <w14:textFill>
            <w14:solidFill>
              <w14:schemeClr w14:val="tx1"/>
            </w14:solidFill>
          </w14:textFill>
        </w:rPr>
        <w:t>报价人应认真研读谈判文件，充分考虑文件中的所有要求和合同条款后，编制谈判响应文件。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33、</w:t>
      </w:r>
      <w:r>
        <w:rPr>
          <w:rFonts w:hint="eastAsia" w:ascii="仿宋" w:hAnsi="仿宋" w:eastAsia="仿宋" w:cs="仿宋"/>
          <w:color w:val="000000" w:themeColor="text1"/>
          <w:highlight w:val="none"/>
          <w14:textFill>
            <w14:solidFill>
              <w14:schemeClr w14:val="tx1"/>
            </w14:solidFill>
          </w14:textFill>
        </w:rPr>
        <w:t>如谈判文件中提供的各类表格样式不适用，报价人可另行设计表格样式，但力求内容完整，表达清晰、准确。</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34、</w:t>
      </w:r>
      <w:r>
        <w:rPr>
          <w:rFonts w:hint="eastAsia" w:ascii="仿宋" w:hAnsi="仿宋" w:eastAsia="仿宋" w:cs="仿宋"/>
          <w:color w:val="000000" w:themeColor="text1"/>
          <w:highlight w:val="none"/>
          <w14:textFill>
            <w14:solidFill>
              <w14:schemeClr w14:val="tx1"/>
            </w14:solidFill>
          </w14:textFill>
        </w:rPr>
        <w:t>本</w:t>
      </w:r>
      <w:r>
        <w:rPr>
          <w:rFonts w:hint="eastAsia" w:ascii="仿宋" w:hAnsi="仿宋" w:eastAsia="仿宋" w:cs="仿宋"/>
          <w:color w:val="000000" w:themeColor="text1"/>
          <w:highlight w:val="none"/>
          <w:lang w:eastAsia="zh-CN"/>
          <w14:textFill>
            <w14:solidFill>
              <w14:schemeClr w14:val="tx1"/>
            </w14:solidFill>
          </w14:textFill>
        </w:rPr>
        <w:t>文件</w:t>
      </w:r>
      <w:r>
        <w:rPr>
          <w:rFonts w:hint="eastAsia" w:ascii="仿宋" w:hAnsi="仿宋" w:eastAsia="仿宋" w:cs="仿宋"/>
          <w:color w:val="000000" w:themeColor="text1"/>
          <w:highlight w:val="none"/>
          <w14:textFill>
            <w14:solidFill>
              <w14:schemeClr w14:val="tx1"/>
            </w14:solidFill>
          </w14:textFill>
        </w:rPr>
        <w:t>所要求的原件，除“法定代表人授权委托书”需要做入谈判响应文件正本中外，其余仅供谈判时查验用，谈判响应文件中只需提供相应的复印件。</w:t>
      </w:r>
    </w:p>
    <w:p>
      <w:pPr>
        <w:pStyle w:val="4"/>
        <w:spacing w:line="360" w:lineRule="auto"/>
        <w:ind w:firstLine="3626" w:firstLineChars="1290"/>
        <w:rPr>
          <w:rFonts w:hint="eastAsia" w:ascii="仿宋" w:hAnsi="仿宋" w:eastAsia="仿宋" w:cs="仿宋"/>
          <w:color w:val="000000" w:themeColor="text1"/>
          <w:sz w:val="28"/>
          <w:highlight w:val="none"/>
          <w14:textFill>
            <w14:solidFill>
              <w14:schemeClr w14:val="tx1"/>
            </w14:solidFill>
          </w14:textFill>
        </w:rPr>
      </w:pPr>
      <w:bookmarkStart w:id="49" w:name="_Toc21896"/>
      <w:bookmarkStart w:id="50" w:name="_Toc1323"/>
      <w:r>
        <w:rPr>
          <w:rFonts w:hint="eastAsia" w:ascii="仿宋" w:hAnsi="仿宋" w:eastAsia="仿宋" w:cs="仿宋"/>
          <w:color w:val="000000" w:themeColor="text1"/>
          <w:sz w:val="28"/>
          <w:highlight w:val="none"/>
          <w14:textFill>
            <w14:solidFill>
              <w14:schemeClr w14:val="tx1"/>
            </w14:solidFill>
          </w14:textFill>
        </w:rPr>
        <w:t>九、其他事项</w:t>
      </w:r>
      <w:bookmarkEnd w:id="49"/>
      <w:bookmarkEnd w:id="50"/>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35、成交服务费</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35.1 </w:t>
      </w:r>
      <w:r>
        <w:rPr>
          <w:rFonts w:hint="eastAsia" w:ascii="仿宋" w:hAnsi="仿宋" w:eastAsia="仿宋" w:cs="仿宋"/>
          <w:bCs/>
          <w:color w:val="000000" w:themeColor="text1"/>
          <w:highlight w:val="none"/>
          <w14:textFill>
            <w14:solidFill>
              <w14:schemeClr w14:val="tx1"/>
            </w14:solidFill>
          </w14:textFill>
        </w:rPr>
        <w:t>按照协商结果，</w:t>
      </w:r>
      <w:r>
        <w:rPr>
          <w:rFonts w:hint="eastAsia" w:ascii="仿宋" w:hAnsi="仿宋" w:eastAsia="仿宋" w:cs="仿宋"/>
          <w:color w:val="000000" w:themeColor="text1"/>
          <w:highlight w:val="none"/>
          <w14:textFill>
            <w14:solidFill>
              <w14:schemeClr w14:val="tx1"/>
            </w14:solidFill>
          </w14:textFill>
        </w:rPr>
        <w:t>成交单位须在采购工作结束后向代理机构一次性付清成交服务费（即成交人在领取成交通知书时支付）。</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35.2</w:t>
      </w:r>
      <w:r>
        <w:rPr>
          <w:rFonts w:hint="eastAsia" w:ascii="仿宋" w:hAnsi="仿宋" w:eastAsia="仿宋" w:cs="仿宋"/>
          <w:color w:val="000000" w:themeColor="text1"/>
          <w:highlight w:val="none"/>
          <w14:textFill>
            <w14:solidFill>
              <w14:schemeClr w14:val="tx1"/>
            </w14:solidFill>
          </w14:textFill>
        </w:rPr>
        <w:t xml:space="preserve"> 成交服务费：</w:t>
      </w:r>
      <w:r>
        <w:rPr>
          <w:rFonts w:hint="eastAsia" w:ascii="仿宋" w:hAnsi="仿宋" w:eastAsia="仿宋" w:cs="仿宋"/>
          <w:color w:val="000000" w:themeColor="text1"/>
          <w:kern w:val="0"/>
          <w:highlight w:val="none"/>
          <w:lang w:val="en-US" w:eastAsia="zh-CN" w:bidi="ar"/>
          <w14:textFill>
            <w14:solidFill>
              <w14:schemeClr w14:val="tx1"/>
            </w14:solidFill>
          </w14:textFill>
        </w:rPr>
        <w:t>已与甲方签订合同为主</w:t>
      </w:r>
      <w:r>
        <w:rPr>
          <w:rFonts w:hint="eastAsia" w:ascii="仿宋" w:hAnsi="仿宋" w:eastAsia="仿宋" w:cs="仿宋"/>
          <w:color w:val="000000" w:themeColor="text1"/>
          <w:highlight w:val="none"/>
          <w14:textFill>
            <w14:solidFill>
              <w14:schemeClr w14:val="tx1"/>
            </w14:solidFill>
          </w14:textFill>
        </w:rPr>
        <w:t>。</w:t>
      </w:r>
    </w:p>
    <w:p>
      <w:pPr>
        <w:spacing w:line="360" w:lineRule="auto"/>
        <w:rPr>
          <w:rFonts w:hint="eastAsia" w:ascii="仿宋" w:hAnsi="仿宋" w:eastAsia="仿宋" w:cs="仿宋"/>
          <w:color w:val="000000" w:themeColor="text1"/>
          <w:highlight w:val="none"/>
          <w14:textFill>
            <w14:solidFill>
              <w14:schemeClr w14:val="tx1"/>
            </w14:solidFill>
          </w14:textFill>
        </w:rPr>
        <w:sectPr>
          <w:headerReference r:id="rId7" w:type="default"/>
          <w:footerReference r:id="rId8" w:type="default"/>
          <w:pgSz w:w="11906" w:h="16838"/>
          <w:pgMar w:top="1134" w:right="1797" w:bottom="1559" w:left="1797" w:header="851" w:footer="992" w:gutter="0"/>
          <w:pgNumType w:fmt="decimal"/>
          <w:cols w:space="720" w:num="1"/>
          <w:docGrid w:linePitch="312" w:charSpace="0"/>
        </w:sectPr>
      </w:pPr>
      <w:r>
        <w:rPr>
          <w:rFonts w:hint="eastAsia" w:ascii="仿宋" w:hAnsi="仿宋" w:eastAsia="仿宋" w:cs="仿宋"/>
          <w:b/>
          <w:color w:val="000000" w:themeColor="text1"/>
          <w:highlight w:val="none"/>
          <w14:textFill>
            <w14:solidFill>
              <w14:schemeClr w14:val="tx1"/>
            </w14:solidFill>
          </w14:textFill>
        </w:rPr>
        <w:t>36、</w:t>
      </w:r>
      <w:r>
        <w:rPr>
          <w:rFonts w:hint="eastAsia" w:ascii="仿宋" w:hAnsi="仿宋" w:eastAsia="仿宋" w:cs="仿宋"/>
          <w:color w:val="000000" w:themeColor="text1"/>
          <w:highlight w:val="none"/>
          <w14:textFill>
            <w14:solidFill>
              <w14:schemeClr w14:val="tx1"/>
            </w14:solidFill>
          </w14:textFill>
        </w:rPr>
        <w:t>本文件依据《中华人民共和国政府采购法》等有关政府采购方面的法律法规文件编制，解释权属</w:t>
      </w:r>
      <w:r>
        <w:rPr>
          <w:rFonts w:hint="eastAsia" w:ascii="仿宋" w:hAnsi="仿宋" w:eastAsia="仿宋" w:cs="仿宋"/>
          <w:color w:val="000000" w:themeColor="text1"/>
          <w:highlight w:val="none"/>
          <w:lang w:eastAsia="zh-CN"/>
          <w14:textFill>
            <w14:solidFill>
              <w14:schemeClr w14:val="tx1"/>
            </w14:solidFill>
          </w14:textFill>
        </w:rPr>
        <w:t>新疆沣疆源工程咨询有限责任公司</w:t>
      </w:r>
      <w:r>
        <w:rPr>
          <w:rFonts w:hint="eastAsia" w:ascii="仿宋" w:hAnsi="仿宋" w:eastAsia="仿宋" w:cs="仿宋"/>
          <w:color w:val="000000" w:themeColor="text1"/>
          <w:highlight w:val="none"/>
          <w14:textFill>
            <w14:solidFill>
              <w14:schemeClr w14:val="tx1"/>
            </w14:solidFill>
          </w14:textFill>
        </w:rPr>
        <w:t>。</w:t>
      </w:r>
    </w:p>
    <w:p>
      <w:pPr>
        <w:pStyle w:val="5"/>
        <w:jc w:val="center"/>
        <w:rPr>
          <w:rFonts w:hint="eastAsia" w:ascii="仿宋" w:hAnsi="仿宋" w:eastAsia="仿宋" w:cs="仿宋"/>
          <w:b/>
          <w:bCs w:val="0"/>
          <w:color w:val="000000" w:themeColor="text1"/>
          <w:kern w:val="44"/>
          <w:sz w:val="36"/>
          <w:szCs w:val="44"/>
          <w:highlight w:val="none"/>
          <w:lang w:val="en-US" w:eastAsia="zh-CN" w:bidi="ar-SA"/>
          <w14:textFill>
            <w14:solidFill>
              <w14:schemeClr w14:val="tx1"/>
            </w14:solidFill>
          </w14:textFill>
        </w:rPr>
      </w:pPr>
      <w:r>
        <w:rPr>
          <w:rFonts w:hint="eastAsia" w:ascii="仿宋" w:hAnsi="仿宋" w:eastAsia="仿宋" w:cs="仿宋"/>
          <w:b/>
          <w:bCs w:val="0"/>
          <w:color w:val="000000" w:themeColor="text1"/>
          <w:kern w:val="44"/>
          <w:sz w:val="36"/>
          <w:szCs w:val="44"/>
          <w:highlight w:val="none"/>
          <w:lang w:val="en-US" w:eastAsia="zh-CN" w:bidi="ar-SA"/>
          <w14:textFill>
            <w14:solidFill>
              <w14:schemeClr w14:val="tx1"/>
            </w14:solidFill>
          </w14:textFill>
        </w:rPr>
        <w:t>第三章采购需求、技术参数、规格</w:t>
      </w:r>
    </w:p>
    <w:tbl>
      <w:tblPr>
        <w:tblStyle w:val="26"/>
        <w:tblW w:w="8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938"/>
        <w:gridCol w:w="3533"/>
        <w:gridCol w:w="857"/>
        <w:gridCol w:w="762"/>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938" w:type="dxa"/>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产品名称</w:t>
            </w:r>
          </w:p>
        </w:tc>
        <w:tc>
          <w:tcPr>
            <w:tcW w:w="3533" w:type="dxa"/>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技术参数规格要求</w:t>
            </w:r>
          </w:p>
        </w:tc>
        <w:tc>
          <w:tcPr>
            <w:tcW w:w="857" w:type="dxa"/>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762" w:type="dxa"/>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977" w:type="dxa"/>
            <w:vAlign w:val="center"/>
          </w:tcPr>
          <w:p>
            <w:pPr>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06" w:type="dxa"/>
            <w:vAlign w:val="center"/>
          </w:tcPr>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tc>
        <w:tc>
          <w:tcPr>
            <w:tcW w:w="1938" w:type="dxa"/>
            <w:vAlign w:val="center"/>
          </w:tcPr>
          <w:p>
            <w:pPr>
              <w:keepNext w:val="0"/>
              <w:keepLines w:val="0"/>
              <w:widowControl/>
              <w:suppressLineNumbers w:val="0"/>
              <w:jc w:val="center"/>
              <w:textAlignment w:val="center"/>
              <w:rPr>
                <w:rFonts w:hint="eastAsia" w:ascii="宋体" w:hAnsi="宋体" w:eastAsia="宋体" w:cs="宋体"/>
                <w:b/>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吊顶</w:t>
            </w:r>
          </w:p>
        </w:tc>
        <w:tc>
          <w:tcPr>
            <w:tcW w:w="3533" w:type="dxa"/>
            <w:vAlign w:val="center"/>
          </w:tcPr>
          <w:p>
            <w:pPr>
              <w:keepNext w:val="0"/>
              <w:keepLines w:val="0"/>
              <w:widowControl/>
              <w:suppressLineNumbers w:val="0"/>
              <w:spacing w:line="240" w:lineRule="auto"/>
              <w:jc w:val="center"/>
              <w:textAlignment w:val="top"/>
              <w:rPr>
                <w:rFonts w:hint="eastAsia" w:ascii="Times New Roman" w:hAnsi="Times New Roman" w:eastAsia="宋体" w:cs="Times New Roman"/>
                <w:kern w:val="2"/>
                <w:sz w:val="24"/>
                <w:szCs w:val="24"/>
                <w:lang w:val="en-US" w:eastAsia="zh-CN" w:bidi="ar-SA"/>
              </w:rPr>
            </w:pPr>
            <w:r>
              <w:rPr>
                <w:rFonts w:hint="eastAsia" w:ascii="新宋体" w:hAnsi="新宋体" w:eastAsia="新宋体" w:cs="新宋体"/>
                <w:i w:val="0"/>
                <w:iCs w:val="0"/>
                <w:color w:val="000000"/>
                <w:kern w:val="0"/>
                <w:sz w:val="22"/>
                <w:szCs w:val="22"/>
                <w:u w:val="none"/>
                <w:lang w:val="en-US" w:eastAsia="zh-CN" w:bidi="ar"/>
              </w:rPr>
              <w:t>600*600石膏板安装（含材料费、机械费、人工费）</w:t>
            </w:r>
          </w:p>
        </w:tc>
        <w:tc>
          <w:tcPr>
            <w:tcW w:w="857"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平方米</w:t>
            </w:r>
          </w:p>
        </w:tc>
        <w:tc>
          <w:tcPr>
            <w:tcW w:w="762"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977" w:type="dxa"/>
            <w:vAlign w:val="center"/>
          </w:tcPr>
          <w:p>
            <w:pPr>
              <w:jc w:val="center"/>
              <w:rPr>
                <w:rFonts w:hint="eastAsia" w:ascii="宋体" w:hAnsi="宋体" w:eastAsia="宋体" w:cs="宋体"/>
                <w:b/>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606" w:type="dxa"/>
            <w:vAlign w:val="center"/>
          </w:tcPr>
          <w:p>
            <w:pPr>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w:t>
            </w:r>
          </w:p>
        </w:tc>
        <w:tc>
          <w:tcPr>
            <w:tcW w:w="1938"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服务柜台</w:t>
            </w:r>
          </w:p>
        </w:tc>
        <w:tc>
          <w:tcPr>
            <w:tcW w:w="3533" w:type="dxa"/>
            <w:vAlign w:val="center"/>
          </w:tcPr>
          <w:p>
            <w:pPr>
              <w:keepNext w:val="0"/>
              <w:keepLines w:val="0"/>
              <w:widowControl/>
              <w:suppressLineNumbers w:val="0"/>
              <w:jc w:val="center"/>
              <w:textAlignment w:val="top"/>
              <w:rPr>
                <w:rFonts w:hint="eastAsia" w:ascii="Times New Roman" w:hAnsi="Times New Roman" w:eastAsia="宋体" w:cs="Times New Roman"/>
                <w:kern w:val="2"/>
                <w:sz w:val="24"/>
                <w:szCs w:val="24"/>
                <w:lang w:val="en-US" w:eastAsia="zh-CN" w:bidi="ar-SA"/>
              </w:rPr>
            </w:pPr>
            <w:r>
              <w:rPr>
                <w:rFonts w:hint="eastAsia" w:ascii="新宋体" w:hAnsi="新宋体" w:eastAsia="新宋体" w:cs="新宋体"/>
                <w:i w:val="0"/>
                <w:iCs w:val="0"/>
                <w:color w:val="000000"/>
                <w:kern w:val="0"/>
                <w:sz w:val="22"/>
                <w:szCs w:val="22"/>
                <w:u w:val="none"/>
                <w:lang w:val="en-US" w:eastAsia="zh-CN" w:bidi="ar"/>
              </w:rPr>
              <w:t>大理石台面制作、运输、安装，复合板柜制作、安装及维修（含材料费、机械费、人工费）</w:t>
            </w:r>
          </w:p>
        </w:tc>
        <w:tc>
          <w:tcPr>
            <w:tcW w:w="857"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62"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77" w:type="dxa"/>
            <w:vAlign w:val="center"/>
          </w:tcPr>
          <w:p>
            <w:pPr>
              <w:jc w:val="center"/>
              <w:rPr>
                <w:rFonts w:hint="eastAsia" w:ascii="宋体" w:hAnsi="宋体" w:eastAsia="宋体" w:cs="宋体"/>
                <w:b/>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606" w:type="dxa"/>
            <w:vAlign w:val="center"/>
          </w:tcPr>
          <w:p>
            <w:pPr>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3</w:t>
            </w:r>
          </w:p>
        </w:tc>
        <w:tc>
          <w:tcPr>
            <w:tcW w:w="1938"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值班室</w:t>
            </w:r>
          </w:p>
        </w:tc>
        <w:tc>
          <w:tcPr>
            <w:tcW w:w="3533" w:type="dxa"/>
            <w:vAlign w:val="center"/>
          </w:tcPr>
          <w:p>
            <w:pPr>
              <w:keepNext w:val="0"/>
              <w:keepLines w:val="0"/>
              <w:widowControl/>
              <w:suppressLineNumbers w:val="0"/>
              <w:jc w:val="center"/>
              <w:textAlignment w:val="top"/>
              <w:rPr>
                <w:rFonts w:hint="eastAsia" w:ascii="Times New Roman" w:hAnsi="Times New Roman" w:eastAsia="宋体" w:cs="Times New Roman"/>
                <w:kern w:val="2"/>
                <w:sz w:val="24"/>
                <w:szCs w:val="24"/>
                <w:lang w:val="en-US" w:eastAsia="zh-CN" w:bidi="ar-SA"/>
              </w:rPr>
            </w:pPr>
            <w:r>
              <w:rPr>
                <w:rFonts w:hint="eastAsia" w:ascii="新宋体" w:hAnsi="新宋体" w:eastAsia="新宋体" w:cs="新宋体"/>
                <w:i w:val="0"/>
                <w:iCs w:val="0"/>
                <w:color w:val="000000"/>
                <w:kern w:val="0"/>
                <w:sz w:val="22"/>
                <w:szCs w:val="22"/>
                <w:u w:val="none"/>
                <w:lang w:val="en-US" w:eastAsia="zh-CN" w:bidi="ar"/>
              </w:rPr>
              <w:t>1.1m*2.1m套装门2套、2.1m*2.4m断桥铝合金窗户、加气块11m³、基础开挖、基础砼C25浇筑（含材料费、机械费、人工费）</w:t>
            </w:r>
          </w:p>
        </w:tc>
        <w:tc>
          <w:tcPr>
            <w:tcW w:w="857"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762"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977" w:type="dxa"/>
            <w:vAlign w:val="center"/>
          </w:tcPr>
          <w:p>
            <w:pPr>
              <w:jc w:val="center"/>
              <w:rPr>
                <w:rFonts w:hint="eastAsia" w:ascii="宋体" w:hAnsi="宋体" w:eastAsia="宋体" w:cs="宋体"/>
                <w:b/>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06" w:type="dxa"/>
            <w:vAlign w:val="center"/>
          </w:tcPr>
          <w:p>
            <w:pPr>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w:t>
            </w:r>
          </w:p>
        </w:tc>
        <w:tc>
          <w:tcPr>
            <w:tcW w:w="1938"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高压线路</w:t>
            </w:r>
          </w:p>
        </w:tc>
        <w:tc>
          <w:tcPr>
            <w:tcW w:w="3533" w:type="dxa"/>
            <w:vAlign w:val="center"/>
          </w:tcPr>
          <w:p>
            <w:pPr>
              <w:keepNext w:val="0"/>
              <w:keepLines w:val="0"/>
              <w:widowControl/>
              <w:suppressLineNumbers w:val="0"/>
              <w:jc w:val="center"/>
              <w:textAlignment w:val="top"/>
              <w:rPr>
                <w:rFonts w:hint="eastAsia" w:ascii="Times New Roman" w:hAnsi="Times New Roman" w:eastAsia="宋体" w:cs="Times New Roman"/>
                <w:kern w:val="2"/>
                <w:sz w:val="24"/>
                <w:szCs w:val="24"/>
                <w:lang w:val="en-US" w:eastAsia="zh-CN" w:bidi="ar-SA"/>
              </w:rPr>
            </w:pPr>
            <w:r>
              <w:rPr>
                <w:rFonts w:hint="eastAsia" w:ascii="新宋体" w:hAnsi="新宋体" w:eastAsia="新宋体" w:cs="新宋体"/>
                <w:i w:val="0"/>
                <w:iCs w:val="0"/>
                <w:color w:val="000000"/>
                <w:kern w:val="0"/>
                <w:sz w:val="22"/>
                <w:szCs w:val="22"/>
                <w:u w:val="none"/>
                <w:lang w:val="en-US" w:eastAsia="zh-CN" w:bidi="ar"/>
              </w:rPr>
              <w:t>电力公司申请手续、拆除原有导线、10KV高压导线安装、下火、调试（含材料费、机械费、人工费）</w:t>
            </w:r>
          </w:p>
        </w:tc>
        <w:tc>
          <w:tcPr>
            <w:tcW w:w="857"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62"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977" w:type="dxa"/>
            <w:vAlign w:val="center"/>
          </w:tcPr>
          <w:p>
            <w:pPr>
              <w:jc w:val="center"/>
              <w:rPr>
                <w:rFonts w:hint="eastAsia" w:ascii="宋体" w:hAnsi="宋体" w:eastAsia="宋体" w:cs="宋体"/>
                <w:b/>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06" w:type="dxa"/>
            <w:vAlign w:val="center"/>
          </w:tcPr>
          <w:p>
            <w:pPr>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5</w:t>
            </w:r>
          </w:p>
        </w:tc>
        <w:tc>
          <w:tcPr>
            <w:tcW w:w="1938"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地埋高压电缆</w:t>
            </w:r>
          </w:p>
        </w:tc>
        <w:tc>
          <w:tcPr>
            <w:tcW w:w="3533" w:type="dxa"/>
            <w:vAlign w:val="center"/>
          </w:tcPr>
          <w:p>
            <w:pPr>
              <w:keepNext w:val="0"/>
              <w:keepLines w:val="0"/>
              <w:widowControl/>
              <w:suppressLineNumbers w:val="0"/>
              <w:jc w:val="center"/>
              <w:textAlignment w:val="top"/>
              <w:rPr>
                <w:rFonts w:hint="eastAsia" w:ascii="Times New Roman" w:hAnsi="Times New Roman" w:eastAsia="宋体" w:cs="Times New Roman"/>
                <w:kern w:val="2"/>
                <w:sz w:val="24"/>
                <w:szCs w:val="24"/>
                <w:lang w:val="en-US" w:eastAsia="zh-CN" w:bidi="ar-SA"/>
              </w:rPr>
            </w:pPr>
            <w:r>
              <w:rPr>
                <w:rFonts w:hint="eastAsia" w:ascii="新宋体" w:hAnsi="新宋体" w:eastAsia="新宋体" w:cs="新宋体"/>
                <w:i w:val="0"/>
                <w:iCs w:val="0"/>
                <w:color w:val="000000"/>
                <w:kern w:val="0"/>
                <w:sz w:val="22"/>
                <w:szCs w:val="22"/>
                <w:u w:val="none"/>
                <w:lang w:val="en-US" w:eastAsia="zh-CN" w:bidi="ar"/>
              </w:rPr>
              <w:t>沥青道路破拆、挖管沟、地埋管道、回填管沟、沥青道路恢复、10KV高压电缆安装（含材料费、机械费、人工费）</w:t>
            </w:r>
          </w:p>
        </w:tc>
        <w:tc>
          <w:tcPr>
            <w:tcW w:w="857"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62"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977" w:type="dxa"/>
            <w:vAlign w:val="center"/>
          </w:tcPr>
          <w:p>
            <w:pPr>
              <w:jc w:val="center"/>
              <w:rPr>
                <w:rFonts w:hint="eastAsia" w:ascii="宋体" w:hAnsi="宋体" w:eastAsia="宋体" w:cs="宋体"/>
                <w:b/>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06" w:type="dxa"/>
            <w:vAlign w:val="center"/>
          </w:tcPr>
          <w:p>
            <w:pPr>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6</w:t>
            </w:r>
          </w:p>
        </w:tc>
        <w:tc>
          <w:tcPr>
            <w:tcW w:w="1938"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电杆</w:t>
            </w:r>
          </w:p>
        </w:tc>
        <w:tc>
          <w:tcPr>
            <w:tcW w:w="3533" w:type="dxa"/>
            <w:vAlign w:val="center"/>
          </w:tcPr>
          <w:p>
            <w:pPr>
              <w:keepNext w:val="0"/>
              <w:keepLines w:val="0"/>
              <w:widowControl/>
              <w:suppressLineNumbers w:val="0"/>
              <w:jc w:val="center"/>
              <w:textAlignment w:val="top"/>
              <w:rPr>
                <w:rFonts w:hint="eastAsia" w:ascii="Times New Roman" w:hAnsi="Times New Roman" w:eastAsia="宋体" w:cs="Times New Roman"/>
                <w:kern w:val="2"/>
                <w:sz w:val="24"/>
                <w:szCs w:val="24"/>
                <w:lang w:val="en-US" w:eastAsia="zh-CN" w:bidi="ar-SA"/>
              </w:rPr>
            </w:pPr>
            <w:r>
              <w:rPr>
                <w:rFonts w:hint="eastAsia" w:ascii="新宋体" w:hAnsi="新宋体" w:eastAsia="新宋体" w:cs="新宋体"/>
                <w:i w:val="0"/>
                <w:iCs w:val="0"/>
                <w:color w:val="000000"/>
                <w:kern w:val="0"/>
                <w:sz w:val="22"/>
                <w:szCs w:val="22"/>
                <w:u w:val="none"/>
                <w:lang w:val="en-US" w:eastAsia="zh-CN" w:bidi="ar"/>
              </w:rPr>
              <w:t>15米电杆运输安装、拆除10米电杆（含材料费、机械费、人工费）</w:t>
            </w:r>
          </w:p>
        </w:tc>
        <w:tc>
          <w:tcPr>
            <w:tcW w:w="857"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762"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977" w:type="dxa"/>
            <w:vAlign w:val="center"/>
          </w:tcPr>
          <w:p>
            <w:pPr>
              <w:jc w:val="center"/>
              <w:rPr>
                <w:rFonts w:hint="eastAsia" w:ascii="宋体" w:hAnsi="宋体" w:eastAsia="宋体" w:cs="宋体"/>
                <w:b/>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06" w:type="dxa"/>
            <w:vAlign w:val="center"/>
          </w:tcPr>
          <w:p>
            <w:pPr>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7</w:t>
            </w:r>
          </w:p>
        </w:tc>
        <w:tc>
          <w:tcPr>
            <w:tcW w:w="1938"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市政排水管网</w:t>
            </w:r>
          </w:p>
        </w:tc>
        <w:tc>
          <w:tcPr>
            <w:tcW w:w="3533" w:type="dxa"/>
            <w:vAlign w:val="center"/>
          </w:tcPr>
          <w:p>
            <w:pPr>
              <w:keepNext w:val="0"/>
              <w:keepLines w:val="0"/>
              <w:widowControl/>
              <w:suppressLineNumbers w:val="0"/>
              <w:jc w:val="center"/>
              <w:textAlignment w:val="top"/>
              <w:rPr>
                <w:rFonts w:hint="eastAsia" w:ascii="Times New Roman" w:hAnsi="Times New Roman" w:eastAsia="宋体" w:cs="Times New Roman"/>
                <w:kern w:val="2"/>
                <w:sz w:val="24"/>
                <w:szCs w:val="24"/>
                <w:lang w:val="en-US" w:eastAsia="zh-CN" w:bidi="ar-SA"/>
              </w:rPr>
            </w:pPr>
            <w:r>
              <w:rPr>
                <w:rFonts w:hint="eastAsia" w:ascii="新宋体" w:hAnsi="新宋体" w:eastAsia="新宋体" w:cs="新宋体"/>
                <w:i w:val="0"/>
                <w:iCs w:val="0"/>
                <w:color w:val="000000"/>
                <w:kern w:val="0"/>
                <w:sz w:val="22"/>
                <w:szCs w:val="22"/>
                <w:u w:val="none"/>
                <w:lang w:val="en-US" w:eastAsia="zh-CN" w:bidi="ar"/>
              </w:rPr>
              <w:t>HDPE波纹管DN300、挖管沟、安装、回填（含材料费、机械费、人工费）</w:t>
            </w:r>
          </w:p>
        </w:tc>
        <w:tc>
          <w:tcPr>
            <w:tcW w:w="857"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62"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977" w:type="dxa"/>
            <w:vAlign w:val="center"/>
          </w:tcPr>
          <w:p>
            <w:pPr>
              <w:jc w:val="center"/>
              <w:rPr>
                <w:rFonts w:hint="eastAsia" w:ascii="宋体" w:hAnsi="宋体" w:eastAsia="宋体" w:cs="宋体"/>
                <w:b/>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06" w:type="dxa"/>
            <w:vAlign w:val="center"/>
          </w:tcPr>
          <w:p>
            <w:pPr>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8</w:t>
            </w:r>
          </w:p>
        </w:tc>
        <w:tc>
          <w:tcPr>
            <w:tcW w:w="1938"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市政供水管网</w:t>
            </w:r>
          </w:p>
        </w:tc>
        <w:tc>
          <w:tcPr>
            <w:tcW w:w="3533" w:type="dxa"/>
            <w:vAlign w:val="center"/>
          </w:tcPr>
          <w:p>
            <w:pPr>
              <w:keepNext w:val="0"/>
              <w:keepLines w:val="0"/>
              <w:widowControl/>
              <w:suppressLineNumbers w:val="0"/>
              <w:jc w:val="center"/>
              <w:textAlignment w:val="top"/>
              <w:rPr>
                <w:rFonts w:hint="eastAsia" w:ascii="Times New Roman" w:hAnsi="Times New Roman" w:eastAsia="宋体" w:cs="Times New Roman"/>
                <w:kern w:val="2"/>
                <w:sz w:val="24"/>
                <w:szCs w:val="24"/>
                <w:lang w:val="en-US" w:eastAsia="zh-CN" w:bidi="ar-SA"/>
              </w:rPr>
            </w:pPr>
            <w:r>
              <w:rPr>
                <w:rFonts w:hint="eastAsia" w:ascii="新宋体" w:hAnsi="新宋体" w:eastAsia="新宋体" w:cs="新宋体"/>
                <w:i w:val="0"/>
                <w:iCs w:val="0"/>
                <w:color w:val="000000"/>
                <w:kern w:val="0"/>
                <w:sz w:val="22"/>
                <w:szCs w:val="22"/>
                <w:u w:val="none"/>
                <w:lang w:val="en-US" w:eastAsia="zh-CN" w:bidi="ar"/>
              </w:rPr>
              <w:t>聚乙烯PE100、挖管沟、安装、回填（含材料费、机械费、人工费）</w:t>
            </w:r>
          </w:p>
        </w:tc>
        <w:tc>
          <w:tcPr>
            <w:tcW w:w="857"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62"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977" w:type="dxa"/>
            <w:vAlign w:val="center"/>
          </w:tcPr>
          <w:p>
            <w:pPr>
              <w:jc w:val="center"/>
              <w:rPr>
                <w:rFonts w:hint="eastAsia" w:ascii="宋体" w:hAnsi="宋体" w:eastAsia="宋体" w:cs="宋体"/>
                <w:b/>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06" w:type="dxa"/>
            <w:vAlign w:val="center"/>
          </w:tcPr>
          <w:p>
            <w:pPr>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9</w:t>
            </w:r>
          </w:p>
        </w:tc>
        <w:tc>
          <w:tcPr>
            <w:tcW w:w="1938"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标线</w:t>
            </w:r>
          </w:p>
        </w:tc>
        <w:tc>
          <w:tcPr>
            <w:tcW w:w="3533" w:type="dxa"/>
            <w:vAlign w:val="center"/>
          </w:tcPr>
          <w:p>
            <w:pPr>
              <w:keepNext w:val="0"/>
              <w:keepLines w:val="0"/>
              <w:widowControl/>
              <w:suppressLineNumbers w:val="0"/>
              <w:jc w:val="center"/>
              <w:textAlignment w:val="top"/>
              <w:rPr>
                <w:rFonts w:hint="eastAsia" w:ascii="Times New Roman" w:hAnsi="Times New Roman" w:eastAsia="宋体" w:cs="Times New Roman"/>
                <w:kern w:val="2"/>
                <w:sz w:val="24"/>
                <w:szCs w:val="24"/>
                <w:lang w:val="en-US" w:eastAsia="zh-CN" w:bidi="ar-SA"/>
              </w:rPr>
            </w:pPr>
            <w:r>
              <w:rPr>
                <w:rFonts w:hint="eastAsia" w:ascii="新宋体" w:hAnsi="新宋体" w:eastAsia="新宋体" w:cs="新宋体"/>
                <w:i w:val="0"/>
                <w:iCs w:val="0"/>
                <w:color w:val="000000"/>
                <w:kern w:val="0"/>
                <w:sz w:val="22"/>
                <w:szCs w:val="22"/>
                <w:u w:val="none"/>
                <w:lang w:val="en-US" w:eastAsia="zh-CN" w:bidi="ar"/>
              </w:rPr>
              <w:t>15公分道路线、停车位线（含材料费、机械费、人工费）</w:t>
            </w:r>
          </w:p>
        </w:tc>
        <w:tc>
          <w:tcPr>
            <w:tcW w:w="857"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62"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2300</w:t>
            </w:r>
          </w:p>
        </w:tc>
        <w:tc>
          <w:tcPr>
            <w:tcW w:w="977" w:type="dxa"/>
            <w:vAlign w:val="center"/>
          </w:tcPr>
          <w:p>
            <w:pPr>
              <w:jc w:val="center"/>
              <w:rPr>
                <w:rFonts w:hint="eastAsia" w:ascii="宋体" w:hAnsi="宋体" w:eastAsia="宋体" w:cs="宋体"/>
                <w:b/>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06" w:type="dxa"/>
            <w:vAlign w:val="center"/>
          </w:tcPr>
          <w:p>
            <w:pPr>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10</w:t>
            </w:r>
          </w:p>
        </w:tc>
        <w:tc>
          <w:tcPr>
            <w:tcW w:w="1938"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钢结构楼梯</w:t>
            </w:r>
          </w:p>
        </w:tc>
        <w:tc>
          <w:tcPr>
            <w:tcW w:w="3533" w:type="dxa"/>
            <w:vAlign w:val="center"/>
          </w:tcPr>
          <w:p>
            <w:pPr>
              <w:keepNext w:val="0"/>
              <w:keepLines w:val="0"/>
              <w:widowControl/>
              <w:suppressLineNumbers w:val="0"/>
              <w:jc w:val="center"/>
              <w:textAlignment w:val="top"/>
              <w:rPr>
                <w:rFonts w:hint="eastAsia" w:ascii="Times New Roman" w:hAnsi="Times New Roman" w:eastAsia="宋体" w:cs="Times New Roman"/>
                <w:kern w:val="2"/>
                <w:sz w:val="24"/>
                <w:szCs w:val="24"/>
                <w:lang w:val="en-US" w:eastAsia="zh-CN" w:bidi="ar-SA"/>
              </w:rPr>
            </w:pPr>
            <w:r>
              <w:rPr>
                <w:rFonts w:hint="eastAsia" w:ascii="新宋体" w:hAnsi="新宋体" w:eastAsia="新宋体" w:cs="新宋体"/>
                <w:i w:val="0"/>
                <w:iCs w:val="0"/>
                <w:color w:val="000000"/>
                <w:kern w:val="0"/>
                <w:sz w:val="22"/>
                <w:szCs w:val="22"/>
                <w:u w:val="none"/>
                <w:lang w:val="en-US" w:eastAsia="zh-CN" w:bidi="ar"/>
              </w:rPr>
              <w:t>拆除砼C35现浇板、焊接、安装、加固、油漆（含材料费、机械费、人工费）</w:t>
            </w:r>
          </w:p>
        </w:tc>
        <w:tc>
          <w:tcPr>
            <w:tcW w:w="857"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762"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977" w:type="dxa"/>
            <w:vAlign w:val="center"/>
          </w:tcPr>
          <w:p>
            <w:pPr>
              <w:jc w:val="center"/>
              <w:rPr>
                <w:rFonts w:hint="eastAsia" w:ascii="宋体" w:hAnsi="宋体" w:eastAsia="宋体" w:cs="宋体"/>
                <w:b/>
                <w:sz w:val="24"/>
                <w:szCs w:val="24"/>
                <w:highlight w:val="none"/>
                <w:lang w:val="en-US" w:eastAsia="zh-CN"/>
              </w:rPr>
            </w:pPr>
          </w:p>
        </w:tc>
      </w:tr>
    </w:tbl>
    <w:p>
      <w:pPr>
        <w:pStyle w:val="5"/>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备注：</w:t>
      </w:r>
    </w:p>
    <w:p>
      <w:pPr>
        <w:pStyle w:val="5"/>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1、投标单位所提供的产品参数不得低于该参考参数指标。</w:t>
      </w:r>
    </w:p>
    <w:p>
      <w:pPr>
        <w:pStyle w:val="5"/>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2、谈判文件未尽事宜，由采购人与中标供应商签订合同补充并执行。</w:t>
      </w:r>
    </w:p>
    <w:p>
      <w:pPr>
        <w:pStyle w:val="5"/>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3、提供所投产品技术支持文件，包括产品彩页及检测报告等。</w:t>
      </w:r>
    </w:p>
    <w:p>
      <w:pPr>
        <w:rPr>
          <w:rFonts w:hint="default"/>
          <w:lang w:val="en-US" w:eastAsia="zh-CN"/>
        </w:rPr>
        <w:sectPr>
          <w:pgSz w:w="11906" w:h="16838"/>
          <w:pgMar w:top="1134" w:right="1797" w:bottom="1559" w:left="1797" w:header="851" w:footer="992" w:gutter="0"/>
          <w:pgNumType w:fmt="decimal"/>
          <w:cols w:space="720" w:num="1"/>
          <w:docGrid w:linePitch="312" w:charSpace="0"/>
        </w:sectPr>
      </w:pPr>
    </w:p>
    <w:p>
      <w:pPr>
        <w:spacing w:line="420" w:lineRule="exact"/>
        <w:jc w:val="center"/>
        <w:textAlignment w:val="baseline"/>
        <w:rPr>
          <w:rFonts w:hint="eastAsia" w:ascii="宋体" w:hAnsi="宋体" w:cs="宋体"/>
          <w:b/>
          <w:color w:val="000000" w:themeColor="text1"/>
          <w:kern w:val="0"/>
          <w:sz w:val="36"/>
          <w:szCs w:val="36"/>
          <w:highlight w:val="none"/>
          <w:u w:val="none" w:color="000000"/>
          <w14:textFill>
            <w14:solidFill>
              <w14:schemeClr w14:val="tx1"/>
            </w14:solidFill>
          </w14:textFill>
        </w:rPr>
      </w:pPr>
      <w:bookmarkStart w:id="51" w:name="_Toc18595"/>
      <w:bookmarkStart w:id="52" w:name="_Toc22992"/>
      <w:bookmarkStart w:id="53" w:name="_Toc24429"/>
      <w:bookmarkStart w:id="54" w:name="_Toc31168"/>
      <w:bookmarkStart w:id="55" w:name="_Toc501379478"/>
      <w:bookmarkStart w:id="56" w:name="_Toc381970843"/>
      <w:r>
        <w:rPr>
          <w:rFonts w:hint="eastAsia" w:ascii="宋体" w:hAnsi="宋体" w:cs="宋体"/>
          <w:b/>
          <w:color w:val="000000" w:themeColor="text1"/>
          <w:kern w:val="0"/>
          <w:sz w:val="36"/>
          <w:szCs w:val="36"/>
          <w:highlight w:val="none"/>
          <w:u w:val="none" w:color="000000"/>
          <w14:textFill>
            <w14:solidFill>
              <w14:schemeClr w14:val="tx1"/>
            </w14:solidFill>
          </w14:textFill>
        </w:rPr>
        <w:t>采购合同</w:t>
      </w:r>
    </w:p>
    <w:p>
      <w:pPr>
        <w:spacing w:line="420" w:lineRule="exact"/>
        <w:ind w:firstLine="220" w:firstLineChars="50"/>
        <w:jc w:val="center"/>
        <w:textAlignment w:val="baseline"/>
        <w:rPr>
          <w:rFonts w:hint="eastAsia" w:ascii="宋体" w:hAnsi="宋体" w:cs="宋体"/>
          <w:color w:val="000000" w:themeColor="text1"/>
          <w:kern w:val="0"/>
          <w:sz w:val="44"/>
          <w:szCs w:val="44"/>
          <w:highlight w:val="none"/>
          <w:u w:val="none" w:color="000000"/>
          <w14:textFill>
            <w14:solidFill>
              <w14:schemeClr w14:val="tx1"/>
            </w14:solidFill>
          </w14:textFill>
        </w:rPr>
      </w:pPr>
    </w:p>
    <w:p>
      <w:pPr>
        <w:spacing w:line="360" w:lineRule="auto"/>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u w:val="none" w:color="000000"/>
          <w14:textFill>
            <w14:solidFill>
              <w14:schemeClr w14:val="tx1"/>
            </w14:solidFill>
          </w14:textFill>
        </w:rPr>
        <w:t>甲方：</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w:t>
      </w:r>
      <w:r>
        <w:rPr>
          <w:rFonts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p>
    <w:p>
      <w:pPr>
        <w:spacing w:line="360" w:lineRule="auto"/>
        <w:textAlignment w:val="baseline"/>
        <w:rPr>
          <w:rFonts w:hint="eastAsia" w:ascii="宋体" w:hAnsi="宋体" w:cs="宋体"/>
          <w:b/>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u w:val="none" w:color="000000"/>
          <w14:textFill>
            <w14:solidFill>
              <w14:schemeClr w14:val="tx1"/>
            </w14:solidFill>
          </w14:textFill>
        </w:rPr>
        <w:t>乙方：</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甲、乙双方本着平等互利、协商一致的原则，根据《中华人民共和国民法典》之规定，签订本合同。</w:t>
      </w:r>
    </w:p>
    <w:p>
      <w:pPr>
        <w:ind w:firstLine="480"/>
        <w:rPr>
          <w:rFonts w:hint="eastAsia" w:ascii="宋体" w:hAnsi="宋体" w:cs="宋体"/>
          <w:color w:val="000000" w:themeColor="text1"/>
          <w:kern w:val="0"/>
          <w:sz w:val="24"/>
          <w:highlight w:val="none"/>
          <w:u w:val="none" w:color="000000"/>
          <w14:textFill>
            <w14:solidFill>
              <w14:schemeClr w14:val="tx1"/>
            </w14:solidFill>
          </w14:textFill>
        </w:rPr>
      </w:pPr>
      <w:r>
        <w:rPr>
          <w:rFonts w:hint="eastAsia" w:ascii="宋体" w:hAnsi="宋体" w:cs="宋体"/>
          <w:b/>
          <w:bCs/>
          <w:color w:val="000000" w:themeColor="text1"/>
          <w:kern w:val="0"/>
          <w:sz w:val="24"/>
          <w:highlight w:val="none"/>
          <w:u w:val="none" w:color="000000"/>
          <w14:textFill>
            <w14:solidFill>
              <w14:schemeClr w14:val="tx1"/>
            </w14:solidFill>
          </w14:textFill>
        </w:rPr>
        <w:t>第一条</w:t>
      </w:r>
      <w:r>
        <w:rPr>
          <w:rFonts w:hint="eastAsia" w:ascii="宋体" w:hAnsi="宋体" w:cs="宋体"/>
          <w:color w:val="000000" w:themeColor="text1"/>
          <w:kern w:val="0"/>
          <w:sz w:val="24"/>
          <w:highlight w:val="none"/>
          <w:u w:val="none" w:color="000000"/>
          <w14:textFill>
            <w14:solidFill>
              <w14:schemeClr w14:val="tx1"/>
            </w14:solidFill>
          </w14:textFill>
        </w:rPr>
        <w:t xml:space="preserve">  产品名称、型号、数量、金额</w:t>
      </w:r>
    </w:p>
    <w:tbl>
      <w:tblPr>
        <w:tblStyle w:val="25"/>
        <w:tblW w:w="0" w:type="auto"/>
        <w:tblInd w:w="0" w:type="dxa"/>
        <w:tblLayout w:type="fixed"/>
        <w:tblCellMar>
          <w:top w:w="15" w:type="dxa"/>
          <w:left w:w="15" w:type="dxa"/>
          <w:bottom w:w="15" w:type="dxa"/>
          <w:right w:w="15" w:type="dxa"/>
        </w:tblCellMar>
      </w:tblPr>
      <w:tblGrid>
        <w:gridCol w:w="1539"/>
        <w:gridCol w:w="1539"/>
        <w:gridCol w:w="839"/>
        <w:gridCol w:w="747"/>
        <w:gridCol w:w="837"/>
        <w:gridCol w:w="896"/>
        <w:gridCol w:w="1418"/>
        <w:gridCol w:w="1540"/>
      </w:tblGrid>
      <w:tr>
        <w:tblPrEx>
          <w:tblCellMar>
            <w:top w:w="15" w:type="dxa"/>
            <w:left w:w="15" w:type="dxa"/>
            <w:bottom w:w="15" w:type="dxa"/>
            <w:right w:w="15" w:type="dxa"/>
          </w:tblCellMar>
        </w:tblPrEx>
        <w:trPr>
          <w:trHeight w:val="570" w:hRule="atLeast"/>
        </w:trPr>
        <w:tc>
          <w:tcPr>
            <w:tcW w:w="153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序号</w:t>
            </w:r>
          </w:p>
        </w:tc>
        <w:tc>
          <w:tcPr>
            <w:tcW w:w="153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名称</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材质</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单位</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数量</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单价</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金额</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规格</w:t>
            </w:r>
          </w:p>
        </w:tc>
      </w:tr>
      <w:tr>
        <w:tblPrEx>
          <w:tblCellMar>
            <w:top w:w="15" w:type="dxa"/>
            <w:left w:w="15" w:type="dxa"/>
            <w:bottom w:w="15" w:type="dxa"/>
            <w:right w:w="15" w:type="dxa"/>
          </w:tblCellMar>
        </w:tblPrEx>
        <w:trPr>
          <w:trHeight w:val="450" w:hRule="atLeast"/>
        </w:trPr>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１</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0"/>
                <w:szCs w:val="20"/>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p>
        </w:tc>
      </w:tr>
      <w:tr>
        <w:tblPrEx>
          <w:tblCellMar>
            <w:top w:w="15" w:type="dxa"/>
            <w:left w:w="15" w:type="dxa"/>
            <w:bottom w:w="15" w:type="dxa"/>
            <w:right w:w="15" w:type="dxa"/>
          </w:tblCellMar>
        </w:tblPrEx>
        <w:trPr>
          <w:trHeight w:val="780" w:hRule="atLeast"/>
        </w:trPr>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２</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r>
      <w:tr>
        <w:tblPrEx>
          <w:tblCellMar>
            <w:top w:w="15" w:type="dxa"/>
            <w:left w:w="15" w:type="dxa"/>
            <w:bottom w:w="15" w:type="dxa"/>
            <w:right w:w="15" w:type="dxa"/>
          </w:tblCellMar>
        </w:tblPrEx>
        <w:trPr>
          <w:trHeight w:val="840" w:hRule="atLeast"/>
        </w:trPr>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３</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r>
      <w:tr>
        <w:tblPrEx>
          <w:tblCellMar>
            <w:top w:w="15" w:type="dxa"/>
            <w:left w:w="15" w:type="dxa"/>
            <w:bottom w:w="15" w:type="dxa"/>
            <w:right w:w="15" w:type="dxa"/>
          </w:tblCellMar>
        </w:tblPrEx>
        <w:trPr>
          <w:trHeight w:val="780" w:hRule="atLeast"/>
        </w:trPr>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４</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r>
      <w:tr>
        <w:tblPrEx>
          <w:tblCellMar>
            <w:top w:w="15" w:type="dxa"/>
            <w:left w:w="15" w:type="dxa"/>
            <w:bottom w:w="15" w:type="dxa"/>
            <w:right w:w="15" w:type="dxa"/>
          </w:tblCellMar>
        </w:tblPrEx>
        <w:trPr>
          <w:trHeight w:val="720" w:hRule="atLeast"/>
        </w:trPr>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５</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r>
      <w:tr>
        <w:tblPrEx>
          <w:tblCellMar>
            <w:top w:w="15" w:type="dxa"/>
            <w:left w:w="15" w:type="dxa"/>
            <w:bottom w:w="15" w:type="dxa"/>
            <w:right w:w="15" w:type="dxa"/>
          </w:tblCellMar>
        </w:tblPrEx>
        <w:trPr>
          <w:trHeight w:val="720" w:hRule="atLeast"/>
        </w:trPr>
        <w:tc>
          <w:tcPr>
            <w:tcW w:w="153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６</w:t>
            </w:r>
          </w:p>
        </w:tc>
        <w:tc>
          <w:tcPr>
            <w:tcW w:w="153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839" w:type="dxa"/>
            <w:tcBorders>
              <w:top w:val="single" w:color="000000" w:sz="4" w:space="0"/>
              <w:left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74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837" w:type="dxa"/>
            <w:tcBorders>
              <w:top w:val="single" w:color="000000" w:sz="4" w:space="0"/>
              <w:left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9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418"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540" w:type="dxa"/>
            <w:tcBorders>
              <w:top w:val="single" w:color="000000" w:sz="4" w:space="0"/>
              <w:left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r>
      <w:tr>
        <w:tblPrEx>
          <w:tblCellMar>
            <w:top w:w="15" w:type="dxa"/>
            <w:left w:w="15" w:type="dxa"/>
            <w:bottom w:w="15" w:type="dxa"/>
            <w:right w:w="15" w:type="dxa"/>
          </w:tblCellMar>
        </w:tblPrEx>
        <w:trPr>
          <w:trHeight w:val="660" w:hRule="atLeast"/>
        </w:trPr>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７</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837" w:type="dxa"/>
            <w:tcBorders>
              <w:top w:val="single" w:color="000000" w:sz="4" w:space="0"/>
              <w:left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9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418"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540" w:type="dxa"/>
            <w:tcBorders>
              <w:top w:val="single" w:color="000000" w:sz="4" w:space="0"/>
              <w:left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r>
      <w:tr>
        <w:tblPrEx>
          <w:tblCellMar>
            <w:top w:w="15" w:type="dxa"/>
            <w:left w:w="15" w:type="dxa"/>
            <w:bottom w:w="15" w:type="dxa"/>
            <w:right w:w="15" w:type="dxa"/>
          </w:tblCellMar>
        </w:tblPrEx>
        <w:trPr>
          <w:trHeight w:val="690" w:hRule="atLeast"/>
        </w:trPr>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８</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themeColor="text1"/>
                <w:sz w:val="24"/>
                <w:highlight w:val="none"/>
                <w14:textFill>
                  <w14:solidFill>
                    <w14:schemeClr w14:val="tx1"/>
                  </w14:solidFill>
                </w14:textFill>
              </w:rPr>
            </w:pPr>
          </w:p>
        </w:tc>
      </w:tr>
      <w:tr>
        <w:tblPrEx>
          <w:tblCellMar>
            <w:top w:w="15" w:type="dxa"/>
            <w:left w:w="15" w:type="dxa"/>
            <w:bottom w:w="15" w:type="dxa"/>
            <w:right w:w="15" w:type="dxa"/>
          </w:tblCellMar>
        </w:tblPrEx>
        <w:trPr>
          <w:trHeight w:val="690" w:hRule="atLeast"/>
        </w:trPr>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合计</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747" w:type="dxa"/>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r>
    </w:tbl>
    <w:p>
      <w:pPr>
        <w:spacing w:line="360" w:lineRule="auto"/>
        <w:rPr>
          <w:rFonts w:hint="default" w:ascii="宋体" w:hAnsi="宋体" w:cs="宋体" w:eastAsiaTheme="minorEastAsia"/>
          <w:color w:val="000000" w:themeColor="text1"/>
          <w:kern w:val="0"/>
          <w:sz w:val="24"/>
          <w:highlight w:val="none"/>
          <w:u w:val="single"/>
          <w:lang w:val="en-US" w:eastAsia="zh-CN"/>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　　第二条 </w:t>
      </w:r>
      <w:r>
        <w:rPr>
          <w:rFonts w:hint="eastAsia" w:ascii="宋体" w:hAnsi="宋体" w:cs="宋体"/>
          <w:color w:val="000000" w:themeColor="text1"/>
          <w:kern w:val="0"/>
          <w:sz w:val="24"/>
          <w:highlight w:val="none"/>
          <w14:textFill>
            <w14:solidFill>
              <w14:schemeClr w14:val="tx1"/>
            </w14:solidFill>
          </w14:textFill>
        </w:rPr>
        <w:t>质量标准：标的货物质量要求:</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p>
    <w:p>
      <w:pPr>
        <w:tabs>
          <w:tab w:val="left" w:pos="900"/>
        </w:tabs>
        <w:spacing w:line="360" w:lineRule="auto"/>
        <w:ind w:firstLine="481"/>
        <w:rPr>
          <w:rFonts w:hint="eastAsia" w:ascii="宋体" w:hAnsi="宋体" w:cs="宋体"/>
          <w:color w:val="000000" w:themeColor="text1"/>
          <w:kern w:val="0"/>
          <w:sz w:val="24"/>
          <w:highlight w:val="none"/>
          <w:u w:val="single"/>
          <w:lang w:val="en-US" w:eastAsia="zh-CN"/>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第三条</w:t>
      </w:r>
      <w:r>
        <w:rPr>
          <w:rFonts w:hint="eastAsia" w:ascii="宋体" w:hAnsi="宋体" w:cs="宋体"/>
          <w:color w:val="000000" w:themeColor="text1"/>
          <w:kern w:val="0"/>
          <w:sz w:val="24"/>
          <w:highlight w:val="none"/>
          <w14:textFill>
            <w14:solidFill>
              <w14:schemeClr w14:val="tx1"/>
            </w14:solidFill>
          </w14:textFill>
        </w:rPr>
        <w:t xml:space="preserve"> 卖方对质量负责的期限：</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p>
    <w:p>
      <w:pPr>
        <w:tabs>
          <w:tab w:val="left" w:pos="900"/>
        </w:tabs>
        <w:spacing w:line="360" w:lineRule="auto"/>
        <w:ind w:firstLine="481"/>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第四条</w:t>
      </w:r>
      <w:r>
        <w:rPr>
          <w:rFonts w:hint="eastAsia" w:ascii="宋体" w:hAnsi="宋体" w:cs="宋体"/>
          <w:color w:val="000000" w:themeColor="text1"/>
          <w:kern w:val="0"/>
          <w:sz w:val="24"/>
          <w:highlight w:val="none"/>
          <w14:textFill>
            <w14:solidFill>
              <w14:schemeClr w14:val="tx1"/>
            </w14:solidFill>
          </w14:textFill>
        </w:rPr>
        <w:t xml:space="preserve"> 产品的包装标准和包装物的供应与回收货物包装标准为：</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第五条</w:t>
      </w:r>
      <w:r>
        <w:rPr>
          <w:rFonts w:hint="eastAsia" w:ascii="宋体" w:hAnsi="宋体" w:cs="宋体"/>
          <w:color w:val="000000" w:themeColor="text1"/>
          <w:kern w:val="0"/>
          <w:sz w:val="24"/>
          <w:highlight w:val="none"/>
          <w14:textFill>
            <w14:solidFill>
              <w14:schemeClr w14:val="tx1"/>
            </w14:solidFill>
          </w14:textFill>
        </w:rPr>
        <w:t xml:space="preserve"> 合理损耗标准及计算方法：  。</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　　第六条 </w:t>
      </w:r>
      <w:r>
        <w:rPr>
          <w:rFonts w:hint="eastAsia" w:ascii="宋体" w:hAnsi="宋体" w:cs="宋体"/>
          <w:color w:val="000000" w:themeColor="text1"/>
          <w:kern w:val="0"/>
          <w:sz w:val="24"/>
          <w:highlight w:val="none"/>
          <w14:textFill>
            <w14:solidFill>
              <w14:schemeClr w14:val="tx1"/>
            </w14:solidFill>
          </w14:textFill>
        </w:rPr>
        <w:t>交货方式、</w:t>
      </w:r>
      <w:r>
        <w:rPr>
          <w:rFonts w:hint="eastAsia" w:ascii="宋体" w:hAnsi="宋体" w:cs="宋体"/>
          <w:color w:val="000000" w:themeColor="text1"/>
          <w:kern w:val="0"/>
          <w:sz w:val="24"/>
          <w:highlight w:val="none"/>
          <w:lang w:val="en-US" w:eastAsia="zh-CN"/>
          <w14:textFill>
            <w14:solidFill>
              <w14:schemeClr w14:val="tx1"/>
            </w14:solidFill>
          </w14:textFill>
        </w:rPr>
        <w:t>合同履行期限</w:t>
      </w:r>
      <w:r>
        <w:rPr>
          <w:rFonts w:hint="eastAsia" w:ascii="宋体" w:hAnsi="宋体" w:cs="宋体"/>
          <w:color w:val="000000" w:themeColor="text1"/>
          <w:kern w:val="0"/>
          <w:sz w:val="24"/>
          <w:highlight w:val="none"/>
          <w14:textFill>
            <w14:solidFill>
              <w14:schemeClr w14:val="tx1"/>
            </w14:solidFill>
          </w14:textFill>
        </w:rPr>
        <w:t>、货到地点：本合同签订之日起</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日内，</w:t>
      </w:r>
      <w:r>
        <w:rPr>
          <w:rFonts w:hint="eastAsia" w:ascii="宋体" w:hAnsi="宋体" w:cs="宋体"/>
          <w:color w:val="000000" w:themeColor="text1"/>
          <w:kern w:val="0"/>
          <w:sz w:val="24"/>
          <w:highlight w:val="none"/>
          <w:u w:val="single"/>
          <w14:textFill>
            <w14:solidFill>
              <w14:schemeClr w14:val="tx1"/>
            </w14:solidFill>
          </w14:textFill>
        </w:rPr>
        <w:t>乙方送货到甲方指定位置。</w:t>
      </w:r>
    </w:p>
    <w:p>
      <w:pPr>
        <w:spacing w:line="360" w:lineRule="auto"/>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第七条</w:t>
      </w:r>
      <w:r>
        <w:rPr>
          <w:rFonts w:hint="eastAsia" w:ascii="宋体" w:hAnsi="宋体" w:cs="宋体"/>
          <w:color w:val="000000" w:themeColor="text1"/>
          <w:kern w:val="0"/>
          <w:sz w:val="24"/>
          <w:highlight w:val="none"/>
          <w14:textFill>
            <w14:solidFill>
              <w14:schemeClr w14:val="tx1"/>
            </w14:solidFill>
          </w14:textFill>
        </w:rPr>
        <w:t xml:space="preserve"> 1.运输方式、到达站及费用负担：</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w:t>
      </w:r>
    </w:p>
    <w:p>
      <w:pPr>
        <w:spacing w:line="360" w:lineRule="auto"/>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2.为确保甲方产品质量及货物形象，乙方承运车辆必须符合运输要求，车厢应保持干净、卫生、平整、有防雨篷布、无污染，否则甲方有权拒收货物；乙方承运车辆到达甲方指定地点后必须服从甲方管理。</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第八条</w:t>
      </w:r>
      <w:r>
        <w:rPr>
          <w:rFonts w:hint="eastAsia" w:ascii="宋体" w:hAnsi="宋体" w:cs="宋体"/>
          <w:bCs/>
          <w:color w:val="000000" w:themeColor="text1"/>
          <w:kern w:val="0"/>
          <w:sz w:val="24"/>
          <w:highlight w:val="none"/>
          <w14:textFill>
            <w14:solidFill>
              <w14:schemeClr w14:val="tx1"/>
            </w14:solidFill>
          </w14:textFill>
        </w:rPr>
        <w:t>甲方收货后七日内对货品按国家及行业规范进行验收</w:t>
      </w:r>
      <w:r>
        <w:rPr>
          <w:rFonts w:hint="eastAsia" w:ascii="宋体" w:hAnsi="宋体" w:cs="宋体"/>
          <w:color w:val="000000" w:themeColor="text1"/>
          <w:kern w:val="0"/>
          <w:sz w:val="24"/>
          <w:highlight w:val="none"/>
          <w14:textFill>
            <w14:solidFill>
              <w14:schemeClr w14:val="tx1"/>
            </w14:solidFill>
          </w14:textFill>
        </w:rPr>
        <w:t>。如甲方发现货物存在问题，由乙方按照甲方的要求和时限及时退货或换货；对甲方无法确认的，由甲方委托检测鉴定机构确定后，乙方应按甲方的要求和时限退货或换货。由此产生的费用和造成的损失由乙方承担。</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第九条</w:t>
      </w:r>
      <w:r>
        <w:rPr>
          <w:rFonts w:hint="eastAsia" w:ascii="宋体" w:hAnsi="宋体" w:cs="宋体"/>
          <w:color w:val="000000" w:themeColor="text1"/>
          <w:kern w:val="0"/>
          <w:sz w:val="24"/>
          <w:highlight w:val="none"/>
          <w14:textFill>
            <w14:solidFill>
              <w14:schemeClr w14:val="tx1"/>
            </w14:solidFill>
          </w14:textFill>
        </w:rPr>
        <w:t xml:space="preserve"> 标的货物的所有权自货物交付时起转移给甲方。</w:t>
      </w:r>
    </w:p>
    <w:p>
      <w:pPr>
        <w:spacing w:line="360" w:lineRule="auto"/>
        <w:ind w:firstLine="48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第十条</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bCs/>
          <w:color w:val="000000" w:themeColor="text1"/>
          <w:kern w:val="0"/>
          <w:sz w:val="24"/>
          <w:highlight w:val="none"/>
          <w14:textFill>
            <w14:solidFill>
              <w14:schemeClr w14:val="tx1"/>
            </w14:solidFill>
          </w14:textFill>
        </w:rPr>
        <w:t>结算方式、时间及地点、付款方式：</w:t>
      </w:r>
      <w:r>
        <w:rPr>
          <w:rFonts w:hint="eastAsia" w:ascii="宋体" w:hAnsi="宋体" w:cs="宋体"/>
          <w:bCs/>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bCs/>
          <w:color w:val="000000" w:themeColor="text1"/>
          <w:spacing w:val="-8"/>
          <w:kern w:val="0"/>
          <w:sz w:val="24"/>
          <w:highlight w:val="none"/>
          <w:u w:val="single"/>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　　</w:t>
      </w:r>
    </w:p>
    <w:p>
      <w:pPr>
        <w:spacing w:line="360" w:lineRule="auto"/>
        <w:ind w:firstLine="48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第十一条</w:t>
      </w:r>
      <w:r>
        <w:rPr>
          <w:rFonts w:hint="eastAsia" w:ascii="宋体" w:hAnsi="宋体" w:cs="宋体"/>
          <w:color w:val="000000" w:themeColor="text1"/>
          <w:kern w:val="0"/>
          <w:sz w:val="24"/>
          <w:highlight w:val="none"/>
          <w14:textFill>
            <w14:solidFill>
              <w14:schemeClr w14:val="tx1"/>
            </w14:solidFill>
          </w14:textFill>
        </w:rPr>
        <w:t xml:space="preserve"> 违约责任</w:t>
      </w:r>
    </w:p>
    <w:p>
      <w:pPr>
        <w:spacing w:line="360" w:lineRule="auto"/>
        <w:ind w:firstLine="480" w:firstLineChars="200"/>
        <w:outlineLvl w:val="0"/>
        <w:rPr>
          <w:rFonts w:hint="eastAsia" w:ascii="宋体" w:hAnsi="宋体" w:cs="宋体"/>
          <w:color w:val="000000" w:themeColor="text1"/>
          <w:kern w:val="0"/>
          <w:sz w:val="24"/>
          <w:highlight w:val="none"/>
          <w14:textFill>
            <w14:solidFill>
              <w14:schemeClr w14:val="tx1"/>
            </w14:solidFill>
          </w14:textFill>
        </w:rPr>
      </w:pPr>
      <w:bookmarkStart w:id="57" w:name="_Toc32424"/>
      <w:bookmarkStart w:id="58" w:name="_Toc516"/>
      <w:r>
        <w:rPr>
          <w:rFonts w:hint="eastAsia" w:ascii="宋体" w:hAnsi="宋体" w:cs="宋体"/>
          <w:color w:val="000000" w:themeColor="text1"/>
          <w:kern w:val="0"/>
          <w:sz w:val="24"/>
          <w:highlight w:val="none"/>
          <w14:textFill>
            <w14:solidFill>
              <w14:schemeClr w14:val="tx1"/>
            </w14:solidFill>
          </w14:textFill>
        </w:rPr>
        <w:t>（一）乙方违约责任：</w:t>
      </w:r>
      <w:bookmarkEnd w:id="57"/>
      <w:bookmarkEnd w:id="58"/>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1.如延期交货超过</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日，甲方有权单方终止合同，</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2.若乙方交付的货物数量、规格型号或质量与约定不符，乙方应负责无偿更换、补齐，直至符合合同的约定；如在</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日内未更换、补齐，甲方有权单方终止合同，将已收货物返还给乙方，乙方按合同总价款的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向甲方支付违约金。</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3.合同签订后，若乙方不能履行合同，应按合同总价款的</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向甲方支付违约金。</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4、乙方一切违反本合同约定的行为给甲方造成损失的，应当赔偿甲方的全部损失（包括但不限于诉讼费、交通费、邮寄送达费，律师费）。</w:t>
      </w:r>
    </w:p>
    <w:p>
      <w:pPr>
        <w:spacing w:line="360" w:lineRule="auto"/>
        <w:ind w:firstLine="480" w:firstLineChars="200"/>
        <w:outlineLvl w:val="0"/>
        <w:rPr>
          <w:rFonts w:hint="eastAsia" w:ascii="宋体" w:hAnsi="宋体" w:cs="宋体"/>
          <w:color w:val="000000" w:themeColor="text1"/>
          <w:kern w:val="0"/>
          <w:sz w:val="24"/>
          <w:highlight w:val="none"/>
          <w14:textFill>
            <w14:solidFill>
              <w14:schemeClr w14:val="tx1"/>
            </w14:solidFill>
          </w14:textFill>
        </w:rPr>
      </w:pPr>
      <w:bookmarkStart w:id="59" w:name="_Toc461"/>
      <w:bookmarkStart w:id="60" w:name="_Toc19029"/>
      <w:r>
        <w:rPr>
          <w:rFonts w:hint="eastAsia" w:ascii="宋体" w:hAnsi="宋体" w:cs="宋体"/>
          <w:color w:val="000000" w:themeColor="text1"/>
          <w:kern w:val="0"/>
          <w:sz w:val="24"/>
          <w:highlight w:val="none"/>
          <w14:textFill>
            <w14:solidFill>
              <w14:schemeClr w14:val="tx1"/>
            </w14:solidFill>
          </w14:textFill>
        </w:rPr>
        <w:t>（二）甲方违约责任:</w:t>
      </w:r>
      <w:bookmarkEnd w:id="59"/>
      <w:bookmarkEnd w:id="60"/>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1.若甲方未按时支付货款，逾期在</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日之内，甲方承担合同总价款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的违约金，付完违约金后甲方仍有履行合同的责任。</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2.如甲方发出订单后，无正当理由拒绝接收货物超过</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日，乙方有权终止合同，甲方按合同总价款的</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向乙方支付违约金。</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　　第十二条 </w:t>
      </w:r>
      <w:r>
        <w:rPr>
          <w:rFonts w:hint="eastAsia" w:ascii="宋体" w:hAnsi="宋体" w:cs="宋体"/>
          <w:color w:val="000000" w:themeColor="text1"/>
          <w:kern w:val="0"/>
          <w:sz w:val="24"/>
          <w:highlight w:val="none"/>
          <w14:textFill>
            <w14:solidFill>
              <w14:schemeClr w14:val="tx1"/>
            </w14:solidFill>
          </w14:textFill>
        </w:rPr>
        <w:t>本合同的供货范围、货物种类和货物数量，应当以甲方发出的订单为准。</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第十三条</w:t>
      </w:r>
      <w:r>
        <w:rPr>
          <w:rFonts w:hint="eastAsia" w:ascii="宋体" w:hAnsi="宋体" w:cs="宋体"/>
          <w:color w:val="000000" w:themeColor="text1"/>
          <w:kern w:val="0"/>
          <w:sz w:val="24"/>
          <w:highlight w:val="none"/>
          <w14:textFill>
            <w14:solidFill>
              <w14:schemeClr w14:val="tx1"/>
            </w14:solidFill>
          </w14:textFill>
        </w:rPr>
        <w:t xml:space="preserve"> 当事人一方因不可抗力不能履行合同时，应当及时通知对方，并在</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日提供有关机构出具的证明，可以全部或部分免除该方当事人的责任。</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第十四条</w:t>
      </w:r>
      <w:r>
        <w:rPr>
          <w:rFonts w:hint="eastAsia" w:ascii="宋体" w:hAnsi="宋体" w:cs="宋体"/>
          <w:color w:val="000000" w:themeColor="text1"/>
          <w:kern w:val="0"/>
          <w:sz w:val="24"/>
          <w:highlight w:val="none"/>
          <w14:textFill>
            <w14:solidFill>
              <w14:schemeClr w14:val="tx1"/>
            </w14:solidFill>
          </w14:textFill>
        </w:rPr>
        <w:t xml:space="preserve"> 本合同在履行过程中发生纠纷，如合同双方不能协商解决，可向甲方所在地人民法院提出诉讼。</w:t>
      </w:r>
    </w:p>
    <w:p>
      <w:pPr>
        <w:spacing w:line="360" w:lineRule="auto"/>
        <w:ind w:firstLine="48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第十五条 </w:t>
      </w:r>
      <w:r>
        <w:rPr>
          <w:rFonts w:hint="eastAsia" w:ascii="宋体" w:hAnsi="宋体" w:cs="宋体"/>
          <w:bCs/>
          <w:color w:val="000000" w:themeColor="text1"/>
          <w:sz w:val="24"/>
          <w:highlight w:val="none"/>
          <w14:textFill>
            <w14:solidFill>
              <w14:schemeClr w14:val="tx1"/>
            </w14:solidFill>
          </w14:textFill>
        </w:rPr>
        <w:t>健康、安全和环境保护：甲乙双方须确保产品在包装、存储、销售、运输、使用等过程中，遵守质量、安全、环境与健康等法律法规的有关要求，并承担质量、安全、环境与健康责任。</w:t>
      </w:r>
    </w:p>
    <w:p>
      <w:pPr>
        <w:spacing w:line="360" w:lineRule="auto"/>
        <w:ind w:firstLine="48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第十六条</w:t>
      </w:r>
      <w:r>
        <w:rPr>
          <w:rFonts w:hint="eastAsia" w:ascii="宋体" w:hAnsi="宋体" w:cs="宋体"/>
          <w:color w:val="000000" w:themeColor="text1"/>
          <w:kern w:val="0"/>
          <w:sz w:val="24"/>
          <w:highlight w:val="none"/>
          <w14:textFill>
            <w14:solidFill>
              <w14:schemeClr w14:val="tx1"/>
            </w14:solidFill>
          </w14:textFill>
        </w:rPr>
        <w:t xml:space="preserve"> 合同执行期间，如因故不能履行或需要修改，必须经双方同意，并另订立书面补充合同方为有效。</w:t>
      </w:r>
    </w:p>
    <w:p>
      <w:pPr>
        <w:spacing w:line="360" w:lineRule="auto"/>
        <w:ind w:firstLine="480"/>
        <w:rPr>
          <w:rFonts w:hint="eastAsia" w:ascii="宋体" w:hAnsi="宋体" w:cs="宋体"/>
          <w:color w:val="000000" w:themeColor="text1"/>
          <w:kern w:val="0"/>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第十七条</w:t>
      </w:r>
      <w:r>
        <w:rPr>
          <w:rFonts w:hint="eastAsia"/>
          <w:color w:val="000000" w:themeColor="text1"/>
          <w:sz w:val="24"/>
          <w:highlight w:val="none"/>
          <w14:textFill>
            <w14:solidFill>
              <w14:schemeClr w14:val="tx1"/>
            </w14:solidFill>
          </w14:textFill>
        </w:rPr>
        <w:t xml:space="preserve"> 明示条款：甲、乙双方对本合同的条款已充分阅读，完全理解每一条款的真实意思表示，愿意签订并遵守本合同的全部约定。</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第十八条</w:t>
      </w:r>
      <w:r>
        <w:rPr>
          <w:rFonts w:hint="eastAsia" w:ascii="宋体" w:hAnsi="宋体" w:cs="宋体"/>
          <w:color w:val="000000" w:themeColor="text1"/>
          <w:kern w:val="0"/>
          <w:sz w:val="24"/>
          <w:highlight w:val="none"/>
          <w14:textFill>
            <w14:solidFill>
              <w14:schemeClr w14:val="tx1"/>
            </w14:solidFill>
          </w14:textFill>
        </w:rPr>
        <w:t xml:space="preserve"> 合同生效：本合同一式</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份；甲方持</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份、乙方持</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份；双方签字盖章后生效。</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　　第十九条 </w:t>
      </w:r>
      <w:r>
        <w:rPr>
          <w:rFonts w:hint="eastAsia" w:ascii="宋体" w:hAnsi="宋体" w:cs="宋体"/>
          <w:color w:val="000000" w:themeColor="text1"/>
          <w:kern w:val="0"/>
          <w:sz w:val="24"/>
          <w:highlight w:val="none"/>
          <w14:textFill>
            <w14:solidFill>
              <w14:schemeClr w14:val="tx1"/>
            </w14:solidFill>
          </w14:textFill>
        </w:rPr>
        <w:t>本合同的附件、订单及补充协议是本合同的组成部分，与本合同具有同等的法律效力。</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　　第二十条 </w:t>
      </w:r>
      <w:r>
        <w:rPr>
          <w:rFonts w:hint="eastAsia" w:ascii="宋体" w:hAnsi="宋体" w:cs="宋体"/>
          <w:color w:val="000000" w:themeColor="text1"/>
          <w:kern w:val="0"/>
          <w:sz w:val="24"/>
          <w:highlight w:val="none"/>
          <w14:textFill>
            <w14:solidFill>
              <w14:schemeClr w14:val="tx1"/>
            </w14:solidFill>
          </w14:textFill>
        </w:rPr>
        <w:t>本合同从双方签字盖章之日起生效。</w:t>
      </w:r>
    </w:p>
    <w:p>
      <w:pPr>
        <w:spacing w:line="360" w:lineRule="auto"/>
        <w:rPr>
          <w:rFonts w:hint="eastAsia" w:ascii="宋体" w:hAnsi="宋体" w:cs="宋体"/>
          <w:b/>
          <w:color w:val="000000" w:themeColor="text1"/>
          <w:kern w:val="0"/>
          <w:szCs w:val="21"/>
          <w:highlight w:val="none"/>
          <w:u w:val="none" w:color="000000"/>
          <w14:textFill>
            <w14:solidFill>
              <w14:schemeClr w14:val="tx1"/>
            </w14:solidFill>
          </w14:textFill>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3"/>
        <w:gridCol w:w="4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0" w:hRule="atLeast"/>
        </w:trPr>
        <w:tc>
          <w:tcPr>
            <w:tcW w:w="4653" w:type="dxa"/>
            <w:noWrap w:val="0"/>
            <w:vAlign w:val="top"/>
          </w:tcPr>
          <w:p>
            <w:pPr>
              <w:spacing w:line="360" w:lineRule="auto"/>
              <w:rPr>
                <w:rFonts w:hint="eastAsia" w:ascii="宋体" w:hAnsi="宋体" w:cs="宋体"/>
                <w:color w:val="000000" w:themeColor="text1"/>
                <w:w w:val="90"/>
                <w:kern w:val="0"/>
                <w:sz w:val="24"/>
                <w:highlight w:val="none"/>
                <w:u w:val="single"/>
                <w14:textFill>
                  <w14:solidFill>
                    <w14:schemeClr w14:val="tx1"/>
                  </w14:solidFill>
                </w14:textFill>
              </w:rPr>
            </w:pPr>
            <w:r>
              <w:rPr>
                <w:rFonts w:hint="eastAsia" w:ascii="宋体" w:hAnsi="宋体" w:cs="宋体"/>
                <w:color w:val="000000" w:themeColor="text1"/>
                <w:w w:val="90"/>
                <w:kern w:val="0"/>
                <w:sz w:val="24"/>
                <w:highlight w:val="none"/>
                <w:u w:val="none" w:color="000000"/>
                <w14:textFill>
                  <w14:solidFill>
                    <w14:schemeClr w14:val="tx1"/>
                  </w14:solidFill>
                </w14:textFill>
              </w:rPr>
              <w:t>甲方</w:t>
            </w:r>
            <w:r>
              <w:rPr>
                <w:rFonts w:hint="eastAsia" w:ascii="宋体" w:hAnsi="宋体" w:cs="宋体"/>
                <w:color w:val="000000" w:themeColor="text1"/>
                <w:w w:val="80"/>
                <w:kern w:val="0"/>
                <w:sz w:val="24"/>
                <w:highlight w:val="none"/>
                <w:u w:val="none" w:color="000000"/>
                <w14:textFill>
                  <w14:solidFill>
                    <w14:schemeClr w14:val="tx1"/>
                  </w14:solidFill>
                </w14:textFill>
              </w:rPr>
              <w:t>：（</w:t>
            </w:r>
            <w:r>
              <w:rPr>
                <w:rFonts w:hint="eastAsia" w:ascii="宋体" w:hAnsi="宋体" w:cs="宋体"/>
                <w:color w:val="000000" w:themeColor="text1"/>
                <w:w w:val="80"/>
                <w:kern w:val="0"/>
                <w:sz w:val="24"/>
                <w:highlight w:val="none"/>
                <w14:textFill>
                  <w14:solidFill>
                    <w14:schemeClr w14:val="tx1"/>
                  </w14:solidFill>
                </w14:textFill>
              </w:rPr>
              <w:t>盖章</w:t>
            </w:r>
            <w:r>
              <w:rPr>
                <w:rFonts w:hint="eastAsia" w:ascii="宋体" w:hAnsi="宋体" w:cs="宋体"/>
                <w:color w:val="000000" w:themeColor="text1"/>
                <w:w w:val="80"/>
                <w:kern w:val="0"/>
                <w:sz w:val="24"/>
                <w:highlight w:val="none"/>
                <w:u w:val="none" w:color="000000"/>
                <w14:textFill>
                  <w14:solidFill>
                    <w14:schemeClr w14:val="tx1"/>
                  </w14:solidFill>
                </w14:textFill>
              </w:rPr>
              <w:t>）</w:t>
            </w:r>
          </w:p>
          <w:p>
            <w:pPr>
              <w:spacing w:line="360" w:lineRule="auto"/>
              <w:rPr>
                <w:rFonts w:hint="eastAsia" w:ascii="宋体" w:hAnsi="宋体" w:cs="宋体"/>
                <w:color w:val="000000" w:themeColor="text1"/>
                <w:w w:val="90"/>
                <w:kern w:val="0"/>
                <w:sz w:val="24"/>
                <w:highlight w:val="none"/>
                <w:u w:val="single"/>
                <w14:textFill>
                  <w14:solidFill>
                    <w14:schemeClr w14:val="tx1"/>
                  </w14:solidFill>
                </w14:textFill>
              </w:rPr>
            </w:pPr>
          </w:p>
          <w:p>
            <w:pPr>
              <w:spacing w:line="360" w:lineRule="auto"/>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u w:val="none" w:color="000000"/>
                <w14:textFill>
                  <w14:solidFill>
                    <w14:schemeClr w14:val="tx1"/>
                  </w14:solidFill>
                </w14:textFill>
              </w:rPr>
              <w:t>法定代表人（委托人）</w:t>
            </w:r>
            <w:r>
              <w:rPr>
                <w:rFonts w:hint="eastAsia" w:ascii="宋体" w:hAnsi="宋体" w:cs="宋体"/>
                <w:color w:val="000000" w:themeColor="text1"/>
                <w:kern w:val="0"/>
                <w:sz w:val="24"/>
                <w:highlight w:val="none"/>
                <w:u w:val="single"/>
                <w14:textFill>
                  <w14:solidFill>
                    <w14:schemeClr w14:val="tx1"/>
                  </w14:solidFill>
                </w14:textFill>
              </w:rPr>
              <w:t>：　　　　　　</w:t>
            </w:r>
          </w:p>
          <w:p>
            <w:pPr>
              <w:spacing w:line="360" w:lineRule="auto"/>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住所地：</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 xml:space="preserve">           </w:t>
            </w:r>
          </w:p>
          <w:p>
            <w:pPr>
              <w:spacing w:line="360" w:lineRule="auto"/>
              <w:ind w:left="1200" w:hanging="1200" w:hangingChars="5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开户银行：   </w:t>
            </w:r>
          </w:p>
          <w:p>
            <w:pPr>
              <w:spacing w:line="360" w:lineRule="auto"/>
              <w:ind w:left="1200" w:hanging="1200" w:hangingChars="500"/>
              <w:jc w:val="left"/>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账号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p>
          <w:p>
            <w:pPr>
              <w:spacing w:line="360" w:lineRule="auto"/>
              <w:rPr>
                <w:rFonts w:hint="eastAsia" w:ascii="宋体" w:hAnsi="宋体" w:cs="宋体"/>
                <w:color w:val="000000" w:themeColor="text1"/>
                <w:kern w:val="0"/>
                <w:sz w:val="24"/>
                <w:highlight w:val="none"/>
                <w:u w:val="none" w:color="000000"/>
                <w14:textFill>
                  <w14:solidFill>
                    <w14:schemeClr w14:val="tx1"/>
                  </w14:solidFill>
                </w14:textFill>
              </w:rPr>
            </w:pPr>
          </w:p>
          <w:p>
            <w:pPr>
              <w:spacing w:line="360" w:lineRule="auto"/>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u w:val="none" w:color="000000"/>
                <w14:textFill>
                  <w14:solidFill>
                    <w14:schemeClr w14:val="tx1"/>
                  </w14:solidFill>
                </w14:textFill>
              </w:rPr>
              <w:t>委托代理人：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none" w:color="000000"/>
                <w14:textFill>
                  <w14:solidFill>
                    <w14:schemeClr w14:val="tx1"/>
                  </w14:solidFill>
                </w14:textFill>
              </w:rPr>
              <w:t>电话：</w:t>
            </w:r>
            <w:r>
              <w:rPr>
                <w:rFonts w:hint="eastAsia" w:ascii="宋体" w:hAnsi="宋体" w:cs="宋体"/>
                <w:color w:val="000000" w:themeColor="text1"/>
                <w:kern w:val="0"/>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 w:val="24"/>
                <w:highlight w:val="none"/>
                <w:u w:val="none" w:color="000000"/>
                <w14:textFill>
                  <w14:solidFill>
                    <w14:schemeClr w14:val="tx1"/>
                  </w14:solidFill>
                </w14:textFill>
              </w:rPr>
              <w:t>签订日期：</w:t>
            </w:r>
            <w:r>
              <w:rPr>
                <w:rFonts w:hint="eastAsia" w:ascii="宋体" w:hAnsi="宋体" w:cs="宋体"/>
                <w:color w:val="000000" w:themeColor="text1"/>
                <w:kern w:val="0"/>
                <w:sz w:val="24"/>
                <w:highlight w:val="none"/>
                <w:u w:val="single"/>
                <w14:textFill>
                  <w14:solidFill>
                    <w14:schemeClr w14:val="tx1"/>
                  </w14:solidFill>
                </w14:textFill>
              </w:rPr>
              <w:t>20</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none" w:color="000000"/>
                <w14:textFill>
                  <w14:solidFill>
                    <w14:schemeClr w14:val="tx1"/>
                  </w14:solidFill>
                </w14:textFill>
              </w:rPr>
              <w:t>年</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none" w:color="000000"/>
                <w14:textFill>
                  <w14:solidFill>
                    <w14:schemeClr w14:val="tx1"/>
                  </w14:solidFill>
                </w14:textFill>
              </w:rPr>
              <w:t>月</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none" w:color="000000"/>
                <w14:textFill>
                  <w14:solidFill>
                    <w14:schemeClr w14:val="tx1"/>
                  </w14:solidFill>
                </w14:textFill>
              </w:rPr>
              <w:t>日</w:t>
            </w:r>
          </w:p>
        </w:tc>
        <w:tc>
          <w:tcPr>
            <w:tcW w:w="4687" w:type="dxa"/>
            <w:noWrap w:val="0"/>
            <w:vAlign w:val="top"/>
          </w:tcPr>
          <w:p>
            <w:pPr>
              <w:spacing w:line="360" w:lineRule="auto"/>
              <w:rPr>
                <w:rFonts w:ascii="宋体" w:hAnsi="宋体" w:cs="宋体"/>
                <w:color w:val="000000" w:themeColor="text1"/>
                <w:kern w:val="0"/>
                <w:sz w:val="24"/>
                <w:highlight w:val="none"/>
                <w:u w:val="none" w:color="000000"/>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w:t>
            </w:r>
            <w:r>
              <w:rPr>
                <w:rFonts w:hint="eastAsia" w:ascii="宋体" w:hAnsi="宋体" w:cs="宋体"/>
                <w:color w:val="000000" w:themeColor="text1"/>
                <w:kern w:val="0"/>
                <w:sz w:val="24"/>
                <w:highlight w:val="none"/>
                <w:u w:val="none" w:color="000000"/>
                <w14:textFill>
                  <w14:solidFill>
                    <w14:schemeClr w14:val="tx1"/>
                  </w14:solidFill>
                </w14:textFill>
              </w:rPr>
              <w:t>方</w:t>
            </w:r>
            <w:r>
              <w:rPr>
                <w:rFonts w:hint="eastAsia" w:ascii="宋体" w:hAnsi="宋体" w:cs="宋体"/>
                <w:color w:val="000000" w:themeColor="text1"/>
                <w:kern w:val="0"/>
                <w:sz w:val="24"/>
                <w:highlight w:val="none"/>
                <w14:textFill>
                  <w14:solidFill>
                    <w14:schemeClr w14:val="tx1"/>
                  </w14:solidFill>
                </w14:textFill>
              </w:rPr>
              <w:t>（盖章）</w:t>
            </w:r>
            <w:r>
              <w:rPr>
                <w:rFonts w:hint="eastAsia" w:ascii="宋体" w:hAnsi="宋体" w:cs="宋体"/>
                <w:color w:val="000000" w:themeColor="text1"/>
                <w:kern w:val="0"/>
                <w:sz w:val="24"/>
                <w:highlight w:val="none"/>
                <w:u w:val="none" w:color="000000"/>
                <w14:textFill>
                  <w14:solidFill>
                    <w14:schemeClr w14:val="tx1"/>
                  </w14:solidFill>
                </w14:textFill>
              </w:rPr>
              <w:t>：</w:t>
            </w:r>
          </w:p>
          <w:p>
            <w:pPr>
              <w:spacing w:line="360" w:lineRule="auto"/>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u w:val="none" w:color="000000"/>
                <w14:textFill>
                  <w14:solidFill>
                    <w14:schemeClr w14:val="tx1"/>
                  </w14:solidFill>
                </w14:textFill>
              </w:rPr>
              <w:t>法定代表人</w:t>
            </w:r>
            <w:r>
              <w:rPr>
                <w:rFonts w:hint="eastAsia" w:ascii="宋体" w:hAnsi="宋体" w:cs="宋体"/>
                <w:color w:val="000000" w:themeColor="text1"/>
                <w:kern w:val="0"/>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 xml:space="preserve">  </w:t>
            </w:r>
          </w:p>
          <w:p>
            <w:pPr>
              <w:spacing w:line="360" w:lineRule="auto"/>
              <w:ind w:left="960" w:hanging="960" w:hangingChars="400"/>
              <w:rPr>
                <w:rFonts w:hint="eastAsia" w:ascii="宋体" w:hAnsi="宋体" w:cs="宋体"/>
                <w:color w:val="000000" w:themeColor="text1"/>
                <w:w w:val="80"/>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住所地：</w:t>
            </w:r>
            <w:r>
              <w:rPr>
                <w:rFonts w:hint="eastAsia" w:ascii="宋体" w:hAnsi="宋体" w:cs="宋体"/>
                <w:color w:val="000000" w:themeColor="text1"/>
                <w:w w:val="80"/>
                <w:kern w:val="0"/>
                <w:sz w:val="24"/>
                <w:highlight w:val="none"/>
                <w:u w:val="single"/>
                <w14:textFill>
                  <w14:solidFill>
                    <w14:schemeClr w14:val="tx1"/>
                  </w14:solidFill>
                </w14:textFill>
              </w:rPr>
              <w:t xml:space="preserve"> </w:t>
            </w:r>
          </w:p>
          <w:p>
            <w:pPr>
              <w:spacing w:line="360" w:lineRule="auto"/>
              <w:ind w:left="765" w:hanging="768" w:hangingChars="400"/>
              <w:rPr>
                <w:rFonts w:hint="eastAsia" w:ascii="宋体" w:hAnsi="宋体" w:cs="宋体"/>
                <w:color w:val="000000" w:themeColor="text1"/>
                <w:w w:val="80"/>
                <w:kern w:val="0"/>
                <w:sz w:val="24"/>
                <w:highlight w:val="none"/>
                <w:u w:val="single"/>
                <w14:textFill>
                  <w14:solidFill>
                    <w14:schemeClr w14:val="tx1"/>
                  </w14:solidFill>
                </w14:textFill>
              </w:rPr>
            </w:pPr>
          </w:p>
          <w:p>
            <w:pPr>
              <w:spacing w:line="360" w:lineRule="auto"/>
              <w:ind w:left="1200" w:hanging="1200" w:hangingChars="500"/>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开户银行：</w:t>
            </w:r>
          </w:p>
          <w:p>
            <w:pPr>
              <w:spacing w:line="360" w:lineRule="auto"/>
              <w:rPr>
                <w:rFonts w:hint="eastAsia" w:ascii="宋体" w:hAnsi="宋体" w:cs="宋体"/>
                <w:color w:val="000000" w:themeColor="text1"/>
                <w:kern w:val="0"/>
                <w:sz w:val="24"/>
                <w:highlight w:val="none"/>
                <w14:textFill>
                  <w14:solidFill>
                    <w14:schemeClr w14:val="tx1"/>
                  </w14:solidFill>
                </w14:textFill>
              </w:rPr>
            </w:pPr>
          </w:p>
          <w:p>
            <w:pPr>
              <w:spacing w:line="360" w:lineRule="auto"/>
              <w:rPr>
                <w:rFonts w:hint="eastAsia" w:ascii="宋体" w:hAnsi="宋体" w:cs="宋体"/>
                <w:color w:val="000000" w:themeColor="text1"/>
                <w:kern w:val="0"/>
                <w:sz w:val="24"/>
                <w:highlight w:val="none"/>
                <w:u w:val="none" w:color="000000"/>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账号：</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p>
          <w:p>
            <w:pPr>
              <w:spacing w:line="360" w:lineRule="auto"/>
              <w:rPr>
                <w:rFonts w:hint="eastAsia" w:ascii="宋体" w:hAnsi="宋体" w:cs="宋体"/>
                <w:color w:val="000000" w:themeColor="text1"/>
                <w:kern w:val="0"/>
                <w:sz w:val="24"/>
                <w:highlight w:val="none"/>
                <w:u w:val="none" w:color="000000"/>
                <w14:textFill>
                  <w14:solidFill>
                    <w14:schemeClr w14:val="tx1"/>
                  </w14:solidFill>
                </w14:textFill>
              </w:rPr>
            </w:pPr>
          </w:p>
          <w:p>
            <w:pPr>
              <w:spacing w:line="360" w:lineRule="auto"/>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u w:val="none" w:color="000000"/>
                <w14:textFill>
                  <w14:solidFill>
                    <w14:schemeClr w14:val="tx1"/>
                  </w14:solidFill>
                </w14:textFill>
              </w:rPr>
              <w:t>委托代理人</w:t>
            </w:r>
            <w:r>
              <w:rPr>
                <w:rFonts w:hint="eastAsia" w:ascii="宋体" w:hAnsi="宋体" w:cs="宋体"/>
                <w:color w:val="000000" w:themeColor="text1"/>
                <w:kern w:val="0"/>
                <w:sz w:val="24"/>
                <w:highlight w:val="none"/>
                <w:u w:val="single"/>
                <w14:textFill>
                  <w14:solidFill>
                    <w14:schemeClr w14:val="tx1"/>
                  </w14:solidFill>
                </w14:textFill>
              </w:rPr>
              <w:t>：　　　　</w:t>
            </w:r>
            <w:r>
              <w:rPr>
                <w:rFonts w:hint="eastAsia" w:ascii="宋体" w:hAnsi="宋体" w:cs="宋体"/>
                <w:color w:val="000000" w:themeColor="text1"/>
                <w:kern w:val="0"/>
                <w:sz w:val="24"/>
                <w:highlight w:val="none"/>
                <w:u w:val="none" w:color="000000"/>
                <w14:textFill>
                  <w14:solidFill>
                    <w14:schemeClr w14:val="tx1"/>
                  </w14:solidFill>
                </w14:textFill>
              </w:rPr>
              <w:t>电话：</w:t>
            </w:r>
            <w:r>
              <w:rPr>
                <w:rFonts w:hint="eastAsia" w:ascii="宋体" w:hAnsi="宋体" w:cs="宋体"/>
                <w:color w:val="000000" w:themeColor="text1"/>
                <w:kern w:val="0"/>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4"/>
                <w:highlight w:val="none"/>
                <w:u w:val="none" w:color="000000"/>
                <w14:textFill>
                  <w14:solidFill>
                    <w14:schemeClr w14:val="tx1"/>
                  </w14:solidFill>
                </w14:textFill>
              </w:rPr>
              <w:t>签订日期：</w:t>
            </w:r>
            <w:r>
              <w:rPr>
                <w:rFonts w:hint="eastAsia" w:ascii="宋体" w:hAnsi="宋体" w:cs="宋体"/>
                <w:color w:val="000000" w:themeColor="text1"/>
                <w:kern w:val="0"/>
                <w:sz w:val="24"/>
                <w:highlight w:val="none"/>
                <w:u w:val="single"/>
                <w14:textFill>
                  <w14:solidFill>
                    <w14:schemeClr w14:val="tx1"/>
                  </w14:solidFill>
                </w14:textFill>
              </w:rPr>
              <w:t>20</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none" w:color="000000"/>
                <w14:textFill>
                  <w14:solidFill>
                    <w14:schemeClr w14:val="tx1"/>
                  </w14:solidFill>
                </w14:textFill>
              </w:rPr>
              <w:t>年</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none" w:color="000000"/>
                <w14:textFill>
                  <w14:solidFill>
                    <w14:schemeClr w14:val="tx1"/>
                  </w14:solidFill>
                </w14:textFill>
              </w:rPr>
              <w:t>月</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none" w:color="000000"/>
                <w14:textFill>
                  <w14:solidFill>
                    <w14:schemeClr w14:val="tx1"/>
                  </w14:solidFill>
                </w14:textFill>
              </w:rPr>
              <w:t>日</w:t>
            </w:r>
          </w:p>
        </w:tc>
      </w:tr>
    </w:tbl>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jc w:val="both"/>
        <w:outlineLvl w:val="0"/>
        <w:rPr>
          <w:rFonts w:hint="eastAsia" w:ascii="仿宋" w:hAnsi="仿宋" w:eastAsia="仿宋" w:cs="仿宋"/>
          <w:b/>
          <w:bCs/>
          <w:color w:val="000000" w:themeColor="text1"/>
          <w:sz w:val="40"/>
          <w:szCs w:val="40"/>
          <w:highlight w:val="none"/>
          <w14:textFill>
            <w14:solidFill>
              <w14:schemeClr w14:val="tx1"/>
            </w14:solidFill>
          </w14:textFill>
        </w:rPr>
      </w:pPr>
      <w:bookmarkStart w:id="61" w:name="_Toc6770"/>
      <w:bookmarkStart w:id="62" w:name="_Toc25153"/>
      <w:bookmarkStart w:id="63" w:name="_Toc20344"/>
    </w:p>
    <w:p>
      <w:pPr>
        <w:jc w:val="center"/>
        <w:outlineLvl w:val="0"/>
        <w:rPr>
          <w:rFonts w:hint="eastAsia" w:ascii="仿宋" w:hAnsi="仿宋" w:eastAsia="仿宋" w:cs="仿宋"/>
          <w:b/>
          <w:bCs/>
          <w:color w:val="000000" w:themeColor="text1"/>
          <w:sz w:val="40"/>
          <w:szCs w:val="40"/>
          <w:highlight w:val="none"/>
          <w14:textFill>
            <w14:solidFill>
              <w14:schemeClr w14:val="tx1"/>
            </w14:solidFill>
          </w14:textFill>
        </w:rPr>
      </w:pPr>
      <w:r>
        <w:rPr>
          <w:rFonts w:hint="eastAsia" w:ascii="仿宋" w:hAnsi="仿宋" w:eastAsia="仿宋" w:cs="仿宋"/>
          <w:b/>
          <w:bCs/>
          <w:color w:val="000000" w:themeColor="text1"/>
          <w:sz w:val="40"/>
          <w:szCs w:val="40"/>
          <w:highlight w:val="none"/>
          <w14:textFill>
            <w14:solidFill>
              <w14:schemeClr w14:val="tx1"/>
            </w14:solidFill>
          </w14:textFill>
        </w:rPr>
        <w:t>第五章  质疑及处理</w:t>
      </w:r>
      <w:bookmarkEnd w:id="51"/>
      <w:bookmarkEnd w:id="52"/>
      <w:bookmarkEnd w:id="53"/>
      <w:bookmarkEnd w:id="54"/>
      <w:bookmarkEnd w:id="55"/>
      <w:bookmarkEnd w:id="61"/>
      <w:bookmarkEnd w:id="62"/>
      <w:bookmarkEnd w:id="63"/>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 质疑的提出</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1.1 质疑人必须是直接参与本次采购活动的投标人。质疑不接受邮寄。</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公告发布后的第3个工作日）起</w:t>
      </w:r>
      <w:r>
        <w:rPr>
          <w:rFonts w:hint="eastAsia" w:ascii="仿宋" w:hAnsi="仿宋" w:eastAsia="仿宋" w:cs="仿宋"/>
          <w:bCs/>
          <w:color w:val="000000" w:themeColor="text1"/>
          <w:highlight w:val="none"/>
          <w:lang w:val="en-US" w:eastAsia="zh-CN"/>
          <w14:textFill>
            <w14:solidFill>
              <w14:schemeClr w14:val="tx1"/>
            </w14:solidFill>
          </w14:textFill>
        </w:rPr>
        <w:t>7</w:t>
      </w:r>
      <w:r>
        <w:rPr>
          <w:rFonts w:hint="eastAsia" w:ascii="仿宋" w:hAnsi="仿宋" w:eastAsia="仿宋" w:cs="仿宋"/>
          <w:bCs/>
          <w:color w:val="000000" w:themeColor="text1"/>
          <w:highlight w:val="none"/>
          <w14:textFill>
            <w14:solidFill>
              <w14:schemeClr w14:val="tx1"/>
            </w14:solidFill>
          </w14:textFill>
        </w:rPr>
        <w:t>个工作日内按招标文件中载明的邮箱：</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000000" w:themeColor="text1"/>
          <w:highlight w:val="none"/>
          <w14:textFill>
            <w14:solidFill>
              <w14:schemeClr w14:val="tx1"/>
            </w14:solidFill>
          </w14:textFill>
        </w:rPr>
        <w:fldChar w:fldCharType="separate"/>
      </w:r>
      <w:r>
        <w:rPr>
          <w:rStyle w:val="31"/>
          <w:rFonts w:hint="eastAsia" w:ascii="仿宋" w:hAnsi="仿宋" w:eastAsia="仿宋" w:cs="仿宋"/>
          <w:bCs/>
          <w:color w:val="000000" w:themeColor="text1"/>
          <w:sz w:val="24"/>
          <w:highlight w:val="none"/>
          <w:lang w:val="en-US" w:eastAsia="zh-CN"/>
          <w14:textFill>
            <w14:solidFill>
              <w14:schemeClr w14:val="tx1"/>
            </w14:solidFill>
          </w14:textFill>
        </w:rPr>
        <w:t>694953087@qq.com</w:t>
      </w:r>
      <w:r>
        <w:rPr>
          <w:rStyle w:val="31"/>
          <w:rFonts w:hint="eastAsia" w:ascii="仿宋" w:hAnsi="仿宋" w:eastAsia="仿宋" w:cs="仿宋"/>
          <w:bCs/>
          <w:color w:val="000000" w:themeColor="text1"/>
          <w:sz w:val="24"/>
          <w:highlight w:val="none"/>
          <w14:textFill>
            <w14:solidFill>
              <w14:schemeClr w14:val="tx1"/>
            </w14:solidFill>
          </w14:textFill>
        </w:rPr>
        <w:t>地址，以书面形式、应加盖公章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r>
        <w:rPr>
          <w:rStyle w:val="31"/>
          <w:rFonts w:hint="eastAsia" w:ascii="仿宋" w:hAnsi="仿宋" w:eastAsia="仿宋" w:cs="仿宋"/>
          <w:bCs/>
          <w:color w:val="000000" w:themeColor="text1"/>
          <w:sz w:val="24"/>
          <w:highlight w:val="none"/>
          <w14:textFill>
            <w14:solidFill>
              <w14:schemeClr w14:val="tx1"/>
            </w14:solidFill>
          </w14:textFill>
        </w:rPr>
        <w:fldChar w:fldCharType="end"/>
      </w:r>
      <w:r>
        <w:rPr>
          <w:rFonts w:hint="eastAsia" w:ascii="仿宋" w:hAnsi="仿宋" w:eastAsia="仿宋" w:cs="仿宋"/>
          <w:bCs/>
          <w:color w:val="000000" w:themeColor="text1"/>
          <w:highlight w:val="none"/>
          <w14:textFill>
            <w14:solidFill>
              <w14:schemeClr w14:val="tx1"/>
            </w14:solidFill>
          </w14:textFill>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1.3 对成交公告有异议的，在成交公告发布之日起五个工作日内，以书面形式并加盖公章和法人代表签字向招标方提出质疑。</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1.4 提出质疑时，必须按照“实事求是”、“谁主张，谁举证”的原则，提供相关证明材料，不能主观臆测。</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1.5 质疑函采用实名制，不得进行虚假、恶意质疑。质疑人应在质疑有效期内提交《质疑函》（格式后附），质疑函内容应包括质疑人相关信息、质疑事项、事实依据、适应法规条款、佐证材料等。</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1.7 佐证材料要具备客观性、关联性、合法性，无法查实的（如宣传册、媒体报道、猜测、推理等）不能作为佐证材料。</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1.8 对不能提供相关佐证材料的、涉及商业秘密的、非书面形式送达的、匿名的质疑将不予受理。</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1.9 对于有关资质要求、技术参数存在限制性、倾向性条款的及付款方式等方面的质疑，可在规定的时间内直接向采购单位提出并抄送招标方。</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 受理和处理</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2.1 《质疑函》必须由质疑方的法定代表人或投标代表以招标文件指定的方式送达招标方或采购单位。</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2.2 对符合要求的质疑，采购单位或招标方须签收。同一质疑人的质疑只接受一次。</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2.3 对于不符合上述所有条款要求的质疑，招标方将不予受理。</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2.4 在处理过程中，发现需要质疑人进一步补充相关佐证材料的，要求质疑人在规定时间内提供。质疑人不能按照要求提供相关佐证材料的，视同放弃质疑。</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2.5 招标方或采购单位负责对质疑的回复工作，将质疑人的质疑材料提供给相关专家或评标委员会，并将处理意见回复质疑人。</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 质疑无效的处理</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3.1 质疑人提供的相关佐证材料不能证明质疑成立的，招标方可要求质疑人补充相关佐证材料，如补充材料仍不能证明质疑成立的，将不予受理。</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3.2 对于质疑人在质疑期间不配合进行质疑调查处理的，视为自动放弃质疑。</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3.3 质疑人提出的质疑，经评标专家审定后驳回的，列为无效质疑。</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3.4 对于质疑中使用虚假材料或恶意方式质疑的，按无效质疑处理，并列入不良记录供应商名单。</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3.5质疑人进行质疑后，招标方在法定时间内对质疑进行回复，质疑人认为回复不满意的，可向政府采购管理部门进行投诉。</w:t>
      </w:r>
    </w:p>
    <w:p>
      <w:pPr>
        <w:overflowPunct w:val="0"/>
        <w:spacing w:line="440" w:lineRule="exact"/>
        <w:jc w:val="center"/>
        <w:outlineLvl w:val="0"/>
        <w:rPr>
          <w:rStyle w:val="40"/>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br w:type="page"/>
      </w:r>
      <w:bookmarkStart w:id="64" w:name="_Toc25594"/>
      <w:bookmarkStart w:id="65" w:name="_Toc11998"/>
      <w:bookmarkStart w:id="66" w:name="_Toc5029"/>
      <w:bookmarkStart w:id="67" w:name="_Toc22619"/>
      <w:bookmarkStart w:id="68" w:name="_Toc1020"/>
      <w:bookmarkStart w:id="69" w:name="_Toc2183"/>
      <w:bookmarkStart w:id="70" w:name="_Toc30135"/>
      <w:bookmarkStart w:id="71" w:name="_Toc27328"/>
      <w:bookmarkStart w:id="72" w:name="_Toc14886"/>
      <w:r>
        <w:rPr>
          <w:rStyle w:val="40"/>
          <w:rFonts w:hint="eastAsia" w:ascii="仿宋" w:hAnsi="仿宋" w:eastAsia="仿宋" w:cs="仿宋"/>
          <w:color w:val="000000" w:themeColor="text1"/>
          <w:sz w:val="36"/>
          <w:szCs w:val="36"/>
          <w:highlight w:val="none"/>
          <w14:textFill>
            <w14:solidFill>
              <w14:schemeClr w14:val="tx1"/>
            </w14:solidFill>
          </w14:textFill>
        </w:rPr>
        <w:t>质疑函</w:t>
      </w:r>
      <w:bookmarkEnd w:id="64"/>
      <w:bookmarkEnd w:id="65"/>
      <w:bookmarkEnd w:id="66"/>
      <w:bookmarkEnd w:id="67"/>
    </w:p>
    <w:bookmarkEnd w:id="68"/>
    <w:bookmarkEnd w:id="69"/>
    <w:bookmarkEnd w:id="70"/>
    <w:bookmarkEnd w:id="71"/>
    <w:bookmarkEnd w:id="72"/>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 xml:space="preserve">                    ：</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依据政府采购相关法规，我公司对           项目的（项目编号：         ）招标活动存在疑问，特提出质疑（详见下表）。</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我公司和本人对此质疑函内容的真实性负责，并愿意承担由此引起的相应处理和法律责任。</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法定代表人（签字并盖名章）：</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身份证号码：</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固话：      传真：     手机：</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本项目授权委托人（签字并盖名章）：</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身份证号码：</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固话：        传真：    手机：</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公司地址：              邮编：</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（如法人为质疑人则不需要填此项）</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 xml:space="preserve">质疑人（公章）：            </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 xml:space="preserve">年   月   日 </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pStyle w:val="6"/>
        <w:rPr>
          <w:rFonts w:hint="eastAsia" w:ascii="仿宋" w:hAnsi="仿宋" w:eastAsia="仿宋" w:cs="仿宋"/>
          <w:bCs/>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质   疑  内  容</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tbl>
      <w:tblPr>
        <w:tblStyle w:val="25"/>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一、质疑事项1：</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主要内容：</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事实依据：</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适应法规条款：</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佐证材料：</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二、质疑事项2：</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主要内容：</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事实依据：</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适应法规条款：</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佐证材料：</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三、同上</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tc>
      </w:tr>
    </w:tbl>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备注：</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3、“具体的质疑事项及事实依据”一栏填写不下时，质疑人可另附页（A4），但附纸要求加盖质疑人公章。</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4、与质疑事项有关的材料应与质疑函合并装订。</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5、质疑函一式三份。</w:t>
      </w:r>
    </w:p>
    <w:p>
      <w:pPr>
        <w:pStyle w:val="3"/>
        <w:spacing w:line="360" w:lineRule="auto"/>
        <w:ind w:firstLine="2715" w:firstLineChars="1127"/>
        <w:jc w:val="both"/>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pStyle w:val="3"/>
        <w:spacing w:line="360" w:lineRule="auto"/>
        <w:ind w:firstLine="2715" w:firstLineChars="1127"/>
        <w:jc w:val="both"/>
        <w:outlineLvl w:val="9"/>
        <w:rPr>
          <w:rFonts w:hint="eastAsia" w:ascii="仿宋" w:hAnsi="仿宋" w:eastAsia="仿宋" w:cs="仿宋"/>
          <w:color w:val="000000" w:themeColor="text1"/>
          <w:sz w:val="24"/>
          <w:highlight w:val="none"/>
          <w14:textFill>
            <w14:solidFill>
              <w14:schemeClr w14:val="tx1"/>
            </w14:solidFill>
          </w14:textFill>
        </w:rPr>
      </w:pPr>
    </w:p>
    <w:p>
      <w:pPr>
        <w:pStyle w:val="3"/>
        <w:spacing w:line="360" w:lineRule="auto"/>
        <w:rPr>
          <w:rFonts w:hint="eastAsia" w:ascii="仿宋" w:hAnsi="仿宋" w:eastAsia="仿宋" w:cs="仿宋"/>
          <w:color w:val="000000" w:themeColor="text1"/>
          <w:sz w:val="32"/>
          <w:highlight w:val="none"/>
          <w14:textFill>
            <w14:solidFill>
              <w14:schemeClr w14:val="tx1"/>
            </w14:solidFill>
          </w14:textFill>
        </w:rPr>
      </w:pPr>
      <w:bookmarkStart w:id="73" w:name="_Toc23170"/>
      <w:bookmarkStart w:id="74" w:name="_Toc28262"/>
      <w:bookmarkStart w:id="75" w:name="_Toc15680"/>
      <w:bookmarkStart w:id="76" w:name="_Toc20393"/>
      <w:r>
        <w:rPr>
          <w:rFonts w:hint="eastAsia" w:ascii="仿宋" w:hAnsi="仿宋" w:eastAsia="仿宋" w:cs="仿宋"/>
          <w:color w:val="000000" w:themeColor="text1"/>
          <w:sz w:val="32"/>
          <w:szCs w:val="32"/>
          <w:highlight w:val="none"/>
          <w14:textFill>
            <w14:solidFill>
              <w14:schemeClr w14:val="tx1"/>
            </w14:solidFill>
          </w14:textFill>
        </w:rPr>
        <w:t>第六章  谈判响应文件格式</w:t>
      </w:r>
      <w:bookmarkEnd w:id="56"/>
      <w:bookmarkEnd w:id="73"/>
      <w:bookmarkEnd w:id="74"/>
      <w:bookmarkEnd w:id="75"/>
      <w:bookmarkEnd w:id="76"/>
    </w:p>
    <w:tbl>
      <w:tblPr>
        <w:tblStyle w:val="25"/>
        <w:tblpPr w:leftFromText="180" w:rightFromText="180" w:vertAnchor="text" w:horzAnchor="page" w:tblpX="9165" w:tblpY="-969"/>
        <w:tblW w:w="1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70" w:type="dxa"/>
            <w:vAlign w:val="center"/>
          </w:tcPr>
          <w:p>
            <w:pPr>
              <w:spacing w:line="360" w:lineRule="auto"/>
              <w:jc w:val="center"/>
              <w:rPr>
                <w:rFonts w:hint="default" w:ascii="仿宋" w:hAnsi="仿宋" w:eastAsia="仿宋" w:cs="仿宋"/>
                <w:b/>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正本</w:t>
            </w:r>
            <w:r>
              <w:rPr>
                <w:rFonts w:hint="eastAsia" w:ascii="仿宋" w:hAnsi="仿宋" w:eastAsia="仿宋" w:cs="仿宋"/>
                <w:b/>
                <w:color w:val="000000" w:themeColor="text1"/>
                <w:highlight w:val="none"/>
                <w:lang w:val="en-US" w:eastAsia="zh-CN"/>
                <w14:textFill>
                  <w14:solidFill>
                    <w14:schemeClr w14:val="tx1"/>
                  </w14:solidFill>
                </w14:textFill>
              </w:rPr>
              <w:t>/副本</w:t>
            </w:r>
          </w:p>
        </w:tc>
      </w:tr>
    </w:tbl>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ind w:firstLine="960" w:firstLineChars="4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谈判项目名称</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谈判项目编号：</w:t>
      </w:r>
      <w:r>
        <w:rPr>
          <w:rFonts w:hint="eastAsia" w:ascii="仿宋" w:hAnsi="仿宋" w:eastAsia="仿宋" w:cs="仿宋"/>
          <w:color w:val="000000" w:themeColor="text1"/>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jc w:val="center"/>
        <w:outlineLvl w:val="0"/>
        <w:rPr>
          <w:rFonts w:hint="eastAsia" w:ascii="仿宋" w:hAnsi="仿宋" w:eastAsia="仿宋" w:cs="仿宋"/>
          <w:b/>
          <w:color w:val="000000" w:themeColor="text1"/>
          <w:sz w:val="36"/>
          <w:szCs w:val="36"/>
          <w:highlight w:val="none"/>
          <w14:textFill>
            <w14:solidFill>
              <w14:schemeClr w14:val="tx1"/>
            </w14:solidFill>
          </w14:textFill>
        </w:rPr>
      </w:pPr>
      <w:bookmarkStart w:id="77" w:name="_Toc5679"/>
      <w:bookmarkStart w:id="78" w:name="_Toc20575"/>
      <w:bookmarkStart w:id="79" w:name="_Toc12183"/>
      <w:bookmarkStart w:id="80" w:name="_Toc27660"/>
      <w:r>
        <w:rPr>
          <w:rFonts w:hint="eastAsia" w:ascii="仿宋" w:hAnsi="仿宋" w:eastAsia="仿宋" w:cs="仿宋"/>
          <w:b/>
          <w:color w:val="000000" w:themeColor="text1"/>
          <w:sz w:val="36"/>
          <w:szCs w:val="36"/>
          <w:highlight w:val="none"/>
          <w14:textFill>
            <w14:solidFill>
              <w14:schemeClr w14:val="tx1"/>
            </w14:solidFill>
          </w14:textFill>
        </w:rPr>
        <w:t>谈  判  响  应  文  件</w:t>
      </w:r>
      <w:bookmarkEnd w:id="77"/>
      <w:bookmarkEnd w:id="78"/>
      <w:bookmarkEnd w:id="79"/>
      <w:bookmarkEnd w:id="80"/>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报价人：</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（单位公章）</w:t>
      </w: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法定代表人：</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（签字或盖章）</w:t>
      </w: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年      月      日</w:t>
      </w:r>
    </w:p>
    <w:p>
      <w:pPr>
        <w:pStyle w:val="5"/>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jc w:val="center"/>
        <w:rPr>
          <w:rFonts w:hint="eastAsia" w:ascii="仿宋" w:hAnsi="仿宋" w:eastAsia="仿宋" w:cs="仿宋"/>
          <w:b w:val="0"/>
          <w:bCs w:val="0"/>
          <w:color w:val="000000" w:themeColor="text1"/>
          <w:highlight w:val="none"/>
          <w:lang w:eastAsia="zh-CN"/>
          <w14:textFill>
            <w14:solidFill>
              <w14:schemeClr w14:val="tx1"/>
            </w14:solidFill>
          </w14:textFill>
        </w:rPr>
      </w:pPr>
    </w:p>
    <w:p>
      <w:pPr>
        <w:jc w:val="center"/>
        <w:rPr>
          <w:rFonts w:hint="eastAsia" w:ascii="仿宋" w:hAnsi="仿宋" w:eastAsia="仿宋" w:cs="仿宋"/>
          <w:b w:val="0"/>
          <w:bCs w:val="0"/>
          <w:color w:val="000000" w:themeColor="text1"/>
          <w:highlight w:val="none"/>
          <w:lang w:eastAsia="zh-CN"/>
          <w14:textFill>
            <w14:solidFill>
              <w14:schemeClr w14:val="tx1"/>
            </w14:solidFill>
          </w14:textFill>
        </w:rPr>
      </w:pPr>
    </w:p>
    <w:p>
      <w:pPr>
        <w:jc w:val="center"/>
        <w:rPr>
          <w:rFonts w:hint="eastAsia" w:ascii="仿宋" w:hAnsi="仿宋" w:eastAsia="仿宋" w:cs="仿宋"/>
          <w:b w:val="0"/>
          <w:bCs w:val="0"/>
          <w:color w:val="000000" w:themeColor="text1"/>
          <w:highlight w:val="none"/>
          <w:lang w:eastAsia="zh-CN"/>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目录</w:t>
      </w:r>
    </w:p>
    <w:p>
      <w:pPr>
        <w:tabs>
          <w:tab w:val="left" w:pos="1662"/>
        </w:tabs>
        <w:spacing w:line="360" w:lineRule="auto"/>
        <w:ind w:left="154" w:leftChars="64"/>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投标人须按下列顺序排列和装订投标文件并连续标注页码：</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TOC \o "1-3" \n  \h \u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_Toc12609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满足《中华人民共和国政府采购法》第二十二条要求</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_Toc3314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（一）投标函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_Toc6723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（二）投标人资格证明文件</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_Toc18466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（三）商务偏离表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_Toc31364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（四）开标一览表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_Toc14099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（五）</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w:t>
      </w:r>
      <w:r>
        <w:rPr>
          <w:rFonts w:hint="eastAsia" w:ascii="仿宋" w:hAnsi="仿宋" w:eastAsia="仿宋" w:cs="仿宋"/>
          <w:b w:val="0"/>
          <w:bCs w:val="0"/>
          <w:color w:val="000000" w:themeColor="text1"/>
          <w:sz w:val="24"/>
          <w:szCs w:val="24"/>
          <w:highlight w:val="none"/>
          <w14:textFill>
            <w14:solidFill>
              <w14:schemeClr w14:val="tx1"/>
            </w14:solidFill>
          </w14:textFill>
        </w:rPr>
        <w:t>报价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明细</w:t>
      </w:r>
      <w:r>
        <w:rPr>
          <w:rFonts w:hint="eastAsia" w:ascii="仿宋" w:hAnsi="仿宋" w:eastAsia="仿宋" w:cs="仿宋"/>
          <w:b w:val="0"/>
          <w:bCs w:val="0"/>
          <w:color w:val="000000" w:themeColor="text1"/>
          <w:sz w:val="24"/>
          <w:szCs w:val="24"/>
          <w:highlight w:val="none"/>
          <w14:textFill>
            <w14:solidFill>
              <w14:schemeClr w14:val="tx1"/>
            </w14:solidFill>
          </w14:textFill>
        </w:rPr>
        <w:t>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_Toc12085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）法定代表人身份证明及法定代表人授权委托书格式</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_Toc656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七</w:t>
      </w:r>
      <w:r>
        <w:rPr>
          <w:rFonts w:hint="eastAsia" w:ascii="仿宋" w:hAnsi="仿宋" w:eastAsia="仿宋" w:cs="仿宋"/>
          <w:b w:val="0"/>
          <w:bCs w:val="0"/>
          <w:color w:val="000000" w:themeColor="text1"/>
          <w:sz w:val="24"/>
          <w:szCs w:val="24"/>
          <w:highlight w:val="none"/>
          <w14:textFill>
            <w14:solidFill>
              <w14:schemeClr w14:val="tx1"/>
            </w14:solidFill>
          </w14:textFill>
        </w:rPr>
        <w:t>）投标单位反商业贿赂承诺书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_Toc17833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（八）</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节能、环保产品证明（如有）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_Toc13195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（九）</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中小企业声明函（如是）</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_Toc14418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十</w:t>
      </w:r>
      <w:r>
        <w:rPr>
          <w:rFonts w:hint="eastAsia" w:ascii="仿宋" w:hAnsi="仿宋" w:eastAsia="仿宋" w:cs="仿宋"/>
          <w:b w:val="0"/>
          <w:bCs w:val="0"/>
          <w:color w:val="000000" w:themeColor="text1"/>
          <w:sz w:val="24"/>
          <w:szCs w:val="24"/>
          <w:highlight w:val="none"/>
          <w14:textFill>
            <w14:solidFill>
              <w14:schemeClr w14:val="tx1"/>
            </w14:solidFill>
          </w14:textFill>
        </w:rPr>
        <w:t>）投标保证金</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_Toc3019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val="0"/>
          <w:bCs w:val="0"/>
          <w:color w:val="000000" w:themeColor="text1"/>
          <w:sz w:val="24"/>
          <w:szCs w:val="24"/>
          <w:highlight w:val="none"/>
          <w14:textFill>
            <w14:solidFill>
              <w14:schemeClr w14:val="tx1"/>
            </w14:solidFill>
          </w14:textFill>
        </w:rPr>
        <w:t>）技术条款偏离表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_Toc23781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val="0"/>
          <w:bCs w:val="0"/>
          <w:color w:val="000000" w:themeColor="text1"/>
          <w:sz w:val="24"/>
          <w:szCs w:val="24"/>
          <w:highlight w:val="none"/>
          <w14:textFill>
            <w14:solidFill>
              <w14:schemeClr w14:val="tx1"/>
            </w14:solidFill>
          </w14:textFill>
        </w:rPr>
        <w:t>）投标人基本情况表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_Toc30025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（十三）服务方案</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_Toc15412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val="0"/>
          <w:bCs w:val="0"/>
          <w:color w:val="000000" w:themeColor="text1"/>
          <w:sz w:val="24"/>
          <w:szCs w:val="24"/>
          <w:highlight w:val="none"/>
          <w14:textFill>
            <w14:solidFill>
              <w14:schemeClr w14:val="tx1"/>
            </w14:solidFill>
          </w14:textFill>
        </w:rPr>
        <w:t>）质量保证措施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_Toc23967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售后</w:t>
      </w:r>
      <w:r>
        <w:rPr>
          <w:rFonts w:hint="eastAsia" w:ascii="仿宋" w:hAnsi="仿宋" w:eastAsia="仿宋" w:cs="仿宋"/>
          <w:b w:val="0"/>
          <w:bCs w:val="0"/>
          <w:color w:val="000000" w:themeColor="text1"/>
          <w:sz w:val="24"/>
          <w:szCs w:val="24"/>
          <w:highlight w:val="none"/>
          <w14:textFill>
            <w14:solidFill>
              <w14:schemeClr w14:val="tx1"/>
            </w14:solidFill>
          </w14:textFill>
        </w:rPr>
        <w:t>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7"/>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_Toc25484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）其他有利于投标人的资料（如有）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tabs>
          <w:tab w:val="left" w:pos="1662"/>
        </w:tabs>
        <w:spacing w:line="360" w:lineRule="auto"/>
        <w:ind w:left="154" w:leftChars="64"/>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tabs>
          <w:tab w:val="left" w:pos="1662"/>
        </w:tabs>
        <w:ind w:left="154" w:leftChars="64"/>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注：投标文件的内容包括但不仅限于上述内容，如有不足请自行补充。</w:t>
      </w:r>
    </w:p>
    <w:p>
      <w:pPr>
        <w:rPr>
          <w:rFonts w:hint="eastAsia" w:ascii="仿宋" w:hAnsi="仿宋" w:eastAsia="仿宋" w:cs="仿宋"/>
          <w:b w:val="0"/>
          <w:bCs w:val="0"/>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5"/>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5"/>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5"/>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ind w:left="154" w:leftChars="64" w:firstLine="1"/>
        <w:jc w:val="center"/>
        <w:outlineLvl w:val="1"/>
        <w:rPr>
          <w:rFonts w:hint="eastAsia" w:ascii="仿宋" w:hAnsi="仿宋" w:eastAsia="仿宋" w:cs="仿宋"/>
          <w:b/>
          <w:bCs/>
          <w:color w:val="000000" w:themeColor="text1"/>
          <w:sz w:val="36"/>
          <w:szCs w:val="36"/>
          <w:highlight w:val="none"/>
          <w14:textFill>
            <w14:solidFill>
              <w14:schemeClr w14:val="tx1"/>
            </w14:solidFill>
          </w14:textFill>
        </w:rPr>
      </w:pPr>
    </w:p>
    <w:p>
      <w:pPr>
        <w:tabs>
          <w:tab w:val="left" w:pos="1662"/>
        </w:tabs>
        <w:spacing w:before="113" w:line="360" w:lineRule="auto"/>
        <w:ind w:left="154" w:leftChars="64" w:firstLine="1"/>
        <w:jc w:val="center"/>
        <w:outlineLvl w:val="1"/>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满足《中华人民共和国政府采购法》第二十二条要求</w:t>
      </w: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采购人)：</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我方：满足《中华人民共和国政府采购法》第二十二条要求</w:t>
      </w: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具有独立承担民事责任的能力；</w:t>
      </w: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具有良好的商业信誉和健全的财务会计制度； 具有履行合同所必需的设备和专业技术能力； 有依法缴纳税收和社会保障资金的良好记录；</w:t>
      </w: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参加政府采购活动前三年内，在经营活动中没有重大违法记录； 法律、行政法规规定的其他条件。</w:t>
      </w: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特此声明！</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投标人名称(盖单位章)：</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法定代表人或其委托代理人 (签字)： </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日期： </w:t>
      </w:r>
    </w:p>
    <w:p>
      <w:pPr>
        <w:tabs>
          <w:tab w:val="left" w:pos="1662"/>
        </w:tabs>
        <w:spacing w:before="113" w:line="360" w:lineRule="auto"/>
        <w:ind w:left="154"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pStyle w:val="11"/>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经年审合格的企业法人营业执照</w:t>
      </w: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rPr>
          <w:rFonts w:hint="eastAsia" w:ascii="仿宋" w:hAnsi="仿宋" w:eastAsia="仿宋" w:cs="仿宋"/>
          <w:color w:val="000000" w:themeColor="text1"/>
          <w:highlight w:val="none"/>
          <w:lang w:val="en-US" w:eastAsia="zh-CN"/>
          <w14:textFill>
            <w14:solidFill>
              <w14:schemeClr w14:val="tx1"/>
            </w14:solidFill>
          </w14:textFill>
        </w:rPr>
      </w:pPr>
    </w:p>
    <w:p>
      <w:pPr>
        <w:rPr>
          <w:rFonts w:hint="eastAsia" w:ascii="仿宋" w:hAnsi="仿宋" w:eastAsia="仿宋" w:cs="仿宋"/>
          <w:color w:val="000000" w:themeColor="text1"/>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numPr>
          <w:ilvl w:val="2"/>
          <w:numId w:val="0"/>
        </w:numPr>
        <w:ind w:left="400" w:leftChars="0"/>
        <w:outlineLvl w:val="9"/>
        <w:rPr>
          <w:rFonts w:hint="eastAsia" w:ascii="仿宋" w:hAnsi="仿宋" w:eastAsia="仿宋" w:cs="仿宋"/>
          <w:color w:val="000000" w:themeColor="text1"/>
          <w:highlight w:val="none"/>
          <w:lang w:val="en-US" w:eastAsia="zh-CN"/>
          <w14:textFill>
            <w14:solidFill>
              <w14:schemeClr w14:val="tx1"/>
            </w14:solidFill>
          </w14:textFill>
        </w:rPr>
      </w:pPr>
    </w:p>
    <w:p>
      <w:pPr>
        <w:rPr>
          <w:rFonts w:hint="eastAsia" w:ascii="仿宋" w:hAnsi="仿宋" w:eastAsia="仿宋" w:cs="仿宋"/>
          <w:color w:val="000000" w:themeColor="text1"/>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1.2</w:t>
      </w:r>
      <w:r>
        <w:rPr>
          <w:rFonts w:hint="eastAsia" w:ascii="仿宋" w:hAnsi="仿宋" w:eastAsia="仿宋" w:cs="仿宋"/>
          <w:i w:val="0"/>
          <w:iCs w:val="0"/>
          <w:caps w:val="0"/>
          <w:color w:val="000000"/>
          <w:spacing w:val="0"/>
          <w:sz w:val="24"/>
          <w:szCs w:val="24"/>
          <w:highlight w:val="none"/>
          <w:lang w:val="en-US" w:eastAsia="zh-CN"/>
        </w:rPr>
        <w:t>医疗器械生产许可证》或《医疗器械经营许可证》（二类医疗器械需提供医疗器械备案凭证）</w:t>
      </w:r>
    </w:p>
    <w:p>
      <w:pPr>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br w:type="page"/>
      </w: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 xml:space="preserve">1.3 </w:t>
      </w:r>
      <w:r>
        <w:rPr>
          <w:rFonts w:hint="eastAsia" w:ascii="仿宋" w:hAnsi="仿宋" w:eastAsia="仿宋" w:cs="仿宋"/>
          <w:i w:val="0"/>
          <w:iCs w:val="0"/>
          <w:caps w:val="0"/>
          <w:color w:val="000000"/>
          <w:spacing w:val="0"/>
          <w:sz w:val="24"/>
          <w:szCs w:val="24"/>
          <w:highlight w:val="none"/>
        </w:rPr>
        <w:t>具有良好的商业信誉和健全的财务会计制度（需提供会计事务所出具2020或2021年度财务审计报告，2021年10月份后成立的公司可不提供但需提供银行出具的近三个月的资信证明原件；如已完成2021年度财务审计报告应提供最新一年度财务审计报告）</w:t>
      </w:r>
      <w:r>
        <w:rPr>
          <w:rFonts w:hint="eastAsia" w:ascii="仿宋" w:hAnsi="仿宋" w:eastAsia="仿宋" w:cs="仿宋"/>
          <w:i w:val="0"/>
          <w:caps w:val="0"/>
          <w:color w:val="000000"/>
          <w:spacing w:val="0"/>
          <w:kern w:val="0"/>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right="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1.4</w:t>
      </w:r>
      <w:r>
        <w:rPr>
          <w:rFonts w:hint="eastAsia" w:ascii="仿宋" w:hAnsi="仿宋" w:eastAsia="仿宋" w:cs="仿宋"/>
          <w:i w:val="0"/>
          <w:caps w:val="0"/>
          <w:color w:val="000000"/>
          <w:spacing w:val="0"/>
          <w:kern w:val="0"/>
          <w:sz w:val="24"/>
          <w:szCs w:val="24"/>
          <w:highlight w:val="none"/>
          <w:lang w:val="en-US" w:eastAsia="zh-CN" w:bidi="ar-SA"/>
        </w:rPr>
        <w:t>具有依法缴纳税收的良好记录（提供近三个月的完税证明或报税相关资料）；</w:t>
      </w: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1"/>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1.5</w:t>
      </w:r>
      <w:r>
        <w:rPr>
          <w:rFonts w:hint="eastAsia" w:ascii="仿宋" w:hAnsi="仿宋" w:eastAsia="仿宋" w:cs="仿宋"/>
          <w:i w:val="0"/>
          <w:caps w:val="0"/>
          <w:color w:val="000000"/>
          <w:spacing w:val="0"/>
          <w:kern w:val="0"/>
          <w:sz w:val="24"/>
          <w:szCs w:val="24"/>
          <w:highlight w:val="none"/>
          <w:lang w:val="en-US" w:eastAsia="zh-CN" w:bidi="ar-SA"/>
        </w:rPr>
        <w:t>供应商未被列入“信用中国网（www.creditchina.gov.cn）”被列入政府采购严重违法失信名单、 重大收违法案件当事人名单； “中国政府采购网（www.ccgp.gov.cn）”未列入政府采购严重违法失信行为记录名单的；“国家企业信用信息公示系统（http://www.gsxt.gov.cn）”未列入经营异常名录信息、 列入严重违法失信企业名单（黑名单）。</w:t>
      </w:r>
      <w:r>
        <w:rPr>
          <w:rFonts w:hint="eastAsia" w:ascii="仿宋" w:hAnsi="仿宋" w:eastAsia="仿宋" w:cs="仿宋"/>
          <w:b/>
          <w:bCs/>
          <w:color w:val="000000" w:themeColor="text1"/>
          <w:sz w:val="24"/>
          <w:szCs w:val="24"/>
          <w:highlight w:val="none"/>
          <w:lang w:eastAsia="zh-CN"/>
          <w14:textFill>
            <w14:solidFill>
              <w14:schemeClr w14:val="tx1"/>
            </w14:solidFill>
          </w14:textFill>
        </w:rPr>
        <w:t>附：相关网页截图</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投标人名称(盖单位章)：</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法定代表人或其委托代理人 (签字</w:t>
      </w:r>
      <w:r>
        <w:rPr>
          <w:rFonts w:hint="eastAsia" w:ascii="仿宋" w:hAnsi="仿宋" w:eastAsia="仿宋" w:cs="仿宋"/>
          <w:color w:val="000000" w:themeColor="text1"/>
          <w:sz w:val="24"/>
          <w:szCs w:val="24"/>
          <w:highlight w:val="none"/>
          <w:lang w:val="en-US" w:eastAsia="zh-CN"/>
          <w14:textFill>
            <w14:solidFill>
              <w14:schemeClr w14:val="tx1"/>
            </w14:solidFill>
          </w14:textFill>
        </w:rPr>
        <w:t>或盖章</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日期： </w:t>
      </w:r>
    </w:p>
    <w:p>
      <w:pPr>
        <w:tabs>
          <w:tab w:val="left" w:pos="1662"/>
        </w:tabs>
        <w:spacing w:before="113" w:line="360" w:lineRule="auto"/>
        <w:ind w:left="154"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81" w:name="_Toc22882"/>
      <w:bookmarkStart w:id="82" w:name="_Toc4079"/>
      <w:bookmarkStart w:id="83" w:name="_Toc16784"/>
      <w:bookmarkStart w:id="84" w:name="_Toc3314"/>
      <w:bookmarkStart w:id="85" w:name="_Toc20316"/>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line="360" w:lineRule="auto"/>
        <w:ind w:left="154"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（一）投标函</w:t>
      </w:r>
      <w:bookmarkEnd w:id="81"/>
      <w:bookmarkEnd w:id="82"/>
      <w:bookmarkEnd w:id="83"/>
      <w:bookmarkEnd w:id="84"/>
      <w:bookmarkEnd w:id="85"/>
    </w:p>
    <w:p>
      <w:pPr>
        <w:tabs>
          <w:tab w:val="left" w:pos="1662"/>
        </w:tabs>
        <w:spacing w:before="113" w:line="360" w:lineRule="auto"/>
        <w:ind w:left="154"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（招标人名称）</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根据贵方为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项目招标的投标公告</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项目编号  </w:t>
      </w:r>
      <w:r>
        <w:rPr>
          <w:rFonts w:hint="eastAsia" w:ascii="仿宋" w:hAnsi="仿宋" w:eastAsia="仿宋" w:cs="仿宋"/>
          <w:color w:val="000000" w:themeColor="text1"/>
          <w:sz w:val="24"/>
          <w:szCs w:val="24"/>
          <w:highlight w:val="none"/>
          <w14:textFill>
            <w14:solidFill>
              <w14:schemeClr w14:val="tx1"/>
            </w14:solidFill>
          </w14:textFill>
        </w:rPr>
        <w:t>，签字代表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（姓名、职务） </w:t>
      </w:r>
      <w:r>
        <w:rPr>
          <w:rFonts w:hint="eastAsia" w:ascii="仿宋" w:hAnsi="仿宋" w:eastAsia="仿宋" w:cs="仿宋"/>
          <w:color w:val="000000" w:themeColor="text1"/>
          <w:sz w:val="24"/>
          <w:szCs w:val="24"/>
          <w:highlight w:val="none"/>
          <w14:textFill>
            <w14:solidFill>
              <w14:schemeClr w14:val="tx1"/>
            </w14:solidFill>
          </w14:textFill>
        </w:rPr>
        <w:t>经正式授权并代表投标人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（投标人名称、地址） </w:t>
      </w:r>
      <w:r>
        <w:rPr>
          <w:rFonts w:hint="eastAsia" w:ascii="仿宋" w:hAnsi="仿宋" w:eastAsia="仿宋" w:cs="仿宋"/>
          <w:color w:val="000000" w:themeColor="text1"/>
          <w:sz w:val="24"/>
          <w:szCs w:val="24"/>
          <w:highlight w:val="none"/>
          <w14:textFill>
            <w14:solidFill>
              <w14:schemeClr w14:val="tx1"/>
            </w14:solidFill>
          </w14:textFill>
        </w:rPr>
        <w:t>对此项目进行投标。据此函，签字代表宣布并同意如下：</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1、愿意按照招标文件的一切要求，提供和交付的货物和服务投标总价为</w:t>
      </w:r>
      <w:r>
        <w:rPr>
          <w:rFonts w:hint="eastAsia" w:ascii="仿宋" w:hAnsi="仿宋" w:eastAsia="仿宋" w:cs="仿宋"/>
          <w:color w:val="000000" w:themeColor="text1"/>
          <w:sz w:val="24"/>
          <w:szCs w:val="24"/>
          <w:highlight w:val="none"/>
          <w:u w:val="single"/>
          <w14:textFill>
            <w14:solidFill>
              <w14:schemeClr w14:val="tx1"/>
            </w14:solidFill>
          </w14:textFill>
        </w:rPr>
        <w:t>（注明币种，并用文字和数字表示的投标总价）</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2、我方同意在本项目招标文件中规定的开标日起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日历日内 遵守本投标文件中的承诺且在此期限期满之前均具有约束力。</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3、我方承诺已经具备《中华人民共和国政府采购法》中规定的参加政府采购活动的供应商应当具备的条件：</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具有独立承担民事责任的能力；</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具有良好的商业信誉和健全的财务会计制度；</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具有履行合同所必需的设备和专业技术能力；</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有依法缴纳税收和社会保障资金的良好记录；</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3.5 参加此项采购活动前三年内，在经营活动中没有重大违法记录。</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4、提供投标须知规定的全部投标文件，共计正本</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份，副本</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5、按招标文件要求提供和交付的货物和服务的投标报价详见投标报价表。</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6、保证忠实地执行双方所签订的合同，并承担合同规定的责任和义务。</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7、如果在开标后规定的投标有效期内撤回投标，我方的投标保证金可被贵方没收。</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8、我方完全理解贵方不一定接受最低价的投标或收到的任何投标。</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9、我方愿意向贵方提供任何与本项投标有关的数据、情况和技术资料。若贵方需要，我方愿意提供我方做出的一切承诺的证明材料。</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10、我方已详细审核全部投标文件，包括“修改投标文件”“补充文件”“补遗文件”（如有的话）、参考资料及有关附件，确认无误。</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11、我方将严格遵守《中华人民共和国政府采购法》的有关规定，若有下列情形之一的，将被处以采购金额 5‰以上 10‰以下的罚款，列入不良行为记录名单，在一至三年内禁止参加政府采购活动；有违法所得的，并处没收违法所得；情节严重的，由工商行政管理机关吊销营业执照；构成犯罪的，依法追究刑事责任：</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 提供虚假材料谋取中标、成交的；</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 采取不正当手段诋毁、排挤其他供应商的；</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 与采购人、其它供应商或者采购代理机构恶意串通的；</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11.4 向采购人、采购代理机构行贿或者提供其他不正当利益的；</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11.5 未经采购代理机构同意，在采购过程中与采购人进行协商谈判的；</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11.6 拒绝有关部门监督检查或提供虚假情况的。</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与本投标有关的一切正式往来信函请寄：</w:t>
      </w:r>
    </w:p>
    <w:p>
      <w:pPr>
        <w:tabs>
          <w:tab w:val="left" w:pos="1662"/>
        </w:tabs>
        <w:spacing w:before="113" w:line="360" w:lineRule="auto"/>
        <w:ind w:left="154"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54"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传真：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54" w:leftChars="64" w:firstLine="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54"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54" w:leftChars="64" w:firstLine="5040" w:firstLineChars="2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（单位公章）</w:t>
      </w:r>
    </w:p>
    <w:p>
      <w:pPr>
        <w:tabs>
          <w:tab w:val="left" w:pos="1662"/>
        </w:tabs>
        <w:spacing w:before="113" w:line="360" w:lineRule="auto"/>
        <w:ind w:left="154" w:leftChars="64" w:firstLine="4320" w:firstLineChars="18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     年    月  日</w:t>
      </w:r>
    </w:p>
    <w:p>
      <w:pPr>
        <w:tabs>
          <w:tab w:val="left" w:pos="1662"/>
        </w:tabs>
        <w:spacing w:before="113" w:line="360" w:lineRule="auto"/>
        <w:ind w:left="154" w:leftChars="64"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注：除可填报项目外，对本投标函的任何修改将被视为非实质性相应投标，从而导致该投标被拒绝</w:t>
      </w:r>
    </w:p>
    <w:p>
      <w:pPr>
        <w:tabs>
          <w:tab w:val="left" w:pos="1662"/>
        </w:tabs>
        <w:spacing w:before="113" w:line="360" w:lineRule="auto"/>
        <w:ind w:left="154" w:leftChars="64" w:firstLine="1"/>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86" w:name="_Toc26852"/>
      <w:bookmarkStart w:id="87" w:name="_Toc17235"/>
      <w:bookmarkStart w:id="88" w:name="_Toc9326"/>
      <w:bookmarkStart w:id="89" w:name="_Toc6126"/>
      <w:bookmarkStart w:id="90" w:name="_Toc6723"/>
      <w:r>
        <w:rPr>
          <w:rFonts w:hint="eastAsia" w:ascii="仿宋" w:hAnsi="仿宋" w:eastAsia="仿宋" w:cs="仿宋"/>
          <w:color w:val="000000" w:themeColor="text1"/>
          <w:sz w:val="28"/>
          <w:szCs w:val="28"/>
          <w:highlight w:val="none"/>
          <w14:textFill>
            <w14:solidFill>
              <w14:schemeClr w14:val="tx1"/>
            </w14:solidFill>
          </w14:textFill>
        </w:rPr>
        <w:t>（二）投标人资格证明文件</w:t>
      </w:r>
      <w:bookmarkEnd w:id="86"/>
      <w:bookmarkEnd w:id="87"/>
      <w:bookmarkEnd w:id="88"/>
      <w:bookmarkEnd w:id="89"/>
      <w:bookmarkEnd w:id="90"/>
    </w:p>
    <w:p>
      <w:pPr>
        <w:pStyle w:val="9"/>
        <w:spacing w:before="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1、关于资格的声明函</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（采购人名称）</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关于贵方 20</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u w:val="single"/>
          <w14:textFill>
            <w14:solidFill>
              <w14:schemeClr w14:val="tx1"/>
            </w14:solidFill>
          </w14:textFill>
        </w:rPr>
        <w:t>（项目编号）</w:t>
      </w:r>
      <w:r>
        <w:rPr>
          <w:rFonts w:hint="eastAsia" w:ascii="仿宋" w:hAnsi="仿宋" w:eastAsia="仿宋" w:cs="仿宋"/>
          <w:color w:val="000000" w:themeColor="text1"/>
          <w:sz w:val="24"/>
          <w:szCs w:val="24"/>
          <w:highlight w:val="none"/>
          <w14:textFill>
            <w14:solidFill>
              <w14:schemeClr w14:val="tx1"/>
            </w14:solidFill>
          </w14:textFill>
        </w:rPr>
        <w:t>招标</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关于</w:t>
      </w:r>
      <w:r>
        <w:rPr>
          <w:rFonts w:hint="eastAsia" w:ascii="仿宋" w:hAnsi="仿宋" w:eastAsia="仿宋" w:cs="仿宋"/>
          <w:color w:val="000000" w:themeColor="text1"/>
          <w:sz w:val="24"/>
          <w:szCs w:val="24"/>
          <w:highlight w:val="none"/>
          <w:u w:val="single"/>
          <w14:textFill>
            <w14:solidFill>
              <w14:schemeClr w14:val="tx1"/>
            </w14:solidFill>
          </w14:textFill>
        </w:rPr>
        <w:t>“      ”</w:t>
      </w:r>
      <w:r>
        <w:rPr>
          <w:rFonts w:hint="eastAsia" w:ascii="仿宋" w:hAnsi="仿宋" w:eastAsia="仿宋" w:cs="仿宋"/>
          <w:color w:val="000000" w:themeColor="text1"/>
          <w:sz w:val="24"/>
          <w:szCs w:val="24"/>
          <w:highlight w:val="none"/>
          <w14:textFill>
            <w14:solidFill>
              <w14:schemeClr w14:val="tx1"/>
            </w14:solidFill>
          </w14:textFill>
        </w:rPr>
        <w:t>的招标项目，本签字人愿意参加投标，并有能力提供 （项目名称） 项目中的货物及相关服务，并保证所提交的所有文件和说明是真实和准确的。</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投标人 </w:t>
      </w:r>
      <w:r>
        <w:rPr>
          <w:rFonts w:hint="eastAsia" w:ascii="仿宋" w:hAnsi="仿宋" w:eastAsia="仿宋" w:cs="仿宋"/>
          <w:color w:val="000000" w:themeColor="text1"/>
          <w:sz w:val="24"/>
          <w:szCs w:val="24"/>
          <w:highlight w:val="none"/>
          <w:u w:val="single"/>
          <w14:textFill>
            <w14:solidFill>
              <w14:schemeClr w14:val="tx1"/>
            </w14:solidFill>
          </w14:textFill>
        </w:rPr>
        <w:t xml:space="preserve">投标单位名称（盖章） </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（签字</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或盖章</w:t>
      </w:r>
      <w:r>
        <w:rPr>
          <w:rFonts w:hint="eastAsia" w:ascii="仿宋" w:hAnsi="仿宋" w:eastAsia="仿宋" w:cs="仿宋"/>
          <w:color w:val="000000" w:themeColor="text1"/>
          <w:sz w:val="24"/>
          <w:szCs w:val="24"/>
          <w:highlight w:val="none"/>
          <w:u w:val="single"/>
          <w14:textFill>
            <w14:solidFill>
              <w14:schemeClr w14:val="tx1"/>
            </w14:solidFill>
          </w14:textFill>
        </w:rPr>
        <w:t>）</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传真： </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邮编： </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pPr>
        <w:pStyle w:val="12"/>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2"/>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2"/>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2"/>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880" w:hanging="440"/>
        <w:rPr>
          <w:rFonts w:hint="eastAsia" w:ascii="仿宋" w:hAnsi="仿宋" w:eastAsia="仿宋" w:cs="仿宋"/>
          <w:color w:val="000000" w:themeColor="text1"/>
          <w:highlight w:val="none"/>
          <w14:textFill>
            <w14:solidFill>
              <w14:schemeClr w14:val="tx1"/>
            </w14:solidFill>
          </w14:textFill>
        </w:rPr>
      </w:pPr>
    </w:p>
    <w:p>
      <w:pPr>
        <w:pStyle w:val="12"/>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91" w:name="_Toc1122"/>
      <w:bookmarkStart w:id="92" w:name="_Toc613"/>
      <w:bookmarkStart w:id="93" w:name="_Toc18466"/>
      <w:bookmarkStart w:id="94" w:name="_Toc24134"/>
      <w:bookmarkStart w:id="95" w:name="_Toc10118"/>
      <w:r>
        <w:rPr>
          <w:rFonts w:hint="eastAsia" w:ascii="仿宋" w:hAnsi="仿宋" w:eastAsia="仿宋" w:cs="仿宋"/>
          <w:color w:val="000000" w:themeColor="text1"/>
          <w:sz w:val="28"/>
          <w:szCs w:val="28"/>
          <w:highlight w:val="none"/>
          <w14:textFill>
            <w14:solidFill>
              <w14:schemeClr w14:val="tx1"/>
            </w14:solidFill>
          </w14:textFill>
        </w:rPr>
        <w:t>（三）商务偏离表</w:t>
      </w:r>
      <w:bookmarkEnd w:id="91"/>
      <w:bookmarkEnd w:id="92"/>
      <w:bookmarkEnd w:id="93"/>
      <w:bookmarkEnd w:id="94"/>
      <w:bookmarkEnd w:id="95"/>
    </w:p>
    <w:p>
      <w:pPr>
        <w:wordWrap w:val="0"/>
        <w:spacing w:line="360" w:lineRule="auto"/>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项目名称：</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pPr>
        <w:pStyle w:val="16"/>
        <w:pBdr>
          <w:bottom w:val="none" w:color="auto" w:sz="0" w:space="0"/>
        </w:pBdr>
        <w:tabs>
          <w:tab w:val="clear" w:pos="4153"/>
          <w:tab w:val="clear" w:pos="8306"/>
        </w:tabs>
        <w:wordWrap w:val="0"/>
        <w:snapToGrid/>
        <w:spacing w:line="360" w:lineRule="auto"/>
        <w:jc w:val="both"/>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项目编号：</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p>
    <w:tbl>
      <w:tblPr>
        <w:tblStyle w:val="2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579"/>
        <w:gridCol w:w="2333"/>
        <w:gridCol w:w="135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718" w:type="dxa"/>
            <w:noWrap w:val="0"/>
            <w:vAlign w:val="center"/>
          </w:tcPr>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2579"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条目号</w:t>
            </w:r>
          </w:p>
        </w:tc>
        <w:tc>
          <w:tcPr>
            <w:tcW w:w="2333"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招标文件的</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商务条款</w:t>
            </w:r>
          </w:p>
        </w:tc>
        <w:tc>
          <w:tcPr>
            <w:tcW w:w="1350"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投标文件的</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商务条款</w:t>
            </w:r>
          </w:p>
        </w:tc>
        <w:tc>
          <w:tcPr>
            <w:tcW w:w="1340" w:type="dxa"/>
            <w:noWrap w:val="0"/>
            <w:vAlign w:val="center"/>
          </w:tcPr>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bl>
    <w:p>
      <w:pPr>
        <w:spacing w:before="240" w:line="360" w:lineRule="auto"/>
        <w:rPr>
          <w:rFonts w:hint="eastAsia" w:ascii="仿宋" w:hAnsi="仿宋" w:eastAsia="仿宋" w:cs="仿宋"/>
          <w:b/>
          <w:bCs/>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pacing w:line="360" w:lineRule="auto"/>
        <w:ind w:firstLine="398" w:firstLineChars="166"/>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adjustRightInd w:val="0"/>
        <w:spacing w:line="360" w:lineRule="auto"/>
        <w:ind w:firstLine="420" w:firstLineChars="175"/>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(签字</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或盖章</w:t>
      </w:r>
      <w:r>
        <w:rPr>
          <w:rFonts w:hint="eastAsia" w:ascii="仿宋" w:hAnsi="仿宋" w:eastAsia="仿宋" w:cs="仿宋"/>
          <w:bCs/>
          <w:color w:val="000000" w:themeColor="text1"/>
          <w:sz w:val="24"/>
          <w:szCs w:val="24"/>
          <w:highlight w:val="none"/>
          <w14:textFill>
            <w14:solidFill>
              <w14:schemeClr w14:val="tx1"/>
            </w14:solidFill>
          </w14:textFill>
        </w:rPr>
        <w:t>)</w:t>
      </w:r>
    </w:p>
    <w:p>
      <w:pPr>
        <w:adjustRightInd w:val="0"/>
        <w:spacing w:line="360" w:lineRule="auto"/>
        <w:ind w:firstLine="420" w:firstLineChars="175"/>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 20    年    月   日</w:t>
      </w:r>
    </w:p>
    <w:p>
      <w:pPr>
        <w:pStyle w:val="12"/>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2"/>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2"/>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2"/>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2"/>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54" w:leftChars="64"/>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96" w:name="_Toc21525"/>
      <w:bookmarkStart w:id="97" w:name="_Toc31364"/>
      <w:bookmarkStart w:id="98" w:name="_Toc21473"/>
      <w:bookmarkStart w:id="99" w:name="_Toc19105"/>
      <w:bookmarkStart w:id="100" w:name="_Toc18864"/>
      <w:r>
        <w:rPr>
          <w:rFonts w:hint="eastAsia" w:ascii="仿宋" w:hAnsi="仿宋" w:eastAsia="仿宋" w:cs="仿宋"/>
          <w:color w:val="000000" w:themeColor="text1"/>
          <w:sz w:val="28"/>
          <w:szCs w:val="28"/>
          <w:highlight w:val="none"/>
          <w14:textFill>
            <w14:solidFill>
              <w14:schemeClr w14:val="tx1"/>
            </w14:solidFill>
          </w14:textFill>
        </w:rPr>
        <w:t>（四）开标一览表</w:t>
      </w:r>
      <w:bookmarkEnd w:id="96"/>
      <w:bookmarkEnd w:id="97"/>
      <w:bookmarkEnd w:id="98"/>
      <w:bookmarkEnd w:id="99"/>
      <w:bookmarkEnd w:id="100"/>
    </w:p>
    <w:p>
      <w:pPr>
        <w:tabs>
          <w:tab w:val="left" w:pos="4915"/>
        </w:tabs>
        <w:spacing w:line="360" w:lineRule="auto"/>
        <w:ind w:left="70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                       项目编号：</w:t>
      </w:r>
    </w:p>
    <w:p>
      <w:pPr>
        <w:spacing w:before="132" w:line="360" w:lineRule="auto"/>
        <w:ind w:left="70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投标单位名称：</w:t>
      </w:r>
    </w:p>
    <w:tbl>
      <w:tblPr>
        <w:tblStyle w:val="2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3369"/>
        <w:gridCol w:w="1915"/>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blHeader/>
          <w:jc w:val="center"/>
        </w:trPr>
        <w:tc>
          <w:tcPr>
            <w:tcW w:w="1832"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项目名称</w:t>
            </w:r>
          </w:p>
        </w:tc>
        <w:tc>
          <w:tcPr>
            <w:tcW w:w="3369"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投标价（元）</w:t>
            </w:r>
          </w:p>
        </w:tc>
        <w:tc>
          <w:tcPr>
            <w:tcW w:w="1915"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质保期（年）</w:t>
            </w:r>
          </w:p>
        </w:tc>
        <w:tc>
          <w:tcPr>
            <w:tcW w:w="1243"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1832" w:type="dxa"/>
            <w:noWrap w:val="0"/>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369" w:type="dxa"/>
            <w:noWrap w:val="0"/>
            <w:vAlign w:val="center"/>
          </w:tcPr>
          <w:p>
            <w:pPr>
              <w:pStyle w:val="47"/>
              <w:tabs>
                <w:tab w:val="left" w:pos="3228"/>
              </w:tabs>
              <w:spacing w:before="80" w:line="360" w:lineRule="auto"/>
              <w:ind w:right="10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小</w:t>
            </w:r>
            <w:r>
              <w:rPr>
                <w:rFonts w:hint="eastAsia" w:ascii="仿宋" w:hAnsi="仿宋" w:eastAsia="仿宋" w:cs="仿宋"/>
                <w:color w:val="000000" w:themeColor="text1"/>
                <w:sz w:val="24"/>
                <w:szCs w:val="24"/>
                <w:highlight w:val="none"/>
                <w14:textFill>
                  <w14:solidFill>
                    <w14:schemeClr w14:val="tx1"/>
                  </w14:solidFill>
                </w14:textFill>
              </w:rPr>
              <w:t>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大写：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tc>
        <w:tc>
          <w:tcPr>
            <w:tcW w:w="1915" w:type="dxa"/>
            <w:noWrap w:val="0"/>
            <w:vAlign w:val="center"/>
          </w:tcPr>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center"/>
          </w:tcPr>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pStyle w:val="9"/>
        <w:spacing w:before="4"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注：1.表中大小写不一致时，以大写为准。</w:t>
      </w:r>
    </w:p>
    <w:p>
      <w:pPr>
        <w:tabs>
          <w:tab w:val="left" w:pos="1336"/>
        </w:tabs>
        <w:spacing w:line="360" w:lineRule="auto"/>
        <w:ind w:firstLine="484" w:firstLineChars="20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color w:val="000000" w:themeColor="text1"/>
          <w:sz w:val="24"/>
          <w:szCs w:val="24"/>
          <w:highlight w:val="none"/>
          <w14:textFill>
            <w14:solidFill>
              <w14:schemeClr w14:val="tx1"/>
            </w14:solidFill>
          </w14:textFill>
        </w:rPr>
        <w:t>.投标报价为完成本次采购项目的</w:t>
      </w:r>
      <w:r>
        <w:rPr>
          <w:rFonts w:hint="eastAsia" w:ascii="仿宋" w:hAnsi="仿宋" w:eastAsia="仿宋" w:cs="仿宋"/>
          <w:b/>
          <w:color w:val="000000" w:themeColor="text1"/>
          <w:sz w:val="24"/>
          <w:szCs w:val="24"/>
          <w:highlight w:val="none"/>
          <w:lang w:val="zh-CN"/>
          <w14:textFill>
            <w14:solidFill>
              <w14:schemeClr w14:val="tx1"/>
            </w14:solidFill>
          </w14:textFill>
        </w:rPr>
        <w:t>运输、转运、装卸、储存、</w:t>
      </w:r>
      <w:r>
        <w:rPr>
          <w:rFonts w:hint="eastAsia" w:ascii="仿宋" w:hAnsi="仿宋" w:eastAsia="仿宋" w:cs="仿宋"/>
          <w:b/>
          <w:color w:val="000000" w:themeColor="text1"/>
          <w:sz w:val="24"/>
          <w:szCs w:val="24"/>
          <w:highlight w:val="none"/>
          <w:lang w:eastAsia="zh-CN"/>
          <w14:textFill>
            <w14:solidFill>
              <w14:schemeClr w14:val="tx1"/>
            </w14:solidFill>
          </w14:textFill>
        </w:rPr>
        <w:t>税金和相关售后服务等</w:t>
      </w:r>
      <w:r>
        <w:rPr>
          <w:rFonts w:hint="eastAsia" w:ascii="仿宋" w:hAnsi="仿宋" w:eastAsia="仿宋" w:cs="仿宋"/>
          <w:b/>
          <w:color w:val="000000" w:themeColor="text1"/>
          <w:sz w:val="24"/>
          <w:szCs w:val="24"/>
          <w:highlight w:val="none"/>
          <w14:textFill>
            <w14:solidFill>
              <w14:schemeClr w14:val="tx1"/>
            </w14:solidFill>
          </w14:textFill>
        </w:rPr>
        <w:t>一切相关费用。</w:t>
      </w:r>
    </w:p>
    <w:p>
      <w:pPr>
        <w:tabs>
          <w:tab w:val="left" w:pos="1336"/>
        </w:tabs>
        <w:spacing w:before="4" w:line="360" w:lineRule="auto"/>
        <w:ind w:left="629" w:leftChars="193" w:right="590" w:hanging="166" w:hangingChars="6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color w:val="000000" w:themeColor="text1"/>
          <w:sz w:val="24"/>
          <w:szCs w:val="24"/>
          <w:highlight w:val="none"/>
          <w14:textFill>
            <w14:solidFill>
              <w14:schemeClr w14:val="tx1"/>
            </w14:solidFill>
          </w14:textFill>
        </w:rPr>
        <w:t>.本表中“投标报价总额”必须与《投标函》中的“投标总价”及《投标报价明细表》</w:t>
      </w:r>
      <w:r>
        <w:rPr>
          <w:rFonts w:hint="eastAsia" w:ascii="仿宋" w:hAnsi="仿宋" w:eastAsia="仿宋" w:cs="仿宋"/>
          <w:b/>
          <w:color w:val="000000" w:themeColor="text1"/>
          <w:sz w:val="24"/>
          <w:szCs w:val="24"/>
          <w:highlight w:val="none"/>
          <w:lang w:val="en-US" w:eastAsia="zh-CN"/>
          <w14:textFill>
            <w14:solidFill>
              <w14:schemeClr w14:val="tx1"/>
            </w14:solidFill>
          </w14:textFill>
        </w:rPr>
        <w:t>总价</w:t>
      </w:r>
      <w:r>
        <w:rPr>
          <w:rFonts w:hint="eastAsia" w:ascii="仿宋" w:hAnsi="仿宋" w:eastAsia="仿宋" w:cs="仿宋"/>
          <w:b/>
          <w:color w:val="000000" w:themeColor="text1"/>
          <w:sz w:val="24"/>
          <w:szCs w:val="24"/>
          <w:highlight w:val="none"/>
          <w14:textFill>
            <w14:solidFill>
              <w14:schemeClr w14:val="tx1"/>
            </w14:solidFill>
          </w14:textFill>
        </w:rPr>
        <w:t>均保持一致，如不一致，以《开标一览表》为准。</w:t>
      </w:r>
    </w:p>
    <w:p>
      <w:pPr>
        <w:pStyle w:val="9"/>
        <w:spacing w:before="5" w:line="360" w:lineRule="auto"/>
        <w:rPr>
          <w:rFonts w:hint="eastAsia" w:ascii="仿宋" w:hAnsi="仿宋" w:eastAsia="仿宋" w:cs="仿宋"/>
          <w:color w:val="000000" w:themeColor="text1"/>
          <w:highlight w:val="none"/>
          <w14:textFill>
            <w14:solidFill>
              <w14:schemeClr w14:val="tx1"/>
            </w14:solidFill>
          </w14:textFill>
        </w:rPr>
      </w:pPr>
    </w:p>
    <w:p>
      <w:pPr>
        <w:pStyle w:val="9"/>
        <w:spacing w:before="5" w:line="360" w:lineRule="auto"/>
        <w:rPr>
          <w:rFonts w:hint="eastAsia" w:ascii="仿宋" w:hAnsi="仿宋" w:eastAsia="仿宋" w:cs="仿宋"/>
          <w:color w:val="000000" w:themeColor="text1"/>
          <w:highlight w:val="none"/>
          <w14:textFill>
            <w14:solidFill>
              <w14:schemeClr w14:val="tx1"/>
            </w14:solidFill>
          </w14:textFill>
        </w:rPr>
      </w:pPr>
    </w:p>
    <w:p>
      <w:pPr>
        <w:pStyle w:val="11"/>
        <w:rPr>
          <w:rFonts w:hint="eastAsia" w:ascii="仿宋" w:hAnsi="仿宋" w:eastAsia="仿宋" w:cs="仿宋"/>
          <w:color w:val="000000" w:themeColor="text1"/>
          <w:highlight w:val="none"/>
          <w14:textFill>
            <w14:solidFill>
              <w14:schemeClr w14:val="tx1"/>
            </w14:solidFill>
          </w14:textFill>
        </w:rPr>
      </w:pPr>
    </w:p>
    <w:p>
      <w:pPr>
        <w:pStyle w:val="9"/>
        <w:spacing w:before="5"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投标单位（盖章）：</w:t>
      </w:r>
    </w:p>
    <w:p>
      <w:pPr>
        <w:pStyle w:val="9"/>
        <w:spacing w:before="5"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法定代表人（签字</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14:textFill>
            <w14:solidFill>
              <w14:schemeClr w14:val="tx1"/>
            </w14:solidFill>
          </w14:textFill>
        </w:rPr>
        <w:t>）：</w:t>
      </w:r>
    </w:p>
    <w:p>
      <w:pPr>
        <w:pStyle w:val="9"/>
        <w:spacing w:before="5" w:line="360" w:lineRule="auto"/>
        <w:ind w:firstLine="3570" w:firstLineChars="17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授权代表（签字</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14:textFill>
            <w14:solidFill>
              <w14:schemeClr w14:val="tx1"/>
            </w14:solidFill>
          </w14:textFill>
        </w:rPr>
        <w:t>）：</w:t>
      </w:r>
    </w:p>
    <w:p>
      <w:pPr>
        <w:tabs>
          <w:tab w:val="left" w:pos="6684"/>
          <w:tab w:val="left" w:pos="7315"/>
        </w:tabs>
        <w:spacing w:line="360" w:lineRule="auto"/>
        <w:ind w:firstLine="4800" w:firstLineChars="20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p>
      <w:pPr>
        <w:pStyle w:val="12"/>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2"/>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2"/>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2"/>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2"/>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2"/>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01" w:name="_Toc19010"/>
      <w:bookmarkStart w:id="102" w:name="_Toc14099"/>
      <w:bookmarkStart w:id="103" w:name="_Toc13501"/>
      <w:bookmarkStart w:id="104" w:name="_Toc14393"/>
      <w:bookmarkStart w:id="105" w:name="_Toc26770"/>
      <w:r>
        <w:rPr>
          <w:rFonts w:hint="eastAsia" w:ascii="仿宋" w:hAnsi="仿宋" w:eastAsia="仿宋" w:cs="仿宋"/>
          <w:color w:val="000000" w:themeColor="text1"/>
          <w:sz w:val="28"/>
          <w:szCs w:val="28"/>
          <w:highlight w:val="none"/>
          <w14:textFill>
            <w14:solidFill>
              <w14:schemeClr w14:val="tx1"/>
            </w14:solidFill>
          </w14:textFill>
        </w:rPr>
        <w:t>（五）</w:t>
      </w:r>
      <w:bookmarkStart w:id="106" w:name="_Toc14233"/>
      <w:bookmarkStart w:id="107" w:name="_Toc1083"/>
      <w:r>
        <w:rPr>
          <w:rFonts w:hint="eastAsia" w:ascii="仿宋" w:hAnsi="仿宋" w:eastAsia="仿宋" w:cs="仿宋"/>
          <w:color w:val="000000" w:themeColor="text1"/>
          <w:sz w:val="28"/>
          <w:szCs w:val="28"/>
          <w:highlight w:val="none"/>
          <w:lang w:eastAsia="zh-CN"/>
          <w14:textFill>
            <w14:solidFill>
              <w14:schemeClr w14:val="tx1"/>
            </w14:solidFill>
          </w14:textFill>
        </w:rPr>
        <w:t>投标</w:t>
      </w:r>
      <w:r>
        <w:rPr>
          <w:rFonts w:hint="eastAsia" w:ascii="仿宋" w:hAnsi="仿宋" w:eastAsia="仿宋" w:cs="仿宋"/>
          <w:color w:val="000000" w:themeColor="text1"/>
          <w:sz w:val="28"/>
          <w:highlight w:val="none"/>
          <w14:textFill>
            <w14:solidFill>
              <w14:schemeClr w14:val="tx1"/>
            </w14:solidFill>
          </w14:textFill>
        </w:rPr>
        <w:t>报价</w:t>
      </w:r>
      <w:r>
        <w:rPr>
          <w:rFonts w:hint="eastAsia" w:ascii="仿宋" w:hAnsi="仿宋" w:eastAsia="仿宋" w:cs="仿宋"/>
          <w:color w:val="000000" w:themeColor="text1"/>
          <w:sz w:val="28"/>
          <w:highlight w:val="none"/>
          <w:lang w:val="en-US" w:eastAsia="zh-CN"/>
          <w14:textFill>
            <w14:solidFill>
              <w14:schemeClr w14:val="tx1"/>
            </w14:solidFill>
          </w14:textFill>
        </w:rPr>
        <w:t>明细</w:t>
      </w:r>
      <w:r>
        <w:rPr>
          <w:rFonts w:hint="eastAsia" w:ascii="仿宋" w:hAnsi="仿宋" w:eastAsia="仿宋" w:cs="仿宋"/>
          <w:color w:val="000000" w:themeColor="text1"/>
          <w:sz w:val="28"/>
          <w:highlight w:val="none"/>
          <w14:textFill>
            <w14:solidFill>
              <w14:schemeClr w14:val="tx1"/>
            </w14:solidFill>
          </w14:textFill>
        </w:rPr>
        <w:t>表</w:t>
      </w:r>
      <w:bookmarkEnd w:id="101"/>
      <w:bookmarkEnd w:id="102"/>
      <w:bookmarkEnd w:id="103"/>
      <w:bookmarkEnd w:id="104"/>
      <w:bookmarkEnd w:id="105"/>
      <w:bookmarkEnd w:id="106"/>
      <w:bookmarkEnd w:id="107"/>
    </w:p>
    <w:p>
      <w:pPr>
        <w:wordWrap w:val="0"/>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pPr>
        <w:pStyle w:val="16"/>
        <w:pBdr>
          <w:bottom w:val="none" w:color="auto" w:sz="0" w:space="0"/>
        </w:pBdr>
        <w:tabs>
          <w:tab w:val="clear" w:pos="4153"/>
          <w:tab w:val="clear" w:pos="8306"/>
        </w:tabs>
        <w:wordWrap w:val="0"/>
        <w:snapToGrid/>
        <w:spacing w:line="360" w:lineRule="auto"/>
        <w:jc w:val="both"/>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项目编号：</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w:t>
      </w:r>
    </w:p>
    <w:tbl>
      <w:tblPr>
        <w:tblStyle w:val="25"/>
        <w:tblW w:w="94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3"/>
        <w:gridCol w:w="1248"/>
        <w:gridCol w:w="1181"/>
        <w:gridCol w:w="1417"/>
        <w:gridCol w:w="1243"/>
        <w:gridCol w:w="1350"/>
        <w:gridCol w:w="1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1248"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p>
        </w:tc>
        <w:tc>
          <w:tcPr>
            <w:tcW w:w="1181"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产地、品牌、</w:t>
            </w:r>
            <w:r>
              <w:rPr>
                <w:rFonts w:hint="eastAsia" w:ascii="仿宋" w:hAnsi="仿宋" w:eastAsia="仿宋" w:cs="仿宋"/>
                <w:color w:val="000000" w:themeColor="text1"/>
                <w:sz w:val="24"/>
                <w:highlight w:val="none"/>
                <w14:textFill>
                  <w14:solidFill>
                    <w14:schemeClr w14:val="tx1"/>
                  </w14:solidFill>
                </w14:textFill>
              </w:rPr>
              <w:t>规格型号</w:t>
            </w:r>
          </w:p>
        </w:tc>
        <w:tc>
          <w:tcPr>
            <w:tcW w:w="1417"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单价</w:t>
            </w:r>
          </w:p>
        </w:tc>
        <w:tc>
          <w:tcPr>
            <w:tcW w:w="124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350"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1892"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投标总价（元）</w:t>
            </w:r>
            <w:r>
              <w:rPr>
                <w:rFonts w:hint="eastAsia" w:ascii="仿宋" w:hAnsi="仿宋" w:eastAsia="仿宋" w:cs="仿宋"/>
                <w:color w:val="000000" w:themeColor="text1"/>
                <w:sz w:val="24"/>
                <w:highlight w:val="none"/>
                <w14:textFill>
                  <w14:solidFill>
                    <w14:schemeClr w14:val="tx1"/>
                  </w14:solidFill>
                </w14:textFill>
              </w:rPr>
              <w:t xml:space="preserve"> </w:t>
            </w:r>
          </w:p>
        </w:tc>
        <w:tc>
          <w:tcPr>
            <w:tcW w:w="8331" w:type="dxa"/>
            <w:gridSpan w:val="6"/>
            <w:noWrap w:val="0"/>
            <w:vAlign w:val="center"/>
          </w:tcPr>
          <w:p>
            <w:pPr>
              <w:pageBreakBefore w:val="0"/>
              <w:tabs>
                <w:tab w:val="left" w:pos="0"/>
              </w:tabs>
              <w:kinsoku/>
              <w:wordWrap/>
              <w:overflowPunct/>
              <w:topLinePunct w:val="0"/>
              <w:bidi w:val="0"/>
              <w:spacing w:line="240" w:lineRule="auto"/>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人民币大写</w:t>
            </w:r>
          </w:p>
        </w:tc>
        <w:tc>
          <w:tcPr>
            <w:tcW w:w="8331" w:type="dxa"/>
            <w:gridSpan w:val="6"/>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p>
        </w:tc>
      </w:tr>
    </w:tbl>
    <w:p>
      <w:pPr>
        <w:spacing w:line="360" w:lineRule="auto"/>
        <w:ind w:firstLine="570"/>
        <w:rPr>
          <w:rFonts w:hint="eastAsia" w:ascii="仿宋" w:hAnsi="仿宋" w:eastAsia="仿宋" w:cs="仿宋"/>
          <w:b/>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法定代表人或授权代表：</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签字或盖章</w:t>
      </w:r>
      <w:r>
        <w:rPr>
          <w:rFonts w:hint="eastAsia" w:ascii="仿宋" w:hAnsi="仿宋" w:eastAsia="仿宋" w:cs="仿宋"/>
          <w:bCs/>
          <w:color w:val="000000" w:themeColor="text1"/>
          <w:sz w:val="24"/>
          <w:szCs w:val="24"/>
          <w:highlight w:val="none"/>
          <w14:textFill>
            <w14:solidFill>
              <w14:schemeClr w14:val="tx1"/>
            </w14:solidFill>
          </w14:textFill>
        </w:rPr>
        <w:t>)</w:t>
      </w:r>
    </w:p>
    <w:p>
      <w:pPr>
        <w:pStyle w:val="12"/>
        <w:spacing w:line="360" w:lineRule="auto"/>
        <w:ind w:left="960" w:leftChars="300" w:right="72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投标日期：20   年   月   日</w:t>
      </w:r>
    </w:p>
    <w:p>
      <w:pPr>
        <w:pStyle w:val="12"/>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2"/>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2"/>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2"/>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2"/>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2"/>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2"/>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bookmarkStart w:id="108" w:name="_Toc12085"/>
      <w:bookmarkStart w:id="109" w:name="_Toc13495"/>
      <w:bookmarkStart w:id="110" w:name="_Toc10347"/>
      <w:bookmarkStart w:id="111" w:name="_Toc27020"/>
      <w:bookmarkStart w:id="112" w:name="_Toc1404"/>
      <w:r>
        <w:rPr>
          <w:rFonts w:hint="eastAsia" w:ascii="仿宋" w:hAnsi="仿宋" w:eastAsia="仿宋" w:cs="仿宋"/>
          <w:color w:val="000000" w:themeColor="text1"/>
          <w:sz w:val="28"/>
          <w:szCs w:val="28"/>
          <w:highlight w:val="none"/>
          <w14:textFill>
            <w14:solidFill>
              <w14:schemeClr w14:val="tx1"/>
            </w14:solidFill>
          </w14:textFill>
        </w:rPr>
        <w:br w:type="page"/>
      </w:r>
    </w:p>
    <w:p>
      <w:pPr>
        <w:tabs>
          <w:tab w:val="left" w:pos="1662"/>
        </w:tabs>
        <w:spacing w:before="113" w:line="360" w:lineRule="auto"/>
        <w:ind w:left="154"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六</w:t>
      </w:r>
      <w:r>
        <w:rPr>
          <w:rFonts w:hint="eastAsia" w:ascii="仿宋" w:hAnsi="仿宋" w:eastAsia="仿宋" w:cs="仿宋"/>
          <w:color w:val="000000" w:themeColor="text1"/>
          <w:sz w:val="28"/>
          <w:szCs w:val="28"/>
          <w:highlight w:val="none"/>
          <w14:textFill>
            <w14:solidFill>
              <w14:schemeClr w14:val="tx1"/>
            </w14:solidFill>
          </w14:textFill>
        </w:rPr>
        <w:t>）法定代表人身份证明及法定代表人授权委托书格式</w:t>
      </w:r>
      <w:bookmarkEnd w:id="108"/>
      <w:bookmarkEnd w:id="109"/>
      <w:bookmarkEnd w:id="110"/>
      <w:bookmarkEnd w:id="111"/>
      <w:bookmarkEnd w:id="112"/>
    </w:p>
    <w:p>
      <w:pPr>
        <w:tabs>
          <w:tab w:val="left" w:pos="1662"/>
        </w:tabs>
        <w:spacing w:before="113" w:line="360" w:lineRule="auto"/>
        <w:ind w:left="154"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法定代表人身份证明</w:t>
      </w:r>
    </w:p>
    <w:p>
      <w:pPr>
        <w:tabs>
          <w:tab w:val="left" w:pos="1662"/>
        </w:tabs>
        <w:spacing w:before="113"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（采购人）：</w:t>
      </w:r>
    </w:p>
    <w:p>
      <w:pPr>
        <w:tabs>
          <w:tab w:val="left" w:pos="1662"/>
        </w:tabs>
        <w:spacing w:before="113"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兹证明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同志在我单位任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（职务），是我单位的法定代表人。</w:t>
      </w:r>
    </w:p>
    <w:p>
      <w:pPr>
        <w:tabs>
          <w:tab w:val="left" w:pos="1662"/>
        </w:tabs>
        <w:spacing w:before="113"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附法定代表人基本情况：</w:t>
      </w:r>
    </w:p>
    <w:p>
      <w:pPr>
        <w:tabs>
          <w:tab w:val="left" w:pos="1662"/>
        </w:tabs>
        <w:spacing w:before="113" w:line="360" w:lineRule="auto"/>
        <w:ind w:left="154" w:leftChars="64" w:firstLine="364" w:firstLineChars="1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签字或盖章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性别</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54" w:leftChars="64" w:firstLine="364" w:firstLineChars="1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firstLine="484" w:firstLineChars="202"/>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通讯地址：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firstLine="484" w:firstLineChars="20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right="112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单位名称：（公章） </w:t>
      </w:r>
    </w:p>
    <w:p>
      <w:pPr>
        <w:tabs>
          <w:tab w:val="left" w:pos="1662"/>
        </w:tabs>
        <w:spacing w:before="113" w:line="360" w:lineRule="auto"/>
        <w:ind w:right="112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年    月   日</w:t>
      </w:r>
    </w:p>
    <w:p>
      <w:pPr>
        <w:tabs>
          <w:tab w:val="left" w:pos="1662"/>
        </w:tabs>
        <w:spacing w:before="113"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附：法定代表人近三个月的公司社保缴纳凭证（社保缴费凭证及个人明细表）及法定代表人身份证</w:t>
      </w:r>
    </w:p>
    <w:p>
      <w:pPr>
        <w:tabs>
          <w:tab w:val="left" w:pos="1662"/>
        </w:tabs>
        <w:spacing w:before="113" w:line="360" w:lineRule="auto"/>
        <w:ind w:left="154"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ind w:left="154"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line="360" w:lineRule="auto"/>
        <w:ind w:left="154"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5"/>
        <w:numPr>
          <w:ilvl w:val="0"/>
          <w:numId w:val="0"/>
        </w:numPr>
        <w:ind w:left="400" w:leftChars="0"/>
        <w:outlineLvl w:val="9"/>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line="360" w:lineRule="auto"/>
        <w:jc w:val="both"/>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line="360" w:lineRule="auto"/>
        <w:ind w:left="154"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2、法定代表人授权委托书</w:t>
      </w:r>
    </w:p>
    <w:p>
      <w:pPr>
        <w:tabs>
          <w:tab w:val="left" w:pos="1662"/>
        </w:tabs>
        <w:spacing w:before="113" w:line="400" w:lineRule="exact"/>
        <w:ind w:left="154"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本授权书声明：注册于</w:t>
      </w:r>
      <w:r>
        <w:rPr>
          <w:rFonts w:hint="eastAsia" w:ascii="仿宋" w:hAnsi="仿宋" w:eastAsia="仿宋" w:cs="仿宋"/>
          <w:color w:val="000000" w:themeColor="text1"/>
          <w:sz w:val="21"/>
          <w:szCs w:val="21"/>
          <w:highlight w:val="none"/>
          <w:u w:val="single"/>
          <w14:textFill>
            <w14:solidFill>
              <w14:schemeClr w14:val="tx1"/>
            </w14:solidFill>
          </w14:textFill>
        </w:rPr>
        <w:t>（地区的名称）</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u w:val="single"/>
          <w14:textFill>
            <w14:solidFill>
              <w14:schemeClr w14:val="tx1"/>
            </w14:solidFill>
          </w14:textFill>
        </w:rPr>
        <w:t>（公司名称）</w:t>
      </w:r>
      <w:r>
        <w:rPr>
          <w:rFonts w:hint="eastAsia" w:ascii="仿宋" w:hAnsi="仿宋" w:eastAsia="仿宋" w:cs="仿宋"/>
          <w:color w:val="000000" w:themeColor="text1"/>
          <w:sz w:val="21"/>
          <w:szCs w:val="21"/>
          <w:highlight w:val="none"/>
          <w14:textFill>
            <w14:solidFill>
              <w14:schemeClr w14:val="tx1"/>
            </w14:solidFill>
          </w14:textFill>
        </w:rPr>
        <w:t>，在下面签字的法定代表人</w:t>
      </w:r>
      <w:r>
        <w:rPr>
          <w:rFonts w:hint="eastAsia" w:ascii="仿宋" w:hAnsi="仿宋" w:eastAsia="仿宋" w:cs="仿宋"/>
          <w:color w:val="000000" w:themeColor="text1"/>
          <w:sz w:val="21"/>
          <w:szCs w:val="21"/>
          <w:highlight w:val="none"/>
          <w:u w:val="single"/>
          <w14:textFill>
            <w14:solidFill>
              <w14:schemeClr w14:val="tx1"/>
            </w14:solidFill>
          </w14:textFill>
        </w:rPr>
        <w:t>（姓名、职务）</w:t>
      </w:r>
      <w:r>
        <w:rPr>
          <w:rFonts w:hint="eastAsia" w:ascii="仿宋" w:hAnsi="仿宋" w:eastAsia="仿宋" w:cs="仿宋"/>
          <w:color w:val="000000" w:themeColor="text1"/>
          <w:sz w:val="21"/>
          <w:szCs w:val="21"/>
          <w:highlight w:val="none"/>
          <w14:textFill>
            <w14:solidFill>
              <w14:schemeClr w14:val="tx1"/>
            </w14:solidFill>
          </w14:textFill>
        </w:rPr>
        <w:t>，代表本公司委托在下面签字的</w:t>
      </w:r>
      <w:r>
        <w:rPr>
          <w:rFonts w:hint="eastAsia" w:ascii="仿宋" w:hAnsi="仿宋" w:eastAsia="仿宋" w:cs="仿宋"/>
          <w:color w:val="000000" w:themeColor="text1"/>
          <w:sz w:val="21"/>
          <w:szCs w:val="21"/>
          <w:highlight w:val="none"/>
          <w:u w:val="single"/>
          <w14:textFill>
            <w14:solidFill>
              <w14:schemeClr w14:val="tx1"/>
            </w14:solidFill>
          </w14:textFill>
        </w:rPr>
        <w:t>（被授权人的姓名、职务）</w:t>
      </w:r>
      <w:r>
        <w:rPr>
          <w:rFonts w:hint="eastAsia" w:ascii="仿宋" w:hAnsi="仿宋" w:eastAsia="仿宋" w:cs="仿宋"/>
          <w:color w:val="000000" w:themeColor="text1"/>
          <w:sz w:val="21"/>
          <w:szCs w:val="21"/>
          <w:highlight w:val="none"/>
          <w14:textFill>
            <w14:solidFill>
              <w14:schemeClr w14:val="tx1"/>
            </w14:solidFill>
          </w14:textFill>
        </w:rPr>
        <w:t>为本公司的合法代理人，就</w:t>
      </w:r>
      <w:r>
        <w:rPr>
          <w:rFonts w:hint="eastAsia" w:ascii="仿宋" w:hAnsi="仿宋" w:eastAsia="仿宋" w:cs="仿宋"/>
          <w:color w:val="000000" w:themeColor="text1"/>
          <w:sz w:val="21"/>
          <w:szCs w:val="21"/>
          <w:highlight w:val="none"/>
          <w:u w:val="single"/>
          <w14:textFill>
            <w14:solidFill>
              <w14:schemeClr w14:val="tx1"/>
            </w14:solidFill>
          </w14:textFill>
        </w:rPr>
        <w:t>（项目名称）</w:t>
      </w:r>
      <w:r>
        <w:rPr>
          <w:rFonts w:hint="eastAsia" w:ascii="仿宋" w:hAnsi="仿宋" w:eastAsia="仿宋" w:cs="仿宋"/>
          <w:color w:val="000000" w:themeColor="text1"/>
          <w:sz w:val="21"/>
          <w:szCs w:val="21"/>
          <w:highlight w:val="none"/>
          <w14:textFill>
            <w14:solidFill>
              <w14:schemeClr w14:val="tx1"/>
            </w14:solidFill>
          </w14:textFill>
        </w:rPr>
        <w:t>的投标，以本公司的名义处理一切与之有关的事务。</w:t>
      </w:r>
    </w:p>
    <w:p>
      <w:pPr>
        <w:tabs>
          <w:tab w:val="left" w:pos="1662"/>
        </w:tabs>
        <w:spacing w:before="113" w:line="400" w:lineRule="exact"/>
        <w:ind w:left="154"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本授权书于 20    年   月  日签字生效，代理人无转委托权，特此声明。</w:t>
      </w:r>
    </w:p>
    <w:p>
      <w:pPr>
        <w:tabs>
          <w:tab w:val="left" w:pos="1662"/>
        </w:tabs>
        <w:spacing w:before="113" w:line="400" w:lineRule="exact"/>
        <w:ind w:left="154"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附：法定代表人及委托代理人的身份证复印件</w:t>
      </w:r>
    </w:p>
    <w:tbl>
      <w:tblPr>
        <w:tblStyle w:val="25"/>
        <w:tblW w:w="9418"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9"/>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2"/>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2"/>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（法定代表人身份证正面）</w:t>
            </w:r>
          </w:p>
        </w:tc>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2"/>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2"/>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2"/>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2"/>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（法定代理人身份证正面）</w:t>
            </w:r>
          </w:p>
        </w:tc>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2"/>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2"/>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（法定代理人身份证反面）</w:t>
            </w:r>
          </w:p>
        </w:tc>
      </w:tr>
    </w:tbl>
    <w:p>
      <w:pPr>
        <w:tabs>
          <w:tab w:val="left" w:pos="1662"/>
        </w:tabs>
        <w:spacing w:before="113" w:line="400" w:lineRule="exact"/>
        <w:ind w:left="154"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(盖单位章) </w:t>
      </w:r>
    </w:p>
    <w:p>
      <w:pPr>
        <w:tabs>
          <w:tab w:val="left" w:pos="1662"/>
        </w:tabs>
        <w:spacing w:before="113" w:line="400" w:lineRule="exact"/>
        <w:ind w:left="154"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法定代表人签字</w:t>
      </w:r>
      <w:r>
        <w:rPr>
          <w:rFonts w:hint="eastAsia" w:ascii="仿宋" w:hAnsi="仿宋" w:eastAsia="仿宋" w:cs="仿宋"/>
          <w:color w:val="000000" w:themeColor="text1"/>
          <w:sz w:val="21"/>
          <w:szCs w:val="21"/>
          <w:highlight w:val="none"/>
          <w:lang w:val="en-US"/>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54" w:leftChars="64"/>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身份证号码：</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54"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委托代理人签字：</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tabs>
          <w:tab w:val="left" w:pos="1662"/>
        </w:tabs>
        <w:spacing w:before="113" w:line="400" w:lineRule="exact"/>
        <w:ind w:left="154" w:leftChars="64"/>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身份证号码：</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54"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授权日期：20    年      月   日</w:t>
      </w:r>
    </w:p>
    <w:p>
      <w:pPr>
        <w:tabs>
          <w:tab w:val="left" w:pos="1662"/>
        </w:tabs>
        <w:spacing w:before="113" w:line="360" w:lineRule="auto"/>
        <w:ind w:left="576" w:leftChars="64" w:hanging="422" w:hanging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注：1.法定代表人签字必须是亲笔签名，盖章无效。</w:t>
      </w:r>
    </w:p>
    <w:p>
      <w:pPr>
        <w:numPr>
          <w:ilvl w:val="0"/>
          <w:numId w:val="4"/>
        </w:numPr>
        <w:tabs>
          <w:tab w:val="left" w:pos="1662"/>
        </w:tabs>
        <w:spacing w:before="113" w:line="360" w:lineRule="auto"/>
        <w:ind w:left="154" w:leftChars="64"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投标人的委托代理人作为公司的代表前来参加投标的投标人，须提供委托人</w:t>
      </w:r>
      <w:r>
        <w:rPr>
          <w:rFonts w:hint="eastAsia" w:ascii="仿宋" w:hAnsi="仿宋" w:eastAsia="仿宋" w:cs="仿宋"/>
          <w:b/>
          <w:color w:val="000000" w:themeColor="text1"/>
          <w:sz w:val="21"/>
          <w:szCs w:val="21"/>
          <w:highlight w:val="none"/>
          <w:lang w:eastAsia="zh-CN"/>
          <w14:textFill>
            <w14:solidFill>
              <w14:schemeClr w14:val="tx1"/>
            </w14:solidFill>
          </w14:textFill>
        </w:rPr>
        <w:t>近三个月的社保缴费证明及社保局出具的个人缴费明细</w:t>
      </w:r>
    </w:p>
    <w:p>
      <w:pPr>
        <w:tabs>
          <w:tab w:val="left" w:pos="1662"/>
        </w:tabs>
        <w:spacing w:before="113" w:line="360" w:lineRule="auto"/>
        <w:ind w:left="154" w:leftChars="64" w:firstLine="1"/>
        <w:rPr>
          <w:rFonts w:hint="eastAsia" w:ascii="仿宋" w:hAnsi="仿宋" w:eastAsia="仿宋" w:cs="仿宋"/>
          <w:color w:val="000000" w:themeColor="text1"/>
          <w:sz w:val="28"/>
          <w:szCs w:val="28"/>
          <w:highlight w:val="none"/>
          <w14:textFill>
            <w14:solidFill>
              <w14:schemeClr w14:val="tx1"/>
            </w14:solidFill>
          </w14:textFill>
        </w:rPr>
      </w:pPr>
    </w:p>
    <w:p>
      <w:pPr>
        <w:pStyle w:val="24"/>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24"/>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24"/>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12"/>
        <w:spacing w:line="360" w:lineRule="auto"/>
        <w:ind w:left="53" w:leftChars="22" w:firstLine="560" w:firstLineChars="20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13" w:name="_Toc13273"/>
      <w:bookmarkStart w:id="114" w:name="_Toc8055"/>
      <w:bookmarkStart w:id="115" w:name="_Toc656"/>
      <w:bookmarkStart w:id="116" w:name="_Toc2749"/>
      <w:bookmarkStart w:id="117" w:name="_Toc22526"/>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七</w:t>
      </w:r>
      <w:r>
        <w:rPr>
          <w:rFonts w:hint="eastAsia" w:ascii="仿宋" w:hAnsi="仿宋" w:eastAsia="仿宋" w:cs="仿宋"/>
          <w:color w:val="000000" w:themeColor="text1"/>
          <w:sz w:val="28"/>
          <w:szCs w:val="28"/>
          <w:highlight w:val="none"/>
          <w14:textFill>
            <w14:solidFill>
              <w14:schemeClr w14:val="tx1"/>
            </w14:solidFill>
          </w14:textFill>
        </w:rPr>
        <w:t>）投标单位反商业贿赂承诺书</w:t>
      </w:r>
      <w:bookmarkEnd w:id="113"/>
      <w:bookmarkEnd w:id="114"/>
      <w:bookmarkEnd w:id="115"/>
      <w:bookmarkEnd w:id="116"/>
      <w:bookmarkEnd w:id="117"/>
    </w:p>
    <w:p>
      <w:pPr>
        <w:pStyle w:val="12"/>
        <w:spacing w:line="360" w:lineRule="auto"/>
        <w:ind w:left="53"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承诺书（1）</w:t>
      </w:r>
    </w:p>
    <w:p>
      <w:pPr>
        <w:pStyle w:val="12"/>
        <w:spacing w:line="480" w:lineRule="auto"/>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我公司承诺在</w:t>
      </w:r>
      <w:r>
        <w:rPr>
          <w:rFonts w:hint="eastAsia" w:ascii="仿宋" w:hAnsi="仿宋" w:eastAsia="仿宋" w:cs="仿宋"/>
          <w:color w:val="000000" w:themeColor="text1"/>
          <w:sz w:val="21"/>
          <w:szCs w:val="21"/>
          <w:highlight w:val="none"/>
          <w:u w:val="single"/>
          <w14:textFill>
            <w14:solidFill>
              <w14:schemeClr w14:val="tx1"/>
            </w14:solidFill>
          </w14:textFill>
        </w:rPr>
        <w:t>（项目编号、项目名称）</w:t>
      </w:r>
      <w:r>
        <w:rPr>
          <w:rFonts w:hint="eastAsia" w:ascii="仿宋" w:hAnsi="仿宋" w:eastAsia="仿宋" w:cs="仿宋"/>
          <w:color w:val="000000" w:themeColor="text1"/>
          <w:sz w:val="21"/>
          <w:szCs w:val="21"/>
          <w:highlight w:val="none"/>
          <w14:textFill>
            <w14:solidFill>
              <w14:schemeClr w14:val="tx1"/>
            </w14:solidFill>
          </w14:textFill>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2"/>
        <w:spacing w:line="480" w:lineRule="auto"/>
        <w:ind w:left="53" w:leftChars="22" w:right="2240" w:firstLine="420" w:firstLineChars="200"/>
        <w:jc w:val="righ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投标单位：（盖章）     </w:t>
      </w:r>
    </w:p>
    <w:p>
      <w:pPr>
        <w:pStyle w:val="12"/>
        <w:spacing w:line="360" w:lineRule="auto"/>
        <w:ind w:left="53" w:leftChars="22" w:firstLine="420" w:firstLineChars="200"/>
        <w:jc w:val="righ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法定代表人或授权代理人：（</w:t>
      </w:r>
      <w:r>
        <w:rPr>
          <w:rFonts w:hint="eastAsia" w:ascii="仿宋" w:hAnsi="仿宋" w:eastAsia="仿宋" w:cs="仿宋"/>
          <w:color w:val="000000" w:themeColor="text1"/>
          <w:sz w:val="21"/>
          <w:szCs w:val="21"/>
          <w:highlight w:val="none"/>
          <w:lang w:val="en-US" w:eastAsia="zh-CN"/>
          <w14:textFill>
            <w14:solidFill>
              <w14:schemeClr w14:val="tx1"/>
            </w14:solidFill>
          </w14:textFill>
        </w:rPr>
        <w:t>签字或盖章</w:t>
      </w:r>
      <w:r>
        <w:rPr>
          <w:rFonts w:hint="eastAsia" w:ascii="仿宋" w:hAnsi="仿宋" w:eastAsia="仿宋" w:cs="仿宋"/>
          <w:color w:val="000000" w:themeColor="text1"/>
          <w:sz w:val="21"/>
          <w:szCs w:val="21"/>
          <w:highlight w:val="none"/>
          <w14:textFill>
            <w14:solidFill>
              <w14:schemeClr w14:val="tx1"/>
            </w14:solidFill>
          </w14:textFill>
        </w:rPr>
        <w:t>）</w:t>
      </w:r>
    </w:p>
    <w:p>
      <w:pPr>
        <w:pStyle w:val="12"/>
        <w:spacing w:line="360" w:lineRule="auto"/>
        <w:ind w:left="53" w:leftChars="22" w:right="2240" w:firstLine="420" w:firstLineChars="20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年  月  日</w:t>
      </w:r>
    </w:p>
    <w:p>
      <w:pPr>
        <w:pStyle w:val="12"/>
        <w:spacing w:line="360" w:lineRule="auto"/>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12"/>
        <w:spacing w:line="360" w:lineRule="auto"/>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12"/>
        <w:spacing w:line="360" w:lineRule="auto"/>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12"/>
        <w:spacing w:line="360" w:lineRule="auto"/>
        <w:ind w:left="53"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2"/>
        <w:spacing w:line="360" w:lineRule="auto"/>
        <w:ind w:left="53"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承诺书（2）</w:t>
      </w:r>
    </w:p>
    <w:p>
      <w:pPr>
        <w:pStyle w:val="12"/>
        <w:spacing w:line="400" w:lineRule="exact"/>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我公司承诺在参加本次</w:t>
      </w:r>
      <w:r>
        <w:rPr>
          <w:rFonts w:hint="eastAsia" w:ascii="仿宋" w:hAnsi="仿宋" w:eastAsia="仿宋" w:cs="仿宋"/>
          <w:color w:val="000000" w:themeColor="text1"/>
          <w:sz w:val="21"/>
          <w:szCs w:val="21"/>
          <w:highlight w:val="none"/>
          <w:u w:val="single"/>
          <w14:textFill>
            <w14:solidFill>
              <w14:schemeClr w14:val="tx1"/>
            </w14:solidFill>
          </w14:textFill>
        </w:rPr>
        <w:t>（项目编号、项目名称）</w:t>
      </w:r>
      <w:r>
        <w:rPr>
          <w:rFonts w:hint="eastAsia" w:ascii="仿宋" w:hAnsi="仿宋" w:eastAsia="仿宋" w:cs="仿宋"/>
          <w:color w:val="000000" w:themeColor="text1"/>
          <w:sz w:val="21"/>
          <w:szCs w:val="21"/>
          <w:highlight w:val="none"/>
          <w14:textFill>
            <w14:solidFill>
              <w14:schemeClr w14:val="tx1"/>
            </w14:solidFill>
          </w14:textFill>
        </w:rPr>
        <w:t xml:space="preserve">投标前三年内，无以下行为： </w:t>
      </w:r>
    </w:p>
    <w:p>
      <w:pPr>
        <w:pStyle w:val="12"/>
        <w:spacing w:line="400" w:lineRule="exact"/>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重大违法行为；</w:t>
      </w:r>
    </w:p>
    <w:p>
      <w:pPr>
        <w:pStyle w:val="12"/>
        <w:spacing w:line="400" w:lineRule="exact"/>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商业贿赂行为；</w:t>
      </w:r>
    </w:p>
    <w:p>
      <w:pPr>
        <w:pStyle w:val="12"/>
        <w:spacing w:line="400" w:lineRule="exact"/>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政府采购法《第七十七条》，列入不良行为记录名单的各种行为；</w:t>
      </w:r>
    </w:p>
    <w:p>
      <w:pPr>
        <w:pStyle w:val="12"/>
        <w:spacing w:line="400" w:lineRule="exact"/>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如有上述行为，我公司及项目参与人员自愿放弃本次项目的投标、报价资格，若为预中标、成交人，也自愿放弃中标、成交资格。</w:t>
      </w:r>
    </w:p>
    <w:p>
      <w:pPr>
        <w:pStyle w:val="12"/>
        <w:spacing w:line="400" w:lineRule="exact"/>
        <w:ind w:left="53" w:leftChars="22" w:firstLine="3150" w:firstLineChars="15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投标单位：（盖章）</w:t>
      </w:r>
    </w:p>
    <w:p>
      <w:pPr>
        <w:pStyle w:val="12"/>
        <w:spacing w:line="400" w:lineRule="exact"/>
        <w:ind w:left="53" w:leftChars="22" w:firstLine="3150" w:firstLineChars="15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法定代表人或授权代理人：（</w:t>
      </w:r>
      <w:r>
        <w:rPr>
          <w:rFonts w:hint="eastAsia" w:ascii="仿宋" w:hAnsi="仿宋" w:eastAsia="仿宋" w:cs="仿宋"/>
          <w:color w:val="000000" w:themeColor="text1"/>
          <w:sz w:val="21"/>
          <w:szCs w:val="21"/>
          <w:highlight w:val="none"/>
          <w:lang w:val="en-US" w:eastAsia="zh-CN"/>
          <w14:textFill>
            <w14:solidFill>
              <w14:schemeClr w14:val="tx1"/>
            </w14:solidFill>
          </w14:textFill>
        </w:rPr>
        <w:t>签字或盖章</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pStyle w:val="12"/>
        <w:spacing w:line="400" w:lineRule="exact"/>
        <w:ind w:left="53" w:leftChars="22" w:firstLine="3780" w:firstLineChars="18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年  月  日</w:t>
      </w:r>
    </w:p>
    <w:p>
      <w:pPr>
        <w:tabs>
          <w:tab w:val="left" w:pos="1662"/>
        </w:tabs>
        <w:spacing w:before="113"/>
        <w:ind w:left="154"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ind w:left="154"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spacing w:line="400" w:lineRule="exact"/>
        <w:jc w:val="center"/>
        <w:outlineLvl w:val="0"/>
        <w:rPr>
          <w:rFonts w:hint="eastAsia" w:ascii="仿宋" w:hAnsi="仿宋" w:eastAsia="仿宋" w:cs="仿宋"/>
          <w:b/>
          <w:bCs/>
          <w:color w:val="000000" w:themeColor="text1"/>
          <w:sz w:val="28"/>
          <w:szCs w:val="28"/>
          <w:highlight w:val="none"/>
          <w14:textFill>
            <w14:solidFill>
              <w14:schemeClr w14:val="tx1"/>
            </w14:solidFill>
          </w14:textFill>
        </w:rPr>
      </w:pPr>
      <w:bookmarkStart w:id="118" w:name="_Toc8815"/>
      <w:bookmarkStart w:id="119" w:name="_Toc23683"/>
      <w:bookmarkStart w:id="120" w:name="_Toc10784"/>
      <w:bookmarkStart w:id="121" w:name="_Toc17833"/>
      <w:bookmarkStart w:id="122" w:name="_Toc9996"/>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（八）</w:t>
      </w:r>
      <w:r>
        <w:rPr>
          <w:rFonts w:hint="eastAsia" w:ascii="仿宋" w:hAnsi="仿宋" w:eastAsia="仿宋" w:cs="仿宋"/>
          <w:color w:val="000000" w:themeColor="text1"/>
          <w:kern w:val="0"/>
          <w:sz w:val="28"/>
          <w:szCs w:val="28"/>
          <w:highlight w:val="none"/>
          <w:lang w:val="zh-CN" w:eastAsia="zh-CN" w:bidi="ar-SA"/>
          <w14:textFill>
            <w14:solidFill>
              <w14:schemeClr w14:val="tx1"/>
            </w14:solidFill>
          </w14:textFill>
        </w:rPr>
        <w:t>节能、环保产品证明（如有）</w:t>
      </w:r>
      <w:bookmarkEnd w:id="118"/>
      <w:bookmarkEnd w:id="119"/>
      <w:bookmarkEnd w:id="120"/>
      <w:bookmarkEnd w:id="121"/>
      <w:bookmarkEnd w:id="122"/>
    </w:p>
    <w:p>
      <w:pPr>
        <w:spacing w:line="400" w:lineRule="exact"/>
        <w:rPr>
          <w:rFonts w:hint="eastAsia" w:ascii="仿宋" w:hAnsi="仿宋" w:eastAsia="仿宋" w:cs="仿宋"/>
          <w:b/>
          <w:bCs/>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Cs w:val="21"/>
          <w:highlight w:val="none"/>
          <w14:textFill>
            <w14:solidFill>
              <w14:schemeClr w14:val="tx1"/>
            </w14:solidFill>
          </w14:textFill>
        </w:rPr>
      </w:pP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采购人名称          </w:t>
      </w:r>
      <w:r>
        <w:rPr>
          <w:rFonts w:hint="eastAsia" w:ascii="仿宋" w:hAnsi="仿宋" w:eastAsia="仿宋" w:cs="仿宋"/>
          <w:color w:val="000000" w:themeColor="text1"/>
          <w:sz w:val="21"/>
          <w:szCs w:val="21"/>
          <w:highlight w:val="none"/>
          <w14:textFill>
            <w14:solidFill>
              <w14:schemeClr w14:val="tx1"/>
            </w14:solidFill>
          </w14:textFill>
        </w:rPr>
        <w:t>：</w:t>
      </w: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现附上</w:t>
      </w:r>
      <w:r>
        <w:rPr>
          <w:rFonts w:hint="eastAsia" w:ascii="仿宋" w:hAnsi="仿宋" w:eastAsia="仿宋" w:cs="仿宋"/>
          <w:color w:val="000000" w:themeColor="text1"/>
          <w:sz w:val="21"/>
          <w:szCs w:val="21"/>
          <w:highlight w:val="none"/>
          <w:u w:val="single"/>
          <w14:textFill>
            <w14:solidFill>
              <w14:schemeClr w14:val="tx1"/>
            </w14:solidFill>
          </w14:textFill>
        </w:rPr>
        <w:t xml:space="preserve">         （节能、环保产品产品目录）         </w:t>
      </w:r>
      <w:r>
        <w:rPr>
          <w:rFonts w:hint="eastAsia" w:ascii="仿宋" w:hAnsi="仿宋" w:eastAsia="仿宋" w:cs="仿宋"/>
          <w:color w:val="000000" w:themeColor="text1"/>
          <w:sz w:val="21"/>
          <w:szCs w:val="21"/>
          <w:highlight w:val="none"/>
          <w14:textFill>
            <w14:solidFill>
              <w14:schemeClr w14:val="tx1"/>
            </w14:solidFill>
          </w14:textFill>
        </w:rPr>
        <w:t>证明文件（可在</w:t>
      </w:r>
      <w:r>
        <w:rPr>
          <w:rFonts w:hint="eastAsia" w:ascii="仿宋" w:hAnsi="仿宋" w:eastAsia="仿宋" w:cs="仿宋"/>
          <w:color w:val="000000" w:themeColor="text1"/>
          <w:sz w:val="21"/>
          <w:szCs w:val="21"/>
          <w:highlight w:val="none"/>
          <w:u w:val="single"/>
          <w14:textFill>
            <w14:solidFill>
              <w14:schemeClr w14:val="tx1"/>
            </w14:solidFill>
          </w14:textFill>
        </w:rPr>
        <w:t xml:space="preserve"> 网站名称 </w:t>
      </w:r>
      <w:r>
        <w:rPr>
          <w:rFonts w:hint="eastAsia" w:ascii="仿宋" w:hAnsi="仿宋" w:eastAsia="仿宋" w:cs="仿宋"/>
          <w:color w:val="000000" w:themeColor="text1"/>
          <w:sz w:val="21"/>
          <w:szCs w:val="21"/>
          <w:highlight w:val="none"/>
          <w14:textFill>
            <w14:solidFill>
              <w14:schemeClr w14:val="tx1"/>
            </w14:solidFill>
          </w14:textFill>
        </w:rPr>
        <w:t>网站进行查询）复印件，该证件真实有效。</w:t>
      </w: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pStyle w:val="9"/>
        <w:spacing w:line="400" w:lineRule="exact"/>
        <w:ind w:firstLine="42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spacing w:line="40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before="100" w:beforeAutospacing="1" w:after="100" w:afterAutospacing="1" w:line="380" w:lineRule="exact"/>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投标单位：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（单位公章）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法定代表人或授权代表人（签字</w:t>
      </w:r>
      <w:r>
        <w:rPr>
          <w:rFonts w:hint="eastAsia" w:ascii="仿宋" w:hAnsi="仿宋" w:eastAsia="仿宋" w:cs="仿宋"/>
          <w:color w:val="000000" w:themeColor="text1"/>
          <w:sz w:val="21"/>
          <w:szCs w:val="21"/>
          <w:highlight w:val="none"/>
          <w:lang w:val="en-US" w:eastAsia="zh-CN"/>
          <w14:textFill>
            <w14:solidFill>
              <w14:schemeClr w14:val="tx1"/>
            </w14:solidFill>
          </w14:textFill>
        </w:rPr>
        <w:t>或盖章</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日期：   年   月   日</w:t>
      </w:r>
    </w:p>
    <w:p>
      <w:pPr>
        <w:jc w:val="both"/>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jc w:val="center"/>
        <w:outlineLvl w:val="0"/>
        <w:rPr>
          <w:rFonts w:hint="eastAsia" w:ascii="仿宋" w:hAnsi="仿宋" w:eastAsia="仿宋" w:cs="仿宋"/>
          <w:b/>
          <w:bCs/>
          <w:color w:val="000000" w:themeColor="text1"/>
          <w:sz w:val="28"/>
          <w:szCs w:val="28"/>
          <w:highlight w:val="none"/>
          <w14:textFill>
            <w14:solidFill>
              <w14:schemeClr w14:val="tx1"/>
            </w14:solidFill>
          </w14:textFill>
        </w:rPr>
      </w:pPr>
      <w:bookmarkStart w:id="123" w:name="_Toc24878"/>
      <w:bookmarkStart w:id="124" w:name="_Toc8722"/>
      <w:bookmarkStart w:id="125" w:name="_Toc13195"/>
      <w:bookmarkStart w:id="126" w:name="_Toc5125"/>
      <w:bookmarkStart w:id="127" w:name="_Toc30006"/>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（九）</w:t>
      </w:r>
      <w:r>
        <w:rPr>
          <w:rFonts w:hint="eastAsia" w:ascii="仿宋" w:hAnsi="仿宋" w:eastAsia="仿宋" w:cs="仿宋"/>
          <w:color w:val="000000" w:themeColor="text1"/>
          <w:kern w:val="0"/>
          <w:sz w:val="28"/>
          <w:szCs w:val="28"/>
          <w:highlight w:val="none"/>
          <w:lang w:val="zh-CN" w:eastAsia="zh-CN" w:bidi="ar-SA"/>
          <w14:textFill>
            <w14:solidFill>
              <w14:schemeClr w14:val="tx1"/>
            </w14:solidFill>
          </w14:textFill>
        </w:rPr>
        <w:t>中小企业声明函（如是）</w:t>
      </w:r>
      <w:bookmarkEnd w:id="123"/>
      <w:bookmarkEnd w:id="124"/>
      <w:bookmarkEnd w:id="125"/>
      <w:bookmarkEnd w:id="126"/>
      <w:bookmarkEnd w:id="127"/>
    </w:p>
    <w:p>
      <w:pPr>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本公司郑重声明，根据《政府采购促进中小企业发展暂行办法》（财库〔2011〕181号）的规定，本公司为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（请填写：中型、小型、微型）企业。即本公司同时满足以下条件：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2、本公司参加</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单位的</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项目采购活动提供本企业制造的货物，由本企业承担工程、提供服务，或者提供其他</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（请填写：中型、小型、微型）企业制造的货物。本条所称货物不包括使用大型企业注册商标的货物。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本公司对上述声明的真实性负责。如有虚假，将依法承担相应责任。</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p>
      <w:pPr>
        <w:spacing w:line="560" w:lineRule="atLeast"/>
        <w:rPr>
          <w:rFonts w:hint="eastAsia" w:ascii="仿宋" w:hAnsi="仿宋" w:eastAsia="仿宋" w:cs="仿宋"/>
          <w:color w:val="000000" w:themeColor="text1"/>
          <w:sz w:val="21"/>
          <w:szCs w:val="21"/>
          <w:highlight w:val="none"/>
          <w14:textFill>
            <w14:solidFill>
              <w14:schemeClr w14:val="tx1"/>
            </w14:solidFill>
          </w14:textFill>
        </w:rPr>
      </w:pPr>
    </w:p>
    <w:p>
      <w:pPr>
        <w:spacing w:before="100" w:beforeAutospacing="1" w:after="100" w:afterAutospacing="1" w:line="380" w:lineRule="exact"/>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投标单位：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（单位公章）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法定代表人或授权代表人（</w:t>
      </w:r>
      <w:r>
        <w:rPr>
          <w:rFonts w:hint="eastAsia" w:ascii="仿宋" w:hAnsi="仿宋" w:eastAsia="仿宋" w:cs="仿宋"/>
          <w:color w:val="000000" w:themeColor="text1"/>
          <w:sz w:val="21"/>
          <w:szCs w:val="21"/>
          <w:highlight w:val="none"/>
          <w:lang w:val="en-US" w:eastAsia="zh-CN"/>
          <w14:textFill>
            <w14:solidFill>
              <w14:schemeClr w14:val="tx1"/>
            </w14:solidFill>
          </w14:textFill>
        </w:rPr>
        <w:t>签字或盖章</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日期：   年   月   日</w:t>
      </w:r>
    </w:p>
    <w:p>
      <w:pPr>
        <w:jc w:val="center"/>
        <w:rPr>
          <w:rFonts w:hint="eastAsia" w:ascii="仿宋" w:hAnsi="仿宋" w:eastAsia="仿宋" w:cs="仿宋"/>
          <w:b/>
          <w:bCs/>
          <w:color w:val="000000" w:themeColor="text1"/>
          <w:sz w:val="21"/>
          <w:szCs w:val="21"/>
          <w:highlight w:val="none"/>
          <w14:textFill>
            <w14:solidFill>
              <w14:schemeClr w14:val="tx1"/>
            </w14:solidFill>
          </w14:textFill>
        </w:rPr>
      </w:pPr>
    </w:p>
    <w:p>
      <w:pPr>
        <w:pStyle w:val="9"/>
        <w:spacing w:line="400" w:lineRule="exact"/>
        <w:ind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注：根据《政府采购促进中小企业发展暂行办法》（财库〔2011〕181号）文的有关规定，投标人属于符合本办法第二条之规定的中小企业者，应在资格性文件中提供相关部门出具的资格证明材料，否则不予认可。</w:t>
      </w:r>
    </w:p>
    <w:p>
      <w:pPr>
        <w:tabs>
          <w:tab w:val="left" w:pos="1662"/>
        </w:tabs>
        <w:spacing w:before="113"/>
        <w:ind w:left="154"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54"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54"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54" w:leftChars="64"/>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28" w:name="_Toc14569"/>
      <w:bookmarkStart w:id="129" w:name="_Toc14418"/>
      <w:bookmarkStart w:id="130" w:name="_Toc3035"/>
      <w:bookmarkStart w:id="131" w:name="_Toc28089"/>
      <w:bookmarkStart w:id="132" w:name="_Toc20463"/>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14:textFill>
            <w14:solidFill>
              <w14:schemeClr w14:val="tx1"/>
            </w14:solidFill>
          </w14:textFill>
        </w:rPr>
        <w:t>）投标保证金</w:t>
      </w:r>
      <w:bookmarkEnd w:id="128"/>
      <w:bookmarkEnd w:id="129"/>
      <w:bookmarkEnd w:id="130"/>
      <w:bookmarkEnd w:id="131"/>
      <w:bookmarkEnd w:id="132"/>
    </w:p>
    <w:p>
      <w:pPr>
        <w:pStyle w:val="9"/>
        <w:spacing w:before="5"/>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w:t>
      </w:r>
      <w:r>
        <w:rPr>
          <w:rFonts w:hint="eastAsia" w:ascii="仿宋" w:hAnsi="仿宋" w:eastAsia="仿宋" w:cs="仿宋"/>
          <w:b/>
          <w:color w:val="000000" w:themeColor="text1"/>
          <w:sz w:val="24"/>
          <w:szCs w:val="24"/>
          <w:highlight w:val="none"/>
          <w:lang w:eastAsia="zh-CN"/>
          <w14:textFill>
            <w14:solidFill>
              <w14:schemeClr w14:val="tx1"/>
            </w14:solidFill>
          </w14:textFill>
        </w:rPr>
        <w:t>投标保证金电子回单</w:t>
      </w:r>
      <w:r>
        <w:rPr>
          <w:rFonts w:hint="eastAsia" w:ascii="仿宋" w:hAnsi="仿宋" w:eastAsia="仿宋" w:cs="仿宋"/>
          <w:b/>
          <w:color w:val="000000" w:themeColor="text1"/>
          <w:sz w:val="24"/>
          <w:szCs w:val="24"/>
          <w:highlight w:val="none"/>
          <w14:textFill>
            <w14:solidFill>
              <w14:schemeClr w14:val="tx1"/>
            </w14:solidFill>
          </w14:textFill>
        </w:rPr>
        <w:t>，同时在开标时，将</w:t>
      </w:r>
      <w:r>
        <w:rPr>
          <w:rFonts w:hint="eastAsia" w:ascii="仿宋" w:hAnsi="仿宋" w:eastAsia="仿宋" w:cs="仿宋"/>
          <w:b/>
          <w:color w:val="000000" w:themeColor="text1"/>
          <w:sz w:val="24"/>
          <w:szCs w:val="24"/>
          <w:highlight w:val="none"/>
          <w:lang w:eastAsia="zh-CN"/>
          <w14:textFill>
            <w14:solidFill>
              <w14:schemeClr w14:val="tx1"/>
            </w14:solidFill>
          </w14:textFill>
        </w:rPr>
        <w:t>投标保证金电子回单</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和收据原件</w:t>
      </w:r>
      <w:r>
        <w:rPr>
          <w:rFonts w:hint="eastAsia" w:ascii="仿宋" w:hAnsi="仿宋" w:eastAsia="仿宋" w:cs="仿宋"/>
          <w:b/>
          <w:color w:val="000000" w:themeColor="text1"/>
          <w:sz w:val="24"/>
          <w:szCs w:val="24"/>
          <w:highlight w:val="none"/>
          <w14:textFill>
            <w14:solidFill>
              <w14:schemeClr w14:val="tx1"/>
            </w14:solidFill>
          </w14:textFill>
        </w:rPr>
        <w:t>携带至开标现场以备查验，未提供后果自负。</w:t>
      </w:r>
    </w:p>
    <w:p>
      <w:pPr>
        <w:pStyle w:val="9"/>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33" w:name="_Toc31152"/>
      <w:bookmarkStart w:id="134" w:name="_Toc3163"/>
      <w:bookmarkStart w:id="135" w:name="_Toc22582"/>
      <w:bookmarkStart w:id="136" w:name="_Toc7295"/>
      <w:bookmarkStart w:id="137" w:name="_Toc3019"/>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）技术条款偏离表</w:t>
      </w:r>
      <w:bookmarkEnd w:id="133"/>
      <w:bookmarkEnd w:id="134"/>
      <w:bookmarkEnd w:id="135"/>
      <w:bookmarkEnd w:id="136"/>
      <w:bookmarkEnd w:id="137"/>
    </w:p>
    <w:p>
      <w:pPr>
        <w:wordWrap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项目名称：</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p>
    <w:p>
      <w:pPr>
        <w:pStyle w:val="16"/>
        <w:pBdr>
          <w:bottom w:val="none" w:color="auto" w:sz="0" w:space="0"/>
        </w:pBdr>
        <w:tabs>
          <w:tab w:val="clear" w:pos="4153"/>
          <w:tab w:val="clear" w:pos="8306"/>
        </w:tabs>
        <w:wordWrap w:val="0"/>
        <w:snapToGrid/>
        <w:spacing w:line="360" w:lineRule="auto"/>
        <w:jc w:val="both"/>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项目编号：</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p>
    <w:tbl>
      <w:tblPr>
        <w:tblStyle w:val="25"/>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341"/>
        <w:gridCol w:w="2924"/>
        <w:gridCol w:w="1285"/>
        <w:gridCol w:w="12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3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341"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招标文件规格要求条目号</w:t>
            </w:r>
          </w:p>
        </w:tc>
        <w:tc>
          <w:tcPr>
            <w:tcW w:w="2924" w:type="dxa"/>
            <w:noWrap w:val="0"/>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w:t>
            </w:r>
          </w:p>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规格要求</w:t>
            </w:r>
          </w:p>
        </w:tc>
        <w:tc>
          <w:tcPr>
            <w:tcW w:w="1285" w:type="dxa"/>
            <w:noWrap w:val="0"/>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w:t>
            </w:r>
            <w:r>
              <w:rPr>
                <w:rFonts w:hint="eastAsia" w:ascii="仿宋" w:hAnsi="仿宋" w:eastAsia="仿宋" w:cs="仿宋"/>
                <w:color w:val="000000" w:themeColor="text1"/>
                <w:sz w:val="24"/>
                <w:szCs w:val="24"/>
                <w:highlight w:val="none"/>
                <w:lang w:val="en-US"/>
                <w14:textFill>
                  <w14:solidFill>
                    <w14:schemeClr w14:val="tx1"/>
                  </w14:solidFill>
                </w14:textFill>
              </w:rPr>
              <w:t>文件</w:t>
            </w:r>
          </w:p>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规格要求</w:t>
            </w:r>
          </w:p>
        </w:tc>
        <w:tc>
          <w:tcPr>
            <w:tcW w:w="128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偏离</w:t>
            </w:r>
          </w:p>
        </w:tc>
        <w:tc>
          <w:tcPr>
            <w:tcW w:w="128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spacing w:line="360" w:lineRule="auto"/>
        <w:ind w:firstLine="570"/>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注：为使评标委员会准确理解及保证评审工作顺利进行，请供应商针对</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谈判</w:t>
      </w:r>
      <w:r>
        <w:rPr>
          <w:rFonts w:hint="eastAsia" w:ascii="仿宋" w:hAnsi="仿宋" w:eastAsia="仿宋" w:cs="仿宋"/>
          <w:b/>
          <w:bCs w:val="0"/>
          <w:color w:val="000000" w:themeColor="text1"/>
          <w:sz w:val="24"/>
          <w:szCs w:val="24"/>
          <w:highlight w:val="none"/>
          <w14:textFill>
            <w14:solidFill>
              <w14:schemeClr w14:val="tx1"/>
            </w14:solidFill>
          </w14:textFill>
        </w:rPr>
        <w:t>文件的要求，结合所供货物的实际性能、技术指标等逐条进行说明，说明货物或产品的实际响应程度。如简单的以“无偏离、完全响应”等类似表述，有可能给投标供应商带来的不利或导致投标被否决，将由供应商自行承担，敬请供应商注意！</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法定代表人或授权代表：</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签字或盖章</w:t>
      </w:r>
      <w:r>
        <w:rPr>
          <w:rFonts w:hint="eastAsia" w:ascii="仿宋" w:hAnsi="仿宋" w:eastAsia="仿宋" w:cs="仿宋"/>
          <w:bCs/>
          <w:color w:val="000000" w:themeColor="text1"/>
          <w:sz w:val="24"/>
          <w:szCs w:val="24"/>
          <w:highlight w:val="none"/>
          <w14:textFill>
            <w14:solidFill>
              <w14:schemeClr w14:val="tx1"/>
            </w14:solidFill>
          </w14:textFill>
        </w:rPr>
        <w:t>)</w:t>
      </w:r>
    </w:p>
    <w:p>
      <w:pPr>
        <w:pStyle w:val="12"/>
        <w:spacing w:line="360" w:lineRule="auto"/>
        <w:ind w:left="960" w:leftChars="300" w:right="720" w:hanging="240" w:hanging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投标日期：20   年   月   日</w:t>
      </w:r>
    </w:p>
    <w:p>
      <w:pPr>
        <w:pStyle w:val="9"/>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54" w:leftChars="64" w:firstLine="560" w:firstLineChars="20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38" w:name="_Toc15718"/>
      <w:bookmarkStart w:id="139" w:name="_Toc18404"/>
      <w:bookmarkStart w:id="140" w:name="_Toc2051"/>
      <w:bookmarkStart w:id="141" w:name="_Toc28496"/>
      <w:bookmarkStart w:id="142" w:name="_Toc23781"/>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）投标人基本情况表</w:t>
      </w:r>
      <w:bookmarkEnd w:id="138"/>
      <w:bookmarkEnd w:id="139"/>
      <w:bookmarkEnd w:id="140"/>
      <w:bookmarkEnd w:id="141"/>
      <w:bookmarkEnd w:id="142"/>
    </w:p>
    <w:tbl>
      <w:tblPr>
        <w:tblStyle w:val="25"/>
        <w:tblW w:w="9223"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8"/>
        <w:gridCol w:w="3586"/>
        <w:gridCol w:w="1739"/>
        <w:gridCol w:w="1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2168" w:type="dxa"/>
            <w:noWrap w:val="0"/>
            <w:vAlign w:val="top"/>
          </w:tcPr>
          <w:p>
            <w:pPr>
              <w:pStyle w:val="47"/>
              <w:spacing w:before="118"/>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企业注册名称</w:t>
            </w:r>
          </w:p>
        </w:tc>
        <w:tc>
          <w:tcPr>
            <w:tcW w:w="3586" w:type="dxa"/>
            <w:noWrap w:val="0"/>
            <w:vAlign w:val="top"/>
          </w:tcPr>
          <w:p>
            <w:pPr>
              <w:pStyle w:val="4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47"/>
              <w:spacing w:before="118"/>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建立日期</w:t>
            </w:r>
          </w:p>
        </w:tc>
        <w:tc>
          <w:tcPr>
            <w:tcW w:w="1730" w:type="dxa"/>
            <w:noWrap w:val="0"/>
            <w:vAlign w:val="top"/>
          </w:tcPr>
          <w:p>
            <w:pPr>
              <w:pStyle w:val="4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47"/>
              <w:spacing w:before="119"/>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企业详细地址</w:t>
            </w:r>
          </w:p>
        </w:tc>
        <w:tc>
          <w:tcPr>
            <w:tcW w:w="3586" w:type="dxa"/>
            <w:noWrap w:val="0"/>
            <w:vAlign w:val="top"/>
          </w:tcPr>
          <w:p>
            <w:pPr>
              <w:pStyle w:val="4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47"/>
              <w:spacing w:before="119"/>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企业性质</w:t>
            </w:r>
          </w:p>
        </w:tc>
        <w:tc>
          <w:tcPr>
            <w:tcW w:w="1730" w:type="dxa"/>
            <w:noWrap w:val="0"/>
            <w:vAlign w:val="top"/>
          </w:tcPr>
          <w:p>
            <w:pPr>
              <w:pStyle w:val="4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2168" w:type="dxa"/>
            <w:noWrap w:val="0"/>
            <w:vAlign w:val="top"/>
          </w:tcPr>
          <w:p>
            <w:pPr>
              <w:pStyle w:val="47"/>
              <w:spacing w:before="120"/>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企业法人代表</w:t>
            </w:r>
          </w:p>
        </w:tc>
        <w:tc>
          <w:tcPr>
            <w:tcW w:w="3586" w:type="dxa"/>
            <w:noWrap w:val="0"/>
            <w:vAlign w:val="top"/>
          </w:tcPr>
          <w:p>
            <w:pPr>
              <w:pStyle w:val="4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47"/>
              <w:spacing w:before="120"/>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技术负责人</w:t>
            </w:r>
          </w:p>
        </w:tc>
        <w:tc>
          <w:tcPr>
            <w:tcW w:w="1730" w:type="dxa"/>
            <w:noWrap w:val="0"/>
            <w:vAlign w:val="top"/>
          </w:tcPr>
          <w:p>
            <w:pPr>
              <w:pStyle w:val="4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2168" w:type="dxa"/>
            <w:noWrap w:val="0"/>
            <w:vAlign w:val="top"/>
          </w:tcPr>
          <w:p>
            <w:pPr>
              <w:pStyle w:val="47"/>
              <w:spacing w:before="118"/>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联系人</w:t>
            </w:r>
          </w:p>
        </w:tc>
        <w:tc>
          <w:tcPr>
            <w:tcW w:w="3586" w:type="dxa"/>
            <w:noWrap w:val="0"/>
            <w:vAlign w:val="top"/>
          </w:tcPr>
          <w:p>
            <w:pPr>
              <w:pStyle w:val="4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47"/>
              <w:spacing w:before="118"/>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联系电话</w:t>
            </w:r>
          </w:p>
        </w:tc>
        <w:tc>
          <w:tcPr>
            <w:tcW w:w="1730" w:type="dxa"/>
            <w:noWrap w:val="0"/>
            <w:vAlign w:val="top"/>
          </w:tcPr>
          <w:p>
            <w:pPr>
              <w:pStyle w:val="4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2168" w:type="dxa"/>
            <w:noWrap w:val="0"/>
            <w:vAlign w:val="top"/>
          </w:tcPr>
          <w:p>
            <w:pPr>
              <w:pStyle w:val="47"/>
              <w:spacing w:before="119"/>
              <w:ind w:left="92" w:right="85"/>
              <w:jc w:val="center"/>
              <w:rPr>
                <w:rFonts w:hint="eastAsia" w:ascii="仿宋" w:hAnsi="仿宋" w:eastAsia="仿宋" w:cs="仿宋"/>
                <w:color w:val="000000" w:themeColor="text1"/>
                <w:sz w:val="21"/>
                <w:highlight w:val="none"/>
                <w:lang w:eastAsia="zh-CN"/>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企业资质等级</w:t>
            </w:r>
            <w:r>
              <w:rPr>
                <w:rFonts w:hint="eastAsia" w:ascii="仿宋" w:hAnsi="仿宋" w:eastAsia="仿宋" w:cs="仿宋"/>
                <w:color w:val="000000" w:themeColor="text1"/>
                <w:sz w:val="21"/>
                <w:highlight w:val="none"/>
                <w:lang w:eastAsia="zh-CN"/>
                <w14:textFill>
                  <w14:solidFill>
                    <w14:schemeClr w14:val="tx1"/>
                  </w14:solidFill>
                </w14:textFill>
              </w:rPr>
              <w:t>（</w:t>
            </w:r>
            <w:r>
              <w:rPr>
                <w:rFonts w:hint="eastAsia" w:ascii="仿宋" w:hAnsi="仿宋" w:eastAsia="仿宋" w:cs="仿宋"/>
                <w:color w:val="000000" w:themeColor="text1"/>
                <w:sz w:val="21"/>
                <w:highlight w:val="none"/>
                <w:lang w:val="en-US" w:eastAsia="zh-CN"/>
                <w14:textFill>
                  <w14:solidFill>
                    <w14:schemeClr w14:val="tx1"/>
                  </w14:solidFill>
                </w14:textFill>
              </w:rPr>
              <w:t>如有</w:t>
            </w:r>
            <w:r>
              <w:rPr>
                <w:rFonts w:hint="eastAsia" w:ascii="仿宋" w:hAnsi="仿宋" w:eastAsia="仿宋" w:cs="仿宋"/>
                <w:color w:val="000000" w:themeColor="text1"/>
                <w:sz w:val="21"/>
                <w:highlight w:val="none"/>
                <w:lang w:eastAsia="zh-CN"/>
                <w14:textFill>
                  <w14:solidFill>
                    <w14:schemeClr w14:val="tx1"/>
                  </w14:solidFill>
                </w14:textFill>
              </w:rPr>
              <w:t>）</w:t>
            </w:r>
          </w:p>
        </w:tc>
        <w:tc>
          <w:tcPr>
            <w:tcW w:w="7055" w:type="dxa"/>
            <w:gridSpan w:val="3"/>
            <w:noWrap w:val="0"/>
            <w:vAlign w:val="top"/>
          </w:tcPr>
          <w:p>
            <w:pPr>
              <w:pStyle w:val="4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noWrap w:val="0"/>
            <w:vAlign w:val="top"/>
          </w:tcPr>
          <w:p>
            <w:pPr>
              <w:pStyle w:val="47"/>
              <w:ind w:left="95"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组织机构代码证或统</w:t>
            </w:r>
          </w:p>
          <w:p>
            <w:pPr>
              <w:pStyle w:val="47"/>
              <w:spacing w:before="4" w:line="251" w:lineRule="exact"/>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一社会信用代码</w:t>
            </w:r>
          </w:p>
        </w:tc>
        <w:tc>
          <w:tcPr>
            <w:tcW w:w="7055" w:type="dxa"/>
            <w:gridSpan w:val="3"/>
            <w:noWrap w:val="0"/>
            <w:vAlign w:val="top"/>
          </w:tcPr>
          <w:p>
            <w:pPr>
              <w:pStyle w:val="4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noWrap w:val="0"/>
            <w:vAlign w:val="top"/>
          </w:tcPr>
          <w:p>
            <w:pPr>
              <w:pStyle w:val="47"/>
              <w:spacing w:line="269" w:lineRule="exact"/>
              <w:ind w:left="95"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银行开户银行及账号</w:t>
            </w:r>
            <w:r>
              <w:rPr>
                <w:rFonts w:hint="eastAsia" w:ascii="仿宋" w:hAnsi="仿宋" w:eastAsia="仿宋" w:cs="仿宋"/>
                <w:color w:val="000000" w:themeColor="text1"/>
                <w:w w:val="99"/>
                <w:sz w:val="21"/>
                <w:highlight w:val="none"/>
                <w14:textFill>
                  <w14:solidFill>
                    <w14:schemeClr w14:val="tx1"/>
                  </w14:solidFill>
                </w14:textFill>
              </w:rPr>
              <w:t>等</w:t>
            </w:r>
          </w:p>
        </w:tc>
        <w:tc>
          <w:tcPr>
            <w:tcW w:w="7055" w:type="dxa"/>
            <w:gridSpan w:val="3"/>
            <w:noWrap w:val="0"/>
            <w:vAlign w:val="top"/>
          </w:tcPr>
          <w:p>
            <w:pPr>
              <w:pStyle w:val="4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168" w:type="dxa"/>
            <w:noWrap w:val="0"/>
            <w:vAlign w:val="top"/>
          </w:tcPr>
          <w:p>
            <w:pPr>
              <w:pStyle w:val="47"/>
              <w:spacing w:before="1"/>
              <w:ind w:firstLine="482"/>
              <w:rPr>
                <w:rFonts w:hint="eastAsia" w:ascii="仿宋" w:hAnsi="仿宋" w:eastAsia="仿宋" w:cs="仿宋"/>
                <w:b/>
                <w:color w:val="000000" w:themeColor="text1"/>
                <w:sz w:val="24"/>
                <w:highlight w:val="none"/>
                <w14:textFill>
                  <w14:solidFill>
                    <w14:schemeClr w14:val="tx1"/>
                  </w14:solidFill>
                </w14:textFill>
              </w:rPr>
            </w:pPr>
          </w:p>
          <w:p>
            <w:pPr>
              <w:pStyle w:val="47"/>
              <w:ind w:left="90"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业务范围</w:t>
            </w:r>
          </w:p>
        </w:tc>
        <w:tc>
          <w:tcPr>
            <w:tcW w:w="7055" w:type="dxa"/>
            <w:gridSpan w:val="3"/>
            <w:noWrap w:val="0"/>
            <w:vAlign w:val="top"/>
          </w:tcPr>
          <w:p>
            <w:pPr>
              <w:pStyle w:val="4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3" w:hRule="atLeast"/>
        </w:trPr>
        <w:tc>
          <w:tcPr>
            <w:tcW w:w="2168" w:type="dxa"/>
            <w:noWrap w:val="0"/>
            <w:vAlign w:val="top"/>
          </w:tcPr>
          <w:p>
            <w:pPr>
              <w:pStyle w:val="47"/>
              <w:spacing w:before="128" w:line="242" w:lineRule="auto"/>
              <w:ind w:left="955" w:right="943"/>
              <w:jc w:val="both"/>
              <w:rPr>
                <w:rFonts w:hint="eastAsia" w:ascii="仿宋" w:hAnsi="仿宋" w:eastAsia="仿宋" w:cs="仿宋"/>
                <w:b/>
                <w:color w:val="000000" w:themeColor="text1"/>
                <w:sz w:val="20"/>
                <w:highlight w:val="none"/>
                <w14:textFill>
                  <w14:solidFill>
                    <w14:schemeClr w14:val="tx1"/>
                  </w14:solidFill>
                </w14:textFill>
              </w:rPr>
            </w:pPr>
          </w:p>
          <w:p>
            <w:pPr>
              <w:pStyle w:val="47"/>
              <w:spacing w:before="128" w:line="242" w:lineRule="auto"/>
              <w:ind w:left="955" w:right="943"/>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企业简介</w:t>
            </w:r>
          </w:p>
        </w:tc>
        <w:tc>
          <w:tcPr>
            <w:tcW w:w="7055" w:type="dxa"/>
            <w:gridSpan w:val="3"/>
            <w:noWrap w:val="0"/>
            <w:vAlign w:val="top"/>
          </w:tcPr>
          <w:p>
            <w:pPr>
              <w:pStyle w:val="47"/>
              <w:ind w:firstLine="360"/>
              <w:rPr>
                <w:rFonts w:hint="eastAsia" w:ascii="仿宋" w:hAnsi="仿宋" w:eastAsia="仿宋" w:cs="仿宋"/>
                <w:color w:val="000000" w:themeColor="text1"/>
                <w:sz w:val="18"/>
                <w:highlight w:val="none"/>
                <w14:textFill>
                  <w14:solidFill>
                    <w14:schemeClr w14:val="tx1"/>
                  </w14:solidFill>
                </w14:textFill>
              </w:rPr>
            </w:pPr>
          </w:p>
        </w:tc>
      </w:tr>
    </w:tbl>
    <w:p>
      <w:pPr>
        <w:spacing w:before="75" w:line="360" w:lineRule="auto"/>
        <w:ind w:left="881" w:right="691"/>
        <w:rPr>
          <w:rFonts w:hint="eastAsia" w:ascii="仿宋" w:hAnsi="仿宋" w:eastAsia="仿宋" w:cs="仿宋"/>
          <w:b/>
          <w:color w:val="000000" w:themeColor="text1"/>
          <w:spacing w:val="-8"/>
          <w:sz w:val="21"/>
          <w:szCs w:val="21"/>
          <w:highlight w:val="none"/>
          <w14:textFill>
            <w14:solidFill>
              <w14:schemeClr w14:val="tx1"/>
            </w14:solidFill>
          </w14:textFill>
        </w:rPr>
      </w:pPr>
      <w:r>
        <w:rPr>
          <w:rFonts w:hint="eastAsia" w:ascii="仿宋" w:hAnsi="仿宋" w:eastAsia="仿宋" w:cs="仿宋"/>
          <w:b/>
          <w:color w:val="000000" w:themeColor="text1"/>
          <w:spacing w:val="-8"/>
          <w:sz w:val="21"/>
          <w:szCs w:val="21"/>
          <w:highlight w:val="none"/>
          <w14:textFill>
            <w14:solidFill>
              <w14:schemeClr w14:val="tx1"/>
            </w14:solidFill>
          </w14:textFill>
        </w:rPr>
        <w:t>注：在本表后应附：</w:t>
      </w:r>
    </w:p>
    <w:p>
      <w:pPr>
        <w:spacing w:before="75" w:line="360" w:lineRule="auto"/>
        <w:ind w:left="567" w:right="691" w:firstLine="358"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16"/>
          <w:sz w:val="21"/>
          <w:szCs w:val="21"/>
          <w:highlight w:val="none"/>
          <w14:textFill>
            <w14:solidFill>
              <w14:schemeClr w14:val="tx1"/>
            </w14:solidFill>
          </w14:textFill>
        </w:rPr>
        <w:t>1</w:t>
      </w:r>
      <w:r>
        <w:rPr>
          <w:rFonts w:hint="eastAsia" w:ascii="仿宋" w:hAnsi="仿宋" w:eastAsia="仿宋" w:cs="仿宋"/>
          <w:b/>
          <w:color w:val="000000" w:themeColor="text1"/>
          <w:spacing w:val="-7"/>
          <w:sz w:val="21"/>
          <w:szCs w:val="21"/>
          <w:highlight w:val="none"/>
          <w14:textFill>
            <w14:solidFill>
              <w14:schemeClr w14:val="tx1"/>
            </w14:solidFill>
          </w14:textFill>
        </w:rPr>
        <w:t>、投标单位企业法人营业执照副本或具有同等法律效力的许可经营证明文件的复印件(并</w:t>
      </w:r>
      <w:r>
        <w:rPr>
          <w:rFonts w:hint="eastAsia" w:ascii="仿宋" w:hAnsi="仿宋" w:eastAsia="仿宋" w:cs="仿宋"/>
          <w:b/>
          <w:color w:val="000000" w:themeColor="text1"/>
          <w:sz w:val="21"/>
          <w:szCs w:val="21"/>
          <w:highlight w:val="none"/>
          <w14:textFill>
            <w14:solidFill>
              <w14:schemeClr w14:val="tx1"/>
            </w14:solidFill>
          </w14:textFill>
        </w:rPr>
        <w:t>加盖单位章)、相关资质证书、许可证书及本招标文件中相关资格要求的内容等资料的复印件。</w:t>
      </w:r>
    </w:p>
    <w:p>
      <w:pPr>
        <w:spacing w:line="360" w:lineRule="auto"/>
        <w:ind w:left="567"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2、银行开户许可证；</w:t>
      </w:r>
    </w:p>
    <w:p>
      <w:pPr>
        <w:spacing w:before="110" w:line="360" w:lineRule="auto"/>
        <w:ind w:left="567"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3、附：其他相关证明材料复印件（如有需要）</w:t>
      </w:r>
    </w:p>
    <w:p>
      <w:pPr>
        <w:spacing w:before="110" w:line="360" w:lineRule="auto"/>
        <w:ind w:left="567"/>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以上复印件在投标文件正本中均为加盖公章复印件，必须完整、清晰可辨、有效。</w:t>
      </w:r>
    </w:p>
    <w:p>
      <w:pPr>
        <w:pStyle w:val="12"/>
        <w:ind w:left="1030"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12"/>
        <w:ind w:left="1030"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12"/>
        <w:ind w:left="1030"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12"/>
        <w:ind w:left="1030"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9"/>
        <w:numPr>
          <w:ilvl w:val="0"/>
          <w:numId w:val="0"/>
        </w:numPr>
        <w:spacing w:before="5"/>
        <w:jc w:val="center"/>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43" w:name="_Toc30025"/>
      <w:bookmarkStart w:id="144" w:name="_Toc11828"/>
      <w:bookmarkStart w:id="145" w:name="_Toc32557"/>
      <w:bookmarkStart w:id="146" w:name="_Toc5394"/>
      <w:bookmarkStart w:id="147" w:name="_Toc32068"/>
      <w:r>
        <w:rPr>
          <w:rFonts w:hint="eastAsia" w:ascii="仿宋" w:hAnsi="仿宋" w:eastAsia="仿宋" w:cs="仿宋"/>
          <w:color w:val="000000" w:themeColor="text1"/>
          <w:sz w:val="28"/>
          <w:szCs w:val="28"/>
          <w:highlight w:val="none"/>
          <w:lang w:val="en-US" w:eastAsia="zh-CN"/>
          <w14:textFill>
            <w14:solidFill>
              <w14:schemeClr w14:val="tx1"/>
            </w14:solidFill>
          </w14:textFill>
        </w:rPr>
        <w:t>（十三）服务方案</w:t>
      </w:r>
      <w:bookmarkEnd w:id="143"/>
      <w:bookmarkEnd w:id="144"/>
      <w:bookmarkEnd w:id="145"/>
    </w:p>
    <w:p>
      <w:pPr>
        <w:pStyle w:val="12"/>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（根据项目情况自行编制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内容和格式自拟）</w:t>
      </w:r>
    </w:p>
    <w:p>
      <w:pPr>
        <w:pStyle w:val="9"/>
        <w:widowControl w:val="0"/>
        <w:numPr>
          <w:ilvl w:val="0"/>
          <w:numId w:val="0"/>
        </w:numPr>
        <w:autoSpaceDE w:val="0"/>
        <w:autoSpaceDN w:val="0"/>
        <w:spacing w:before="5"/>
        <w:jc w:val="center"/>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48" w:name="_Toc31584"/>
      <w:bookmarkStart w:id="149" w:name="_Toc15412"/>
      <w:bookmarkStart w:id="150" w:name="_Toc19221"/>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both"/>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）质量保证措施</w:t>
      </w:r>
      <w:bookmarkEnd w:id="146"/>
      <w:bookmarkEnd w:id="147"/>
      <w:bookmarkEnd w:id="148"/>
      <w:bookmarkEnd w:id="149"/>
      <w:bookmarkEnd w:id="150"/>
    </w:p>
    <w:p>
      <w:pPr>
        <w:pStyle w:val="12"/>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（根据项目情况自行编制，内容和格式自拟）</w:t>
      </w:r>
    </w:p>
    <w:p>
      <w:pPr>
        <w:pStyle w:val="9"/>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9"/>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sz w:val="28"/>
          <w:szCs w:val="28"/>
          <w:highlight w:val="none"/>
          <w14:textFill>
            <w14:solidFill>
              <w14:schemeClr w14:val="tx1"/>
            </w14:solidFill>
          </w14:textFill>
        </w:rPr>
      </w:pPr>
    </w:p>
    <w:p>
      <w:pPr>
        <w:pStyle w:val="12"/>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51" w:name="_Toc10699"/>
      <w:bookmarkStart w:id="152" w:name="_Toc17355"/>
      <w:bookmarkStart w:id="153" w:name="_Toc30737"/>
      <w:bookmarkStart w:id="154" w:name="_Toc23967"/>
      <w:bookmarkStart w:id="155" w:name="_Toc29446"/>
    </w:p>
    <w:p>
      <w:pPr>
        <w:pStyle w:val="12"/>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12"/>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12"/>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12"/>
        <w:ind w:left="1000" w:hanging="560"/>
        <w:jc w:val="center"/>
        <w:outlineLvl w:val="0"/>
        <w:rPr>
          <w:rFonts w:hint="eastAsia" w:ascii="仿宋" w:hAnsi="仿宋" w:eastAsia="仿宋" w:cs="仿宋"/>
          <w:color w:val="auto"/>
          <w:kern w:val="0"/>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售后服务</w:t>
      </w:r>
      <w:r>
        <w:rPr>
          <w:rFonts w:hint="eastAsia" w:ascii="仿宋" w:hAnsi="仿宋" w:eastAsia="仿宋" w:cs="仿宋"/>
          <w:color w:val="000000" w:themeColor="text1"/>
          <w:sz w:val="28"/>
          <w:szCs w:val="28"/>
          <w:highlight w:val="none"/>
          <w14:textFill>
            <w14:solidFill>
              <w14:schemeClr w14:val="tx1"/>
            </w14:solidFill>
          </w14:textFill>
        </w:rPr>
        <w:t>承诺书</w:t>
      </w:r>
      <w:bookmarkEnd w:id="151"/>
      <w:bookmarkEnd w:id="152"/>
      <w:bookmarkEnd w:id="153"/>
      <w:bookmarkEnd w:id="154"/>
      <w:bookmarkEnd w:id="155"/>
    </w:p>
    <w:p>
      <w:pPr>
        <w:widowControl/>
        <w:adjustRightInd w:val="0"/>
        <w:spacing w:line="360" w:lineRule="auto"/>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内容和格式自拟</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12"/>
        <w:spacing w:line="360" w:lineRule="auto"/>
        <w:ind w:left="53" w:leftChars="22"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pStyle w:val="12"/>
        <w:spacing w:line="360" w:lineRule="auto"/>
        <w:ind w:left="53" w:leftChars="22"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pStyle w:val="12"/>
        <w:spacing w:line="360" w:lineRule="auto"/>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12"/>
        <w:spacing w:line="360" w:lineRule="auto"/>
        <w:ind w:left="0" w:leftChars="0" w:firstLine="0" w:firstLineChars="0"/>
        <w:rPr>
          <w:rFonts w:hint="eastAsia" w:ascii="仿宋" w:hAnsi="仿宋" w:eastAsia="仿宋" w:cs="仿宋"/>
          <w:color w:val="000000" w:themeColor="text1"/>
          <w:sz w:val="21"/>
          <w:szCs w:val="21"/>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56" w:name="_Toc28494"/>
      <w:bookmarkStart w:id="157" w:name="_Toc14471"/>
      <w:bookmarkStart w:id="158" w:name="_Toc10880"/>
      <w:bookmarkStart w:id="159" w:name="_Toc25484"/>
      <w:bookmarkStart w:id="160" w:name="_Toc20166"/>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pStyle w:val="5"/>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14:textFill>
            <w14:solidFill>
              <w14:schemeClr w14:val="tx1"/>
            </w14:solidFill>
          </w14:textFill>
        </w:rPr>
        <w:t>）其他有利于投标人的资料（如有）</w:t>
      </w:r>
      <w:bookmarkEnd w:id="156"/>
      <w:bookmarkEnd w:id="157"/>
      <w:bookmarkEnd w:id="158"/>
      <w:bookmarkEnd w:id="159"/>
      <w:bookmarkEnd w:id="160"/>
    </w:p>
    <w:p>
      <w:pPr>
        <w:pStyle w:val="12"/>
        <w:spacing w:line="360" w:lineRule="auto"/>
        <w:ind w:left="53" w:leftChars="22"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特别提示：投标人可根据各自实际情况，提供有利于投标评审相关资质、各类证书、信誉等资料或</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关于采购内容的相关检测报告</w:t>
      </w:r>
      <w:r>
        <w:rPr>
          <w:rFonts w:hint="eastAsia" w:ascii="仿宋" w:hAnsi="仿宋" w:eastAsia="仿宋" w:cs="仿宋"/>
          <w:color w:val="000000" w:themeColor="text1"/>
          <w:sz w:val="28"/>
          <w:szCs w:val="28"/>
          <w:highlight w:val="none"/>
          <w14:textFill>
            <w14:solidFill>
              <w14:schemeClr w14:val="tx1"/>
            </w14:solidFill>
          </w14:textFill>
        </w:rPr>
        <w:t>文件，所提供的证明材料须满足本招标评审的具体要求， 且投标人须对证明材料的真实性和有效性负责；若提供虚假证明材料，则按相关法规规定执行处罚。</w:t>
      </w:r>
    </w:p>
    <w:p>
      <w:pPr>
        <w:rPr>
          <w:rFonts w:hint="eastAsia" w:ascii="仿宋" w:hAnsi="仿宋" w:eastAsia="仿宋" w:cs="仿宋"/>
          <w:color w:val="000000" w:themeColor="text1"/>
          <w:highlight w:val="none"/>
          <w14:textFill>
            <w14:solidFill>
              <w14:schemeClr w14:val="tx1"/>
            </w14:solidFill>
          </w14:textFill>
        </w:rPr>
      </w:pPr>
    </w:p>
    <w:sectPr>
      <w:headerReference r:id="rId9" w:type="default"/>
      <w:footerReference r:id="rId10" w:type="default"/>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p>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82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82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CD4D1"/>
    <w:multiLevelType w:val="singleLevel"/>
    <w:tmpl w:val="E5ACD4D1"/>
    <w:lvl w:ilvl="0" w:tentative="0">
      <w:start w:val="1"/>
      <w:numFmt w:val="chineseCounting"/>
      <w:suff w:val="nothing"/>
      <w:lvlText w:val="%1、"/>
      <w:lvlJc w:val="left"/>
      <w:rPr>
        <w:rFonts w:hint="eastAsia"/>
      </w:rPr>
    </w:lvl>
  </w:abstractNum>
  <w:abstractNum w:abstractNumId="1">
    <w:nsid w:val="3983044D"/>
    <w:multiLevelType w:val="multilevel"/>
    <w:tmpl w:val="3983044D"/>
    <w:lvl w:ilvl="0" w:tentative="0">
      <w:start w:val="1"/>
      <w:numFmt w:val="decimal"/>
      <w:pStyle w:val="18"/>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2">
    <w:nsid w:val="5CE2E2BE"/>
    <w:multiLevelType w:val="singleLevel"/>
    <w:tmpl w:val="5CE2E2BE"/>
    <w:lvl w:ilvl="0" w:tentative="0">
      <w:start w:val="2"/>
      <w:numFmt w:val="decimal"/>
      <w:suff w:val="nothing"/>
      <w:lvlText w:val="%1、"/>
      <w:lvlJc w:val="left"/>
      <w:rPr>
        <w:rFonts w:cs="Times New Roman"/>
      </w:rPr>
    </w:lvl>
  </w:abstractNum>
  <w:abstractNum w:abstractNumId="3">
    <w:nsid w:val="74F44CAA"/>
    <w:multiLevelType w:val="singleLevel"/>
    <w:tmpl w:val="74F44CAA"/>
    <w:lvl w:ilvl="0" w:tentative="0">
      <w:start w:val="4"/>
      <w:numFmt w:val="chineseCounting"/>
      <w:suff w:val="nothing"/>
      <w:lvlText w:val="%1、"/>
      <w:lvlJc w:val="left"/>
      <w:pPr>
        <w:ind w:left="-6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ODZlMGMyNzk3OTJiOTNhNDViOTNiOWQ5Y2EyMzIifQ=="/>
  </w:docVars>
  <w:rsids>
    <w:rsidRoot w:val="00172A27"/>
    <w:rsid w:val="000564BF"/>
    <w:rsid w:val="00104C70"/>
    <w:rsid w:val="0012169A"/>
    <w:rsid w:val="00123872"/>
    <w:rsid w:val="00172A27"/>
    <w:rsid w:val="00216BF8"/>
    <w:rsid w:val="0021779C"/>
    <w:rsid w:val="00344153"/>
    <w:rsid w:val="00386981"/>
    <w:rsid w:val="003D337A"/>
    <w:rsid w:val="00445C3D"/>
    <w:rsid w:val="00480178"/>
    <w:rsid w:val="004B1B11"/>
    <w:rsid w:val="004D20A8"/>
    <w:rsid w:val="0075614B"/>
    <w:rsid w:val="00844E1F"/>
    <w:rsid w:val="008A0081"/>
    <w:rsid w:val="00944359"/>
    <w:rsid w:val="009750AF"/>
    <w:rsid w:val="009A4004"/>
    <w:rsid w:val="009F17BA"/>
    <w:rsid w:val="00A9213A"/>
    <w:rsid w:val="00AC129C"/>
    <w:rsid w:val="00B32A60"/>
    <w:rsid w:val="00C551DC"/>
    <w:rsid w:val="00CD4117"/>
    <w:rsid w:val="00E20D62"/>
    <w:rsid w:val="00F71A8D"/>
    <w:rsid w:val="00F92614"/>
    <w:rsid w:val="00FF7E50"/>
    <w:rsid w:val="01185751"/>
    <w:rsid w:val="011E53F8"/>
    <w:rsid w:val="014B0C2C"/>
    <w:rsid w:val="017653BA"/>
    <w:rsid w:val="0194221B"/>
    <w:rsid w:val="01B61F30"/>
    <w:rsid w:val="0213371D"/>
    <w:rsid w:val="02B73737"/>
    <w:rsid w:val="03104DBB"/>
    <w:rsid w:val="034F1DFF"/>
    <w:rsid w:val="037F56F0"/>
    <w:rsid w:val="03923996"/>
    <w:rsid w:val="039D2498"/>
    <w:rsid w:val="03FD4132"/>
    <w:rsid w:val="0420480A"/>
    <w:rsid w:val="04D654FF"/>
    <w:rsid w:val="04F241FB"/>
    <w:rsid w:val="05623073"/>
    <w:rsid w:val="05C649F8"/>
    <w:rsid w:val="05D62341"/>
    <w:rsid w:val="06310336"/>
    <w:rsid w:val="06E440CA"/>
    <w:rsid w:val="06F44F98"/>
    <w:rsid w:val="074F0B5E"/>
    <w:rsid w:val="080947BC"/>
    <w:rsid w:val="080D24FB"/>
    <w:rsid w:val="083C7452"/>
    <w:rsid w:val="08907291"/>
    <w:rsid w:val="089C3051"/>
    <w:rsid w:val="089F1C5C"/>
    <w:rsid w:val="08CA70A7"/>
    <w:rsid w:val="08EB4EA1"/>
    <w:rsid w:val="09001592"/>
    <w:rsid w:val="09027219"/>
    <w:rsid w:val="09200A20"/>
    <w:rsid w:val="09D06107"/>
    <w:rsid w:val="0A0D3D33"/>
    <w:rsid w:val="0A790247"/>
    <w:rsid w:val="0AE32E85"/>
    <w:rsid w:val="0AE8277E"/>
    <w:rsid w:val="0BAB4F00"/>
    <w:rsid w:val="0BD446AA"/>
    <w:rsid w:val="0C05413F"/>
    <w:rsid w:val="0C0D6A06"/>
    <w:rsid w:val="0D3E0ED8"/>
    <w:rsid w:val="0D505C1B"/>
    <w:rsid w:val="0D83719E"/>
    <w:rsid w:val="0DE6661A"/>
    <w:rsid w:val="0DF84213"/>
    <w:rsid w:val="0DFB3C3A"/>
    <w:rsid w:val="0E1423B6"/>
    <w:rsid w:val="0E460661"/>
    <w:rsid w:val="0E6A2D0C"/>
    <w:rsid w:val="0EBC5AFC"/>
    <w:rsid w:val="0EF840B2"/>
    <w:rsid w:val="0F4229A4"/>
    <w:rsid w:val="0F672DA8"/>
    <w:rsid w:val="0F7831EE"/>
    <w:rsid w:val="0F876D0A"/>
    <w:rsid w:val="10101D74"/>
    <w:rsid w:val="10195651"/>
    <w:rsid w:val="107505B5"/>
    <w:rsid w:val="108B38A3"/>
    <w:rsid w:val="113F19ED"/>
    <w:rsid w:val="118B0B2E"/>
    <w:rsid w:val="11C27EAF"/>
    <w:rsid w:val="121E6737"/>
    <w:rsid w:val="123C1338"/>
    <w:rsid w:val="126047B8"/>
    <w:rsid w:val="1267781A"/>
    <w:rsid w:val="127F6DBE"/>
    <w:rsid w:val="12CC1638"/>
    <w:rsid w:val="12F61908"/>
    <w:rsid w:val="13221E3F"/>
    <w:rsid w:val="13467FDE"/>
    <w:rsid w:val="135A67B2"/>
    <w:rsid w:val="1423304B"/>
    <w:rsid w:val="142866C1"/>
    <w:rsid w:val="142C2680"/>
    <w:rsid w:val="14532D44"/>
    <w:rsid w:val="14E8441E"/>
    <w:rsid w:val="154A7BC0"/>
    <w:rsid w:val="154C605F"/>
    <w:rsid w:val="15645E5E"/>
    <w:rsid w:val="16165524"/>
    <w:rsid w:val="16192F9B"/>
    <w:rsid w:val="169F7D34"/>
    <w:rsid w:val="16E05324"/>
    <w:rsid w:val="1793280D"/>
    <w:rsid w:val="17A8074E"/>
    <w:rsid w:val="17F436AC"/>
    <w:rsid w:val="180122D1"/>
    <w:rsid w:val="1837780C"/>
    <w:rsid w:val="188511FE"/>
    <w:rsid w:val="18DE5CB4"/>
    <w:rsid w:val="18FC3D6D"/>
    <w:rsid w:val="19722AAF"/>
    <w:rsid w:val="198F2F98"/>
    <w:rsid w:val="199152FA"/>
    <w:rsid w:val="19DD5B52"/>
    <w:rsid w:val="19E16DE4"/>
    <w:rsid w:val="19F439C0"/>
    <w:rsid w:val="1A1D4BDD"/>
    <w:rsid w:val="1A5D0348"/>
    <w:rsid w:val="1AF5086C"/>
    <w:rsid w:val="1B05340F"/>
    <w:rsid w:val="1B1A3BD5"/>
    <w:rsid w:val="1B3929C8"/>
    <w:rsid w:val="1B42758B"/>
    <w:rsid w:val="1B7B58FD"/>
    <w:rsid w:val="1C0F477B"/>
    <w:rsid w:val="1CB24CC2"/>
    <w:rsid w:val="1D0F49C9"/>
    <w:rsid w:val="1D57651C"/>
    <w:rsid w:val="1D755ECE"/>
    <w:rsid w:val="1D816346"/>
    <w:rsid w:val="1DA93EF6"/>
    <w:rsid w:val="1DB16E39"/>
    <w:rsid w:val="1DCE61E3"/>
    <w:rsid w:val="1E611AEF"/>
    <w:rsid w:val="1E6B1643"/>
    <w:rsid w:val="1EE10F71"/>
    <w:rsid w:val="1EF328AA"/>
    <w:rsid w:val="1F836E34"/>
    <w:rsid w:val="1FDF33CF"/>
    <w:rsid w:val="1FEA5CA7"/>
    <w:rsid w:val="20180484"/>
    <w:rsid w:val="204D069D"/>
    <w:rsid w:val="2070448B"/>
    <w:rsid w:val="20BE4151"/>
    <w:rsid w:val="20C37B24"/>
    <w:rsid w:val="20C82894"/>
    <w:rsid w:val="211640D6"/>
    <w:rsid w:val="211B5FE8"/>
    <w:rsid w:val="21DA3510"/>
    <w:rsid w:val="21F522C9"/>
    <w:rsid w:val="22927111"/>
    <w:rsid w:val="22DE5957"/>
    <w:rsid w:val="22E75988"/>
    <w:rsid w:val="22FA6604"/>
    <w:rsid w:val="23072FCF"/>
    <w:rsid w:val="23356728"/>
    <w:rsid w:val="233C706F"/>
    <w:rsid w:val="233E7F32"/>
    <w:rsid w:val="23832378"/>
    <w:rsid w:val="23D25FE6"/>
    <w:rsid w:val="23DD40D6"/>
    <w:rsid w:val="245F16F8"/>
    <w:rsid w:val="24EA0ADB"/>
    <w:rsid w:val="25173828"/>
    <w:rsid w:val="25C145B5"/>
    <w:rsid w:val="25F216FF"/>
    <w:rsid w:val="26485D2F"/>
    <w:rsid w:val="2687382E"/>
    <w:rsid w:val="26BA48B0"/>
    <w:rsid w:val="26E045B3"/>
    <w:rsid w:val="26E862B1"/>
    <w:rsid w:val="274770C2"/>
    <w:rsid w:val="2771070C"/>
    <w:rsid w:val="278155AC"/>
    <w:rsid w:val="278C62CC"/>
    <w:rsid w:val="27C442C6"/>
    <w:rsid w:val="2828486F"/>
    <w:rsid w:val="28784349"/>
    <w:rsid w:val="287F2BE3"/>
    <w:rsid w:val="288C3EE2"/>
    <w:rsid w:val="28E750F1"/>
    <w:rsid w:val="290F7223"/>
    <w:rsid w:val="29A66C06"/>
    <w:rsid w:val="29BB144C"/>
    <w:rsid w:val="29EA05BD"/>
    <w:rsid w:val="29EF671E"/>
    <w:rsid w:val="2A1F27A5"/>
    <w:rsid w:val="2AD83C3B"/>
    <w:rsid w:val="2B3F6FD5"/>
    <w:rsid w:val="2BD74AE8"/>
    <w:rsid w:val="2C160666"/>
    <w:rsid w:val="2C557B11"/>
    <w:rsid w:val="2C5A157D"/>
    <w:rsid w:val="2CAF1403"/>
    <w:rsid w:val="2CCA7C6B"/>
    <w:rsid w:val="2CD604AC"/>
    <w:rsid w:val="2D053EFC"/>
    <w:rsid w:val="2D1E3CB5"/>
    <w:rsid w:val="2D1F4BFC"/>
    <w:rsid w:val="2D5000FE"/>
    <w:rsid w:val="2D84453C"/>
    <w:rsid w:val="2DC92375"/>
    <w:rsid w:val="2E383FC6"/>
    <w:rsid w:val="2E8375EF"/>
    <w:rsid w:val="2EE175DD"/>
    <w:rsid w:val="2EFE652E"/>
    <w:rsid w:val="2F153E8E"/>
    <w:rsid w:val="2F1C5505"/>
    <w:rsid w:val="3020296A"/>
    <w:rsid w:val="302C0555"/>
    <w:rsid w:val="306D109F"/>
    <w:rsid w:val="306E2697"/>
    <w:rsid w:val="30B06731"/>
    <w:rsid w:val="30DE3ED5"/>
    <w:rsid w:val="310C5993"/>
    <w:rsid w:val="31255BB1"/>
    <w:rsid w:val="314E1CFD"/>
    <w:rsid w:val="315216B2"/>
    <w:rsid w:val="316C0C9B"/>
    <w:rsid w:val="318078C7"/>
    <w:rsid w:val="319C7EA8"/>
    <w:rsid w:val="31F67B49"/>
    <w:rsid w:val="322C4365"/>
    <w:rsid w:val="3281657A"/>
    <w:rsid w:val="32D80290"/>
    <w:rsid w:val="32F205BC"/>
    <w:rsid w:val="32FB70D5"/>
    <w:rsid w:val="332A60CB"/>
    <w:rsid w:val="332E1BA1"/>
    <w:rsid w:val="33665BF8"/>
    <w:rsid w:val="33877538"/>
    <w:rsid w:val="3389089C"/>
    <w:rsid w:val="33BE7D07"/>
    <w:rsid w:val="33F419D4"/>
    <w:rsid w:val="340669DC"/>
    <w:rsid w:val="347771CD"/>
    <w:rsid w:val="34AE6A99"/>
    <w:rsid w:val="34C054F4"/>
    <w:rsid w:val="351852F5"/>
    <w:rsid w:val="354E5977"/>
    <w:rsid w:val="35E64989"/>
    <w:rsid w:val="362178F7"/>
    <w:rsid w:val="362C4D4C"/>
    <w:rsid w:val="36364C68"/>
    <w:rsid w:val="36715364"/>
    <w:rsid w:val="36D40564"/>
    <w:rsid w:val="371625C5"/>
    <w:rsid w:val="3758350E"/>
    <w:rsid w:val="37691C84"/>
    <w:rsid w:val="37C65D2B"/>
    <w:rsid w:val="381D2F49"/>
    <w:rsid w:val="38E70460"/>
    <w:rsid w:val="39072D82"/>
    <w:rsid w:val="397815B9"/>
    <w:rsid w:val="398919E9"/>
    <w:rsid w:val="39D31DBD"/>
    <w:rsid w:val="39F96B6F"/>
    <w:rsid w:val="3A106E27"/>
    <w:rsid w:val="3A267D42"/>
    <w:rsid w:val="3A637DA2"/>
    <w:rsid w:val="3AF20B5C"/>
    <w:rsid w:val="3B3C354E"/>
    <w:rsid w:val="3B6C55F5"/>
    <w:rsid w:val="3B6E43E4"/>
    <w:rsid w:val="3B752EF1"/>
    <w:rsid w:val="3B806E1C"/>
    <w:rsid w:val="3BDF78D2"/>
    <w:rsid w:val="3C6E7E6D"/>
    <w:rsid w:val="3CC63971"/>
    <w:rsid w:val="3D000214"/>
    <w:rsid w:val="3D9A2417"/>
    <w:rsid w:val="3DA85F5E"/>
    <w:rsid w:val="3DAC5B3A"/>
    <w:rsid w:val="3DC6320C"/>
    <w:rsid w:val="3DCF69EF"/>
    <w:rsid w:val="3DF525DA"/>
    <w:rsid w:val="3DF82AAF"/>
    <w:rsid w:val="3E1520AD"/>
    <w:rsid w:val="3E17498C"/>
    <w:rsid w:val="3E3A3FCF"/>
    <w:rsid w:val="3E401F6C"/>
    <w:rsid w:val="3EAF3474"/>
    <w:rsid w:val="3EBD06AC"/>
    <w:rsid w:val="3EBF7C5B"/>
    <w:rsid w:val="3F4F7667"/>
    <w:rsid w:val="3FBF194F"/>
    <w:rsid w:val="40156630"/>
    <w:rsid w:val="406945F9"/>
    <w:rsid w:val="408811D7"/>
    <w:rsid w:val="40EF42BD"/>
    <w:rsid w:val="40FA70ED"/>
    <w:rsid w:val="410021E2"/>
    <w:rsid w:val="410539BD"/>
    <w:rsid w:val="413F6215"/>
    <w:rsid w:val="414A322A"/>
    <w:rsid w:val="4161752A"/>
    <w:rsid w:val="418B04C1"/>
    <w:rsid w:val="41A715A5"/>
    <w:rsid w:val="41DE7F47"/>
    <w:rsid w:val="41E372B8"/>
    <w:rsid w:val="41ED7E39"/>
    <w:rsid w:val="41EE3DDD"/>
    <w:rsid w:val="42162288"/>
    <w:rsid w:val="422743AE"/>
    <w:rsid w:val="422D022E"/>
    <w:rsid w:val="4264687D"/>
    <w:rsid w:val="427113E3"/>
    <w:rsid w:val="42A5259A"/>
    <w:rsid w:val="42C15C8B"/>
    <w:rsid w:val="431123E5"/>
    <w:rsid w:val="4348277D"/>
    <w:rsid w:val="43966165"/>
    <w:rsid w:val="43AC69FC"/>
    <w:rsid w:val="43B4507A"/>
    <w:rsid w:val="443141CF"/>
    <w:rsid w:val="445E7C78"/>
    <w:rsid w:val="447D347E"/>
    <w:rsid w:val="44C442E4"/>
    <w:rsid w:val="45093291"/>
    <w:rsid w:val="456259CC"/>
    <w:rsid w:val="45EC76ED"/>
    <w:rsid w:val="45F7719B"/>
    <w:rsid w:val="463865DB"/>
    <w:rsid w:val="464721DD"/>
    <w:rsid w:val="466E4DF7"/>
    <w:rsid w:val="46875502"/>
    <w:rsid w:val="46CC73B9"/>
    <w:rsid w:val="47285DD8"/>
    <w:rsid w:val="472F4A04"/>
    <w:rsid w:val="476906B6"/>
    <w:rsid w:val="47695BF4"/>
    <w:rsid w:val="47A35D70"/>
    <w:rsid w:val="47AE3111"/>
    <w:rsid w:val="48352C4F"/>
    <w:rsid w:val="48D56A43"/>
    <w:rsid w:val="492C67C5"/>
    <w:rsid w:val="493D2C73"/>
    <w:rsid w:val="494B26B9"/>
    <w:rsid w:val="494D45E3"/>
    <w:rsid w:val="49BE3602"/>
    <w:rsid w:val="49FF5945"/>
    <w:rsid w:val="4A0C5883"/>
    <w:rsid w:val="4A547140"/>
    <w:rsid w:val="4A6A0783"/>
    <w:rsid w:val="4A6F4505"/>
    <w:rsid w:val="4A922048"/>
    <w:rsid w:val="4A9553AE"/>
    <w:rsid w:val="4AAE64CA"/>
    <w:rsid w:val="4ADD04BF"/>
    <w:rsid w:val="4B0A6BD1"/>
    <w:rsid w:val="4B410397"/>
    <w:rsid w:val="4B49312A"/>
    <w:rsid w:val="4BCA2CDE"/>
    <w:rsid w:val="4BDA6650"/>
    <w:rsid w:val="4BFC0D81"/>
    <w:rsid w:val="4CD16E5B"/>
    <w:rsid w:val="4CDC0D6A"/>
    <w:rsid w:val="4D2A6A90"/>
    <w:rsid w:val="4D5C4534"/>
    <w:rsid w:val="4E046D68"/>
    <w:rsid w:val="4E133C2A"/>
    <w:rsid w:val="4E321B95"/>
    <w:rsid w:val="4E547236"/>
    <w:rsid w:val="4EF21043"/>
    <w:rsid w:val="4EF470EB"/>
    <w:rsid w:val="4F733A67"/>
    <w:rsid w:val="4FC30BCF"/>
    <w:rsid w:val="4FDA2F77"/>
    <w:rsid w:val="500E7B17"/>
    <w:rsid w:val="506720D3"/>
    <w:rsid w:val="51356EDA"/>
    <w:rsid w:val="520A2CFD"/>
    <w:rsid w:val="52495D62"/>
    <w:rsid w:val="532E5683"/>
    <w:rsid w:val="53356543"/>
    <w:rsid w:val="53652828"/>
    <w:rsid w:val="53A40329"/>
    <w:rsid w:val="53B92EB6"/>
    <w:rsid w:val="53CF1DB2"/>
    <w:rsid w:val="54687D27"/>
    <w:rsid w:val="548F58F7"/>
    <w:rsid w:val="54B864B8"/>
    <w:rsid w:val="551B5D96"/>
    <w:rsid w:val="557A2957"/>
    <w:rsid w:val="559512C4"/>
    <w:rsid w:val="559A3CCF"/>
    <w:rsid w:val="55BA3A99"/>
    <w:rsid w:val="55BD4ACD"/>
    <w:rsid w:val="55D65B5E"/>
    <w:rsid w:val="55E624F3"/>
    <w:rsid w:val="56101070"/>
    <w:rsid w:val="563B05DB"/>
    <w:rsid w:val="56573C63"/>
    <w:rsid w:val="569A316E"/>
    <w:rsid w:val="56C1312C"/>
    <w:rsid w:val="57C45FD2"/>
    <w:rsid w:val="57DC1393"/>
    <w:rsid w:val="58163D25"/>
    <w:rsid w:val="5828128E"/>
    <w:rsid w:val="583A5E3D"/>
    <w:rsid w:val="590E65D6"/>
    <w:rsid w:val="597B36F4"/>
    <w:rsid w:val="59934492"/>
    <w:rsid w:val="59A16A1F"/>
    <w:rsid w:val="5A105358"/>
    <w:rsid w:val="5A2E409B"/>
    <w:rsid w:val="5A6928A6"/>
    <w:rsid w:val="5A867FA8"/>
    <w:rsid w:val="5AA22CBE"/>
    <w:rsid w:val="5AC77B67"/>
    <w:rsid w:val="5B615207"/>
    <w:rsid w:val="5BB8082D"/>
    <w:rsid w:val="5CDD55F3"/>
    <w:rsid w:val="5D00705A"/>
    <w:rsid w:val="5DAB7BB0"/>
    <w:rsid w:val="5DB27194"/>
    <w:rsid w:val="5E0B1338"/>
    <w:rsid w:val="5E417FA1"/>
    <w:rsid w:val="5E9D13E5"/>
    <w:rsid w:val="5EE65A13"/>
    <w:rsid w:val="5F005D5D"/>
    <w:rsid w:val="5F25381A"/>
    <w:rsid w:val="5F7D6F40"/>
    <w:rsid w:val="5F9402F8"/>
    <w:rsid w:val="5FFC2665"/>
    <w:rsid w:val="6068071E"/>
    <w:rsid w:val="60B75434"/>
    <w:rsid w:val="60BA6832"/>
    <w:rsid w:val="610B60F5"/>
    <w:rsid w:val="613D2F35"/>
    <w:rsid w:val="616917F4"/>
    <w:rsid w:val="616D1696"/>
    <w:rsid w:val="61E05B13"/>
    <w:rsid w:val="61FB0611"/>
    <w:rsid w:val="620211EE"/>
    <w:rsid w:val="620A6F9C"/>
    <w:rsid w:val="620E7D05"/>
    <w:rsid w:val="62683FE2"/>
    <w:rsid w:val="62D858F4"/>
    <w:rsid w:val="630767F0"/>
    <w:rsid w:val="63085C8B"/>
    <w:rsid w:val="63BB5F54"/>
    <w:rsid w:val="64832D23"/>
    <w:rsid w:val="64880BC5"/>
    <w:rsid w:val="64AF6728"/>
    <w:rsid w:val="652517CA"/>
    <w:rsid w:val="655C06CA"/>
    <w:rsid w:val="656C0839"/>
    <w:rsid w:val="66657381"/>
    <w:rsid w:val="668B248D"/>
    <w:rsid w:val="668B7D9E"/>
    <w:rsid w:val="66D54724"/>
    <w:rsid w:val="66F07C82"/>
    <w:rsid w:val="671A1983"/>
    <w:rsid w:val="67743E38"/>
    <w:rsid w:val="677469D6"/>
    <w:rsid w:val="679A3947"/>
    <w:rsid w:val="682938C8"/>
    <w:rsid w:val="6844766A"/>
    <w:rsid w:val="68454482"/>
    <w:rsid w:val="686C3ECB"/>
    <w:rsid w:val="68B95954"/>
    <w:rsid w:val="68C023AC"/>
    <w:rsid w:val="68CC2DDB"/>
    <w:rsid w:val="69472803"/>
    <w:rsid w:val="694B0900"/>
    <w:rsid w:val="6979068B"/>
    <w:rsid w:val="697E4DE2"/>
    <w:rsid w:val="69AC611D"/>
    <w:rsid w:val="6A3640A9"/>
    <w:rsid w:val="6A40297F"/>
    <w:rsid w:val="6A717DCE"/>
    <w:rsid w:val="6A7C74F7"/>
    <w:rsid w:val="6A862066"/>
    <w:rsid w:val="6AB36E88"/>
    <w:rsid w:val="6AE57834"/>
    <w:rsid w:val="6B1C0782"/>
    <w:rsid w:val="6B2C0D35"/>
    <w:rsid w:val="6B56374E"/>
    <w:rsid w:val="6B8F4AC4"/>
    <w:rsid w:val="6B910B23"/>
    <w:rsid w:val="6B935BAC"/>
    <w:rsid w:val="6CA541BB"/>
    <w:rsid w:val="6D780672"/>
    <w:rsid w:val="6DAA2819"/>
    <w:rsid w:val="6DEA577A"/>
    <w:rsid w:val="6E18201D"/>
    <w:rsid w:val="6E33784F"/>
    <w:rsid w:val="6E426274"/>
    <w:rsid w:val="6E4E30E2"/>
    <w:rsid w:val="6E822F8D"/>
    <w:rsid w:val="6ECE5CFE"/>
    <w:rsid w:val="6F5F270C"/>
    <w:rsid w:val="6FC821E7"/>
    <w:rsid w:val="701019B8"/>
    <w:rsid w:val="70203102"/>
    <w:rsid w:val="70AE03F6"/>
    <w:rsid w:val="70C80492"/>
    <w:rsid w:val="711340D8"/>
    <w:rsid w:val="71432719"/>
    <w:rsid w:val="71742B42"/>
    <w:rsid w:val="71BC14C6"/>
    <w:rsid w:val="72157EBD"/>
    <w:rsid w:val="72352B20"/>
    <w:rsid w:val="727809EA"/>
    <w:rsid w:val="73504CEC"/>
    <w:rsid w:val="73612518"/>
    <w:rsid w:val="73950252"/>
    <w:rsid w:val="739B362E"/>
    <w:rsid w:val="73AF7D9B"/>
    <w:rsid w:val="7400692D"/>
    <w:rsid w:val="74946045"/>
    <w:rsid w:val="74FD0238"/>
    <w:rsid w:val="751F3136"/>
    <w:rsid w:val="755B70A7"/>
    <w:rsid w:val="75605858"/>
    <w:rsid w:val="758E56CE"/>
    <w:rsid w:val="75961C40"/>
    <w:rsid w:val="75CD164B"/>
    <w:rsid w:val="75D570B7"/>
    <w:rsid w:val="75F74FCF"/>
    <w:rsid w:val="76671439"/>
    <w:rsid w:val="76704986"/>
    <w:rsid w:val="76876280"/>
    <w:rsid w:val="76C70DAC"/>
    <w:rsid w:val="773B7BD2"/>
    <w:rsid w:val="77730BA5"/>
    <w:rsid w:val="777C520B"/>
    <w:rsid w:val="777D05BA"/>
    <w:rsid w:val="77B93BA5"/>
    <w:rsid w:val="77CF5FDC"/>
    <w:rsid w:val="77E42349"/>
    <w:rsid w:val="787A6FED"/>
    <w:rsid w:val="79A23FBB"/>
    <w:rsid w:val="79BA13AB"/>
    <w:rsid w:val="7A090557"/>
    <w:rsid w:val="7A1C7A41"/>
    <w:rsid w:val="7AA70613"/>
    <w:rsid w:val="7AB1513F"/>
    <w:rsid w:val="7B2A33CB"/>
    <w:rsid w:val="7B3F192C"/>
    <w:rsid w:val="7BCA5FF7"/>
    <w:rsid w:val="7C5F74F0"/>
    <w:rsid w:val="7CC1340A"/>
    <w:rsid w:val="7D5B342E"/>
    <w:rsid w:val="7D6E53F7"/>
    <w:rsid w:val="7D7129D8"/>
    <w:rsid w:val="7D7B1D74"/>
    <w:rsid w:val="7D93553C"/>
    <w:rsid w:val="7DCE2025"/>
    <w:rsid w:val="7E17093E"/>
    <w:rsid w:val="7E2143D5"/>
    <w:rsid w:val="7E8F3314"/>
    <w:rsid w:val="7E9A0301"/>
    <w:rsid w:val="7EA0301F"/>
    <w:rsid w:val="7ED10491"/>
    <w:rsid w:val="7EFB0614"/>
    <w:rsid w:val="7F0B618A"/>
    <w:rsid w:val="7F2B27A3"/>
    <w:rsid w:val="7F334873"/>
    <w:rsid w:val="7F942E9B"/>
    <w:rsid w:val="7F972780"/>
    <w:rsid w:val="7FA773EE"/>
    <w:rsid w:val="7FD23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3"/>
    <w:qFormat/>
    <w:uiPriority w:val="0"/>
    <w:pPr>
      <w:keepNext/>
      <w:keepLines/>
      <w:spacing w:before="100" w:after="90" w:line="576" w:lineRule="auto"/>
      <w:jc w:val="center"/>
      <w:outlineLvl w:val="0"/>
    </w:pPr>
    <w:rPr>
      <w:b/>
      <w:kern w:val="44"/>
      <w:sz w:val="36"/>
      <w:szCs w:val="44"/>
    </w:rPr>
  </w:style>
  <w:style w:type="paragraph" w:styleId="4">
    <w:name w:val="heading 2"/>
    <w:basedOn w:val="1"/>
    <w:next w:val="1"/>
    <w:link w:val="52"/>
    <w:unhideWhenUsed/>
    <w:qFormat/>
    <w:uiPriority w:val="0"/>
    <w:pPr>
      <w:keepNext/>
      <w:keepLines/>
      <w:spacing w:before="240" w:after="240"/>
      <w:outlineLvl w:val="1"/>
    </w:pPr>
    <w:rPr>
      <w:rFonts w:ascii="Arial" w:hAnsi="Arial"/>
      <w:b/>
    </w:rPr>
  </w:style>
  <w:style w:type="paragraph" w:styleId="5">
    <w:name w:val="heading 3"/>
    <w:basedOn w:val="1"/>
    <w:next w:val="1"/>
    <w:link w:val="35"/>
    <w:semiHidden/>
    <w:unhideWhenUsed/>
    <w:qFormat/>
    <w:uiPriority w:val="0"/>
    <w:pPr>
      <w:keepNext/>
      <w:keepLines/>
      <w:jc w:val="left"/>
      <w:outlineLvl w:val="2"/>
    </w:pPr>
    <w:rPr>
      <w:b/>
      <w:bCs/>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 w:val="11"/>
      <w:szCs w:val="20"/>
    </w:rPr>
  </w:style>
  <w:style w:type="paragraph" w:styleId="6">
    <w:name w:val="Normal Indent"/>
    <w:basedOn w:val="1"/>
    <w:next w:val="1"/>
    <w:unhideWhenUsed/>
    <w:qFormat/>
    <w:uiPriority w:val="99"/>
    <w:pPr>
      <w:ind w:firstLine="420" w:firstLineChars="200"/>
    </w:pPr>
  </w:style>
  <w:style w:type="paragraph" w:styleId="7">
    <w:name w:val="index 5"/>
    <w:basedOn w:val="1"/>
    <w:next w:val="1"/>
    <w:qFormat/>
    <w:uiPriority w:val="0"/>
    <w:pPr>
      <w:ind w:left="800" w:leftChars="800"/>
    </w:p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Body Text"/>
    <w:basedOn w:val="1"/>
    <w:next w:val="1"/>
    <w:qFormat/>
    <w:uiPriority w:val="0"/>
    <w:pPr>
      <w:spacing w:after="120"/>
    </w:pPr>
    <w:rPr>
      <w:sz w:val="21"/>
    </w:rPr>
  </w:style>
  <w:style w:type="paragraph" w:styleId="10">
    <w:name w:val="Body Text Indent"/>
    <w:basedOn w:val="1"/>
    <w:next w:val="11"/>
    <w:qFormat/>
    <w:uiPriority w:val="0"/>
    <w:pPr>
      <w:spacing w:after="120"/>
      <w:ind w:left="420" w:leftChars="200"/>
    </w:pPr>
    <w:rPr>
      <w:kern w:val="0"/>
      <w:sz w:val="20"/>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List 2"/>
    <w:basedOn w:val="1"/>
    <w:qFormat/>
    <w:uiPriority w:val="99"/>
    <w:pPr>
      <w:ind w:left="100" w:leftChars="200" w:hanging="200" w:hangingChars="200"/>
      <w:contextualSpacing/>
    </w:pPr>
  </w:style>
  <w:style w:type="paragraph" w:styleId="13">
    <w:name w:val="toc 3"/>
    <w:basedOn w:val="1"/>
    <w:next w:val="1"/>
    <w:qFormat/>
    <w:uiPriority w:val="0"/>
    <w:pPr>
      <w:ind w:left="840" w:leftChars="400"/>
    </w:pPr>
  </w:style>
  <w:style w:type="paragraph" w:styleId="14">
    <w:name w:val="Date"/>
    <w:basedOn w:val="1"/>
    <w:next w:val="1"/>
    <w:qFormat/>
    <w:uiPriority w:val="0"/>
    <w:rPr>
      <w:sz w:val="24"/>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qFormat/>
    <w:uiPriority w:val="0"/>
  </w:style>
  <w:style w:type="paragraph" w:styleId="18">
    <w:name w:val="List"/>
    <w:basedOn w:val="1"/>
    <w:qFormat/>
    <w:uiPriority w:val="0"/>
    <w:pPr>
      <w:numPr>
        <w:ilvl w:val="0"/>
        <w:numId w:val="1"/>
      </w:numPr>
      <w:tabs>
        <w:tab w:val="center" w:pos="425"/>
      </w:tabs>
      <w:spacing w:line="360" w:lineRule="auto"/>
    </w:pPr>
    <w:rPr>
      <w:rFonts w:ascii="Arial" w:hAnsi="Arial"/>
      <w:kern w:val="0"/>
      <w:sz w:val="24"/>
    </w:rPr>
  </w:style>
  <w:style w:type="paragraph" w:styleId="19">
    <w:name w:val="footnote text"/>
    <w:basedOn w:val="1"/>
    <w:next w:val="7"/>
    <w:qFormat/>
    <w:uiPriority w:val="0"/>
    <w:pPr>
      <w:adjustRightInd w:val="0"/>
      <w:spacing w:line="312" w:lineRule="atLeast"/>
      <w:jc w:val="left"/>
      <w:textAlignment w:val="baseline"/>
    </w:pPr>
    <w:rPr>
      <w:kern w:val="0"/>
      <w:sz w:val="18"/>
      <w:szCs w:val="20"/>
    </w:rPr>
  </w:style>
  <w:style w:type="paragraph" w:styleId="20">
    <w:name w:val="toc 2"/>
    <w:basedOn w:val="1"/>
    <w:next w:val="1"/>
    <w:qFormat/>
    <w:uiPriority w:val="0"/>
    <w:pPr>
      <w:ind w:left="420" w:leftChars="200"/>
    </w:pPr>
  </w:style>
  <w:style w:type="paragraph" w:styleId="21">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2">
    <w:name w:val="Normal (Web)"/>
    <w:basedOn w:val="1"/>
    <w:qFormat/>
    <w:uiPriority w:val="0"/>
    <w:pPr>
      <w:spacing w:beforeAutospacing="1" w:afterAutospacing="1"/>
      <w:jc w:val="left"/>
    </w:pPr>
    <w:rPr>
      <w:kern w:val="0"/>
    </w:rPr>
  </w:style>
  <w:style w:type="paragraph" w:styleId="23">
    <w:name w:val="Body Text First Indent"/>
    <w:basedOn w:val="9"/>
    <w:qFormat/>
    <w:uiPriority w:val="0"/>
    <w:pPr>
      <w:widowControl/>
      <w:ind w:firstLine="420"/>
      <w:jc w:val="left"/>
    </w:pPr>
    <w:rPr>
      <w:kern w:val="0"/>
      <w:sz w:val="20"/>
    </w:rPr>
  </w:style>
  <w:style w:type="paragraph" w:styleId="24">
    <w:name w:val="Body Text First Indent 2"/>
    <w:basedOn w:val="10"/>
    <w:qFormat/>
    <w:uiPriority w:val="0"/>
    <w:pPr>
      <w:ind w:firstLine="420" w:firstLineChars="20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link w:val="1"/>
    <w:qFormat/>
    <w:uiPriority w:val="0"/>
    <w:rPr>
      <w:rFonts w:ascii="Times New Roman" w:hAnsi="Times New Roman" w:eastAsia="宋体" w:cs="Times New Roman"/>
      <w:kern w:val="2"/>
      <w:sz w:val="24"/>
      <w:szCs w:val="24"/>
      <w:lang w:val="en-US" w:eastAsia="zh-CN" w:bidi="ar-SA"/>
    </w:rPr>
  </w:style>
  <w:style w:type="character" w:styleId="29">
    <w:name w:val="page number"/>
    <w:basedOn w:val="27"/>
    <w:qFormat/>
    <w:uiPriority w:val="0"/>
  </w:style>
  <w:style w:type="character" w:styleId="30">
    <w:name w:val="FollowedHyperlink"/>
    <w:basedOn w:val="27"/>
    <w:qFormat/>
    <w:uiPriority w:val="0"/>
    <w:rPr>
      <w:color w:val="000000"/>
      <w:sz w:val="18"/>
      <w:szCs w:val="18"/>
      <w:u w:val="none"/>
    </w:rPr>
  </w:style>
  <w:style w:type="character" w:styleId="31">
    <w:name w:val="Hyperlink"/>
    <w:basedOn w:val="27"/>
    <w:qFormat/>
    <w:uiPriority w:val="0"/>
    <w:rPr>
      <w:color w:val="000000"/>
      <w:sz w:val="18"/>
      <w:szCs w:val="18"/>
      <w:u w:val="none"/>
    </w:rPr>
  </w:style>
  <w:style w:type="character" w:styleId="32">
    <w:name w:val="HTML Sample"/>
    <w:basedOn w:val="27"/>
    <w:qFormat/>
    <w:uiPriority w:val="0"/>
    <w:rPr>
      <w:rFonts w:ascii="Courier New" w:hAnsi="Courier New"/>
    </w:rPr>
  </w:style>
  <w:style w:type="paragraph" w:customStyle="1" w:styleId="33">
    <w:name w:val="样式1"/>
    <w:basedOn w:val="8"/>
    <w:qFormat/>
    <w:uiPriority w:val="0"/>
  </w:style>
  <w:style w:type="paragraph" w:customStyle="1" w:styleId="34">
    <w:name w:val="文本正文"/>
    <w:basedOn w:val="1"/>
    <w:qFormat/>
    <w:uiPriority w:val="0"/>
    <w:pPr>
      <w:spacing w:afterLines="50"/>
      <w:ind w:firstLine="200" w:firstLineChars="200"/>
      <w:jc w:val="left"/>
    </w:pPr>
    <w:rPr>
      <w:rFonts w:ascii="Calibri" w:hAnsi="Calibri"/>
      <w:szCs w:val="22"/>
      <w:lang w:bidi="en-US"/>
    </w:rPr>
  </w:style>
  <w:style w:type="character" w:customStyle="1" w:styleId="35">
    <w:name w:val="标题 3 字符"/>
    <w:basedOn w:val="27"/>
    <w:link w:val="5"/>
    <w:qFormat/>
    <w:uiPriority w:val="0"/>
    <w:rPr>
      <w:rFonts w:ascii="Times New Roman" w:hAnsi="Times New Roman" w:eastAsia="宋体"/>
      <w:b/>
      <w:bCs/>
      <w:sz w:val="24"/>
      <w:szCs w:val="32"/>
      <w:lang w:bidi="ar-SA"/>
    </w:rPr>
  </w:style>
  <w:style w:type="character" w:customStyle="1" w:styleId="36">
    <w:name w:val="font31"/>
    <w:basedOn w:val="27"/>
    <w:qFormat/>
    <w:uiPriority w:val="0"/>
    <w:rPr>
      <w:rFonts w:hint="eastAsia" w:ascii="宋体" w:hAnsi="宋体" w:eastAsia="宋体" w:cs="宋体"/>
      <w:color w:val="000000"/>
      <w:sz w:val="20"/>
      <w:szCs w:val="20"/>
      <w:u w:val="none"/>
    </w:rPr>
  </w:style>
  <w:style w:type="character" w:customStyle="1" w:styleId="37">
    <w:name w:val="font01"/>
    <w:basedOn w:val="27"/>
    <w:qFormat/>
    <w:uiPriority w:val="0"/>
    <w:rPr>
      <w:rFonts w:hint="eastAsia" w:ascii="宋体" w:hAnsi="宋体" w:eastAsia="宋体" w:cs="宋体"/>
      <w:color w:val="000000"/>
      <w:sz w:val="22"/>
      <w:szCs w:val="22"/>
      <w:u w:val="none"/>
    </w:rPr>
  </w:style>
  <w:style w:type="character" w:customStyle="1" w:styleId="38">
    <w:name w:val="font21"/>
    <w:basedOn w:val="27"/>
    <w:qFormat/>
    <w:uiPriority w:val="0"/>
    <w:rPr>
      <w:rFonts w:hint="eastAsia" w:ascii="宋体" w:hAnsi="宋体" w:eastAsia="宋体" w:cs="宋体"/>
      <w:color w:val="000000"/>
      <w:sz w:val="24"/>
      <w:szCs w:val="24"/>
      <w:u w:val="none"/>
    </w:rPr>
  </w:style>
  <w:style w:type="character" w:customStyle="1" w:styleId="39">
    <w:name w:val="font11"/>
    <w:basedOn w:val="27"/>
    <w:qFormat/>
    <w:uiPriority w:val="0"/>
    <w:rPr>
      <w:rFonts w:hint="eastAsia" w:ascii="宋体" w:hAnsi="宋体" w:eastAsia="宋体" w:cs="宋体"/>
      <w:color w:val="000000"/>
      <w:sz w:val="20"/>
      <w:szCs w:val="20"/>
      <w:u w:val="none"/>
      <w:vertAlign w:val="superscript"/>
    </w:rPr>
  </w:style>
  <w:style w:type="character" w:customStyle="1" w:styleId="40">
    <w:name w:val="标题 2 字符"/>
    <w:link w:val="4"/>
    <w:qFormat/>
    <w:uiPriority w:val="0"/>
    <w:rPr>
      <w:rFonts w:ascii="Arial" w:hAnsi="Arial" w:eastAsia="宋体"/>
      <w:b/>
      <w:sz w:val="24"/>
      <w:szCs w:val="24"/>
      <w:lang w:bidi="ar-SA"/>
    </w:rPr>
  </w:style>
  <w:style w:type="paragraph" w:customStyle="1" w:styleId="41">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42">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43">
    <w:name w:val="标题 1 字符"/>
    <w:link w:val="3"/>
    <w:qFormat/>
    <w:uiPriority w:val="0"/>
    <w:rPr>
      <w:rFonts w:ascii="Times New Roman" w:hAnsi="Times New Roman" w:eastAsia="宋体"/>
      <w:b/>
      <w:kern w:val="44"/>
      <w:sz w:val="36"/>
      <w:szCs w:val="44"/>
    </w:rPr>
  </w:style>
  <w:style w:type="paragraph" w:customStyle="1" w:styleId="44">
    <w:name w:val="正文缩进1"/>
    <w:basedOn w:val="1"/>
    <w:qFormat/>
    <w:uiPriority w:val="0"/>
    <w:pPr>
      <w:autoSpaceDE w:val="0"/>
      <w:autoSpaceDN w:val="0"/>
      <w:adjustRightInd w:val="0"/>
      <w:ind w:firstLine="420"/>
    </w:pPr>
    <w:rPr>
      <w:rFonts w:ascii="宋体" w:hAnsiTheme="minorHAnsi" w:eastAsiaTheme="minorEastAsia" w:cstheme="minorBidi"/>
      <w:szCs w:val="22"/>
    </w:rPr>
  </w:style>
  <w:style w:type="paragraph" w:customStyle="1" w:styleId="45">
    <w:name w:val="纯文本1"/>
    <w:basedOn w:val="1"/>
    <w:qFormat/>
    <w:uiPriority w:val="0"/>
    <w:rPr>
      <w:rFonts w:ascii="宋体" w:hAnsi="Courier New"/>
      <w:szCs w:val="22"/>
    </w:rPr>
  </w:style>
  <w:style w:type="character" w:customStyle="1" w:styleId="46">
    <w:name w:val="font61"/>
    <w:basedOn w:val="27"/>
    <w:qFormat/>
    <w:uiPriority w:val="0"/>
    <w:rPr>
      <w:rFonts w:hint="eastAsia" w:ascii="宋体" w:hAnsi="宋体" w:eastAsia="宋体" w:cs="宋体"/>
      <w:color w:val="FF0000"/>
      <w:sz w:val="20"/>
      <w:szCs w:val="20"/>
      <w:u w:val="none"/>
    </w:rPr>
  </w:style>
  <w:style w:type="paragraph" w:customStyle="1" w:styleId="47">
    <w:name w:val="Table Paragraph"/>
    <w:basedOn w:val="1"/>
    <w:qFormat/>
    <w:uiPriority w:val="99"/>
  </w:style>
  <w:style w:type="paragraph" w:styleId="48">
    <w:name w:val="List Paragraph"/>
    <w:basedOn w:val="1"/>
    <w:qFormat/>
    <w:uiPriority w:val="99"/>
    <w:pPr>
      <w:ind w:firstLine="420" w:firstLineChars="200"/>
    </w:pPr>
  </w:style>
  <w:style w:type="paragraph" w:customStyle="1" w:styleId="49">
    <w:name w:val="WPSOffice手动目录 1"/>
    <w:qFormat/>
    <w:uiPriority w:val="0"/>
    <w:pPr>
      <w:ind w:leftChars="0"/>
    </w:pPr>
    <w:rPr>
      <w:rFonts w:ascii="Times New Roman" w:hAnsi="Times New Roman" w:eastAsia="宋体" w:cs="Times New Roman"/>
      <w:sz w:val="20"/>
      <w:szCs w:val="20"/>
    </w:rPr>
  </w:style>
  <w:style w:type="paragraph" w:customStyle="1" w:styleId="5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标题 2 Char"/>
    <w:link w:val="4"/>
    <w:qFormat/>
    <w:uiPriority w:val="0"/>
    <w:rPr>
      <w:rFonts w:ascii="Cambria" w:hAnsi="Cambria" w:eastAsia="宋体" w:cs="Times New Roman"/>
      <w:b/>
      <w:bCs/>
      <w:kern w:val="2"/>
      <w:sz w:val="24"/>
      <w:szCs w:val="32"/>
    </w:rPr>
  </w:style>
  <w:style w:type="character" w:customStyle="1" w:styleId="53">
    <w:name w:val="NormalCharacter"/>
    <w:qFormat/>
    <w:uiPriority w:val="0"/>
    <w:rPr>
      <w:sz w:val="20"/>
    </w:rPr>
  </w:style>
  <w:style w:type="character" w:customStyle="1" w:styleId="54">
    <w:name w:val="qxdate"/>
    <w:basedOn w:val="27"/>
    <w:qFormat/>
    <w:uiPriority w:val="0"/>
    <w:rPr>
      <w:color w:val="333333"/>
      <w:sz w:val="18"/>
      <w:szCs w:val="18"/>
    </w:rPr>
  </w:style>
  <w:style w:type="character" w:customStyle="1" w:styleId="55">
    <w:name w:val="cfdate"/>
    <w:basedOn w:val="27"/>
    <w:qFormat/>
    <w:uiPriority w:val="0"/>
    <w:rPr>
      <w:color w:val="333333"/>
      <w:sz w:val="18"/>
      <w:szCs w:val="18"/>
    </w:rPr>
  </w:style>
  <w:style w:type="character" w:customStyle="1" w:styleId="56">
    <w:name w:val="redfilenumber"/>
    <w:basedOn w:val="27"/>
    <w:qFormat/>
    <w:uiPriority w:val="0"/>
    <w:rPr>
      <w:color w:val="BA2636"/>
      <w:sz w:val="18"/>
      <w:szCs w:val="18"/>
    </w:rPr>
  </w:style>
  <w:style w:type="character" w:customStyle="1" w:styleId="57">
    <w:name w:val="displayarti"/>
    <w:basedOn w:val="27"/>
    <w:qFormat/>
    <w:uiPriority w:val="0"/>
    <w:rPr>
      <w:color w:val="FFFFFF"/>
      <w:shd w:val="clear" w:fill="A00000"/>
    </w:rPr>
  </w:style>
  <w:style w:type="character" w:customStyle="1" w:styleId="58">
    <w:name w:val="redfilefwwh"/>
    <w:basedOn w:val="27"/>
    <w:qFormat/>
    <w:uiPriority w:val="0"/>
    <w:rPr>
      <w:color w:val="BA2636"/>
      <w:sz w:val="18"/>
      <w:szCs w:val="18"/>
    </w:rPr>
  </w:style>
  <w:style w:type="character" w:customStyle="1" w:styleId="59">
    <w:name w:val="gjfg"/>
    <w:basedOn w:val="27"/>
    <w:qFormat/>
    <w:uiPriority w:val="0"/>
  </w:style>
  <w:style w:type="character" w:customStyle="1" w:styleId="60">
    <w:name w:val="next"/>
    <w:basedOn w:val="27"/>
    <w:qFormat/>
    <w:uiPriority w:val="0"/>
    <w:rPr>
      <w:rFonts w:ascii="微软雅黑" w:hAnsi="微软雅黑" w:eastAsia="微软雅黑" w:cs="微软雅黑"/>
      <w:sz w:val="21"/>
      <w:szCs w:val="21"/>
    </w:rPr>
  </w:style>
  <w:style w:type="character" w:customStyle="1" w:styleId="61">
    <w:name w:val="next1"/>
    <w:basedOn w:val="27"/>
    <w:qFormat/>
    <w:uiPriority w:val="0"/>
    <w:rPr>
      <w:color w:val="888888"/>
    </w:rPr>
  </w:style>
  <w:style w:type="character" w:customStyle="1" w:styleId="62">
    <w:name w:val="prev"/>
    <w:basedOn w:val="27"/>
    <w:qFormat/>
    <w:uiPriority w:val="0"/>
    <w:rPr>
      <w:rFonts w:hint="eastAsia" w:ascii="微软雅黑" w:hAnsi="微软雅黑" w:eastAsia="微软雅黑" w:cs="微软雅黑"/>
      <w:sz w:val="21"/>
      <w:szCs w:val="21"/>
    </w:rPr>
  </w:style>
  <w:style w:type="character" w:customStyle="1" w:styleId="63">
    <w:name w:val="prev1"/>
    <w:basedOn w:val="27"/>
    <w:qFormat/>
    <w:uiPriority w:val="0"/>
    <w:rPr>
      <w:color w:val="88888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21723</Words>
  <Characters>23271</Characters>
  <Lines>237</Lines>
  <Paragraphs>66</Paragraphs>
  <TotalTime>13</TotalTime>
  <ScaleCrop>false</ScaleCrop>
  <LinksUpToDate>false</LinksUpToDate>
  <CharactersWithSpaces>25771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2018-03-31T06:59:00Z</dcterms:created>
  <dc:creator>20161116IHOOH-PC</dc:creator>
  <cp:lastModifiedBy>WPS_1545099414</cp:lastModifiedBy>
  <cp:lastPrinted>2022-04-14T08:55:00Z</cp:lastPrinted>
  <dcterms:modified xsi:type="dcterms:W3CDTF">2022-05-12T15:54:32Z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FA5B40E4ED1B475D996B14860C6A73BB</vt:lpwstr>
  </property>
</Properties>
</file>