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left" w:pos="2220"/>
        </w:tabs>
        <w:jc w:val="both"/>
        <w:rPr>
          <w:rFonts w:ascii="黑体" w:hAnsi="宋体" w:eastAsia="黑体"/>
          <w:b/>
          <w:sz w:val="48"/>
          <w:szCs w:val="48"/>
        </w:rPr>
      </w:pPr>
    </w:p>
    <w:p>
      <w:pPr>
        <w:pStyle w:val="37"/>
        <w:jc w:val="center"/>
        <w:rPr>
          <w:rFonts w:ascii="黑体" w:hAnsi="宋体" w:eastAsia="黑体"/>
          <w:b/>
          <w:sz w:val="48"/>
          <w:szCs w:val="48"/>
        </w:rPr>
      </w:pPr>
    </w:p>
    <w:p>
      <w:pPr>
        <w:pStyle w:val="37"/>
        <w:jc w:val="center"/>
        <w:rPr>
          <w:rFonts w:ascii="黑体" w:hAnsi="宋体" w:eastAsia="黑体"/>
          <w:b/>
          <w:color w:val="auto"/>
          <w:sz w:val="48"/>
          <w:szCs w:val="48"/>
        </w:rPr>
      </w:pPr>
    </w:p>
    <w:p>
      <w:pPr>
        <w:pStyle w:val="37"/>
        <w:jc w:val="center"/>
        <w:rPr>
          <w:rFonts w:hint="eastAsia" w:ascii="宋体" w:hAnsi="宋体" w:cs="宋体"/>
          <w:b/>
          <w:sz w:val="48"/>
          <w:szCs w:val="48"/>
          <w:lang w:val="en-US" w:eastAsia="zh-CN"/>
        </w:rPr>
      </w:pPr>
      <w:r>
        <w:rPr>
          <w:rFonts w:hint="eastAsia" w:ascii="宋体" w:hAnsi="宋体" w:cs="宋体"/>
          <w:b/>
          <w:sz w:val="48"/>
          <w:szCs w:val="48"/>
          <w:lang w:val="en-US" w:eastAsia="zh-CN"/>
        </w:rPr>
        <w:t>木垒县人民医院能力提升项目医疗设备</w:t>
      </w:r>
    </w:p>
    <w:p>
      <w:pPr>
        <w:pStyle w:val="37"/>
        <w:jc w:val="center"/>
        <w:rPr>
          <w:rFonts w:hint="default" w:ascii="黑体" w:hAnsi="黑体" w:eastAsia="黑体" w:cs="黑体"/>
          <w:b/>
          <w:bCs/>
          <w:color w:val="auto"/>
          <w:sz w:val="48"/>
          <w:szCs w:val="48"/>
          <w:lang w:val="en-US"/>
        </w:rPr>
      </w:pPr>
      <w:r>
        <w:rPr>
          <w:rFonts w:hint="eastAsia" w:ascii="宋体" w:hAnsi="宋体" w:cs="宋体"/>
          <w:b/>
          <w:sz w:val="48"/>
          <w:szCs w:val="48"/>
          <w:lang w:eastAsia="zh-CN"/>
        </w:rPr>
        <w:t>第十九包采购</w:t>
      </w:r>
    </w:p>
    <w:p>
      <w:pPr>
        <w:pStyle w:val="37"/>
        <w:rPr>
          <w:rFonts w:ascii="宋体" w:hAnsi="宋体"/>
          <w:color w:val="auto"/>
          <w:sz w:val="32"/>
        </w:rPr>
      </w:pPr>
    </w:p>
    <w:p>
      <w:pPr>
        <w:pStyle w:val="37"/>
        <w:rPr>
          <w:rFonts w:ascii="宋体" w:hAnsi="宋体"/>
          <w:color w:val="auto"/>
          <w:sz w:val="32"/>
        </w:rPr>
      </w:pPr>
    </w:p>
    <w:p>
      <w:pPr>
        <w:pStyle w:val="37"/>
        <w:jc w:val="center"/>
        <w:rPr>
          <w:rFonts w:ascii="黑体" w:hAnsi="华文中宋" w:eastAsia="黑体"/>
          <w:color w:val="auto"/>
          <w:sz w:val="96"/>
        </w:rPr>
      </w:pPr>
      <w:r>
        <w:rPr>
          <w:rFonts w:hint="eastAsia" w:ascii="黑体" w:hAnsi="华文中宋" w:eastAsia="黑体"/>
          <w:color w:val="auto"/>
          <w:sz w:val="96"/>
          <w:szCs w:val="112"/>
        </w:rPr>
        <w:t>公开招标文件</w:t>
      </w:r>
    </w:p>
    <w:p>
      <w:pPr>
        <w:pStyle w:val="37"/>
        <w:ind w:firstLine="1920" w:firstLineChars="600"/>
        <w:rPr>
          <w:rFonts w:ascii="黑体" w:hAnsi="宋体" w:eastAsia="黑体"/>
          <w:color w:val="auto"/>
          <w:sz w:val="32"/>
        </w:rPr>
      </w:pPr>
    </w:p>
    <w:p>
      <w:pPr>
        <w:pStyle w:val="37"/>
        <w:ind w:firstLine="1920" w:firstLineChars="600"/>
        <w:rPr>
          <w:rFonts w:ascii="黑体" w:hAnsi="宋体" w:eastAsia="黑体"/>
          <w:color w:val="auto"/>
          <w:sz w:val="32"/>
        </w:rPr>
      </w:pPr>
    </w:p>
    <w:p>
      <w:pPr>
        <w:pStyle w:val="37"/>
        <w:ind w:firstLine="1920" w:firstLineChars="600"/>
        <w:rPr>
          <w:rFonts w:ascii="黑体" w:hAnsi="宋体" w:eastAsia="黑体"/>
          <w:color w:val="auto"/>
          <w:sz w:val="32"/>
        </w:rPr>
      </w:pPr>
    </w:p>
    <w:p>
      <w:pPr>
        <w:pStyle w:val="37"/>
        <w:ind w:firstLine="1928" w:firstLineChars="600"/>
        <w:jc w:val="both"/>
        <w:rPr>
          <w:rFonts w:ascii="仿宋_GB2312" w:hAnsi="宋体" w:eastAsia="仿宋_GB2312"/>
          <w:b/>
          <w:color w:val="auto"/>
          <w:sz w:val="32"/>
          <w:szCs w:val="31"/>
        </w:rPr>
      </w:pPr>
    </w:p>
    <w:p>
      <w:pPr>
        <w:pStyle w:val="37"/>
        <w:ind w:firstLine="1928" w:firstLineChars="600"/>
        <w:jc w:val="both"/>
        <w:rPr>
          <w:rFonts w:ascii="仿宋_GB2312" w:hAnsi="宋体" w:eastAsia="仿宋_GB2312"/>
          <w:b/>
          <w:color w:val="auto"/>
          <w:sz w:val="32"/>
          <w:szCs w:val="31"/>
        </w:rPr>
      </w:pPr>
    </w:p>
    <w:p>
      <w:pPr>
        <w:pStyle w:val="37"/>
        <w:ind w:firstLine="1928" w:firstLineChars="600"/>
        <w:jc w:val="both"/>
        <w:rPr>
          <w:rFonts w:hint="default" w:ascii="仿宋_GB2312" w:hAnsi="宋体" w:eastAsia="仿宋_GB2312"/>
          <w:b/>
          <w:color w:val="auto"/>
          <w:sz w:val="32"/>
          <w:szCs w:val="31"/>
          <w:lang w:val="en-US" w:eastAsia="zh-CN"/>
        </w:rPr>
      </w:pPr>
      <w:r>
        <w:rPr>
          <w:rFonts w:hint="eastAsia" w:ascii="仿宋_GB2312" w:hAnsi="宋体" w:eastAsia="仿宋_GB2312"/>
          <w:b/>
          <w:color w:val="auto"/>
          <w:sz w:val="32"/>
          <w:szCs w:val="31"/>
        </w:rPr>
        <w:t>文件编号：</w:t>
      </w:r>
      <w:r>
        <w:rPr>
          <w:rFonts w:hint="eastAsia" w:ascii="楷体_GB2312" w:hAnsi="宋体" w:eastAsia="楷体_GB2312"/>
          <w:b/>
          <w:color w:val="auto"/>
          <w:sz w:val="32"/>
          <w:szCs w:val="31"/>
          <w:u w:val="single"/>
          <w:lang w:eastAsia="zh-CN"/>
        </w:rPr>
        <w:t>XJTQ2022ZB10-CG004</w:t>
      </w:r>
    </w:p>
    <w:p>
      <w:pPr>
        <w:pStyle w:val="37"/>
        <w:ind w:firstLine="1928" w:firstLineChars="600"/>
        <w:jc w:val="both"/>
        <w:rPr>
          <w:rFonts w:hint="eastAsia" w:ascii="楷体_GB2312" w:hAnsi="宋体" w:eastAsia="楷体_GB2312"/>
          <w:b/>
          <w:color w:val="auto"/>
          <w:sz w:val="32"/>
          <w:szCs w:val="31"/>
          <w:u w:val="single"/>
          <w:lang w:eastAsia="zh-CN"/>
        </w:rPr>
      </w:pPr>
      <w:r>
        <w:rPr>
          <w:rFonts w:hint="eastAsia" w:ascii="仿宋_GB2312" w:hAnsi="宋体" w:eastAsia="仿宋_GB2312"/>
          <w:b/>
          <w:color w:val="auto"/>
          <w:sz w:val="32"/>
          <w:szCs w:val="31"/>
        </w:rPr>
        <w:t>采购人</w:t>
      </w:r>
      <w:r>
        <w:rPr>
          <w:rFonts w:hint="eastAsia" w:ascii="黑体" w:hAnsi="宋体" w:eastAsia="黑体"/>
          <w:b/>
          <w:color w:val="auto"/>
          <w:sz w:val="32"/>
          <w:szCs w:val="31"/>
        </w:rPr>
        <w:t>：</w:t>
      </w:r>
      <w:r>
        <w:rPr>
          <w:rFonts w:hint="eastAsia" w:ascii="楷体_GB2312" w:hAnsi="宋体" w:eastAsia="楷体_GB2312"/>
          <w:b/>
          <w:color w:val="auto"/>
          <w:sz w:val="32"/>
          <w:szCs w:val="31"/>
          <w:u w:val="single"/>
          <w:lang w:val="en-US" w:eastAsia="zh-CN"/>
        </w:rPr>
        <w:t>木垒县人民医院</w:t>
      </w:r>
    </w:p>
    <w:p>
      <w:pPr>
        <w:pStyle w:val="37"/>
        <w:ind w:firstLine="1928" w:firstLineChars="600"/>
        <w:jc w:val="both"/>
        <w:rPr>
          <w:rFonts w:hint="eastAsia" w:ascii="楷体_GB2312" w:hAnsi="宋体" w:eastAsia="楷体_GB2312"/>
          <w:b/>
          <w:color w:val="auto"/>
          <w:sz w:val="32"/>
          <w:szCs w:val="31"/>
          <w:lang w:eastAsia="zh-CN"/>
        </w:rPr>
      </w:pPr>
      <w:r>
        <w:rPr>
          <w:rFonts w:hint="eastAsia" w:ascii="楷体_GB2312" w:hAnsi="宋体" w:eastAsia="楷体_GB2312"/>
          <w:b/>
          <w:color w:val="auto"/>
          <w:sz w:val="32"/>
          <w:szCs w:val="31"/>
        </w:rPr>
        <w:t>采购代理机构：</w:t>
      </w:r>
      <w:r>
        <w:rPr>
          <w:rFonts w:hint="eastAsia" w:ascii="楷体_GB2312" w:hAnsi="宋体" w:eastAsia="楷体_GB2312"/>
          <w:b/>
          <w:color w:val="auto"/>
          <w:sz w:val="32"/>
          <w:szCs w:val="31"/>
          <w:u w:val="single"/>
          <w:lang w:eastAsia="zh-CN"/>
        </w:rPr>
        <w:t>新疆天麒工程项目管理咨询有限责任公司</w:t>
      </w:r>
    </w:p>
    <w:p>
      <w:pPr>
        <w:pStyle w:val="37"/>
        <w:ind w:firstLine="1928" w:firstLineChars="600"/>
        <w:jc w:val="both"/>
        <w:rPr>
          <w:rFonts w:ascii="楷体_GB2312" w:hAnsi="宋体" w:eastAsia="楷体_GB2312"/>
          <w:b/>
          <w:color w:val="auto"/>
          <w:sz w:val="32"/>
          <w:u w:val="single"/>
        </w:rPr>
      </w:pPr>
      <w:r>
        <w:rPr>
          <w:rFonts w:hint="eastAsia" w:ascii="楷体_GB2312" w:hAnsi="宋体" w:eastAsia="楷体_GB2312"/>
          <w:b/>
          <w:color w:val="auto"/>
          <w:sz w:val="32"/>
          <w:szCs w:val="31"/>
        </w:rPr>
        <w:t>编制日期：</w:t>
      </w:r>
      <w:r>
        <w:rPr>
          <w:rFonts w:hint="eastAsia" w:ascii="楷体_GB2312" w:hAnsi="宋体" w:eastAsia="楷体_GB2312"/>
          <w:b/>
          <w:color w:val="auto"/>
          <w:sz w:val="32"/>
          <w:szCs w:val="31"/>
          <w:u w:val="single"/>
        </w:rPr>
        <w:t>202</w:t>
      </w:r>
      <w:r>
        <w:rPr>
          <w:rFonts w:hint="eastAsia" w:ascii="楷体_GB2312" w:hAnsi="宋体" w:eastAsia="楷体_GB2312"/>
          <w:b/>
          <w:color w:val="auto"/>
          <w:sz w:val="32"/>
          <w:szCs w:val="31"/>
          <w:u w:val="single"/>
          <w:lang w:val="en-US" w:eastAsia="zh-CN"/>
        </w:rPr>
        <w:t>2</w:t>
      </w:r>
      <w:r>
        <w:rPr>
          <w:rFonts w:hint="eastAsia" w:ascii="楷体_GB2312" w:hAnsi="宋体" w:eastAsia="楷体_GB2312"/>
          <w:b/>
          <w:color w:val="auto"/>
          <w:sz w:val="32"/>
          <w:szCs w:val="31"/>
          <w:u w:val="single"/>
        </w:rPr>
        <w:t>年</w:t>
      </w:r>
      <w:r>
        <w:rPr>
          <w:rFonts w:hint="eastAsia" w:ascii="楷体_GB2312" w:hAnsi="宋体" w:eastAsia="楷体_GB2312"/>
          <w:b/>
          <w:color w:val="auto"/>
          <w:sz w:val="32"/>
          <w:szCs w:val="31"/>
          <w:u w:val="single"/>
          <w:lang w:val="en-US" w:eastAsia="zh-CN"/>
        </w:rPr>
        <w:t>05</w:t>
      </w:r>
      <w:r>
        <w:rPr>
          <w:rFonts w:hint="eastAsia" w:ascii="楷体_GB2312" w:hAnsi="宋体" w:eastAsia="楷体_GB2312"/>
          <w:b/>
          <w:color w:val="auto"/>
          <w:sz w:val="32"/>
          <w:szCs w:val="31"/>
          <w:u w:val="single"/>
        </w:rPr>
        <w:t>月</w:t>
      </w:r>
    </w:p>
    <w:p>
      <w:pPr>
        <w:pStyle w:val="37"/>
        <w:rPr>
          <w:rFonts w:ascii="黑体" w:hAnsi="宋体" w:eastAsia="黑体"/>
          <w:color w:val="auto"/>
          <w:sz w:val="30"/>
        </w:rPr>
      </w:pPr>
    </w:p>
    <w:p/>
    <w:p>
      <w:pPr>
        <w:adjustRightInd w:val="0"/>
        <w:snapToGrid w:val="0"/>
        <w:spacing w:line="360" w:lineRule="auto"/>
        <w:jc w:val="center"/>
        <w:rPr>
          <w:rFonts w:ascii="宋体" w:hAnsi="宋体" w:cs="宋体"/>
          <w:b/>
          <w:sz w:val="44"/>
          <w:szCs w:val="44"/>
        </w:rPr>
      </w:pPr>
    </w:p>
    <w:p>
      <w:pPr>
        <w:adjustRightInd w:val="0"/>
        <w:snapToGrid w:val="0"/>
        <w:spacing w:line="360" w:lineRule="auto"/>
        <w:rPr>
          <w:rFonts w:ascii="宋体" w:hAnsi="宋体" w:cs="宋体"/>
          <w:b/>
          <w:sz w:val="44"/>
          <w:szCs w:val="44"/>
        </w:rPr>
      </w:pPr>
    </w:p>
    <w:p>
      <w:pPr>
        <w:adjustRightInd w:val="0"/>
        <w:snapToGrid w:val="0"/>
        <w:spacing w:line="360" w:lineRule="auto"/>
        <w:jc w:val="both"/>
        <w:rPr>
          <w:rFonts w:hint="eastAsia" w:ascii="宋体" w:hAnsi="宋体" w:cs="宋体"/>
          <w:b/>
          <w:sz w:val="44"/>
          <w:szCs w:val="44"/>
        </w:rPr>
      </w:pPr>
    </w:p>
    <w:p>
      <w:pPr>
        <w:adjustRightInd w:val="0"/>
        <w:snapToGrid w:val="0"/>
        <w:spacing w:line="360" w:lineRule="auto"/>
        <w:jc w:val="center"/>
        <w:rPr>
          <w:rFonts w:ascii="宋体" w:hAnsi="宋体" w:cs="宋体"/>
          <w:b/>
          <w:sz w:val="44"/>
          <w:szCs w:val="44"/>
        </w:rPr>
      </w:pPr>
      <w:r>
        <w:rPr>
          <w:rFonts w:hint="eastAsia" w:ascii="宋体" w:hAnsi="宋体" w:cs="宋体"/>
          <w:b/>
          <w:sz w:val="44"/>
          <w:szCs w:val="44"/>
        </w:rPr>
        <w:t>目录</w:t>
      </w:r>
      <w:bookmarkStart w:id="0" w:name="OLE_LINK2"/>
      <w:bookmarkStart w:id="1" w:name="OLE_LINK4"/>
      <w:bookmarkStart w:id="2" w:name="OLE_LINK1"/>
      <w:bookmarkStart w:id="3" w:name="OLE_LINK3"/>
    </w:p>
    <w:p>
      <w:pPr>
        <w:adjustRightInd w:val="0"/>
        <w:snapToGrid w:val="0"/>
        <w:spacing w:line="360" w:lineRule="auto"/>
        <w:jc w:val="center"/>
        <w:rPr>
          <w:rFonts w:ascii="宋体" w:hAnsi="宋体" w:cs="宋体"/>
          <w:b/>
          <w:sz w:val="44"/>
          <w:szCs w:val="44"/>
        </w:rPr>
      </w:pPr>
      <w:r>
        <w:rPr>
          <w:rFonts w:hint="eastAsia" w:ascii="宋体" w:hAnsi="宋体" w:cs="宋体"/>
          <w:caps/>
          <w:sz w:val="24"/>
          <w:szCs w:val="24"/>
        </w:rPr>
        <w:fldChar w:fldCharType="begin"/>
      </w:r>
      <w:r>
        <w:rPr>
          <w:rFonts w:hint="eastAsia" w:ascii="宋体" w:hAnsi="宋体" w:cs="宋体"/>
          <w:caps/>
          <w:sz w:val="24"/>
          <w:szCs w:val="24"/>
        </w:rPr>
        <w:instrText xml:space="preserve"> TOC \o "1-3" \h \z \u </w:instrText>
      </w:r>
      <w:r>
        <w:rPr>
          <w:rFonts w:hint="eastAsia" w:ascii="宋体" w:hAnsi="宋体" w:cs="宋体"/>
          <w:caps/>
          <w:sz w:val="24"/>
          <w:szCs w:val="24"/>
        </w:rPr>
        <w:fldChar w:fldCharType="separate"/>
      </w:r>
    </w:p>
    <w:p>
      <w:pPr>
        <w:widowControl/>
        <w:tabs>
          <w:tab w:val="right" w:leader="dot" w:pos="9354"/>
        </w:tabs>
        <w:spacing w:line="400" w:lineRule="exact"/>
        <w:jc w:val="left"/>
        <w:rPr>
          <w:rFonts w:ascii="宋体" w:hAnsi="宋体" w:cs="Times New Roman"/>
          <w:b/>
          <w:bCs/>
          <w:kern w:val="0"/>
          <w:sz w:val="24"/>
          <w:szCs w:val="24"/>
        </w:rPr>
      </w:pPr>
      <w:r>
        <w:fldChar w:fldCharType="begin"/>
      </w:r>
      <w:r>
        <w:instrText xml:space="preserve"> HYPERLINK \l "_Toc7897_WPSOffice_Level1" </w:instrText>
      </w:r>
      <w:r>
        <w:fldChar w:fldCharType="separate"/>
      </w:r>
      <w:r>
        <w:rPr>
          <w:rFonts w:hint="eastAsia" w:ascii="宋体" w:hAnsi="宋体" w:cs="Times New Roman"/>
          <w:b/>
          <w:bCs/>
          <w:kern w:val="0"/>
          <w:sz w:val="24"/>
          <w:szCs w:val="24"/>
        </w:rPr>
        <w:t>第一部分  投标邀请</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p>
    <w:p>
      <w:pPr>
        <w:widowControl/>
        <w:tabs>
          <w:tab w:val="right" w:leader="dot" w:pos="9354"/>
        </w:tabs>
        <w:spacing w:line="400" w:lineRule="exact"/>
        <w:jc w:val="left"/>
        <w:rPr>
          <w:rFonts w:ascii="宋体" w:hAnsi="宋体" w:cs="Times New Roman"/>
          <w:b/>
          <w:bCs/>
          <w:kern w:val="0"/>
          <w:sz w:val="24"/>
          <w:szCs w:val="24"/>
        </w:rPr>
      </w:pPr>
      <w:r>
        <w:rPr>
          <w:rFonts w:hint="eastAsia" w:ascii="宋体" w:hAnsi="宋体" w:cs="Times New Roman"/>
          <w:b/>
          <w:bCs/>
          <w:kern w:val="0"/>
          <w:sz w:val="24"/>
          <w:szCs w:val="24"/>
        </w:rPr>
        <w:t>第二部分  投标人须知</w:t>
      </w:r>
      <w:r>
        <w:rPr>
          <w:rFonts w:ascii="宋体" w:hAnsi="宋体" w:cs="Times New Roman"/>
          <w:b/>
          <w:bCs/>
          <w:kern w:val="0"/>
          <w:sz w:val="24"/>
          <w:szCs w:val="24"/>
        </w:rPr>
        <w:tab/>
      </w:r>
      <w:r>
        <w:rPr>
          <w:rFonts w:hint="eastAsia" w:ascii="宋体" w:hAnsi="宋体" w:cs="Times New Roman"/>
          <w:b/>
          <w:bCs/>
          <w:kern w:val="0"/>
          <w:sz w:val="24"/>
          <w:szCs w:val="24"/>
        </w:rPr>
        <w:t>3</w:t>
      </w:r>
    </w:p>
    <w:p>
      <w:pPr>
        <w:widowControl/>
        <w:tabs>
          <w:tab w:val="right" w:leader="dot" w:pos="9354"/>
        </w:tabs>
        <w:spacing w:line="400" w:lineRule="exact"/>
        <w:ind w:firstLine="411" w:firstLineChars="196"/>
        <w:jc w:val="left"/>
        <w:rPr>
          <w:rFonts w:ascii="宋体" w:hAnsi="宋体" w:cs="Times New Roman"/>
          <w:kern w:val="0"/>
          <w:sz w:val="24"/>
          <w:szCs w:val="24"/>
        </w:rPr>
      </w:pPr>
      <w:r>
        <w:fldChar w:fldCharType="begin"/>
      </w:r>
      <w:r>
        <w:instrText xml:space="preserve"> HYPERLINK \l "_Toc30699_WPSOffice_Level2" </w:instrText>
      </w:r>
      <w:r>
        <w:fldChar w:fldCharType="separate"/>
      </w:r>
      <w:r>
        <w:rPr>
          <w:rFonts w:hint="eastAsia" w:ascii="宋体" w:hAnsi="宋体" w:cs="Times New Roman"/>
          <w:kern w:val="0"/>
          <w:sz w:val="24"/>
          <w:szCs w:val="24"/>
        </w:rPr>
        <w:t>第一章 招标说明</w:t>
      </w:r>
      <w:r>
        <w:rPr>
          <w:rFonts w:ascii="宋体" w:hAnsi="宋体" w:cs="Times New Roman"/>
          <w:kern w:val="0"/>
          <w:sz w:val="24"/>
          <w:szCs w:val="24"/>
        </w:rPr>
        <w:tab/>
      </w:r>
      <w:r>
        <w:rPr>
          <w:rFonts w:hint="eastAsia" w:ascii="宋体" w:hAnsi="宋体" w:cs="Times New Roman"/>
          <w:kern w:val="0"/>
          <w:sz w:val="24"/>
          <w:szCs w:val="24"/>
        </w:rPr>
        <w:t>3</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"_Toc27879_WPSOffice_Level2" </w:instrText>
      </w:r>
      <w:r>
        <w:fldChar w:fldCharType="separate"/>
      </w:r>
      <w:r>
        <w:rPr>
          <w:rFonts w:hint="eastAsia" w:ascii="宋体" w:hAnsi="宋体" w:cs="Times New Roman"/>
          <w:kern w:val="0"/>
          <w:sz w:val="24"/>
          <w:szCs w:val="24"/>
        </w:rPr>
        <w:t xml:space="preserve">第二章 </w:t>
      </w:r>
      <w:r>
        <w:rPr>
          <w:rFonts w:hint="eastAsia" w:ascii="宋体" w:hAnsi="宋体" w:cs="仿宋"/>
          <w:kern w:val="0"/>
          <w:sz w:val="24"/>
          <w:szCs w:val="24"/>
        </w:rPr>
        <w:t>对投标人的资质要求</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"_Toc11149_WPSOffice_Level2" </w:instrText>
      </w:r>
      <w:r>
        <w:fldChar w:fldCharType="separate"/>
      </w:r>
      <w:r>
        <w:rPr>
          <w:rFonts w:hint="eastAsia" w:ascii="宋体" w:hAnsi="宋体" w:cs="Times New Roman"/>
          <w:kern w:val="0"/>
          <w:sz w:val="24"/>
          <w:szCs w:val="24"/>
        </w:rPr>
        <w:t>第三章 投标文件的编写</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"_Toc31802_WPSOffice_Level2" </w:instrText>
      </w:r>
      <w:r>
        <w:fldChar w:fldCharType="separate"/>
      </w:r>
      <w:r>
        <w:rPr>
          <w:rFonts w:hint="eastAsia" w:ascii="宋体" w:hAnsi="宋体" w:cs="Times New Roman"/>
          <w:kern w:val="0"/>
          <w:sz w:val="24"/>
          <w:szCs w:val="24"/>
        </w:rPr>
        <w:t>第四章 投标文件的装订及递交</w:t>
      </w:r>
      <w:r>
        <w:rPr>
          <w:rFonts w:ascii="宋体" w:hAnsi="宋体" w:cs="Times New Roman"/>
          <w:kern w:val="0"/>
          <w:sz w:val="24"/>
          <w:szCs w:val="24"/>
        </w:rPr>
        <w:tab/>
      </w:r>
      <w:r>
        <w:rPr>
          <w:rFonts w:hint="eastAsia" w:ascii="宋体" w:hAnsi="宋体" w:cs="Times New Roman"/>
          <w:kern w:val="0"/>
          <w:sz w:val="24"/>
          <w:szCs w:val="24"/>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"_Toc29699_WPSOffice_Level2" </w:instrText>
      </w:r>
      <w:r>
        <w:fldChar w:fldCharType="separate"/>
      </w:r>
      <w:r>
        <w:rPr>
          <w:rFonts w:hint="eastAsia" w:ascii="宋体" w:hAnsi="宋体" w:cs="Times New Roman"/>
          <w:kern w:val="0"/>
          <w:sz w:val="24"/>
          <w:szCs w:val="24"/>
        </w:rPr>
        <w:t>第五章 投标报价及保证金</w:t>
      </w:r>
      <w:r>
        <w:rPr>
          <w:rFonts w:ascii="宋体" w:hAnsi="宋体" w:cs="Times New Roman"/>
          <w:kern w:val="0"/>
          <w:sz w:val="24"/>
          <w:szCs w:val="24"/>
        </w:rPr>
        <w:tab/>
      </w:r>
      <w:r>
        <w:rPr>
          <w:rFonts w:hint="eastAsia" w:ascii="宋体" w:hAnsi="宋体" w:cs="Times New Roman"/>
          <w:kern w:val="0"/>
          <w:sz w:val="24"/>
          <w:szCs w:val="24"/>
        </w:rPr>
        <w:t>6</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ascii="宋体" w:hAnsi="宋体" w:cs="Times New Roman"/>
          <w:kern w:val="0"/>
          <w:sz w:val="24"/>
          <w:szCs w:val="24"/>
        </w:rPr>
      </w:pPr>
      <w:r>
        <w:fldChar w:fldCharType="begin"/>
      </w:r>
      <w:r>
        <w:instrText xml:space="preserve"> HYPERLINK \l "_Toc24618_WPSOffice_Level1" </w:instrText>
      </w:r>
      <w:r>
        <w:fldChar w:fldCharType="separate"/>
      </w:r>
      <w:r>
        <w:rPr>
          <w:rFonts w:hint="eastAsia" w:ascii="宋体" w:hAnsi="宋体" w:cs="Times New Roman"/>
          <w:b/>
          <w:bCs/>
          <w:kern w:val="0"/>
          <w:sz w:val="24"/>
          <w:szCs w:val="24"/>
        </w:rPr>
        <w:t>第三部分  采购需求及技术说明</w:t>
      </w:r>
      <w:r>
        <w:rPr>
          <w:rFonts w:ascii="宋体" w:hAnsi="宋体" w:cs="Times New Roman"/>
          <w:b/>
          <w:bCs/>
          <w:kern w:val="0"/>
          <w:sz w:val="24"/>
          <w:szCs w:val="24"/>
        </w:rPr>
        <w:tab/>
      </w:r>
      <w:r>
        <w:rPr>
          <w:rFonts w:hint="eastAsia" w:ascii="宋体" w:hAnsi="宋体" w:cs="Times New Roman"/>
          <w:b/>
          <w:bCs/>
          <w:kern w:val="0"/>
          <w:sz w:val="24"/>
          <w:szCs w:val="24"/>
        </w:rPr>
        <w:t>7</w:t>
      </w:r>
      <w:r>
        <w:rPr>
          <w:rFonts w:hint="eastAsia" w:ascii="宋体" w:hAnsi="宋体" w:cs="Times New Roman"/>
          <w:b/>
          <w:bCs/>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"_Toc11873_WPSOffice_Level2" </w:instrText>
      </w:r>
      <w:r>
        <w:fldChar w:fldCharType="separate"/>
      </w:r>
      <w:r>
        <w:rPr>
          <w:rFonts w:hint="eastAsia" w:ascii="宋体" w:hAnsi="宋体" w:cs="Times New Roman"/>
          <w:kern w:val="0"/>
          <w:sz w:val="24"/>
          <w:szCs w:val="24"/>
        </w:rPr>
        <w:t>第一章 采购项目内容及要求</w:t>
      </w:r>
      <w:r>
        <w:rPr>
          <w:rFonts w:ascii="宋体" w:hAnsi="宋体" w:cs="Times New Roman"/>
          <w:kern w:val="0"/>
          <w:sz w:val="24"/>
          <w:szCs w:val="24"/>
        </w:rPr>
        <w:tab/>
      </w:r>
      <w:r>
        <w:rPr>
          <w:rFonts w:hint="eastAsia" w:ascii="宋体" w:hAnsi="宋体" w:cs="Times New Roman"/>
          <w:kern w:val="0"/>
          <w:sz w:val="24"/>
          <w:szCs w:val="24"/>
        </w:rPr>
        <w:t>7</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第四部分  商务部分</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第一章 付款方式及程序</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第二章 售后服务要求</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第五部分  招标组织程序</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20</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"_Toc12824_WPSOffice_Level2" </w:instrText>
      </w:r>
      <w:r>
        <w:fldChar w:fldCharType="separate"/>
      </w:r>
      <w:r>
        <w:rPr>
          <w:rFonts w:hint="eastAsia" w:ascii="宋体" w:hAnsi="宋体" w:cs="Times New Roman"/>
          <w:kern w:val="0"/>
          <w:sz w:val="24"/>
          <w:szCs w:val="24"/>
        </w:rPr>
        <w:t>第一章 评标委员会</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20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"_Toc21414_WPSOffice_Level2" </w:instrText>
      </w:r>
      <w:r>
        <w:fldChar w:fldCharType="separate"/>
      </w:r>
      <w:r>
        <w:rPr>
          <w:rFonts w:hint="eastAsia" w:ascii="宋体" w:hAnsi="宋体" w:cs="Times New Roman"/>
          <w:kern w:val="0"/>
          <w:sz w:val="24"/>
          <w:szCs w:val="24"/>
        </w:rPr>
        <w:t>第二章 开标 评标和中标</w:t>
      </w:r>
      <w:r>
        <w:rPr>
          <w:rFonts w:ascii="宋体" w:hAnsi="宋体" w:cs="Times New Roman"/>
          <w:kern w:val="0"/>
          <w:sz w:val="24"/>
          <w:szCs w:val="24"/>
        </w:rPr>
        <w:tab/>
      </w:r>
      <w:r>
        <w:rPr>
          <w:rFonts w:hint="eastAsia" w:ascii="宋体" w:hAnsi="宋体" w:cs="Times New Roman"/>
          <w:kern w:val="0"/>
          <w:sz w:val="24"/>
          <w:szCs w:val="24"/>
          <w:lang w:val="en-US" w:eastAsia="zh-CN"/>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1</w:t>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"_Toc11030_WPSOffice_Level2" </w:instrText>
      </w:r>
      <w:r>
        <w:fldChar w:fldCharType="separate"/>
      </w:r>
      <w:r>
        <w:rPr>
          <w:rFonts w:hint="eastAsia" w:ascii="宋体" w:hAnsi="宋体" w:cs="Times New Roman"/>
          <w:kern w:val="0"/>
          <w:sz w:val="24"/>
          <w:szCs w:val="24"/>
        </w:rPr>
        <w:t>第三章 无效投标及废标</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rPr>
        <w:t>2</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"_Toc1900_WPSOffice_Level1" </w:instrText>
      </w:r>
      <w:r>
        <w:fldChar w:fldCharType="separate"/>
      </w:r>
      <w:r>
        <w:rPr>
          <w:rFonts w:hint="eastAsia" w:ascii="宋体" w:hAnsi="宋体" w:cs="Times New Roman"/>
          <w:b/>
          <w:bCs/>
          <w:kern w:val="0"/>
          <w:sz w:val="24"/>
          <w:szCs w:val="24"/>
        </w:rPr>
        <w:t>第六部分  招标结束后注意事项</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"_Toc17833_WPSOffice_Level2" </w:instrText>
      </w:r>
      <w:r>
        <w:fldChar w:fldCharType="separate"/>
      </w:r>
      <w:r>
        <w:rPr>
          <w:rFonts w:hint="eastAsia" w:ascii="宋体" w:hAnsi="宋体" w:cs="Times New Roman"/>
          <w:kern w:val="0"/>
          <w:sz w:val="24"/>
          <w:szCs w:val="24"/>
        </w:rPr>
        <w:t>第一章 质疑处理</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"_Toc24481_WPSOffice_Level2" </w:instrText>
      </w:r>
      <w:r>
        <w:fldChar w:fldCharType="separate"/>
      </w:r>
      <w:r>
        <w:rPr>
          <w:rFonts w:hint="eastAsia" w:ascii="宋体" w:hAnsi="宋体" w:cs="Times New Roman"/>
          <w:kern w:val="0"/>
          <w:sz w:val="24"/>
          <w:szCs w:val="24"/>
        </w:rPr>
        <w:t>第二章 签订合同</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"_Toc26721_WPSOffice_Level2" </w:instrText>
      </w:r>
      <w:r>
        <w:fldChar w:fldCharType="separate"/>
      </w:r>
      <w:r>
        <w:rPr>
          <w:rFonts w:hint="eastAsia" w:ascii="宋体" w:hAnsi="宋体" w:cs="Times New Roman"/>
          <w:kern w:val="0"/>
          <w:sz w:val="24"/>
          <w:szCs w:val="24"/>
        </w:rPr>
        <w:t>第三章 项目验收</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"_Toc3096_WPSOffice_Level1" </w:instrText>
      </w:r>
      <w:r>
        <w:fldChar w:fldCharType="separate"/>
      </w:r>
      <w:r>
        <w:rPr>
          <w:rFonts w:hint="eastAsia" w:ascii="宋体" w:hAnsi="宋体" w:cs="Times New Roman"/>
          <w:b/>
          <w:bCs/>
          <w:kern w:val="0"/>
          <w:sz w:val="24"/>
          <w:szCs w:val="24"/>
        </w:rPr>
        <w:t>第七部分 投标文件格式范本</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7</w:t>
      </w:r>
    </w:p>
    <w:p>
      <w:pPr>
        <w:rPr>
          <w:rFonts w:ascii="宋体" w:hAnsi="宋体" w:cs="宋体"/>
          <w:szCs w:val="24"/>
        </w:rPr>
      </w:pPr>
      <w:r>
        <w:rPr>
          <w:rFonts w:hint="eastAsia" w:ascii="宋体" w:hAnsi="宋体" w:cs="宋体"/>
          <w:szCs w:val="24"/>
        </w:rPr>
        <w:fldChar w:fldCharType="end"/>
      </w:r>
    </w:p>
    <w:p>
      <w:pPr>
        <w:rPr>
          <w:rFonts w:ascii="Times New Roman" w:hAnsi="Times New Roman" w:cs="Times New Roman"/>
          <w:szCs w:val="24"/>
        </w:rPr>
      </w:pPr>
    </w:p>
    <w:p>
      <w:pPr>
        <w:pStyle w:val="35"/>
        <w:ind w:firstLine="420"/>
      </w:pPr>
    </w:p>
    <w:p>
      <w:pPr>
        <w:rPr>
          <w:rFonts w:ascii="Times New Roman" w:hAnsi="Times New Roman" w:cs="Times New Roman"/>
          <w:szCs w:val="24"/>
          <w:shd w:val="clear" w:color="FFFFFF" w:fill="D9D9D9"/>
        </w:rPr>
      </w:pPr>
    </w:p>
    <w:bookmarkEnd w:id="0"/>
    <w:bookmarkEnd w:id="1"/>
    <w:bookmarkEnd w:id="2"/>
    <w:bookmarkEnd w:id="3"/>
    <w:p>
      <w:pPr>
        <w:spacing w:line="360" w:lineRule="exact"/>
        <w:jc w:val="center"/>
        <w:outlineLvl w:val="0"/>
        <w:rPr>
          <w:rFonts w:ascii="宋体" w:hAnsi="宋体" w:cs="Times New Roman"/>
          <w:b/>
          <w:sz w:val="32"/>
          <w:szCs w:val="32"/>
          <w:shd w:val="clear" w:color="FFFFFF" w:fill="D9D9D9"/>
        </w:rPr>
      </w:pPr>
      <w:bookmarkStart w:id="4" w:name="_Toc21251_WPSOffice_Level1"/>
    </w:p>
    <w:p>
      <w:pPr>
        <w:spacing w:line="360" w:lineRule="exact"/>
        <w:jc w:val="center"/>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sectPr>
          <w:footerReference r:id="rId4" w:type="first"/>
          <w:footerReference r:id="rId3" w:type="default"/>
          <w:pgSz w:w="11906" w:h="16838"/>
          <w:pgMar w:top="851" w:right="851" w:bottom="851" w:left="851" w:header="851" w:footer="992" w:gutter="0"/>
          <w:pgNumType w:fmt="numberInDash" w:start="0"/>
          <w:cols w:space="720" w:num="1"/>
          <w:docGrid w:type="lines" w:linePitch="312" w:charSpace="0"/>
        </w:sectPr>
      </w:pPr>
    </w:p>
    <w:p>
      <w:pPr>
        <w:spacing w:line="360" w:lineRule="exact"/>
        <w:jc w:val="center"/>
        <w:outlineLvl w:val="0"/>
        <w:rPr>
          <w:rFonts w:ascii="宋体" w:hAnsi="宋体" w:cs="Times New Roman"/>
          <w:b/>
          <w:sz w:val="32"/>
          <w:szCs w:val="32"/>
        </w:rPr>
      </w:pPr>
      <w:bookmarkStart w:id="5" w:name="_Toc9486"/>
    </w:p>
    <w:p>
      <w:pPr>
        <w:spacing w:line="360" w:lineRule="exact"/>
        <w:jc w:val="center"/>
        <w:outlineLvl w:val="0"/>
        <w:rPr>
          <w:rFonts w:ascii="宋体" w:hAnsi="宋体" w:cs="Times New Roman"/>
          <w:b/>
          <w:sz w:val="32"/>
          <w:szCs w:val="32"/>
        </w:rPr>
      </w:pPr>
      <w:r>
        <w:rPr>
          <w:rFonts w:hint="eastAsia" w:ascii="宋体" w:hAnsi="宋体" w:cs="Times New Roman"/>
          <w:b/>
          <w:sz w:val="32"/>
          <w:szCs w:val="32"/>
        </w:rPr>
        <w:t>第一部分</w:t>
      </w:r>
      <w:r>
        <w:rPr>
          <w:rFonts w:hint="eastAsia" w:ascii="宋体" w:hAnsi="宋体" w:cs="Times New Roman"/>
          <w:b/>
          <w:sz w:val="32"/>
          <w:szCs w:val="32"/>
          <w:lang w:val="en-US" w:eastAsia="zh-CN"/>
        </w:rPr>
        <w:t xml:space="preserve"> </w:t>
      </w:r>
      <w:r>
        <w:rPr>
          <w:rFonts w:hint="eastAsia" w:ascii="宋体" w:hAnsi="宋体" w:cs="Times New Roman"/>
          <w:b/>
          <w:sz w:val="32"/>
          <w:szCs w:val="32"/>
        </w:rPr>
        <w:t>投标邀请</w:t>
      </w:r>
      <w:bookmarkEnd w:id="4"/>
      <w:bookmarkEnd w:id="5"/>
    </w:p>
    <w:p>
      <w:pPr>
        <w:spacing w:line="360" w:lineRule="exact"/>
        <w:jc w:val="center"/>
        <w:outlineLvl w:val="0"/>
        <w:rPr>
          <w:rFonts w:ascii="宋体" w:hAnsi="宋体" w:cs="Times New Roman"/>
          <w:b/>
          <w:szCs w:val="21"/>
        </w:rPr>
      </w:pPr>
      <w:bookmarkStart w:id="6" w:name="_Toc10559"/>
      <w:r>
        <w:rPr>
          <w:rFonts w:hint="eastAsia" w:ascii="宋体" w:hAnsi="宋体" w:cs="宋体"/>
          <w:b/>
          <w:bCs/>
          <w:szCs w:val="21"/>
          <w:lang w:eastAsia="zh-CN"/>
        </w:rPr>
        <w:t>新疆天麒工程项目管理咨询有限责任公司</w:t>
      </w:r>
      <w:r>
        <w:rPr>
          <w:rFonts w:hint="eastAsia" w:ascii="宋体" w:hAnsi="宋体" w:cs="宋体"/>
          <w:b/>
          <w:bCs/>
          <w:szCs w:val="21"/>
        </w:rPr>
        <w:t>拟对以下项目进行政府采购，欢迎符合条件的供应商前来投标</w:t>
      </w:r>
      <w:r>
        <w:rPr>
          <w:rFonts w:hint="eastAsia" w:ascii="方正仿宋_GBK" w:hAnsi="宋体" w:eastAsia="方正仿宋_GBK" w:cs="Times New Roman"/>
          <w:b/>
          <w:szCs w:val="21"/>
        </w:rPr>
        <w:t>。</w:t>
      </w:r>
      <w:bookmarkEnd w:id="6"/>
    </w:p>
    <w:tbl>
      <w:tblPr>
        <w:tblStyle w:val="26"/>
        <w:tblW w:w="10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1827"/>
        <w:gridCol w:w="471"/>
        <w:gridCol w:w="650"/>
        <w:gridCol w:w="3856"/>
        <w:gridCol w:w="1387"/>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招标项目</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pStyle w:val="37"/>
              <w:keepNext w:val="0"/>
              <w:keepLines w:val="0"/>
              <w:suppressLineNumbers w:val="0"/>
              <w:spacing w:before="0" w:beforeAutospacing="0" w:after="0" w:afterAutospacing="0"/>
              <w:ind w:left="0" w:right="0"/>
              <w:jc w:val="both"/>
              <w:rPr>
                <w:rFonts w:hint="default" w:ascii="仿宋" w:hAnsi="仿宋" w:eastAsia="仿宋" w:cs="仿宋"/>
              </w:rPr>
            </w:pPr>
            <w:r>
              <w:rPr>
                <w:rFonts w:hint="eastAsia" w:ascii="仿宋" w:hAnsi="仿宋" w:eastAsia="仿宋" w:cs="仿宋"/>
                <w:lang w:val="en-US" w:eastAsia="zh-CN"/>
              </w:rPr>
              <w:t>木垒县人民医院能力提升项目医疗设备</w:t>
            </w:r>
            <w:r>
              <w:rPr>
                <w:rFonts w:hint="eastAsia" w:ascii="仿宋" w:hAnsi="仿宋" w:eastAsia="仿宋" w:cs="仿宋"/>
                <w:lang w:eastAsia="zh-CN"/>
              </w:rPr>
              <w:t>第十九包采购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编  号</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仿宋" w:hAnsi="仿宋" w:eastAsia="仿宋" w:cs="仿宋"/>
                <w:b/>
                <w:color w:val="000000"/>
                <w:sz w:val="24"/>
                <w:szCs w:val="24"/>
                <w:lang w:eastAsia="zh-CN"/>
              </w:rPr>
            </w:pPr>
            <w:r>
              <w:rPr>
                <w:rFonts w:hint="eastAsia" w:ascii="仿宋" w:hAnsi="仿宋" w:eastAsia="仿宋" w:cs="仿宋"/>
                <w:color w:val="000000"/>
                <w:sz w:val="24"/>
                <w:szCs w:val="24"/>
                <w:lang w:val="en-US" w:eastAsia="zh-CN"/>
              </w:rPr>
              <w:t>XJTQ2022ZB10-CG004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2</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 xml:space="preserve">采 购 人                                   </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bCs/>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木垒县人民医院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联系人</w:t>
            </w:r>
          </w:p>
        </w:tc>
        <w:tc>
          <w:tcPr>
            <w:tcW w:w="3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刘东亮</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联系电话</w:t>
            </w:r>
          </w:p>
        </w:tc>
        <w:tc>
          <w:tcPr>
            <w:tcW w:w="19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0994-4831777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3</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采购代理机构</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color w:val="000000"/>
                <w:sz w:val="24"/>
                <w:szCs w:val="24"/>
                <w:lang w:eastAsia="zh-CN"/>
              </w:rPr>
              <w:t>新疆天麒工程项目管理咨询有限责任公司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地  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sz w:val="24"/>
                <w:szCs w:val="24"/>
                <w:lang w:eastAsia="zh-CN"/>
              </w:rPr>
              <w:t>新疆维吾尔自治区昌吉市屯河北路新天地商务港815室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sz w:val="24"/>
                <w:szCs w:val="24"/>
              </w:rPr>
            </w:pPr>
            <w:r>
              <w:rPr>
                <w:rFonts w:hint="eastAsia" w:ascii="仿宋" w:hAnsi="仿宋" w:eastAsia="仿宋" w:cs="仿宋"/>
                <w:sz w:val="24"/>
                <w:szCs w:val="24"/>
              </w:rPr>
              <w:t>4</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招标内容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default" w:ascii="仿宋" w:hAnsi="仿宋" w:eastAsia="仿宋" w:cs="仿宋"/>
                <w:sz w:val="24"/>
                <w:szCs w:val="24"/>
                <w:lang w:val="en-US" w:eastAsia="zh-CN"/>
              </w:rPr>
            </w:pPr>
            <w:r>
              <w:rPr>
                <w:rFonts w:hint="eastAsia" w:ascii="仿宋" w:hAnsi="仿宋" w:eastAsia="仿宋" w:cs="仿宋"/>
                <w:color w:val="000000"/>
                <w:kern w:val="0"/>
                <w:sz w:val="24"/>
                <w:szCs w:val="24"/>
                <w:highlight w:val="none"/>
                <w:lang w:val="en-US" w:eastAsia="zh-CN" w:bidi="ar-SA"/>
              </w:rPr>
              <w:t>高端监护仪（国产十二套）限价1200000元、移动监护仪（国产十二套）限价360000元、输液泵（国产六套）限价36000元。（具体参数详见招标文件）。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8"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b/>
                <w:bCs/>
                <w:sz w:val="24"/>
                <w:szCs w:val="24"/>
              </w:rPr>
            </w:pPr>
            <w:r>
              <w:rPr>
                <w:rFonts w:hint="eastAsia" w:ascii="仿宋" w:hAnsi="仿宋" w:eastAsia="仿宋"/>
                <w:b/>
                <w:bCs/>
                <w:sz w:val="24"/>
                <w:szCs w:val="24"/>
              </w:rPr>
              <w:t>5</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b/>
                <w:bCs/>
                <w:sz w:val="24"/>
                <w:szCs w:val="24"/>
              </w:rPr>
            </w:pPr>
            <w:r>
              <w:rPr>
                <w:rFonts w:hint="eastAsia" w:ascii="仿宋" w:hAnsi="仿宋" w:eastAsia="仿宋"/>
                <w:b/>
                <w:bCs/>
                <w:sz w:val="24"/>
                <w:szCs w:val="24"/>
              </w:rPr>
              <w:t>质保期限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FF0000"/>
                <w:sz w:val="24"/>
                <w:szCs w:val="24"/>
              </w:rPr>
            </w:pPr>
            <w:r>
              <w:rPr>
                <w:rFonts w:hint="eastAsia" w:ascii="仿宋" w:hAnsi="仿宋" w:eastAsia="仿宋" w:cs="仿宋"/>
                <w:i w:val="0"/>
                <w:caps w:val="0"/>
                <w:color w:val="000000"/>
                <w:spacing w:val="0"/>
                <w:sz w:val="27"/>
                <w:szCs w:val="27"/>
                <w:lang w:val="en-US" w:eastAsia="zh-CN"/>
              </w:rPr>
              <w:t>3年，终身维修。（技术参数中具体要求除外）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6</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质量标准</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合格（并通过采购人组织的项目验收）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7</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sz w:val="24"/>
                <w:szCs w:val="24"/>
                <w:lang w:eastAsia="zh-CN"/>
              </w:rPr>
            </w:pPr>
            <w:r>
              <w:rPr>
                <w:rFonts w:hint="eastAsia" w:ascii="仿宋" w:hAnsi="仿宋" w:eastAsia="仿宋" w:cs="仿宋"/>
                <w:b/>
                <w:sz w:val="24"/>
                <w:szCs w:val="24"/>
              </w:rPr>
              <w:t>采购</w:t>
            </w:r>
            <w:r>
              <w:rPr>
                <w:rFonts w:hint="eastAsia" w:ascii="仿宋" w:hAnsi="仿宋" w:eastAsia="仿宋" w:cs="仿宋"/>
                <w:b/>
                <w:sz w:val="24"/>
                <w:szCs w:val="24"/>
                <w:lang w:val="en-US" w:eastAsia="zh-CN"/>
              </w:rPr>
              <w:t>金额</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 xml:space="preserve">壹佰伍拾玖万陆仟元 </w:t>
            </w:r>
            <w:r>
              <w:rPr>
                <w:rFonts w:hint="eastAsia" w:ascii="仿宋" w:hAnsi="仿宋" w:eastAsia="仿宋" w:cs="仿宋"/>
                <w:sz w:val="24"/>
                <w:szCs w:val="24"/>
              </w:rPr>
              <w:t xml:space="preserve"> ¥：</w:t>
            </w:r>
            <w:r>
              <w:rPr>
                <w:rFonts w:hint="eastAsia" w:ascii="仿宋" w:hAnsi="仿宋" w:eastAsia="仿宋" w:cs="仿宋"/>
                <w:color w:val="000000"/>
                <w:sz w:val="24"/>
                <w:szCs w:val="24"/>
                <w:lang w:val="en-US" w:eastAsia="zh-CN"/>
              </w:rPr>
              <w:t>159600.00</w:t>
            </w:r>
            <w:r>
              <w:rPr>
                <w:rFonts w:hint="eastAsia" w:ascii="仿宋" w:hAnsi="仿宋" w:eastAsia="仿宋" w:cs="仿宋"/>
                <w:sz w:val="24"/>
                <w:szCs w:val="24"/>
                <w:lang w:val="en-US" w:eastAsia="zh-CN"/>
              </w:rPr>
              <w:t>元</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最高限价：</w:t>
            </w:r>
            <w:r>
              <w:rPr>
                <w:rFonts w:hint="eastAsia" w:ascii="仿宋" w:hAnsi="仿宋" w:eastAsia="仿宋" w:cs="仿宋"/>
                <w:color w:val="000000"/>
                <w:sz w:val="24"/>
                <w:szCs w:val="24"/>
                <w:lang w:val="en-US" w:eastAsia="zh-CN"/>
              </w:rPr>
              <w:t>159600</w:t>
            </w:r>
            <w:r>
              <w:rPr>
                <w:rFonts w:hint="eastAsia" w:ascii="仿宋" w:hAnsi="仿宋" w:eastAsia="仿宋" w:cs="仿宋"/>
                <w:sz w:val="24"/>
                <w:szCs w:val="24"/>
                <w:lang w:val="en-US" w:eastAsia="zh-CN"/>
              </w:rPr>
              <w:t>.00元。</w:t>
            </w:r>
            <w:r>
              <w:rPr>
                <w:rFonts w:hint="eastAsia" w:hAnsi="宋体" w:cs="宋体"/>
                <w:b/>
              </w:rPr>
              <w:t>供应商的投标报价高于最高投标限价的，按废标处理。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8</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资金来源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地方政府债券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招标方式</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评标办法</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综合评分法（其中技术和商务分70分，报价分30分）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11</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投标保证金</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 xml:space="preserve">叁万元整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30000.00元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2948"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color w:val="000000"/>
                <w:sz w:val="24"/>
                <w:szCs w:val="24"/>
              </w:rPr>
            </w:pPr>
            <w:r>
              <w:rPr>
                <w:rFonts w:hint="eastAsia" w:ascii="仿宋" w:hAnsi="仿宋" w:eastAsia="仿宋" w:cs="仿宋"/>
                <w:b/>
                <w:color w:val="000000"/>
                <w:sz w:val="24"/>
                <w:szCs w:val="24"/>
              </w:rPr>
              <w:t>投标文件有效期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color w:val="000000"/>
                <w:sz w:val="24"/>
                <w:szCs w:val="24"/>
              </w:rPr>
              <w:t>自开标之日起90日内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2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bCs/>
                <w:color w:val="000000"/>
                <w:spacing w:val="-17"/>
                <w:sz w:val="24"/>
                <w:szCs w:val="24"/>
              </w:rPr>
              <w:t>招标文件发放日期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2022年</w:t>
            </w:r>
            <w:r>
              <w:rPr>
                <w:rFonts w:hint="eastAsia" w:ascii="仿宋" w:hAnsi="仿宋" w:eastAsia="仿宋" w:cs="仿宋"/>
                <w:b/>
                <w:bCs/>
                <w:color w:val="auto"/>
                <w:sz w:val="24"/>
                <w:szCs w:val="24"/>
                <w:lang w:val="en-US" w:eastAsia="zh-CN"/>
              </w:rPr>
              <w:t>05</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24</w:t>
            </w:r>
            <w:r>
              <w:rPr>
                <w:rFonts w:hint="eastAsia" w:ascii="仿宋" w:hAnsi="仿宋" w:eastAsia="仿宋" w:cs="仿宋"/>
                <w:b/>
                <w:bCs/>
                <w:color w:val="auto"/>
                <w:sz w:val="24"/>
                <w:szCs w:val="24"/>
              </w:rPr>
              <w:t>日</w:t>
            </w:r>
            <w:r>
              <w:rPr>
                <w:rFonts w:hint="eastAsia" w:ascii="仿宋" w:hAnsi="仿宋" w:eastAsia="仿宋" w:cs="仿宋"/>
                <w:b/>
                <w:bCs/>
                <w:color w:val="auto"/>
                <w:sz w:val="24"/>
                <w:szCs w:val="24"/>
                <w:lang w:val="en-US" w:eastAsia="zh-CN"/>
              </w:rPr>
              <w:t>10时00分</w:t>
            </w:r>
            <w:r>
              <w:rPr>
                <w:rFonts w:hint="eastAsia" w:ascii="仿宋" w:hAnsi="仿宋" w:eastAsia="仿宋" w:cs="仿宋"/>
                <w:b/>
                <w:bCs/>
                <w:color w:val="auto"/>
                <w:sz w:val="24"/>
                <w:szCs w:val="24"/>
              </w:rPr>
              <w:t>至</w:t>
            </w:r>
            <w:r>
              <w:rPr>
                <w:rFonts w:hint="eastAsia" w:ascii="仿宋" w:hAnsi="仿宋" w:eastAsia="仿宋" w:cs="仿宋"/>
                <w:b/>
                <w:bCs/>
                <w:color w:val="auto"/>
                <w:sz w:val="24"/>
                <w:szCs w:val="24"/>
                <w:lang w:eastAsia="zh-CN"/>
              </w:rPr>
              <w:t>2022年</w:t>
            </w:r>
            <w:r>
              <w:rPr>
                <w:rFonts w:hint="eastAsia" w:ascii="仿宋" w:hAnsi="仿宋" w:eastAsia="仿宋" w:cs="仿宋"/>
                <w:b/>
                <w:bCs/>
                <w:color w:val="auto"/>
                <w:sz w:val="24"/>
                <w:szCs w:val="24"/>
                <w:lang w:val="en-US" w:eastAsia="zh-CN"/>
              </w:rPr>
              <w:t>05</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30</w:t>
            </w:r>
            <w:r>
              <w:rPr>
                <w:rFonts w:hint="eastAsia" w:ascii="仿宋" w:hAnsi="仿宋" w:eastAsia="仿宋" w:cs="仿宋"/>
                <w:b/>
                <w:bCs/>
                <w:color w:val="auto"/>
                <w:sz w:val="24"/>
                <w:szCs w:val="24"/>
              </w:rPr>
              <w:t>日</w:t>
            </w:r>
            <w:r>
              <w:rPr>
                <w:rFonts w:hint="eastAsia" w:ascii="仿宋" w:hAnsi="仿宋" w:eastAsia="仿宋" w:cs="仿宋"/>
                <w:b/>
                <w:bCs/>
                <w:color w:val="auto"/>
                <w:sz w:val="24"/>
                <w:szCs w:val="24"/>
                <w:lang w:val="en-US" w:eastAsia="zh-CN"/>
              </w:rPr>
              <w:t>20时00分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14</w:t>
            </w:r>
          </w:p>
        </w:tc>
        <w:tc>
          <w:tcPr>
            <w:tcW w:w="2948" w:type="dxa"/>
            <w:gridSpan w:val="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pacing w:val="-20"/>
                <w:sz w:val="24"/>
                <w:szCs w:val="24"/>
              </w:rPr>
              <w:t>投标截止及开标时间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auto"/>
                <w:sz w:val="24"/>
                <w:szCs w:val="24"/>
              </w:rPr>
            </w:pPr>
            <w:r>
              <w:rPr>
                <w:rFonts w:hint="eastAsia" w:ascii="仿宋_GB2312" w:hAnsi="宋体" w:eastAsia="仿宋_GB2312" w:cs="Times New Roman"/>
                <w:b/>
                <w:color w:val="auto"/>
                <w:sz w:val="24"/>
                <w:szCs w:val="24"/>
                <w:lang w:eastAsia="zh-CN"/>
              </w:rPr>
              <w:t>2022年</w:t>
            </w:r>
            <w:r>
              <w:rPr>
                <w:rFonts w:hint="eastAsia" w:ascii="仿宋_GB2312" w:hAnsi="宋体" w:eastAsia="仿宋_GB2312" w:cs="Times New Roman"/>
                <w:b/>
                <w:color w:val="auto"/>
                <w:sz w:val="24"/>
                <w:szCs w:val="24"/>
                <w:lang w:val="en-US" w:eastAsia="zh-CN"/>
              </w:rPr>
              <w:t>06</w:t>
            </w:r>
            <w:r>
              <w:rPr>
                <w:rFonts w:hint="eastAsia" w:ascii="仿宋_GB2312" w:hAnsi="宋体" w:eastAsia="仿宋_GB2312" w:cs="Times New Roman"/>
                <w:b/>
                <w:color w:val="auto"/>
                <w:sz w:val="24"/>
                <w:szCs w:val="24"/>
              </w:rPr>
              <w:t>月</w:t>
            </w:r>
            <w:r>
              <w:rPr>
                <w:rFonts w:hint="eastAsia" w:ascii="仿宋_GB2312" w:hAnsi="宋体" w:eastAsia="仿宋_GB2312" w:cs="Times New Roman"/>
                <w:b/>
                <w:color w:val="auto"/>
                <w:sz w:val="24"/>
                <w:szCs w:val="24"/>
                <w:lang w:val="en-US" w:eastAsia="zh-CN"/>
              </w:rPr>
              <w:t>13</w:t>
            </w:r>
            <w:r>
              <w:rPr>
                <w:rFonts w:hint="eastAsia" w:ascii="仿宋_GB2312" w:hAnsi="宋体" w:eastAsia="仿宋_GB2312" w:cs="Times New Roman"/>
                <w:b/>
                <w:color w:val="auto"/>
                <w:sz w:val="24"/>
                <w:szCs w:val="24"/>
              </w:rPr>
              <w:t>日北京时间11</w:t>
            </w:r>
            <w:r>
              <w:rPr>
                <w:rFonts w:hint="eastAsia" w:ascii="仿宋_GB2312" w:hAnsi="宋体" w:eastAsia="仿宋_GB2312" w:cs="Times New Roman"/>
                <w:b/>
                <w:color w:val="auto"/>
                <w:sz w:val="24"/>
                <w:szCs w:val="24"/>
                <w:lang w:eastAsia="zh-CN"/>
              </w:rPr>
              <w:t>时</w:t>
            </w:r>
            <w:r>
              <w:rPr>
                <w:rFonts w:hint="eastAsia" w:ascii="仿宋_GB2312" w:hAnsi="宋体" w:eastAsia="仿宋_GB2312" w:cs="Times New Roman"/>
                <w:b/>
                <w:color w:val="auto"/>
                <w:sz w:val="24"/>
                <w:szCs w:val="24"/>
              </w:rPr>
              <w:t>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15</w:t>
            </w:r>
          </w:p>
        </w:tc>
        <w:tc>
          <w:tcPr>
            <w:tcW w:w="2948" w:type="dxa"/>
            <w:gridSpan w:val="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Courier New" w:eastAsia="仿宋_GB2312" w:cs="Times New Roman"/>
                <w:color w:val="000000"/>
                <w:sz w:val="24"/>
                <w:szCs w:val="24"/>
                <w:lang w:val="en-US" w:eastAsia="zh-CN"/>
              </w:rPr>
            </w:pPr>
            <w:r>
              <w:rPr>
                <w:rFonts w:hint="eastAsia" w:ascii="仿宋_GB2312" w:hAnsi="宋体" w:eastAsia="仿宋_GB2312" w:cs="Times New Roman"/>
                <w:b/>
                <w:color w:val="000000"/>
                <w:spacing w:val="-20"/>
                <w:sz w:val="24"/>
                <w:szCs w:val="24"/>
                <w:lang w:val="en-US" w:eastAsia="zh-CN"/>
              </w:rPr>
              <w:t>投标文件的递交地址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auto"/>
                <w:sz w:val="24"/>
                <w:szCs w:val="24"/>
              </w:rPr>
            </w:pPr>
            <w:r>
              <w:rPr>
                <w:rFonts w:hint="default" w:ascii="仿宋_GB2312" w:hAnsi="宋体" w:eastAsia="仿宋_GB2312" w:cs="Times New Roman"/>
                <w:b/>
                <w:color w:val="auto"/>
                <w:sz w:val="24"/>
                <w:szCs w:val="24"/>
              </w:rPr>
              <w:t>使用政府采购云平台投标文件制作工具，制作完成需将加密投标文件在投标截止时间前上传至政采云平台对应位置</w:t>
            </w:r>
            <w:r>
              <w:rPr>
                <w:rFonts w:hint="eastAsia" w:ascii="仿宋_GB2312" w:hAnsi="宋体" w:eastAsia="仿宋_GB2312" w:cs="Times New Roman"/>
                <w:b/>
                <w:color w:val="auto"/>
                <w:sz w:val="24"/>
                <w:szCs w:val="24"/>
                <w:lang w:eastAsia="zh-CN"/>
              </w:rPr>
              <w:t>，</w:t>
            </w:r>
            <w:r>
              <w:rPr>
                <w:rFonts w:hint="eastAsia" w:ascii="仿宋_GB2312" w:hAnsi="宋体" w:eastAsia="仿宋_GB2312" w:cs="Times New Roman"/>
                <w:b/>
                <w:bCs w:val="0"/>
                <w:color w:val="auto"/>
                <w:sz w:val="24"/>
                <w:szCs w:val="24"/>
                <w:lang w:eastAsia="zh-CN"/>
              </w:rPr>
              <w:t>纸质投标文件：投标文件三份（一正两副）以密封形式递交</w:t>
            </w:r>
            <w:r>
              <w:rPr>
                <w:rFonts w:hint="eastAsia" w:ascii="仿宋" w:hAnsi="仿宋" w:eastAsia="仿宋" w:cs="仿宋"/>
                <w:b/>
                <w:bCs w:val="0"/>
                <w:color w:val="auto"/>
                <w:sz w:val="24"/>
                <w:szCs w:val="24"/>
                <w:lang w:eastAsia="zh-CN"/>
              </w:rPr>
              <w:t>新疆天麒工程项目管理咨询有限责任公司新疆维吾尔自治区昌吉市屯河北路新天地商务港8</w:t>
            </w:r>
            <w:r>
              <w:rPr>
                <w:rFonts w:hint="eastAsia" w:ascii="仿宋" w:hAnsi="仿宋" w:eastAsia="仿宋" w:cs="仿宋"/>
                <w:b/>
                <w:bCs w:val="0"/>
                <w:color w:val="auto"/>
                <w:sz w:val="24"/>
                <w:szCs w:val="24"/>
                <w:lang w:val="en-US" w:eastAsia="zh-CN"/>
              </w:rPr>
              <w:t>21开标</w:t>
            </w:r>
            <w:r>
              <w:rPr>
                <w:rFonts w:hint="eastAsia" w:ascii="仿宋" w:hAnsi="仿宋" w:eastAsia="仿宋" w:cs="仿宋"/>
                <w:b/>
                <w:bCs w:val="0"/>
                <w:color w:val="auto"/>
                <w:sz w:val="24"/>
                <w:szCs w:val="24"/>
                <w:lang w:eastAsia="zh-CN"/>
              </w:rPr>
              <w:t>室</w:t>
            </w:r>
            <w:r>
              <w:rPr>
                <w:rFonts w:hint="default" w:ascii="仿宋_GB2312" w:hAnsi="宋体" w:eastAsia="仿宋_GB2312" w:cs="Times New Roman"/>
                <w:b/>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16</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开 标 地 点</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b/>
                <w:color w:val="000000"/>
                <w:sz w:val="24"/>
                <w:szCs w:val="24"/>
                <w:lang w:eastAsia="zh-CN"/>
              </w:rPr>
              <w:t>登陆政采云平台https://www.zcygov.cn/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18</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公告发布媒体</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color w:val="000000"/>
                <w:sz w:val="24"/>
                <w:szCs w:val="24"/>
              </w:rPr>
              <w:t>《</w:t>
            </w:r>
            <w:r>
              <w:rPr>
                <w:rFonts w:hint="eastAsia" w:ascii="仿宋_GB2312" w:hAnsi="宋体" w:eastAsia="仿宋_GB2312" w:cs="Arial"/>
                <w:color w:val="000000"/>
                <w:sz w:val="24"/>
                <w:szCs w:val="24"/>
              </w:rPr>
              <w:t>新疆政府采购网》(</w:t>
            </w:r>
            <w:r>
              <w:rPr>
                <w:rFonts w:hint="eastAsia" w:ascii="仿宋_GB2312" w:hAnsi="宋体" w:eastAsia="仿宋_GB2312" w:cs="Arial"/>
                <w:color w:val="000000"/>
                <w:sz w:val="24"/>
                <w:szCs w:val="24"/>
                <w:u w:val="single"/>
              </w:rPr>
              <w:t>http://www.ccgp-xinjiang.gov.cn/</w:t>
            </w:r>
            <w:r>
              <w:rPr>
                <w:rFonts w:hint="eastAsia" w:ascii="仿宋_GB2312" w:hAnsi="宋体" w:eastAsia="仿宋_GB2312" w:cs="Arial"/>
                <w:color w:val="000000"/>
                <w:sz w:val="24"/>
                <w:szCs w:val="24"/>
              </w:rPr>
              <w:t>)</w:t>
            </w:r>
            <w:r>
              <w:rPr>
                <w:rFonts w:hint="eastAsia" w:ascii="仿宋_GB2312" w:hAnsi="宋体" w:eastAsia="仿宋_GB2312" w:cs="Arial"/>
                <w:color w:val="000000"/>
                <w:sz w:val="24"/>
                <w:szCs w:val="24"/>
                <w:lang w:eastAsia="zh-CN"/>
              </w:rPr>
              <w:t>昌吉州公共资源交易网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19</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pacing w:val="20"/>
                <w:sz w:val="24"/>
                <w:szCs w:val="24"/>
              </w:rPr>
              <w:t>中标通知书</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sz w:val="24"/>
                <w:szCs w:val="24"/>
              </w:rPr>
            </w:pPr>
            <w:r>
              <w:rPr>
                <w:rFonts w:hint="eastAsia" w:ascii="仿宋_GB2312" w:hAnsi="宋体" w:eastAsia="仿宋_GB2312" w:cs="Times New Roman"/>
                <w:color w:val="000000"/>
                <w:sz w:val="24"/>
                <w:szCs w:val="24"/>
              </w:rPr>
              <w:t>中标公告发布后发放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0</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sz w:val="24"/>
                <w:szCs w:val="24"/>
                <w:lang w:eastAsia="zh-CN"/>
              </w:rPr>
            </w:pPr>
            <w:r>
              <w:rPr>
                <w:rFonts w:hint="eastAsia" w:ascii="仿宋_GB2312" w:hAnsi="宋体" w:eastAsia="仿宋_GB2312" w:cs="Times New Roman"/>
                <w:b/>
                <w:sz w:val="24"/>
                <w:szCs w:val="24"/>
                <w:lang w:val="en-US" w:eastAsia="zh-CN"/>
              </w:rPr>
              <w:t>供货期限</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themeColor="text1"/>
                <w:sz w:val="24"/>
                <w:szCs w:val="24"/>
                <w14:textFill>
                  <w14:solidFill>
                    <w14:schemeClr w14:val="tx1"/>
                  </w14:solidFill>
                </w14:textFill>
              </w:rPr>
            </w:pPr>
            <w:r>
              <w:rPr>
                <w:rFonts w:hint="eastAsia" w:ascii="仿宋_GB2312" w:hAnsi="宋体" w:eastAsia="仿宋_GB2312" w:cs="Times New Roman"/>
                <w:b/>
                <w:color w:val="000000" w:themeColor="text1"/>
                <w:sz w:val="24"/>
                <w:szCs w:val="24"/>
                <w14:textFill>
                  <w14:solidFill>
                    <w14:schemeClr w14:val="tx1"/>
                  </w14:solidFill>
                </w14:textFill>
              </w:rPr>
              <w:t>合同签订后30</w:t>
            </w:r>
            <w:r>
              <w:rPr>
                <w:rFonts w:hint="eastAsia" w:ascii="仿宋_GB2312" w:hAnsi="宋体" w:eastAsia="仿宋_GB2312" w:cs="Times New Roman"/>
                <w:b/>
                <w:color w:val="000000" w:themeColor="text1"/>
                <w:sz w:val="24"/>
                <w:szCs w:val="24"/>
                <w:lang w:val="en-US" w:eastAsia="zh-CN"/>
                <w14:textFill>
                  <w14:solidFill>
                    <w14:schemeClr w14:val="tx1"/>
                  </w14:solidFill>
                </w14:textFill>
              </w:rPr>
              <w:t>日历日</w:t>
            </w:r>
            <w:r>
              <w:rPr>
                <w:rFonts w:hint="eastAsia" w:ascii="仿宋_GB2312" w:hAnsi="宋体" w:eastAsia="仿宋_GB2312" w:cs="Times New Roman"/>
                <w:b/>
                <w:color w:val="000000" w:themeColor="text1"/>
                <w:sz w:val="24"/>
                <w:szCs w:val="24"/>
                <w14:textFill>
                  <w14:solidFill>
                    <w14:schemeClr w14:val="tx1"/>
                  </w14:solidFill>
                </w14:textFill>
              </w:rPr>
              <w:t>内所购设备运至甲方指定位置并安装验收合格。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color w:val="auto"/>
                <w:sz w:val="24"/>
                <w:szCs w:val="20"/>
              </w:rPr>
            </w:pPr>
            <w:r>
              <w:rPr>
                <w:rFonts w:hint="eastAsia" w:ascii="宋体" w:hAnsi="宋体" w:cs="Times New Roman"/>
                <w:color w:val="auto"/>
                <w:sz w:val="24"/>
                <w:szCs w:val="20"/>
              </w:rPr>
              <w:t>21</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auto"/>
                <w:sz w:val="24"/>
                <w:szCs w:val="24"/>
                <w:lang w:eastAsia="zh-CN"/>
              </w:rPr>
            </w:pPr>
            <w:r>
              <w:rPr>
                <w:rFonts w:hint="eastAsia" w:ascii="仿宋_GB2312" w:hAnsi="宋体" w:eastAsia="仿宋_GB2312" w:cs="Times New Roman"/>
                <w:b/>
                <w:color w:val="auto"/>
                <w:sz w:val="24"/>
                <w:szCs w:val="24"/>
                <w:lang w:val="en-US" w:eastAsia="zh-CN"/>
              </w:rPr>
              <w:t>付款方式</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lang w:val="en-US" w:eastAsia="zh-CN"/>
                <w14:textFill>
                  <w14:solidFill>
                    <w14:schemeClr w14:val="tx1"/>
                  </w14:solidFill>
                </w14:textFill>
              </w:rPr>
              <w:t>签订合同后向乙</w:t>
            </w:r>
            <w:r>
              <w:rPr>
                <w:rFonts w:hint="eastAsia" w:ascii="仿宋_GB2312" w:hAnsi="宋体" w:eastAsia="仿宋_GB2312" w:cs="Times New Roman"/>
                <w:color w:val="000000" w:themeColor="text1"/>
                <w:sz w:val="24"/>
                <w:szCs w:val="24"/>
                <w14:textFill>
                  <w14:solidFill>
                    <w14:schemeClr w14:val="tx1"/>
                  </w14:solidFill>
                </w14:textFill>
              </w:rPr>
              <w:t>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w:t>
            </w:r>
            <w:r>
              <w:rPr>
                <w:rFonts w:hint="eastAsia" w:ascii="仿宋_GB2312" w:hAnsi="宋体" w:eastAsia="仿宋_GB2312" w:cs="Times New Roman"/>
                <w:color w:val="000000" w:themeColor="text1"/>
                <w:sz w:val="24"/>
                <w:szCs w:val="24"/>
                <w14:textFill>
                  <w14:solidFill>
                    <w14:schemeClr w14:val="tx1"/>
                  </w14:solidFill>
                </w14:textFill>
              </w:rPr>
              <w:t>0%</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甲方收到乙方提供的设备向乙方支付合同款总额的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乙方安装调试完成、进行了相关验收和人员培训合格后向乙方支付合同款总额的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%；余款合同款总额的10%作为质保金，3年质保期满无质量问题发生的乙方支付合同质保金。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22</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交货安装地点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lang w:val="en-US" w:eastAsia="zh-CN"/>
              </w:rPr>
            </w:pPr>
            <w:r>
              <w:rPr>
                <w:rFonts w:hint="eastAsia" w:ascii="仿宋_GB2312" w:hAnsi="宋体" w:eastAsia="仿宋_GB2312" w:cs="Times New Roman"/>
                <w:color w:val="000000"/>
                <w:sz w:val="24"/>
                <w:szCs w:val="24"/>
                <w:lang w:val="en-US" w:eastAsia="zh-CN"/>
              </w:rPr>
              <w:t>木垒县人民医院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23</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履约担保</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履约保证金金额：中标价的</w:t>
            </w:r>
            <w:r>
              <w:rPr>
                <w:rFonts w:hint="eastAsia" w:ascii="仿宋_GB2312" w:hAnsi="宋体" w:eastAsia="仿宋_GB2312" w:cs="Times New Roman"/>
                <w:b/>
                <w:bCs/>
                <w:color w:val="000000" w:themeColor="text1"/>
                <w:sz w:val="24"/>
                <w:szCs w:val="24"/>
                <w:lang w:val="en-US" w:eastAsia="zh-CN"/>
                <w14:textFill>
                  <w14:solidFill>
                    <w14:schemeClr w14:val="tx1"/>
                  </w14:solidFill>
                </w14:textFill>
              </w:rPr>
              <w:t>5</w:t>
            </w:r>
            <w:r>
              <w:rPr>
                <w:rFonts w:hint="eastAsia" w:ascii="仿宋_GB2312" w:hAnsi="宋体" w:eastAsia="仿宋_GB2312" w:cs="Times New Roman"/>
                <w:b/>
                <w:bCs/>
                <w:color w:val="000000" w:themeColor="text1"/>
                <w:sz w:val="24"/>
                <w:szCs w:val="24"/>
                <w14:textFill>
                  <w14:solidFill>
                    <w14:schemeClr w14:val="tx1"/>
                  </w14:solidFill>
                </w14:textFill>
              </w:rPr>
              <w:t>%</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履约保证金递交：中标人收到中标通知书后（签订合同前）向招标人缴纳；</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履约保证金形式：支票、汇票、本票等非现金形式；</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lang w:val="en-US" w:eastAsia="zh-CN"/>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投标人未按招标文件规定缴纳履约保证金的，其投标保证金将不予退还。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4</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招标文件售价</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Times New Roman"/>
                <w:color w:val="000000" w:themeColor="text1"/>
                <w:sz w:val="24"/>
                <w:szCs w:val="24"/>
                <w:lang w:val="en-US" w:eastAsia="zh-CN"/>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招标文件售价200元（售后不退）</w:t>
            </w:r>
            <w:r>
              <w:rPr>
                <w:rFonts w:hint="eastAsia" w:ascii="仿宋_GB2312" w:hAnsi="宋体" w:eastAsia="仿宋_GB2312" w:cs="Times New Roman"/>
                <w:color w:val="000000" w:themeColor="text1"/>
                <w:sz w:val="24"/>
                <w:szCs w:val="24"/>
                <w:lang w:val="en-US" w:eastAsia="zh-CN"/>
                <w14:textFill>
                  <w14:solidFill>
                    <w14:schemeClr w14:val="tx1"/>
                  </w14:solidFill>
                </w14:textFill>
              </w:rPr>
              <w:t>（报名费开标现场缴纳（需现金）或公对公到保证金账号（需备注报名费）不能与保证金混淆一起打入）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r>
              <w:rPr>
                <w:rFonts w:hint="eastAsia" w:ascii="宋体" w:hAnsi="宋体" w:eastAsia="宋体" w:cs="宋体"/>
                <w:szCs w:val="21"/>
                <w:lang w:val="en-US" w:eastAsia="zh-CN"/>
              </w:rPr>
              <w:t>2</w:t>
            </w:r>
            <w:r>
              <w:rPr>
                <w:rFonts w:hint="eastAsia" w:ascii="宋体" w:hAnsi="宋体" w:cs="宋体"/>
                <w:szCs w:val="21"/>
                <w:lang w:val="en-US" w:eastAsia="zh-CN"/>
              </w:rPr>
              <w:t>5</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支持中小企业发展</w:t>
            </w:r>
          </w:p>
        </w:tc>
        <w:tc>
          <w:tcPr>
            <w:tcW w:w="8302"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lang w:val="en-US" w:eastAsia="zh-CN"/>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给予小型和微型企业产品的价格给予6%-10%的扣除，用扣除后的价格参与评标，本项目具体扣除比例为6%。</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continue"/>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政府采购支持中小企业融资</w:t>
            </w:r>
          </w:p>
        </w:tc>
        <w:tc>
          <w:tcPr>
            <w:tcW w:w="8302" w:type="dxa"/>
            <w:gridSpan w:val="5"/>
            <w:vMerge w:val="continue"/>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continue"/>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政府采购信用担保</w:t>
            </w:r>
          </w:p>
        </w:tc>
        <w:tc>
          <w:tcPr>
            <w:tcW w:w="8302" w:type="dxa"/>
            <w:gridSpan w:val="5"/>
            <w:vMerge w:val="continue"/>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continue"/>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政府采购促进残疾人就业</w:t>
            </w:r>
          </w:p>
        </w:tc>
        <w:tc>
          <w:tcPr>
            <w:tcW w:w="8302" w:type="dxa"/>
            <w:gridSpan w:val="5"/>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本项目具体扣除比例为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r>
              <w:rPr>
                <w:rFonts w:hint="eastAsia" w:ascii="宋体" w:hAnsi="宋体" w:eastAsia="宋体" w:cs="宋体"/>
                <w:szCs w:val="21"/>
                <w:lang w:val="en-US" w:eastAsia="zh-CN"/>
              </w:rPr>
              <w:t>2</w:t>
            </w:r>
            <w:r>
              <w:rPr>
                <w:rFonts w:hint="eastAsia" w:ascii="宋体" w:hAnsi="宋体" w:cs="宋体"/>
                <w:szCs w:val="21"/>
                <w:lang w:val="en-US" w:eastAsia="zh-CN"/>
              </w:rPr>
              <w:t>6</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宋体" w:hAnsi="宋体" w:eastAsia="宋体" w:cs="宋体"/>
                <w:sz w:val="21"/>
                <w:szCs w:val="21"/>
              </w:rPr>
            </w:pPr>
            <w:r>
              <w:rPr>
                <w:rFonts w:hint="eastAsia" w:ascii="宋体" w:hAnsi="宋体" w:eastAsia="宋体" w:cs="宋体"/>
                <w:sz w:val="21"/>
                <w:szCs w:val="21"/>
              </w:rPr>
              <w:t>评标委员会</w:t>
            </w:r>
          </w:p>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宋体" w:hAnsi="宋体" w:eastAsia="宋体" w:cs="宋体"/>
                <w:sz w:val="21"/>
                <w:szCs w:val="21"/>
              </w:rPr>
              <w:t>的组建</w:t>
            </w:r>
          </w:p>
        </w:tc>
        <w:tc>
          <w:tcPr>
            <w:tcW w:w="8302" w:type="dxa"/>
            <w:gridSpan w:val="5"/>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评标委员会构成：5人。其中采购人代表1名，相关专业等方面的专家4人</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评标专家确定方式：新疆政府采购网评标专家库中随机抽取。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eastAsia="宋体" w:cs="宋体"/>
                <w:szCs w:val="21"/>
                <w:lang w:val="en-US" w:eastAsia="zh-CN"/>
              </w:rPr>
            </w:pPr>
          </w:p>
        </w:tc>
        <w:tc>
          <w:tcPr>
            <w:tcW w:w="1827" w:type="dxa"/>
            <w:tcBorders>
              <w:top w:val="single" w:color="auto" w:sz="4" w:space="0"/>
              <w:left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leftChars="0" w:right="0" w:rightChars="0" w:firstLine="32" w:firstLineChars="15"/>
              <w:jc w:val="center"/>
              <w:rPr>
                <w:rFonts w:hint="eastAsia" w:ascii="宋体" w:hAnsi="宋体" w:eastAsia="宋体" w:cs="宋体"/>
                <w:b/>
                <w:bCs/>
                <w:sz w:val="21"/>
                <w:szCs w:val="21"/>
              </w:rPr>
            </w:pPr>
            <w:r>
              <w:rPr>
                <w:rFonts w:hint="eastAsia" w:ascii="宋体" w:hAnsi="宋体" w:eastAsia="宋体" w:cs="宋体"/>
                <w:b/>
                <w:bCs/>
                <w:sz w:val="21"/>
                <w:szCs w:val="21"/>
              </w:rPr>
              <w:t>特别说明</w:t>
            </w:r>
          </w:p>
        </w:tc>
        <w:tc>
          <w:tcPr>
            <w:tcW w:w="8302" w:type="dxa"/>
            <w:gridSpan w:val="5"/>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1.为保证本项目质量，良好的售后服务，最低报价不作为中标的唯一依据。</w:t>
            </w:r>
          </w:p>
          <w:p>
            <w:pPr>
              <w:keepNext w:val="0"/>
              <w:keepLines w:val="0"/>
              <w:suppressLineNumbers w:val="0"/>
              <w:spacing w:before="0" w:beforeAutospacing="0" w:after="0" w:afterAutospacing="0"/>
              <w:ind w:left="0" w:leftChars="0" w:right="0" w:rightChars="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2.采购人若发现成交候选供应商在竞标过程中提供虚假证明文件，故意隐瞒公司或个体不良信誉和财务状况，以及存在可能对合同圆满履行造成风险的其他因素等，则按规定取消其成交资格，监管部门依法进行处理。</w:t>
            </w:r>
          </w:p>
        </w:tc>
      </w:tr>
    </w:tbl>
    <w:p>
      <w:pPr>
        <w:spacing w:line="420" w:lineRule="exact"/>
        <w:rPr>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both"/>
        <w:rPr>
          <w:rFonts w:hint="eastAsia"/>
          <w:b/>
          <w:sz w:val="32"/>
          <w:szCs w:val="32"/>
        </w:rPr>
      </w:pPr>
    </w:p>
    <w:p>
      <w:pPr>
        <w:spacing w:line="420" w:lineRule="exact"/>
        <w:jc w:val="center"/>
        <w:rPr>
          <w:b/>
          <w:sz w:val="32"/>
          <w:szCs w:val="32"/>
        </w:rPr>
      </w:pPr>
      <w:r>
        <w:rPr>
          <w:rFonts w:hint="eastAsia"/>
          <w:b/>
          <w:sz w:val="32"/>
          <w:szCs w:val="32"/>
        </w:rPr>
        <w:t>第二部分投标须知</w:t>
      </w:r>
    </w:p>
    <w:p>
      <w:pPr>
        <w:autoSpaceDE w:val="0"/>
        <w:autoSpaceDN w:val="0"/>
        <w:adjustRightInd w:val="0"/>
        <w:jc w:val="center"/>
        <w:outlineLvl w:val="1"/>
        <w:rPr>
          <w:rFonts w:ascii="仿宋_GB2312" w:hAnsi="宋体" w:eastAsia="仿宋_GB2312" w:cs="Times New Roman"/>
          <w:b/>
          <w:sz w:val="32"/>
          <w:szCs w:val="32"/>
        </w:rPr>
      </w:pPr>
      <w:bookmarkStart w:id="7" w:name="_Toc30588"/>
      <w:bookmarkStart w:id="8" w:name="_Toc10828"/>
      <w:bookmarkStart w:id="9" w:name="_Toc32082"/>
      <w:bookmarkStart w:id="10" w:name="_Toc25060"/>
      <w:bookmarkStart w:id="11" w:name="_Toc1790"/>
      <w:bookmarkStart w:id="12" w:name="_Toc2122"/>
      <w:bookmarkStart w:id="13" w:name="_Toc18253"/>
      <w:bookmarkStart w:id="14" w:name="_Toc3376"/>
      <w:bookmarkStart w:id="15" w:name="_Toc7066"/>
      <w:bookmarkStart w:id="16" w:name="_Toc19821"/>
      <w:bookmarkStart w:id="17" w:name="_Toc4609"/>
      <w:bookmarkStart w:id="18" w:name="_Toc12713"/>
      <w:bookmarkStart w:id="19" w:name="_Toc31446"/>
      <w:bookmarkStart w:id="20" w:name="_Toc22129"/>
      <w:bookmarkStart w:id="21" w:name="_Toc13562"/>
      <w:bookmarkStart w:id="22" w:name="_Toc2340"/>
      <w:r>
        <w:rPr>
          <w:rFonts w:hint="eastAsia" w:ascii="仿宋_GB2312" w:hAnsi="Arial" w:eastAsia="仿宋_GB2312" w:cs="Times New Roman"/>
          <w:b/>
          <w:color w:val="000000"/>
          <w:kern w:val="0"/>
          <w:sz w:val="32"/>
          <w:szCs w:val="24"/>
        </w:rPr>
        <w:t xml:space="preserve">第一章 </w:t>
      </w:r>
      <w:r>
        <w:rPr>
          <w:rFonts w:hint="eastAsia" w:ascii="仿宋_GB2312" w:hAnsi="宋体" w:eastAsia="仿宋_GB2312" w:cs="Times New Roman"/>
          <w:b/>
          <w:sz w:val="32"/>
          <w:szCs w:val="32"/>
        </w:rPr>
        <w:t>招标说明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ind w:firstLine="482" w:firstLineChars="200"/>
        <w:rPr>
          <w:rFonts w:ascii="宋体" w:hAnsi="宋体" w:cs="宋体"/>
          <w:b/>
          <w:sz w:val="24"/>
          <w:szCs w:val="20"/>
        </w:rPr>
      </w:pPr>
      <w:r>
        <w:rPr>
          <w:rFonts w:hint="eastAsia" w:ascii="宋体" w:hAnsi="宋体" w:cs="宋体"/>
          <w:b/>
          <w:sz w:val="24"/>
          <w:szCs w:val="20"/>
        </w:rPr>
        <w:t>1、 适用范围</w:t>
      </w:r>
    </w:p>
    <w:p>
      <w:pPr>
        <w:ind w:firstLine="480" w:firstLineChars="200"/>
        <w:rPr>
          <w:rFonts w:ascii="仿宋" w:hAnsi="仿宋" w:eastAsia="仿宋" w:cs="仿宋"/>
          <w:sz w:val="24"/>
          <w:szCs w:val="20"/>
        </w:rPr>
      </w:pPr>
      <w:r>
        <w:rPr>
          <w:rFonts w:hint="eastAsia" w:ascii="仿宋" w:hAnsi="仿宋" w:eastAsia="仿宋" w:cs="仿宋"/>
          <w:sz w:val="24"/>
          <w:szCs w:val="20"/>
        </w:rPr>
        <w:t>本招标文件仅适用于参加</w:t>
      </w:r>
      <w:r>
        <w:rPr>
          <w:rFonts w:hint="eastAsia" w:ascii="仿宋" w:hAnsi="仿宋" w:eastAsia="仿宋" w:cs="仿宋"/>
          <w:b/>
          <w:bCs/>
          <w:sz w:val="24"/>
          <w:szCs w:val="20"/>
          <w:u w:val="single"/>
          <w:lang w:val="en-US" w:eastAsia="zh-CN"/>
        </w:rPr>
        <w:t>木垒县人民医院能力提升项目医疗设备</w:t>
      </w:r>
      <w:r>
        <w:rPr>
          <w:rFonts w:hint="eastAsia" w:ascii="仿宋" w:hAnsi="仿宋" w:eastAsia="仿宋" w:cs="仿宋"/>
          <w:b/>
          <w:bCs/>
          <w:sz w:val="24"/>
          <w:szCs w:val="20"/>
          <w:u w:val="single"/>
          <w:lang w:eastAsia="zh-CN"/>
        </w:rPr>
        <w:t>第十九包采购</w:t>
      </w:r>
      <w:r>
        <w:rPr>
          <w:rFonts w:hint="eastAsia" w:ascii="仿宋" w:hAnsi="仿宋" w:eastAsia="仿宋" w:cs="仿宋"/>
          <w:sz w:val="24"/>
          <w:szCs w:val="20"/>
        </w:rPr>
        <w:t>的合格投标人。</w:t>
      </w:r>
    </w:p>
    <w:p>
      <w:pPr>
        <w:tabs>
          <w:tab w:val="left" w:pos="1185"/>
        </w:tabs>
        <w:ind w:firstLine="482" w:firstLineChars="200"/>
        <w:rPr>
          <w:rFonts w:ascii="宋体" w:hAnsi="宋体" w:cs="宋体"/>
          <w:b/>
          <w:sz w:val="24"/>
          <w:szCs w:val="20"/>
        </w:rPr>
      </w:pPr>
      <w:r>
        <w:rPr>
          <w:rFonts w:hint="eastAsia" w:ascii="宋体" w:hAnsi="宋体" w:cs="宋体"/>
          <w:b/>
          <w:sz w:val="24"/>
          <w:szCs w:val="20"/>
        </w:rPr>
        <w:t>2、名词定义</w:t>
      </w:r>
    </w:p>
    <w:p>
      <w:pPr>
        <w:ind w:firstLine="482"/>
        <w:rPr>
          <w:rFonts w:ascii="仿宋" w:hAnsi="仿宋" w:eastAsia="仿宋" w:cs="Times New Roman"/>
          <w:sz w:val="24"/>
          <w:szCs w:val="20"/>
        </w:rPr>
      </w:pPr>
      <w:r>
        <w:rPr>
          <w:rFonts w:hint="eastAsia" w:ascii="仿宋" w:hAnsi="仿宋" w:eastAsia="仿宋" w:cs="Times New Roman"/>
          <w:sz w:val="24"/>
          <w:szCs w:val="20"/>
        </w:rPr>
        <w:t xml:space="preserve">下列术语和缩写的定义为： </w:t>
      </w:r>
    </w:p>
    <w:p>
      <w:pPr>
        <w:ind w:firstLine="482"/>
        <w:rPr>
          <w:rFonts w:ascii="仿宋_GB2312" w:eastAsia="仿宋_GB2312" w:cs="Times New Roman"/>
          <w:b/>
          <w:bCs/>
          <w:sz w:val="24"/>
          <w:szCs w:val="24"/>
          <w:u w:val="single"/>
        </w:rPr>
      </w:pPr>
      <w:r>
        <w:rPr>
          <w:rFonts w:hint="eastAsia" w:ascii="仿宋" w:hAnsi="仿宋" w:eastAsia="仿宋" w:cs="Times New Roman"/>
          <w:sz w:val="24"/>
          <w:szCs w:val="20"/>
        </w:rPr>
        <w:t>2.1 “采购人”是指依法进行政府采购的国家机关、</w:t>
      </w:r>
      <w:r>
        <w:rPr>
          <w:rFonts w:hint="eastAsia" w:ascii="仿宋" w:hAnsi="仿宋" w:eastAsia="仿宋" w:cs="宋体"/>
          <w:sz w:val="24"/>
          <w:szCs w:val="20"/>
        </w:rPr>
        <w:t>事业单位和社会团体组织。即</w:t>
      </w:r>
      <w:r>
        <w:rPr>
          <w:rFonts w:hint="eastAsia" w:ascii="仿宋_GB2312" w:eastAsia="仿宋_GB2312" w:cs="Times New Roman"/>
          <w:b/>
          <w:bCs/>
          <w:sz w:val="24"/>
          <w:szCs w:val="24"/>
          <w:u w:val="single"/>
          <w:lang w:val="en-US" w:eastAsia="zh-CN"/>
        </w:rPr>
        <w:t>木垒县人民医院</w:t>
      </w:r>
      <w:r>
        <w:rPr>
          <w:rFonts w:hint="eastAsia" w:ascii="仿宋_GB2312" w:eastAsia="仿宋_GB2312" w:cs="Times New Roman"/>
          <w:b/>
          <w:bCs/>
          <w:sz w:val="24"/>
          <w:szCs w:val="24"/>
          <w:u w:val="single"/>
        </w:rPr>
        <w:t>。</w:t>
      </w:r>
    </w:p>
    <w:p>
      <w:pPr>
        <w:ind w:firstLine="482"/>
        <w:rPr>
          <w:rFonts w:ascii="仿宋" w:hAnsi="仿宋" w:eastAsia="仿宋" w:cs="宋体"/>
          <w:sz w:val="24"/>
          <w:szCs w:val="20"/>
        </w:rPr>
      </w:pPr>
      <w:r>
        <w:rPr>
          <w:rFonts w:hint="eastAsia" w:ascii="仿宋" w:hAnsi="仿宋" w:eastAsia="仿宋" w:cs="宋体"/>
          <w:sz w:val="24"/>
          <w:szCs w:val="20"/>
        </w:rPr>
        <w:t>2.2 “采购代理机构”是指依法成立的独立组织招标的机构。即</w:t>
      </w:r>
      <w:r>
        <w:rPr>
          <w:rFonts w:hint="eastAsia" w:ascii="仿宋" w:hAnsi="仿宋" w:eastAsia="仿宋" w:cs="宋体"/>
          <w:b/>
          <w:bCs/>
          <w:sz w:val="24"/>
          <w:szCs w:val="20"/>
          <w:u w:val="single"/>
          <w:lang w:eastAsia="zh-CN"/>
        </w:rPr>
        <w:t>新疆天麒工程项目管理咨询有限责任公司</w:t>
      </w:r>
      <w:r>
        <w:rPr>
          <w:rFonts w:hint="eastAsia" w:ascii="仿宋" w:hAnsi="仿宋" w:eastAsia="仿宋" w:cs="宋体"/>
          <w:sz w:val="24"/>
          <w:szCs w:val="20"/>
        </w:rPr>
        <w:t>。</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2.3 “投标人”系指有资格的供应商（制造商或代理商）及投标表现人。</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2.4 “货物”系指招标文件规定的，投标人须向</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提供的一切设备、附件、备品备件、工具、手册及其它有关资料和材料。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2.5 “服务”系指招标文件规定投标人必须承担的保修、技术协助、培训及其他类似的责任。</w:t>
      </w:r>
    </w:p>
    <w:p>
      <w:pPr>
        <w:ind w:firstLine="482" w:firstLineChars="200"/>
        <w:rPr>
          <w:rFonts w:ascii="宋体" w:hAnsi="宋体" w:cs="宋体"/>
          <w:b/>
          <w:sz w:val="24"/>
          <w:szCs w:val="20"/>
        </w:rPr>
      </w:pPr>
      <w:r>
        <w:rPr>
          <w:rFonts w:hint="eastAsia" w:ascii="宋体" w:hAnsi="宋体" w:cs="宋体"/>
          <w:b/>
          <w:sz w:val="24"/>
          <w:szCs w:val="20"/>
        </w:rPr>
        <w:t>3.投标费用</w:t>
      </w:r>
    </w:p>
    <w:p>
      <w:pPr>
        <w:ind w:firstLine="482"/>
        <w:rPr>
          <w:rFonts w:ascii="仿宋" w:hAnsi="仿宋" w:eastAsia="仿宋" w:cs="Times New Roman"/>
          <w:sz w:val="24"/>
          <w:szCs w:val="20"/>
        </w:rPr>
      </w:pPr>
      <w:r>
        <w:rPr>
          <w:rFonts w:hint="eastAsia" w:ascii="仿宋" w:hAnsi="仿宋" w:eastAsia="仿宋" w:cs="Times New Roman"/>
          <w:sz w:val="24"/>
          <w:szCs w:val="20"/>
        </w:rPr>
        <w:t>3.1　无论投标结果如何，凡参与招标、投标活动有关的所有费用将由投标人自行承担。</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3.2　投标人被视为熟悉本招标项目的各种情况以及与履行合同有关的一切情况。</w:t>
      </w:r>
    </w:p>
    <w:p>
      <w:pPr>
        <w:tabs>
          <w:tab w:val="left" w:pos="1185"/>
        </w:tabs>
        <w:ind w:firstLine="482" w:firstLineChars="200"/>
        <w:rPr>
          <w:rFonts w:ascii="仿宋" w:hAnsi="仿宋" w:eastAsia="仿宋" w:cs="Times New Roman"/>
          <w:sz w:val="24"/>
          <w:szCs w:val="20"/>
        </w:rPr>
      </w:pPr>
      <w:r>
        <w:rPr>
          <w:rFonts w:hint="eastAsia" w:ascii="宋体" w:hAnsi="宋体" w:cs="宋体"/>
          <w:b/>
          <w:sz w:val="24"/>
          <w:szCs w:val="20"/>
        </w:rPr>
        <w:t>4. 招标文件的构成</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第一部分 投标邀请</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第二部分 投标人须知</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第三部分 技术需求及商务要求</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 xml:space="preserve">第四部分 商务部分 </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第五部分 招标组织程序</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第六部分 招标结束后注意事项</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第七部分 投标范本格式</w:t>
      </w:r>
    </w:p>
    <w:p>
      <w:pPr>
        <w:ind w:firstLine="482" w:firstLineChars="200"/>
        <w:jc w:val="left"/>
        <w:rPr>
          <w:rFonts w:ascii="宋体" w:hAnsi="宋体" w:cs="宋体"/>
          <w:b/>
          <w:color w:val="000000"/>
          <w:sz w:val="24"/>
          <w:szCs w:val="24"/>
        </w:rPr>
      </w:pPr>
      <w:r>
        <w:rPr>
          <w:rFonts w:hint="eastAsia" w:ascii="宋体" w:hAnsi="宋体" w:cs="宋体"/>
          <w:b/>
          <w:sz w:val="24"/>
          <w:szCs w:val="20"/>
        </w:rPr>
        <w:t>5.</w:t>
      </w:r>
      <w:r>
        <w:rPr>
          <w:rFonts w:hint="eastAsia" w:ascii="宋体" w:hAnsi="宋体" w:cs="宋体"/>
          <w:b/>
          <w:color w:val="000000"/>
          <w:sz w:val="24"/>
          <w:szCs w:val="24"/>
        </w:rPr>
        <w:t>对招标文件质疑与答复</w:t>
      </w:r>
    </w:p>
    <w:p>
      <w:pPr>
        <w:spacing w:line="360" w:lineRule="exact"/>
        <w:ind w:firstLine="480" w:firstLineChars="200"/>
        <w:rPr>
          <w:rFonts w:ascii="仿宋" w:hAnsi="仿宋" w:eastAsia="仿宋" w:cs="Times New Roman"/>
          <w:bCs/>
          <w:sz w:val="24"/>
          <w:szCs w:val="20"/>
        </w:rPr>
      </w:pPr>
      <w:r>
        <w:rPr>
          <w:rFonts w:hint="eastAsia" w:ascii="仿宋_GB2312" w:hAnsi="宋体" w:eastAsia="仿宋_GB2312" w:cs="Times New Roman"/>
          <w:bCs/>
          <w:color w:val="000000"/>
          <w:sz w:val="24"/>
          <w:szCs w:val="24"/>
        </w:rPr>
        <w:t>5.1供应商</w:t>
      </w:r>
      <w:r>
        <w:rPr>
          <w:rFonts w:hint="eastAsia" w:ascii="仿宋" w:hAnsi="仿宋" w:eastAsia="仿宋" w:cs="Times New Roman"/>
          <w:bCs/>
          <w:sz w:val="24"/>
          <w:szCs w:val="20"/>
        </w:rPr>
        <w:t>对招标文件中的采购需求（资质要求、采购技术参数、付款方式、交货期限、售后服务和质保期）有异议的，应当自合法渠道获取招标文件之日起7个工作日内，以书面方式向采购人或采购代理机构提出。</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5.2采购人或采购代理机构在收到供应商的质疑函后7个工作日内予以答复，并以书面形式通知质疑供应商。</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5.3供应商在法定质疑期内针对招标文件的质疑必须一次性提出，投标人在规定时间内，未对招标文件提出质疑的，则视为投标人完全同意招标文件的所有内容。</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5.4提出质疑的供应商应当是参与所质疑项目采购活动的供应商。</w:t>
      </w:r>
    </w:p>
    <w:p>
      <w:pPr>
        <w:ind w:firstLine="482" w:firstLineChars="200"/>
        <w:jc w:val="left"/>
        <w:rPr>
          <w:rFonts w:ascii="宋体" w:hAnsi="宋体" w:cs="宋体"/>
          <w:b/>
          <w:sz w:val="24"/>
          <w:szCs w:val="20"/>
        </w:rPr>
      </w:pPr>
      <w:r>
        <w:rPr>
          <w:rFonts w:hint="eastAsia" w:ascii="宋体" w:hAnsi="宋体" w:cs="宋体"/>
          <w:b/>
          <w:sz w:val="24"/>
          <w:szCs w:val="20"/>
        </w:rPr>
        <w:t>6.招标文件的澄清或修改</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6.1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投标人在收到该通知后应立即以电报或传真的形式予以确认。</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6</w:t>
      </w:r>
      <w:r>
        <w:rPr>
          <w:rFonts w:ascii="仿宋" w:hAnsi="仿宋" w:eastAsia="仿宋" w:cs="Times New Roman"/>
          <w:sz w:val="24"/>
          <w:szCs w:val="20"/>
        </w:rPr>
        <w:t>.</w:t>
      </w:r>
      <w:r>
        <w:rPr>
          <w:rFonts w:hint="eastAsia" w:ascii="仿宋" w:hAnsi="仿宋" w:eastAsia="仿宋" w:cs="Times New Roman"/>
          <w:sz w:val="24"/>
          <w:szCs w:val="20"/>
        </w:rPr>
        <w:t>2</w:t>
      </w:r>
      <w:r>
        <w:rPr>
          <w:rFonts w:hint="eastAsia" w:ascii="仿宋" w:hAnsi="仿宋" w:eastAsia="仿宋" w:cs="Times New Roman"/>
          <w:sz w:val="24"/>
          <w:szCs w:val="24"/>
        </w:rPr>
        <w:t>招标文件的修改和补充文件将构成招标文件的一部分，并且对投标人具有优先约束力。</w:t>
      </w:r>
    </w:p>
    <w:p>
      <w:pPr>
        <w:ind w:firstLine="482" w:firstLineChars="200"/>
        <w:rPr>
          <w:rFonts w:ascii="宋体" w:hAnsi="宋体" w:cs="宋体"/>
          <w:b/>
          <w:bCs/>
          <w:sz w:val="24"/>
          <w:szCs w:val="20"/>
        </w:rPr>
      </w:pPr>
      <w:r>
        <w:rPr>
          <w:rFonts w:hint="eastAsia" w:ascii="宋体" w:hAnsi="宋体" w:cs="宋体"/>
          <w:b/>
          <w:bCs/>
          <w:sz w:val="24"/>
          <w:szCs w:val="20"/>
        </w:rPr>
        <w:t>7. 招标文件的解释权</w:t>
      </w:r>
    </w:p>
    <w:p>
      <w:pPr>
        <w:ind w:firstLine="480" w:firstLineChars="200"/>
        <w:rPr>
          <w:rFonts w:ascii="仿宋_GB2312" w:hAnsi="宋体" w:eastAsia="仿宋_GB2312" w:cs="Times New Roman"/>
          <w:b/>
          <w:sz w:val="32"/>
          <w:szCs w:val="32"/>
          <w:highlight w:val="yellow"/>
        </w:rPr>
      </w:pPr>
      <w:r>
        <w:rPr>
          <w:rFonts w:hint="eastAsia" w:ascii="仿宋" w:hAnsi="仿宋" w:eastAsia="仿宋" w:cs="Times New Roman"/>
          <w:sz w:val="24"/>
          <w:szCs w:val="20"/>
        </w:rPr>
        <w:t>7.1本招标文件的解释权归</w:t>
      </w:r>
      <w:r>
        <w:rPr>
          <w:rFonts w:hint="eastAsia" w:ascii="仿宋" w:hAnsi="仿宋" w:eastAsia="仿宋" w:cs="Times New Roman"/>
          <w:bCs/>
          <w:sz w:val="24"/>
          <w:szCs w:val="20"/>
        </w:rPr>
        <w:t>采购代理机构</w:t>
      </w:r>
      <w:r>
        <w:rPr>
          <w:rFonts w:hint="eastAsia" w:ascii="仿宋" w:hAnsi="仿宋" w:eastAsia="仿宋" w:cs="Times New Roman"/>
          <w:sz w:val="24"/>
          <w:szCs w:val="20"/>
          <w:lang w:eastAsia="zh-CN"/>
        </w:rPr>
        <w:t>新疆天麒工程项目管理咨询有限责任公司</w:t>
      </w:r>
      <w:r>
        <w:rPr>
          <w:rFonts w:hint="eastAsia" w:ascii="仿宋" w:hAnsi="仿宋" w:eastAsia="仿宋" w:cs="Times New Roman"/>
          <w:sz w:val="24"/>
          <w:szCs w:val="20"/>
        </w:rPr>
        <w:t>。</w:t>
      </w:r>
      <w:bookmarkStart w:id="23" w:name="_Toc21110"/>
      <w:bookmarkStart w:id="24" w:name="_Toc22946"/>
      <w:bookmarkStart w:id="25" w:name="_Toc4244"/>
      <w:bookmarkStart w:id="26" w:name="_Toc30637"/>
      <w:bookmarkStart w:id="27" w:name="_Toc2594"/>
      <w:bookmarkStart w:id="28" w:name="_Toc23877"/>
      <w:bookmarkStart w:id="29" w:name="_Toc9247"/>
      <w:bookmarkStart w:id="30" w:name="_Toc17436"/>
      <w:bookmarkStart w:id="31" w:name="_Toc25097"/>
      <w:bookmarkStart w:id="32" w:name="_Toc1839"/>
      <w:bookmarkStart w:id="33" w:name="_Toc15920"/>
      <w:bookmarkStart w:id="34" w:name="_Toc14958"/>
      <w:bookmarkStart w:id="35" w:name="_Toc25732"/>
      <w:bookmarkStart w:id="36" w:name="_Toc22600"/>
      <w:bookmarkStart w:id="37" w:name="_Toc8278"/>
    </w:p>
    <w:p>
      <w:pPr>
        <w:jc w:val="both"/>
        <w:outlineLvl w:val="1"/>
        <w:rPr>
          <w:rFonts w:hint="eastAsia" w:ascii="仿宋_GB2312" w:hAnsi="宋体" w:eastAsia="仿宋_GB2312" w:cs="Times New Roman"/>
          <w:b/>
          <w:sz w:val="32"/>
          <w:szCs w:val="32"/>
        </w:rPr>
      </w:pPr>
      <w:bookmarkStart w:id="38" w:name="_Toc27476"/>
    </w:p>
    <w:p>
      <w:pPr>
        <w:jc w:val="center"/>
        <w:outlineLvl w:val="1"/>
        <w:rPr>
          <w:rFonts w:hint="eastAsia" w:ascii="仿宋_GB2312" w:hAnsi="宋体" w:eastAsia="仿宋_GB2312" w:cs="Times New Roman"/>
          <w:b/>
          <w:sz w:val="32"/>
          <w:szCs w:val="32"/>
        </w:rPr>
      </w:pPr>
    </w:p>
    <w:p>
      <w:pPr>
        <w:jc w:val="center"/>
        <w:outlineLvl w:val="1"/>
        <w:rPr>
          <w:rFonts w:ascii="仿宋" w:hAnsi="仿宋" w:eastAsia="仿宋" w:cs="仿宋"/>
          <w:szCs w:val="20"/>
        </w:rPr>
      </w:pPr>
      <w:r>
        <w:rPr>
          <w:rFonts w:hint="eastAsia" w:ascii="仿宋_GB2312" w:hAnsi="宋体" w:eastAsia="仿宋_GB2312" w:cs="Times New Roman"/>
          <w:b/>
          <w:sz w:val="32"/>
          <w:szCs w:val="32"/>
        </w:rPr>
        <w:t xml:space="preserve">第二章 </w:t>
      </w:r>
      <w:r>
        <w:rPr>
          <w:rFonts w:hint="eastAsia" w:ascii="仿宋" w:hAnsi="仿宋" w:eastAsia="仿宋" w:cs="仿宋"/>
          <w:b/>
          <w:bCs/>
          <w:sz w:val="32"/>
          <w:szCs w:val="32"/>
        </w:rPr>
        <w:t>对投标人的资质要求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ind w:firstLine="482" w:firstLineChars="200"/>
        <w:rPr>
          <w:rFonts w:ascii="宋体" w:hAnsi="宋体" w:cs="宋体"/>
          <w:b/>
          <w:sz w:val="24"/>
          <w:szCs w:val="20"/>
        </w:rPr>
      </w:pPr>
      <w:r>
        <w:rPr>
          <w:rFonts w:hint="eastAsia" w:ascii="宋体" w:hAnsi="宋体" w:cs="宋体"/>
          <w:b/>
          <w:sz w:val="24"/>
          <w:szCs w:val="20"/>
        </w:rPr>
        <w:t>1、投标资质要求</w:t>
      </w:r>
    </w:p>
    <w:p>
      <w:pPr>
        <w:spacing w:line="360" w:lineRule="exact"/>
        <w:ind w:firstLine="480" w:firstLineChars="200"/>
        <w:rPr>
          <w:rFonts w:hint="eastAsia" w:ascii="仿宋" w:hAnsi="仿宋" w:eastAsia="仿宋" w:cs="Times New Roman"/>
          <w:bCs/>
          <w:sz w:val="24"/>
          <w:szCs w:val="20"/>
        </w:rPr>
      </w:pPr>
      <w:bookmarkStart w:id="39" w:name="_Toc31206"/>
      <w:bookmarkStart w:id="40" w:name="_Toc19997"/>
      <w:bookmarkStart w:id="41" w:name="_Toc28050"/>
      <w:bookmarkStart w:id="42" w:name="_Toc7896"/>
      <w:bookmarkStart w:id="43" w:name="_Toc29361"/>
      <w:bookmarkStart w:id="44" w:name="_Toc7999"/>
      <w:bookmarkStart w:id="45" w:name="_Toc2056"/>
      <w:bookmarkStart w:id="46" w:name="_Toc16095"/>
      <w:bookmarkStart w:id="47" w:name="_Toc21696"/>
      <w:bookmarkStart w:id="48" w:name="_Toc25475"/>
      <w:bookmarkStart w:id="49" w:name="_Toc15431"/>
      <w:bookmarkStart w:id="50" w:name="_Toc19309"/>
      <w:bookmarkStart w:id="51" w:name="_Toc3882"/>
      <w:bookmarkStart w:id="52" w:name="_Toc16339"/>
      <w:bookmarkStart w:id="53" w:name="_Toc11677"/>
      <w:r>
        <w:rPr>
          <w:rFonts w:hint="eastAsia" w:ascii="仿宋" w:hAnsi="仿宋" w:eastAsia="仿宋" w:cs="Times New Roman"/>
          <w:bCs/>
          <w:sz w:val="24"/>
          <w:szCs w:val="20"/>
        </w:rPr>
        <w:t>1、须符合《中华人民共和国政府采购法》第22条规定：</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（1）具有独立承担民事责任的能力的供应商；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（2）具有良好的商业信誉和健全的财务会计制度；</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（3）具有履行合同所必需的设备和专业技术能力；</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（4）有依法缴纳税收和社会保障资金的良好记录；</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（5）参加本次采购活动前三年内，在经营活动中没有重大违法记录；</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（6）法律、行政法规规定的其他条件。 </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2、</w:t>
      </w:r>
      <w:r>
        <w:rPr>
          <w:rFonts w:hint="eastAsia" w:ascii="仿宋" w:hAnsi="仿宋" w:eastAsia="仿宋" w:cs="Times New Roman"/>
          <w:bCs/>
          <w:sz w:val="24"/>
          <w:szCs w:val="20"/>
        </w:rPr>
        <w:t>投标人必须是所投产品的制造商或经销商，需提供有效的工商营业执照副本（营业执照需包含本次项目的相关经营权）；</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3、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4</w:t>
      </w:r>
      <w:r>
        <w:rPr>
          <w:rFonts w:hint="eastAsia" w:ascii="仿宋" w:hAnsi="仿宋" w:eastAsia="仿宋" w:cs="Times New Roman"/>
          <w:bCs/>
          <w:sz w:val="24"/>
          <w:szCs w:val="20"/>
        </w:rPr>
        <w:t>、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需显示查询时间及网址，时间为投标文件递交截止时间前20日内）加盖供应商公章为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5</w:t>
      </w:r>
      <w:r>
        <w:rPr>
          <w:rFonts w:hint="eastAsia" w:ascii="仿宋" w:hAnsi="仿宋" w:eastAsia="仿宋" w:cs="Times New Roman"/>
          <w:bCs/>
          <w:sz w:val="24"/>
          <w:szCs w:val="20"/>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6、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7、不接受联合体投标，不允许转包或分包</w:t>
      </w:r>
    </w:p>
    <w:p>
      <w:pPr>
        <w:outlineLvl w:val="1"/>
        <w:rPr>
          <w:rFonts w:ascii="仿宋_GB2312" w:hAnsi="Arial" w:eastAsia="仿宋_GB2312" w:cs="Times New Roman"/>
          <w:b/>
          <w:sz w:val="32"/>
          <w:szCs w:val="32"/>
          <w:highlight w:val="yellow"/>
        </w:rPr>
      </w:pPr>
    </w:p>
    <w:p>
      <w:pPr>
        <w:jc w:val="center"/>
        <w:outlineLvl w:val="1"/>
        <w:rPr>
          <w:rFonts w:hint="eastAsia" w:ascii="仿宋_GB2312" w:hAnsi="Arial" w:eastAsia="仿宋_GB2312" w:cs="Times New Roman"/>
          <w:b/>
          <w:sz w:val="32"/>
          <w:szCs w:val="32"/>
        </w:rPr>
      </w:pPr>
      <w:bookmarkStart w:id="54" w:name="_Toc23609"/>
    </w:p>
    <w:p>
      <w:pPr>
        <w:jc w:val="center"/>
        <w:outlineLvl w:val="1"/>
        <w:rPr>
          <w:rFonts w:hint="eastAsia" w:ascii="仿宋_GB2312" w:hAnsi="Arial" w:eastAsia="仿宋_GB2312" w:cs="Times New Roman"/>
          <w:b/>
          <w:sz w:val="32"/>
          <w:szCs w:val="32"/>
        </w:rPr>
      </w:pPr>
    </w:p>
    <w:p>
      <w:pPr>
        <w:pStyle w:val="2"/>
        <w:rPr>
          <w:rFonts w:hint="eastAsia" w:ascii="仿宋_GB2312" w:hAnsi="Arial" w:eastAsia="仿宋_GB2312" w:cs="Times New Roman"/>
          <w:b/>
          <w:sz w:val="32"/>
          <w:szCs w:val="32"/>
        </w:rPr>
      </w:pPr>
    </w:p>
    <w:p>
      <w:pPr>
        <w:rPr>
          <w:rFonts w:hint="eastAsia"/>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pStyle w:val="25"/>
        <w:rPr>
          <w:rFonts w:hint="eastAsia" w:ascii="仿宋_GB2312" w:hAnsi="Arial" w:eastAsia="仿宋_GB2312" w:cs="Times New Roman"/>
          <w:b/>
          <w:sz w:val="32"/>
          <w:szCs w:val="32"/>
        </w:rPr>
      </w:pPr>
    </w:p>
    <w:p>
      <w:pPr>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第三章 投标文件的编写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ind w:firstLine="482" w:firstLineChars="200"/>
        <w:rPr>
          <w:rFonts w:ascii="宋体" w:hAnsi="宋体" w:cs="宋体"/>
          <w:b/>
          <w:sz w:val="24"/>
          <w:szCs w:val="20"/>
        </w:rPr>
      </w:pPr>
      <w:r>
        <w:rPr>
          <w:rFonts w:hint="eastAsia" w:ascii="宋体" w:hAnsi="宋体" w:cs="宋体"/>
          <w:b/>
          <w:sz w:val="24"/>
          <w:szCs w:val="20"/>
        </w:rPr>
        <w:t>1、 投标文件要求</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.1 </w:t>
      </w:r>
      <w:r>
        <w:rPr>
          <w:rFonts w:hint="eastAsia" w:ascii="仿宋" w:hAnsi="仿宋" w:eastAsia="仿宋" w:cs="Times New Roman"/>
          <w:sz w:val="24"/>
          <w:szCs w:val="20"/>
        </w:rPr>
        <w:t>投标文件以及投标人和采购人或</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就招标、投标交换的文件和往来信件，须以中文书写。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.2 </w:t>
      </w:r>
      <w:r>
        <w:rPr>
          <w:rFonts w:hint="eastAsia" w:ascii="仿宋" w:hAnsi="仿宋" w:eastAsia="仿宋" w:cs="Times New Roman"/>
          <w:sz w:val="24"/>
          <w:szCs w:val="20"/>
        </w:rPr>
        <w:t>除在招标书的技术规格中另有规定外，计量单位应使用中华人民共和国法定计量单位。</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1.3投标人应详细阅读招标文件中的条款、规范、表示、条件和格式等所有内容，按招标文件的要求份数提供投标文件，并保证所提供全部材料的真实性，以使其投标对招标文件做出实质性响应。</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1.4投标人应按招标文件的范本格式中提供的投标文件格式认真填写投标书、开标一览表等</w:t>
      </w:r>
      <w:r>
        <w:rPr>
          <w:rFonts w:hint="eastAsia" w:ascii="仿宋" w:hAnsi="仿宋" w:eastAsia="仿宋" w:cs="Times New Roman"/>
          <w:b/>
          <w:sz w:val="24"/>
          <w:szCs w:val="20"/>
        </w:rPr>
        <w:t>。</w:t>
      </w:r>
    </w:p>
    <w:p>
      <w:pPr>
        <w:ind w:firstLine="482" w:firstLineChars="200"/>
        <w:rPr>
          <w:rFonts w:ascii="宋体" w:hAnsi="宋体" w:cs="宋体"/>
          <w:b/>
          <w:sz w:val="24"/>
          <w:szCs w:val="20"/>
        </w:rPr>
      </w:pPr>
      <w:r>
        <w:rPr>
          <w:rFonts w:hint="eastAsia" w:ascii="宋体" w:hAnsi="宋体" w:cs="宋体"/>
          <w:b/>
          <w:sz w:val="24"/>
          <w:szCs w:val="20"/>
        </w:rPr>
        <w:t>2、投标文件的组成和编制顺序</w:t>
      </w:r>
    </w:p>
    <w:p>
      <w:pPr>
        <w:rPr>
          <w:rFonts w:ascii="仿宋" w:hAnsi="仿宋" w:eastAsia="仿宋" w:cs="Times New Roman"/>
          <w:b/>
          <w:color w:val="000000"/>
          <w:sz w:val="24"/>
          <w:szCs w:val="24"/>
        </w:rPr>
      </w:pPr>
      <w:r>
        <w:rPr>
          <w:rFonts w:hint="eastAsia" w:ascii="仿宋" w:hAnsi="仿宋" w:eastAsia="仿宋" w:cs="Times New Roman"/>
          <w:b/>
          <w:color w:val="000000"/>
          <w:sz w:val="24"/>
          <w:szCs w:val="24"/>
        </w:rPr>
        <w:t>（请各投标人严格按照以下顺序编制投标文件）</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投标声明函【格式详见本招标文件第七部分】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2.3  法人代表授权委托书（法定代表人参加提供法定代表人身份证明书）【格式详见本招标文件第七部分】</w:t>
      </w:r>
    </w:p>
    <w:p>
      <w:pPr>
        <w:ind w:firstLine="480"/>
        <w:rPr>
          <w:rFonts w:ascii="仿宋" w:hAnsi="仿宋" w:eastAsia="仿宋" w:cs="Times New Roman"/>
          <w:sz w:val="24"/>
          <w:szCs w:val="20"/>
        </w:rPr>
      </w:pPr>
      <w:r>
        <w:rPr>
          <w:rFonts w:hint="eastAsia" w:ascii="仿宋" w:hAnsi="仿宋" w:eastAsia="仿宋" w:cs="Times New Roman"/>
          <w:sz w:val="24"/>
          <w:szCs w:val="20"/>
        </w:rPr>
        <w:t>2.4  开标一览表【</w:t>
      </w:r>
      <w:r>
        <w:rPr>
          <w:rFonts w:hint="eastAsia" w:ascii="仿宋" w:hAnsi="仿宋" w:eastAsia="仿宋" w:cs="Times New Roman"/>
          <w:b/>
          <w:bCs/>
          <w:sz w:val="24"/>
          <w:szCs w:val="20"/>
        </w:rPr>
        <w:t>一式两份，一份小信封单独密封供唱标时用，另一份装订于标书中，格式详见本招标文件第七部分</w:t>
      </w:r>
      <w:r>
        <w:rPr>
          <w:rFonts w:hint="eastAsia" w:ascii="仿宋" w:hAnsi="仿宋" w:eastAsia="仿宋" w:cs="Times New Roman"/>
          <w:sz w:val="24"/>
          <w:szCs w:val="20"/>
        </w:rPr>
        <w:t>】</w:t>
      </w:r>
    </w:p>
    <w:p>
      <w:pPr>
        <w:ind w:left="479" w:leftChars="228"/>
        <w:rPr>
          <w:rFonts w:ascii="仿宋" w:hAnsi="仿宋" w:eastAsia="仿宋" w:cs="Times New Roman"/>
          <w:sz w:val="24"/>
          <w:szCs w:val="20"/>
        </w:rPr>
      </w:pPr>
      <w:r>
        <w:rPr>
          <w:rFonts w:hint="eastAsia" w:ascii="仿宋" w:hAnsi="仿宋" w:eastAsia="仿宋" w:cs="Times New Roman"/>
          <w:sz w:val="24"/>
          <w:szCs w:val="20"/>
        </w:rPr>
        <w:t>2.5  投标报价明细表（设备、材料、系统费用及其他费用）【格式详见本招标文件第七部分】</w:t>
      </w:r>
    </w:p>
    <w:p>
      <w:pPr>
        <w:ind w:left="479" w:leftChars="228"/>
        <w:rPr>
          <w:rFonts w:ascii="仿宋" w:hAnsi="仿宋" w:eastAsia="仿宋" w:cs="Times New Roman"/>
          <w:sz w:val="24"/>
          <w:szCs w:val="20"/>
        </w:rPr>
      </w:pPr>
      <w:r>
        <w:rPr>
          <w:rFonts w:hint="eastAsia" w:ascii="仿宋" w:hAnsi="仿宋" w:eastAsia="仿宋" w:cs="Times New Roman"/>
          <w:sz w:val="24"/>
          <w:szCs w:val="20"/>
        </w:rPr>
        <w:t>2.6  备品、备件清单及维保期期满后相关维修配件清单一览表【格式详见本招标文件第七部分】</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2.7  技术参数、功能偏离表【格式详见本招标文件第七部分】</w:t>
      </w:r>
    </w:p>
    <w:p>
      <w:pPr>
        <w:ind w:left="479" w:leftChars="228"/>
        <w:rPr>
          <w:rFonts w:hint="default" w:ascii="仿宋" w:hAnsi="仿宋" w:eastAsia="仿宋" w:cs="Times New Roman"/>
          <w:sz w:val="24"/>
          <w:szCs w:val="20"/>
          <w:lang w:val="en-US" w:eastAsia="zh-CN"/>
        </w:rPr>
      </w:pPr>
      <w:r>
        <w:rPr>
          <w:rFonts w:hint="eastAsia" w:ascii="仿宋" w:hAnsi="仿宋" w:eastAsia="仿宋" w:cs="Times New Roman"/>
          <w:sz w:val="24"/>
          <w:szCs w:val="20"/>
          <w:lang w:val="en-US" w:eastAsia="zh-CN"/>
        </w:rPr>
        <w:t>2.8  所供产品官方宣传彩页和产品说明书等。</w:t>
      </w:r>
    </w:p>
    <w:p>
      <w:pPr>
        <w:ind w:left="479" w:leftChars="228"/>
        <w:rPr>
          <w:rFonts w:hint="eastAsia"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9</w:t>
      </w:r>
      <w:r>
        <w:rPr>
          <w:rFonts w:hint="eastAsia" w:ascii="仿宋" w:hAnsi="仿宋" w:eastAsia="仿宋" w:cs="Times New Roman"/>
          <w:sz w:val="24"/>
          <w:szCs w:val="20"/>
        </w:rPr>
        <w:t xml:space="preserve">  本次项目售后服务详述、维修、培训以及售后服务联系人、联系方式等详述方案和售后服务承诺书。</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rPr>
        <w:t xml:space="preserve">  近三年</w:t>
      </w:r>
      <w:r>
        <w:rPr>
          <w:rFonts w:hint="eastAsia" w:ascii="仿宋" w:hAnsi="仿宋" w:eastAsia="仿宋" w:cs="Times New Roman"/>
          <w:sz w:val="24"/>
          <w:szCs w:val="20"/>
          <w:lang w:eastAsia="zh-CN"/>
        </w:rPr>
        <w:t>（</w:t>
      </w:r>
      <w:r>
        <w:rPr>
          <w:rFonts w:hint="eastAsia" w:ascii="仿宋" w:hAnsi="仿宋" w:eastAsia="仿宋" w:cs="Times New Roman"/>
          <w:sz w:val="24"/>
          <w:szCs w:val="20"/>
          <w:lang w:val="en-US" w:eastAsia="zh-CN"/>
        </w:rPr>
        <w:t>2019年1月1日至今</w:t>
      </w:r>
      <w:r>
        <w:rPr>
          <w:rFonts w:hint="eastAsia" w:ascii="仿宋" w:hAnsi="仿宋" w:eastAsia="仿宋" w:cs="Times New Roman"/>
          <w:sz w:val="24"/>
          <w:szCs w:val="20"/>
          <w:lang w:eastAsia="zh-CN"/>
        </w:rPr>
        <w:t>）</w:t>
      </w:r>
      <w:r>
        <w:rPr>
          <w:rFonts w:hint="eastAsia" w:ascii="仿宋" w:hAnsi="仿宋" w:eastAsia="仿宋" w:cs="Times New Roman"/>
          <w:sz w:val="24"/>
          <w:szCs w:val="20"/>
        </w:rPr>
        <w:t>的类似业绩（必须附中标通知书或合同复印件加盖企业公章）。【格式详见本招标文件第七部分】</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1</w:t>
      </w:r>
      <w:r>
        <w:rPr>
          <w:rFonts w:hint="eastAsia" w:ascii="仿宋" w:hAnsi="仿宋" w:eastAsia="仿宋" w:cs="Times New Roman"/>
          <w:sz w:val="24"/>
          <w:szCs w:val="20"/>
        </w:rPr>
        <w:t xml:space="preserve"> 投标资质</w:t>
      </w:r>
      <w:r>
        <w:rPr>
          <w:rFonts w:hint="eastAsia" w:ascii="仿宋" w:hAnsi="仿宋" w:eastAsia="仿宋" w:cs="Times New Roman"/>
          <w:color w:val="7030A0"/>
          <w:sz w:val="24"/>
          <w:szCs w:val="20"/>
          <w:lang w:val="en-US" w:eastAsia="zh-CN"/>
        </w:rPr>
        <w:t>2</w:t>
      </w:r>
      <w:r>
        <w:rPr>
          <w:rFonts w:hint="eastAsia" w:ascii="仿宋" w:hAnsi="仿宋" w:eastAsia="仿宋" w:cs="Times New Roman"/>
          <w:color w:val="7030A0"/>
          <w:sz w:val="24"/>
          <w:szCs w:val="20"/>
        </w:rPr>
        <w:t>-</w:t>
      </w:r>
      <w:r>
        <w:rPr>
          <w:rFonts w:hint="eastAsia" w:ascii="仿宋" w:hAnsi="仿宋" w:eastAsia="仿宋" w:cs="Times New Roman"/>
          <w:color w:val="7030A0"/>
          <w:sz w:val="24"/>
          <w:szCs w:val="20"/>
          <w:lang w:val="en-US" w:eastAsia="zh-CN"/>
        </w:rPr>
        <w:t>4</w:t>
      </w:r>
      <w:r>
        <w:rPr>
          <w:rFonts w:hint="eastAsia" w:ascii="仿宋" w:hAnsi="仿宋" w:eastAsia="仿宋" w:cs="Times New Roman"/>
          <w:sz w:val="24"/>
          <w:szCs w:val="20"/>
        </w:rPr>
        <w:t>项资料复印件加盖公章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2</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 w:hAnsi="仿宋" w:eastAsia="仿宋" w:cs="Times New Roman"/>
          <w:sz w:val="24"/>
          <w:szCs w:val="24"/>
        </w:rPr>
        <w:t>2.1</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 xml:space="preserve">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_GB2312" w:eastAsia="仿宋_GB2312"/>
          <w:sz w:val="24"/>
        </w:rPr>
        <w:t>2.1</w:t>
      </w:r>
      <w:r>
        <w:rPr>
          <w:rFonts w:hint="eastAsia" w:ascii="仿宋_GB2312" w:eastAsia="仿宋_GB2312"/>
          <w:sz w:val="24"/>
          <w:lang w:val="en-US" w:eastAsia="zh-CN"/>
        </w:rPr>
        <w:t>4</w:t>
      </w:r>
      <w:r>
        <w:rPr>
          <w:rFonts w:hint="eastAsia" w:ascii="仿宋_GB2312" w:eastAsia="仿宋_GB2312"/>
          <w:sz w:val="24"/>
        </w:rPr>
        <w:t xml:space="preserve"> 残疾人福利性单位声明函（若有如实填写）</w:t>
      </w:r>
      <w:r>
        <w:rPr>
          <w:rFonts w:hint="eastAsia" w:ascii="仿宋" w:hAnsi="仿宋" w:eastAsia="仿宋" w:cs="Times New Roman"/>
          <w:sz w:val="24"/>
          <w:szCs w:val="20"/>
        </w:rPr>
        <w:t>【格式详见本招标文件第七部分】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5</w:t>
      </w:r>
      <w:r>
        <w:rPr>
          <w:rFonts w:hint="eastAsia" w:ascii="仿宋" w:hAnsi="仿宋" w:eastAsia="仿宋" w:cs="Times New Roman"/>
          <w:sz w:val="24"/>
          <w:szCs w:val="20"/>
        </w:rPr>
        <w:t xml:space="preserve"> 其它有利于投标的资料</w:t>
      </w:r>
    </w:p>
    <w:p>
      <w:pPr>
        <w:ind w:firstLine="482" w:firstLineChars="200"/>
        <w:rPr>
          <w:rFonts w:ascii="宋体" w:hAnsi="宋体" w:cs="宋体"/>
          <w:b/>
          <w:sz w:val="24"/>
          <w:szCs w:val="20"/>
        </w:rPr>
      </w:pPr>
      <w:r>
        <w:rPr>
          <w:rFonts w:hint="eastAsia" w:ascii="宋体" w:hAnsi="宋体" w:cs="宋体"/>
          <w:b/>
          <w:sz w:val="24"/>
          <w:szCs w:val="20"/>
        </w:rPr>
        <w:t>3、投标有效期</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3.1　投标文件从开标之日起，投标有效期为90天（如不满足将被确定为无效投标）。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在特殊情况下，</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可与投标人协商延长投标文件的有效期。</w:t>
      </w:r>
    </w:p>
    <w:p>
      <w:pPr>
        <w:outlineLvl w:val="1"/>
        <w:rPr>
          <w:rFonts w:ascii="仿宋_GB2312" w:hAnsi="Arial" w:eastAsia="仿宋_GB2312" w:cs="Times New Roman"/>
          <w:sz w:val="24"/>
          <w:szCs w:val="20"/>
          <w:highlight w:val="yellow"/>
        </w:rPr>
      </w:pPr>
    </w:p>
    <w:p>
      <w:pPr>
        <w:jc w:val="center"/>
        <w:outlineLvl w:val="1"/>
        <w:rPr>
          <w:rFonts w:hint="eastAsia" w:ascii="仿宋_GB2312" w:hAnsi="Arial" w:eastAsia="仿宋_GB2312" w:cs="Times New Roman"/>
          <w:b/>
          <w:sz w:val="32"/>
          <w:szCs w:val="32"/>
        </w:rPr>
      </w:pPr>
      <w:bookmarkStart w:id="55" w:name="_Toc25337"/>
      <w:bookmarkStart w:id="56" w:name="_Toc31157"/>
      <w:bookmarkStart w:id="57" w:name="_Toc20622"/>
      <w:bookmarkStart w:id="58" w:name="_Toc20956"/>
      <w:bookmarkStart w:id="59" w:name="_Toc32591"/>
      <w:bookmarkStart w:id="60" w:name="_Toc13247"/>
      <w:bookmarkStart w:id="61" w:name="_Toc9207"/>
      <w:bookmarkStart w:id="62" w:name="_Toc2819"/>
      <w:bookmarkStart w:id="63" w:name="_Toc24384"/>
      <w:bookmarkStart w:id="64" w:name="_Toc2902"/>
      <w:bookmarkStart w:id="65" w:name="_Toc10249"/>
      <w:bookmarkStart w:id="66" w:name="_Toc11243"/>
      <w:bookmarkStart w:id="67" w:name="_Toc7952"/>
      <w:bookmarkStart w:id="68" w:name="_Toc22942"/>
      <w:bookmarkStart w:id="69" w:name="_Toc6422"/>
      <w:bookmarkStart w:id="70" w:name="_Toc28868"/>
      <w:bookmarkStart w:id="71" w:name="_Toc16595"/>
      <w:bookmarkStart w:id="72" w:name="_Toc31108"/>
      <w:bookmarkStart w:id="73" w:name="_Toc906"/>
      <w:bookmarkStart w:id="74" w:name="_Toc24445"/>
      <w:bookmarkStart w:id="75" w:name="_Toc19011"/>
      <w:bookmarkStart w:id="76" w:name="_Toc3845"/>
      <w:bookmarkStart w:id="77" w:name="_Toc15827"/>
      <w:bookmarkStart w:id="78" w:name="_Toc12570"/>
      <w:bookmarkStart w:id="79" w:name="_Toc6330"/>
      <w:bookmarkStart w:id="80" w:name="_Toc7949"/>
      <w:bookmarkStart w:id="81" w:name="_Toc10911"/>
      <w:bookmarkStart w:id="82" w:name="_Toc29272"/>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both"/>
        <w:outlineLvl w:val="1"/>
        <w:rPr>
          <w:rFonts w:hint="eastAsia" w:ascii="仿宋_GB2312" w:hAnsi="Arial" w:eastAsia="仿宋_GB2312" w:cs="Times New Roman"/>
          <w:b/>
          <w:sz w:val="32"/>
          <w:szCs w:val="32"/>
        </w:rPr>
      </w:pPr>
    </w:p>
    <w:p>
      <w:pPr>
        <w:pStyle w:val="8"/>
        <w:rPr>
          <w:rFonts w:hint="eastAsia" w:ascii="仿宋_GB2312" w:hAnsi="Arial" w:eastAsia="仿宋_GB2312" w:cs="Times New Roman"/>
          <w:b/>
          <w:sz w:val="32"/>
          <w:szCs w:val="32"/>
        </w:rPr>
      </w:pPr>
    </w:p>
    <w:p>
      <w:pPr>
        <w:pStyle w:val="8"/>
        <w:rPr>
          <w:rFonts w:hint="eastAsia"/>
        </w:rPr>
      </w:pPr>
    </w:p>
    <w:p>
      <w:pPr>
        <w:rPr>
          <w:rFonts w:hint="eastAsia"/>
        </w:rPr>
      </w:pPr>
    </w:p>
    <w:p>
      <w:pPr>
        <w:pStyle w:val="2"/>
        <w:rPr>
          <w:rFonts w:hint="eastAsia"/>
        </w:rPr>
      </w:pPr>
    </w:p>
    <w:p>
      <w:pPr>
        <w:rPr>
          <w:rFonts w:hint="eastAsia"/>
        </w:rPr>
      </w:pPr>
    </w:p>
    <w:p>
      <w:pPr>
        <w:pStyle w:val="2"/>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第四章 投标文件的装订及递交</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ind w:firstLine="472" w:firstLineChars="196"/>
        <w:rPr>
          <w:rFonts w:ascii="宋体" w:hAnsi="宋体" w:cs="宋体"/>
          <w:b/>
          <w:sz w:val="24"/>
          <w:szCs w:val="20"/>
        </w:rPr>
      </w:pPr>
      <w:r>
        <w:rPr>
          <w:rFonts w:hint="eastAsia" w:ascii="宋体" w:hAnsi="宋体" w:cs="宋体"/>
          <w:b/>
          <w:sz w:val="24"/>
          <w:szCs w:val="20"/>
        </w:rPr>
        <w:t>1、投标文件的装订与签署</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　投标文件的页面必须用</w:t>
      </w:r>
      <w:r>
        <w:rPr>
          <w:rFonts w:hint="eastAsia" w:ascii="黑体" w:hAnsi="黑体" w:eastAsia="黑体"/>
          <w:b/>
          <w:bCs/>
          <w:sz w:val="24"/>
          <w:szCs w:val="20"/>
          <w:u w:val="single"/>
        </w:rPr>
        <w:t>A4纸印刷体打印，胶粘装订</w:t>
      </w:r>
      <w:r>
        <w:rPr>
          <w:rFonts w:hint="eastAsia" w:ascii="黑体" w:hAnsi="黑体" w:eastAsia="黑体"/>
          <w:sz w:val="24"/>
          <w:szCs w:val="20"/>
        </w:rPr>
        <w:t>。</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2  投标文件应清楚工整，一般不准修改。个别非实质性修改之处应由投标人的被授权人或法人代表签章。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3　投标文件应由法人代表或法人授权代表在规定签章处逐一签署并加盖单位公章。</w:t>
      </w:r>
      <w:r>
        <w:rPr>
          <w:rFonts w:hint="eastAsia" w:ascii="仿宋" w:hAnsi="仿宋" w:eastAsia="仿宋" w:cs="Times New Roman"/>
          <w:bCs/>
          <w:sz w:val="24"/>
          <w:szCs w:val="20"/>
        </w:rPr>
        <w:t>所有投标人签字、法人代表签字、法人代表授权人签字和其它签字处必须加盖具有法律效力的投标人的印章后，投标文件方为有效。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　所有投标文件必须提交</w:t>
      </w:r>
      <w:r>
        <w:rPr>
          <w:rFonts w:hint="eastAsia" w:ascii="黑体" w:hAnsi="黑体" w:eastAsia="黑体"/>
          <w:b/>
          <w:sz w:val="24"/>
          <w:szCs w:val="20"/>
          <w:u w:val="single"/>
        </w:rPr>
        <w:t>正本1套和副本</w:t>
      </w:r>
      <w:r>
        <w:rPr>
          <w:rFonts w:hint="eastAsia" w:ascii="黑体" w:hAnsi="黑体" w:eastAsia="黑体"/>
          <w:b/>
          <w:sz w:val="24"/>
          <w:szCs w:val="20"/>
          <w:u w:val="single"/>
          <w:lang w:val="en-US" w:eastAsia="zh-CN"/>
        </w:rPr>
        <w:t>2</w:t>
      </w:r>
      <w:r>
        <w:rPr>
          <w:rFonts w:hint="eastAsia" w:ascii="黑体" w:hAnsi="黑体" w:eastAsia="黑体"/>
          <w:b/>
          <w:sz w:val="24"/>
          <w:szCs w:val="20"/>
          <w:u w:val="single"/>
        </w:rPr>
        <w:t>套</w:t>
      </w:r>
      <w:r>
        <w:rPr>
          <w:rFonts w:hint="eastAsia" w:ascii="仿宋" w:hAnsi="仿宋" w:eastAsia="仿宋" w:cs="Times New Roman"/>
          <w:b/>
          <w:sz w:val="24"/>
          <w:szCs w:val="20"/>
          <w:u w:val="single"/>
        </w:rPr>
        <w:t>，</w:t>
      </w:r>
      <w:r>
        <w:rPr>
          <w:rFonts w:hint="eastAsia" w:ascii="仿宋" w:hAnsi="仿宋" w:eastAsia="仿宋" w:cs="Times New Roman"/>
          <w:sz w:val="24"/>
          <w:szCs w:val="20"/>
        </w:rPr>
        <w:t>并在封面上标记“正本”和“副本”。投标文件正本一律不退。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投标文件的正本与副本应当完全一致。当正本和副本之间出现差异时，以正本为准。</w:t>
      </w:r>
    </w:p>
    <w:p>
      <w:pPr>
        <w:ind w:firstLine="480" w:firstLineChars="200"/>
        <w:rPr>
          <w:rFonts w:ascii="仿宋_GB2312" w:hAnsi="Arial" w:eastAsia="仿宋_GB2312" w:cs="Times New Roman"/>
          <w:sz w:val="24"/>
          <w:szCs w:val="20"/>
        </w:rPr>
      </w:pPr>
      <w:r>
        <w:rPr>
          <w:rFonts w:hint="eastAsia" w:ascii="仿宋" w:hAnsi="仿宋" w:eastAsia="仿宋" w:cs="Times New Roman"/>
          <w:sz w:val="24"/>
          <w:szCs w:val="20"/>
        </w:rPr>
        <w:t>1.6  电报、电话、传真、电子邮件等形式的投标概不接受。</w:t>
      </w:r>
    </w:p>
    <w:p>
      <w:pPr>
        <w:ind w:firstLine="482" w:firstLineChars="200"/>
        <w:rPr>
          <w:rFonts w:ascii="宋体" w:hAnsi="宋体" w:cs="宋体"/>
          <w:b/>
          <w:sz w:val="24"/>
          <w:szCs w:val="20"/>
        </w:rPr>
      </w:pPr>
      <w:r>
        <w:rPr>
          <w:rFonts w:hint="eastAsia" w:ascii="宋体" w:hAnsi="宋体" w:cs="宋体"/>
          <w:b/>
          <w:sz w:val="24"/>
          <w:szCs w:val="20"/>
        </w:rPr>
        <w:t>2、投标文件的密封与标记</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投标人应</w:t>
      </w:r>
      <w:r>
        <w:rPr>
          <w:rFonts w:hint="eastAsia" w:ascii="仿宋" w:hAnsi="仿宋" w:eastAsia="仿宋" w:cs="Times New Roman"/>
          <w:b/>
          <w:color w:val="000000"/>
          <w:sz w:val="24"/>
          <w:szCs w:val="20"/>
        </w:rPr>
        <w:t>将投标文件的正本和副本分别密封</w:t>
      </w:r>
      <w:r>
        <w:rPr>
          <w:rFonts w:hint="eastAsia" w:ascii="仿宋" w:hAnsi="仿宋" w:eastAsia="仿宋" w:cs="Times New Roman"/>
          <w:sz w:val="24"/>
          <w:szCs w:val="20"/>
        </w:rPr>
        <w:t>，在每个密封件的封面上标明招标编号、投标人名称、法定代表人、单位公章、“正本”或“副本”字样、投标人地址、联系电话。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投标文件袋上应写明：</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项目编号：</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采购人：</w:t>
      </w:r>
    </w:p>
    <w:p>
      <w:pPr>
        <w:ind w:firstLine="480" w:firstLineChars="200"/>
        <w:rPr>
          <w:rFonts w:hint="eastAsia" w:ascii="仿宋" w:hAnsi="仿宋" w:eastAsia="仿宋" w:cs="Times New Roman"/>
          <w:sz w:val="24"/>
          <w:szCs w:val="20"/>
          <w:lang w:eastAsia="zh-CN"/>
        </w:rPr>
      </w:pPr>
      <w:r>
        <w:rPr>
          <w:rFonts w:hint="eastAsia" w:ascii="仿宋" w:hAnsi="仿宋" w:eastAsia="仿宋" w:cs="Times New Roman"/>
          <w:bCs/>
          <w:sz w:val="24"/>
          <w:szCs w:val="20"/>
        </w:rPr>
        <w:t>采购代理机构</w:t>
      </w:r>
      <w:r>
        <w:rPr>
          <w:rFonts w:hint="eastAsia" w:ascii="仿宋" w:hAnsi="仿宋" w:eastAsia="仿宋" w:cs="Times New Roman"/>
          <w:sz w:val="24"/>
          <w:szCs w:val="20"/>
        </w:rPr>
        <w:t>：</w:t>
      </w:r>
      <w:r>
        <w:rPr>
          <w:rFonts w:hint="eastAsia" w:ascii="仿宋" w:hAnsi="仿宋" w:eastAsia="仿宋" w:cs="Times New Roman"/>
          <w:sz w:val="24"/>
          <w:szCs w:val="20"/>
          <w:u w:val="single"/>
          <w:lang w:eastAsia="zh-CN"/>
        </w:rPr>
        <w:t>新疆天麒工程项目管理咨询有限责任公司</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投标人名称：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联系人</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地址：</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电话：</w:t>
      </w:r>
    </w:p>
    <w:p>
      <w:pPr>
        <w:ind w:firstLine="480" w:firstLineChars="200"/>
        <w:rPr>
          <w:rFonts w:ascii="黑体" w:hAnsi="黑体" w:eastAsia="黑体"/>
          <w:b/>
          <w:bCs/>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3　</w:t>
      </w:r>
      <w:r>
        <w:rPr>
          <w:rFonts w:hint="eastAsia" w:ascii="黑体" w:hAnsi="黑体" w:eastAsia="黑体"/>
          <w:b/>
          <w:bCs/>
          <w:sz w:val="24"/>
          <w:szCs w:val="20"/>
        </w:rPr>
        <w:t>投标人必须提供《开标一览表》将其单独用小信封密封</w:t>
      </w:r>
      <w:r>
        <w:rPr>
          <w:rFonts w:hint="eastAsia" w:ascii="仿宋" w:hAnsi="仿宋" w:eastAsia="仿宋" w:cs="Times New Roman"/>
          <w:sz w:val="24"/>
          <w:szCs w:val="20"/>
        </w:rPr>
        <w:t>，</w:t>
      </w:r>
      <w:r>
        <w:rPr>
          <w:rFonts w:hint="eastAsia" w:ascii="黑体" w:hAnsi="黑体" w:eastAsia="黑体"/>
          <w:b/>
          <w:bCs/>
          <w:sz w:val="24"/>
          <w:szCs w:val="20"/>
        </w:rPr>
        <w:t>并在信封上标明“开标一览表”字样。</w:t>
      </w:r>
    </w:p>
    <w:p>
      <w:pPr>
        <w:pStyle w:val="8"/>
      </w:pP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lang w:val="en-US" w:eastAsia="zh-CN"/>
        </w:rPr>
        <w:t>4</w:t>
      </w:r>
      <w:r>
        <w:rPr>
          <w:rFonts w:hint="eastAsia" w:ascii="仿宋" w:hAnsi="仿宋" w:eastAsia="仿宋" w:cs="Times New Roman"/>
          <w:sz w:val="24"/>
          <w:szCs w:val="20"/>
        </w:rPr>
        <w:t>任何不完整或不满足招标文件要求的投标书将被拒绝。</w:t>
      </w:r>
    </w:p>
    <w:p>
      <w:pPr>
        <w:ind w:firstLine="480" w:firstLineChars="200"/>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5由于不可抗拒原因或无法控制的事件而导致的丢失或损坏投标包装体内的投标书时，</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将不负责任。</w:t>
      </w:r>
    </w:p>
    <w:p>
      <w:pPr>
        <w:ind w:firstLine="482" w:firstLineChars="200"/>
        <w:rPr>
          <w:rFonts w:ascii="宋体" w:hAnsi="宋体" w:cs="宋体"/>
          <w:b/>
          <w:sz w:val="24"/>
          <w:szCs w:val="20"/>
        </w:rPr>
      </w:pPr>
      <w:r>
        <w:rPr>
          <w:rFonts w:hint="eastAsia" w:ascii="宋体" w:hAnsi="宋体" w:cs="宋体"/>
          <w:b/>
          <w:sz w:val="24"/>
          <w:szCs w:val="20"/>
          <w:lang w:val="en-US" w:eastAsia="zh-CN"/>
        </w:rPr>
        <w:t>3</w:t>
      </w:r>
      <w:r>
        <w:rPr>
          <w:rFonts w:hint="eastAsia" w:ascii="宋体" w:hAnsi="宋体" w:cs="宋体"/>
          <w:b/>
          <w:sz w:val="24"/>
          <w:szCs w:val="20"/>
        </w:rPr>
        <w:t>、投标文件的修改和撤销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lang w:val="en-US" w:eastAsia="zh-CN"/>
        </w:rPr>
        <w:t>3</w:t>
      </w:r>
      <w:r>
        <w:rPr>
          <w:rFonts w:ascii="仿宋" w:hAnsi="仿宋" w:eastAsia="仿宋" w:cs="Times New Roman"/>
          <w:sz w:val="24"/>
          <w:szCs w:val="20"/>
        </w:rPr>
        <w:t>.</w:t>
      </w:r>
      <w:r>
        <w:rPr>
          <w:rFonts w:hint="eastAsia" w:ascii="仿宋" w:hAnsi="仿宋" w:eastAsia="仿宋" w:cs="Times New Roman"/>
          <w:sz w:val="24"/>
          <w:szCs w:val="20"/>
        </w:rPr>
        <w:t>1投标人在递交投标文件后，可在规定的投标截止时间之前，对其投标文件以书面通知的形式进行修改或撤销。该通知须有投标代理人的签字，并得到</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的确认。</w:t>
      </w:r>
    </w:p>
    <w:p>
      <w:pPr>
        <w:ind w:firstLine="480" w:firstLineChars="200"/>
        <w:rPr>
          <w:rFonts w:ascii="仿宋" w:hAnsi="仿宋" w:eastAsia="仿宋" w:cs="Times New Roman"/>
          <w:sz w:val="24"/>
          <w:szCs w:val="20"/>
        </w:rPr>
      </w:pPr>
      <w:r>
        <w:rPr>
          <w:rFonts w:hint="eastAsia" w:ascii="仿宋" w:hAnsi="仿宋" w:eastAsia="仿宋" w:cs="Times New Roman"/>
          <w:sz w:val="24"/>
          <w:szCs w:val="20"/>
          <w:lang w:val="en-US" w:eastAsia="zh-CN"/>
        </w:rPr>
        <w:t>3</w:t>
      </w:r>
      <w:r>
        <w:rPr>
          <w:rFonts w:hint="eastAsia" w:ascii="仿宋" w:hAnsi="仿宋" w:eastAsia="仿宋" w:cs="Times New Roman"/>
          <w:sz w:val="24"/>
          <w:szCs w:val="20"/>
        </w:rPr>
        <w:t>.2投标人对投标文件修改的书面材料或撤销通知应按招标文件要求进行密封、标注和递交，并注明“修改投标文件”或“撤销投标”字样，修改或撤销的内容须按招标文件的要求签署、盖章，并作为投标文件的组成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lang w:val="en-US" w:eastAsia="zh-CN"/>
        </w:rPr>
        <w:t>3</w:t>
      </w:r>
      <w:r>
        <w:rPr>
          <w:rFonts w:ascii="仿宋" w:hAnsi="仿宋" w:eastAsia="仿宋" w:cs="Times New Roman"/>
          <w:sz w:val="24"/>
          <w:szCs w:val="20"/>
        </w:rPr>
        <w:t>.</w:t>
      </w:r>
      <w:r>
        <w:rPr>
          <w:rFonts w:hint="eastAsia" w:ascii="仿宋" w:hAnsi="仿宋" w:eastAsia="仿宋" w:cs="Times New Roman"/>
          <w:sz w:val="24"/>
          <w:szCs w:val="20"/>
        </w:rPr>
        <w:t>3对投标文件修改的书面材料应于投标截止日前送达</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，投标截止时间以后不得修改投标文件。</w:t>
      </w:r>
    </w:p>
    <w:p>
      <w:pPr>
        <w:ind w:firstLine="480" w:firstLineChars="200"/>
        <w:rPr>
          <w:rFonts w:hint="eastAsia" w:ascii="仿宋_GB2312" w:hAnsi="Arial" w:eastAsia="仿宋_GB2312" w:cs="Times New Roman"/>
          <w:b/>
          <w:sz w:val="32"/>
          <w:szCs w:val="32"/>
        </w:rPr>
      </w:pPr>
      <w:r>
        <w:rPr>
          <w:rFonts w:hint="eastAsia" w:ascii="仿宋" w:hAnsi="仿宋" w:eastAsia="仿宋" w:cs="Times New Roman"/>
          <w:sz w:val="24"/>
          <w:szCs w:val="20"/>
          <w:lang w:val="en-US" w:eastAsia="zh-CN"/>
        </w:rPr>
        <w:t>3</w:t>
      </w:r>
      <w:r>
        <w:rPr>
          <w:rFonts w:ascii="仿宋" w:hAnsi="仿宋" w:eastAsia="仿宋" w:cs="Times New Roman"/>
          <w:sz w:val="24"/>
          <w:szCs w:val="20"/>
        </w:rPr>
        <w:t>.</w:t>
      </w:r>
      <w:r>
        <w:rPr>
          <w:rFonts w:hint="eastAsia" w:ascii="仿宋" w:hAnsi="仿宋" w:eastAsia="仿宋" w:cs="Times New Roman"/>
          <w:sz w:val="24"/>
          <w:szCs w:val="20"/>
        </w:rPr>
        <w:t>4 投标人不得在开标后至投标有效期期满前撤销投标文件。</w:t>
      </w:r>
      <w:bookmarkStart w:id="83" w:name="_Toc17190"/>
      <w:bookmarkStart w:id="84" w:name="_Toc11645"/>
      <w:bookmarkStart w:id="85" w:name="_Toc4955"/>
    </w:p>
    <w:p>
      <w:pPr>
        <w:pStyle w:val="1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Arial" w:eastAsia="仿宋_GB2312" w:cs="Times New Roman"/>
          <w:b/>
          <w:sz w:val="32"/>
          <w:szCs w:val="32"/>
          <w:lang w:val="en-US" w:eastAsia="zh-CN"/>
        </w:rPr>
      </w:pPr>
      <w:r>
        <w:rPr>
          <w:rFonts w:hint="eastAsia" w:ascii="仿宋_GB2312" w:hAnsi="Arial" w:eastAsia="仿宋_GB2312" w:cs="Times New Roman"/>
          <w:b/>
          <w:sz w:val="32"/>
          <w:szCs w:val="32"/>
          <w:lang w:val="en-US" w:eastAsia="zh-CN"/>
        </w:rPr>
        <w:t>注：纸质版文件：一份正本，两份副本。</w:t>
      </w:r>
    </w:p>
    <w:p>
      <w:pPr>
        <w:pStyle w:val="1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Arial" w:eastAsia="仿宋_GB2312" w:cs="Times New Roman"/>
          <w:b/>
          <w:sz w:val="32"/>
          <w:szCs w:val="32"/>
          <w:lang w:val="en-US" w:eastAsia="zh-CN"/>
        </w:rPr>
      </w:pPr>
      <w:r>
        <w:rPr>
          <w:rFonts w:hint="eastAsia" w:ascii="仿宋_GB2312" w:hAnsi="Arial" w:eastAsia="仿宋_GB2312" w:cs="Times New Roman"/>
          <w:b/>
          <w:sz w:val="32"/>
          <w:szCs w:val="32"/>
          <w:lang w:val="en-US" w:eastAsia="zh-CN"/>
        </w:rPr>
        <w:t>电子版文件：未加密U盘一份（内容与纸质版及加密的投标文件一致）。</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特别提示：为了便于存档，响应文件请用A4纸张制作，宜采用死页装订，装订应牢固、不易拆散和换页。如因装订造成的文档缺失，后果由供应商自行承担。</w:t>
      </w:r>
    </w:p>
    <w:p>
      <w:pPr>
        <w:rPr>
          <w:rFonts w:hint="eastAsia" w:ascii="仿宋_GB2312" w:hAnsi="Arial" w:eastAsia="仿宋_GB2312" w:cs="Times New Roman"/>
          <w:b/>
          <w:sz w:val="32"/>
          <w:szCs w:val="32"/>
        </w:rPr>
      </w:pPr>
      <w:r>
        <w:rPr>
          <w:rFonts w:hint="eastAsia" w:ascii="Times New Roman" w:hAnsi="Times New Roman" w:eastAsia="宋体" w:cs="Times New Roman"/>
          <w:color w:val="000000"/>
          <w:kern w:val="2"/>
          <w:sz w:val="21"/>
          <w:szCs w:val="24"/>
          <w:lang w:val="en-US" w:eastAsia="zh-CN" w:bidi="ar-SA"/>
        </w:rPr>
        <w:t>递交地址：</w:t>
      </w:r>
      <w:r>
        <w:rPr>
          <w:rFonts w:hint="eastAsia" w:ascii="Times New Roman" w:hAnsi="Times New Roman" w:cs="Times New Roman"/>
          <w:color w:val="000000"/>
          <w:kern w:val="2"/>
          <w:sz w:val="21"/>
          <w:szCs w:val="24"/>
          <w:lang w:val="en-US" w:eastAsia="zh-CN" w:bidi="ar-SA"/>
        </w:rPr>
        <w:t>开标</w:t>
      </w:r>
      <w:r>
        <w:rPr>
          <w:rFonts w:hint="eastAsia" w:ascii="Times New Roman" w:hAnsi="Times New Roman" w:eastAsia="宋体" w:cs="Times New Roman"/>
          <w:color w:val="000000"/>
          <w:kern w:val="2"/>
          <w:sz w:val="21"/>
          <w:szCs w:val="24"/>
          <w:lang w:val="en-US" w:eastAsia="zh-CN" w:bidi="ar-SA"/>
        </w:rPr>
        <w:t>现场递交至新疆昌吉回族自治州昌吉市屯河北路新天地商务港8</w:t>
      </w:r>
      <w:r>
        <w:rPr>
          <w:rFonts w:hint="eastAsia" w:ascii="Times New Roman" w:hAnsi="Times New Roman" w:cs="Times New Roman"/>
          <w:color w:val="000000"/>
          <w:kern w:val="2"/>
          <w:sz w:val="21"/>
          <w:szCs w:val="24"/>
          <w:lang w:val="en-US" w:eastAsia="zh-CN" w:bidi="ar-SA"/>
        </w:rPr>
        <w:t>21开标</w:t>
      </w:r>
      <w:r>
        <w:rPr>
          <w:rFonts w:hint="eastAsia" w:ascii="Times New Roman" w:hAnsi="Times New Roman" w:eastAsia="宋体" w:cs="Times New Roman"/>
          <w:color w:val="000000"/>
          <w:kern w:val="2"/>
          <w:sz w:val="21"/>
          <w:szCs w:val="24"/>
          <w:lang w:val="en-US" w:eastAsia="zh-CN" w:bidi="ar-SA"/>
        </w:rPr>
        <w:t>室（不接受</w:t>
      </w:r>
      <w:r>
        <w:rPr>
          <w:rFonts w:hint="eastAsia" w:ascii="Times New Roman" w:hAnsi="Times New Roman" w:cs="Times New Roman"/>
          <w:color w:val="000000"/>
          <w:kern w:val="2"/>
          <w:sz w:val="21"/>
          <w:szCs w:val="24"/>
          <w:lang w:val="en-US" w:eastAsia="zh-CN" w:bidi="ar-SA"/>
        </w:rPr>
        <w:t>邮寄</w:t>
      </w:r>
      <w:r>
        <w:rPr>
          <w:rFonts w:hint="eastAsia" w:ascii="Times New Roman" w:hAnsi="Times New Roman" w:eastAsia="宋体" w:cs="Times New Roman"/>
          <w:color w:val="000000"/>
          <w:kern w:val="2"/>
          <w:sz w:val="21"/>
          <w:szCs w:val="24"/>
          <w:lang w:val="en-US" w:eastAsia="zh-CN" w:bidi="ar-SA"/>
        </w:rPr>
        <w:t>）</w:t>
      </w:r>
    </w:p>
    <w:p>
      <w:pPr>
        <w:ind w:firstLine="3534" w:firstLineChars="1100"/>
        <w:rPr>
          <w:rFonts w:hint="eastAsia" w:ascii="仿宋_GB2312" w:hAnsi="Arial" w:eastAsia="仿宋_GB2312" w:cs="Times New Roman"/>
          <w:b/>
          <w:sz w:val="32"/>
          <w:szCs w:val="32"/>
        </w:rPr>
      </w:pPr>
    </w:p>
    <w:p>
      <w:pPr>
        <w:ind w:firstLine="3534" w:firstLineChars="1100"/>
        <w:rPr>
          <w:rFonts w:ascii="仿宋_GB2312" w:hAnsi="Arial" w:eastAsia="仿宋_GB2312" w:cs="Times New Roman"/>
          <w:b/>
          <w:sz w:val="32"/>
          <w:szCs w:val="32"/>
        </w:rPr>
      </w:pPr>
      <w:r>
        <w:rPr>
          <w:rFonts w:hint="eastAsia" w:ascii="仿宋_GB2312" w:hAnsi="Arial" w:eastAsia="仿宋_GB2312" w:cs="Times New Roman"/>
          <w:b/>
          <w:sz w:val="32"/>
          <w:szCs w:val="32"/>
        </w:rPr>
        <w:t>第五章 投标报价及保证金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ind w:firstLine="482" w:firstLineChars="200"/>
        <w:rPr>
          <w:rFonts w:ascii="宋体" w:hAnsi="宋体" w:cs="Times New Roman"/>
          <w:b/>
          <w:sz w:val="24"/>
          <w:szCs w:val="24"/>
        </w:rPr>
      </w:pPr>
      <w:r>
        <w:rPr>
          <w:rFonts w:hint="eastAsia" w:ascii="宋体" w:hAnsi="宋体" w:cs="Times New Roman"/>
          <w:b/>
          <w:sz w:val="24"/>
          <w:szCs w:val="24"/>
        </w:rPr>
        <w:t>1、投标报价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应包括制造本项目所需货物所使用的加工改造费、原材料及包装费已付的全部关税、销售税和其他税以及货物运达指定地点的运输、装卸、安装、检验、保修、保险等附加的所有费用。采购人、采购代理机构不接受除交货价之外，还需另外支付任何税费的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1.2 采购人、</w:t>
      </w:r>
      <w:r>
        <w:rPr>
          <w:rFonts w:hint="eastAsia" w:ascii="仿宋" w:hAnsi="仿宋" w:eastAsia="仿宋" w:cs="Times New Roman"/>
          <w:bCs/>
          <w:sz w:val="24"/>
          <w:szCs w:val="20"/>
        </w:rPr>
        <w:t>采购代理机构</w:t>
      </w:r>
      <w:r>
        <w:rPr>
          <w:rFonts w:hint="eastAsia" w:ascii="仿宋" w:hAnsi="仿宋" w:eastAsia="仿宋" w:cs="Times New Roman"/>
          <w:sz w:val="24"/>
          <w:szCs w:val="20"/>
        </w:rPr>
        <w:t>不接受任何有选择性的报价，只允许一次性报价。</w:t>
      </w:r>
    </w:p>
    <w:p>
      <w:pPr>
        <w:ind w:firstLine="480" w:firstLineChars="200"/>
        <w:rPr>
          <w:rFonts w:eastAsia="仿宋"/>
        </w:rPr>
      </w:pPr>
      <w:r>
        <w:rPr>
          <w:rFonts w:hint="eastAsia" w:ascii="仿宋" w:hAnsi="仿宋" w:eastAsia="仿宋" w:cs="Times New Roman"/>
          <w:sz w:val="24"/>
          <w:szCs w:val="20"/>
        </w:rPr>
        <w:t xml:space="preserve">1.3投标报价超预算金额的，其报价无效，不进入评标阶段。 </w:t>
      </w:r>
    </w:p>
    <w:p>
      <w:pPr>
        <w:ind w:firstLine="482" w:firstLineChars="200"/>
        <w:rPr>
          <w:rFonts w:ascii="仿宋" w:hAnsi="仿宋" w:eastAsia="仿宋" w:cs="Times New Roman"/>
          <w:b/>
          <w:bCs/>
          <w:color w:val="000000"/>
          <w:sz w:val="24"/>
          <w:szCs w:val="20"/>
        </w:rPr>
      </w:pPr>
      <w:r>
        <w:rPr>
          <w:rFonts w:hint="eastAsia" w:ascii="仿宋" w:hAnsi="仿宋" w:eastAsia="仿宋" w:cs="Times New Roman"/>
          <w:b/>
          <w:bCs/>
          <w:color w:val="000000"/>
          <w:sz w:val="24"/>
          <w:szCs w:val="20"/>
        </w:rPr>
        <w:t>1.4投标人必须提供《开标一览表》，当与投标文件报价出现不一致的，按下列规定修正：</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(一)投标文件中《开标一览表》内容与投标文件中相应内容不一致的,以《开标一览表》为准;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(二)大写金额和小写金额不一致的,以大写金额为准;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(三)单价金额小数点或者百分比有明显错位的,以《开标一览表》的总价为准并修改单价；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(四)总价金额与按单价汇总金额不一致的,以单价金额计算结果为准。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同时出现两种以上不一致的,按照前款规定的顺序修正。修正后的报价经投标人确认后产生约束力,投标人不确认的，其投标无效。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投标报价单位为人民币元。</w:t>
      </w:r>
    </w:p>
    <w:p>
      <w:pPr>
        <w:ind w:firstLine="482" w:firstLineChars="200"/>
        <w:rPr>
          <w:rFonts w:ascii="Arial" w:hAnsi="Arial" w:cs="Times New Roman"/>
          <w:b/>
          <w:color w:val="auto"/>
          <w:sz w:val="24"/>
          <w:szCs w:val="20"/>
        </w:rPr>
      </w:pPr>
      <w:r>
        <w:rPr>
          <w:rFonts w:hint="eastAsia" w:ascii="Arial" w:hAnsi="Arial" w:cs="Times New Roman"/>
          <w:b/>
          <w:sz w:val="24"/>
          <w:szCs w:val="20"/>
        </w:rPr>
        <w:t>2、投标保证金</w:t>
      </w:r>
    </w:p>
    <w:p>
      <w:pPr>
        <w:pStyle w:val="35"/>
        <w:ind w:firstLine="480"/>
        <w:rPr>
          <w:rFonts w:ascii="仿宋" w:hAnsi="仿宋" w:eastAsia="仿宋" w:cs="仿宋"/>
          <w:color w:val="auto"/>
          <w:kern w:val="2"/>
          <w:sz w:val="24"/>
          <w:szCs w:val="24"/>
        </w:rPr>
      </w:pPr>
      <w:r>
        <w:rPr>
          <w:rFonts w:hint="eastAsia" w:ascii="仿宋" w:hAnsi="仿宋" w:eastAsia="仿宋" w:cs="仿宋"/>
          <w:color w:val="auto"/>
          <w:sz w:val="24"/>
          <w:szCs w:val="24"/>
        </w:rPr>
        <w:t>2.1投标保证金：</w:t>
      </w:r>
      <w:r>
        <w:rPr>
          <w:rFonts w:hint="eastAsia" w:ascii="仿宋" w:hAnsi="仿宋" w:eastAsia="仿宋" w:cs="仿宋"/>
          <w:color w:val="auto"/>
          <w:kern w:val="2"/>
          <w:sz w:val="24"/>
          <w:szCs w:val="24"/>
        </w:rPr>
        <w:t>人民币（大写）：</w:t>
      </w:r>
      <w:r>
        <w:rPr>
          <w:rFonts w:hint="eastAsia" w:ascii="仿宋" w:hAnsi="仿宋" w:eastAsia="仿宋" w:cs="仿宋"/>
          <w:color w:val="auto"/>
          <w:kern w:val="2"/>
          <w:sz w:val="24"/>
          <w:szCs w:val="24"/>
          <w:lang w:val="en-US" w:eastAsia="zh-CN"/>
        </w:rPr>
        <w:t>叁万元</w:t>
      </w:r>
      <w:r>
        <w:rPr>
          <w:rFonts w:hint="eastAsia" w:ascii="仿宋" w:hAnsi="仿宋" w:eastAsia="仿宋" w:cs="仿宋"/>
          <w:color w:val="auto"/>
          <w:kern w:val="2"/>
          <w:sz w:val="24"/>
          <w:szCs w:val="24"/>
        </w:rPr>
        <w:t>整 ¥：</w:t>
      </w:r>
      <w:r>
        <w:rPr>
          <w:rFonts w:hint="eastAsia" w:ascii="仿宋" w:hAnsi="仿宋" w:eastAsia="仿宋" w:cs="仿宋"/>
          <w:color w:val="auto"/>
          <w:kern w:val="2"/>
          <w:sz w:val="24"/>
          <w:szCs w:val="24"/>
          <w:lang w:val="en-US" w:eastAsia="zh-CN"/>
        </w:rPr>
        <w:t>30000元整</w:t>
      </w:r>
      <w:r>
        <w:rPr>
          <w:rFonts w:hint="eastAsia" w:ascii="仿宋" w:hAnsi="仿宋" w:eastAsia="仿宋" w:cs="仿宋"/>
          <w:color w:val="auto"/>
          <w:kern w:val="2"/>
          <w:sz w:val="24"/>
          <w:szCs w:val="24"/>
        </w:rPr>
        <w:t xml:space="preserve"> </w:t>
      </w:r>
    </w:p>
    <w:p>
      <w:pPr>
        <w:ind w:firstLine="480" w:firstLineChars="200"/>
        <w:rPr>
          <w:rFonts w:ascii="仿宋" w:hAnsi="仿宋" w:eastAsia="仿宋" w:cs="仿宋"/>
          <w:color w:val="auto"/>
          <w:kern w:val="0"/>
          <w:sz w:val="24"/>
          <w:szCs w:val="24"/>
        </w:rPr>
      </w:pPr>
      <w:r>
        <w:rPr>
          <w:rFonts w:hint="eastAsia" w:ascii="仿宋" w:hAnsi="仿宋" w:eastAsia="仿宋" w:cs="仿宋"/>
          <w:color w:val="auto"/>
          <w:kern w:val="0"/>
          <w:sz w:val="24"/>
          <w:szCs w:val="24"/>
        </w:rPr>
        <w:t>2.2形式：网银转账或银行转账</w:t>
      </w:r>
    </w:p>
    <w:p>
      <w:pPr>
        <w:ind w:left="479" w:leftChars="228"/>
        <w:rPr>
          <w:rFonts w:ascii="仿宋" w:hAnsi="仿宋" w:eastAsia="仿宋" w:cs="仿宋"/>
          <w:color w:val="000000"/>
          <w:kern w:val="0"/>
          <w:sz w:val="24"/>
          <w:szCs w:val="24"/>
        </w:rPr>
      </w:pPr>
      <w:r>
        <w:rPr>
          <w:rFonts w:hint="eastAsia" w:ascii="仿宋" w:hAnsi="仿宋" w:eastAsia="仿宋" w:cs="仿宋"/>
          <w:color w:val="auto"/>
          <w:kern w:val="0"/>
          <w:sz w:val="24"/>
          <w:szCs w:val="24"/>
        </w:rPr>
        <w:t>2.3递交时间：在</w:t>
      </w:r>
      <w:r>
        <w:rPr>
          <w:rFonts w:hint="eastAsia" w:ascii="仿宋" w:hAnsi="仿宋" w:eastAsia="仿宋" w:cs="仿宋"/>
          <w:color w:val="auto"/>
          <w:kern w:val="0"/>
          <w:sz w:val="24"/>
          <w:szCs w:val="24"/>
          <w:lang w:eastAsia="zh-CN"/>
        </w:rPr>
        <w:t>2022年</w:t>
      </w:r>
      <w:r>
        <w:rPr>
          <w:rFonts w:hint="eastAsia" w:ascii="仿宋" w:hAnsi="仿宋" w:eastAsia="仿宋" w:cs="仿宋"/>
          <w:color w:val="auto"/>
          <w:kern w:val="0"/>
          <w:sz w:val="24"/>
          <w:szCs w:val="24"/>
          <w:lang w:val="en-US" w:eastAsia="zh-CN"/>
        </w:rPr>
        <w:t>06</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13</w:t>
      </w:r>
      <w:r>
        <w:rPr>
          <w:rFonts w:hint="eastAsia" w:ascii="仿宋" w:hAnsi="仿宋" w:eastAsia="仿宋" w:cs="仿宋"/>
          <w:color w:val="auto"/>
          <w:kern w:val="0"/>
          <w:sz w:val="24"/>
          <w:szCs w:val="24"/>
        </w:rPr>
        <w:t>日</w:t>
      </w:r>
      <w:r>
        <w:rPr>
          <w:rFonts w:hint="eastAsia" w:ascii="仿宋" w:hAnsi="仿宋" w:eastAsia="仿宋" w:cs="仿宋"/>
          <w:color w:val="auto"/>
          <w:kern w:val="0"/>
          <w:sz w:val="24"/>
          <w:szCs w:val="24"/>
          <w:lang w:val="en-US" w:eastAsia="zh-CN"/>
        </w:rPr>
        <w:t>11时00分</w:t>
      </w:r>
      <w:r>
        <w:rPr>
          <w:rFonts w:hint="eastAsia" w:ascii="仿宋" w:hAnsi="仿宋" w:eastAsia="仿宋" w:cs="仿宋"/>
          <w:color w:val="auto"/>
          <w:kern w:val="0"/>
          <w:sz w:val="24"/>
          <w:szCs w:val="24"/>
        </w:rPr>
        <w:t>前到账（以到账时间为准）</w:t>
      </w:r>
      <w:r>
        <w:rPr>
          <w:rFonts w:hint="eastAsia" w:ascii="仿宋" w:hAnsi="仿宋" w:eastAsia="仿宋" w:cs="仿宋"/>
          <w:color w:val="auto"/>
          <w:kern w:val="0"/>
          <w:szCs w:val="24"/>
        </w:rPr>
        <w:br w:type="textWrapping"/>
      </w:r>
      <w:r>
        <w:rPr>
          <w:rFonts w:hint="eastAsia" w:ascii="仿宋" w:hAnsi="仿宋" w:eastAsia="仿宋" w:cs="仿宋"/>
          <w:color w:val="auto"/>
          <w:kern w:val="0"/>
          <w:sz w:val="24"/>
          <w:szCs w:val="24"/>
        </w:rPr>
        <w:t>2.4投标人递交保证金后，需至</w:t>
      </w:r>
      <w:r>
        <w:rPr>
          <w:rFonts w:hint="eastAsia" w:ascii="仿宋" w:hAnsi="仿宋" w:eastAsia="仿宋" w:cs="仿宋"/>
          <w:color w:val="auto"/>
          <w:kern w:val="0"/>
          <w:sz w:val="24"/>
          <w:szCs w:val="24"/>
          <w:lang w:eastAsia="zh-CN"/>
        </w:rPr>
        <w:t>新疆天麒工程项目管理咨询有限责任公</w:t>
      </w:r>
      <w:r>
        <w:rPr>
          <w:rFonts w:hint="eastAsia" w:ascii="仿宋" w:hAnsi="仿宋" w:eastAsia="仿宋" w:cs="仿宋"/>
          <w:kern w:val="0"/>
          <w:sz w:val="24"/>
          <w:szCs w:val="24"/>
          <w:lang w:eastAsia="zh-CN"/>
        </w:rPr>
        <w:t>司</w:t>
      </w:r>
      <w:r>
        <w:rPr>
          <w:rFonts w:hint="eastAsia" w:ascii="仿宋" w:hAnsi="仿宋" w:eastAsia="仿宋" w:cs="仿宋"/>
          <w:kern w:val="0"/>
          <w:sz w:val="24"/>
          <w:szCs w:val="24"/>
        </w:rPr>
        <w:t>领取投标保证金收据。</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公示期</w:t>
      </w:r>
      <w:r>
        <w:rPr>
          <w:rFonts w:hint="eastAsia" w:ascii="仿宋" w:hAnsi="仿宋" w:eastAsia="仿宋" w:cs="仿宋"/>
          <w:color w:val="000000"/>
          <w:kern w:val="0"/>
          <w:sz w:val="24"/>
          <w:szCs w:val="24"/>
        </w:rPr>
        <w:t>结束后，投标人持《</w:t>
      </w:r>
      <w:r>
        <w:rPr>
          <w:rFonts w:hint="eastAsia" w:ascii="仿宋_GB2312" w:eastAsia="仿宋_GB2312" w:cs="Times New Roman"/>
          <w:color w:val="000000"/>
          <w:sz w:val="24"/>
          <w:szCs w:val="24"/>
        </w:rPr>
        <w:t>投标保证金收据》</w:t>
      </w:r>
      <w:r>
        <w:rPr>
          <w:rFonts w:hint="eastAsia" w:ascii="仿宋" w:hAnsi="仿宋" w:eastAsia="仿宋" w:cs="仿宋"/>
          <w:color w:val="000000"/>
          <w:kern w:val="0"/>
          <w:sz w:val="24"/>
          <w:szCs w:val="24"/>
        </w:rPr>
        <w:t>到</w:t>
      </w:r>
      <w:r>
        <w:rPr>
          <w:rFonts w:hint="eastAsia" w:ascii="仿宋" w:hAnsi="仿宋" w:eastAsia="仿宋" w:cs="Times New Roman"/>
          <w:bCs/>
          <w:sz w:val="24"/>
          <w:szCs w:val="20"/>
        </w:rPr>
        <w:t>采购代理机构</w:t>
      </w:r>
      <w:r>
        <w:rPr>
          <w:rFonts w:hint="eastAsia" w:ascii="仿宋" w:hAnsi="仿宋" w:eastAsia="仿宋" w:cs="仿宋"/>
          <w:color w:val="000000"/>
          <w:kern w:val="0"/>
          <w:sz w:val="24"/>
          <w:szCs w:val="24"/>
        </w:rPr>
        <w:t>直接退还。</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2.5账户信息：</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投标保证金由投标单位基本帐户汇至新疆天麒工程项目管理咨询有限责任公司（单位名称：新疆天麒工程项目管理咨询有限责任公司阜康分公司</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开户银行：新疆阜康农村商业银行股份有限公司营业部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开户账号：808010012010107666982</w:t>
      </w:r>
    </w:p>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开户行行号：（402885600012）</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2.6下列任何情况发生时，投标保证金将被没收：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（1）投标人在招标文件规定的投标有效期内撤回其投标的；</w:t>
      </w:r>
      <w:r>
        <w:rPr>
          <w:rFonts w:hint="eastAsia" w:ascii="宋体" w:hAnsi="宋体" w:cs="宋体"/>
          <w:kern w:val="0"/>
          <w:sz w:val="24"/>
          <w:szCs w:val="24"/>
        </w:rPr>
        <w:t> </w:t>
      </w:r>
    </w:p>
    <w:p>
      <w:pPr>
        <w:rPr>
          <w:rFonts w:ascii="仿宋" w:hAnsi="仿宋" w:eastAsia="仿宋" w:cs="仿宋"/>
          <w:kern w:val="0"/>
          <w:sz w:val="24"/>
          <w:szCs w:val="24"/>
        </w:rPr>
      </w:pPr>
      <w:r>
        <w:rPr>
          <w:rFonts w:hint="eastAsia" w:ascii="仿宋" w:hAnsi="仿宋" w:eastAsia="仿宋" w:cs="仿宋"/>
          <w:kern w:val="0"/>
          <w:sz w:val="24"/>
          <w:szCs w:val="24"/>
        </w:rPr>
        <w:t xml:space="preserve">  （2）投标供应商投标文件中提供虚假材料；</w:t>
      </w:r>
    </w:p>
    <w:p>
      <w:pPr>
        <w:rPr>
          <w:rFonts w:ascii="仿宋" w:hAnsi="仿宋" w:eastAsia="仿宋" w:cs="仿宋"/>
          <w:kern w:val="0"/>
          <w:sz w:val="24"/>
          <w:szCs w:val="24"/>
        </w:rPr>
      </w:pPr>
      <w:r>
        <w:rPr>
          <w:rFonts w:hint="eastAsia" w:ascii="仿宋" w:hAnsi="仿宋" w:eastAsia="仿宋" w:cs="仿宋"/>
          <w:kern w:val="0"/>
          <w:sz w:val="24"/>
          <w:szCs w:val="24"/>
        </w:rPr>
        <w:t xml:space="preserve">  （3）供应商与采购人、其他供应商恶意串通的；</w:t>
      </w:r>
    </w:p>
    <w:p>
      <w:pPr>
        <w:ind w:firstLine="240" w:firstLineChars="100"/>
        <w:rPr>
          <w:rFonts w:ascii="仿宋" w:hAnsi="仿宋" w:eastAsia="仿宋" w:cs="仿宋"/>
          <w:kern w:val="0"/>
          <w:sz w:val="24"/>
          <w:szCs w:val="24"/>
        </w:rPr>
      </w:pPr>
      <w:r>
        <w:rPr>
          <w:rFonts w:hint="eastAsia" w:ascii="仿宋" w:hAnsi="仿宋" w:eastAsia="仿宋" w:cs="仿宋"/>
          <w:kern w:val="0"/>
          <w:sz w:val="24"/>
          <w:szCs w:val="24"/>
        </w:rPr>
        <w:t>（4）除因不可抗力或招标文件认可的情形外，中标供应商不与采购人签订合同的。</w:t>
      </w:r>
    </w:p>
    <w:p>
      <w:pPr>
        <w:ind w:firstLine="482" w:firstLineChars="200"/>
        <w:rPr>
          <w:rFonts w:hint="eastAsia" w:ascii="宋体" w:hAnsi="宋体" w:eastAsia="宋体" w:cs="仿宋"/>
          <w:b/>
          <w:kern w:val="0"/>
          <w:sz w:val="24"/>
          <w:szCs w:val="24"/>
          <w:lang w:eastAsia="zh-CN"/>
        </w:rPr>
      </w:pPr>
      <w:r>
        <w:rPr>
          <w:rFonts w:hint="eastAsia" w:ascii="宋体" w:hAnsi="宋体" w:cs="仿宋"/>
          <w:b/>
          <w:kern w:val="0"/>
          <w:sz w:val="24"/>
          <w:szCs w:val="24"/>
        </w:rPr>
        <w:t>3、履约保证金</w:t>
      </w:r>
    </w:p>
    <w:p>
      <w:pPr>
        <w:ind w:firstLine="480" w:firstLineChars="200"/>
        <w:rPr>
          <w:rFonts w:hint="eastAsia" w:ascii="仿宋" w:hAnsi="仿宋" w:eastAsia="仿宋" w:cs="仿宋"/>
          <w:color w:val="auto"/>
          <w:kern w:val="0"/>
          <w:sz w:val="24"/>
          <w:szCs w:val="24"/>
        </w:rPr>
      </w:pPr>
      <w:r>
        <w:rPr>
          <w:rFonts w:hint="eastAsia" w:ascii="仿宋" w:hAnsi="仿宋" w:eastAsia="仿宋" w:cs="仿宋"/>
          <w:kern w:val="0"/>
          <w:sz w:val="24"/>
          <w:szCs w:val="24"/>
        </w:rPr>
        <w:t xml:space="preserve">3.1  </w:t>
      </w:r>
      <w:r>
        <w:rPr>
          <w:rFonts w:hint="eastAsia" w:ascii="仿宋" w:hAnsi="仿宋" w:eastAsia="仿宋" w:cs="仿宋"/>
          <w:color w:val="auto"/>
          <w:kern w:val="0"/>
          <w:sz w:val="24"/>
          <w:szCs w:val="24"/>
        </w:rPr>
        <w:t>中标供应商必须以支票、汇票、本票或者金融机构、担保机构出具的保函等非现金形式</w:t>
      </w:r>
      <w:r>
        <w:rPr>
          <w:rFonts w:hint="eastAsia" w:ascii="仿宋" w:hAnsi="仿宋" w:eastAsia="仿宋" w:cs="仿宋"/>
          <w:color w:val="auto"/>
          <w:kern w:val="0"/>
          <w:sz w:val="24"/>
          <w:szCs w:val="24"/>
          <w:lang w:val="en-US" w:eastAsia="zh-CN"/>
        </w:rPr>
        <w:t>按</w:t>
      </w:r>
      <w:r>
        <w:rPr>
          <w:rFonts w:hint="eastAsia" w:ascii="仿宋" w:hAnsi="仿宋" w:eastAsia="仿宋" w:cs="仿宋"/>
          <w:color w:val="auto"/>
          <w:kern w:val="0"/>
          <w:sz w:val="24"/>
          <w:szCs w:val="24"/>
        </w:rPr>
        <w:t>中标金额的</w:t>
      </w:r>
      <w:r>
        <w:rPr>
          <w:rFonts w:hint="eastAsia" w:ascii="仿宋" w:hAnsi="仿宋" w:eastAsia="仿宋" w:cs="仿宋"/>
          <w:b/>
          <w:bCs/>
          <w:color w:val="000000" w:themeColor="text1"/>
          <w:kern w:val="0"/>
          <w:sz w:val="24"/>
          <w:szCs w:val="24"/>
          <w:lang w:val="en-US" w:eastAsia="zh-CN"/>
          <w14:textFill>
            <w14:solidFill>
              <w14:schemeClr w14:val="tx1"/>
            </w14:solidFill>
          </w14:textFill>
        </w:rPr>
        <w:t>5</w:t>
      </w:r>
      <w:r>
        <w:rPr>
          <w:rFonts w:hint="eastAsia" w:ascii="仿宋" w:hAnsi="仿宋" w:eastAsia="仿宋" w:cs="仿宋"/>
          <w:b/>
          <w:bCs/>
          <w:color w:val="000000" w:themeColor="text1"/>
          <w:kern w:val="0"/>
          <w:sz w:val="24"/>
          <w:szCs w:val="24"/>
          <w14:textFill>
            <w14:solidFill>
              <w14:schemeClr w14:val="tx1"/>
            </w14:solidFill>
          </w14:textFill>
        </w:rPr>
        <w:t>%</w:t>
      </w:r>
      <w:r>
        <w:rPr>
          <w:rFonts w:hint="eastAsia" w:ascii="仿宋" w:hAnsi="仿宋" w:eastAsia="仿宋" w:cs="仿宋"/>
          <w:color w:val="auto"/>
          <w:kern w:val="0"/>
          <w:sz w:val="24"/>
          <w:szCs w:val="24"/>
        </w:rPr>
        <w:t>向采购方交纳履约保证金；</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3.2  履约保证金待货到验收合格后无息退还，退还保证金，只退投标公司账户，不退个人账户。【见第七部分附表二格式范本】</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3.3  未履行或完全履行采购合同，则没收履约保证金。</w:t>
      </w:r>
    </w:p>
    <w:p>
      <w:pPr>
        <w:adjustRightInd w:val="0"/>
        <w:snapToGrid w:val="0"/>
        <w:spacing w:line="420" w:lineRule="exact"/>
        <w:ind w:firstLine="482" w:firstLineChars="200"/>
        <w:jc w:val="left"/>
        <w:rPr>
          <w:rFonts w:ascii="宋体" w:hAnsi="宋体" w:cs="宋体"/>
          <w:b/>
          <w:sz w:val="24"/>
          <w:szCs w:val="24"/>
        </w:rPr>
      </w:pPr>
      <w:r>
        <w:rPr>
          <w:rFonts w:hint="eastAsia" w:ascii="宋体" w:hAnsi="宋体" w:cs="宋体"/>
          <w:b/>
          <w:sz w:val="24"/>
          <w:szCs w:val="24"/>
        </w:rPr>
        <w:t>4、采购代理服务费</w:t>
      </w:r>
    </w:p>
    <w:p>
      <w:pPr>
        <w:adjustRightInd w:val="0"/>
        <w:snapToGrid w:val="0"/>
        <w:spacing w:line="42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4.1  中标人在收到中标通知书后，须向</w:t>
      </w:r>
      <w:r>
        <w:rPr>
          <w:rFonts w:hint="eastAsia" w:ascii="仿宋" w:hAnsi="仿宋" w:eastAsia="仿宋" w:cs="宋体"/>
          <w:sz w:val="24"/>
          <w:szCs w:val="24"/>
          <w:lang w:eastAsia="zh-CN"/>
        </w:rPr>
        <w:t>新疆天麒工程项目管理咨询有限责任公司</w:t>
      </w:r>
      <w:r>
        <w:rPr>
          <w:rFonts w:hint="eastAsia" w:ascii="仿宋" w:hAnsi="仿宋" w:eastAsia="仿宋" w:cs="宋体"/>
          <w:sz w:val="24"/>
          <w:szCs w:val="24"/>
        </w:rPr>
        <w:t>支付采购代理服务费</w:t>
      </w:r>
      <w:r>
        <w:rPr>
          <w:rFonts w:hint="eastAsia" w:ascii="仿宋" w:hAnsi="仿宋" w:eastAsia="仿宋" w:cs="宋体"/>
          <w:sz w:val="24"/>
          <w:szCs w:val="24"/>
          <w:lang w:eastAsia="zh-CN"/>
        </w:rPr>
        <w:t>（</w:t>
      </w:r>
      <w:r>
        <w:rPr>
          <w:rFonts w:hint="eastAsia" w:ascii="仿宋" w:hAnsi="仿宋" w:eastAsia="仿宋" w:cs="宋体"/>
          <w:sz w:val="24"/>
          <w:szCs w:val="24"/>
        </w:rPr>
        <w:t>包含在最高投标限价中，招标人不再另行支付</w:t>
      </w:r>
      <w:r>
        <w:rPr>
          <w:rFonts w:hint="eastAsia" w:ascii="仿宋" w:hAnsi="仿宋" w:eastAsia="仿宋" w:cs="宋体"/>
          <w:sz w:val="24"/>
          <w:szCs w:val="24"/>
          <w:lang w:eastAsia="zh-CN"/>
        </w:rPr>
        <w:t>）</w:t>
      </w:r>
      <w:r>
        <w:rPr>
          <w:rFonts w:hint="eastAsia" w:ascii="仿宋" w:hAnsi="仿宋" w:eastAsia="仿宋" w:cs="宋体"/>
          <w:sz w:val="24"/>
          <w:szCs w:val="24"/>
        </w:rPr>
        <w:t>。</w:t>
      </w:r>
    </w:p>
    <w:p>
      <w:pPr>
        <w:adjustRightInd w:val="0"/>
        <w:snapToGrid w:val="0"/>
        <w:spacing w:line="420" w:lineRule="exact"/>
        <w:ind w:firstLine="480" w:firstLineChars="200"/>
        <w:jc w:val="left"/>
        <w:rPr>
          <w:rFonts w:hint="eastAsia" w:ascii="仿宋" w:hAnsi="仿宋" w:eastAsia="仿宋" w:cs="宋体"/>
          <w:sz w:val="24"/>
          <w:szCs w:val="24"/>
        </w:rPr>
      </w:pPr>
      <w:r>
        <w:rPr>
          <w:rFonts w:hint="eastAsia" w:ascii="仿宋" w:hAnsi="仿宋" w:eastAsia="仿宋" w:cs="宋体"/>
          <w:sz w:val="24"/>
          <w:szCs w:val="24"/>
        </w:rPr>
        <w:t xml:space="preserve">4.2 </w:t>
      </w:r>
      <w:bookmarkStart w:id="86" w:name="_Toc11833"/>
      <w:bookmarkStart w:id="87" w:name="_Toc15099"/>
      <w:bookmarkStart w:id="88" w:name="_Toc21930"/>
      <w:bookmarkStart w:id="89" w:name="_Toc6049"/>
      <w:bookmarkStart w:id="90" w:name="_Toc31817"/>
      <w:bookmarkStart w:id="91" w:name="_Toc25430"/>
      <w:bookmarkStart w:id="92" w:name="_Toc4359"/>
      <w:bookmarkStart w:id="93" w:name="_Toc30111"/>
      <w:bookmarkStart w:id="94" w:name="_Toc6093"/>
      <w:bookmarkStart w:id="95" w:name="_Toc32201"/>
      <w:bookmarkStart w:id="96" w:name="_Toc25363"/>
      <w:bookmarkStart w:id="97" w:name="_Toc13449"/>
      <w:bookmarkStart w:id="98" w:name="_Toc6143"/>
      <w:bookmarkStart w:id="99" w:name="_Toc23932"/>
      <w:bookmarkStart w:id="100" w:name="_Toc16920"/>
      <w:r>
        <w:rPr>
          <w:rFonts w:hint="eastAsia" w:ascii="仿宋" w:hAnsi="仿宋" w:eastAsia="仿宋" w:cs="宋体"/>
          <w:sz w:val="24"/>
          <w:szCs w:val="24"/>
        </w:rPr>
        <w:t xml:space="preserve"> 参照原《国家计委关于印发〈招标代理服务收费管理暂行办法〉的通知》（计价格[2002] 1980号文）和《国家发展改革委办公厅关于招标代理服务收费有关问题的通知》（发改办价格[2003] 857号文）的收费标准计算招标代理服务费，并按收费标准额度下浮</w:t>
      </w:r>
      <w:r>
        <w:rPr>
          <w:rFonts w:hint="eastAsia" w:ascii="仿宋" w:hAnsi="仿宋" w:eastAsia="仿宋" w:cs="宋体"/>
          <w:b/>
          <w:bCs/>
          <w:sz w:val="24"/>
          <w:szCs w:val="24"/>
          <w:lang w:val="en-US" w:eastAsia="zh-CN"/>
        </w:rPr>
        <w:t>2</w:t>
      </w:r>
      <w:r>
        <w:rPr>
          <w:rFonts w:hint="eastAsia" w:ascii="仿宋" w:hAnsi="仿宋" w:eastAsia="仿宋" w:cs="宋体"/>
          <w:b/>
          <w:bCs/>
          <w:sz w:val="24"/>
          <w:szCs w:val="24"/>
        </w:rPr>
        <w:t>0%</w:t>
      </w:r>
      <w:r>
        <w:rPr>
          <w:rFonts w:hint="eastAsia" w:ascii="仿宋" w:hAnsi="仿宋" w:eastAsia="仿宋" w:cs="宋体"/>
          <w:sz w:val="24"/>
          <w:szCs w:val="24"/>
        </w:rPr>
        <w:t>后收取费用。</w:t>
      </w:r>
    </w:p>
    <w:tbl>
      <w:tblPr>
        <w:tblStyle w:val="26"/>
        <w:tblpPr w:leftFromText="180" w:rightFromText="180" w:vertAnchor="text" w:horzAnchor="page" w:tblpX="1117" w:tblpY="60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24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2629" w:type="dxa"/>
            <w:noWrap w:val="0"/>
            <w:vAlign w:val="top"/>
          </w:tcPr>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bookmarkStart w:id="101" w:name="_Toc3878"/>
            <w:r>
              <w:rPr>
                <w:rFonts w:hint="default"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9525</wp:posOffset>
                      </wp:positionV>
                      <wp:extent cx="552450" cy="695325"/>
                      <wp:effectExtent l="6350" t="5080" r="12700" b="23495"/>
                      <wp:wrapNone/>
                      <wp:docPr id="2" name="直接箭头连接符 2"/>
                      <wp:cNvGraphicFramePr/>
                      <a:graphic xmlns:a="http://schemas.openxmlformats.org/drawingml/2006/main">
                        <a:graphicData uri="http://schemas.microsoft.com/office/word/2010/wordprocessingShape">
                          <wps:wsp>
                            <wps:cNvCnPr/>
                            <wps:spPr>
                              <a:xfrm>
                                <a:off x="0" y="0"/>
                                <a:ext cx="552450" cy="69532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0pt;margin-top:0.75pt;height:54.75pt;width:43.5pt;z-index:251660288;mso-width-relative:page;mso-height-relative:page;" filled="f" stroked="t" coordsize="21600,21600" o:gfxdata="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Bvup0wAA&#10;AAkBAAAPAAAAAAAAAAEAIAAAACIAAABkcnMvZG93bnJldi54bWxQSwECFAAUAAAACACHTuJAYl8z&#10;g+oBAACjAwAADgAAAAAAAAABACAAAAAiAQAAZHJzL2Uyb0RvYy54bWxQSwUGAAAAAAYABgBZAQAA&#10;fgUAAAAA&#10;">
                      <v:fill on="f" focussize="0,0"/>
                      <v:stroke weight="1.25pt" color="#739CC3" joinstyle="round"/>
                      <v:imagedata o:title=""/>
                      <o:lock v:ext="edit" aspectratio="f"/>
                    </v:shape>
                  </w:pict>
                </mc:Fallback>
              </mc:AlternateContent>
            </w:r>
            <w:r>
              <w:rPr>
                <w:rFonts w:hint="eastAsia" w:ascii="仿宋" w:hAnsi="仿宋" w:eastAsia="仿宋" w:cs="仿宋"/>
                <w:szCs w:val="21"/>
              </w:rPr>
              <w:t>代理费标准     类别</w: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default"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6350</wp:posOffset>
                      </wp:positionV>
                      <wp:extent cx="1371600" cy="457200"/>
                      <wp:effectExtent l="2540" t="7620" r="16510" b="11430"/>
                      <wp:wrapNone/>
                      <wp:docPr id="1" name="直接箭头连接符 1"/>
                      <wp:cNvGraphicFramePr/>
                      <a:graphic xmlns:a="http://schemas.openxmlformats.org/drawingml/2006/main">
                        <a:graphicData uri="http://schemas.microsoft.com/office/word/2010/wordprocessingShape">
                          <wps:wsp>
                            <wps:cNvCnPr/>
                            <wps:spPr>
                              <a:xfrm>
                                <a:off x="0" y="0"/>
                                <a:ext cx="1371600" cy="457200"/>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5pt;margin-top:0.5pt;height:36pt;width:108pt;z-index:251659264;mso-width-relative:page;mso-height-relative:page;" filled="f" stroked="t" coordsize="21600,21600" o:gfxdata="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NoVFHV&#10;AAAABwEAAA8AAAAAAAAAAQAgAAAAIgAAAGRycy9kb3ducmV2LnhtbFBLAQIUABQAAAAIAIdO4kBd&#10;RxpV6gEAAKQDAAAOAAAAAAAAAAEAIAAAACQBAABkcnMvZTJvRG9jLnhtbFBLBQYAAAAABgAGAFkB&#10;AACABQAAAAA=&#10;">
                      <v:fill on="f" focussize="0,0"/>
                      <v:stroke weight="1.25pt" color="#739CC3" joinstyle="round"/>
                      <v:imagedata o:title=""/>
                      <o:lock v:ext="edit" aspectratio="f"/>
                    </v:shape>
                  </w:pict>
                </mc:Fallback>
              </mc:AlternateConten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eastAsia" w:ascii="仿宋" w:hAnsi="仿宋" w:eastAsia="仿宋" w:cs="仿宋"/>
                <w:szCs w:val="21"/>
              </w:rPr>
              <w:t>采购额度（万元）</w:t>
            </w:r>
          </w:p>
        </w:tc>
        <w:tc>
          <w:tcPr>
            <w:tcW w:w="2249"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货物采购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服务采购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100以下</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100～500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500～1000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0.45%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1000～5000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5000～10000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10000～100000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100000以上</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r>
    </w:tbl>
    <w:p>
      <w:pPr>
        <w:outlineLvl w:val="0"/>
        <w:rPr>
          <w:rFonts w:ascii="宋体" w:hAnsi="宋体" w:cs="Times New Roman"/>
          <w:b/>
          <w:color w:val="7030A0"/>
          <w:sz w:val="36"/>
          <w:szCs w:val="24"/>
        </w:rPr>
      </w:pPr>
    </w:p>
    <w:p>
      <w:pPr>
        <w:ind w:firstLine="2530" w:firstLineChars="700"/>
        <w:outlineLvl w:val="0"/>
        <w:rPr>
          <w:rFonts w:ascii="宋体" w:hAnsi="宋体" w:cs="Times New Roman"/>
          <w:b/>
          <w:color w:val="7030A0"/>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outlineLvl w:val="0"/>
        <w:rPr>
          <w:rFonts w:hint="eastAsia" w:ascii="宋体" w:hAnsi="宋体" w:cs="Times New Roman"/>
          <w:b/>
          <w:sz w:val="36"/>
          <w:szCs w:val="24"/>
        </w:rPr>
      </w:pPr>
    </w:p>
    <w:p>
      <w:pPr>
        <w:outlineLvl w:val="0"/>
        <w:rPr>
          <w:rFonts w:hint="eastAsia" w:ascii="宋体" w:hAnsi="宋体" w:cs="Times New Roman"/>
          <w:b/>
          <w:sz w:val="36"/>
          <w:szCs w:val="24"/>
        </w:rPr>
      </w:pPr>
    </w:p>
    <w:p>
      <w:pPr>
        <w:ind w:firstLine="2530" w:firstLineChars="700"/>
        <w:outlineLvl w:val="0"/>
        <w:rPr>
          <w:rFonts w:ascii="宋体" w:hAnsi="宋体" w:cs="Times New Roman"/>
          <w:b/>
          <w:sz w:val="18"/>
          <w:szCs w:val="18"/>
        </w:rPr>
      </w:pPr>
      <w:r>
        <w:rPr>
          <w:rFonts w:hint="eastAsia" w:ascii="宋体" w:hAnsi="宋体" w:cs="Times New Roman"/>
          <w:b/>
          <w:sz w:val="36"/>
          <w:szCs w:val="24"/>
        </w:rPr>
        <w:t>第三部分  采购需求及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cs="Times New Roman"/>
          <w:b/>
          <w:sz w:val="36"/>
          <w:szCs w:val="24"/>
        </w:rPr>
        <w:t>技术说明</w:t>
      </w:r>
      <w:bookmarkEnd w:id="101"/>
    </w:p>
    <w:p>
      <w:pPr>
        <w:jc w:val="center"/>
        <w:rPr>
          <w:rFonts w:ascii="仿宋" w:hAnsi="仿宋" w:eastAsia="仿宋" w:cs="Times New Roman"/>
          <w:b/>
          <w:sz w:val="32"/>
          <w:szCs w:val="32"/>
        </w:rPr>
      </w:pPr>
      <w:r>
        <w:rPr>
          <w:rFonts w:hint="eastAsia" w:ascii="仿宋" w:hAnsi="仿宋" w:eastAsia="仿宋" w:cs="Times New Roman"/>
          <w:b/>
          <w:sz w:val="32"/>
          <w:szCs w:val="32"/>
        </w:rPr>
        <w:t>第一章采购项目内容及要求</w:t>
      </w:r>
    </w:p>
    <w:p>
      <w:pPr>
        <w:pStyle w:val="5"/>
        <w:numPr>
          <w:ilvl w:val="0"/>
          <w:numId w:val="2"/>
        </w:numPr>
        <w:rPr>
          <w:rFonts w:ascii="仿宋" w:hAnsi="仿宋" w:eastAsia="仿宋" w:cs="Times New Roman"/>
          <w:b/>
          <w:sz w:val="32"/>
          <w:szCs w:val="32"/>
        </w:rPr>
      </w:pPr>
      <w:r>
        <w:rPr>
          <w:rFonts w:hint="eastAsia" w:ascii="仿宋" w:hAnsi="仿宋" w:eastAsia="仿宋" w:cs="Times New Roman"/>
          <w:b/>
          <w:sz w:val="32"/>
          <w:szCs w:val="32"/>
        </w:rPr>
        <w:t>采购需求：</w:t>
      </w:r>
    </w:p>
    <w:p>
      <w:pPr>
        <w:spacing w:line="420" w:lineRule="exact"/>
        <w:ind w:firstLine="480" w:firstLineChars="200"/>
        <w:rPr>
          <w:rFonts w:ascii="仿宋" w:hAnsi="仿宋" w:eastAsia="仿宋" w:cs="仿宋"/>
          <w:bCs/>
          <w:color w:val="000000"/>
          <w:kern w:val="1"/>
          <w:sz w:val="24"/>
        </w:rPr>
      </w:pPr>
      <w:r>
        <w:rPr>
          <w:rFonts w:hint="eastAsia" w:ascii="仿宋" w:hAnsi="仿宋" w:eastAsia="仿宋" w:cs="仿宋"/>
          <w:bCs/>
          <w:color w:val="000000"/>
          <w:kern w:val="1"/>
          <w:sz w:val="24"/>
        </w:rPr>
        <w:t>1、产品必须是全新</w:t>
      </w:r>
      <w:r>
        <w:rPr>
          <w:rFonts w:hint="eastAsia" w:ascii="仿宋" w:hAnsi="仿宋" w:eastAsia="仿宋" w:cs="仿宋"/>
          <w:bCs/>
          <w:color w:val="000000"/>
          <w:kern w:val="1"/>
          <w:sz w:val="24"/>
          <w:lang w:val="en-US" w:eastAsia="zh-CN"/>
        </w:rPr>
        <w:t>国产</w:t>
      </w:r>
      <w:r>
        <w:rPr>
          <w:rFonts w:hint="eastAsia" w:ascii="仿宋" w:hAnsi="仿宋" w:eastAsia="仿宋" w:cs="仿宋"/>
          <w:bCs/>
          <w:color w:val="000000"/>
          <w:kern w:val="1"/>
          <w:sz w:val="24"/>
        </w:rPr>
        <w:t>、包装完好，且各项技术指标完全符合国家有关质量检测、环保标准及产品出厂的标准，需提供提供相关产品说明书、合格证及产品检测报告等相关资料。</w:t>
      </w:r>
    </w:p>
    <w:p>
      <w:pPr>
        <w:spacing w:line="420" w:lineRule="exact"/>
        <w:ind w:firstLine="480" w:firstLineChars="200"/>
        <w:rPr>
          <w:rFonts w:hint="eastAsia" w:ascii="仿宋" w:hAnsi="仿宋" w:eastAsia="仿宋" w:cs="仿宋"/>
          <w:bCs/>
          <w:color w:val="000000"/>
          <w:kern w:val="1"/>
          <w:sz w:val="24"/>
        </w:rPr>
      </w:pPr>
      <w:r>
        <w:rPr>
          <w:rFonts w:hint="eastAsia" w:ascii="仿宋" w:hAnsi="仿宋" w:eastAsia="仿宋" w:cs="仿宋"/>
          <w:bCs/>
          <w:color w:val="000000"/>
          <w:kern w:val="1"/>
          <w:sz w:val="24"/>
        </w:rPr>
        <w:t>2、中标供应商需按照采购人要求对</w:t>
      </w:r>
      <w:r>
        <w:rPr>
          <w:rFonts w:hint="eastAsia" w:ascii="仿宋" w:hAnsi="仿宋" w:eastAsia="仿宋" w:cs="仿宋"/>
          <w:bCs/>
          <w:color w:val="000000"/>
          <w:kern w:val="1"/>
          <w:sz w:val="24"/>
          <w:lang w:eastAsia="zh-CN"/>
        </w:rPr>
        <w:t>产品</w:t>
      </w:r>
      <w:r>
        <w:rPr>
          <w:rFonts w:hint="eastAsia" w:ascii="仿宋" w:hAnsi="仿宋" w:eastAsia="仿宋" w:cs="仿宋"/>
          <w:bCs/>
          <w:color w:val="000000"/>
          <w:kern w:val="1"/>
          <w:sz w:val="24"/>
        </w:rPr>
        <w:t>进行文字及图案印刷。</w:t>
      </w:r>
    </w:p>
    <w:p>
      <w:pPr>
        <w:spacing w:line="420" w:lineRule="exact"/>
        <w:ind w:firstLine="480" w:firstLineChars="200"/>
        <w:rPr>
          <w:rFonts w:hint="eastAsia" w:ascii="仿宋" w:hAnsi="仿宋" w:eastAsia="仿宋" w:cs="仿宋"/>
          <w:bCs/>
          <w:color w:val="000000"/>
          <w:kern w:val="1"/>
          <w:sz w:val="24"/>
          <w:lang w:val="en-US" w:eastAsia="zh-CN"/>
        </w:rPr>
      </w:pPr>
      <w:r>
        <w:rPr>
          <w:rFonts w:hint="eastAsia" w:ascii="仿宋" w:hAnsi="仿宋" w:eastAsia="仿宋" w:cs="仿宋"/>
          <w:bCs/>
          <w:color w:val="000000"/>
          <w:kern w:val="1"/>
          <w:sz w:val="24"/>
          <w:lang w:val="en-US" w:eastAsia="zh-CN"/>
        </w:rPr>
        <w:t>3、医疗器械产品，须根据《医疗器械监督管理条例》（国务院令第680号）有关内容办理医疗器械产品注册与备案，需提供所投产品的《医疗器械注册证》（含注册登记表），所有证件均应在有效期内；</w:t>
      </w: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rPr>
        <w:t xml:space="preserve">   </w:t>
      </w:r>
      <w:r>
        <w:rPr>
          <w:rFonts w:hint="eastAsia" w:ascii="仿宋" w:hAnsi="仿宋" w:eastAsia="仿宋" w:cs="Times New Roman"/>
          <w:b/>
          <w:kern w:val="0"/>
          <w:sz w:val="32"/>
          <w:szCs w:val="32"/>
        </w:rPr>
        <w:t>二、技术参数：</w:t>
      </w:r>
      <w:bookmarkStart w:id="102" w:name="_Toc562"/>
    </w:p>
    <w:bookmarkEnd w:id="102"/>
    <w:p>
      <w:pPr>
        <w:spacing w:beforeLines="0" w:afterLines="0" w:line="480" w:lineRule="exact"/>
        <w:jc w:val="center"/>
        <w:rPr>
          <w:rFonts w:hint="default" w:ascii="宋体" w:hAnsi="宋体"/>
          <w:b/>
          <w:sz w:val="32"/>
          <w:lang w:val="en-US" w:eastAsia="zh-CN"/>
        </w:rPr>
      </w:pPr>
      <w:bookmarkStart w:id="103" w:name="_Toc7126"/>
      <w:bookmarkStart w:id="104" w:name="_Toc13491"/>
      <w:bookmarkStart w:id="105" w:name="_Toc32653"/>
      <w:bookmarkStart w:id="106" w:name="_Toc10227"/>
      <w:bookmarkStart w:id="107" w:name="_Toc11674"/>
      <w:bookmarkStart w:id="108" w:name="_Toc21972"/>
      <w:bookmarkStart w:id="109" w:name="_Toc21772"/>
      <w:bookmarkStart w:id="110" w:name="_Toc17002"/>
      <w:bookmarkStart w:id="111" w:name="_Toc9490"/>
      <w:bookmarkStart w:id="112" w:name="_Toc16263"/>
      <w:bookmarkStart w:id="113" w:name="_Toc19637"/>
      <w:bookmarkStart w:id="114" w:name="_Toc25389"/>
      <w:bookmarkStart w:id="115" w:name="_Toc1558"/>
      <w:bookmarkStart w:id="116" w:name="_Toc1436"/>
      <w:bookmarkStart w:id="117" w:name="_Toc16091"/>
      <w:bookmarkStart w:id="118" w:name="_Toc14435"/>
      <w:r>
        <w:rPr>
          <w:rFonts w:hint="default" w:ascii="宋体" w:hAnsi="宋体"/>
          <w:b/>
          <w:sz w:val="32"/>
          <w:lang w:val="en-US" w:eastAsia="zh-CN"/>
        </w:rPr>
        <w:t>高端插件式监护仪技术参数</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1、监护仪结构：</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1.1★模块化插件式床边监护仪，主机、显示屏和插件槽一体化设计，主机插槽数≧5个，并可外接8槽位辅助插件箱方便升级</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auto"/>
          <w:sz w:val="24"/>
          <w:szCs w:val="24"/>
          <w:lang w:val="en-US" w:eastAsia="zh-CN"/>
        </w:rPr>
        <w:t>≧18英寸彩色电容触摸屏，高分辨率达1920*1080像素，≧10通道显示，支持显示屏亮度自动调节</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 采用无风扇设计，工作温度0 ~40 ℃</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 支持升级内置锂电池，供电时间&gt;=2小时</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 配置≧4个USB接口，支持连接存储介质、鼠标、键盘、条码扫描枪等USB设备</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1.6 支持扩展独立显示屏</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2、监测参数：</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 支持心电，呼吸，心率，无创血压，血氧饱和度，脉搏，双通道体温,双通道有创血压的同时监测。</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 支持3/5导心电监测,支持升级6/12导心电测量，并在监护仪上完成12导静息分析，并提供监护截图证明材料。</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 支持房颤心律失常分析功能，支持不少于20种实时心律失常分析,并提供监护截图证明材料。</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 提供ST段分析功能，支持在专门的窗口中分组显示心脏前壁，下壁和侧壁的ST实时片段和参考片段，并提供监护截图证明材料。</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2.5 提供导联类型自动识别功能，具备智能导联脱落监测功能，导联脱落的情况下仍能保持监护。</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2.6 ★具有QT/QTc测量功能，提供QT，QTc和ΔQTc参数值，提供QT和QTc模板显示。</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2.7 无创血压提供手动、自动间隔、连续、序列四种测量模式。</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2.8 血氧监测要求双血氧监测，并且可提供灌注指数（PI）的监测。</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2.9 支持升级BISx4监测模块或者单机，提供不少于4通道EEG，双频指数（BIS），肌电活动（EMG）,抑制比（SR），频谱边缘频率（SEF）等参数的监测。</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2.10可升级AG麻醉气体模块（N2O，ETCO2，五种麻醉气体监测）。</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2.11 支持升级ScvO2监测，监测组织氧供和氧耗情况。</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2.12 所有监测参数模块采用红外数据传输，支持热插拔，稳定可靠，并且模块与同品牌麻醉机通用。</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2.13 支持升级与同品牌麻醉机、除颤仪、呼吸机相连，实现设备的信息在监护仪上显示。</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2.14 支持升级信息化平台，Win7操作系统，可以根据临床需要安装临床信息化系统软件，支持临床信息与监护仪监测信息同屏显示，方便对比查看。</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2.15★标配基本功能模块从监护仪拔出后作为一个独立的监护仪支持病人的无缝转移，具有显示屏，屏幕尺寸≥5英寸，内置锂电池供电不小于4小时，无风扇设计，且该模块支持作为独立监护仪进行工作，包含心电，呼吸，心率，无创血压，血氧饱和度，脉搏，双通道体温和双通道有创血压的同时监测。</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3、系统功能：</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3.1 大字体界面支持6个参数的设置和显示。</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3.2 具有图形化报警指示功能，看报警信息更容易。</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3.3 所有参数报警限自动设置。</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3.4能够设置护理组，一个护理组能够设置6-12个病人。这些病人之间能够互相进行它床观察。</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3.5 具备血液动力学，药物计算，氧合计算，通气计算和肾功能计算功能，并提供截图证明材料。</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3.6具备大于等于48小时全息波形的存储与回顾功能。</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3.7具有在线帮助功能，能够指导用户掌握如何设置参数。</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3.8具有高级参数指导功能，能够指导用户掌握高级参数的使用方法。</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3.9工作模式提供：监护模式、待机模式、体外循环模式模式、插管模式，夜间模式、隐私模式、演示模式。</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3.10具备趋势共存界面、呼吸氧合图界面，大字体显示界面，及标准显示界面等多种显示界面。</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3.11配备临床辅助应用，例如麻醉平衡三角指示工具。</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4、售后服务：</w:t>
      </w:r>
    </w:p>
    <w:p>
      <w:pPr>
        <w:keepNext w:val="0"/>
        <w:keepLines w:val="0"/>
        <w:pageBreakBefore w:val="0"/>
        <w:widowControl/>
        <w:kinsoku/>
        <w:wordWrap/>
        <w:overflowPunct/>
        <w:topLinePunct w:val="0"/>
        <w:autoSpaceDE/>
        <w:autoSpaceDN/>
        <w:bidi w:val="0"/>
        <w:adjustRightInd w:val="0"/>
        <w:spacing w:beforeLines="0" w:afterLines="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4.1在新疆有售后服务机构，提供多名工程师名单。</w:t>
      </w:r>
    </w:p>
    <w:p>
      <w:pPr>
        <w:pStyle w:val="19"/>
        <w:keepNext w:val="0"/>
        <w:keepLines w:val="0"/>
        <w:pageBreakBefore w:val="0"/>
        <w:widowControl/>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4.2导联线12套</w:t>
      </w:r>
    </w:p>
    <w:p>
      <w:pPr>
        <w:pStyle w:val="19"/>
        <w:keepNext w:val="0"/>
        <w:keepLines w:val="0"/>
        <w:pageBreakBefore w:val="0"/>
        <w:widowControl/>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sz w:val="24"/>
          <w:szCs w:val="24"/>
          <w:lang w:val="en-US" w:eastAsia="zh-CN"/>
        </w:rPr>
        <w:t>4.3本品由商家提供运输、安装服务，且安装到指定位置。</w:t>
      </w:r>
      <w:r>
        <w:rPr>
          <w:rFonts w:hint="eastAsia" w:asciiTheme="minorEastAsia" w:hAnsiTheme="minorEastAsia" w:eastAsiaTheme="minorEastAsia" w:cstheme="minorEastAsia"/>
          <w:sz w:val="24"/>
          <w:szCs w:val="24"/>
        </w:rPr>
        <w:t>验收合格后整机</w:t>
      </w:r>
      <w:r>
        <w:rPr>
          <w:rFonts w:hint="eastAsia" w:asciiTheme="minorEastAsia" w:hAnsiTheme="minorEastAsia" w:eastAsiaTheme="minorEastAsia" w:cstheme="minorEastAsia"/>
          <w:sz w:val="24"/>
          <w:szCs w:val="24"/>
          <w:lang w:val="en-US" w:eastAsia="zh-CN"/>
        </w:rPr>
        <w:t>及第三方产品均为生产厂家</w:t>
      </w:r>
      <w:r>
        <w:rPr>
          <w:rFonts w:hint="eastAsia" w:asciiTheme="minorEastAsia" w:hAnsiTheme="minorEastAsia" w:eastAsiaTheme="minorEastAsia" w:cstheme="minorEastAsia"/>
          <w:sz w:val="24"/>
          <w:szCs w:val="24"/>
        </w:rPr>
        <w:t>免费保修</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年，终身维护，如设备出现问题，供货方维修人员在接到通知</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小时内，到达现场进行维修，</w:t>
      </w:r>
      <w:r>
        <w:rPr>
          <w:rFonts w:hint="eastAsia" w:asciiTheme="minorEastAsia" w:hAnsiTheme="minorEastAsia" w:eastAsiaTheme="minorEastAsia" w:cstheme="minorEastAsia"/>
          <w:kern w:val="0"/>
          <w:sz w:val="24"/>
          <w:szCs w:val="24"/>
        </w:rPr>
        <w:t>24小时解决</w:t>
      </w:r>
      <w:r>
        <w:rPr>
          <w:rFonts w:hint="eastAsia" w:asciiTheme="minorEastAsia" w:hAnsiTheme="minorEastAsia" w:eastAsiaTheme="minorEastAsia" w:cstheme="minorEastAsia"/>
          <w:sz w:val="24"/>
          <w:szCs w:val="24"/>
        </w:rPr>
        <w:t>问题</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提供全套的操作手册及维修手册，免费培训操作及维修人员。</w:t>
      </w:r>
    </w:p>
    <w:p>
      <w:pPr>
        <w:numPr>
          <w:ilvl w:val="0"/>
          <w:numId w:val="0"/>
        </w:numPr>
        <w:spacing w:beforeLines="0" w:afterLines="0" w:line="360" w:lineRule="auto"/>
        <w:jc w:val="center"/>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转运监护仪技术参数</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适用于成人、小儿、新生儿的监测。</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ind w:left="420" w:leftChars="0" w:hanging="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转运监护仪</w:t>
      </w:r>
      <w:r>
        <w:rPr>
          <w:rFonts w:hint="eastAsia" w:asciiTheme="minorEastAsia" w:hAnsiTheme="minorEastAsia" w:eastAsiaTheme="minorEastAsia" w:cstheme="minorEastAsia"/>
          <w:color w:val="auto"/>
          <w:sz w:val="24"/>
          <w:szCs w:val="24"/>
        </w:rPr>
        <w:t>，满足救护车通过相关转运标准&gt;=5英寸彩色触摸显示</w:t>
      </w:r>
      <w:r>
        <w:rPr>
          <w:rFonts w:hint="eastAsia" w:asciiTheme="minorEastAsia" w:hAnsiTheme="minorEastAsia" w:eastAsiaTheme="minorEastAsia" w:cstheme="minorEastAsia"/>
          <w:sz w:val="24"/>
          <w:szCs w:val="24"/>
        </w:rPr>
        <w:t>屏，小巧便携。</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IP44防尘防水，易清洁和适用医院内外不同临床救治环境。</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整机无风扇设计。</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内置锂电池供电，支持&gt;=5小时的持续监测。</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内置DC电源接口，可以进行车载充电。</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支持3/5导心电，阻抗呼吸，血氧、无创血压、双通道体温和双通道有创压。</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转运监护仪支持插入床旁监护仪插槽作为参数模块使用，即插即用。</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具有多导心电监护算法 ，同步分析至少2通道心电波形，能够良好抗干扰。</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心率测量范围：成人15 – 300 bpm，小儿/新生儿15 - 350 bpm。</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波速提供50mm/s，25 mm/s、12.5 mm/s、6.25 mm/s可选。</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滤波模式提供诊断模式（0.05 -150Hz），监护模式（0.5 -40Hz），ST模式（0.05 - 40Hz），手术模式（1-20Hz）。</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提供25种心律失常事件的分析。</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提供ST段分析，提供显示和存储ST值和每个ST的模板。</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具有QT/QTc测量功能，提供QT，QTc和ΔQTc参数值。</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可显示弱灌注指数（PI）。</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提供双通道体温测量，提供两通道体温测量差值显示。</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提供手动、自动间隔、连续、序列四种无创血压测量模式。</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120小时 （分辨率1分钟）趋势表、趋势图回顾。</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1000条事件回顾。每条报警事件至少能够存储32秒三道相关波形，以及报警触发时所有测量参数值。</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1000条NIBP测量结果回顾。</w:t>
      </w:r>
    </w:p>
    <w:p>
      <w:pPr>
        <w:keepNext w:val="0"/>
        <w:keepLines w:val="0"/>
        <w:pageBreakBefore w:val="0"/>
        <w:widowControl/>
        <w:numPr>
          <w:ilvl w:val="0"/>
          <w:numId w:val="3"/>
        </w:numPr>
        <w:kinsoku/>
        <w:wordWrap/>
        <w:overflowPunct/>
        <w:topLinePunct w:val="0"/>
        <w:autoSpaceDE/>
        <w:autoSpaceDN/>
        <w:bidi w:val="0"/>
        <w:adjustRightInd/>
        <w:spacing w:beforeLines="0" w:afterLines="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48小时全息波形回顾。全息波形至少能存储所有测量值，以及至少3道波形。</w:t>
      </w:r>
    </w:p>
    <w:p>
      <w:pPr>
        <w:pStyle w:val="19"/>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23.导联线12套</w:t>
      </w:r>
    </w:p>
    <w:p>
      <w:pPr>
        <w:pStyle w:val="19"/>
        <w:keepNext w:val="0"/>
        <w:keepLines w:val="0"/>
        <w:pageBreakBefore w:val="0"/>
        <w:widowControl/>
        <w:kinsoku/>
        <w:wordWrap/>
        <w:overflowPunct/>
        <w:topLinePunct w:val="0"/>
        <w:autoSpaceDE/>
        <w:autoSpaceDN/>
        <w:bidi w:val="0"/>
        <w:adjustRightInd/>
        <w:spacing w:line="360" w:lineRule="auto"/>
        <w:textAlignment w:val="auto"/>
      </w:pPr>
      <w:r>
        <w:rPr>
          <w:rFonts w:hint="eastAsia" w:asciiTheme="minorEastAsia" w:hAnsiTheme="minorEastAsia" w:eastAsiaTheme="minorEastAsia" w:cstheme="minorEastAsia"/>
          <w:sz w:val="24"/>
          <w:szCs w:val="24"/>
          <w:lang w:val="en-US" w:eastAsia="zh-CN"/>
        </w:rPr>
        <w:t>24.本品由商家提供运输、安装服务，且安装到指定位置。</w:t>
      </w:r>
      <w:r>
        <w:rPr>
          <w:rFonts w:hint="eastAsia" w:asciiTheme="minorEastAsia" w:hAnsiTheme="minorEastAsia" w:eastAsiaTheme="minorEastAsia" w:cstheme="minorEastAsia"/>
          <w:sz w:val="24"/>
          <w:szCs w:val="24"/>
        </w:rPr>
        <w:t>验收合格后整机</w:t>
      </w:r>
      <w:r>
        <w:rPr>
          <w:rFonts w:hint="eastAsia" w:asciiTheme="minorEastAsia" w:hAnsiTheme="minorEastAsia" w:eastAsiaTheme="minorEastAsia" w:cstheme="minorEastAsia"/>
          <w:sz w:val="24"/>
          <w:szCs w:val="24"/>
          <w:lang w:val="en-US" w:eastAsia="zh-CN"/>
        </w:rPr>
        <w:t>及第三方产品均为生产厂家</w:t>
      </w:r>
      <w:r>
        <w:rPr>
          <w:rFonts w:hint="eastAsia" w:asciiTheme="minorEastAsia" w:hAnsiTheme="minorEastAsia" w:eastAsiaTheme="minorEastAsia" w:cstheme="minorEastAsia"/>
          <w:sz w:val="24"/>
          <w:szCs w:val="24"/>
        </w:rPr>
        <w:t>免费保修</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年，终身维护，如设备出现问题，供货方维修人员在接到通知</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小时内，到达现场进行维修，</w:t>
      </w:r>
      <w:r>
        <w:rPr>
          <w:rFonts w:hint="eastAsia" w:asciiTheme="minorEastAsia" w:hAnsiTheme="minorEastAsia" w:eastAsiaTheme="minorEastAsia" w:cstheme="minorEastAsia"/>
          <w:kern w:val="0"/>
          <w:sz w:val="24"/>
          <w:szCs w:val="24"/>
        </w:rPr>
        <w:t>24小时解决</w:t>
      </w:r>
      <w:r>
        <w:rPr>
          <w:rFonts w:hint="eastAsia" w:asciiTheme="minorEastAsia" w:hAnsiTheme="minorEastAsia" w:eastAsiaTheme="minorEastAsia" w:cstheme="minorEastAsia"/>
          <w:sz w:val="24"/>
          <w:szCs w:val="24"/>
        </w:rPr>
        <w:t>问题</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提供全套的操作手册及维修手册，免费培训操作及维修人员。</w:t>
      </w:r>
    </w:p>
    <w:p>
      <w:pPr>
        <w:pStyle w:val="19"/>
      </w:pPr>
    </w:p>
    <w:p>
      <w:pPr>
        <w:pStyle w:val="81"/>
        <w:ind w:left="420" w:firstLine="0" w:firstLineChars="0"/>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输液泵技术参数</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1、用途：在ICU、手术室、儿科等科室使用，用于精确输液。</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2、一般规格和要求：</w:t>
      </w:r>
    </w:p>
    <w:p>
      <w:pPr>
        <w:pStyle w:val="81"/>
        <w:keepNext w:val="0"/>
        <w:keepLines w:val="0"/>
        <w:pageBreakBefore w:val="0"/>
        <w:widowControl/>
        <w:kinsoku/>
        <w:wordWrap/>
        <w:overflowPunct/>
        <w:topLinePunct w:val="0"/>
        <w:autoSpaceDE/>
        <w:autoSpaceDN/>
        <w:bidi w:val="0"/>
        <w:adjustRightInd/>
        <w:snapToGrid/>
        <w:spacing w:line="360" w:lineRule="auto"/>
        <w:ind w:left="42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设备先进、结构合理、加工精密；</w:t>
      </w:r>
    </w:p>
    <w:p>
      <w:pPr>
        <w:pStyle w:val="81"/>
        <w:keepNext w:val="0"/>
        <w:keepLines w:val="0"/>
        <w:pageBreakBefore w:val="0"/>
        <w:widowControl/>
        <w:kinsoku/>
        <w:wordWrap/>
        <w:overflowPunct/>
        <w:topLinePunct w:val="0"/>
        <w:autoSpaceDE/>
        <w:autoSpaceDN/>
        <w:bidi w:val="0"/>
        <w:adjustRightInd/>
        <w:snapToGrid/>
        <w:spacing w:line="360" w:lineRule="auto"/>
        <w:ind w:left="42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2.2可选配滴数传感器，提高给药精度；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3、主要技术和性能要求：</w:t>
      </w:r>
    </w:p>
    <w:p>
      <w:pPr>
        <w:pStyle w:val="81"/>
        <w:keepNext w:val="0"/>
        <w:keepLines w:val="0"/>
        <w:pageBreakBefore w:val="0"/>
        <w:widowControl/>
        <w:kinsoku/>
        <w:wordWrap/>
        <w:overflowPunct/>
        <w:topLinePunct w:val="0"/>
        <w:autoSpaceDE/>
        <w:autoSpaceDN/>
        <w:bidi w:val="0"/>
        <w:adjustRightInd/>
        <w:snapToGrid/>
        <w:spacing w:line="360" w:lineRule="auto"/>
        <w:ind w:left="42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3.1安全要求：  </w:t>
      </w:r>
    </w:p>
    <w:p>
      <w:pPr>
        <w:pStyle w:val="81"/>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压力报警阈值至少3档可调；（150mmHg，525mmHg，900mmHg）</w:t>
      </w:r>
    </w:p>
    <w:p>
      <w:pPr>
        <w:pStyle w:val="81"/>
        <w:keepNext w:val="0"/>
        <w:keepLines w:val="0"/>
        <w:pageBreakBefore w:val="0"/>
        <w:widowControl/>
        <w:kinsoku/>
        <w:wordWrap/>
        <w:overflowPunct/>
        <w:topLinePunct w:val="0"/>
        <w:autoSpaceDE/>
        <w:autoSpaceDN/>
        <w:bidi w:val="0"/>
        <w:adjustRightInd/>
        <w:snapToGrid/>
        <w:spacing w:line="360" w:lineRule="auto"/>
        <w:ind w:left="0" w:leftChars="0"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阻塞回撤功能（Anti-Bolus）：当管路阻塞报警时，自动回撤管路压力，避免意外丸剂量伤害患者；</w:t>
      </w:r>
    </w:p>
    <w:p>
      <w:pPr>
        <w:pStyle w:val="81"/>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防重力自由流功能：泵门打开时，防自由流夹自动关闭，防止液体任意流出；</w:t>
      </w:r>
    </w:p>
    <w:p>
      <w:pPr>
        <w:pStyle w:val="81"/>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双重气泡探测：超声气泡探头，可探测≥50ul的单个气泡，单个气泡大小分50ul、100ul、250ul、500ul、800ul共5档可调，连续气泡监测功能：</w:t>
      </w:r>
      <w:r>
        <w:rPr>
          <w:rFonts w:hint="eastAsia" w:asciiTheme="minorEastAsia" w:hAnsiTheme="minorEastAsia" w:eastAsiaTheme="minorEastAsia" w:cstheme="minorEastAsia"/>
          <w:kern w:val="0"/>
          <w:sz w:val="24"/>
          <w:szCs w:val="24"/>
        </w:rPr>
        <w:t>可以设置每小时0.1-4ml的累积气泡报警阀值，1小时内</w:t>
      </w:r>
      <w:r>
        <w:rPr>
          <w:rFonts w:hint="eastAsia" w:asciiTheme="minorEastAsia" w:hAnsiTheme="minorEastAsia" w:eastAsiaTheme="minorEastAsia" w:cstheme="minorEastAsia"/>
          <w:sz w:val="24"/>
          <w:szCs w:val="24"/>
        </w:rPr>
        <w:t>检测到的累积气泡体积≥设定的报警阈值触发报警；</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锁键功能：自动加锁/手动加锁。手动加锁；可通过手动锁屏键锁屏防止误操作；自动加锁；关、1～5min。设置具体时间后，运行过程中，若在设定的锁键时间内无操作、无高级报警，按键面板自动锁定，防止误操作；</w:t>
      </w:r>
    </w:p>
    <w:p>
      <w:pPr>
        <w:pStyle w:val="81"/>
        <w:keepNext w:val="0"/>
        <w:keepLines w:val="0"/>
        <w:pageBreakBefore w:val="0"/>
        <w:widowControl/>
        <w:kinsoku/>
        <w:wordWrap/>
        <w:overflowPunct/>
        <w:topLinePunct w:val="0"/>
        <w:autoSpaceDE/>
        <w:autoSpaceDN/>
        <w:bidi w:val="0"/>
        <w:adjustRightInd/>
        <w:snapToGrid/>
        <w:spacing w:line="360" w:lineRule="auto"/>
        <w:ind w:left="548" w:leftChars="261"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无操作功能：关丶1-5min。安装输液器后在设定时间内无操作自动触发报警，提示用户进行下一步操作；</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3.2 精度要求：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全挤压蠕动输注，精度≤±5%；</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在线滴定功能：安全不中断输液而更改速率；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3.3 基本要求：</w:t>
      </w:r>
    </w:p>
    <w:p>
      <w:pPr>
        <w:keepNext w:val="0"/>
        <w:keepLines w:val="0"/>
        <w:pageBreakBefore w:val="0"/>
        <w:widowControl/>
        <w:kinsoku/>
        <w:wordWrap/>
        <w:overflowPunct/>
        <w:topLinePunct w:val="0"/>
        <w:autoSpaceDE/>
        <w:autoSpaceDN/>
        <w:bidi w:val="0"/>
        <w:adjustRightInd/>
        <w:snapToGrid/>
        <w:spacing w:line="360" w:lineRule="auto"/>
        <w:ind w:left="567" w:hanging="756" w:hangingChars="315"/>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3.3.1 速率范围：0.1-1500ml/h, 递增：0.1ml； </w:t>
      </w:r>
    </w:p>
    <w:p>
      <w:pPr>
        <w:keepNext w:val="0"/>
        <w:keepLines w:val="0"/>
        <w:pageBreakBefore w:val="0"/>
        <w:widowControl/>
        <w:kinsoku/>
        <w:wordWrap/>
        <w:overflowPunct/>
        <w:topLinePunct w:val="0"/>
        <w:autoSpaceDE/>
        <w:autoSpaceDN/>
        <w:bidi w:val="0"/>
        <w:adjustRightInd/>
        <w:snapToGrid/>
        <w:spacing w:line="360" w:lineRule="auto"/>
        <w:ind w:left="6660" w:hanging="8880" w:hangingChars="37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3.3.2预置总量范围：0.1-9999ml，递增：0.1ml；</w:t>
      </w:r>
    </w:p>
    <w:p>
      <w:pPr>
        <w:keepNext w:val="0"/>
        <w:keepLines w:val="0"/>
        <w:pageBreakBefore w:val="0"/>
        <w:widowControl/>
        <w:kinsoku/>
        <w:wordWrap/>
        <w:overflowPunct/>
        <w:topLinePunct w:val="0"/>
        <w:autoSpaceDE/>
        <w:autoSpaceDN/>
        <w:bidi w:val="0"/>
        <w:adjustRightInd/>
        <w:snapToGrid/>
        <w:spacing w:line="360" w:lineRule="auto"/>
        <w:ind w:left="6660" w:hanging="8880" w:hangingChars="37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3.3.3 安装固定：可固定在输液支架上； </w:t>
      </w:r>
    </w:p>
    <w:p>
      <w:pPr>
        <w:keepNext w:val="0"/>
        <w:keepLines w:val="0"/>
        <w:pageBreakBefore w:val="0"/>
        <w:widowControl/>
        <w:kinsoku/>
        <w:wordWrap/>
        <w:overflowPunct/>
        <w:topLinePunct w:val="0"/>
        <w:autoSpaceDE/>
        <w:autoSpaceDN/>
        <w:bidi w:val="0"/>
        <w:adjustRightInd/>
        <w:snapToGrid/>
        <w:spacing w:line="360" w:lineRule="auto"/>
        <w:ind w:left="567" w:hanging="756" w:hangingChars="315"/>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3.3.4 快推“bolus”：0.1-1500ml/h，以0.1ml/h递增，同步显示给入的快推“bolus”量； </w:t>
      </w:r>
    </w:p>
    <w:p>
      <w:pPr>
        <w:keepNext w:val="0"/>
        <w:keepLines w:val="0"/>
        <w:pageBreakBefore w:val="0"/>
        <w:widowControl/>
        <w:kinsoku/>
        <w:wordWrap/>
        <w:overflowPunct/>
        <w:topLinePunct w:val="0"/>
        <w:autoSpaceDE/>
        <w:autoSpaceDN/>
        <w:bidi w:val="0"/>
        <w:adjustRightInd/>
        <w:snapToGrid/>
        <w:spacing w:line="360" w:lineRule="auto"/>
        <w:ind w:left="6660" w:hanging="8880" w:hangingChars="37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3.3.5  KVO： 0.5ml/h；</w:t>
      </w:r>
    </w:p>
    <w:p>
      <w:pPr>
        <w:keepNext w:val="0"/>
        <w:keepLines w:val="0"/>
        <w:pageBreakBefore w:val="0"/>
        <w:widowControl/>
        <w:kinsoku/>
        <w:wordWrap/>
        <w:overflowPunct/>
        <w:topLinePunct w:val="0"/>
        <w:autoSpaceDE/>
        <w:autoSpaceDN/>
        <w:bidi w:val="0"/>
        <w:adjustRightInd/>
        <w:snapToGrid/>
        <w:spacing w:line="360" w:lineRule="auto"/>
        <w:ind w:left="6660" w:hanging="8880" w:hangingChars="37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3.3.6 可预存20种以上输液器品牌规格，可校准自定义输液器；</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3.3.7 屏幕不小于2.5”，同屏显示：速率、当前输液状态、累计量、电池容量、报警压力档位、报警信息 ；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3.3.8  整机重量不超过1.6kg，主机自带提手，方便携带</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3.3.9 分低级、中级、高级三级报警，并分别以声光提示，同时显示具体报警信息；</w:t>
      </w:r>
    </w:p>
    <w:p>
      <w:pPr>
        <w:pStyle w:val="9"/>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3.3.10高级别:阻塞，完成、系统故障、滴速异常、电池耗尽、气泡、门开、KVO完成、空瓶；</w:t>
      </w:r>
    </w:p>
    <w:p>
      <w:pPr>
        <w:pStyle w:val="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中级别:系统异常，待机时间结束；</w:t>
      </w:r>
    </w:p>
    <w:p>
      <w:pPr>
        <w:keepNext w:val="0"/>
        <w:keepLines w:val="0"/>
        <w:pageBreakBefore w:val="0"/>
        <w:widowControl/>
        <w:kinsoku/>
        <w:wordWrap/>
        <w:overflowPunct/>
        <w:topLinePunct w:val="0"/>
        <w:autoSpaceDE/>
        <w:autoSpaceDN/>
        <w:bidi w:val="0"/>
        <w:adjustRightInd/>
        <w:snapToGrid/>
        <w:spacing w:line="360" w:lineRule="auto"/>
        <w:ind w:left="573" w:leftChars="250" w:hanging="48" w:hangingChars="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低级别:无操作、电池电量低、接近完成、网电源脱落、未安装输液管；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3.3.11具有2种输液模式可选：速度模式、滴速模式；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3.3.12 电池工作时间≥4小时@25ml/h； </w:t>
      </w:r>
    </w:p>
    <w:p>
      <w:pPr>
        <w:pStyle w:val="81"/>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RS232接口：数据传输、护士呼叫、DC连接；</w:t>
      </w:r>
    </w:p>
    <w:p>
      <w:pPr>
        <w:pStyle w:val="81"/>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全中文软件操作界面。</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4、技术服务</w:t>
      </w:r>
    </w:p>
    <w:p>
      <w:pPr>
        <w:keepNext w:val="0"/>
        <w:keepLines w:val="0"/>
        <w:pageBreakBefore w:val="0"/>
        <w:widowControl/>
        <w:kinsoku/>
        <w:wordWrap/>
        <w:overflowPunct/>
        <w:topLinePunct w:val="0"/>
        <w:autoSpaceDE/>
        <w:autoSpaceDN/>
        <w:bidi w:val="0"/>
        <w:adjustRightInd/>
        <w:snapToGrid/>
        <w:spacing w:line="360" w:lineRule="auto"/>
        <w:ind w:firstLine="405"/>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技术文件：提供技术文件资料，使用说明，操作卡；</w:t>
      </w:r>
    </w:p>
    <w:p>
      <w:pPr>
        <w:keepNext w:val="0"/>
        <w:keepLines w:val="0"/>
        <w:pageBreakBefore w:val="0"/>
        <w:widowControl/>
        <w:kinsoku/>
        <w:wordWrap/>
        <w:overflowPunct/>
        <w:topLinePunct w:val="0"/>
        <w:autoSpaceDE/>
        <w:autoSpaceDN/>
        <w:bidi w:val="0"/>
        <w:adjustRightInd/>
        <w:snapToGrid/>
        <w:spacing w:line="360" w:lineRule="auto"/>
        <w:ind w:firstLine="405"/>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4.2 操作培训；厂家或代理商负责培训医务人员熟练掌握使用并提供长期技术支持；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5、售后服务及维修：</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维修站及工作情况：在国内有专业维修中心，有专职维修工程师负责维护及维修负责上门安装、维护及维修,响应时间﹤24h;</w:t>
      </w:r>
    </w:p>
    <w:p>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5.2本品验收合格后由厂家质保5年，</w:t>
      </w:r>
      <w:r>
        <w:rPr>
          <w:rFonts w:hint="eastAsia" w:asciiTheme="minorEastAsia" w:hAnsiTheme="minorEastAsia" w:eastAsiaTheme="minorEastAsia" w:cstheme="minorEastAsia"/>
          <w:color w:val="auto"/>
          <w:sz w:val="24"/>
          <w:szCs w:val="24"/>
        </w:rPr>
        <w:t>终身维护，如设备出现问题，供货方维修人员在接到通知</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小时内，到达现场进行维修，</w:t>
      </w:r>
      <w:r>
        <w:rPr>
          <w:rFonts w:hint="eastAsia" w:asciiTheme="minorEastAsia" w:hAnsiTheme="minorEastAsia" w:eastAsiaTheme="minorEastAsia" w:cstheme="minorEastAsia"/>
          <w:color w:val="auto"/>
          <w:kern w:val="0"/>
          <w:sz w:val="24"/>
          <w:szCs w:val="24"/>
        </w:rPr>
        <w:t>24小时解决</w:t>
      </w:r>
      <w:r>
        <w:rPr>
          <w:rFonts w:hint="eastAsia" w:asciiTheme="minorEastAsia" w:hAnsiTheme="minorEastAsia" w:eastAsiaTheme="minorEastAsia" w:cstheme="minorEastAsia"/>
          <w:color w:val="auto"/>
          <w:sz w:val="24"/>
          <w:szCs w:val="24"/>
        </w:rPr>
        <w:t>问题</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z w:val="24"/>
          <w:szCs w:val="24"/>
        </w:rPr>
        <w:t>提供全套的操作手册及维修手册，免费培训操作及维修人员。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5.3本品由商家提供运输、安装服务，且安装到指定位置</w:t>
      </w:r>
    </w:p>
    <w:p>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lang w:eastAsia="zh-CN"/>
        </w:rPr>
      </w:pPr>
      <w:r>
        <w:rPr>
          <w:rFonts w:hint="eastAsia" w:asciiTheme="minorEastAsia" w:hAnsiTheme="minorEastAsia" w:eastAsiaTheme="minorEastAsia" w:cstheme="minorEastAsia"/>
          <w:color w:val="auto"/>
          <w:sz w:val="24"/>
          <w:szCs w:val="24"/>
          <w:lang w:val="en-US" w:eastAsia="zh-CN"/>
        </w:rPr>
        <w:t>5.4中标商承担所有的网络接口费。</w:t>
      </w:r>
    </w:p>
    <w:p>
      <w:pPr>
        <w:pStyle w:val="22"/>
        <w:spacing w:after="0" w:afterAutospacing="0"/>
        <w:jc w:val="center"/>
        <w:outlineLvl w:val="0"/>
        <w:rPr>
          <w:rFonts w:hint="default"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注：</w:t>
      </w:r>
      <w:r>
        <w:rPr>
          <w:rFonts w:hint="eastAsia" w:ascii="宋体" w:hAnsi="宋体" w:eastAsia="宋体" w:cs="宋体"/>
          <w:color w:val="auto"/>
          <w:kern w:val="2"/>
          <w:sz w:val="24"/>
          <w:szCs w:val="24"/>
          <w:lang w:val="en-US" w:eastAsia="zh-CN" w:bidi="ar-SA"/>
        </w:rPr>
        <w:t>在比较与评价之前，根据招标文件的规定，评标委员会要审查每份投标文件是否实质上响应了招标文件的要求。实质上响应的投标应该是与招标文件要求的重要条款、条件和规格相符，没有重大偏离的投标。对关键条款的偏离、保留和反对，将被认为是实质上的偏离，其投标将被认定为投标无效。评标委员会决定投标的响应性只根据招标文件要求、投标文件内容及财政主管部门指定相关信息发布媒体。</w:t>
      </w:r>
    </w:p>
    <w:p>
      <w:pPr>
        <w:pStyle w:val="19"/>
      </w:pPr>
    </w:p>
    <w:p>
      <w:pPr>
        <w:pStyle w:val="22"/>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r>
        <w:rPr>
          <w:rFonts w:hint="eastAsia" w:cs="Times New Roman"/>
          <w:b/>
          <w:color w:val="000000" w:themeColor="text1"/>
          <w:kern w:val="2"/>
          <w:sz w:val="36"/>
          <w:highlight w:val="none"/>
          <w:lang w:val="en-US" w:eastAsia="zh-CN"/>
          <w14:textFill>
            <w14:solidFill>
              <w14:schemeClr w14:val="tx1"/>
            </w14:solidFill>
          </w14:textFill>
        </w:rPr>
        <w:t xml:space="preserve"> </w:t>
      </w:r>
    </w:p>
    <w:p>
      <w:pPr>
        <w:pStyle w:val="22"/>
        <w:spacing w:after="0" w:afterAutospacing="0"/>
        <w:jc w:val="center"/>
        <w:outlineLvl w:val="0"/>
        <w:rPr>
          <w:rFonts w:cs="Times New Roman"/>
          <w:b/>
          <w:color w:val="auto"/>
          <w:kern w:val="2"/>
          <w:sz w:val="36"/>
        </w:rPr>
      </w:pPr>
      <w:r>
        <w:rPr>
          <w:rFonts w:hint="eastAsia" w:cs="Times New Roman"/>
          <w:b/>
          <w:color w:val="000000" w:themeColor="text1"/>
          <w:kern w:val="2"/>
          <w:sz w:val="36"/>
          <w:highlight w:val="none"/>
          <w14:textFill>
            <w14:solidFill>
              <w14:schemeClr w14:val="tx1"/>
            </w14:solidFill>
          </w14:textFill>
        </w:rPr>
        <w:t>第四部</w:t>
      </w:r>
      <w:r>
        <w:rPr>
          <w:rFonts w:hint="eastAsia" w:cs="Times New Roman"/>
          <w:b/>
          <w:color w:val="auto"/>
          <w:kern w:val="2"/>
          <w:sz w:val="36"/>
        </w:rPr>
        <w:t>分 商务部分</w:t>
      </w:r>
    </w:p>
    <w:p>
      <w:pPr>
        <w:pStyle w:val="44"/>
        <w:ind w:firstLine="643"/>
        <w:jc w:val="center"/>
        <w:rPr>
          <w:rFonts w:ascii="仿宋_GB2312" w:hAnsi="Arial" w:eastAsia="仿宋_GB2312" w:cs="Times New Roman"/>
          <w:sz w:val="32"/>
          <w:szCs w:val="32"/>
        </w:rPr>
      </w:pPr>
      <w:bookmarkStart w:id="119" w:name="_Toc14169"/>
      <w:bookmarkStart w:id="120" w:name="_Toc29632"/>
      <w:bookmarkStart w:id="121" w:name="_Toc16727"/>
      <w:bookmarkStart w:id="122" w:name="_Toc6426"/>
      <w:bookmarkStart w:id="123" w:name="_Toc26049"/>
      <w:bookmarkStart w:id="124" w:name="_Toc2443"/>
      <w:bookmarkStart w:id="125" w:name="_Toc9620"/>
      <w:bookmarkStart w:id="126" w:name="_Toc19161"/>
      <w:bookmarkStart w:id="127" w:name="_Toc16709"/>
      <w:bookmarkStart w:id="128" w:name="_Toc2002"/>
      <w:bookmarkStart w:id="129" w:name="_Toc17593"/>
      <w:bookmarkStart w:id="130" w:name="_Toc28964"/>
      <w:bookmarkStart w:id="131" w:name="_Toc30987"/>
      <w:bookmarkStart w:id="132" w:name="_Toc22289"/>
      <w:bookmarkStart w:id="133" w:name="_Toc14732"/>
      <w:bookmarkStart w:id="134" w:name="_Toc22471"/>
      <w:r>
        <w:rPr>
          <w:rFonts w:hint="eastAsia" w:ascii="仿宋_GB2312" w:hAnsi="Arial" w:eastAsia="仿宋_GB2312" w:cs="Times New Roman"/>
          <w:sz w:val="32"/>
          <w:szCs w:val="32"/>
        </w:rPr>
        <w:t xml:space="preserve">第一章 </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hint="eastAsia" w:ascii="仿宋_GB2312" w:hAnsi="Arial" w:eastAsia="仿宋_GB2312" w:cs="Times New Roman"/>
          <w:sz w:val="32"/>
          <w:szCs w:val="32"/>
        </w:rPr>
        <w:t>付款方式及程序</w:t>
      </w:r>
      <w:bookmarkEnd w:id="134"/>
    </w:p>
    <w:p>
      <w:pPr>
        <w:ind w:firstLine="482" w:firstLineChars="200"/>
        <w:rPr>
          <w:rFonts w:ascii="宋体" w:hAnsi="宋体" w:cs="Times New Roman"/>
          <w:b/>
          <w:sz w:val="24"/>
          <w:szCs w:val="20"/>
        </w:rPr>
      </w:pPr>
      <w:r>
        <w:rPr>
          <w:rFonts w:hint="eastAsia" w:ascii="宋体" w:hAnsi="宋体" w:cs="Times New Roman"/>
          <w:b/>
          <w:sz w:val="24"/>
          <w:szCs w:val="20"/>
        </w:rPr>
        <w:t>1、付款币种</w:t>
      </w:r>
    </w:p>
    <w:p>
      <w:pPr>
        <w:ind w:firstLine="960" w:firstLineChars="400"/>
        <w:rPr>
          <w:rFonts w:ascii="仿宋" w:hAnsi="仿宋" w:eastAsia="仿宋" w:cs="Times New Roman"/>
          <w:sz w:val="24"/>
          <w:szCs w:val="20"/>
        </w:rPr>
      </w:pPr>
      <w:r>
        <w:rPr>
          <w:rFonts w:hint="eastAsia" w:ascii="仿宋" w:hAnsi="仿宋" w:eastAsia="仿宋" w:cs="Times New Roman"/>
          <w:sz w:val="24"/>
          <w:szCs w:val="20"/>
        </w:rPr>
        <w:t>本次招标所述</w:t>
      </w:r>
      <w:r>
        <w:rPr>
          <w:rFonts w:hint="eastAsia" w:ascii="仿宋" w:hAnsi="仿宋" w:eastAsia="仿宋" w:cs="Times New Roman"/>
          <w:color w:val="auto"/>
          <w:sz w:val="24"/>
          <w:szCs w:val="20"/>
        </w:rPr>
        <w:t>的</w:t>
      </w:r>
      <w:r>
        <w:rPr>
          <w:rFonts w:hint="eastAsia" w:ascii="仿宋" w:hAnsi="仿宋" w:eastAsia="仿宋" w:cs="Times New Roman"/>
          <w:color w:val="auto"/>
          <w:sz w:val="24"/>
          <w:szCs w:val="20"/>
          <w:lang w:eastAsia="zh-CN"/>
        </w:rPr>
        <w:t>地方政府债券</w:t>
      </w:r>
      <w:r>
        <w:rPr>
          <w:rFonts w:hint="eastAsia" w:ascii="仿宋" w:hAnsi="仿宋" w:eastAsia="仿宋" w:cs="Times New Roman"/>
          <w:color w:val="auto"/>
          <w:sz w:val="24"/>
          <w:szCs w:val="20"/>
        </w:rPr>
        <w:t>均以人民</w:t>
      </w:r>
      <w:r>
        <w:rPr>
          <w:rFonts w:hint="eastAsia" w:ascii="仿宋" w:hAnsi="仿宋" w:eastAsia="仿宋" w:cs="Times New Roman"/>
          <w:sz w:val="24"/>
          <w:szCs w:val="20"/>
        </w:rPr>
        <w:t>币支付。</w:t>
      </w:r>
    </w:p>
    <w:p>
      <w:pPr>
        <w:numPr>
          <w:ilvl w:val="0"/>
          <w:numId w:val="4"/>
        </w:numPr>
        <w:ind w:firstLine="477" w:firstLineChars="198"/>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付款方式：</w:t>
      </w:r>
    </w:p>
    <w:p>
      <w:pPr>
        <w:ind w:left="479" w:leftChars="228" w:firstLine="480" w:firstLineChars="200"/>
        <w:rPr>
          <w:rFonts w:hint="eastAsia" w:ascii="仿宋" w:hAnsi="仿宋" w:eastAsia="仿宋" w:cs="Times New Roman"/>
          <w:color w:val="000000" w:themeColor="text1"/>
          <w:sz w:val="24"/>
          <w:szCs w:val="20"/>
          <w14:textFill>
            <w14:solidFill>
              <w14:schemeClr w14:val="tx1"/>
            </w14:solidFill>
          </w14:textFill>
        </w:rPr>
      </w:pPr>
      <w:r>
        <w:rPr>
          <w:rFonts w:hint="eastAsia" w:ascii="仿宋_GB2312" w:hAnsi="宋体" w:eastAsia="仿宋_GB2312" w:cs="Times New Roman"/>
          <w:color w:val="000000" w:themeColor="text1"/>
          <w:sz w:val="24"/>
          <w:szCs w:val="24"/>
          <w:lang w:val="en-US" w:eastAsia="zh-CN"/>
          <w14:textFill>
            <w14:solidFill>
              <w14:schemeClr w14:val="tx1"/>
            </w14:solidFill>
          </w14:textFill>
        </w:rPr>
        <w:t>签订合同后向乙</w:t>
      </w:r>
      <w:r>
        <w:rPr>
          <w:rFonts w:hint="eastAsia" w:ascii="仿宋_GB2312" w:hAnsi="宋体" w:eastAsia="仿宋_GB2312" w:cs="Times New Roman"/>
          <w:color w:val="000000" w:themeColor="text1"/>
          <w:sz w:val="24"/>
          <w:szCs w:val="24"/>
          <w14:textFill>
            <w14:solidFill>
              <w14:schemeClr w14:val="tx1"/>
            </w14:solidFill>
          </w14:textFill>
        </w:rPr>
        <w:t>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w:t>
      </w:r>
      <w:r>
        <w:rPr>
          <w:rFonts w:hint="eastAsia" w:ascii="仿宋_GB2312" w:hAnsi="宋体" w:eastAsia="仿宋_GB2312" w:cs="Times New Roman"/>
          <w:color w:val="000000" w:themeColor="text1"/>
          <w:sz w:val="24"/>
          <w:szCs w:val="24"/>
          <w14:textFill>
            <w14:solidFill>
              <w14:schemeClr w14:val="tx1"/>
            </w14:solidFill>
          </w14:textFill>
        </w:rPr>
        <w:t>0%</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甲方收到乙方提供的设备向乙方支付合同款总额的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乙方安装调试完成、进行了相关验收和人员培训合格后向乙方支付合同款总额的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%；余款合同款总额的10%作为质保金，3年质保期满无质量问题发生的乙方支付合同质保金。</w:t>
      </w:r>
    </w:p>
    <w:p>
      <w:pPr>
        <w:ind w:left="480"/>
        <w:rPr>
          <w:rFonts w:ascii="宋体" w:hAnsi="宋体" w:cs="宋体"/>
          <w:b/>
          <w:sz w:val="24"/>
          <w:szCs w:val="20"/>
        </w:rPr>
      </w:pPr>
      <w:r>
        <w:rPr>
          <w:rFonts w:hint="eastAsia" w:ascii="宋体" w:hAnsi="宋体" w:cs="宋体"/>
          <w:b/>
          <w:sz w:val="24"/>
          <w:szCs w:val="20"/>
        </w:rPr>
        <w:t>3、付款程序</w:t>
      </w:r>
    </w:p>
    <w:p>
      <w:pPr>
        <w:ind w:firstLine="960" w:firstLineChars="400"/>
        <w:rPr>
          <w:rFonts w:ascii="仿宋_GB2312" w:hAnsi="宋体" w:eastAsia="仿宋_GB2312" w:cs="Times New Roman"/>
          <w:sz w:val="32"/>
          <w:szCs w:val="32"/>
        </w:rPr>
      </w:pPr>
      <w:r>
        <w:rPr>
          <w:rFonts w:hint="eastAsia" w:ascii="仿宋_GB2312" w:hAnsi="Arial" w:eastAsia="仿宋_GB2312" w:cs="Times New Roman"/>
          <w:sz w:val="24"/>
          <w:szCs w:val="20"/>
        </w:rPr>
        <w:t>由采购人办理具体付款手续。</w:t>
      </w:r>
    </w:p>
    <w:p>
      <w:pPr>
        <w:pStyle w:val="44"/>
        <w:numPr>
          <w:ilvl w:val="0"/>
          <w:numId w:val="5"/>
        </w:numPr>
        <w:ind w:firstLine="643"/>
        <w:jc w:val="center"/>
        <w:rPr>
          <w:rFonts w:ascii="仿宋_GB2312" w:hAnsi="Arial" w:eastAsia="仿宋_GB2312" w:cs="Times New Roman"/>
          <w:sz w:val="32"/>
          <w:szCs w:val="32"/>
        </w:rPr>
      </w:pPr>
      <w:bookmarkStart w:id="135" w:name="_Toc31752"/>
      <w:bookmarkStart w:id="136" w:name="_Toc20755"/>
      <w:bookmarkStart w:id="137" w:name="_Toc12952"/>
      <w:bookmarkStart w:id="138" w:name="_Toc13489"/>
      <w:bookmarkStart w:id="139" w:name="_Toc6201_WPSOffice_Level2"/>
      <w:bookmarkStart w:id="140" w:name="_Toc6445"/>
      <w:bookmarkStart w:id="141" w:name="_Toc22094"/>
      <w:bookmarkStart w:id="142" w:name="_Toc2249"/>
      <w:bookmarkStart w:id="143" w:name="_Toc31350"/>
      <w:bookmarkStart w:id="144" w:name="_Toc29652"/>
      <w:bookmarkStart w:id="145" w:name="_Toc28648"/>
      <w:bookmarkStart w:id="146" w:name="_Toc11928"/>
      <w:bookmarkStart w:id="147" w:name="_Toc171"/>
      <w:bookmarkStart w:id="148" w:name="_Toc16211"/>
      <w:bookmarkStart w:id="149" w:name="_Toc16332"/>
      <w:bookmarkStart w:id="150" w:name="_Toc32522"/>
      <w:bookmarkStart w:id="151" w:name="_Toc20952"/>
      <w:r>
        <w:rPr>
          <w:rFonts w:hint="eastAsia" w:ascii="仿宋_GB2312" w:hAnsi="Arial" w:eastAsia="仿宋_GB2312" w:cs="Times New Roman"/>
          <w:sz w:val="32"/>
          <w:szCs w:val="32"/>
        </w:rPr>
        <w:t>售后服务要求</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pStyle w:val="8"/>
        <w:rPr>
          <w:rFonts w:hint="eastAsia"/>
          <w:lang w:val="en-US"/>
        </w:rPr>
      </w:pPr>
    </w:p>
    <w:p>
      <w:pPr>
        <w:pStyle w:val="19"/>
        <w:keepNext w:val="0"/>
        <w:keepLines w:val="0"/>
        <w:pageBreakBefore w:val="0"/>
        <w:kinsoku/>
        <w:wordWrap/>
        <w:overflowPunct/>
        <w:topLinePunct w:val="0"/>
        <w:bidi w:val="0"/>
        <w:spacing w:line="360" w:lineRule="auto"/>
        <w:ind w:firstLine="240" w:firstLineChars="100"/>
        <w:textAlignment w:val="auto"/>
        <w:rPr>
          <w:rFonts w:hint="eastAsia"/>
          <w:sz w:val="24"/>
          <w:szCs w:val="24"/>
          <w:lang w:val="en-US" w:eastAsia="zh-CN"/>
        </w:rPr>
      </w:pPr>
      <w:r>
        <w:rPr>
          <w:rFonts w:hint="eastAsia"/>
          <w:sz w:val="24"/>
          <w:szCs w:val="24"/>
          <w:lang w:val="en-US" w:eastAsia="zh-CN"/>
        </w:rPr>
        <w:t>1、本品由商家提供运输、安装服务，且安装到指定位置。</w:t>
      </w:r>
    </w:p>
    <w:p>
      <w:pPr>
        <w:keepNext w:val="0"/>
        <w:keepLines w:val="0"/>
        <w:pageBreakBefore w:val="0"/>
        <w:kinsoku/>
        <w:wordWrap/>
        <w:overflowPunct/>
        <w:topLinePunct w:val="0"/>
        <w:bidi w:val="0"/>
        <w:spacing w:line="360" w:lineRule="auto"/>
        <w:ind w:firstLine="240" w:firstLineChars="100"/>
        <w:textAlignment w:val="auto"/>
        <w:rPr>
          <w:rFonts w:hint="eastAsia" w:ascii="宋体" w:hAnsi="宋体" w:cs="宋体"/>
          <w:sz w:val="24"/>
          <w:szCs w:val="24"/>
        </w:rPr>
      </w:pPr>
      <w:r>
        <w:rPr>
          <w:rFonts w:hint="eastAsia" w:ascii="宋体" w:hAnsi="宋体"/>
          <w:sz w:val="24"/>
          <w:szCs w:val="24"/>
          <w:lang w:val="en-US" w:eastAsia="zh-CN"/>
        </w:rPr>
        <w:t>2、本品验收合格后</w:t>
      </w:r>
      <w:r>
        <w:rPr>
          <w:rFonts w:hint="eastAsia" w:ascii="宋体" w:hAnsi="宋体"/>
          <w:color w:val="auto"/>
          <w:sz w:val="24"/>
          <w:szCs w:val="24"/>
          <w:lang w:val="en-US" w:eastAsia="zh-CN"/>
        </w:rPr>
        <w:t>由厂家质保三年，</w:t>
      </w:r>
      <w:r>
        <w:rPr>
          <w:rFonts w:hint="eastAsia" w:ascii="宋体" w:hAnsi="宋体"/>
          <w:color w:val="auto"/>
          <w:sz w:val="24"/>
          <w:szCs w:val="24"/>
        </w:rPr>
        <w:t>终身维护，</w:t>
      </w:r>
      <w:r>
        <w:rPr>
          <w:rFonts w:hint="eastAsia" w:ascii="宋体" w:hAnsi="宋体"/>
          <w:sz w:val="24"/>
          <w:szCs w:val="24"/>
        </w:rPr>
        <w:t>如设备出现问题，供货方维修人员在接到通知</w:t>
      </w:r>
      <w:r>
        <w:rPr>
          <w:rFonts w:hint="eastAsia" w:ascii="宋体" w:hAnsi="宋体"/>
          <w:sz w:val="24"/>
          <w:szCs w:val="24"/>
          <w:lang w:val="en-US" w:eastAsia="zh-CN"/>
        </w:rPr>
        <w:t>4</w:t>
      </w:r>
      <w:r>
        <w:rPr>
          <w:rFonts w:hint="eastAsia" w:ascii="宋体" w:hAnsi="宋体"/>
          <w:sz w:val="24"/>
          <w:szCs w:val="24"/>
        </w:rPr>
        <w:t>小时内，到达现场进行维修，</w:t>
      </w:r>
      <w:r>
        <w:rPr>
          <w:rFonts w:hint="eastAsia" w:ascii="宋体" w:hAnsi="宋体" w:cs="宋体"/>
          <w:kern w:val="0"/>
          <w:sz w:val="24"/>
          <w:szCs w:val="24"/>
        </w:rPr>
        <w:t>24小时解决</w:t>
      </w:r>
      <w:r>
        <w:rPr>
          <w:rFonts w:hint="eastAsia" w:ascii="宋体" w:hAnsi="宋体"/>
          <w:sz w:val="24"/>
          <w:szCs w:val="24"/>
        </w:rPr>
        <w:t>问题</w:t>
      </w:r>
      <w:r>
        <w:rPr>
          <w:rFonts w:hint="eastAsia" w:ascii="宋体" w:hAnsi="宋体" w:cs="宋体"/>
          <w:kern w:val="0"/>
          <w:sz w:val="24"/>
          <w:szCs w:val="24"/>
        </w:rPr>
        <w:t>。</w:t>
      </w:r>
      <w:r>
        <w:rPr>
          <w:rFonts w:hint="eastAsia" w:ascii="宋体" w:hAnsi="宋体" w:cs="宋体"/>
          <w:kern w:val="0"/>
          <w:sz w:val="24"/>
          <w:szCs w:val="24"/>
          <w:lang w:eastAsia="zh-CN"/>
        </w:rPr>
        <w:t>如果当场不能解决问题由商家提供备用机到本品修复合格为止，</w:t>
      </w:r>
      <w:r>
        <w:rPr>
          <w:rFonts w:hint="eastAsia" w:ascii="宋体" w:hAnsi="宋体" w:cs="宋体"/>
          <w:sz w:val="24"/>
          <w:szCs w:val="24"/>
        </w:rPr>
        <w:t>提供全套的操作手册及维修手册，免费培训操作及维修人员。</w:t>
      </w:r>
    </w:p>
    <w:p>
      <w:pPr>
        <w:keepNext w:val="0"/>
        <w:keepLines w:val="0"/>
        <w:pageBreakBefore w:val="0"/>
        <w:kinsoku/>
        <w:wordWrap/>
        <w:overflowPunct/>
        <w:topLinePunct w:val="0"/>
        <w:bidi w:val="0"/>
        <w:spacing w:line="360" w:lineRule="auto"/>
        <w:ind w:firstLine="1200" w:firstLineChars="500"/>
        <w:textAlignment w:val="auto"/>
        <w:rPr>
          <w:rFonts w:hint="eastAsia" w:eastAsia="宋体"/>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技术参数中要求除外</w:t>
      </w:r>
      <w:r>
        <w:rPr>
          <w:rFonts w:hint="eastAsia" w:ascii="宋体" w:hAnsi="宋体" w:cs="宋体"/>
          <w:sz w:val="24"/>
          <w:szCs w:val="24"/>
          <w:lang w:eastAsia="zh-CN"/>
        </w:rPr>
        <w:t>）</w:t>
      </w:r>
    </w:p>
    <w:p>
      <w:pPr>
        <w:ind w:firstLine="723" w:firstLineChars="200"/>
        <w:jc w:val="center"/>
        <w:outlineLvl w:val="0"/>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rPr>
      </w:pPr>
    </w:p>
    <w:p>
      <w:pPr>
        <w:ind w:firstLine="723" w:firstLineChars="200"/>
        <w:jc w:val="center"/>
        <w:outlineLvl w:val="0"/>
        <w:rPr>
          <w:rFonts w:ascii="宋体" w:hAnsi="宋体" w:cs="Times New Roman"/>
          <w:b/>
          <w:sz w:val="36"/>
          <w:szCs w:val="36"/>
        </w:rPr>
      </w:pPr>
      <w:r>
        <w:rPr>
          <w:rFonts w:hint="eastAsia" w:ascii="宋体" w:hAnsi="宋体" w:cs="Times New Roman"/>
          <w:b/>
          <w:sz w:val="36"/>
          <w:szCs w:val="36"/>
        </w:rPr>
        <w:t>第五部分  招标组织程序</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jc w:val="center"/>
        <w:outlineLvl w:val="1"/>
        <w:rPr>
          <w:rFonts w:ascii="仿宋_GB2312" w:hAnsi="Arial" w:eastAsia="仿宋_GB2312" w:cs="Times New Roman"/>
          <w:b/>
          <w:sz w:val="32"/>
          <w:szCs w:val="32"/>
        </w:rPr>
      </w:pPr>
      <w:bookmarkStart w:id="152" w:name="_Toc24345"/>
      <w:bookmarkStart w:id="153" w:name="_Toc2693"/>
      <w:bookmarkStart w:id="154" w:name="_Toc32428"/>
      <w:bookmarkStart w:id="155" w:name="_Toc14569"/>
      <w:bookmarkStart w:id="156" w:name="_Toc22932"/>
      <w:bookmarkStart w:id="157" w:name="_Toc5067"/>
      <w:bookmarkStart w:id="158" w:name="_Toc5857"/>
      <w:bookmarkStart w:id="159" w:name="_Toc3860"/>
      <w:bookmarkStart w:id="160" w:name="_Toc12060"/>
      <w:bookmarkStart w:id="161" w:name="_Toc24547"/>
      <w:bookmarkStart w:id="162" w:name="_Toc9296"/>
      <w:bookmarkStart w:id="163" w:name="_Toc16431"/>
      <w:bookmarkStart w:id="164" w:name="_Toc5601"/>
      <w:bookmarkStart w:id="165" w:name="_Toc23827"/>
      <w:bookmarkStart w:id="166" w:name="_Toc13642"/>
      <w:bookmarkStart w:id="167" w:name="_Toc11673"/>
      <w:r>
        <w:rPr>
          <w:rFonts w:hint="eastAsia" w:ascii="仿宋_GB2312" w:hAnsi="Arial" w:eastAsia="仿宋_GB2312" w:cs="Times New Roman"/>
          <w:b/>
          <w:sz w:val="32"/>
          <w:szCs w:val="32"/>
        </w:rPr>
        <w:t>第一章 评标委员会</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ind w:firstLine="474" w:firstLineChars="200"/>
        <w:rPr>
          <w:rFonts w:ascii="宋体" w:hAnsi="宋体" w:cs="宋体"/>
          <w:b/>
          <w:bCs/>
          <w:spacing w:val="-2"/>
          <w:sz w:val="24"/>
          <w:szCs w:val="24"/>
        </w:rPr>
      </w:pPr>
      <w:r>
        <w:rPr>
          <w:rFonts w:hint="eastAsia" w:ascii="宋体" w:hAnsi="宋体" w:cs="宋体"/>
          <w:b/>
          <w:bCs/>
          <w:spacing w:val="-2"/>
          <w:sz w:val="24"/>
          <w:szCs w:val="24"/>
        </w:rPr>
        <w:t>1、评标委员会</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1.1  </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将根据《政府采购法》等法律法规的规定，通过新疆政采云平台专家库抽取评审专家依法组建本次招标的评标委员会，负责本次招标的评标活动。评标委员会负责向采购人、</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推荐中标候选人。</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1.2  评标委员会人选于开标前确定，成员名单在中标结果确定前保密。</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3</w:t>
      </w:r>
      <w:r>
        <w:rPr>
          <w:rFonts w:hint="eastAsia" w:ascii="仿宋" w:hAnsi="仿宋" w:eastAsia="仿宋" w:cs="Times New Roman"/>
          <w:spacing w:val="-2"/>
          <w:sz w:val="24"/>
          <w:szCs w:val="24"/>
        </w:rPr>
        <w:t xml:space="preserve">  评标委员会有关工程技术、经济等方面的专家和采购人熟悉相关业务的代表人员组成，成员为5人的单数，其中技术、经济等方面的成员人数不少于成员总数的</w:t>
      </w:r>
      <w:r>
        <w:rPr>
          <w:rFonts w:hint="eastAsia" w:ascii="仿宋" w:hAnsi="仿宋" w:eastAsia="仿宋" w:cs="Times New Roman"/>
          <w:spacing w:val="-2"/>
          <w:sz w:val="24"/>
          <w:szCs w:val="24"/>
          <w:lang w:val="en-US" w:eastAsia="zh-CN"/>
        </w:rPr>
        <w:t>三</w:t>
      </w:r>
      <w:r>
        <w:rPr>
          <w:rFonts w:hint="eastAsia" w:ascii="仿宋" w:hAnsi="仿宋" w:eastAsia="仿宋" w:cs="Times New Roman"/>
          <w:spacing w:val="-2"/>
          <w:sz w:val="24"/>
          <w:szCs w:val="24"/>
        </w:rPr>
        <w:t>分之二。</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4</w:t>
      </w:r>
      <w:r>
        <w:rPr>
          <w:rFonts w:hint="eastAsia" w:ascii="仿宋" w:hAnsi="仿宋" w:eastAsia="仿宋" w:cs="Times New Roman"/>
          <w:spacing w:val="-2"/>
          <w:sz w:val="24"/>
          <w:szCs w:val="24"/>
        </w:rPr>
        <w:t xml:space="preserve">  对于技术复杂、专业性要求较高或者国家有特殊要求的招标项目，采取随机抽取的方式抽取的专家不能满足评标工作需要时，将采取直接确定的方式选定评标委员会的人选。</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1.5　有下列情形之一的，不得担任评标委员会成员：</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（1）与投标人或者投标主要负责人有近亲关系的；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（2）与项目主管部门或者行政监督部门的人员有近亲关系的；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（3）与投标人有经济利益关系，可能影响对投标公正评审的；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（4）曾因在招标、评标以及其他与招标投标有关活动中从事违法行为而受过行政处罚或刑事处罚的。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招标委员会成员有前款规定情形之一的，应当主动提出回避。</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1.6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1.7  评标委员会成员和与本次评标活动有关的工作人员（是指评标委员会成员以外的、因参与评标监督工作或者事务性工作而知悉有关评标情况的所有人员），不得透露对投标文件的评审和比较、中标候选人的推荐情况以及与评标有关的其他情况。</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1.8 </w:t>
      </w:r>
      <w:r>
        <w:rPr>
          <w:rFonts w:hint="eastAsia" w:ascii="仿宋" w:hAnsi="仿宋" w:eastAsia="仿宋" w:cs="Times New Roman"/>
          <w:sz w:val="24"/>
          <w:szCs w:val="20"/>
        </w:rPr>
        <w:t>如果出现有效投标供应商不足三家时，由于项目紧急，经财政部门（政府采购监督管理部门）批准，改为非招标采购方式进行采购时，依法组建本次招标的评标委员会则作为改变采购方式后谈判小组，负责改变采购方式后的谈判活动。</w:t>
      </w:r>
    </w:p>
    <w:p>
      <w:pPr>
        <w:ind w:firstLine="480" w:firstLineChars="200"/>
        <w:rPr>
          <w:rFonts w:ascii="仿宋" w:hAnsi="仿宋" w:eastAsia="仿宋" w:cs="仿宋"/>
          <w:color w:val="000000"/>
          <w:kern w:val="0"/>
          <w:sz w:val="24"/>
          <w:szCs w:val="24"/>
        </w:rPr>
      </w:pPr>
    </w:p>
    <w:p>
      <w:pPr>
        <w:jc w:val="center"/>
        <w:rPr>
          <w:rFonts w:ascii="仿宋_GB2312" w:hAnsi="宋体" w:eastAsia="仿宋_GB2312" w:cs="Times New Roman"/>
          <w:b/>
          <w:sz w:val="24"/>
          <w:szCs w:val="20"/>
        </w:rPr>
      </w:pPr>
      <w:bookmarkStart w:id="168" w:name="_Toc31133"/>
      <w:bookmarkStart w:id="169" w:name="_Toc30581"/>
      <w:bookmarkStart w:id="170" w:name="_Toc5221"/>
      <w:bookmarkStart w:id="171" w:name="_Toc29911"/>
      <w:bookmarkStart w:id="172" w:name="_Toc14029"/>
      <w:bookmarkStart w:id="173" w:name="_Toc30123"/>
      <w:bookmarkStart w:id="174" w:name="_Toc11010"/>
      <w:bookmarkStart w:id="175" w:name="_Toc3158"/>
      <w:bookmarkStart w:id="176" w:name="_Toc18663"/>
      <w:bookmarkStart w:id="177" w:name="_Toc26278"/>
      <w:bookmarkStart w:id="178" w:name="_Toc27601"/>
      <w:bookmarkStart w:id="179" w:name="_Toc5310"/>
      <w:bookmarkStart w:id="180" w:name="_Toc5971"/>
      <w:bookmarkStart w:id="181" w:name="_Toc20987"/>
      <w:bookmarkStart w:id="182" w:name="_Toc17276"/>
      <w:r>
        <w:rPr>
          <w:rFonts w:hint="eastAsia" w:ascii="仿宋_GB2312" w:hAnsi="宋体" w:eastAsia="仿宋_GB2312" w:cs="Times New Roman"/>
          <w:b/>
          <w:sz w:val="32"/>
          <w:szCs w:val="32"/>
        </w:rPr>
        <w:t>第二章</w:t>
      </w:r>
      <w:bookmarkEnd w:id="168"/>
      <w:bookmarkEnd w:id="169"/>
      <w:bookmarkEnd w:id="170"/>
      <w:bookmarkEnd w:id="171"/>
      <w:bookmarkEnd w:id="172"/>
      <w:bookmarkEnd w:id="173"/>
      <w:bookmarkEnd w:id="174"/>
      <w:bookmarkEnd w:id="175"/>
      <w:bookmarkEnd w:id="176"/>
      <w:bookmarkEnd w:id="177"/>
      <w:bookmarkEnd w:id="178"/>
      <w:bookmarkEnd w:id="179"/>
      <w:bookmarkStart w:id="183" w:name="_Toc31036"/>
      <w:bookmarkStart w:id="184" w:name="_Toc23163"/>
      <w:bookmarkStart w:id="185" w:name="_Toc11172"/>
      <w:bookmarkStart w:id="186" w:name="_Toc9579"/>
      <w:bookmarkStart w:id="187" w:name="_Toc20347"/>
      <w:bookmarkStart w:id="188" w:name="_Toc5921"/>
      <w:bookmarkStart w:id="189" w:name="_Toc4041"/>
      <w:bookmarkStart w:id="190" w:name="_Toc18928"/>
      <w:bookmarkStart w:id="191" w:name="_Toc29733"/>
      <w:bookmarkStart w:id="192" w:name="_Toc5996"/>
      <w:bookmarkStart w:id="193" w:name="_Toc30083"/>
      <w:bookmarkStart w:id="194" w:name="_Toc7041"/>
      <w:r>
        <w:rPr>
          <w:rFonts w:hint="eastAsia" w:ascii="仿宋_GB2312" w:hAnsi="宋体" w:eastAsia="仿宋_GB2312" w:cs="Times New Roman"/>
          <w:b/>
          <w:sz w:val="32"/>
          <w:szCs w:val="32"/>
        </w:rPr>
        <w:t xml:space="preserve"> 开标 评标和中标</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ind w:firstLine="482" w:firstLineChars="200"/>
        <w:rPr>
          <w:rFonts w:ascii="仿宋" w:hAnsi="仿宋" w:eastAsia="仿宋" w:cs="仿宋"/>
          <w:b/>
          <w:sz w:val="24"/>
          <w:szCs w:val="24"/>
        </w:rPr>
      </w:pPr>
      <w:r>
        <w:rPr>
          <w:rFonts w:hint="eastAsia" w:ascii="仿宋" w:hAnsi="仿宋" w:eastAsia="仿宋" w:cs="仿宋"/>
          <w:b/>
          <w:sz w:val="24"/>
          <w:szCs w:val="24"/>
        </w:rPr>
        <w:t>1、开标</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1.1　组织开标</w:t>
      </w:r>
    </w:p>
    <w:p>
      <w:pPr>
        <w:ind w:firstLine="480" w:firstLineChars="200"/>
        <w:rPr>
          <w:rFonts w:ascii="仿宋" w:hAnsi="仿宋" w:eastAsia="仿宋" w:cs="仿宋"/>
          <w:sz w:val="24"/>
          <w:szCs w:val="24"/>
        </w:rPr>
      </w:pPr>
      <w:r>
        <w:rPr>
          <w:rFonts w:hint="eastAsia" w:ascii="仿宋" w:hAnsi="仿宋" w:eastAsia="仿宋" w:cs="仿宋"/>
          <w:sz w:val="24"/>
          <w:szCs w:val="24"/>
        </w:rPr>
        <w:t>本项目开标在招标文件规定的开标时间和地点进行，由</w:t>
      </w:r>
      <w:r>
        <w:rPr>
          <w:rFonts w:hint="eastAsia" w:ascii="仿宋" w:hAnsi="仿宋" w:eastAsia="仿宋" w:cs="仿宋"/>
          <w:bCs/>
          <w:sz w:val="24"/>
          <w:szCs w:val="24"/>
        </w:rPr>
        <w:t>采购代理机构</w:t>
      </w:r>
      <w:r>
        <w:rPr>
          <w:rFonts w:hint="eastAsia" w:ascii="仿宋" w:hAnsi="仿宋" w:eastAsia="仿宋" w:cs="仿宋"/>
          <w:sz w:val="24"/>
          <w:szCs w:val="24"/>
        </w:rPr>
        <w:t>项目负责人主持，投标人的授权代表参加开标会，评标委员会成员不参加开标活动。</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 xml:space="preserve"> 唱标</w:t>
      </w:r>
    </w:p>
    <w:p>
      <w:pPr>
        <w:ind w:firstLine="480" w:firstLineChars="200"/>
        <w:rPr>
          <w:rFonts w:ascii="仿宋" w:hAnsi="仿宋" w:eastAsia="仿宋" w:cs="仿宋"/>
          <w:sz w:val="24"/>
          <w:szCs w:val="24"/>
        </w:rPr>
      </w:pPr>
      <w:r>
        <w:rPr>
          <w:rFonts w:hint="eastAsia" w:ascii="仿宋" w:hAnsi="仿宋" w:eastAsia="仿宋" w:cs="仿宋"/>
          <w:sz w:val="24"/>
          <w:szCs w:val="24"/>
        </w:rPr>
        <w:t>（1）开标时将检查所有投标文件的密封情况，并在确认无误后开封唱标，该报价以《开标一览表》为准，任何有选择性的报价将不予接受。</w:t>
      </w:r>
    </w:p>
    <w:p>
      <w:pPr>
        <w:ind w:firstLine="480" w:firstLineChars="200"/>
        <w:rPr>
          <w:rFonts w:ascii="仿宋" w:hAnsi="仿宋" w:eastAsia="仿宋" w:cs="仿宋"/>
          <w:sz w:val="24"/>
          <w:szCs w:val="24"/>
        </w:rPr>
      </w:pPr>
      <w:r>
        <w:rPr>
          <w:rFonts w:hint="eastAsia" w:ascii="仿宋" w:hAnsi="仿宋" w:eastAsia="仿宋" w:cs="仿宋"/>
          <w:sz w:val="24"/>
          <w:szCs w:val="24"/>
        </w:rPr>
        <w:t>（2）开标和启封的顺序，按照递交投标文件的正顺序依次进行。</w:t>
      </w:r>
    </w:p>
    <w:p>
      <w:pPr>
        <w:ind w:firstLine="480" w:firstLineChars="200"/>
        <w:rPr>
          <w:rFonts w:ascii="仿宋" w:hAnsi="仿宋" w:eastAsia="仿宋" w:cs="仿宋"/>
          <w:sz w:val="24"/>
          <w:szCs w:val="24"/>
        </w:rPr>
      </w:pPr>
      <w:r>
        <w:rPr>
          <w:rFonts w:hint="eastAsia" w:ascii="仿宋" w:hAnsi="仿宋" w:eastAsia="仿宋" w:cs="仿宋"/>
          <w:sz w:val="24"/>
          <w:szCs w:val="24"/>
        </w:rPr>
        <w:t>（3）开标时间截止后，提交投标文件的供应商不足三家时，按照政府采购的相关法规处理。</w:t>
      </w:r>
    </w:p>
    <w:p>
      <w:pPr>
        <w:ind w:firstLine="482" w:firstLineChars="200"/>
        <w:rPr>
          <w:rFonts w:ascii="仿宋" w:hAnsi="仿宋" w:eastAsia="仿宋" w:cs="仿宋"/>
          <w:b/>
          <w:sz w:val="24"/>
          <w:szCs w:val="24"/>
        </w:rPr>
      </w:pPr>
      <w:r>
        <w:rPr>
          <w:rFonts w:hint="eastAsia" w:ascii="仿宋" w:hAnsi="仿宋" w:eastAsia="仿宋" w:cs="仿宋"/>
          <w:b/>
          <w:sz w:val="24"/>
          <w:szCs w:val="24"/>
        </w:rPr>
        <w:t>2、评标</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2.1 评标依据</w:t>
      </w:r>
    </w:p>
    <w:p>
      <w:pPr>
        <w:ind w:firstLine="480" w:firstLineChars="200"/>
        <w:rPr>
          <w:rFonts w:ascii="仿宋" w:hAnsi="仿宋" w:eastAsia="仿宋" w:cs="仿宋"/>
          <w:sz w:val="24"/>
          <w:szCs w:val="24"/>
        </w:rPr>
      </w:pPr>
      <w:r>
        <w:rPr>
          <w:rFonts w:hint="eastAsia" w:ascii="仿宋" w:hAnsi="仿宋" w:eastAsia="仿宋" w:cs="仿宋"/>
          <w:sz w:val="24"/>
          <w:szCs w:val="24"/>
        </w:rPr>
        <w:t>（1）评标的依据只能是</w:t>
      </w:r>
      <w:r>
        <w:rPr>
          <w:rFonts w:hint="eastAsia" w:ascii="仿宋" w:hAnsi="仿宋" w:eastAsia="仿宋" w:cs="仿宋"/>
          <w:bCs/>
          <w:sz w:val="24"/>
          <w:szCs w:val="24"/>
        </w:rPr>
        <w:t>采购代理机构</w:t>
      </w:r>
      <w:r>
        <w:rPr>
          <w:rFonts w:hint="eastAsia" w:ascii="仿宋" w:hAnsi="仿宋" w:eastAsia="仿宋" w:cs="仿宋"/>
          <w:sz w:val="24"/>
          <w:szCs w:val="24"/>
        </w:rPr>
        <w:t xml:space="preserve">的招标文件、投标人递交的投标文件，以及相关有效的补充、修改文件。 </w:t>
      </w:r>
    </w:p>
    <w:p>
      <w:pPr>
        <w:ind w:firstLine="480" w:firstLineChars="200"/>
        <w:rPr>
          <w:rFonts w:ascii="仿宋" w:hAnsi="仿宋" w:eastAsia="仿宋" w:cs="仿宋"/>
          <w:spacing w:val="-2"/>
          <w:sz w:val="24"/>
          <w:szCs w:val="24"/>
        </w:rPr>
      </w:pPr>
      <w:r>
        <w:rPr>
          <w:rFonts w:hint="eastAsia" w:ascii="仿宋" w:hAnsi="仿宋" w:eastAsia="仿宋" w:cs="仿宋"/>
          <w:sz w:val="24"/>
          <w:szCs w:val="24"/>
        </w:rPr>
        <w:t>（2）评标</w:t>
      </w:r>
      <w:r>
        <w:rPr>
          <w:rFonts w:hint="eastAsia" w:ascii="仿宋" w:hAnsi="仿宋" w:eastAsia="仿宋" w:cs="仿宋"/>
          <w:spacing w:val="-2"/>
          <w:sz w:val="24"/>
          <w:szCs w:val="24"/>
        </w:rPr>
        <w:t>应当根据招标文件规定的评标标准和方法，对投标文件进行系统地评审和比较,招标文件中没有规定的标准和方法不得作为评标的依据。</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（3）本项目将对小型和微型企业(含监狱企业、残疾人福利性单位)产品的价格给予6%的扣除，用扣除后的价格参与评审打分。</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若投标商和小微企业产品/服务制造商均符合小微企业条件，并且提供了《中小企业声明函》，则其评标价格=投标商报价中属于小型和微型企业产品的价格部分*(100%-6%) +投标商报价中不属于小型和微型企业产品的价格部分;否则，其评标价=投标报价。</w:t>
      </w:r>
    </w:p>
    <w:p>
      <w:pPr>
        <w:ind w:firstLine="474" w:firstLineChars="200"/>
        <w:rPr>
          <w:rFonts w:hint="eastAsia" w:ascii="仿宋" w:hAnsi="仿宋" w:eastAsia="仿宋" w:cs="仿宋"/>
          <w:b/>
          <w:spacing w:val="-2"/>
          <w:sz w:val="24"/>
          <w:szCs w:val="24"/>
        </w:rPr>
      </w:pPr>
      <w:r>
        <w:rPr>
          <w:rFonts w:hint="eastAsia" w:ascii="仿宋" w:hAnsi="仿宋" w:eastAsia="仿宋" w:cs="仿宋"/>
          <w:b/>
          <w:spacing w:val="-2"/>
          <w:sz w:val="24"/>
          <w:szCs w:val="24"/>
        </w:rPr>
        <w:t>2.2　评标方法</w:t>
      </w:r>
    </w:p>
    <w:p>
      <w:pPr>
        <w:ind w:firstLine="480" w:firstLineChars="200"/>
        <w:rPr>
          <w:rFonts w:ascii="仿宋" w:hAnsi="仿宋" w:eastAsia="仿宋" w:cs="仿宋"/>
          <w:sz w:val="24"/>
          <w:szCs w:val="24"/>
        </w:rPr>
      </w:pPr>
      <w:r>
        <w:rPr>
          <w:rFonts w:hint="eastAsia" w:ascii="仿宋" w:hAnsi="仿宋" w:eastAsia="仿宋" w:cs="仿宋"/>
          <w:sz w:val="24"/>
          <w:szCs w:val="24"/>
        </w:rPr>
        <w:t>（1）本次评标采用综合评分法。即投标文件能够最大限度的满足招标文件规定的各项综合评价标准且经评审得分最高的投标人为中标候选人的评标方法，不以最低价为中标的主要依据。</w:t>
      </w:r>
    </w:p>
    <w:p>
      <w:pPr>
        <w:ind w:firstLine="480" w:firstLineChars="200"/>
        <w:rPr>
          <w:rFonts w:ascii="仿宋" w:hAnsi="仿宋" w:eastAsia="仿宋" w:cs="仿宋"/>
          <w:sz w:val="24"/>
          <w:szCs w:val="24"/>
        </w:rPr>
      </w:pPr>
      <w:r>
        <w:rPr>
          <w:rFonts w:hint="eastAsia" w:ascii="仿宋" w:hAnsi="仿宋" w:eastAsia="仿宋" w:cs="仿宋"/>
          <w:sz w:val="24"/>
          <w:szCs w:val="24"/>
        </w:rPr>
        <w:t>（2）多家投标人提供的核心产品品牌均相同时，通过资格审查、符合性审查的投标人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其他同品牌投标人不作为中标候选人。</w:t>
      </w:r>
    </w:p>
    <w:p>
      <w:pPr>
        <w:pStyle w:val="35"/>
        <w:ind w:firstLine="480"/>
        <w:rPr>
          <w:rFonts w:hint="eastAsia" w:ascii="仿宋" w:hAnsi="仿宋" w:eastAsia="仿宋" w:cs="仿宋"/>
          <w:kern w:val="2"/>
          <w:sz w:val="24"/>
          <w:szCs w:val="24"/>
        </w:rPr>
      </w:pPr>
      <w:r>
        <w:rPr>
          <w:rFonts w:hint="eastAsia" w:ascii="仿宋" w:hAnsi="仿宋" w:eastAsia="仿宋" w:cs="仿宋"/>
          <w:sz w:val="24"/>
          <w:szCs w:val="24"/>
        </w:rPr>
        <w:t>（</w:t>
      </w:r>
      <w:r>
        <w:rPr>
          <w:rFonts w:hint="eastAsia" w:ascii="仿宋" w:hAnsi="仿宋" w:eastAsia="仿宋" w:cs="仿宋"/>
          <w:kern w:val="2"/>
          <w:sz w:val="24"/>
          <w:szCs w:val="24"/>
        </w:rPr>
        <w:t>3）采用综合评标法，则：综合得分相同，按报价由低向高依次排序。</w:t>
      </w:r>
    </w:p>
    <w:p>
      <w:pPr>
        <w:rPr>
          <w:rFonts w:hint="eastAsia" w:ascii="仿宋" w:hAnsi="仿宋" w:eastAsia="仿宋" w:cs="仿宋"/>
          <w:kern w:val="2"/>
          <w:sz w:val="24"/>
          <w:szCs w:val="24"/>
        </w:rPr>
      </w:pPr>
    </w:p>
    <w:p>
      <w:pPr>
        <w:pStyle w:val="25"/>
        <w:rPr>
          <w:rFonts w:hint="eastAsia"/>
          <w:lang w:val="en-US" w:eastAsia="zh-CN"/>
        </w:rPr>
      </w:pPr>
    </w:p>
    <w:p>
      <w:pPr>
        <w:rPr>
          <w:rFonts w:hint="default"/>
          <w:lang w:val="en-US" w:eastAsia="zh-CN"/>
        </w:rPr>
      </w:pPr>
    </w:p>
    <w:p>
      <w:pPr>
        <w:pStyle w:val="35"/>
        <w:ind w:firstLine="480"/>
        <w:rPr>
          <w:rFonts w:ascii="仿宋" w:hAnsi="仿宋" w:eastAsia="仿宋" w:cs="仿宋"/>
          <w:sz w:val="24"/>
          <w:szCs w:val="24"/>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sectPr>
          <w:headerReference r:id="rId5" w:type="default"/>
          <w:headerReference r:id="rId6" w:type="even"/>
          <w:footerReference r:id="rId7" w:type="even"/>
          <w:pgSz w:w="11906" w:h="16838"/>
          <w:pgMar w:top="720" w:right="720" w:bottom="720" w:left="720" w:header="851" w:footer="992" w:gutter="0"/>
          <w:cols w:space="720" w:num="1"/>
          <w:docGrid w:linePitch="312" w:charSpace="0"/>
        </w:sectPr>
      </w:pPr>
    </w:p>
    <w:p>
      <w:pPr>
        <w:pageBreakBefore w:val="0"/>
        <w:wordWrap/>
        <w:topLinePunct w:val="0"/>
        <w:bidi w:val="0"/>
        <w:spacing w:before="96" w:line="360" w:lineRule="auto"/>
        <w:ind w:firstLine="651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现场</w:t>
      </w:r>
      <w:r>
        <w:rPr>
          <w:rFonts w:hint="eastAsia" w:ascii="仿宋" w:hAnsi="仿宋" w:eastAsia="仿宋" w:cs="仿宋"/>
          <w:b w:val="0"/>
          <w:bCs w:val="0"/>
          <w:color w:val="auto"/>
          <w:spacing w:val="0"/>
          <w:w w:val="100"/>
          <w:position w:val="0"/>
          <w:sz w:val="24"/>
          <w:szCs w:val="24"/>
          <w:highlight w:val="none"/>
          <w14:textOutline w14:w="4358" w14:cap="sq" w14:cmpd="sng">
            <w14:solidFill>
              <w14:srgbClr w14:val="000000"/>
            </w14:solidFill>
            <w14:prstDash w14:val="solid"/>
            <w14:bevel/>
          </w14:textOutline>
        </w:rPr>
        <w:t>资格审查表</w:t>
      </w:r>
    </w:p>
    <w:tbl>
      <w:tblPr>
        <w:tblStyle w:val="86"/>
        <w:tblW w:w="14002"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161"/>
        <w:gridCol w:w="1385"/>
        <w:gridCol w:w="1040"/>
        <w:gridCol w:w="942"/>
        <w:gridCol w:w="1900"/>
        <w:gridCol w:w="1170"/>
        <w:gridCol w:w="2365"/>
        <w:gridCol w:w="1014"/>
        <w:gridCol w:w="1548"/>
        <w:gridCol w:w="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55" w:hRule="atLeast"/>
        </w:trPr>
        <w:tc>
          <w:tcPr>
            <w:tcW w:w="76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before="251"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投标</w:t>
            </w:r>
            <w:r>
              <w:rPr>
                <w:rFonts w:hint="eastAsia" w:ascii="仿宋" w:hAnsi="仿宋" w:eastAsia="仿宋" w:cs="仿宋"/>
                <w:b w:val="0"/>
                <w:bCs w:val="0"/>
                <w:color w:val="auto"/>
                <w:spacing w:val="0"/>
                <w:w w:val="100"/>
                <w:position w:val="0"/>
                <w:sz w:val="22"/>
                <w:szCs w:val="22"/>
                <w:highlight w:val="none"/>
                <w:lang w:val="en-US" w:eastAsia="zh-CN"/>
              </w:rPr>
              <w:t>人</w:t>
            </w:r>
            <w:r>
              <w:rPr>
                <w:rFonts w:hint="eastAsia" w:ascii="仿宋" w:hAnsi="仿宋" w:eastAsia="仿宋" w:cs="仿宋"/>
                <w:b w:val="0"/>
                <w:bCs w:val="0"/>
                <w:color w:val="auto"/>
                <w:spacing w:val="0"/>
                <w:w w:val="100"/>
                <w:position w:val="0"/>
                <w:sz w:val="22"/>
                <w:szCs w:val="22"/>
                <w:highlight w:val="none"/>
              </w:rPr>
              <w:t>名称</w:t>
            </w:r>
          </w:p>
        </w:tc>
        <w:tc>
          <w:tcPr>
            <w:tcW w:w="12525" w:type="dxa"/>
            <w:gridSpan w:val="9"/>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审查项目</w:t>
            </w:r>
          </w:p>
        </w:tc>
        <w:tc>
          <w:tcPr>
            <w:tcW w:w="7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98" w:hRule="atLeast"/>
        </w:trPr>
        <w:tc>
          <w:tcPr>
            <w:tcW w:w="76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具备</w:t>
            </w:r>
            <w:r>
              <w:rPr>
                <w:rFonts w:hint="eastAsia" w:ascii="仿宋" w:hAnsi="仿宋" w:eastAsia="仿宋" w:cs="仿宋"/>
                <w:b w:val="0"/>
                <w:bCs w:val="0"/>
                <w:color w:val="auto"/>
                <w:spacing w:val="0"/>
                <w:w w:val="100"/>
                <w:position w:val="0"/>
                <w:sz w:val="20"/>
                <w:szCs w:val="20"/>
                <w:highlight w:val="none"/>
                <w:lang w:eastAsia="zh-CN"/>
              </w:rPr>
              <w:t>有效的营业执照原件或复印件加盖单位公章。</w:t>
            </w:r>
          </w:p>
        </w:tc>
        <w:tc>
          <w:tcPr>
            <w:tcW w:w="13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法定代表人本人参与投标的，需提供法定代表人身份证明原件及其身份证复印件和原件（复印件须加盖本单位公章）；</w:t>
            </w:r>
            <w:r>
              <w:rPr>
                <w:rFonts w:hint="eastAsia" w:ascii="仿宋" w:hAnsi="仿宋" w:eastAsia="仿宋" w:cs="仿宋"/>
                <w:b w:val="0"/>
                <w:bCs w:val="0"/>
                <w:color w:val="auto"/>
                <w:spacing w:val="0"/>
                <w:w w:val="100"/>
                <w:position w:val="0"/>
                <w:sz w:val="20"/>
                <w:szCs w:val="20"/>
                <w:highlight w:val="none"/>
                <w:lang w:val="en-US" w:eastAsia="zh-CN"/>
              </w:rPr>
              <w:t>授权</w:t>
            </w:r>
            <w:r>
              <w:rPr>
                <w:rFonts w:hint="eastAsia" w:ascii="仿宋" w:hAnsi="仿宋" w:eastAsia="仿宋" w:cs="仿宋"/>
                <w:b w:val="0"/>
                <w:bCs w:val="0"/>
                <w:color w:val="auto"/>
                <w:spacing w:val="0"/>
                <w:w w:val="100"/>
                <w:position w:val="0"/>
                <w:sz w:val="20"/>
                <w:szCs w:val="20"/>
                <w:highlight w:val="none"/>
              </w:rPr>
              <w:t>人参与投标的，需提供法定代表人授权委托书原件及其委托代理人的身份证复印件和原件（复印件须加盖本单位公章）</w:t>
            </w:r>
          </w:p>
        </w:tc>
        <w:tc>
          <w:tcPr>
            <w:tcW w:w="10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default" w:ascii="仿宋" w:hAnsi="仿宋" w:eastAsia="仿宋" w:cs="仿宋"/>
                <w:b w:val="0"/>
                <w:bCs w:val="0"/>
                <w:color w:val="auto"/>
                <w:spacing w:val="0"/>
                <w:w w:val="100"/>
                <w:position w:val="0"/>
                <w:sz w:val="20"/>
                <w:szCs w:val="20"/>
                <w:highlight w:val="none"/>
                <w:lang w:val="en-US" w:eastAsia="zh-CN"/>
              </w:rPr>
            </w:pPr>
            <w:r>
              <w:rPr>
                <w:rFonts w:hint="eastAsia" w:ascii="仿宋" w:hAnsi="仿宋" w:eastAsia="仿宋" w:cs="仿宋"/>
                <w:b w:val="0"/>
                <w:bCs w:val="0"/>
                <w:color w:val="auto"/>
                <w:spacing w:val="0"/>
                <w:w w:val="100"/>
                <w:position w:val="0"/>
                <w:sz w:val="20"/>
                <w:szCs w:val="20"/>
                <w:highlight w:val="none"/>
              </w:rPr>
              <w:t>按照</w:t>
            </w:r>
            <w:r>
              <w:rPr>
                <w:rFonts w:hint="eastAsia" w:ascii="仿宋" w:hAnsi="仿宋" w:eastAsia="仿宋" w:cs="仿宋"/>
                <w:b w:val="0"/>
                <w:bCs w:val="0"/>
                <w:color w:val="auto"/>
                <w:spacing w:val="0"/>
                <w:w w:val="100"/>
                <w:position w:val="0"/>
                <w:sz w:val="20"/>
                <w:szCs w:val="20"/>
                <w:highlight w:val="none"/>
                <w:lang w:val="en-US" w:eastAsia="zh-CN"/>
              </w:rPr>
              <w:t>招标</w:t>
            </w:r>
            <w:r>
              <w:rPr>
                <w:rFonts w:hint="eastAsia" w:ascii="仿宋" w:hAnsi="仿宋" w:eastAsia="仿宋" w:cs="仿宋"/>
                <w:b w:val="0"/>
                <w:bCs w:val="0"/>
                <w:color w:val="auto"/>
                <w:spacing w:val="0"/>
                <w:w w:val="100"/>
                <w:position w:val="0"/>
                <w:sz w:val="20"/>
                <w:szCs w:val="20"/>
                <w:highlight w:val="none"/>
              </w:rPr>
              <w:t>文件要求缴纳</w:t>
            </w:r>
            <w:r>
              <w:rPr>
                <w:rFonts w:hint="eastAsia" w:ascii="仿宋" w:hAnsi="仿宋" w:eastAsia="仿宋" w:cs="仿宋"/>
                <w:b w:val="0"/>
                <w:bCs w:val="0"/>
                <w:color w:val="auto"/>
                <w:spacing w:val="0"/>
                <w:w w:val="100"/>
                <w:position w:val="0"/>
                <w:sz w:val="20"/>
                <w:szCs w:val="20"/>
                <w:highlight w:val="none"/>
                <w:lang w:val="en-US" w:eastAsia="zh-CN"/>
              </w:rPr>
              <w:t>投标</w:t>
            </w:r>
            <w:r>
              <w:rPr>
                <w:rFonts w:hint="eastAsia" w:ascii="仿宋" w:hAnsi="仿宋" w:eastAsia="仿宋" w:cs="仿宋"/>
                <w:b w:val="0"/>
                <w:bCs w:val="0"/>
                <w:color w:val="auto"/>
                <w:spacing w:val="0"/>
                <w:w w:val="100"/>
                <w:position w:val="0"/>
                <w:sz w:val="20"/>
                <w:szCs w:val="20"/>
                <w:highlight w:val="none"/>
              </w:rPr>
              <w:t>保证金</w:t>
            </w:r>
            <w:r>
              <w:rPr>
                <w:rFonts w:hint="eastAsia" w:ascii="仿宋" w:hAnsi="仿宋" w:eastAsia="仿宋" w:cs="仿宋"/>
                <w:b w:val="0"/>
                <w:bCs w:val="0"/>
                <w:color w:val="auto"/>
                <w:spacing w:val="0"/>
                <w:w w:val="100"/>
                <w:position w:val="0"/>
                <w:sz w:val="20"/>
                <w:szCs w:val="20"/>
                <w:highlight w:val="none"/>
                <w:lang w:eastAsia="zh-CN"/>
              </w:rPr>
              <w:t>，</w:t>
            </w:r>
            <w:r>
              <w:rPr>
                <w:rFonts w:hint="eastAsia" w:ascii="仿宋" w:hAnsi="仿宋" w:eastAsia="仿宋" w:cs="仿宋"/>
                <w:b w:val="0"/>
                <w:bCs w:val="0"/>
                <w:color w:val="auto"/>
                <w:spacing w:val="0"/>
                <w:w w:val="100"/>
                <w:position w:val="0"/>
                <w:sz w:val="20"/>
                <w:szCs w:val="20"/>
                <w:highlight w:val="none"/>
                <w:lang w:val="en-US" w:eastAsia="zh-CN"/>
              </w:rPr>
              <w:t>提供代理公司开具的收据原件；</w:t>
            </w:r>
          </w:p>
        </w:tc>
        <w:tc>
          <w:tcPr>
            <w:tcW w:w="94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提供参加政府采购活动前3年内在经营活动中没有重大违法记录的书面声明</w:t>
            </w:r>
          </w:p>
        </w:tc>
        <w:tc>
          <w:tcPr>
            <w:tcW w:w="19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p>
        </w:tc>
        <w:tc>
          <w:tcPr>
            <w:tcW w:w="11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lang w:eastAsia="zh-CN"/>
              </w:rPr>
            </w:pPr>
            <w:r>
              <w:rPr>
                <w:rFonts w:hint="eastAsia" w:ascii="仿宋" w:hAnsi="仿宋" w:eastAsia="仿宋" w:cs="仿宋"/>
                <w:b w:val="0"/>
                <w:bCs w:val="0"/>
                <w:color w:val="auto"/>
                <w:spacing w:val="0"/>
                <w:w w:val="100"/>
                <w:position w:val="0"/>
                <w:sz w:val="20"/>
                <w:szCs w:val="20"/>
                <w:highlight w:val="none"/>
              </w:rPr>
              <w:t>提供会计师事务所出具的</w:t>
            </w:r>
            <w:r>
              <w:rPr>
                <w:rFonts w:hint="eastAsia" w:ascii="仿宋" w:hAnsi="仿宋" w:eastAsia="仿宋" w:cs="仿宋"/>
                <w:b w:val="0"/>
                <w:bCs w:val="0"/>
                <w:color w:val="auto"/>
                <w:spacing w:val="0"/>
                <w:w w:val="100"/>
                <w:position w:val="0"/>
                <w:sz w:val="20"/>
                <w:szCs w:val="20"/>
                <w:highlight w:val="none"/>
                <w:lang w:val="en-US" w:eastAsia="zh-CN"/>
              </w:rPr>
              <w:t>2020年或2021</w:t>
            </w:r>
            <w:r>
              <w:rPr>
                <w:rFonts w:hint="eastAsia" w:ascii="仿宋" w:hAnsi="仿宋" w:eastAsia="仿宋" w:cs="仿宋"/>
                <w:b w:val="0"/>
                <w:bCs w:val="0"/>
                <w:color w:val="auto"/>
                <w:spacing w:val="0"/>
                <w:w w:val="100"/>
                <w:position w:val="0"/>
                <w:sz w:val="20"/>
                <w:szCs w:val="20"/>
                <w:highlight w:val="none"/>
              </w:rPr>
              <w:t>年度财务审计报告或银行出具的说明投标 人商业信誉或结算情况等事项的证明文件</w:t>
            </w:r>
            <w:r>
              <w:rPr>
                <w:rFonts w:hint="eastAsia" w:ascii="仿宋" w:hAnsi="仿宋" w:eastAsia="仿宋" w:cs="仿宋"/>
                <w:b w:val="0"/>
                <w:bCs w:val="0"/>
                <w:color w:val="auto"/>
                <w:spacing w:val="0"/>
                <w:w w:val="100"/>
                <w:position w:val="0"/>
                <w:sz w:val="20"/>
                <w:szCs w:val="20"/>
                <w:highlight w:val="none"/>
                <w:lang w:eastAsia="zh-CN"/>
              </w:rPr>
              <w:t>；</w:t>
            </w:r>
          </w:p>
        </w:tc>
        <w:tc>
          <w:tcPr>
            <w:tcW w:w="236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提供2021年</w:t>
            </w:r>
            <w:r>
              <w:rPr>
                <w:rFonts w:hint="eastAsia" w:ascii="仿宋" w:hAnsi="仿宋" w:eastAsia="仿宋" w:cs="仿宋"/>
                <w:b w:val="0"/>
                <w:bCs w:val="0"/>
                <w:color w:val="auto"/>
                <w:spacing w:val="0"/>
                <w:w w:val="100"/>
                <w:position w:val="0"/>
                <w:sz w:val="20"/>
                <w:szCs w:val="20"/>
                <w:highlight w:val="none"/>
                <w:lang w:val="en-US" w:eastAsia="zh-CN"/>
              </w:rPr>
              <w:t>12</w:t>
            </w:r>
            <w:r>
              <w:rPr>
                <w:rFonts w:hint="eastAsia" w:ascii="仿宋" w:hAnsi="仿宋" w:eastAsia="仿宋" w:cs="仿宋"/>
                <w:b w:val="0"/>
                <w:bCs w:val="0"/>
                <w:color w:val="auto"/>
                <w:spacing w:val="0"/>
                <w:w w:val="100"/>
                <w:position w:val="0"/>
                <w:sz w:val="20"/>
                <w:szCs w:val="20"/>
                <w:highlight w:val="none"/>
              </w:rPr>
              <w:t>月至今任意3个月投标人依法缴纳税收</w:t>
            </w:r>
            <w:r>
              <w:rPr>
                <w:rFonts w:hint="eastAsia" w:ascii="仿宋" w:hAnsi="仿宋" w:eastAsia="仿宋" w:cs="仿宋"/>
                <w:b w:val="0"/>
                <w:bCs w:val="0"/>
                <w:color w:val="auto"/>
                <w:spacing w:val="0"/>
                <w:w w:val="100"/>
                <w:position w:val="0"/>
                <w:sz w:val="20"/>
                <w:szCs w:val="20"/>
                <w:highlight w:val="none"/>
                <w:lang w:eastAsia="zh-CN"/>
              </w:rPr>
              <w:t>：</w:t>
            </w:r>
            <w:r>
              <w:rPr>
                <w:rFonts w:hint="eastAsia" w:ascii="仿宋" w:hAnsi="仿宋" w:eastAsia="仿宋" w:cs="仿宋"/>
                <w:b w:val="0"/>
                <w:bCs w:val="0"/>
                <w:color w:val="auto"/>
                <w:spacing w:val="0"/>
                <w:w w:val="100"/>
                <w:position w:val="0"/>
                <w:sz w:val="20"/>
                <w:szCs w:val="20"/>
                <w:highlight w:val="none"/>
              </w:rPr>
              <w:t>必须包含增值税或营业税或所得税其中之一，并提供缴费银行单据复印件或扫描件作为证明材料）或完税证明；投标人近半年零缴税，须提供近半年税务系统中纳税申报截图（包括增值税、营业税、所得税）信息作为证明材料，其中：成立时间不满半年的企业，零缴税仅须提供成立以来税务系统纳税申报截图；成立时间未超过1个月的一般纳税人，或者未达到季报周期的小规模纳税人，提供合理说明或免税证明；</w:t>
            </w:r>
          </w:p>
        </w:tc>
        <w:tc>
          <w:tcPr>
            <w:tcW w:w="101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lang w:val="en-US" w:eastAsia="zh-CN"/>
              </w:rPr>
              <w:t>提供2021年12月至今任意3个月投标人为职工缴纳的社会保险的证明（缴纳证明复印件，加盖单位公章）</w:t>
            </w:r>
          </w:p>
        </w:tc>
        <w:tc>
          <w:tcPr>
            <w:tcW w:w="154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lang w:val="en-US" w:eastAsia="zh-CN"/>
              </w:rPr>
            </w:pPr>
            <w:r>
              <w:rPr>
                <w:rFonts w:hint="eastAsia" w:ascii="仿宋" w:hAnsi="仿宋" w:eastAsia="仿宋" w:cs="仿宋"/>
                <w:b w:val="0"/>
                <w:bCs w:val="0"/>
                <w:color w:val="auto"/>
                <w:spacing w:val="0"/>
                <w:w w:val="100"/>
                <w:position w:val="0"/>
                <w:sz w:val="20"/>
                <w:szCs w:val="20"/>
                <w:highlight w:val="none"/>
                <w:lang w:val="en-US" w:eastAsia="zh-CN"/>
              </w:rPr>
              <w:t>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根据上述要求提供资料原件或复印件加盖单位公章）</w:t>
            </w:r>
          </w:p>
        </w:tc>
        <w:tc>
          <w:tcPr>
            <w:tcW w:w="7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7" w:hRule="atLeast"/>
        </w:trPr>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3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9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7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23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1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5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71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1" w:hRule="atLeast"/>
        </w:trPr>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3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9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7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23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1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5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71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124"/>
        <w:jc w:val="left"/>
        <w:textAlignment w:val="baseline"/>
        <w:rPr>
          <w:rFonts w:hint="eastAsia" w:ascii="仿宋" w:hAnsi="仿宋" w:eastAsia="仿宋" w:cs="仿宋"/>
          <w:b w:val="0"/>
          <w:bCs w:val="0"/>
          <w:color w:val="auto"/>
          <w:spacing w:val="0"/>
          <w:w w:val="100"/>
          <w:position w:val="0"/>
          <w:highlight w:val="none"/>
        </w:rPr>
        <w:sectPr>
          <w:footerReference r:id="rId8" w:type="default"/>
          <w:pgSz w:w="16839" w:h="11906"/>
          <w:pgMar w:top="1417" w:right="1417" w:bottom="1417" w:left="1417" w:header="0" w:footer="1031" w:gutter="283"/>
          <w:pgBorders>
            <w:top w:val="none" w:sz="0" w:space="0"/>
            <w:left w:val="none" w:sz="0" w:space="0"/>
            <w:bottom w:val="none" w:sz="0" w:space="0"/>
            <w:right w:val="none" w:sz="0" w:space="0"/>
          </w:pgBorders>
          <w:pgNumType w:fmt="decimal"/>
          <w:cols w:space="720" w:num="1"/>
          <w:rtlGutter w:val="0"/>
          <w:docGrid w:linePitch="0" w:charSpace="0"/>
        </w:sectPr>
      </w:pPr>
      <w:r>
        <w:rPr>
          <w:rFonts w:hint="eastAsia" w:ascii="仿宋" w:hAnsi="仿宋" w:eastAsia="仿宋" w:cs="仿宋"/>
          <w:b w:val="0"/>
          <w:bCs w:val="0"/>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注</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bCs/>
          <w:color w:val="auto"/>
          <w:spacing w:val="0"/>
          <w:w w:val="100"/>
          <w:position w:val="0"/>
          <w:sz w:val="24"/>
          <w:szCs w:val="24"/>
          <w:highlight w:val="none"/>
          <w:lang w:eastAsia="zh-CN"/>
        </w:rPr>
        <w:t>（</w:t>
      </w:r>
      <w:r>
        <w:rPr>
          <w:rFonts w:hint="eastAsia" w:ascii="仿宋" w:hAnsi="仿宋" w:eastAsia="仿宋" w:cs="仿宋"/>
          <w:b/>
          <w:bCs/>
          <w:color w:val="auto"/>
          <w:spacing w:val="0"/>
          <w:w w:val="100"/>
          <w:position w:val="0"/>
          <w:sz w:val="24"/>
          <w:szCs w:val="24"/>
          <w:highlight w:val="none"/>
          <w:lang w:val="en-US" w:eastAsia="zh-CN"/>
        </w:rPr>
        <w:t>现场验证由采购人和监督人审查</w:t>
      </w:r>
      <w:r>
        <w:rPr>
          <w:rFonts w:hint="eastAsia" w:ascii="仿宋" w:hAnsi="仿宋" w:eastAsia="仿宋" w:cs="仿宋"/>
          <w:b/>
          <w:bCs/>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14:textOutline w14:w="4358" w14:cap="sq" w14:cmpd="sng">
            <w14:solidFill>
              <w14:srgbClr w14:val="000000"/>
            </w14:solidFill>
            <w14:prstDash w14:val="solid"/>
            <w14:bevel/>
          </w14:textOutline>
        </w:rPr>
        <w:t>审查项目有一项不满足则结论为不合格</w:t>
      </w:r>
      <w:r>
        <w:rPr>
          <w:rFonts w:hint="eastAsia" w:ascii="仿宋" w:hAnsi="仿宋" w:eastAsia="仿宋" w:cs="仿宋"/>
          <w:b w:val="0"/>
          <w:bCs w:val="0"/>
          <w:color w:val="auto"/>
          <w:spacing w:val="0"/>
          <w:w w:val="100"/>
          <w:position w:val="0"/>
          <w:sz w:val="24"/>
          <w:szCs w:val="24"/>
          <w:highlight w:val="none"/>
          <w:lang w:eastAsia="zh-CN"/>
        </w:rPr>
        <w:t>。</w:t>
      </w:r>
    </w:p>
    <w:tbl>
      <w:tblPr>
        <w:tblStyle w:val="26"/>
        <w:tblW w:w="9324" w:type="dxa"/>
        <w:tblInd w:w="93" w:type="dxa"/>
        <w:tblLayout w:type="fixed"/>
        <w:tblCellMar>
          <w:top w:w="0" w:type="dxa"/>
          <w:left w:w="108" w:type="dxa"/>
          <w:bottom w:w="0" w:type="dxa"/>
          <w:right w:w="108" w:type="dxa"/>
        </w:tblCellMar>
      </w:tblPr>
      <w:tblGrid>
        <w:gridCol w:w="637"/>
        <w:gridCol w:w="120"/>
        <w:gridCol w:w="1075"/>
        <w:gridCol w:w="704"/>
        <w:gridCol w:w="2314"/>
        <w:gridCol w:w="1893"/>
        <w:gridCol w:w="2561"/>
        <w:gridCol w:w="20"/>
      </w:tblGrid>
      <w:tr>
        <w:tblPrEx>
          <w:tblLayout w:type="fixed"/>
          <w:tblCellMar>
            <w:top w:w="0" w:type="dxa"/>
            <w:left w:w="108" w:type="dxa"/>
            <w:bottom w:w="0" w:type="dxa"/>
            <w:right w:w="108" w:type="dxa"/>
          </w:tblCellMar>
        </w:tblPrEx>
        <w:trPr>
          <w:gridAfter w:val="1"/>
          <w:wAfter w:w="20" w:type="dxa"/>
          <w:trHeight w:val="540" w:hRule="atLeast"/>
        </w:trPr>
        <w:tc>
          <w:tcPr>
            <w:tcW w:w="9304" w:type="dxa"/>
            <w:gridSpan w:val="7"/>
            <w:tcBorders>
              <w:top w:val="nil"/>
              <w:left w:val="nil"/>
              <w:bottom w:val="nil"/>
              <w:right w:val="nil"/>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kern w:val="0"/>
                <w:sz w:val="21"/>
                <w:szCs w:val="21"/>
                <w:lang w:bidi="ar"/>
              </w:rPr>
            </w:pPr>
          </w:p>
          <w:p>
            <w:pPr>
              <w:keepNext w:val="0"/>
              <w:keepLines w:val="0"/>
              <w:widowControl/>
              <w:suppressLineNumbers w:val="0"/>
              <w:spacing w:before="0" w:beforeAutospacing="0" w:after="0" w:afterAutospacing="0" w:line="400" w:lineRule="exact"/>
              <w:ind w:left="0" w:right="0"/>
              <w:jc w:val="center"/>
              <w:textAlignment w:val="center"/>
              <w:rPr>
                <w:rFonts w:hint="default" w:hAnsi="宋体" w:eastAsia="宋体" w:cs="宋体"/>
                <w:b/>
                <w:bCs/>
                <w:color w:val="000000"/>
                <w:kern w:val="0"/>
                <w:sz w:val="21"/>
                <w:szCs w:val="21"/>
                <w:lang w:val="en-US" w:eastAsia="zh-CN" w:bidi="ar"/>
              </w:rPr>
            </w:pPr>
            <w:r>
              <w:rPr>
                <w:rFonts w:hint="eastAsia" w:hAnsi="宋体" w:cs="宋体"/>
                <w:b/>
                <w:bCs/>
                <w:color w:val="000000"/>
                <w:kern w:val="0"/>
                <w:sz w:val="21"/>
                <w:szCs w:val="21"/>
                <w:lang w:val="en-US" w:eastAsia="zh-CN" w:bidi="ar"/>
              </w:rPr>
              <w:t>专家评审</w:t>
            </w:r>
          </w:p>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资格审查表</w:t>
            </w:r>
          </w:p>
        </w:tc>
      </w:tr>
      <w:tr>
        <w:tblPrEx>
          <w:tblLayout w:type="fixed"/>
          <w:tblCellMar>
            <w:top w:w="0" w:type="dxa"/>
            <w:left w:w="108" w:type="dxa"/>
            <w:bottom w:w="0" w:type="dxa"/>
            <w:right w:w="108" w:type="dxa"/>
          </w:tblCellMar>
        </w:tblPrEx>
        <w:trPr>
          <w:gridAfter w:val="1"/>
          <w:wAfter w:w="20" w:type="dxa"/>
          <w:trHeight w:val="66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序号</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类型</w:t>
            </w:r>
          </w:p>
        </w:tc>
        <w:tc>
          <w:tcPr>
            <w:tcW w:w="49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w:t>
            </w:r>
          </w:p>
        </w:tc>
        <w:tc>
          <w:tcPr>
            <w:tcW w:w="2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要求说明</w:t>
            </w:r>
          </w:p>
        </w:tc>
      </w:tr>
      <w:tr>
        <w:tblPrEx>
          <w:tblLayout w:type="fixed"/>
          <w:tblCellMar>
            <w:top w:w="0" w:type="dxa"/>
            <w:left w:w="108" w:type="dxa"/>
            <w:bottom w:w="0" w:type="dxa"/>
            <w:right w:w="108" w:type="dxa"/>
          </w:tblCellMar>
        </w:tblPrEx>
        <w:trPr>
          <w:gridAfter w:val="1"/>
          <w:wAfter w:w="20" w:type="dxa"/>
          <w:trHeight w:val="66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kern w:val="0"/>
                <w:sz w:val="21"/>
                <w:szCs w:val="21"/>
                <w:lang w:bidi="ar"/>
              </w:rPr>
            </w:pPr>
            <w:r>
              <w:rPr>
                <w:rFonts w:hint="eastAsia" w:hAnsi="宋体" w:cs="宋体"/>
                <w:b/>
                <w:bCs/>
                <w:color w:val="000000"/>
                <w:kern w:val="0"/>
                <w:sz w:val="21"/>
                <w:szCs w:val="21"/>
                <w:lang w:bidi="ar"/>
              </w:rPr>
              <w:t>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hAnsi="宋体" w:cs="宋体"/>
                <w:color w:val="000000"/>
                <w:kern w:val="0"/>
                <w:sz w:val="21"/>
                <w:szCs w:val="21"/>
                <w:lang w:bidi="ar"/>
              </w:rPr>
            </w:pPr>
            <w:r>
              <w:rPr>
                <w:rFonts w:hint="eastAsia" w:hAnsi="宋体" w:cs="宋体"/>
                <w:color w:val="000000"/>
                <w:kern w:val="0"/>
                <w:sz w:val="21"/>
                <w:szCs w:val="21"/>
                <w:lang w:bidi="ar"/>
              </w:rPr>
              <w:t>营业执照</w:t>
            </w:r>
          </w:p>
        </w:tc>
        <w:tc>
          <w:tcPr>
            <w:tcW w:w="49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投标人必须是所投产品的制造商或经销商，需提供有效的工商营业执照副本（营业执照需包含本次项目的相关经营权）；</w:t>
            </w:r>
          </w:p>
        </w:tc>
        <w:tc>
          <w:tcPr>
            <w:tcW w:w="2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出具企业营业执照</w:t>
            </w:r>
          </w:p>
        </w:tc>
      </w:tr>
      <w:tr>
        <w:tblPrEx>
          <w:tblLayout w:type="fixed"/>
          <w:tblCellMar>
            <w:top w:w="0" w:type="dxa"/>
            <w:left w:w="108" w:type="dxa"/>
            <w:bottom w:w="0" w:type="dxa"/>
            <w:right w:w="108" w:type="dxa"/>
          </w:tblCellMar>
        </w:tblPrEx>
        <w:trPr>
          <w:gridAfter w:val="1"/>
          <w:wAfter w:w="20" w:type="dxa"/>
          <w:trHeight w:val="300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特定资质</w:t>
            </w:r>
          </w:p>
        </w:tc>
        <w:tc>
          <w:tcPr>
            <w:tcW w:w="49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（1）投标人必须是所投产品的制造商或经销商，需提供有效的工商营业执照副本（营业执照需包含本次项目的相关经营权）；</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2）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3）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(4)单位负责人为同一人或者存在直接控股、管理关系的不同供应商，不得参加同一合同项下的政府采购活动。 除单一来源采购项目外，为采购项目提供整体设计、规范编制或者项目管理、监理、检测等服务的供应商，不得再参加该采购项目的其他采购活动。</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cs="宋体"/>
                <w:color w:val="000000"/>
                <w:sz w:val="21"/>
                <w:szCs w:val="21"/>
              </w:rPr>
            </w:pPr>
            <w:bookmarkStart w:id="413" w:name="_GoBack"/>
            <w:r>
              <w:rPr>
                <w:rFonts w:hint="eastAsia" w:hAnsi="宋体" w:cs="宋体"/>
                <w:color w:val="000000"/>
                <w:kern w:val="0"/>
                <w:sz w:val="21"/>
                <w:szCs w:val="21"/>
                <w:lang w:bidi="ar"/>
              </w:rPr>
              <w:t>按照审查要求出具证明材料</w:t>
            </w:r>
            <w:bookmarkEnd w:id="413"/>
          </w:p>
        </w:tc>
      </w:tr>
      <w:tr>
        <w:tblPrEx>
          <w:tblLayout w:type="fixed"/>
          <w:tblCellMar>
            <w:top w:w="0" w:type="dxa"/>
            <w:left w:w="108" w:type="dxa"/>
            <w:bottom w:w="0" w:type="dxa"/>
            <w:right w:w="108" w:type="dxa"/>
          </w:tblCellMar>
        </w:tblPrEx>
        <w:trPr>
          <w:gridAfter w:val="1"/>
          <w:wAfter w:w="20" w:type="dxa"/>
          <w:trHeight w:val="620" w:hRule="atLeast"/>
        </w:trPr>
        <w:tc>
          <w:tcPr>
            <w:tcW w:w="9304"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Layout w:type="fixed"/>
          <w:tblCellMar>
            <w:top w:w="0" w:type="dxa"/>
            <w:left w:w="108" w:type="dxa"/>
            <w:bottom w:w="0" w:type="dxa"/>
            <w:right w:w="108" w:type="dxa"/>
          </w:tblCellMar>
        </w:tblPrEx>
        <w:trPr>
          <w:gridAfter w:val="1"/>
          <w:wAfter w:w="20" w:type="dxa"/>
          <w:trHeight w:val="700" w:hRule="atLeast"/>
        </w:trPr>
        <w:tc>
          <w:tcPr>
            <w:tcW w:w="9304" w:type="dxa"/>
            <w:gridSpan w:val="7"/>
            <w:tcBorders>
              <w:top w:val="nil"/>
              <w:left w:val="nil"/>
              <w:bottom w:val="nil"/>
              <w:right w:val="nil"/>
            </w:tcBorders>
            <w:noWrap w:val="0"/>
            <w:vAlign w:val="bottom"/>
          </w:tcPr>
          <w:p>
            <w:pPr>
              <w:keepNext w:val="0"/>
              <w:keepLines w:val="0"/>
              <w:widowControl/>
              <w:suppressLineNumbers w:val="0"/>
              <w:spacing w:before="0" w:beforeAutospacing="0" w:after="0" w:afterAutospacing="0" w:line="400" w:lineRule="exact"/>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r>
        <w:tblPrEx>
          <w:tblLayout w:type="fixed"/>
          <w:tblCellMar>
            <w:top w:w="0" w:type="dxa"/>
            <w:left w:w="108" w:type="dxa"/>
            <w:bottom w:w="0" w:type="dxa"/>
            <w:right w:w="108" w:type="dxa"/>
          </w:tblCellMar>
        </w:tblPrEx>
        <w:trPr>
          <w:trHeight w:val="540" w:hRule="atLeast"/>
        </w:trPr>
        <w:tc>
          <w:tcPr>
            <w:tcW w:w="9324" w:type="dxa"/>
            <w:gridSpan w:val="8"/>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符合性审查表</w:t>
            </w:r>
          </w:p>
        </w:tc>
      </w:tr>
      <w:tr>
        <w:tblPrEx>
          <w:tblLayout w:type="fixed"/>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序号</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类型</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w:t>
            </w:r>
          </w:p>
        </w:tc>
        <w:tc>
          <w:tcPr>
            <w:tcW w:w="447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要求说明</w:t>
            </w:r>
          </w:p>
        </w:tc>
      </w:tr>
      <w:tr>
        <w:tblPrEx>
          <w:tblLayout w:type="fixed"/>
          <w:tblCellMar>
            <w:top w:w="0" w:type="dxa"/>
            <w:left w:w="108" w:type="dxa"/>
            <w:bottom w:w="0" w:type="dxa"/>
            <w:right w:w="108" w:type="dxa"/>
          </w:tblCellMar>
        </w:tblPrEx>
        <w:trPr>
          <w:trHeight w:val="19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1.1投标文件出现不是唯一的有选择性投标报价的；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1.2投标报价高于本项目采购预算或者最高限价的；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1.3报价明显低于其他通过符合性审查供应商的报价有可能影响项目质量或者不能诚信履约的；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1.4供应商对根据修正原则修正后的报价不确认的。</w:t>
            </w:r>
          </w:p>
        </w:tc>
      </w:tr>
      <w:tr>
        <w:tblPrEx>
          <w:tblLayout w:type="fixed"/>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商务资信</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2.1 未按照招标文件规定要求签署盖章的；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2.2 供货周期不符合招标文件规定的</w:t>
            </w:r>
          </w:p>
          <w:p>
            <w:pPr>
              <w:keepNext w:val="0"/>
              <w:keepLines w:val="0"/>
              <w:widowControl/>
              <w:suppressLineNumbers w:val="0"/>
              <w:spacing w:before="0" w:beforeAutospacing="0" w:after="0" w:afterAutospacing="0"/>
              <w:ind w:left="0" w:right="0"/>
              <w:jc w:val="left"/>
              <w:textAlignment w:val="center"/>
              <w:rPr>
                <w:rFonts w:hint="default"/>
              </w:rPr>
            </w:pPr>
            <w:r>
              <w:rPr>
                <w:rFonts w:hint="eastAsia" w:hAnsi="宋体" w:cs="宋体"/>
                <w:color w:val="000000"/>
                <w:kern w:val="0"/>
                <w:sz w:val="21"/>
                <w:szCs w:val="21"/>
                <w:lang w:bidi="ar"/>
              </w:rPr>
              <w:t>2.3投标保证金不符合招标文件规定的</w:t>
            </w:r>
          </w:p>
        </w:tc>
      </w:tr>
      <w:tr>
        <w:tblPrEx>
          <w:tblLayout w:type="fixed"/>
          <w:tblCellMar>
            <w:top w:w="0" w:type="dxa"/>
            <w:left w:w="108" w:type="dxa"/>
            <w:bottom w:w="0" w:type="dxa"/>
            <w:right w:w="108" w:type="dxa"/>
          </w:tblCellMar>
        </w:tblPrEx>
        <w:trPr>
          <w:trHeight w:val="16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技术</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3.1 供应商所投内容不符合采购需求中实质性要求的；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3.2 投标文件中承诺的投标有效期少于招标文件中投标有效期的。</w:t>
            </w:r>
          </w:p>
        </w:tc>
      </w:tr>
      <w:tr>
        <w:tblPrEx>
          <w:tblLayout w:type="fixed"/>
          <w:tblCellMar>
            <w:top w:w="0" w:type="dxa"/>
            <w:left w:w="108" w:type="dxa"/>
            <w:bottom w:w="0" w:type="dxa"/>
            <w:right w:w="108" w:type="dxa"/>
          </w:tblCellMar>
        </w:tblPrEx>
        <w:trPr>
          <w:trHeight w:val="600" w:hRule="atLeast"/>
        </w:trPr>
        <w:tc>
          <w:tcPr>
            <w:tcW w:w="9324"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Layout w:type="fixed"/>
          <w:tblCellMar>
            <w:top w:w="0" w:type="dxa"/>
            <w:left w:w="108" w:type="dxa"/>
            <w:bottom w:w="0" w:type="dxa"/>
            <w:right w:w="108" w:type="dxa"/>
          </w:tblCellMar>
        </w:tblPrEx>
        <w:trPr>
          <w:trHeight w:val="940" w:hRule="atLeast"/>
        </w:trPr>
        <w:tc>
          <w:tcPr>
            <w:tcW w:w="9324" w:type="dxa"/>
            <w:gridSpan w:val="8"/>
            <w:tcBorders>
              <w:top w:val="nil"/>
              <w:left w:val="nil"/>
              <w:bottom w:val="nil"/>
              <w:right w:val="nil"/>
            </w:tcBorders>
            <w:noWrap w:val="0"/>
            <w:vAlign w:val="bottom"/>
          </w:tcPr>
          <w:p>
            <w:pPr>
              <w:keepNext w:val="0"/>
              <w:keepLines w:val="0"/>
              <w:widowControl/>
              <w:suppressLineNumbers w:val="0"/>
              <w:spacing w:before="0" w:beforeAutospacing="0" w:after="0" w:afterAutospacing="0"/>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bl>
    <w:p>
      <w:pPr>
        <w:spacing w:line="400" w:lineRule="atLeast"/>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8"/>
          <w:szCs w:val="28"/>
          <w:u w:val="none"/>
          <w:lang w:val="en-US" w:eastAsia="zh-CN" w:bidi="ar"/>
        </w:rPr>
        <w:t>对通过资格审查和符合性审查的投标单位，进入以下详细评审。</w:t>
      </w: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pStyle w:val="25"/>
        <w:rPr>
          <w:rFonts w:hint="eastAsia" w:ascii="宋体" w:hAnsi="宋体" w:eastAsia="宋体" w:cs="宋体"/>
          <w:b/>
          <w:bCs/>
          <w:i w:val="0"/>
          <w:color w:val="000000"/>
          <w:kern w:val="0"/>
          <w:sz w:val="20"/>
          <w:szCs w:val="20"/>
          <w:u w:val="none"/>
          <w:lang w:val="en-US" w:eastAsia="zh-CN" w:bidi="ar"/>
        </w:rPr>
      </w:pPr>
    </w:p>
    <w:p>
      <w:pPr>
        <w:rPr>
          <w:rFonts w:hint="eastAsia" w:ascii="宋体" w:hAnsi="宋体" w:eastAsia="宋体" w:cs="宋体"/>
          <w:b/>
          <w:bCs/>
          <w:i w:val="0"/>
          <w:color w:val="000000"/>
          <w:kern w:val="0"/>
          <w:sz w:val="20"/>
          <w:szCs w:val="20"/>
          <w:u w:val="none"/>
          <w:lang w:val="en-US" w:eastAsia="zh-CN" w:bidi="ar"/>
        </w:rPr>
      </w:pPr>
    </w:p>
    <w:p>
      <w:pPr>
        <w:pStyle w:val="25"/>
        <w:rPr>
          <w:rFonts w:hint="eastAsia" w:ascii="宋体" w:hAnsi="宋体" w:eastAsia="宋体" w:cs="宋体"/>
          <w:b/>
          <w:bCs/>
          <w:i w:val="0"/>
          <w:color w:val="000000"/>
          <w:kern w:val="0"/>
          <w:sz w:val="20"/>
          <w:szCs w:val="20"/>
          <w:u w:val="none"/>
          <w:lang w:val="en-US" w:eastAsia="zh-CN" w:bidi="ar"/>
        </w:rPr>
      </w:pPr>
    </w:p>
    <w:p>
      <w:pPr>
        <w:rPr>
          <w:rFonts w:hint="eastAsia" w:ascii="宋体" w:hAnsi="宋体" w:eastAsia="宋体" w:cs="宋体"/>
          <w:b/>
          <w:bCs/>
          <w:i w:val="0"/>
          <w:color w:val="000000"/>
          <w:kern w:val="0"/>
          <w:sz w:val="20"/>
          <w:szCs w:val="20"/>
          <w:u w:val="none"/>
          <w:lang w:val="en-US" w:eastAsia="zh-CN" w:bidi="ar"/>
        </w:rPr>
      </w:pPr>
    </w:p>
    <w:p>
      <w:pPr>
        <w:pStyle w:val="25"/>
        <w:rPr>
          <w:rFonts w:hint="eastAsia"/>
          <w:lang w:val="en-US" w:eastAsia="zh-CN"/>
        </w:rPr>
      </w:pPr>
    </w:p>
    <w:p>
      <w:pPr>
        <w:pageBreakBefore w:val="0"/>
        <w:wordWrap/>
        <w:topLinePunct w:val="0"/>
        <w:bidi w:val="0"/>
        <w:spacing w:before="48" w:line="360" w:lineRule="auto"/>
        <w:jc w:val="left"/>
        <w:rPr>
          <w:rFonts w:hint="eastAsia" w:ascii="仿宋" w:hAnsi="仿宋" w:eastAsia="仿宋" w:cs="仿宋"/>
          <w:b w:val="0"/>
          <w:bCs w:val="0"/>
          <w:color w:val="auto"/>
          <w:spacing w:val="0"/>
          <w:w w:val="100"/>
          <w:position w:val="0"/>
          <w:sz w:val="24"/>
          <w:szCs w:val="24"/>
          <w:highlight w:val="none"/>
        </w:rPr>
      </w:pPr>
      <w:bookmarkStart w:id="195" w:name="_Toc22312"/>
      <w:bookmarkStart w:id="196" w:name="_Toc3030"/>
      <w:bookmarkStart w:id="197" w:name="_Toc28461"/>
      <w:bookmarkStart w:id="198" w:name="_Toc32113"/>
      <w:bookmarkStart w:id="199" w:name="_Toc11540"/>
      <w:bookmarkStart w:id="200" w:name="_Toc20341"/>
      <w:bookmarkStart w:id="201" w:name="_Toc5628"/>
      <w:bookmarkStart w:id="202" w:name="_Toc2370"/>
      <w:bookmarkStart w:id="203" w:name="_Toc22808"/>
      <w:bookmarkStart w:id="204" w:name="_Toc31341"/>
      <w:bookmarkStart w:id="205" w:name="_Toc4794"/>
      <w:bookmarkStart w:id="206" w:name="_Toc19200"/>
      <w:bookmarkStart w:id="207" w:name="_Toc5078"/>
      <w:bookmarkStart w:id="208" w:name="_Toc26813"/>
      <w:bookmarkStart w:id="209" w:name="_Toc25927"/>
      <w:r>
        <w:rPr>
          <w:rFonts w:hint="eastAsia" w:ascii="仿宋" w:hAnsi="仿宋" w:eastAsia="仿宋" w:cs="仿宋"/>
          <w:b w:val="0"/>
          <w:bCs w:val="0"/>
          <w:color w:val="auto"/>
          <w:spacing w:val="0"/>
          <w:w w:val="100"/>
          <w:position w:val="0"/>
          <w:sz w:val="24"/>
          <w:szCs w:val="24"/>
          <w:highlight w:val="none"/>
        </w:rPr>
        <w:t>1</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评分因素及分值</w:t>
      </w:r>
    </w:p>
    <w:tbl>
      <w:tblPr>
        <w:tblStyle w:val="86"/>
        <w:tblW w:w="8786"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4144"/>
        <w:gridCol w:w="34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38" w:line="360" w:lineRule="auto"/>
              <w:ind w:firstLine="3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序号</w:t>
            </w:r>
          </w:p>
        </w:tc>
        <w:tc>
          <w:tcPr>
            <w:tcW w:w="4144" w:type="dxa"/>
            <w:vAlign w:val="top"/>
          </w:tcPr>
          <w:p>
            <w:pPr>
              <w:pageBreakBefore w:val="0"/>
              <w:wordWrap/>
              <w:topLinePunct w:val="0"/>
              <w:bidi w:val="0"/>
              <w:spacing w:before="38" w:line="360" w:lineRule="auto"/>
              <w:ind w:firstLine="1593"/>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c>
          <w:tcPr>
            <w:tcW w:w="3469" w:type="dxa"/>
            <w:vAlign w:val="top"/>
          </w:tcPr>
          <w:p>
            <w:pPr>
              <w:pageBreakBefore w:val="0"/>
              <w:wordWrap/>
              <w:topLinePunct w:val="0"/>
              <w:bidi w:val="0"/>
              <w:spacing w:before="38"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74" w:line="360" w:lineRule="auto"/>
              <w:ind w:firstLine="547"/>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1</w:t>
            </w:r>
          </w:p>
        </w:tc>
        <w:tc>
          <w:tcPr>
            <w:tcW w:w="4144" w:type="dxa"/>
            <w:vAlign w:val="top"/>
          </w:tcPr>
          <w:p>
            <w:pPr>
              <w:pageBreakBefore w:val="0"/>
              <w:wordWrap/>
              <w:topLinePunct w:val="0"/>
              <w:bidi w:val="0"/>
              <w:spacing w:before="38" w:line="360" w:lineRule="auto"/>
              <w:ind w:firstLine="159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商务部分</w:t>
            </w:r>
          </w:p>
        </w:tc>
        <w:tc>
          <w:tcPr>
            <w:tcW w:w="3469" w:type="dxa"/>
            <w:vAlign w:val="top"/>
          </w:tcPr>
          <w:p>
            <w:pPr>
              <w:pageBreakBefore w:val="0"/>
              <w:wordWrap/>
              <w:topLinePunct w:val="0"/>
              <w:bidi w:val="0"/>
              <w:spacing w:before="77" w:line="360" w:lineRule="auto"/>
              <w:jc w:val="center"/>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73" w:line="360" w:lineRule="auto"/>
              <w:ind w:firstLine="532"/>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p>
        </w:tc>
        <w:tc>
          <w:tcPr>
            <w:tcW w:w="4144" w:type="dxa"/>
            <w:vAlign w:val="top"/>
          </w:tcPr>
          <w:p>
            <w:pPr>
              <w:pageBreakBefore w:val="0"/>
              <w:wordWrap/>
              <w:topLinePunct w:val="0"/>
              <w:bidi w:val="0"/>
              <w:spacing w:before="35" w:line="360" w:lineRule="auto"/>
              <w:ind w:firstLine="159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技术部分</w:t>
            </w:r>
          </w:p>
        </w:tc>
        <w:tc>
          <w:tcPr>
            <w:tcW w:w="3469" w:type="dxa"/>
            <w:vAlign w:val="top"/>
          </w:tcPr>
          <w:p>
            <w:pPr>
              <w:pageBreakBefore w:val="0"/>
              <w:wordWrap/>
              <w:topLinePunct w:val="0"/>
              <w:bidi w:val="0"/>
              <w:spacing w:before="73" w:line="360" w:lineRule="auto"/>
              <w:jc w:val="center"/>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1173" w:type="dxa"/>
            <w:vAlign w:val="top"/>
          </w:tcPr>
          <w:p>
            <w:pPr>
              <w:pageBreakBefore w:val="0"/>
              <w:wordWrap/>
              <w:topLinePunct w:val="0"/>
              <w:bidi w:val="0"/>
              <w:spacing w:before="73" w:line="360" w:lineRule="auto"/>
              <w:ind w:firstLine="53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w:t>
            </w:r>
          </w:p>
        </w:tc>
        <w:tc>
          <w:tcPr>
            <w:tcW w:w="4144" w:type="dxa"/>
            <w:vAlign w:val="top"/>
          </w:tcPr>
          <w:p>
            <w:pPr>
              <w:pageBreakBefore w:val="0"/>
              <w:wordWrap/>
              <w:topLinePunct w:val="0"/>
              <w:bidi w:val="0"/>
              <w:spacing w:before="35" w:line="360" w:lineRule="auto"/>
              <w:ind w:firstLine="159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价格部分</w:t>
            </w:r>
          </w:p>
        </w:tc>
        <w:tc>
          <w:tcPr>
            <w:tcW w:w="3469" w:type="dxa"/>
            <w:vAlign w:val="top"/>
          </w:tcPr>
          <w:p>
            <w:pPr>
              <w:pageBreakBefore w:val="0"/>
              <w:wordWrap/>
              <w:topLinePunct w:val="0"/>
              <w:bidi w:val="0"/>
              <w:spacing w:before="73"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5317" w:type="dxa"/>
            <w:gridSpan w:val="2"/>
            <w:vAlign w:val="top"/>
          </w:tcPr>
          <w:p>
            <w:pPr>
              <w:pageBreakBefore w:val="0"/>
              <w:wordWrap/>
              <w:topLinePunct w:val="0"/>
              <w:bidi w:val="0"/>
              <w:spacing w:before="36" w:line="360" w:lineRule="auto"/>
              <w:ind w:firstLine="242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合计</w:t>
            </w:r>
          </w:p>
        </w:tc>
        <w:tc>
          <w:tcPr>
            <w:tcW w:w="3469" w:type="dxa"/>
            <w:vAlign w:val="top"/>
          </w:tcPr>
          <w:p>
            <w:pPr>
              <w:pageBreakBefore w:val="0"/>
              <w:wordWrap/>
              <w:topLinePunct w:val="0"/>
              <w:bidi w:val="0"/>
              <w:spacing w:before="73"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100</w:t>
            </w:r>
          </w:p>
        </w:tc>
      </w:tr>
    </w:tbl>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评分标准</w:t>
      </w:r>
    </w:p>
    <w:p>
      <w:pPr>
        <w:pageBreakBefore w:val="0"/>
        <w:wordWrap/>
        <w:topLinePunct w:val="0"/>
        <w:bidi w:val="0"/>
        <w:spacing w:line="360" w:lineRule="auto"/>
        <w:ind w:firstLine="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1 商务部分</w:t>
      </w:r>
    </w:p>
    <w:tbl>
      <w:tblPr>
        <w:tblStyle w:val="26"/>
        <w:tblW w:w="9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609"/>
        <w:gridCol w:w="764"/>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628"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项目</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评审因素</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9" w:hRule="atLeast"/>
          <w:jc w:val="center"/>
        </w:trPr>
        <w:tc>
          <w:tcPr>
            <w:tcW w:w="1628" w:type="dxa"/>
            <w:vMerge w:val="restart"/>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商务部分</w:t>
            </w:r>
          </w:p>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w:t>
            </w:r>
            <w:r>
              <w:rPr>
                <w:rFonts w:hint="eastAsia" w:ascii="仿宋" w:hAnsi="仿宋" w:eastAsia="仿宋" w:cs="仿宋"/>
                <w:b w:val="0"/>
                <w:bCs w:val="0"/>
                <w:color w:val="auto"/>
                <w:spacing w:val="0"/>
                <w:w w:val="100"/>
                <w:position w:val="0"/>
                <w:sz w:val="24"/>
                <w:szCs w:val="24"/>
                <w:highlight w:val="none"/>
                <w:lang w:val="en-US" w:eastAsia="zh-CN"/>
              </w:rPr>
              <w:t>20</w:t>
            </w:r>
            <w:r>
              <w:rPr>
                <w:rFonts w:hint="eastAsia" w:ascii="仿宋" w:hAnsi="仿宋" w:eastAsia="仿宋" w:cs="仿宋"/>
                <w:b w:val="0"/>
                <w:bCs w:val="0"/>
                <w:color w:val="auto"/>
                <w:spacing w:val="0"/>
                <w:w w:val="100"/>
                <w:position w:val="0"/>
                <w:sz w:val="24"/>
                <w:szCs w:val="24"/>
                <w:highlight w:val="none"/>
              </w:rPr>
              <w:t>分）</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相关</w:t>
            </w:r>
            <w:r>
              <w:rPr>
                <w:rFonts w:hint="eastAsia" w:ascii="仿宋" w:hAnsi="仿宋" w:eastAsia="仿宋" w:cs="仿宋"/>
                <w:b w:val="0"/>
                <w:bCs w:val="0"/>
                <w:color w:val="auto"/>
                <w:spacing w:val="0"/>
                <w:w w:val="100"/>
                <w:position w:val="0"/>
                <w:sz w:val="24"/>
                <w:szCs w:val="24"/>
                <w:highlight w:val="none"/>
              </w:rPr>
              <w:t>业绩</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9分</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投标人</w:t>
            </w:r>
            <w:r>
              <w:rPr>
                <w:rFonts w:hint="eastAsia" w:ascii="仿宋" w:hAnsi="仿宋" w:eastAsia="仿宋" w:cs="仿宋"/>
                <w:b w:val="0"/>
                <w:bCs w:val="0"/>
                <w:color w:val="auto"/>
                <w:spacing w:val="0"/>
                <w:w w:val="100"/>
                <w:position w:val="0"/>
                <w:sz w:val="24"/>
                <w:szCs w:val="24"/>
                <w:highlight w:val="none"/>
              </w:rPr>
              <w:t>近三年（201</w:t>
            </w:r>
            <w:r>
              <w:rPr>
                <w:rFonts w:hint="eastAsia" w:ascii="仿宋" w:hAnsi="仿宋" w:eastAsia="仿宋" w:cs="仿宋"/>
                <w:b w:val="0"/>
                <w:bCs w:val="0"/>
                <w:color w:val="auto"/>
                <w:spacing w:val="0"/>
                <w:w w:val="100"/>
                <w:position w:val="0"/>
                <w:sz w:val="24"/>
                <w:szCs w:val="24"/>
                <w:highlight w:val="none"/>
                <w:lang w:val="en-US" w:eastAsia="zh-CN"/>
              </w:rPr>
              <w:t>9</w:t>
            </w:r>
            <w:r>
              <w:rPr>
                <w:rFonts w:hint="eastAsia" w:ascii="仿宋" w:hAnsi="仿宋" w:eastAsia="仿宋" w:cs="仿宋"/>
                <w:b w:val="0"/>
                <w:bCs w:val="0"/>
                <w:color w:val="auto"/>
                <w:spacing w:val="0"/>
                <w:w w:val="100"/>
                <w:position w:val="0"/>
                <w:sz w:val="24"/>
                <w:szCs w:val="24"/>
                <w:highlight w:val="none"/>
              </w:rPr>
              <w:t>年1月1日至今）的</w:t>
            </w:r>
            <w:r>
              <w:rPr>
                <w:rFonts w:hint="eastAsia" w:ascii="仿宋" w:hAnsi="仿宋" w:eastAsia="仿宋" w:cs="仿宋"/>
                <w:b w:val="0"/>
                <w:bCs w:val="0"/>
                <w:color w:val="auto"/>
                <w:spacing w:val="0"/>
                <w:w w:val="100"/>
                <w:position w:val="0"/>
                <w:sz w:val="24"/>
                <w:szCs w:val="24"/>
                <w:highlight w:val="none"/>
                <w:lang w:val="en-US" w:eastAsia="zh-CN"/>
              </w:rPr>
              <w:t>类似</w:t>
            </w:r>
            <w:r>
              <w:rPr>
                <w:rFonts w:hint="eastAsia" w:ascii="仿宋" w:hAnsi="仿宋" w:eastAsia="仿宋" w:cs="仿宋"/>
                <w:b w:val="0"/>
                <w:bCs w:val="0"/>
                <w:color w:val="auto"/>
                <w:spacing w:val="0"/>
                <w:w w:val="100"/>
                <w:position w:val="0"/>
                <w:sz w:val="24"/>
                <w:szCs w:val="24"/>
                <w:highlight w:val="none"/>
              </w:rPr>
              <w:t>设备</w:t>
            </w:r>
            <w:r>
              <w:rPr>
                <w:rFonts w:hint="eastAsia" w:ascii="仿宋" w:hAnsi="仿宋" w:eastAsia="仿宋" w:cs="仿宋"/>
                <w:b w:val="0"/>
                <w:bCs w:val="0"/>
                <w:color w:val="auto"/>
                <w:spacing w:val="0"/>
                <w:w w:val="100"/>
                <w:position w:val="0"/>
                <w:sz w:val="24"/>
                <w:szCs w:val="24"/>
                <w:highlight w:val="none"/>
                <w:lang w:val="en-US" w:eastAsia="zh-CN"/>
              </w:rPr>
              <w:t>销售</w:t>
            </w:r>
            <w:r>
              <w:rPr>
                <w:rFonts w:hint="eastAsia" w:ascii="仿宋" w:hAnsi="仿宋" w:eastAsia="仿宋" w:cs="仿宋"/>
                <w:b w:val="0"/>
                <w:bCs w:val="0"/>
                <w:color w:val="auto"/>
                <w:spacing w:val="0"/>
                <w:w w:val="100"/>
                <w:position w:val="0"/>
                <w:sz w:val="24"/>
                <w:szCs w:val="24"/>
                <w:highlight w:val="none"/>
              </w:rPr>
              <w:t>业绩，每提供1项</w:t>
            </w:r>
            <w:r>
              <w:rPr>
                <w:rFonts w:hint="eastAsia" w:ascii="仿宋" w:hAnsi="仿宋" w:eastAsia="仿宋" w:cs="仿宋"/>
                <w:b w:val="0"/>
                <w:bCs w:val="0"/>
                <w:color w:val="auto"/>
                <w:spacing w:val="0"/>
                <w:w w:val="100"/>
                <w:position w:val="0"/>
                <w:sz w:val="24"/>
                <w:szCs w:val="24"/>
                <w:highlight w:val="none"/>
                <w:lang w:val="en-US" w:eastAsia="zh-CN"/>
              </w:rPr>
              <w:t>有效</w:t>
            </w:r>
            <w:r>
              <w:rPr>
                <w:rFonts w:hint="eastAsia" w:ascii="仿宋" w:hAnsi="仿宋" w:eastAsia="仿宋" w:cs="仿宋"/>
                <w:b w:val="0"/>
                <w:bCs w:val="0"/>
                <w:color w:val="auto"/>
                <w:spacing w:val="0"/>
                <w:w w:val="100"/>
                <w:position w:val="0"/>
                <w:sz w:val="24"/>
                <w:szCs w:val="24"/>
                <w:highlight w:val="none"/>
              </w:rPr>
              <w:t>业绩得</w:t>
            </w:r>
            <w:r>
              <w:rPr>
                <w:rFonts w:hint="eastAsia" w:ascii="仿宋" w:hAnsi="仿宋" w:eastAsia="仿宋" w:cs="仿宋"/>
                <w:b w:val="0"/>
                <w:bCs w:val="0"/>
                <w:color w:val="auto"/>
                <w:spacing w:val="0"/>
                <w:w w:val="100"/>
                <w:position w:val="0"/>
                <w:sz w:val="24"/>
                <w:szCs w:val="24"/>
                <w:highlight w:val="none"/>
                <w:lang w:val="en-US" w:eastAsia="zh-CN"/>
              </w:rPr>
              <w:t>1</w:t>
            </w:r>
            <w:r>
              <w:rPr>
                <w:rFonts w:hint="eastAsia" w:ascii="仿宋" w:hAnsi="仿宋" w:eastAsia="仿宋" w:cs="仿宋"/>
                <w:b w:val="0"/>
                <w:bCs w:val="0"/>
                <w:color w:val="auto"/>
                <w:spacing w:val="0"/>
                <w:w w:val="100"/>
                <w:position w:val="0"/>
                <w:sz w:val="24"/>
                <w:szCs w:val="24"/>
                <w:highlight w:val="none"/>
              </w:rPr>
              <w:t>分，不提供不得分，满分</w:t>
            </w:r>
            <w:r>
              <w:rPr>
                <w:rFonts w:hint="eastAsia" w:ascii="仿宋" w:hAnsi="仿宋" w:eastAsia="仿宋" w:cs="仿宋"/>
                <w:b w:val="0"/>
                <w:bCs w:val="0"/>
                <w:color w:val="auto"/>
                <w:spacing w:val="0"/>
                <w:w w:val="100"/>
                <w:position w:val="0"/>
                <w:sz w:val="24"/>
                <w:szCs w:val="24"/>
                <w:highlight w:val="none"/>
                <w:lang w:val="en-US" w:eastAsia="zh-CN"/>
              </w:rPr>
              <w:t>9</w:t>
            </w:r>
            <w:r>
              <w:rPr>
                <w:rFonts w:hint="eastAsia" w:ascii="仿宋" w:hAnsi="仿宋" w:eastAsia="仿宋" w:cs="仿宋"/>
                <w:b w:val="0"/>
                <w:bCs w:val="0"/>
                <w:color w:val="auto"/>
                <w:spacing w:val="0"/>
                <w:w w:val="100"/>
                <w:position w:val="0"/>
                <w:sz w:val="24"/>
                <w:szCs w:val="24"/>
                <w:highlight w:val="none"/>
              </w:rPr>
              <w:t>分。</w:t>
            </w:r>
            <w:r>
              <w:rPr>
                <w:rFonts w:hint="eastAsia" w:ascii="仿宋" w:hAnsi="仿宋" w:eastAsia="仿宋" w:cs="仿宋"/>
                <w:b w:val="0"/>
                <w:bCs w:val="0"/>
                <w:color w:val="auto"/>
                <w:spacing w:val="0"/>
                <w:w w:val="100"/>
                <w:position w:val="0"/>
                <w:sz w:val="24"/>
                <w:szCs w:val="24"/>
                <w:highlight w:val="none"/>
                <w:lang w:val="en-US" w:eastAsia="zh-CN"/>
              </w:rPr>
              <w:t>投标人</w:t>
            </w:r>
            <w:r>
              <w:rPr>
                <w:rFonts w:hint="eastAsia" w:ascii="仿宋" w:hAnsi="仿宋" w:eastAsia="仿宋" w:cs="仿宋"/>
                <w:b w:val="0"/>
                <w:bCs w:val="0"/>
                <w:color w:val="auto"/>
                <w:spacing w:val="0"/>
                <w:w w:val="100"/>
                <w:position w:val="0"/>
                <w:sz w:val="24"/>
                <w:szCs w:val="24"/>
                <w:highlight w:val="none"/>
              </w:rPr>
              <w:t>提供的相关业绩证明资料</w:t>
            </w:r>
            <w:r>
              <w:rPr>
                <w:rFonts w:hint="eastAsia" w:ascii="仿宋" w:hAnsi="仿宋" w:eastAsia="仿宋" w:cs="仿宋"/>
                <w:b w:val="0"/>
                <w:bCs w:val="0"/>
                <w:color w:val="auto"/>
                <w:spacing w:val="0"/>
                <w:w w:val="100"/>
                <w:position w:val="0"/>
                <w:sz w:val="24"/>
                <w:szCs w:val="24"/>
                <w:highlight w:val="none"/>
                <w:lang w:val="en-US" w:eastAsia="zh-CN"/>
              </w:rPr>
              <w:t>提供</w:t>
            </w:r>
            <w:r>
              <w:rPr>
                <w:rFonts w:hint="eastAsia" w:ascii="仿宋" w:hAnsi="仿宋" w:eastAsia="仿宋" w:cs="仿宋"/>
                <w:b w:val="0"/>
                <w:bCs w:val="0"/>
                <w:color w:val="auto"/>
                <w:spacing w:val="0"/>
                <w:w w:val="100"/>
                <w:position w:val="0"/>
                <w:sz w:val="24"/>
                <w:szCs w:val="24"/>
                <w:highlight w:val="none"/>
              </w:rPr>
              <w:t>中标</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成交</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通知书</w:t>
            </w:r>
            <w:r>
              <w:rPr>
                <w:rFonts w:hint="eastAsia" w:ascii="仿宋" w:hAnsi="仿宋" w:eastAsia="仿宋" w:cs="仿宋"/>
                <w:b w:val="0"/>
                <w:bCs w:val="0"/>
                <w:color w:val="auto"/>
                <w:spacing w:val="0"/>
                <w:w w:val="100"/>
                <w:position w:val="0"/>
                <w:sz w:val="24"/>
                <w:szCs w:val="24"/>
                <w:highlight w:val="none"/>
                <w:lang w:val="en-US" w:eastAsia="zh-CN"/>
              </w:rPr>
              <w:t>或</w:t>
            </w:r>
            <w:r>
              <w:rPr>
                <w:rFonts w:hint="eastAsia" w:ascii="仿宋" w:hAnsi="仿宋" w:eastAsia="仿宋" w:cs="仿宋"/>
                <w:b w:val="0"/>
                <w:bCs w:val="0"/>
                <w:color w:val="auto"/>
                <w:spacing w:val="0"/>
                <w:w w:val="100"/>
                <w:position w:val="0"/>
                <w:sz w:val="24"/>
                <w:szCs w:val="24"/>
                <w:highlight w:val="none"/>
              </w:rPr>
              <w:t>合同</w:t>
            </w:r>
            <w:r>
              <w:rPr>
                <w:rFonts w:hint="eastAsia" w:ascii="仿宋" w:hAnsi="仿宋" w:eastAsia="仿宋" w:cs="仿宋"/>
                <w:b w:val="0"/>
                <w:bCs w:val="0"/>
                <w:color w:val="auto"/>
                <w:spacing w:val="0"/>
                <w:w w:val="100"/>
                <w:position w:val="0"/>
                <w:sz w:val="24"/>
                <w:szCs w:val="24"/>
                <w:highlight w:val="none"/>
                <w:lang w:val="en-US" w:eastAsia="zh-CN"/>
              </w:rPr>
              <w:t>的原件或</w:t>
            </w:r>
            <w:r>
              <w:rPr>
                <w:rFonts w:hint="eastAsia" w:ascii="仿宋" w:hAnsi="仿宋" w:eastAsia="仿宋" w:cs="仿宋"/>
                <w:b w:val="0"/>
                <w:bCs w:val="0"/>
                <w:color w:val="auto"/>
                <w:spacing w:val="0"/>
                <w:w w:val="100"/>
                <w:position w:val="0"/>
                <w:sz w:val="24"/>
                <w:szCs w:val="24"/>
                <w:highlight w:val="none"/>
              </w:rPr>
              <w:t>复印件</w:t>
            </w:r>
            <w:r>
              <w:rPr>
                <w:rFonts w:hint="eastAsia" w:ascii="仿宋" w:hAnsi="仿宋" w:eastAsia="仿宋" w:cs="仿宋"/>
                <w:b w:val="0"/>
                <w:bCs w:val="0"/>
                <w:color w:val="auto"/>
                <w:spacing w:val="0"/>
                <w:w w:val="100"/>
                <w:position w:val="0"/>
                <w:sz w:val="24"/>
                <w:szCs w:val="24"/>
                <w:highlight w:val="none"/>
                <w:lang w:val="en-US" w:eastAsia="zh-CN"/>
              </w:rPr>
              <w:t>加盖单位公章</w:t>
            </w:r>
            <w:r>
              <w:rPr>
                <w:rFonts w:hint="eastAsia" w:ascii="仿宋" w:hAnsi="仿宋" w:eastAsia="仿宋" w:cs="仿宋"/>
                <w:b w:val="0"/>
                <w:bCs w:val="0"/>
                <w:color w:val="auto"/>
                <w:spacing w:val="0"/>
                <w:w w:val="100"/>
                <w:position w:val="0"/>
                <w:sz w:val="24"/>
                <w:szCs w:val="24"/>
                <w:highlight w:val="none"/>
              </w:rPr>
              <w:t>为准，未提供证明资料的，字迹模糊、内容不清晰不</w:t>
            </w:r>
            <w:r>
              <w:rPr>
                <w:rFonts w:hint="eastAsia" w:ascii="仿宋" w:hAnsi="仿宋" w:eastAsia="仿宋" w:cs="仿宋"/>
                <w:b w:val="0"/>
                <w:bCs w:val="0"/>
                <w:color w:val="auto"/>
                <w:spacing w:val="0"/>
                <w:w w:val="100"/>
                <w:position w:val="0"/>
                <w:sz w:val="24"/>
                <w:szCs w:val="24"/>
                <w:highlight w:val="none"/>
                <w:lang w:val="en-US" w:eastAsia="zh-CN"/>
              </w:rPr>
              <w:t>算有效业绩不</w:t>
            </w:r>
            <w:r>
              <w:rPr>
                <w:rFonts w:hint="eastAsia" w:ascii="仿宋" w:hAnsi="仿宋" w:eastAsia="仿宋" w:cs="仿宋"/>
                <w:b w:val="0"/>
                <w:bCs w:val="0"/>
                <w:color w:val="auto"/>
                <w:spacing w:val="0"/>
                <w:w w:val="100"/>
                <w:position w:val="0"/>
                <w:sz w:val="24"/>
                <w:szCs w:val="24"/>
                <w:highlight w:val="none"/>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28"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rPr>
              <w:t>售后服务体系</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10分</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投标人提供类似业绩的采购人的满意反馈意见函，每提供一个采购人的反馈意见得1分，满分7分。设有专业售后维修工程师，能保证设备的日常维护及故障排除及技术服务支持，拥有完善的售后服务保障体系得2分；设有备件仓库保证常规配件供应得1分（附相应证明材料：房屋租赁合同等），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28"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“节能产品政府采购清单”和“环境标志产品政府采购清单”</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rPr>
              <w:t>1</w:t>
            </w:r>
            <w:r>
              <w:rPr>
                <w:rFonts w:hint="eastAsia" w:ascii="仿宋" w:hAnsi="仿宋" w:eastAsia="仿宋" w:cs="仿宋"/>
                <w:b w:val="0"/>
                <w:bCs w:val="0"/>
                <w:color w:val="auto"/>
                <w:spacing w:val="0"/>
                <w:w w:val="100"/>
                <w:position w:val="0"/>
                <w:sz w:val="24"/>
                <w:szCs w:val="24"/>
                <w:highlight w:val="none"/>
                <w:lang w:val="en-US" w:eastAsia="zh-CN"/>
              </w:rPr>
              <w:t>分</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对投标产品属于“节能产品清单”或“环保产品清单”有效期内中的产品（强制采购产品除外），每一项得0.5分；如投标产品同时属于“节能产品清单”和“环保产品清单”两个清单中产品的，每一项得0.5分，最高不得超过1分。</w:t>
            </w:r>
          </w:p>
        </w:tc>
      </w:tr>
    </w:tbl>
    <w:p>
      <w:pPr>
        <w:pageBreakBefore w:val="0"/>
        <w:wordWrap/>
        <w:topLinePunct w:val="0"/>
        <w:bidi w:val="0"/>
        <w:spacing w:before="36" w:line="360" w:lineRule="auto"/>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2 技术部分</w:t>
      </w:r>
    </w:p>
    <w:tbl>
      <w:tblPr>
        <w:tblStyle w:val="26"/>
        <w:tblW w:w="91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189"/>
        <w:gridCol w:w="745"/>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251"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项目</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评审因素</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1251" w:type="dxa"/>
            <w:vMerge w:val="restart"/>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技术部分</w:t>
            </w:r>
          </w:p>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（50分）</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实施方案</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8分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根据供应商针对本项目提供的实施方案、验收方案、培训方案（包括但不限于项目人员组成及实施、时间进度安排、验收方案、人员技术培训等）综合打分：根据投标人提供的项目安装实施及验收方案（包括：实施环境、项目实施计划、验收方案、项目团队职责等）进行评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1）方案内容详细完善，可操作性强，得8分；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 xml:space="preserve">2）方案内容基本完整，可操作性能满足项目基本要求，得5分；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3）方案内容一般，得2分；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251"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技术符合程度</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36分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firstLine="135"/>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1、投标产品的一般技术参数全部满足招标文件要求的得28分；由专家评审，逐条确定是否达到技术参数要求，参数一项负偏离扣1分扣完为止。</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firstLine="135"/>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2、投标产品鼓励先进性，所提供产品技术指标和性能（影响产品质量实质性参数）（包括标注★项参数）高于招标文件中技术参数和性能的可加分，每一项正偏离加1分，最多加分不超过8分。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firstLine="135"/>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（评审时所提供产品的技术参数以参数偏离表对应技术检验报告或第三方技术支持资料为准，未提供或者不能验证相关参数的，视为负偏离，按上述第一条标准扣分）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1251"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安装调试方案</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4分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对投标人响应的设备安装、调试、试运行、产品/系统质量承诺的完整性、合理性、可靠性进行评价，其中：</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1）能根据本项目实际情况提出方案，且安装调试方案科学、合理、安装程序与进度保障措施完善的得4 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 xml:space="preserve">2）安装调试方案基本可行、具备安装程序与进度保障措施的得 2分；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3）安装调试方案不完善、安装程序与进度保障措施考虑不周全的得 1 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1251"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售后服务能力</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2分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售后服务方案（包括但不限于：保修期、应急方案、故障处理方案，投标人到达现场的时间及维修恢复时间、售后服务具体措施）方案完整，可实施性高，得2分；基本完整，可实施性一般，得1分；不完整，可实施性较差，不得分。</w:t>
            </w:r>
          </w:p>
        </w:tc>
      </w:tr>
    </w:tbl>
    <w:p>
      <w:pPr>
        <w:pageBreakBefore w:val="0"/>
        <w:wordWrap/>
        <w:topLinePunct w:val="0"/>
        <w:bidi w:val="0"/>
        <w:spacing w:before="35" w:line="360" w:lineRule="auto"/>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5" w:line="360" w:lineRule="auto"/>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5" w:line="360" w:lineRule="auto"/>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3 价格部分</w:t>
      </w:r>
    </w:p>
    <w:tbl>
      <w:tblPr>
        <w:tblStyle w:val="86"/>
        <w:tblW w:w="8864"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3"/>
        <w:gridCol w:w="727"/>
        <w:gridCol w:w="6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0" w:hRule="atLeast"/>
        </w:trPr>
        <w:tc>
          <w:tcPr>
            <w:tcW w:w="1233" w:type="dxa"/>
            <w:vAlign w:val="top"/>
          </w:tcPr>
          <w:p>
            <w:pPr>
              <w:pageBreakBefore w:val="0"/>
              <w:wordWrap/>
              <w:topLinePunct w:val="0"/>
              <w:bidi w:val="0"/>
              <w:spacing w:before="38" w:line="360" w:lineRule="auto"/>
              <w:ind w:firstLine="142"/>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评分因素</w:t>
            </w:r>
          </w:p>
        </w:tc>
        <w:tc>
          <w:tcPr>
            <w:tcW w:w="727" w:type="dxa"/>
            <w:vAlign w:val="top"/>
          </w:tcPr>
          <w:p>
            <w:pPr>
              <w:pageBreakBefore w:val="0"/>
              <w:wordWrap/>
              <w:topLinePunct w:val="0"/>
              <w:bidi w:val="0"/>
              <w:spacing w:before="38" w:line="360" w:lineRule="auto"/>
              <w:ind w:firstLine="13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c>
          <w:tcPr>
            <w:tcW w:w="6904" w:type="dxa"/>
            <w:vAlign w:val="top"/>
          </w:tcPr>
          <w:p>
            <w:pPr>
              <w:pageBreakBefore w:val="0"/>
              <w:wordWrap/>
              <w:topLinePunct w:val="0"/>
              <w:bidi w:val="0"/>
              <w:spacing w:before="38" w:line="360" w:lineRule="auto"/>
              <w:ind w:firstLine="3250"/>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7" w:hRule="atLeast"/>
        </w:trPr>
        <w:tc>
          <w:tcPr>
            <w:tcW w:w="1233" w:type="dxa"/>
            <w:vAlign w:val="center"/>
          </w:tcPr>
          <w:p>
            <w:pPr>
              <w:pageBreakBefore w:val="0"/>
              <w:wordWrap/>
              <w:topLinePunct w:val="0"/>
              <w:bidi w:val="0"/>
              <w:spacing w:before="270" w:line="360" w:lineRule="auto"/>
              <w:ind w:firstLine="142"/>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评标价格</w:t>
            </w:r>
          </w:p>
        </w:tc>
        <w:tc>
          <w:tcPr>
            <w:tcW w:w="727" w:type="dxa"/>
            <w:vAlign w:val="center"/>
          </w:tcPr>
          <w:p>
            <w:pPr>
              <w:pageBreakBefore w:val="0"/>
              <w:wordWrap/>
              <w:topLinePunct w:val="0"/>
              <w:bidi w:val="0"/>
              <w:spacing w:before="308" w:line="360" w:lineRule="auto"/>
              <w:ind w:firstLine="252"/>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30</w:t>
            </w:r>
          </w:p>
        </w:tc>
        <w:tc>
          <w:tcPr>
            <w:tcW w:w="6904" w:type="dxa"/>
            <w:vAlign w:val="top"/>
          </w:tcPr>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供</w:t>
            </w:r>
            <w:r>
              <w:rPr>
                <w:rFonts w:hint="eastAsia" w:ascii="仿宋" w:hAnsi="仿宋" w:eastAsia="仿宋" w:cs="仿宋"/>
                <w:b w:val="0"/>
                <w:bCs w:val="0"/>
                <w:color w:val="auto"/>
                <w:spacing w:val="0"/>
                <w:w w:val="100"/>
                <w:position w:val="0"/>
                <w:sz w:val="24"/>
                <w:szCs w:val="24"/>
                <w:highlight w:val="none"/>
              </w:rPr>
              <w:t>应商的报价得分（满分30分）</w:t>
            </w:r>
          </w:p>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综合评分法中的价格分统一采用低价优先法计算，即满足招标文件要求且投标价格最低的评审价为评标基准价，其价格分为满分。其他供应商的价格分统一按照下列公式计算：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价格得分＝（评标基准价/投标报价）×30</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结果保留两位小数）</w:t>
            </w:r>
          </w:p>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特别提示：评标委员会认为投标人的报价明显低于其他通过符合性审查投标人的报价，有可能影响产品质量或者不能诚信履约的，应当要求其在评标现场合理 的时间内提供书面说明，必要时提交相关证明材料； 投标人不能证明其报价合理性的，评标委员会应当将 其作为无效投标处理。</w:t>
            </w:r>
          </w:p>
        </w:tc>
      </w:tr>
    </w:tbl>
    <w:p>
      <w:pPr>
        <w:ind w:firstLine="474" w:firstLineChars="200"/>
        <w:rPr>
          <w:rFonts w:hint="eastAsia" w:ascii="仿宋" w:hAnsi="仿宋" w:eastAsia="仿宋" w:cs="仿宋"/>
          <w:b/>
          <w:spacing w:val="-2"/>
          <w:sz w:val="24"/>
          <w:szCs w:val="24"/>
        </w:rPr>
      </w:pP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2.3  评标程序</w:t>
      </w:r>
    </w:p>
    <w:p>
      <w:pPr>
        <w:ind w:firstLine="482" w:firstLineChars="200"/>
        <w:rPr>
          <w:rFonts w:ascii="仿宋" w:hAnsi="仿宋" w:eastAsia="仿宋" w:cs="仿宋"/>
          <w:b/>
          <w:sz w:val="24"/>
          <w:szCs w:val="24"/>
        </w:rPr>
      </w:pPr>
      <w:r>
        <w:rPr>
          <w:rFonts w:hint="eastAsia" w:ascii="仿宋" w:hAnsi="仿宋" w:eastAsia="仿宋" w:cs="仿宋"/>
          <w:b/>
          <w:sz w:val="24"/>
          <w:szCs w:val="24"/>
        </w:rPr>
        <w:t>2.3.1投标文件初审</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w:t>
      </w:r>
      <w:r>
        <w:rPr>
          <w:rFonts w:hint="eastAsia" w:ascii="仿宋" w:hAnsi="仿宋" w:eastAsia="仿宋" w:cs="仿宋"/>
          <w:sz w:val="24"/>
          <w:szCs w:val="24"/>
        </w:rPr>
        <w:t>依据</w:t>
      </w:r>
      <w:r>
        <w:rPr>
          <w:rFonts w:hint="eastAsia" w:ascii="仿宋" w:hAnsi="仿宋" w:eastAsia="仿宋" w:cs="仿宋"/>
          <w:spacing w:val="-2"/>
          <w:sz w:val="24"/>
          <w:szCs w:val="24"/>
        </w:rPr>
        <w:t>招标文件的规定，从投标文件的有效性、完整性和对招标文件的响应程度进行审查，以确定是否对招标文件的实质性要求作出响应。</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（2）评标委员会判断投标文件的响应性仅基于投标文件本身而不靠外部证据。</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（3）评标委员会将拒绝被确定为非实质性响应的投标。投标人不能通过修正或撤消不符合之处而使其投标成为实质性响应的投标。</w:t>
      </w:r>
    </w:p>
    <w:p>
      <w:pPr>
        <w:ind w:firstLine="482" w:firstLineChars="200"/>
        <w:rPr>
          <w:rFonts w:ascii="仿宋" w:hAnsi="仿宋" w:eastAsia="仿宋" w:cs="仿宋"/>
          <w:b/>
          <w:sz w:val="24"/>
          <w:szCs w:val="24"/>
        </w:rPr>
      </w:pPr>
      <w:r>
        <w:rPr>
          <w:rFonts w:hint="eastAsia" w:ascii="仿宋" w:hAnsi="仿宋" w:eastAsia="仿宋" w:cs="仿宋"/>
          <w:b/>
          <w:sz w:val="24"/>
          <w:szCs w:val="24"/>
        </w:rPr>
        <w:t>2.3.2 投标文件的澄清</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为有助于对投标文件进行审查、评估和比较，采购单位组建的评标委员会将对认为需要（不是每一个）的投标人进行询标，请投标人澄清其投标内容。投标人有责任按照采购单位通知的时间、地点指派专人进行答疑和澄清，询标时投标人代表应对重要内容做出书面答复。</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（2）重要澄清的答复应是书面的，但不得对报价、技术指标和参数等内容进行实质性修改。澄清文件须由投标人法人代表或法人授权代表签字和（或）加盖采购单位公章并作为投标文件的组成部分。</w:t>
      </w:r>
    </w:p>
    <w:p>
      <w:pPr>
        <w:ind w:firstLine="482" w:firstLineChars="200"/>
        <w:rPr>
          <w:rFonts w:ascii="仿宋" w:hAnsi="仿宋" w:eastAsia="仿宋" w:cs="仿宋"/>
          <w:b/>
          <w:sz w:val="24"/>
          <w:szCs w:val="24"/>
        </w:rPr>
      </w:pPr>
      <w:r>
        <w:rPr>
          <w:rFonts w:hint="eastAsia" w:ascii="仿宋" w:hAnsi="仿宋" w:eastAsia="仿宋" w:cs="仿宋"/>
          <w:b/>
          <w:sz w:val="24"/>
          <w:szCs w:val="24"/>
        </w:rPr>
        <w:t>2.3.3 对投标文件的评估和比较</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（1）评标委员会将对实质性响应的投标文件进行评估和比较，除考虑投标价格外，应从以下方面予以评估和比较：</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①投标产品配置及性能指标</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②所投产品选型综合评价</w:t>
      </w:r>
    </w:p>
    <w:p>
      <w:pPr>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③</w:t>
      </w:r>
      <w:r>
        <w:rPr>
          <w:rFonts w:hint="eastAsia" w:ascii="仿宋" w:hAnsi="仿宋" w:eastAsia="仿宋" w:cs="仿宋"/>
          <w:spacing w:val="-2"/>
          <w:sz w:val="24"/>
          <w:szCs w:val="24"/>
          <w:lang w:val="en-US" w:eastAsia="zh-CN"/>
        </w:rPr>
        <w:t>质量体系认证</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④质保年限</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⑤培训方案</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⑥质保承诺、售后服务体系及服务情况</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⑦</w:t>
      </w:r>
      <w:r>
        <w:rPr>
          <w:rFonts w:hint="eastAsia" w:ascii="仿宋" w:hAnsi="仿宋" w:eastAsia="仿宋" w:cs="仿宋"/>
          <w:spacing w:val="-2"/>
          <w:sz w:val="24"/>
          <w:szCs w:val="24"/>
          <w:lang w:eastAsia="zh-CN"/>
        </w:rPr>
        <w:t>同类品牌</w:t>
      </w:r>
      <w:r>
        <w:rPr>
          <w:rFonts w:hint="eastAsia" w:ascii="仿宋" w:hAnsi="仿宋" w:eastAsia="仿宋" w:cs="仿宋"/>
          <w:spacing w:val="-2"/>
          <w:sz w:val="24"/>
          <w:szCs w:val="24"/>
        </w:rPr>
        <w:t>业绩</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⑧投标函质量</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⑨其它有利投标资料</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在评估和比较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（3）在评标过程中，评标委员会发现投标人以他人名义投标、串通投标、以行贿手段谋取中标或者以其他弄虚作假方式投标的，应该及时向招标方和现场监督部门报告。</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（4）投标人不得误导、干扰招标方的评标活动。</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（5）评标一般应当在开标后当日内完成。不能在当日完成的，招标人应当提前3天通知所有投标人。</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（6）在评标过程中，因有效投标不足三家使得投标明显缺乏竞争性时，按政府采购相关法规规定处理。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（7）评标委员会根据全体评标成员签字的原始评标记录和评标结果编写评标报告。</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2.4. 推荐中标候选供应商。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82" w:firstLineChars="200"/>
        <w:rPr>
          <w:rFonts w:ascii="仿宋" w:hAnsi="仿宋" w:eastAsia="仿宋" w:cs="仿宋"/>
          <w:b/>
          <w:sz w:val="24"/>
          <w:szCs w:val="24"/>
        </w:rPr>
      </w:pPr>
      <w:r>
        <w:rPr>
          <w:rFonts w:hint="eastAsia" w:ascii="仿宋" w:hAnsi="仿宋" w:eastAsia="仿宋" w:cs="仿宋"/>
          <w:b/>
          <w:sz w:val="24"/>
          <w:szCs w:val="24"/>
        </w:rPr>
        <w:t>2.5  评标过程的保密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（2）投标人在评标过程中，所进行的力图影响评标结果的不符合《政府采购法》及本次招标有关规定的活动，将被取消中标资格。</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3、中标</w:t>
      </w:r>
    </w:p>
    <w:p>
      <w:pPr>
        <w:ind w:firstLine="482" w:firstLineChars="200"/>
        <w:rPr>
          <w:rFonts w:ascii="仿宋" w:hAnsi="仿宋" w:eastAsia="仿宋" w:cs="仿宋"/>
          <w:b/>
          <w:sz w:val="24"/>
          <w:szCs w:val="24"/>
        </w:rPr>
      </w:pPr>
      <w:r>
        <w:rPr>
          <w:rFonts w:hint="eastAsia" w:ascii="仿宋" w:hAnsi="仿宋" w:eastAsia="仿宋" w:cs="仿宋"/>
          <w:b/>
          <w:sz w:val="24"/>
          <w:szCs w:val="24"/>
        </w:rPr>
        <w:t>3.1 中标确认</w:t>
      </w:r>
    </w:p>
    <w:p>
      <w:pPr>
        <w:ind w:firstLine="472" w:firstLineChars="200"/>
        <w:rPr>
          <w:rFonts w:ascii="仿宋" w:hAnsi="仿宋" w:eastAsia="仿宋" w:cs="仿宋"/>
          <w:bCs/>
          <w:sz w:val="24"/>
          <w:szCs w:val="24"/>
        </w:rPr>
      </w:pPr>
      <w:r>
        <w:rPr>
          <w:rFonts w:hint="eastAsia" w:ascii="仿宋" w:hAnsi="仿宋" w:eastAsia="仿宋" w:cs="仿宋"/>
          <w:bCs/>
          <w:spacing w:val="-2"/>
          <w:sz w:val="24"/>
          <w:szCs w:val="24"/>
        </w:rPr>
        <w:t>（1）</w:t>
      </w:r>
      <w:r>
        <w:rPr>
          <w:rFonts w:hint="eastAsia" w:ascii="仿宋" w:hAnsi="仿宋" w:eastAsia="仿宋" w:cs="仿宋"/>
          <w:bCs/>
          <w:sz w:val="24"/>
          <w:szCs w:val="24"/>
        </w:rPr>
        <w:t>招标方在评标结束后将评标报告送采购人，采购人根据评标报告确定的中标候选人名单，出具《定标确认书》，按顺序确定中标人。中标候选人并列的，由采购人或者采购人委托评标委员会按照招标文件规定的方式确定中标人。采购人在收到评标报告5个工作日内未按评标报告推荐的中标候选人顺序确定中标人，又不能说明合法理由的，视同按评标报告推荐的顺序确定排名第一的中标候选人为中标人。</w:t>
      </w:r>
    </w:p>
    <w:p>
      <w:pPr>
        <w:rPr>
          <w:rFonts w:ascii="仿宋" w:hAnsi="仿宋" w:eastAsia="仿宋" w:cs="仿宋"/>
          <w:bCs/>
          <w:spacing w:val="-2"/>
          <w:sz w:val="24"/>
          <w:szCs w:val="24"/>
        </w:rPr>
      </w:pPr>
      <w:r>
        <w:rPr>
          <w:rFonts w:hint="eastAsia" w:ascii="仿宋" w:hAnsi="仿宋" w:eastAsia="仿宋" w:cs="仿宋"/>
          <w:bCs/>
          <w:sz w:val="24"/>
          <w:szCs w:val="24"/>
        </w:rPr>
        <w:t>　　（2）采购人或者招标方自中标人确定之日起1个工作日内，在新疆政府采购网（http://www.ccgp-xinjiang.gov.cn/）上公告中标结果。</w:t>
      </w:r>
    </w:p>
    <w:p>
      <w:pPr>
        <w:ind w:firstLine="482" w:firstLineChars="200"/>
        <w:rPr>
          <w:rFonts w:ascii="仿宋" w:hAnsi="仿宋" w:eastAsia="仿宋" w:cs="仿宋"/>
          <w:b/>
          <w:sz w:val="24"/>
          <w:szCs w:val="24"/>
        </w:rPr>
      </w:pPr>
      <w:r>
        <w:rPr>
          <w:rFonts w:hint="eastAsia" w:ascii="仿宋" w:hAnsi="仿宋" w:eastAsia="仿宋" w:cs="仿宋"/>
          <w:b/>
          <w:sz w:val="24"/>
          <w:szCs w:val="24"/>
        </w:rPr>
        <w:t>3.2 中标通知书</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（1）招标结束后，招标方将以书面形式发出《中标通知书》，《中标通知书》发出后因质疑或投诉引起的中标结果变更，发出的《中标通知书》将自动作废。</w:t>
      </w:r>
    </w:p>
    <w:p>
      <w:pPr>
        <w:ind w:firstLine="472" w:firstLineChars="200"/>
        <w:rPr>
          <w:rFonts w:ascii="仿宋" w:hAnsi="仿宋" w:eastAsia="仿宋" w:cs="仿宋"/>
          <w:b/>
          <w:sz w:val="24"/>
          <w:szCs w:val="24"/>
        </w:rPr>
      </w:pPr>
      <w:r>
        <w:rPr>
          <w:rFonts w:hint="eastAsia" w:ascii="仿宋" w:hAnsi="仿宋" w:eastAsia="仿宋" w:cs="仿宋"/>
          <w:spacing w:val="-2"/>
          <w:sz w:val="24"/>
          <w:szCs w:val="24"/>
        </w:rPr>
        <w:t>（2）《中标通知书》将作为签订合同的依据，一经发出即发生法律效力。</w:t>
      </w:r>
    </w:p>
    <w:p>
      <w:pPr>
        <w:ind w:firstLine="480" w:firstLineChars="200"/>
        <w:rPr>
          <w:rFonts w:ascii="仿宋_GB2312" w:hAnsi="Arial" w:eastAsia="仿宋_GB2312"/>
          <w:spacing w:val="-2"/>
          <w:sz w:val="24"/>
          <w:szCs w:val="24"/>
        </w:rPr>
      </w:pPr>
      <w:r>
        <w:rPr>
          <w:rFonts w:hint="eastAsia" w:ascii="宋体" w:hAnsi="宋体" w:cs="宋体"/>
          <w:color w:val="000000"/>
          <w:kern w:val="0"/>
          <w:sz w:val="24"/>
          <w:szCs w:val="24"/>
        </w:rPr>
        <w:t>（3）</w:t>
      </w:r>
      <w:r>
        <w:rPr>
          <w:rFonts w:hint="eastAsia" w:ascii="仿宋_GB2312" w:hAnsi="Arial" w:eastAsia="仿宋_GB2312"/>
          <w:spacing w:val="-2"/>
          <w:sz w:val="24"/>
          <w:szCs w:val="24"/>
        </w:rPr>
        <w:t>中标方在领取《中标通知书》时，必须按招标文件规定向招标代理机构缴纳招标代理服务费。</w:t>
      </w:r>
    </w:p>
    <w:p>
      <w:pPr>
        <w:rPr>
          <w:rFonts w:ascii="仿宋_GB2312" w:hAnsi="Arial" w:eastAsia="仿宋_GB2312" w:cs="Times New Roman"/>
          <w:spacing w:val="-2"/>
          <w:sz w:val="24"/>
          <w:szCs w:val="24"/>
        </w:rPr>
      </w:pPr>
    </w:p>
    <w:p>
      <w:pPr>
        <w:pStyle w:val="25"/>
        <w:rPr>
          <w:rFonts w:ascii="仿宋_GB2312" w:hAnsi="Arial" w:eastAsia="仿宋_GB2312" w:cs="Times New Roman"/>
          <w:spacing w:val="-2"/>
          <w:sz w:val="24"/>
          <w:szCs w:val="24"/>
        </w:rPr>
      </w:pPr>
    </w:p>
    <w:p/>
    <w:p>
      <w:pPr>
        <w:jc w:val="center"/>
        <w:rPr>
          <w:rFonts w:ascii="仿宋_GB2312" w:hAnsi="宋体" w:eastAsia="仿宋_GB2312" w:cs="Times New Roman"/>
          <w:b/>
          <w:sz w:val="18"/>
          <w:szCs w:val="18"/>
        </w:rPr>
      </w:pPr>
      <w:bookmarkStart w:id="210" w:name="_Toc17675"/>
      <w:bookmarkStart w:id="211" w:name="_Toc27758"/>
      <w:bookmarkStart w:id="212" w:name="_Toc16214"/>
      <w:bookmarkStart w:id="213" w:name="_Toc10274"/>
      <w:bookmarkStart w:id="214" w:name="_Toc25873"/>
      <w:bookmarkStart w:id="215" w:name="_Toc4916"/>
      <w:bookmarkStart w:id="216" w:name="_Toc32107"/>
      <w:bookmarkStart w:id="217" w:name="_Toc21777"/>
      <w:bookmarkStart w:id="218" w:name="_Toc16601"/>
      <w:bookmarkStart w:id="219" w:name="_Toc5002"/>
      <w:bookmarkStart w:id="220" w:name="_Toc17820"/>
      <w:bookmarkStart w:id="221" w:name="_Toc26613"/>
      <w:bookmarkStart w:id="222" w:name="_Toc8330"/>
      <w:bookmarkStart w:id="223" w:name="_Toc28069"/>
      <w:bookmarkStart w:id="224" w:name="_Toc25010"/>
      <w:r>
        <w:rPr>
          <w:rFonts w:hint="eastAsia" w:ascii="仿宋_GB2312" w:hAnsi="宋体" w:eastAsia="仿宋_GB2312" w:cs="Times New Roman"/>
          <w:b/>
          <w:sz w:val="32"/>
          <w:szCs w:val="32"/>
        </w:rPr>
        <w:t>第三章 无效投标及废标</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ind w:firstLine="482" w:firstLineChars="200"/>
        <w:rPr>
          <w:rFonts w:ascii="仿宋" w:hAnsi="仿宋" w:eastAsia="仿宋" w:cs="仿宋"/>
          <w:b/>
          <w:sz w:val="24"/>
          <w:szCs w:val="24"/>
        </w:rPr>
      </w:pPr>
      <w:r>
        <w:rPr>
          <w:rFonts w:hint="eastAsia" w:ascii="仿宋" w:hAnsi="仿宋" w:eastAsia="仿宋" w:cs="仿宋"/>
          <w:b/>
          <w:sz w:val="24"/>
          <w:szCs w:val="24"/>
        </w:rPr>
        <w:t>1、无效标</w:t>
      </w:r>
    </w:p>
    <w:p>
      <w:pPr>
        <w:ind w:firstLine="482" w:firstLineChars="200"/>
        <w:rPr>
          <w:rFonts w:ascii="仿宋" w:hAnsi="仿宋" w:eastAsia="仿宋" w:cs="仿宋"/>
          <w:b/>
          <w:sz w:val="24"/>
          <w:szCs w:val="24"/>
        </w:rPr>
      </w:pPr>
      <w:r>
        <w:rPr>
          <w:rFonts w:hint="eastAsia" w:ascii="仿宋" w:hAnsi="仿宋" w:eastAsia="仿宋" w:cs="仿宋"/>
          <w:b/>
          <w:sz w:val="24"/>
          <w:szCs w:val="24"/>
        </w:rPr>
        <w:t>1.1　无效投标的概念</w:t>
      </w:r>
    </w:p>
    <w:p>
      <w:pPr>
        <w:ind w:firstLine="480" w:firstLineChars="200"/>
        <w:rPr>
          <w:rFonts w:ascii="仿宋" w:hAnsi="仿宋" w:eastAsia="仿宋" w:cs="仿宋"/>
          <w:sz w:val="24"/>
          <w:szCs w:val="24"/>
        </w:rPr>
      </w:pPr>
      <w:r>
        <w:rPr>
          <w:rFonts w:hint="eastAsia" w:ascii="仿宋" w:hAnsi="仿宋" w:eastAsia="仿宋" w:cs="仿宋"/>
          <w:sz w:val="24"/>
          <w:szCs w:val="24"/>
        </w:rPr>
        <w:t>无效投标一般是指由于投标人所递交的单个投标文件，经审查不符合招标文件资格性、符合性的要求，从而导致评标委员会拒绝接受该投标文件。无效投标对其他投标人投标行为的有效性不直接产生影响，该招标项目可以继续进行。</w:t>
      </w:r>
    </w:p>
    <w:p>
      <w:pPr>
        <w:ind w:firstLine="482" w:firstLineChars="200"/>
        <w:rPr>
          <w:rFonts w:ascii="仿宋" w:hAnsi="仿宋" w:eastAsia="仿宋" w:cs="仿宋"/>
          <w:b/>
          <w:sz w:val="24"/>
          <w:szCs w:val="24"/>
        </w:rPr>
      </w:pPr>
      <w:r>
        <w:rPr>
          <w:rFonts w:hint="eastAsia" w:ascii="仿宋" w:hAnsi="仿宋" w:eastAsia="仿宋" w:cs="仿宋"/>
          <w:b/>
          <w:sz w:val="24"/>
          <w:szCs w:val="24"/>
        </w:rPr>
        <w:t>1.2  有下列情况之一的投标应作无效标处理：</w:t>
      </w:r>
    </w:p>
    <w:p>
      <w:pPr>
        <w:ind w:firstLine="480" w:firstLineChars="200"/>
        <w:rPr>
          <w:rFonts w:ascii="仿宋" w:hAnsi="仿宋" w:eastAsia="仿宋" w:cs="仿宋"/>
          <w:sz w:val="24"/>
          <w:szCs w:val="24"/>
        </w:rPr>
      </w:pPr>
      <w:r>
        <w:rPr>
          <w:rFonts w:hint="eastAsia" w:ascii="仿宋" w:hAnsi="仿宋" w:eastAsia="仿宋" w:cs="仿宋"/>
          <w:sz w:val="24"/>
          <w:szCs w:val="24"/>
        </w:rPr>
        <w:t>（1）投标截止时间过后递交的投标文件；</w:t>
      </w:r>
    </w:p>
    <w:p>
      <w:pPr>
        <w:ind w:firstLine="480" w:firstLineChars="200"/>
        <w:rPr>
          <w:rFonts w:ascii="仿宋" w:hAnsi="仿宋" w:eastAsia="仿宋" w:cs="仿宋"/>
          <w:sz w:val="24"/>
          <w:szCs w:val="24"/>
        </w:rPr>
      </w:pPr>
      <w:r>
        <w:rPr>
          <w:rFonts w:hint="eastAsia" w:ascii="仿宋" w:hAnsi="仿宋" w:eastAsia="仿宋" w:cs="仿宋"/>
          <w:sz w:val="24"/>
          <w:szCs w:val="24"/>
        </w:rPr>
        <w:t>（2）应交未交投标保证金的；</w:t>
      </w:r>
    </w:p>
    <w:p>
      <w:pPr>
        <w:ind w:firstLine="480" w:firstLineChars="200"/>
        <w:rPr>
          <w:rFonts w:ascii="仿宋" w:hAnsi="仿宋" w:eastAsia="仿宋" w:cs="仿宋"/>
          <w:sz w:val="24"/>
          <w:szCs w:val="24"/>
        </w:rPr>
      </w:pPr>
      <w:r>
        <w:rPr>
          <w:rFonts w:hint="eastAsia" w:ascii="仿宋" w:hAnsi="仿宋" w:eastAsia="仿宋" w:cs="仿宋"/>
          <w:sz w:val="24"/>
          <w:szCs w:val="24"/>
        </w:rPr>
        <w:t>（3）不具备招标文件中规定资格要求的；</w:t>
      </w:r>
    </w:p>
    <w:p>
      <w:pPr>
        <w:ind w:firstLine="480" w:firstLineChars="200"/>
        <w:rPr>
          <w:rFonts w:ascii="仿宋" w:hAnsi="仿宋" w:eastAsia="仿宋" w:cs="仿宋"/>
          <w:sz w:val="24"/>
          <w:szCs w:val="24"/>
        </w:rPr>
      </w:pPr>
      <w:r>
        <w:rPr>
          <w:rFonts w:hint="eastAsia" w:ascii="仿宋" w:hAnsi="仿宋" w:eastAsia="仿宋" w:cs="仿宋"/>
          <w:sz w:val="24"/>
          <w:szCs w:val="24"/>
        </w:rPr>
        <w:t>（4）未提供《开标一览表》的；</w:t>
      </w:r>
    </w:p>
    <w:p>
      <w:pPr>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15"/>
          <w:kern w:val="0"/>
          <w:sz w:val="24"/>
          <w:szCs w:val="24"/>
        </w:rPr>
        <w:t>投标文件未按照采购文件规定要求密封、签署、盖章的；</w:t>
      </w:r>
    </w:p>
    <w:p>
      <w:pPr>
        <w:ind w:firstLine="480" w:firstLineChars="200"/>
        <w:rPr>
          <w:rFonts w:ascii="仿宋" w:hAnsi="仿宋" w:eastAsia="仿宋" w:cs="仿宋"/>
          <w:sz w:val="24"/>
          <w:szCs w:val="24"/>
        </w:rPr>
      </w:pPr>
      <w:r>
        <w:rPr>
          <w:rFonts w:hint="eastAsia" w:ascii="仿宋" w:hAnsi="仿宋" w:eastAsia="仿宋" w:cs="仿宋"/>
          <w:sz w:val="24"/>
          <w:szCs w:val="24"/>
        </w:rPr>
        <w:t>（6）投标报价超过招标文件中规定的预算金额或最高限价的</w:t>
      </w:r>
    </w:p>
    <w:p>
      <w:pPr>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投标文件载明的采购项目完成期限超过招标文件规定期限的</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（8）评标过程中拒绝澄清相关事宜和问题的；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（9）投标文件不真实，有欺骗行为的；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（10）投标文件含有采购人和</w:t>
      </w:r>
      <w:r>
        <w:rPr>
          <w:rFonts w:hint="eastAsia" w:ascii="仿宋" w:hAnsi="仿宋" w:eastAsia="仿宋" w:cs="仿宋"/>
          <w:bCs/>
          <w:sz w:val="24"/>
          <w:szCs w:val="24"/>
        </w:rPr>
        <w:t>采购代理机构</w:t>
      </w:r>
      <w:r>
        <w:rPr>
          <w:rFonts w:hint="eastAsia" w:ascii="仿宋" w:hAnsi="仿宋" w:eastAsia="仿宋" w:cs="仿宋"/>
          <w:sz w:val="24"/>
          <w:szCs w:val="24"/>
        </w:rPr>
        <w:t>不能接受的附加条件的；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（11）不符合招标文件规定的其他实质性要求的；</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2、废标</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2.1  废标的概念</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废标一般是指由于投标人所递交的所有投标文件，经评标委员会审查，在合格投标文件的数量、投标报价、招标过程的公正性上不符合法律的规定，从而导致评标委员会拒绝接受所有投标文件。废标对所有投标人的投标行为都直接产生影响，标志着该招标项目立即终止，需要重新招标或改用其他采购方式。</w:t>
      </w:r>
    </w:p>
    <w:p>
      <w:pPr>
        <w:tabs>
          <w:tab w:val="left" w:pos="1260"/>
        </w:tabs>
        <w:ind w:firstLine="482" w:firstLineChars="200"/>
        <w:rPr>
          <w:rFonts w:ascii="仿宋" w:hAnsi="仿宋" w:eastAsia="仿宋" w:cs="仿宋"/>
          <w:sz w:val="24"/>
          <w:szCs w:val="24"/>
        </w:rPr>
      </w:pPr>
      <w:r>
        <w:rPr>
          <w:rFonts w:hint="eastAsia" w:ascii="仿宋" w:hAnsi="仿宋" w:eastAsia="仿宋" w:cs="仿宋"/>
          <w:b/>
          <w:sz w:val="24"/>
          <w:szCs w:val="24"/>
        </w:rPr>
        <w:t>2.2  有下列情形之一的应予以废标</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tabs>
          <w:tab w:val="left" w:pos="1260"/>
        </w:tabs>
        <w:ind w:firstLine="480" w:firstLineChars="200"/>
        <w:rPr>
          <w:rFonts w:ascii="仿宋_GB2312" w:hAnsi="宋体" w:eastAsia="仿宋_GB2312" w:cs="Times New Roman"/>
          <w:sz w:val="24"/>
          <w:szCs w:val="20"/>
        </w:rPr>
      </w:pPr>
      <w:r>
        <w:rPr>
          <w:rFonts w:hint="eastAsia" w:ascii="仿宋" w:hAnsi="仿宋" w:eastAsia="仿宋" w:cs="仿宋"/>
          <w:sz w:val="24"/>
          <w:szCs w:val="24"/>
        </w:rPr>
        <w:t>(2)投标人的报价均超过了采购预算，且采购</w:t>
      </w:r>
      <w:r>
        <w:rPr>
          <w:rFonts w:hint="eastAsia" w:ascii="仿宋_GB2312" w:hAnsi="宋体" w:eastAsia="仿宋_GB2312" w:cs="Times New Roman"/>
          <w:sz w:val="24"/>
          <w:szCs w:val="20"/>
        </w:rPr>
        <w:t>人不能支付的；</w:t>
      </w:r>
    </w:p>
    <w:p>
      <w:pPr>
        <w:tabs>
          <w:tab w:val="left" w:pos="1260"/>
        </w:tabs>
        <w:ind w:firstLine="480" w:firstLineChars="200"/>
        <w:rPr>
          <w:rFonts w:ascii="宋体" w:hAnsi="宋体" w:cs="Times New Roman"/>
          <w:b/>
          <w:sz w:val="36"/>
          <w:szCs w:val="36"/>
        </w:rPr>
      </w:pPr>
      <w:r>
        <w:rPr>
          <w:rFonts w:hint="eastAsia" w:ascii="仿宋_GB2312" w:hAnsi="宋体" w:eastAsia="仿宋_GB2312" w:cs="Times New Roman"/>
          <w:sz w:val="24"/>
          <w:szCs w:val="20"/>
        </w:rPr>
        <w:t>(3)因重大变故，采购任务取消的。</w:t>
      </w:r>
      <w:bookmarkStart w:id="225" w:name="_Toc672"/>
      <w:bookmarkStart w:id="226" w:name="_Toc20557"/>
      <w:bookmarkStart w:id="227" w:name="_Toc12063"/>
      <w:bookmarkStart w:id="228" w:name="_Toc30979"/>
      <w:bookmarkStart w:id="229" w:name="_Toc9258"/>
      <w:bookmarkStart w:id="230" w:name="_Toc8279"/>
      <w:bookmarkStart w:id="231" w:name="_Toc19746"/>
      <w:bookmarkStart w:id="232" w:name="_Toc9812"/>
      <w:bookmarkStart w:id="233" w:name="_Toc24166"/>
      <w:bookmarkStart w:id="234" w:name="_Toc28963"/>
      <w:bookmarkStart w:id="235" w:name="_Toc24361"/>
      <w:bookmarkStart w:id="236" w:name="_Toc9991"/>
      <w:bookmarkStart w:id="237" w:name="_Toc20299"/>
      <w:bookmarkStart w:id="238" w:name="_Toc2991"/>
      <w:bookmarkStart w:id="239" w:name="_Toc30692"/>
    </w:p>
    <w:p>
      <w:pPr>
        <w:rPr>
          <w:rFonts w:hint="eastAsia" w:ascii="宋体" w:hAnsi="宋体" w:cs="Times New Roman"/>
          <w:b/>
          <w:sz w:val="36"/>
          <w:szCs w:val="36"/>
        </w:rPr>
      </w:pPr>
    </w:p>
    <w:p>
      <w:pPr>
        <w:tabs>
          <w:tab w:val="left" w:pos="1260"/>
        </w:tabs>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pStyle w:val="25"/>
        <w:rPr>
          <w:rFonts w:hint="eastAsia" w:ascii="宋体" w:hAnsi="宋体" w:cs="Times New Roman"/>
          <w:b/>
          <w:sz w:val="36"/>
          <w:szCs w:val="36"/>
        </w:rPr>
      </w:pPr>
    </w:p>
    <w:p>
      <w:pPr>
        <w:rPr>
          <w:rFonts w:hint="eastAsia" w:ascii="宋体" w:hAnsi="宋体" w:cs="Times New Roman"/>
          <w:b/>
          <w:sz w:val="36"/>
          <w:szCs w:val="36"/>
        </w:rPr>
      </w:pPr>
    </w:p>
    <w:p>
      <w:pPr>
        <w:pStyle w:val="25"/>
        <w:rPr>
          <w:rFonts w:hint="eastAsia" w:ascii="宋体" w:hAnsi="宋体" w:cs="Times New Roman"/>
          <w:b/>
          <w:sz w:val="36"/>
          <w:szCs w:val="36"/>
        </w:rPr>
      </w:pPr>
    </w:p>
    <w:p>
      <w:pPr>
        <w:rPr>
          <w:rFonts w:hint="eastAsia" w:ascii="宋体" w:hAnsi="宋体" w:cs="Times New Roman"/>
          <w:b/>
          <w:sz w:val="36"/>
          <w:szCs w:val="36"/>
        </w:rPr>
      </w:pPr>
    </w:p>
    <w:p>
      <w:pPr>
        <w:pStyle w:val="25"/>
        <w:rPr>
          <w:rFonts w:hint="eastAsia" w:ascii="宋体" w:hAnsi="宋体" w:cs="Times New Roman"/>
          <w:b/>
          <w:sz w:val="36"/>
          <w:szCs w:val="36"/>
        </w:rPr>
      </w:pPr>
    </w:p>
    <w:p>
      <w:pPr>
        <w:rPr>
          <w:rFonts w:hint="eastAsia"/>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rPr>
      </w:pPr>
    </w:p>
    <w:p>
      <w:pPr>
        <w:tabs>
          <w:tab w:val="left" w:pos="1260"/>
        </w:tabs>
        <w:ind w:firstLine="2891" w:firstLineChars="800"/>
        <w:jc w:val="both"/>
        <w:rPr>
          <w:rFonts w:ascii="宋体" w:hAnsi="宋体" w:cs="Times New Roman"/>
          <w:b/>
          <w:sz w:val="36"/>
          <w:szCs w:val="36"/>
        </w:rPr>
      </w:pPr>
      <w:r>
        <w:rPr>
          <w:rFonts w:hint="eastAsia" w:ascii="宋体" w:hAnsi="宋体" w:cs="Times New Roman"/>
          <w:b/>
          <w:sz w:val="36"/>
          <w:szCs w:val="36"/>
        </w:rPr>
        <w:t>第六部分  招标结束后注意事项</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snapToGrid w:val="0"/>
        <w:jc w:val="center"/>
        <w:outlineLvl w:val="1"/>
        <w:rPr>
          <w:rFonts w:ascii="仿宋_GB2312" w:hAnsi="宋体" w:eastAsia="仿宋_GB2312" w:cs="Times New Roman"/>
          <w:b/>
          <w:bCs/>
          <w:sz w:val="32"/>
          <w:szCs w:val="32"/>
        </w:rPr>
      </w:pPr>
      <w:bookmarkStart w:id="240" w:name="_Toc15299"/>
      <w:bookmarkStart w:id="241" w:name="_Toc11066"/>
      <w:bookmarkStart w:id="242" w:name="_Toc518"/>
      <w:bookmarkStart w:id="243" w:name="_Toc7360"/>
      <w:bookmarkStart w:id="244" w:name="_Toc25057"/>
      <w:bookmarkStart w:id="245" w:name="_Toc5215"/>
      <w:bookmarkStart w:id="246" w:name="_Toc3444"/>
      <w:bookmarkStart w:id="247" w:name="_Toc28495"/>
      <w:bookmarkStart w:id="248" w:name="_Toc7368"/>
      <w:bookmarkStart w:id="249" w:name="_Toc25464"/>
      <w:bookmarkStart w:id="250" w:name="_Toc22904"/>
      <w:bookmarkStart w:id="251" w:name="_Toc22243"/>
      <w:bookmarkStart w:id="252" w:name="_Toc3688"/>
      <w:bookmarkStart w:id="253" w:name="_Toc11531"/>
      <w:bookmarkStart w:id="254" w:name="_Toc13509"/>
      <w:bookmarkStart w:id="255" w:name="_Toc13503"/>
      <w:bookmarkStart w:id="256" w:name="_Toc25297"/>
      <w:bookmarkStart w:id="257" w:name="_Toc2328"/>
      <w:bookmarkStart w:id="258" w:name="_Toc19351"/>
      <w:r>
        <w:rPr>
          <w:rFonts w:hint="eastAsia" w:ascii="仿宋_GB2312" w:hAnsi="宋体" w:eastAsia="仿宋_GB2312" w:cs="Times New Roman"/>
          <w:b/>
          <w:bCs/>
          <w:sz w:val="32"/>
          <w:szCs w:val="32"/>
        </w:rPr>
        <w:t>第一章 质疑</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仿宋_GB2312" w:hAnsi="宋体" w:eastAsia="仿宋_GB2312" w:cs="Times New Roman"/>
          <w:b/>
          <w:bCs/>
          <w:sz w:val="32"/>
          <w:szCs w:val="32"/>
        </w:rPr>
        <w:t>处理</w:t>
      </w:r>
      <w:bookmarkEnd w:id="255"/>
      <w:bookmarkEnd w:id="256"/>
      <w:bookmarkEnd w:id="257"/>
      <w:bookmarkEnd w:id="258"/>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1、质疑提出</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1.1  投标人认为招标过程或中标结果使自己的合法权益受到损害的，应当在知道或者应知其权益受到损害之日起七个工作日内，一次性以书面形式对同一采购环节提出质疑。</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1.2 供应商提出质疑应当提交质疑函和必要的证明材料。质疑函应当包括下列内容：</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（二）质疑项目的名称、编号；</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（四）事实依据；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（五）必要的法律依据；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（六）提出质疑的日期。</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2 质疑答复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2.1 采购人或采购代理机构应当在收到质疑函后7个工作日内作出答复，并以书面形式通知质疑供应商。</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2.2 对招标组织程序、招标过程有质疑的由采购代理机构负责答复，对采购需求、评标结果有质疑的由采购人负责答复。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 </w:t>
      </w:r>
      <w:r>
        <w:rPr>
          <w:rFonts w:hint="eastAsia" w:ascii="仿宋" w:hAnsi="仿宋" w:eastAsia="仿宋" w:cs="仿宋"/>
          <w:sz w:val="24"/>
          <w:szCs w:val="24"/>
        </w:rPr>
        <w:t>投标人对采购人或招标方未在规定时间内作出答复的或者对质疑答复不满意，可以在答复期满后十五个工作日内向同级采购监管部门投诉。</w:t>
      </w:r>
    </w:p>
    <w:p>
      <w:pPr>
        <w:snapToGrid w:val="0"/>
        <w:ind w:firstLine="480" w:firstLineChars="200"/>
        <w:rPr>
          <w:rFonts w:ascii="仿宋_GB2312" w:hAnsi="Courier New" w:eastAsia="仿宋_GB2312" w:cs="Times New Roman"/>
          <w:sz w:val="24"/>
          <w:szCs w:val="24"/>
        </w:rPr>
      </w:pPr>
      <w:r>
        <w:rPr>
          <w:rFonts w:hint="eastAsia" w:ascii="仿宋" w:hAnsi="仿宋" w:eastAsia="仿宋" w:cs="仿宋"/>
          <w:sz w:val="24"/>
          <w:szCs w:val="24"/>
        </w:rPr>
        <w:t>2.4  质疑、投诉应当采用书面形式，质疑书、投诉书均应明确招标过程或中标结果中使自己合法权益受到损害的</w:t>
      </w:r>
      <w:r>
        <w:rPr>
          <w:rFonts w:hint="eastAsia" w:ascii="仿宋_GB2312" w:hAnsi="Courier New" w:eastAsia="仿宋_GB2312" w:cs="Times New Roman"/>
          <w:sz w:val="24"/>
          <w:szCs w:val="24"/>
        </w:rPr>
        <w:t>实质性内容，提供相关事实、依据和证据及其来源或线索，便于有关单位调查、答复和处理。</w:t>
      </w:r>
    </w:p>
    <w:p>
      <w:pPr>
        <w:jc w:val="center"/>
        <w:rPr>
          <w:rFonts w:ascii="仿宋_GB2312" w:hAnsi="Arial" w:eastAsia="仿宋_GB2312" w:cs="Times New Roman"/>
          <w:b/>
          <w:sz w:val="32"/>
          <w:szCs w:val="32"/>
        </w:rPr>
      </w:pPr>
      <w:bookmarkStart w:id="259" w:name="_Toc7296"/>
      <w:bookmarkStart w:id="260" w:name="_Toc15644"/>
      <w:bookmarkStart w:id="261" w:name="_Toc17178"/>
      <w:bookmarkStart w:id="262" w:name="_Toc6419"/>
      <w:bookmarkStart w:id="263" w:name="_Toc31205"/>
      <w:bookmarkStart w:id="264" w:name="_Toc10561"/>
      <w:bookmarkStart w:id="265" w:name="_Toc3081"/>
      <w:bookmarkStart w:id="266" w:name="_Toc9693"/>
      <w:bookmarkStart w:id="267" w:name="_Toc14025"/>
      <w:bookmarkStart w:id="268" w:name="_Toc2726"/>
      <w:bookmarkStart w:id="269" w:name="_Toc13635"/>
      <w:bookmarkStart w:id="270" w:name="_Toc21063"/>
      <w:bookmarkStart w:id="271" w:name="_Toc18572"/>
      <w:bookmarkStart w:id="272" w:name="_Toc11909"/>
      <w:bookmarkStart w:id="273" w:name="_Toc6206"/>
    </w:p>
    <w:p>
      <w:pPr>
        <w:jc w:val="center"/>
        <w:rPr>
          <w:rFonts w:hint="eastAsia" w:ascii="仿宋_GB2312" w:hAnsi="Arial" w:eastAsia="仿宋_GB2312" w:cs="Times New Roman"/>
          <w:b/>
          <w:sz w:val="32"/>
          <w:szCs w:val="32"/>
        </w:rPr>
      </w:pPr>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 xml:space="preserve">第二章 </w:t>
      </w:r>
      <w:bookmarkEnd w:id="259"/>
      <w:bookmarkEnd w:id="260"/>
      <w:bookmarkEnd w:id="261"/>
      <w:bookmarkEnd w:id="262"/>
      <w:bookmarkEnd w:id="263"/>
      <w:bookmarkEnd w:id="264"/>
      <w:bookmarkEnd w:id="265"/>
      <w:bookmarkEnd w:id="266"/>
      <w:bookmarkEnd w:id="267"/>
      <w:bookmarkEnd w:id="268"/>
      <w:bookmarkEnd w:id="269"/>
      <w:bookmarkEnd w:id="270"/>
      <w:r>
        <w:rPr>
          <w:rFonts w:hint="eastAsia" w:ascii="仿宋_GB2312" w:hAnsi="Arial" w:eastAsia="仿宋_GB2312" w:cs="Times New Roman"/>
          <w:b/>
          <w:sz w:val="32"/>
          <w:szCs w:val="32"/>
        </w:rPr>
        <w:t>签订合同</w:t>
      </w:r>
      <w:bookmarkEnd w:id="271"/>
      <w:bookmarkEnd w:id="272"/>
      <w:bookmarkEnd w:id="273"/>
    </w:p>
    <w:p>
      <w:pPr>
        <w:ind w:firstLine="474" w:firstLineChars="200"/>
        <w:rPr>
          <w:rFonts w:ascii="仿宋" w:hAnsi="仿宋" w:eastAsia="仿宋" w:cs="仿宋"/>
          <w:b/>
          <w:bCs/>
          <w:spacing w:val="-2"/>
          <w:sz w:val="24"/>
          <w:szCs w:val="24"/>
        </w:rPr>
      </w:pPr>
      <w:r>
        <w:rPr>
          <w:rFonts w:hint="eastAsia" w:ascii="仿宋" w:hAnsi="仿宋" w:eastAsia="仿宋" w:cs="仿宋"/>
          <w:b/>
          <w:bCs/>
          <w:spacing w:val="-2"/>
          <w:sz w:val="24"/>
          <w:szCs w:val="24"/>
        </w:rPr>
        <w:t>1、签订合同</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1.1　中标人收到采购代理机构的《中标通知书》后30日内，按照招标文件和投标书中的约定与采购人签订书面合同，所签订的合同不得对招标文件和中标人的投标文件作实质性修改。采购人不得向中标人提出任何不合理的要求作为签订合同的条件。</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1.2采购合同应当包括采购人与中标人的名称和住所、标的、数量、质量、报酬、履行期限及地点和方式、违约责任、解决争议的方法等内容。</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1.3不允许中标人将中标项目分包或转交他人承担。特殊情况下，中标人必须经采购代理机构和采购人同意后，可将合同标的中的部分由第三方承担供货和服务责任，但中标方必须对合同标的的全部内容向采购人负责，并保证第三方提供的供货和服务符合招标文件的约定和投标文件的承诺及相关约定。</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1.4采购人与中标人应当根据合同的约定依法履行合同义务。</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1.5采购合同的履行、违约责任和解决争议的方法等适用《中华人民共和国</w:t>
      </w:r>
      <w:r>
        <w:rPr>
          <w:rFonts w:hint="eastAsia" w:ascii="仿宋" w:hAnsi="仿宋" w:eastAsia="仿宋" w:cs="仿宋"/>
          <w:spacing w:val="-2"/>
          <w:sz w:val="24"/>
          <w:szCs w:val="24"/>
          <w:lang w:eastAsia="zh-CN"/>
        </w:rPr>
        <w:t>民法典</w:t>
      </w:r>
      <w:r>
        <w:rPr>
          <w:rFonts w:hint="eastAsia" w:ascii="仿宋" w:hAnsi="仿宋" w:eastAsia="仿宋" w:cs="仿宋"/>
          <w:spacing w:val="-2"/>
          <w:sz w:val="24"/>
          <w:szCs w:val="24"/>
        </w:rPr>
        <w:t>》。</w:t>
      </w:r>
    </w:p>
    <w:p>
      <w:pPr>
        <w:pStyle w:val="21"/>
        <w:widowControl/>
        <w:shd w:val="clear" w:fill="FFFFFF"/>
        <w:jc w:val="center"/>
        <w:rPr>
          <w:rFonts w:hint="eastAsia" w:ascii="宋体" w:hAnsi="宋体" w:cs="宋体"/>
          <w:sz w:val="36"/>
          <w:szCs w:val="36"/>
          <w:shd w:val="clear" w:fill="FFFFFF"/>
          <w:lang w:val="en-US" w:eastAsia="zh-CN"/>
        </w:rPr>
      </w:pPr>
    </w:p>
    <w:p>
      <w:pPr>
        <w:pStyle w:val="21"/>
        <w:widowControl/>
        <w:shd w:val="clear" w:fill="FFFFFF"/>
        <w:jc w:val="center"/>
        <w:rPr>
          <w:rFonts w:hint="eastAsia" w:ascii="宋体" w:hAnsi="宋体" w:cs="宋体"/>
          <w:sz w:val="36"/>
          <w:szCs w:val="36"/>
          <w:shd w:val="clear" w:fill="FFFFFF"/>
          <w:lang w:val="en-US" w:eastAsia="zh-CN"/>
        </w:rPr>
      </w:pPr>
    </w:p>
    <w:p>
      <w:pPr>
        <w:pStyle w:val="21"/>
        <w:widowControl/>
        <w:shd w:val="clear" w:fill="FFFFFF"/>
        <w:jc w:val="center"/>
        <w:rPr>
          <w:rFonts w:hint="eastAsia" w:ascii="宋体" w:hAnsi="宋体" w:cs="宋体"/>
          <w:sz w:val="36"/>
          <w:szCs w:val="36"/>
          <w:shd w:val="clear" w:fill="FFFFFF"/>
          <w:lang w:val="en-US" w:eastAsia="zh-CN"/>
        </w:rPr>
      </w:pPr>
    </w:p>
    <w:p>
      <w:pPr>
        <w:pStyle w:val="21"/>
        <w:widowControl/>
        <w:shd w:val="clear" w:fill="FFFFFF"/>
        <w:jc w:val="center"/>
        <w:rPr>
          <w:rFonts w:hint="eastAsia" w:ascii="宋体" w:hAnsi="宋体" w:eastAsia="宋体" w:cs="宋体"/>
          <w:sz w:val="36"/>
          <w:szCs w:val="36"/>
          <w:shd w:val="clear" w:fill="FFFFFF"/>
          <w:lang w:val="en-US"/>
        </w:rPr>
      </w:pPr>
      <w:r>
        <w:rPr>
          <w:rFonts w:hint="eastAsia" w:ascii="宋体" w:hAnsi="宋体" w:cs="宋体"/>
          <w:sz w:val="36"/>
          <w:szCs w:val="36"/>
          <w:shd w:val="clear" w:fill="FFFFFF"/>
          <w:lang w:val="en-US" w:eastAsia="zh-CN"/>
        </w:rPr>
        <w:t>木垒县人民医院</w:t>
      </w:r>
      <w:r>
        <w:rPr>
          <w:rFonts w:hint="eastAsia" w:ascii="宋体" w:hAnsi="宋体" w:eastAsia="宋体" w:cs="宋体"/>
          <w:sz w:val="36"/>
          <w:szCs w:val="36"/>
          <w:shd w:val="clear" w:fill="FFFFFF"/>
          <w:lang w:eastAsia="zh-CN"/>
        </w:rPr>
        <w:t>设备采购合同</w:t>
      </w:r>
    </w:p>
    <w:p>
      <w:pPr>
        <w:pStyle w:val="21"/>
        <w:widowControl/>
        <w:shd w:val="clear" w:fill="FFFFFF"/>
        <w:spacing w:line="504" w:lineRule="auto"/>
        <w:rPr>
          <w:rFonts w:hint="eastAsia" w:ascii="仿宋_GB2312" w:hAnsi="仿宋_GB2312" w:eastAsia="仿宋_GB2312" w:cs="仿宋_GB2312"/>
          <w:bCs/>
          <w:color w:val="000000"/>
          <w:sz w:val="30"/>
          <w:szCs w:val="30"/>
          <w:shd w:val="clear" w:fill="FFFFFF"/>
          <w:lang w:val="en-US"/>
        </w:rPr>
      </w:pPr>
      <w:r>
        <w:rPr>
          <w:rFonts w:hint="eastAsia" w:ascii="宋体" w:hAnsi="宋体" w:eastAsia="宋体" w:cs="宋体"/>
          <w:sz w:val="36"/>
          <w:szCs w:val="36"/>
          <w:shd w:val="clear" w:fill="FFFFFF"/>
          <w:lang w:val="en-US"/>
        </w:rPr>
        <w:t xml:space="preserve">                                 </w:t>
      </w:r>
      <w:r>
        <w:rPr>
          <w:rFonts w:hint="eastAsia" w:ascii="宋体" w:hAnsi="宋体" w:eastAsia="宋体" w:cs="宋体"/>
          <w:sz w:val="30"/>
          <w:szCs w:val="30"/>
          <w:shd w:val="clear" w:fill="FFFFFF"/>
          <w:lang w:eastAsia="zh-CN"/>
        </w:rPr>
        <w:t>合同编号：</w:t>
      </w:r>
    </w:p>
    <w:p>
      <w:pPr>
        <w:pStyle w:val="21"/>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采购方（以下简称甲方）：</w:t>
      </w:r>
      <w:r>
        <w:rPr>
          <w:rFonts w:hint="eastAsia" w:ascii="仿宋_GB2312" w:hAnsi="仿宋_GB2312" w:eastAsia="仿宋_GB2312" w:cs="仿宋_GB2312"/>
          <w:sz w:val="30"/>
          <w:szCs w:val="30"/>
          <w:shd w:val="clear" w:fill="FFFFFF"/>
          <w:lang w:val="en-US" w:eastAsia="zh-CN"/>
        </w:rPr>
        <w:t>木垒县</w:t>
      </w:r>
      <w:r>
        <w:rPr>
          <w:rFonts w:hint="eastAsia" w:ascii="仿宋_GB2312" w:hAnsi="仿宋_GB2312" w:eastAsia="仿宋_GB2312" w:cs="仿宋_GB2312"/>
          <w:sz w:val="30"/>
          <w:szCs w:val="30"/>
          <w:shd w:val="clear" w:fill="FFFFFF"/>
          <w:lang w:eastAsia="zh-CN"/>
        </w:rPr>
        <w:t>人民医院</w:t>
      </w:r>
      <w:r>
        <w:rPr>
          <w:rFonts w:hint="eastAsia" w:ascii="仿宋_GB2312" w:hAnsi="仿宋_GB2312" w:eastAsia="仿宋_GB2312" w:cs="仿宋_GB2312"/>
          <w:sz w:val="30"/>
          <w:szCs w:val="30"/>
          <w:shd w:val="clear" w:fill="FFFFFF"/>
          <w:lang w:val="en-US"/>
        </w:rPr>
        <w:t xml:space="preserve">  </w:t>
      </w:r>
    </w:p>
    <w:p>
      <w:pPr>
        <w:pStyle w:val="21"/>
        <w:widowControl/>
        <w:shd w:val="clear" w:fill="FFFFFF"/>
        <w:spacing w:line="504" w:lineRule="auto"/>
        <w:rPr>
          <w:rFonts w:hint="eastAsia" w:ascii="仿宋_GB2312" w:hAnsi="仿宋_GB2312" w:eastAsia="仿宋_GB2312" w:cs="仿宋_GB2312"/>
          <w:color w:val="000000" w:themeColor="text1"/>
          <w:sz w:val="30"/>
          <w:szCs w:val="30"/>
          <w:shd w:val="clear" w:fill="FFFFFF"/>
          <w:lang w:val="en-US"/>
          <w14:textFill>
            <w14:solidFill>
              <w14:schemeClr w14:val="tx1"/>
            </w14:solidFill>
          </w14:textFill>
        </w:rPr>
      </w:pPr>
      <w:r>
        <w:rPr>
          <w:rFonts w:hint="eastAsia" w:ascii="仿宋_GB2312" w:hAnsi="仿宋_GB2312" w:eastAsia="仿宋_GB2312" w:cs="仿宋_GB2312"/>
          <w:sz w:val="30"/>
          <w:szCs w:val="30"/>
          <w:shd w:val="clear" w:fill="FFFFFF"/>
          <w:lang w:eastAsia="zh-CN"/>
        </w:rPr>
        <w:t>地址：</w:t>
      </w:r>
      <w:r>
        <w:rPr>
          <w:rFonts w:hint="eastAsia" w:ascii="仿宋_GB2312" w:hAnsi="仿宋_GB2312" w:eastAsia="仿宋_GB2312" w:cs="仿宋_GB2312"/>
          <w:color w:val="000000" w:themeColor="text1"/>
          <w:sz w:val="30"/>
          <w:szCs w:val="30"/>
          <w:shd w:val="clear" w:fill="FFFFFF"/>
          <w:lang w:val="en-US" w:eastAsia="zh-CN"/>
          <w14:textFill>
            <w14:solidFill>
              <w14:schemeClr w14:val="tx1"/>
            </w14:solidFill>
          </w14:textFill>
        </w:rPr>
        <w:t>木垒县</w:t>
      </w:r>
      <w:r>
        <w:rPr>
          <w:rFonts w:hint="eastAsia" w:ascii="仿宋_GB2312" w:hAnsi="仿宋_GB2312" w:eastAsia="仿宋_GB2312" w:cs="仿宋_GB2312"/>
          <w:color w:val="000000" w:themeColor="text1"/>
          <w:sz w:val="30"/>
          <w:szCs w:val="30"/>
          <w:shd w:val="clear" w:fill="FFFFFF"/>
          <w:lang w:val="en-US"/>
          <w14:textFill>
            <w14:solidFill>
              <w14:schemeClr w14:val="tx1"/>
            </w14:solidFill>
          </w14:textFill>
        </w:rPr>
        <w:t xml:space="preserve">                                </w:t>
      </w:r>
    </w:p>
    <w:p>
      <w:pPr>
        <w:pStyle w:val="21"/>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color w:val="000000" w:themeColor="text1"/>
          <w:sz w:val="30"/>
          <w:szCs w:val="30"/>
          <w:shd w:val="clear" w:fill="FFFFFF"/>
          <w:lang w:eastAsia="zh-CN"/>
          <w14:textFill>
            <w14:solidFill>
              <w14:schemeClr w14:val="tx1"/>
            </w14:solidFill>
          </w14:textFill>
        </w:rPr>
        <w:t>电话：</w:t>
      </w:r>
      <w:r>
        <w:rPr>
          <w:rFonts w:hint="eastAsia" w:ascii="仿宋_GB2312" w:hAnsi="仿宋_GB2312" w:eastAsia="仿宋_GB2312" w:cs="仿宋_GB2312"/>
          <w:color w:val="000000" w:themeColor="text1"/>
          <w:sz w:val="30"/>
          <w:szCs w:val="30"/>
          <w:shd w:val="clear" w:fill="FFFFFF"/>
          <w:lang w:val="en-US" w:eastAsia="zh-CN"/>
          <w14:textFill>
            <w14:solidFill>
              <w14:schemeClr w14:val="tx1"/>
            </w14:solidFill>
          </w14:textFill>
        </w:rPr>
        <w:t>0994-4831777</w:t>
      </w:r>
      <w:r>
        <w:rPr>
          <w:rFonts w:hint="eastAsia" w:ascii="仿宋_GB2312" w:hAnsi="仿宋_GB2312" w:eastAsia="仿宋_GB2312" w:cs="仿宋_GB2312"/>
          <w:color w:val="000000" w:themeColor="text1"/>
          <w:sz w:val="30"/>
          <w:szCs w:val="30"/>
          <w:shd w:val="clear" w:fill="FFFFFF"/>
          <w:lang w:val="en-US"/>
          <w14:textFill>
            <w14:solidFill>
              <w14:schemeClr w14:val="tx1"/>
            </w14:solidFill>
          </w14:textFill>
        </w:rPr>
        <w:t xml:space="preserve"> </w:t>
      </w:r>
      <w:r>
        <w:rPr>
          <w:rFonts w:hint="eastAsia" w:ascii="仿宋_GB2312" w:hAnsi="仿宋_GB2312" w:eastAsia="仿宋_GB2312" w:cs="仿宋_GB2312"/>
          <w:sz w:val="30"/>
          <w:szCs w:val="30"/>
          <w:shd w:val="clear" w:fill="FFFFFF"/>
          <w:lang w:val="en-US"/>
        </w:rPr>
        <w:t xml:space="preserve">               </w:t>
      </w:r>
      <w:r>
        <w:rPr>
          <w:rFonts w:hint="eastAsia" w:ascii="仿宋_GB2312" w:hAnsi="仿宋_GB2312" w:eastAsia="仿宋_GB2312" w:cs="仿宋_GB2312"/>
          <w:sz w:val="30"/>
          <w:szCs w:val="30"/>
          <w:shd w:val="clear" w:fill="FFFFFF"/>
          <w:lang w:eastAsia="zh-CN"/>
        </w:rPr>
        <w:t>邮编：</w:t>
      </w:r>
      <w:r>
        <w:rPr>
          <w:rFonts w:hint="eastAsia" w:ascii="仿宋_GB2312" w:hAnsi="仿宋_GB2312" w:eastAsia="仿宋_GB2312" w:cs="仿宋_GB2312"/>
          <w:sz w:val="30"/>
          <w:szCs w:val="30"/>
          <w:shd w:val="clear" w:fill="FFFFFF"/>
          <w:lang w:val="en-US"/>
        </w:rPr>
        <w:t>831100</w:t>
      </w:r>
    </w:p>
    <w:p>
      <w:pPr>
        <w:pStyle w:val="21"/>
        <w:widowControl/>
        <w:shd w:val="clear" w:fill="FFFFFF"/>
        <w:spacing w:line="504" w:lineRule="auto"/>
        <w:ind w:left="7896" w:hanging="7896" w:hangingChars="2632"/>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供货方（以下简称乙方）</w:t>
      </w:r>
      <w:r>
        <w:rPr>
          <w:rFonts w:hint="eastAsia" w:ascii="仿宋_GB2312" w:hAnsi="仿宋_GB2312" w:eastAsia="仿宋_GB2312" w:cs="仿宋_GB2312"/>
          <w:sz w:val="30"/>
          <w:szCs w:val="30"/>
          <w:shd w:val="clear" w:fill="FFFFFF"/>
          <w:lang w:eastAsia="zh-CN"/>
        </w:rPr>
        <w:t xml:space="preserve">： </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地址：</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 xml:space="preserve">电话：                              邮编： </w:t>
      </w:r>
    </w:p>
    <w:p>
      <w:pPr>
        <w:pStyle w:val="21"/>
        <w:widowControl/>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甲方通过公开招标方式购买</w:t>
      </w:r>
      <w:r>
        <w:rPr>
          <w:rFonts w:hint="eastAsia" w:ascii="仿宋_GB2312" w:hAnsi="仿宋_GB2312" w:eastAsia="仿宋_GB2312" w:cs="仿宋_GB2312"/>
          <w:sz w:val="30"/>
          <w:szCs w:val="30"/>
          <w:lang w:eastAsia="zh-CN"/>
        </w:rPr>
        <w:t>一批医疗设备</w:t>
      </w:r>
      <w:r>
        <w:rPr>
          <w:rFonts w:hint="eastAsia" w:ascii="仿宋_GB2312" w:hAnsi="仿宋_GB2312" w:eastAsia="仿宋_GB2312" w:cs="仿宋_GB2312"/>
          <w:bCs/>
          <w:kern w:val="2"/>
          <w:sz w:val="30"/>
          <w:szCs w:val="30"/>
          <w:lang w:eastAsia="zh-CN"/>
        </w:rPr>
        <w:t>（</w:t>
      </w:r>
      <w:r>
        <w:rPr>
          <w:rFonts w:hint="eastAsia" w:ascii="仿宋_GB2312" w:hAnsi="仿宋_GB2312" w:eastAsia="仿宋_GB2312" w:cs="仿宋_GB2312"/>
          <w:bCs/>
          <w:kern w:val="2"/>
          <w:sz w:val="30"/>
          <w:szCs w:val="30"/>
          <w:lang w:val="en-US" w:eastAsia="zh-CN"/>
        </w:rPr>
        <w:t>木垒县人民医院能力提升项目医疗设备</w:t>
      </w:r>
      <w:r>
        <w:rPr>
          <w:rFonts w:hint="eastAsia" w:ascii="仿宋_GB2312" w:hAnsi="仿宋_GB2312" w:eastAsia="仿宋_GB2312" w:cs="仿宋_GB2312"/>
          <w:bCs/>
          <w:kern w:val="2"/>
          <w:sz w:val="30"/>
          <w:szCs w:val="30"/>
          <w:lang w:eastAsia="zh-CN"/>
        </w:rPr>
        <w:t>）</w:t>
      </w:r>
      <w:r>
        <w:rPr>
          <w:rFonts w:hint="eastAsia" w:ascii="仿宋_GB2312" w:hAnsi="仿宋_GB2312" w:eastAsia="仿宋_GB2312" w:cs="仿宋_GB2312"/>
          <w:sz w:val="30"/>
          <w:szCs w:val="30"/>
          <w:shd w:val="clear" w:fill="FFFFFF"/>
          <w:lang w:eastAsia="zh-CN"/>
        </w:rPr>
        <w:t>（招标文件编号：</w:t>
      </w:r>
      <w:r>
        <w:rPr>
          <w:rFonts w:hint="eastAsia" w:ascii="宋体" w:hAnsi="宋体" w:eastAsia="宋体" w:cs="宋体"/>
          <w:sz w:val="32"/>
          <w:szCs w:val="32"/>
          <w:lang w:val="en-US"/>
        </w:rPr>
        <w:t>XXXX</w:t>
      </w:r>
      <w:r>
        <w:rPr>
          <w:rFonts w:hint="eastAsia" w:ascii="仿宋_GB2312" w:hAnsi="仿宋_GB2312" w:eastAsia="仿宋_GB2312" w:cs="仿宋_GB2312"/>
          <w:sz w:val="30"/>
          <w:szCs w:val="30"/>
          <w:shd w:val="clear" w:fill="FFFFFF"/>
          <w:lang w:eastAsia="zh-CN"/>
        </w:rPr>
        <w:t>，招标项目名称</w:t>
      </w:r>
      <w:r>
        <w:rPr>
          <w:rFonts w:hint="eastAsia" w:ascii="仿宋_GB2312" w:hAnsi="仿宋_GB2312" w:eastAsia="仿宋_GB2312" w:cs="仿宋_GB2312"/>
          <w:sz w:val="30"/>
          <w:szCs w:val="30"/>
          <w:shd w:val="clear" w:fill="FFFFFF"/>
          <w:lang w:val="en-US"/>
        </w:rPr>
        <w:t>:</w:t>
      </w:r>
      <w:r>
        <w:rPr>
          <w:rFonts w:hint="eastAsia" w:ascii="仿宋_GB2312" w:hAnsi="仿宋_GB2312" w:eastAsia="仿宋_GB2312" w:cs="仿宋_GB2312"/>
          <w:bCs/>
          <w:kern w:val="2"/>
          <w:sz w:val="30"/>
          <w:szCs w:val="30"/>
          <w:lang w:val="en-US" w:eastAsia="zh-CN"/>
        </w:rPr>
        <w:t>木垒县人民医院能力提升项目医疗设备</w:t>
      </w:r>
      <w:r>
        <w:rPr>
          <w:rFonts w:hint="eastAsia" w:ascii="仿宋_GB2312" w:hAnsi="仿宋_GB2312" w:eastAsia="仿宋_GB2312" w:cs="仿宋_GB2312"/>
          <w:sz w:val="30"/>
          <w:szCs w:val="30"/>
          <w:shd w:val="clear" w:fill="FFFFFF"/>
          <w:lang w:eastAsia="zh-CN"/>
        </w:rPr>
        <w:t>（第</w:t>
      </w:r>
      <w:r>
        <w:rPr>
          <w:rFonts w:hint="eastAsia" w:ascii="仿宋_GB2312" w:hAnsi="仿宋_GB2312" w:eastAsia="仿宋_GB2312" w:cs="仿宋_GB2312"/>
          <w:sz w:val="30"/>
          <w:szCs w:val="30"/>
          <w:shd w:val="clear" w:fill="FFFFFF"/>
          <w:lang w:val="en-US"/>
        </w:rPr>
        <w:t>XX</w:t>
      </w:r>
      <w:r>
        <w:rPr>
          <w:rFonts w:hint="eastAsia" w:ascii="仿宋_GB2312" w:hAnsi="仿宋_GB2312" w:eastAsia="仿宋_GB2312" w:cs="仿宋_GB2312"/>
          <w:sz w:val="30"/>
          <w:szCs w:val="30"/>
          <w:shd w:val="clear" w:fill="FFFFFF"/>
          <w:lang w:eastAsia="zh-CN"/>
        </w:rPr>
        <w:t>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000000"/>
          <w:sz w:val="30"/>
          <w:szCs w:val="30"/>
          <w:shd w:val="clear" w:fill="FFFFFF"/>
          <w:lang w:eastAsia="zh-CN"/>
        </w:rPr>
        <w:t>。乙方作为厂家授权的供货商已成为该项目的中标方，现经甲乙双方充分协商，就</w:t>
      </w:r>
      <w:r>
        <w:rPr>
          <w:rFonts w:hint="eastAsia" w:ascii="仿宋_GB2312" w:hAnsi="仿宋_GB2312" w:eastAsia="仿宋_GB2312" w:cs="仿宋_GB2312"/>
          <w:color w:val="000000"/>
          <w:sz w:val="30"/>
          <w:szCs w:val="30"/>
          <w:lang w:eastAsia="zh-CN"/>
        </w:rPr>
        <w:t>设备的买卖、运输、安装、质保及人员培训等达成下列条款</w:t>
      </w:r>
      <w:r>
        <w:rPr>
          <w:rFonts w:hint="eastAsia" w:ascii="仿宋_GB2312" w:hAnsi="仿宋_GB2312" w:eastAsia="仿宋_GB2312" w:cs="仿宋_GB2312"/>
          <w:color w:val="000000"/>
          <w:sz w:val="30"/>
          <w:szCs w:val="30"/>
          <w:lang w:val="en-US"/>
        </w:rPr>
        <w:t>,</w:t>
      </w:r>
      <w:r>
        <w:rPr>
          <w:rFonts w:hint="eastAsia" w:ascii="仿宋_GB2312" w:hAnsi="仿宋_GB2312" w:eastAsia="仿宋_GB2312" w:cs="仿宋_GB2312"/>
          <w:color w:val="000000"/>
          <w:sz w:val="30"/>
          <w:szCs w:val="30"/>
          <w:shd w:val="clear" w:fill="FFFFFF"/>
          <w:lang w:eastAsia="zh-CN"/>
        </w:rPr>
        <w:t>共同信守。</w:t>
      </w:r>
    </w:p>
    <w:p>
      <w:pPr>
        <w:pStyle w:val="21"/>
        <w:widowControl/>
        <w:shd w:val="clear" w:fill="FFFFFF"/>
        <w:spacing w:line="504" w:lineRule="auto"/>
        <w:ind w:left="0" w:firstLine="602" w:firstLineChars="200"/>
        <w:rPr>
          <w:rFonts w:hint="eastAsia" w:ascii="仿宋_GB2312" w:hAnsi="仿宋_GB2312" w:eastAsia="仿宋_GB2312" w:cs="仿宋_GB2312"/>
          <w:b/>
          <w:bCs w:val="0"/>
          <w:sz w:val="30"/>
          <w:szCs w:val="30"/>
          <w:shd w:val="clear" w:fill="FFFFFF"/>
          <w:lang w:val="en-US"/>
        </w:rPr>
      </w:pPr>
      <w:r>
        <w:rPr>
          <w:rFonts w:hint="eastAsia" w:ascii="仿宋_GB2312" w:hAnsi="仿宋_GB2312" w:eastAsia="仿宋_GB2312" w:cs="仿宋_GB2312"/>
          <w:b/>
          <w:bCs/>
          <w:sz w:val="30"/>
          <w:szCs w:val="30"/>
          <w:shd w:val="clear" w:fill="FFFFFF"/>
          <w:lang w:eastAsia="zh-CN"/>
        </w:rPr>
        <w:t>一、经甲方同意，</w:t>
      </w:r>
      <w:r>
        <w:rPr>
          <w:rFonts w:hint="eastAsia" w:ascii="仿宋_GB2312" w:hAnsi="仿宋_GB2312" w:eastAsia="仿宋_GB2312" w:cs="仿宋_GB2312"/>
          <w:b/>
          <w:bCs w:val="0"/>
          <w:sz w:val="30"/>
          <w:szCs w:val="30"/>
          <w:shd w:val="clear" w:fill="FFFFFF"/>
          <w:lang w:eastAsia="zh-CN"/>
        </w:rPr>
        <w:t>乙方向甲方供应完全符合以下要求的设备</w:t>
      </w:r>
      <w:r>
        <w:rPr>
          <w:rFonts w:hint="eastAsia" w:ascii="仿宋_GB2312" w:hAnsi="仿宋_GB2312" w:eastAsia="仿宋_GB2312" w:cs="仿宋_GB2312"/>
          <w:b/>
          <w:bCs w:val="0"/>
          <w:sz w:val="30"/>
          <w:szCs w:val="30"/>
          <w:shd w:val="clear" w:fill="FFFFFF"/>
          <w:lang w:val="en-US"/>
        </w:rPr>
        <w:t>(</w:t>
      </w:r>
      <w:r>
        <w:rPr>
          <w:rFonts w:hint="eastAsia" w:ascii="仿宋_GB2312" w:hAnsi="仿宋_GB2312" w:eastAsia="仿宋_GB2312" w:cs="仿宋_GB2312"/>
          <w:b/>
          <w:bCs w:val="0"/>
          <w:sz w:val="30"/>
          <w:szCs w:val="30"/>
          <w:shd w:val="clear" w:fill="FFFFFF"/>
          <w:lang w:eastAsia="zh-CN"/>
        </w:rPr>
        <w:t>设备配置明细等附后</w:t>
      </w:r>
      <w:r>
        <w:rPr>
          <w:rFonts w:hint="eastAsia" w:ascii="仿宋_GB2312" w:hAnsi="仿宋_GB2312" w:eastAsia="仿宋_GB2312" w:cs="仿宋_GB2312"/>
          <w:b/>
          <w:bCs w:val="0"/>
          <w:sz w:val="30"/>
          <w:szCs w:val="30"/>
          <w:shd w:val="clear" w:fill="FFFFFF"/>
          <w:lang w:val="en-US"/>
        </w:rPr>
        <w:t>)</w:t>
      </w:r>
      <w:r>
        <w:rPr>
          <w:rFonts w:hint="eastAsia" w:ascii="仿宋_GB2312" w:hAnsi="仿宋_GB2312" w:eastAsia="仿宋_GB2312" w:cs="仿宋_GB2312"/>
          <w:b/>
          <w:bCs w:val="0"/>
          <w:sz w:val="30"/>
          <w:szCs w:val="30"/>
          <w:shd w:val="clear" w:fill="FFFFFF"/>
          <w:lang w:eastAsia="zh-CN"/>
        </w:rPr>
        <w:t>。</w:t>
      </w:r>
    </w:p>
    <w:tbl>
      <w:tblPr>
        <w:tblStyle w:val="2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0"/>
        <w:gridCol w:w="1865"/>
        <w:gridCol w:w="1736"/>
        <w:gridCol w:w="850"/>
        <w:gridCol w:w="851"/>
        <w:gridCol w:w="709"/>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序号</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设备名称</w:t>
            </w: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型号、品牌</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产地</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单位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数量</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单价（元）</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1</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lang w:val="en-US"/>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color w:val="000000"/>
                <w:sz w:val="24"/>
                <w:szCs w:val="24"/>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61"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lang w:val="en-US"/>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sz w:val="24"/>
                <w:szCs w:val="24"/>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sz w:val="24"/>
                <w:szCs w:val="24"/>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jc w:val="center"/>
              <w:rPr>
                <w:rFonts w:hint="eastAsia" w:ascii="仿宋_GB2312" w:hAnsi="仿宋_GB2312" w:eastAsia="仿宋_GB2312" w:cs="仿宋_GB2312"/>
                <w:color w:val="000000"/>
                <w:sz w:val="24"/>
                <w:szCs w:val="24"/>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20" w:hRule="atLeast"/>
        </w:trPr>
        <w:tc>
          <w:tcPr>
            <w:tcW w:w="97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spacing w:line="504" w:lineRule="auto"/>
              <w:ind w:left="0" w:firstLine="240" w:firstLineChars="100"/>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合计金额：￥</w:t>
            </w:r>
            <w:r>
              <w:rPr>
                <w:rFonts w:hint="eastAsia" w:ascii="仿宋_GB2312" w:hAnsi="仿宋_GB2312" w:eastAsia="仿宋_GB2312" w:cs="仿宋_GB2312"/>
                <w:sz w:val="24"/>
                <w:szCs w:val="24"/>
                <w:shd w:val="clear" w:fill="FFFFFF"/>
                <w:lang w:val="en-US"/>
              </w:rPr>
              <w:t xml:space="preserve">XXXX </w:t>
            </w:r>
            <w:r>
              <w:rPr>
                <w:rFonts w:hint="eastAsia" w:ascii="仿宋_GB2312" w:hAnsi="仿宋_GB2312" w:eastAsia="仿宋_GB2312" w:cs="仿宋_GB2312"/>
                <w:sz w:val="24"/>
                <w:szCs w:val="24"/>
                <w:shd w:val="clear" w:fill="FFFFFF"/>
              </w:rPr>
              <w:t>元 ，大写：人民币</w:t>
            </w:r>
            <w:r>
              <w:rPr>
                <w:rFonts w:hint="eastAsia" w:ascii="仿宋_GB2312" w:hAnsi="仿宋_GB2312" w:eastAsia="仿宋_GB2312" w:cs="仿宋_GB2312"/>
                <w:sz w:val="24"/>
                <w:szCs w:val="24"/>
                <w:shd w:val="clear" w:fill="FFFFFF"/>
                <w:lang w:val="en-US"/>
              </w:rPr>
              <w:t>XXXX</w:t>
            </w:r>
            <w:r>
              <w:rPr>
                <w:rFonts w:hint="eastAsia" w:ascii="仿宋_GB2312" w:hAnsi="仿宋_GB2312" w:eastAsia="仿宋_GB2312" w:cs="仿宋_GB2312"/>
                <w:sz w:val="24"/>
                <w:szCs w:val="24"/>
                <w:shd w:val="clear" w:fill="FFFFFF"/>
              </w:rPr>
              <w:t>元整。</w:t>
            </w:r>
          </w:p>
        </w:tc>
      </w:tr>
    </w:tbl>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设备的易耗配件必须在合同附件（附件</w:t>
      </w: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附件</w:t>
      </w: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：设备备品备件耗材清单、附件</w:t>
      </w: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）中注明，如无明确配件价格的由甲方市场询价后确认乙方的配件供给价格。</w:t>
      </w:r>
    </w:p>
    <w:p>
      <w:pPr>
        <w:pStyle w:val="21"/>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二、</w:t>
      </w:r>
      <w:r>
        <w:rPr>
          <w:rFonts w:hint="eastAsia" w:ascii="仿宋_GB2312" w:hAnsi="仿宋_GB2312" w:eastAsia="仿宋_GB2312" w:cs="仿宋_GB2312"/>
          <w:b/>
          <w:bCs/>
          <w:color w:val="000000"/>
          <w:sz w:val="30"/>
          <w:szCs w:val="30"/>
          <w:shd w:val="clear" w:fill="FFFFFF"/>
          <w:lang w:eastAsia="zh-CN"/>
        </w:rPr>
        <w:t>售后服务及质量保证</w:t>
      </w:r>
      <w:r>
        <w:rPr>
          <w:rFonts w:hint="eastAsia" w:ascii="仿宋_GB2312" w:hAnsi="仿宋_GB2312" w:eastAsia="仿宋_GB2312" w:cs="仿宋_GB2312"/>
          <w:bCs/>
          <w:color w:val="000000"/>
          <w:sz w:val="30"/>
          <w:szCs w:val="30"/>
          <w:shd w:val="clear" w:fill="FFFFFF"/>
          <w:lang w:eastAsia="zh-CN"/>
        </w:rPr>
        <w:t>：</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、设备（货物）验收合格后，由乙方免费保修</w:t>
      </w: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年，如乙方不具备自行维修的资质，可指定厂家指定的售后维保商（或厂家）向甲方履行质保义务。保修期后仍由乙方负责终身维修，乙方可委托厂家指定的售后维保商（或厂家）向甲方提供维保服务。在免费质保期内，乙方履行保修义务应免收材料和人工等一切费用，人为损坏不在保修范围内；免费保修期后仍由乙方或乙方指定的售后维保商（或厂家）负责终身维修，免费保修期满以后乙方或乙方指定的售后维保商（或厂家）履行保修义务只收取甲方材料费，其他费用予以免除。乙方指定的售后维保商（或厂家）未按照本合同约定履行质保义务的，视为乙方违约，乙方应根据本合同的约定承担违约责任。</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乙方或乙方指定的售后维保商（或厂家）自收到甲方维修要求（电话、微信、</w:t>
      </w:r>
      <w:r>
        <w:rPr>
          <w:rFonts w:hint="eastAsia" w:ascii="仿宋_GB2312" w:hAnsi="仿宋_GB2312" w:eastAsia="仿宋_GB2312" w:cs="仿宋_GB2312"/>
          <w:sz w:val="30"/>
          <w:szCs w:val="30"/>
          <w:shd w:val="clear" w:fill="FFFFFF"/>
          <w:lang w:val="en-US"/>
        </w:rPr>
        <w:t>QQ</w:t>
      </w:r>
      <w:r>
        <w:rPr>
          <w:rFonts w:hint="eastAsia" w:ascii="仿宋_GB2312" w:hAnsi="仿宋_GB2312" w:eastAsia="仿宋_GB2312" w:cs="仿宋_GB2312"/>
          <w:sz w:val="30"/>
          <w:szCs w:val="30"/>
          <w:shd w:val="clear" w:fill="FFFFFF"/>
          <w:lang w:eastAsia="zh-CN"/>
        </w:rPr>
        <w:t>、电子邮件、传真等不限）后应当在</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分钟内响应，</w:t>
      </w: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小时内提出解决方案并开始进行维修。乙方在甲方提出维修要求</w:t>
      </w:r>
      <w:r>
        <w:rPr>
          <w:rFonts w:hint="eastAsia" w:ascii="仿宋_GB2312" w:hAnsi="仿宋_GB2312" w:eastAsia="仿宋_GB2312" w:cs="仿宋_GB2312"/>
          <w:sz w:val="30"/>
          <w:szCs w:val="30"/>
          <w:shd w:val="clear" w:fill="FFFFFF"/>
          <w:lang w:val="en-US"/>
        </w:rPr>
        <w:t>24</w:t>
      </w:r>
      <w:r>
        <w:rPr>
          <w:rFonts w:hint="eastAsia" w:ascii="仿宋_GB2312" w:hAnsi="仿宋_GB2312" w:eastAsia="仿宋_GB2312" w:cs="仿宋_GB2312"/>
          <w:sz w:val="30"/>
          <w:szCs w:val="30"/>
          <w:shd w:val="clear" w:fill="FFFFFF"/>
          <w:lang w:eastAsia="zh-CN"/>
        </w:rPr>
        <w:t>小时内不能维修到位的，则自</w:t>
      </w:r>
      <w:r>
        <w:rPr>
          <w:rFonts w:hint="eastAsia" w:ascii="仿宋_GB2312" w:hAnsi="仿宋_GB2312" w:eastAsia="仿宋_GB2312" w:cs="仿宋_GB2312"/>
          <w:sz w:val="30"/>
          <w:szCs w:val="30"/>
          <w:shd w:val="clear" w:fill="FFFFFF"/>
          <w:lang w:val="en-US"/>
        </w:rPr>
        <w:t>24</w:t>
      </w:r>
      <w:r>
        <w:rPr>
          <w:rFonts w:hint="eastAsia" w:ascii="仿宋_GB2312" w:hAnsi="仿宋_GB2312" w:eastAsia="仿宋_GB2312" w:cs="仿宋_GB2312"/>
          <w:sz w:val="30"/>
          <w:szCs w:val="30"/>
          <w:shd w:val="clear" w:fill="FFFFFF"/>
          <w:lang w:eastAsia="zh-CN"/>
        </w:rPr>
        <w:t>小时届满，乙方即有义务提供备用机供甲方使用。备用机使用期限超过</w:t>
      </w:r>
      <w:r>
        <w:rPr>
          <w:rFonts w:hint="eastAsia" w:ascii="仿宋_GB2312" w:hAnsi="仿宋_GB2312" w:eastAsia="仿宋_GB2312" w:cs="仿宋_GB2312"/>
          <w:sz w:val="30"/>
          <w:szCs w:val="30"/>
          <w:shd w:val="clear" w:fill="FFFFFF"/>
          <w:lang w:val="en-US"/>
        </w:rPr>
        <w:t>7</w:t>
      </w:r>
      <w:r>
        <w:rPr>
          <w:rFonts w:hint="eastAsia" w:ascii="仿宋_GB2312" w:hAnsi="仿宋_GB2312" w:eastAsia="仿宋_GB2312" w:cs="仿宋_GB2312"/>
          <w:sz w:val="30"/>
          <w:szCs w:val="30"/>
          <w:shd w:val="clear" w:fill="FFFFFF"/>
          <w:lang w:eastAsia="zh-CN"/>
        </w:rPr>
        <w:t>日的，该备用机须为全新的，且功能、能耗及使用便利性不得低于本合同项下的机器设备。乙方逾期维修，甲方可自行组织维修，但相关费用由乙方承担，甲方可直接从乙方质保金中扣除，扣除后乙方应在</w:t>
      </w:r>
      <w:r>
        <w:rPr>
          <w:rFonts w:hint="eastAsia" w:ascii="仿宋_GB2312" w:hAnsi="仿宋_GB2312" w:eastAsia="仿宋_GB2312" w:cs="仿宋_GB2312"/>
          <w:sz w:val="30"/>
          <w:szCs w:val="30"/>
          <w:shd w:val="clear" w:fill="FFFFFF"/>
          <w:lang w:val="en-US"/>
        </w:rPr>
        <w:t>5</w:t>
      </w:r>
      <w:r>
        <w:rPr>
          <w:rFonts w:hint="eastAsia" w:ascii="仿宋_GB2312" w:hAnsi="仿宋_GB2312" w:eastAsia="仿宋_GB2312" w:cs="仿宋_GB2312"/>
          <w:sz w:val="30"/>
          <w:szCs w:val="30"/>
          <w:shd w:val="clear" w:fill="FFFFFF"/>
          <w:lang w:eastAsia="zh-CN"/>
        </w:rPr>
        <w:t>个日历日内将质保金补足。</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质保期内计算机系统乙方负责免费升级。其中系统中使用的厂家自主知识产权的系统软件，由乙方负责联系厂家进行终身免费升级和保修。除正常维修外，乙方应定期派工程师进行设备检查和维护。</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sz w:val="30"/>
          <w:szCs w:val="30"/>
          <w:shd w:val="clear" w:fill="FFFFFF"/>
          <w:lang w:eastAsia="zh-CN"/>
        </w:rPr>
        <w:t>乙方在中国国内设有维护部门和零备件库，保证对合同设备所需的零备件长期（本设备使用年限）供应。</w:t>
      </w:r>
    </w:p>
    <w:p>
      <w:pPr>
        <w:pStyle w:val="21"/>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三、安装、验收及培训</w:t>
      </w:r>
      <w:r>
        <w:rPr>
          <w:rFonts w:hint="eastAsia" w:ascii="仿宋_GB2312" w:hAnsi="仿宋_GB2312" w:eastAsia="仿宋_GB2312" w:cs="仿宋_GB2312"/>
          <w:sz w:val="30"/>
          <w:szCs w:val="30"/>
          <w:shd w:val="clear" w:fill="FFFFFF"/>
          <w:lang w:eastAsia="zh-CN"/>
        </w:rPr>
        <w:t>：</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将设备送达至甲方指定地点后，甲、乙双方对设备进行现场验收，并出具验收证明。若在验收时发现设备数量、规格、品种、参数、外观等不符合规定，甲方有权拒收货物，因此产生的相关费用均由乙方负担。</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验收标准：如招投标文件中有约定按照招投标文件中的约定，未予具体约定的，以国家或行业标准进行验收。安装调试完成符合验收条件时，由乙方向甲方提出书面验收要求，甲乙双方对设备、已完成培训的人员进行验收、考核，达到验收标准的，甲乙双方在验收报告上签字盖章，验收完成。必要时甲方可引入第三方或者委托专业机构进行验收，甲乙双方对该验收结果予以认可，验收费用由乙方负担。</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 xml:space="preserve">2. </w:t>
      </w:r>
      <w:r>
        <w:rPr>
          <w:rFonts w:hint="eastAsia" w:ascii="仿宋_GB2312" w:hAnsi="仿宋_GB2312" w:eastAsia="仿宋_GB2312" w:cs="仿宋_GB2312"/>
          <w:sz w:val="30"/>
          <w:szCs w:val="30"/>
          <w:shd w:val="clear" w:fill="FFFFFF"/>
          <w:lang w:eastAsia="zh-CN"/>
        </w:rPr>
        <w:t>乙方派工程师至甲方的使用科室对相关人员进行操作培训，直到参加培训人员具备独立操作能力并能排除使用中的一般性障碍，且培训结果至甲方满意为止。</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如有必要，甲方派人至乙方指定地点进行免费培训，甲方派出培训人员所产生的培训费用（交通、住宿、差旅等）均由乙方承担，培训的结果必须至甲方满意为止。</w:t>
      </w:r>
    </w:p>
    <w:p>
      <w:pPr>
        <w:pStyle w:val="21"/>
        <w:widowControl/>
        <w:shd w:val="clear" w:fill="FFFFFF"/>
        <w:spacing w:line="504" w:lineRule="auto"/>
        <w:ind w:left="0" w:firstLine="602" w:firstLineChars="200"/>
        <w:rPr>
          <w:rFonts w:hint="eastAsia" w:ascii="仿宋_GB2312" w:hAnsi="仿宋_GB2312" w:eastAsia="仿宋_GB2312" w:cs="仿宋_GB2312"/>
          <w:b/>
          <w:bCs/>
          <w:sz w:val="30"/>
          <w:szCs w:val="30"/>
          <w:shd w:val="clear" w:fill="FFFFFF"/>
          <w:lang w:val="en-US"/>
        </w:rPr>
      </w:pPr>
      <w:r>
        <w:rPr>
          <w:rFonts w:hint="eastAsia" w:ascii="仿宋_GB2312" w:hAnsi="仿宋_GB2312" w:eastAsia="仿宋_GB2312" w:cs="仿宋_GB2312"/>
          <w:b/>
          <w:bCs/>
          <w:sz w:val="30"/>
          <w:szCs w:val="30"/>
          <w:shd w:val="clear" w:fill="FFFFFF"/>
          <w:lang w:eastAsia="zh-CN"/>
        </w:rPr>
        <w:t>四、设备质量技术标准及包装：</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乙方保证所供设备的相关资质证照齐备、有效，并符合《国家医疗器械管理条例》的管理规定；乙方及所供设备的相关资证复印件作为本合同附件。</w:t>
      </w:r>
    </w:p>
    <w:p>
      <w:pPr>
        <w:pStyle w:val="21"/>
        <w:widowControl/>
        <w:shd w:val="clear" w:fill="FFFFFF"/>
        <w:spacing w:line="504" w:lineRule="auto"/>
        <w:ind w:left="0" w:firstLine="588" w:firstLineChars="196"/>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设备的质量技术标准应符合设备生产厂制定的出厂质量技术标准，并符合国家相关质量标准要求。乙方已知悉上述标准，并确认采用该标准的设备能满足甲方的要求。</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设备包装应为设备生产厂原包装。</w:t>
      </w:r>
    </w:p>
    <w:p>
      <w:pPr>
        <w:pStyle w:val="21"/>
        <w:widowControl/>
        <w:shd w:val="clear" w:fill="FFFFFF"/>
        <w:spacing w:line="504" w:lineRule="auto"/>
        <w:ind w:left="0" w:firstLine="602" w:firstLineChars="200"/>
        <w:rPr>
          <w:rFonts w:hint="eastAsia" w:ascii="仿宋_GB2312" w:hAnsi="仿宋_GB2312" w:eastAsia="仿宋_GB2312" w:cs="仿宋_GB2312"/>
          <w:b/>
          <w:bCs/>
          <w:sz w:val="30"/>
          <w:szCs w:val="30"/>
          <w:shd w:val="clear" w:fill="FFFFFF"/>
          <w:lang w:val="en-US"/>
        </w:rPr>
      </w:pPr>
      <w:r>
        <w:rPr>
          <w:rFonts w:hint="eastAsia" w:ascii="仿宋_GB2312" w:hAnsi="仿宋_GB2312" w:eastAsia="仿宋_GB2312" w:cs="仿宋_GB2312"/>
          <w:b/>
          <w:bCs/>
          <w:sz w:val="30"/>
          <w:szCs w:val="30"/>
          <w:shd w:val="clear" w:fill="FFFFFF"/>
          <w:lang w:eastAsia="zh-CN"/>
        </w:rPr>
        <w:t>五、付款方式：</w:t>
      </w:r>
    </w:p>
    <w:p>
      <w:pPr>
        <w:pStyle w:val="21"/>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sz w:val="30"/>
          <w:szCs w:val="30"/>
          <w:shd w:val="clear" w:fill="FFFFFF"/>
          <w:lang w:eastAsia="zh-CN"/>
        </w:rPr>
        <w:t>签订合同后向乙方支付合同款总额的30%，甲方收到乙方提供的设备向乙方支付合同款总额的30%，乙方安装调试完成、进行了相关验收和人员培训合格后向乙方支付合同款总额的30%；余款合同款总额的10%作为质保金，3年质保期满</w:t>
      </w:r>
      <w:r>
        <w:rPr>
          <w:rFonts w:hint="eastAsia" w:ascii="仿宋_GB2312" w:hAnsi="仿宋_GB2312" w:eastAsia="仿宋_GB2312" w:cs="仿宋_GB2312"/>
          <w:b w:val="0"/>
          <w:bCs w:val="0"/>
          <w:sz w:val="30"/>
          <w:szCs w:val="30"/>
          <w:shd w:val="clear" w:fill="FFFFFF"/>
          <w:lang w:eastAsia="zh-CN"/>
        </w:rPr>
        <w:t>无质量问题发生的乙方支付合同质保金。</w:t>
      </w:r>
    </w:p>
    <w:p>
      <w:pPr>
        <w:pStyle w:val="21"/>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b w:val="0"/>
          <w:bCs w:val="0"/>
          <w:sz w:val="30"/>
          <w:szCs w:val="30"/>
          <w:shd w:val="clear" w:fill="FFFFFF"/>
          <w:lang w:val="en-US" w:eastAsia="zh-CN"/>
        </w:rPr>
        <w:t>甲方未收到发票的，有权不予支付相应款项直至乙方提供合格发票，并不承担延迟付款责任。发票认证通过是付款的必要前提之一。</w:t>
      </w:r>
    </w:p>
    <w:p>
      <w:pPr>
        <w:pStyle w:val="21"/>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b w:val="0"/>
          <w:bCs w:val="0"/>
          <w:sz w:val="30"/>
          <w:szCs w:val="30"/>
          <w:shd w:val="clear" w:fill="FFFFFF"/>
          <w:lang w:val="en-US" w:eastAsia="zh-CN"/>
        </w:rPr>
        <w:t>乙方应对其指定的账号信息的真实性、安全性、正确性负责，因乙方收款信息问题造成的全部后果均由乙方自行承担。</w:t>
      </w:r>
    </w:p>
    <w:p>
      <w:pPr>
        <w:pStyle w:val="21"/>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b w:val="0"/>
          <w:bCs w:val="0"/>
          <w:sz w:val="30"/>
          <w:szCs w:val="30"/>
          <w:shd w:val="clear" w:fill="FFFFFF"/>
          <w:lang w:val="en-US" w:eastAsia="zh-CN"/>
        </w:rPr>
        <w:t xml:space="preserve">六、设备交付： </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乙方应在甲、乙双方合同签订之日起</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个日历日内将设备（包括：相应的图纸、操作手册、维护手册、质量保证文件、服务指南等）送达甲方指定地点并组织安装、验收和培训，并在</w:t>
      </w:r>
      <w:r>
        <w:rPr>
          <w:rFonts w:hint="eastAsia" w:ascii="仿宋_GB2312" w:hAnsi="仿宋_GB2312" w:eastAsia="仿宋_GB2312" w:cs="仿宋_GB2312"/>
          <w:sz w:val="30"/>
          <w:szCs w:val="30"/>
          <w:shd w:val="clear" w:fill="FFFFFF"/>
          <w:lang w:val="en-US"/>
        </w:rPr>
        <w:t xml:space="preserve"> 7</w:t>
      </w:r>
      <w:r>
        <w:rPr>
          <w:rFonts w:hint="eastAsia" w:ascii="仿宋_GB2312" w:hAnsi="仿宋_GB2312" w:eastAsia="仿宋_GB2312" w:cs="仿宋_GB2312"/>
          <w:sz w:val="30"/>
          <w:szCs w:val="30"/>
          <w:shd w:val="clear" w:fill="FFFFFF"/>
          <w:lang w:eastAsia="zh-CN"/>
        </w:rPr>
        <w:t>个日历日内完成设备验收及人员培训，设备运费及保险等费用由乙方承担。</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设备的配置详见附件</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表是本合同的附件部分。乙方应提供设备的技术文件，包括相应的图纸、操作手册、维护手册、质量保证文件、服务指南等。</w:t>
      </w:r>
    </w:p>
    <w:p>
      <w:pPr>
        <w:pStyle w:val="21"/>
        <w:widowControl/>
        <w:shd w:val="clear" w:fill="FFFFFF"/>
        <w:spacing w:line="504" w:lineRule="auto"/>
        <w:ind w:left="0" w:firstLine="602" w:firstLineChars="200"/>
        <w:rPr>
          <w:rFonts w:hint="eastAsia" w:ascii="仿宋_GB2312" w:hAnsi="仿宋_GB2312" w:eastAsia="仿宋_GB2312" w:cs="仿宋_GB2312"/>
          <w:bCs/>
          <w:sz w:val="30"/>
          <w:szCs w:val="30"/>
          <w:shd w:val="clear" w:fill="FFFFFF"/>
          <w:lang w:val="en-US"/>
        </w:rPr>
      </w:pPr>
      <w:r>
        <w:rPr>
          <w:rFonts w:hint="eastAsia" w:ascii="仿宋_GB2312" w:hAnsi="仿宋_GB2312" w:eastAsia="仿宋_GB2312" w:cs="仿宋_GB2312"/>
          <w:b/>
          <w:bCs w:val="0"/>
          <w:sz w:val="30"/>
          <w:szCs w:val="30"/>
          <w:shd w:val="clear" w:fill="FFFFFF"/>
          <w:lang w:eastAsia="zh-CN"/>
        </w:rPr>
        <w:t>七、合同有效期</w:t>
      </w:r>
      <w:r>
        <w:rPr>
          <w:rFonts w:hint="eastAsia" w:ascii="仿宋_GB2312" w:hAnsi="仿宋_GB2312" w:eastAsia="仿宋_GB2312" w:cs="仿宋_GB2312"/>
          <w:bCs/>
          <w:sz w:val="30"/>
          <w:szCs w:val="30"/>
          <w:shd w:val="clear" w:fill="FFFFFF"/>
          <w:lang w:eastAsia="zh-CN"/>
        </w:rPr>
        <w:t>：为本合同的履行期。</w:t>
      </w:r>
    </w:p>
    <w:p>
      <w:pPr>
        <w:pStyle w:val="21"/>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八、公证</w:t>
      </w:r>
      <w:r>
        <w:rPr>
          <w:rFonts w:hint="eastAsia" w:ascii="仿宋_GB2312" w:hAnsi="仿宋_GB2312" w:eastAsia="仿宋_GB2312" w:cs="仿宋_GB2312"/>
          <w:sz w:val="30"/>
          <w:szCs w:val="30"/>
          <w:shd w:val="clear" w:fill="FFFFFF"/>
          <w:lang w:eastAsia="zh-CN"/>
        </w:rPr>
        <w:t>：如需公证的，公证费用由提出公证需求的一方承担。</w:t>
      </w:r>
    </w:p>
    <w:p>
      <w:pPr>
        <w:pStyle w:val="21"/>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九、违约责任</w:t>
      </w:r>
      <w:r>
        <w:rPr>
          <w:rFonts w:hint="eastAsia" w:ascii="仿宋_GB2312" w:hAnsi="仿宋_GB2312" w:eastAsia="仿宋_GB2312" w:cs="仿宋_GB2312"/>
          <w:sz w:val="30"/>
          <w:szCs w:val="30"/>
          <w:shd w:val="clear" w:fill="FFFFFF"/>
          <w:lang w:val="en-US"/>
        </w:rPr>
        <w:t> </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sz w:val="30"/>
          <w:szCs w:val="30"/>
          <w:shd w:val="clear" w:fill="FFFFFF"/>
          <w:lang w:val="en-US"/>
        </w:rPr>
        <w:t> </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乙方逾期供货或者逾期完成验收、人员培训的，每逾期一日，按合同总金额的</w:t>
      </w: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向甲方支付违约金。</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乙方逾期超过</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日，甲方有权解除合同，乙方按合同总金额的</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向甲方支付违约金。</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如乙方交付的设备在验收时发现设备数量、规格、品种等不符合规定的，视为乙方根本违约，乙方应承担本合同总金额</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的违约金，并由甲方选择解除本合同或者要求乙方承担违约金后在指定期限内继续履行本合同约定的交付义务。</w:t>
      </w:r>
    </w:p>
    <w:p>
      <w:pPr>
        <w:pStyle w:val="21"/>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color w:val="000000"/>
          <w:sz w:val="30"/>
          <w:szCs w:val="30"/>
          <w:shd w:val="clear" w:fill="FFFFFF"/>
          <w:lang w:val="en-US"/>
        </w:rPr>
        <w:t xml:space="preserve"> </w:t>
      </w:r>
      <w:r>
        <w:rPr>
          <w:rFonts w:hint="eastAsia" w:ascii="仿宋_GB2312" w:hAnsi="仿宋_GB2312" w:eastAsia="仿宋_GB2312" w:cs="仿宋_GB2312"/>
          <w:color w:val="000000"/>
          <w:sz w:val="30"/>
          <w:szCs w:val="30"/>
          <w:shd w:val="clear" w:fill="FFFFFF"/>
          <w:lang w:eastAsia="zh-CN"/>
        </w:rPr>
        <w:t>如乙方</w:t>
      </w:r>
      <w:r>
        <w:rPr>
          <w:rFonts w:hint="eastAsia" w:ascii="仿宋_GB2312" w:hAnsi="仿宋_GB2312" w:eastAsia="仿宋_GB2312" w:cs="仿宋_GB2312"/>
          <w:sz w:val="30"/>
          <w:szCs w:val="30"/>
          <w:shd w:val="clear" w:fill="FFFFFF"/>
          <w:lang w:eastAsia="zh-CN"/>
        </w:rPr>
        <w:t>或乙方指定的售后维保商（或厂家）</w:t>
      </w:r>
      <w:r>
        <w:rPr>
          <w:rFonts w:hint="eastAsia" w:ascii="仿宋_GB2312" w:hAnsi="仿宋_GB2312" w:eastAsia="仿宋_GB2312" w:cs="仿宋_GB2312"/>
          <w:color w:val="000000"/>
          <w:sz w:val="30"/>
          <w:szCs w:val="30"/>
          <w:shd w:val="clear" w:fill="FFFFFF"/>
          <w:lang w:eastAsia="zh-CN"/>
        </w:rPr>
        <w:t>未能按照本合同第二条的约定履行质保义务，或不能及时响应按时提供质保服务的，除按照本合同二</w:t>
      </w:r>
      <w:r>
        <w:rPr>
          <w:rFonts w:hint="eastAsia" w:ascii="仿宋_GB2312" w:hAnsi="仿宋_GB2312" w:eastAsia="仿宋_GB2312" w:cs="仿宋_GB2312"/>
          <w:color w:val="000000"/>
          <w:sz w:val="30"/>
          <w:szCs w:val="30"/>
          <w:shd w:val="clear" w:fill="FFFFFF"/>
          <w:lang w:val="en-US"/>
        </w:rPr>
        <w:t>.2</w:t>
      </w:r>
      <w:r>
        <w:rPr>
          <w:rFonts w:hint="eastAsia" w:ascii="仿宋_GB2312" w:hAnsi="仿宋_GB2312" w:eastAsia="仿宋_GB2312" w:cs="仿宋_GB2312"/>
          <w:color w:val="000000"/>
          <w:sz w:val="30"/>
          <w:szCs w:val="30"/>
          <w:shd w:val="clear" w:fill="FFFFFF"/>
          <w:lang w:eastAsia="zh-CN"/>
        </w:rPr>
        <w:t>约定从乙方质保金中扣除维保费用后，每发生一次违约，乙方还应向甲方支付</w:t>
      </w:r>
      <w:r>
        <w:rPr>
          <w:rFonts w:hint="eastAsia" w:ascii="仿宋_GB2312" w:hAnsi="仿宋_GB2312" w:eastAsia="仿宋_GB2312" w:cs="仿宋_GB2312"/>
          <w:color w:val="000000"/>
          <w:sz w:val="30"/>
          <w:szCs w:val="30"/>
          <w:shd w:val="clear" w:fill="FFFFFF"/>
          <w:lang w:val="en-US"/>
        </w:rPr>
        <w:t>2000</w:t>
      </w:r>
      <w:r>
        <w:rPr>
          <w:rFonts w:hint="eastAsia" w:ascii="仿宋_GB2312" w:hAnsi="仿宋_GB2312" w:eastAsia="仿宋_GB2312" w:cs="仿宋_GB2312"/>
          <w:color w:val="000000"/>
          <w:sz w:val="30"/>
          <w:szCs w:val="30"/>
          <w:shd w:val="clear" w:fill="FFFFFF"/>
          <w:lang w:eastAsia="zh-CN"/>
        </w:rPr>
        <w:t>元的违约金。</w:t>
      </w:r>
    </w:p>
    <w:p>
      <w:pPr>
        <w:pStyle w:val="21"/>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5.</w:t>
      </w:r>
      <w:r>
        <w:rPr>
          <w:rFonts w:hint="eastAsia" w:ascii="仿宋_GB2312" w:hAnsi="仿宋_GB2312" w:eastAsia="仿宋_GB2312" w:cs="仿宋_GB2312"/>
          <w:color w:val="000000"/>
          <w:sz w:val="30"/>
          <w:szCs w:val="30"/>
          <w:shd w:val="clear" w:fill="FFFFFF"/>
          <w:lang w:eastAsia="zh-CN"/>
        </w:rPr>
        <w:t>如乙方未按本合同二</w:t>
      </w:r>
      <w:r>
        <w:rPr>
          <w:rFonts w:hint="eastAsia" w:ascii="仿宋_GB2312" w:hAnsi="仿宋_GB2312" w:eastAsia="仿宋_GB2312" w:cs="仿宋_GB2312"/>
          <w:color w:val="000000"/>
          <w:sz w:val="30"/>
          <w:szCs w:val="30"/>
          <w:shd w:val="clear" w:fill="FFFFFF"/>
          <w:lang w:val="en-US"/>
        </w:rPr>
        <w:t>.4</w:t>
      </w:r>
      <w:r>
        <w:rPr>
          <w:rFonts w:hint="eastAsia" w:ascii="仿宋_GB2312" w:hAnsi="仿宋_GB2312" w:eastAsia="仿宋_GB2312" w:cs="仿宋_GB2312"/>
          <w:color w:val="000000"/>
          <w:sz w:val="30"/>
          <w:szCs w:val="30"/>
          <w:shd w:val="clear" w:fill="FFFFFF"/>
          <w:lang w:eastAsia="zh-CN"/>
        </w:rPr>
        <w:t>的约定，不能保证本合同项下机器设备备件长期供应的，乙方应按照合同二</w:t>
      </w:r>
      <w:r>
        <w:rPr>
          <w:rFonts w:hint="eastAsia" w:ascii="仿宋_GB2312" w:hAnsi="仿宋_GB2312" w:eastAsia="仿宋_GB2312" w:cs="仿宋_GB2312"/>
          <w:color w:val="000000"/>
          <w:sz w:val="30"/>
          <w:szCs w:val="30"/>
          <w:shd w:val="clear" w:fill="FFFFFF"/>
          <w:lang w:val="en-US"/>
        </w:rPr>
        <w:t>.2</w:t>
      </w:r>
      <w:r>
        <w:rPr>
          <w:rFonts w:hint="eastAsia" w:ascii="仿宋_GB2312" w:hAnsi="仿宋_GB2312" w:eastAsia="仿宋_GB2312" w:cs="仿宋_GB2312"/>
          <w:color w:val="000000"/>
          <w:sz w:val="30"/>
          <w:szCs w:val="30"/>
          <w:shd w:val="clear" w:fill="FFFFFF"/>
          <w:lang w:eastAsia="zh-CN"/>
        </w:rPr>
        <w:t>的约定提供备用机，该备用机必须是全新的，且功能、能耗及使用便利性不得低于本合同项下的设备；如乙方不能提供符合要求的备用机的，本合同项下设备无法正常使用的，乙方应当按照当时的折旧后的价格予以回购，并赔偿甲方的全部直接和间接经济损失（包括甲方主张权利的仲裁费、律师费、差旅费、调查取证等相关费用）。</w:t>
      </w:r>
    </w:p>
    <w:p>
      <w:pPr>
        <w:pStyle w:val="21"/>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 xml:space="preserve">6. </w:t>
      </w:r>
      <w:r>
        <w:rPr>
          <w:rFonts w:hint="eastAsia" w:ascii="仿宋_GB2312" w:hAnsi="仿宋_GB2312" w:eastAsia="仿宋_GB2312" w:cs="仿宋_GB2312"/>
          <w:color w:val="000000"/>
          <w:sz w:val="30"/>
          <w:szCs w:val="30"/>
          <w:shd w:val="clear" w:fill="FFFFFF"/>
          <w:lang w:eastAsia="zh-CN"/>
        </w:rPr>
        <w:t>乙方在为甲方提供安装、调试、系统对接等服务时，应当确保不会影响甲方其他系统、设备的正常运行，如因此造成甲方其他系统、软件、设备无法运营或发生断电、断网等情形的，乙方应当全额赔偿甲方的损失，该损失包括但不限于：修理、重做、更换、重新调试的相关费用，财产和权益的直接减少，财产权益应当增加而未能增加的部分，数据丢失重新补录的时间和人力损失，为维权而产生的诉讼、仲裁、调查取证费用、差旅费、律师费等。</w:t>
      </w:r>
    </w:p>
    <w:p>
      <w:pPr>
        <w:pStyle w:val="21"/>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7.</w:t>
      </w:r>
      <w:r>
        <w:rPr>
          <w:rFonts w:hint="eastAsia" w:ascii="仿宋_GB2312" w:hAnsi="仿宋_GB2312" w:eastAsia="仿宋_GB2312" w:cs="仿宋_GB2312"/>
          <w:color w:val="000000"/>
          <w:sz w:val="30"/>
          <w:szCs w:val="30"/>
          <w:shd w:val="clear" w:fill="FFFFFF"/>
          <w:lang w:eastAsia="zh-CN"/>
        </w:rPr>
        <w:t>如因设备质量问题或乙方维护不及时，给甲方造成损失或导致甲方因此向第三方承担责任的，由甲方自行选择要求乙方对该设备予以免费退货或换货，乙方应承担因此给甲方造成的全部损失包括甲方向第三方承担赔偿的全部金额、甲方处理纠纷的费用等，还应向甲方承担本合同总金额</w:t>
      </w:r>
      <w:r>
        <w:rPr>
          <w:rFonts w:hint="eastAsia" w:ascii="仿宋_GB2312" w:hAnsi="仿宋_GB2312" w:eastAsia="仿宋_GB2312" w:cs="仿宋_GB2312"/>
          <w:color w:val="000000"/>
          <w:sz w:val="30"/>
          <w:szCs w:val="30"/>
          <w:shd w:val="clear" w:fill="FFFFFF"/>
          <w:lang w:val="en-US"/>
        </w:rPr>
        <w:t>30%</w:t>
      </w:r>
      <w:r>
        <w:rPr>
          <w:rFonts w:hint="eastAsia" w:ascii="仿宋_GB2312" w:hAnsi="仿宋_GB2312" w:eastAsia="仿宋_GB2312" w:cs="仿宋_GB2312"/>
          <w:color w:val="000000"/>
          <w:sz w:val="30"/>
          <w:szCs w:val="30"/>
          <w:shd w:val="clear" w:fill="FFFFFF"/>
          <w:lang w:eastAsia="zh-CN"/>
        </w:rPr>
        <w:t>的违约金。</w:t>
      </w:r>
    </w:p>
    <w:p>
      <w:pPr>
        <w:pStyle w:val="21"/>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8.</w:t>
      </w:r>
      <w:bookmarkStart w:id="274" w:name="_Hlk54300662"/>
      <w:r>
        <w:rPr>
          <w:rFonts w:hint="eastAsia" w:ascii="仿宋_GB2312" w:hAnsi="仿宋_GB2312" w:eastAsia="仿宋_GB2312" w:cs="仿宋_GB2312"/>
          <w:color w:val="000000"/>
          <w:sz w:val="30"/>
          <w:szCs w:val="30"/>
          <w:shd w:val="clear" w:fill="FFFFFF"/>
          <w:lang w:eastAsia="zh-CN"/>
        </w:rPr>
        <w:t>甲方如迟延付款的，每迟延一日应向乙方支付应付款总金额万分之一的违约金，该违约金累计达到合同总金额</w:t>
      </w:r>
      <w:r>
        <w:rPr>
          <w:rFonts w:hint="eastAsia" w:ascii="仿宋_GB2312" w:hAnsi="仿宋_GB2312" w:eastAsia="仿宋_GB2312" w:cs="仿宋_GB2312"/>
          <w:color w:val="000000"/>
          <w:sz w:val="30"/>
          <w:szCs w:val="30"/>
          <w:shd w:val="clear" w:fill="FFFFFF"/>
          <w:lang w:val="en-US"/>
        </w:rPr>
        <w:t>1%</w:t>
      </w:r>
      <w:r>
        <w:rPr>
          <w:rFonts w:hint="eastAsia" w:ascii="仿宋_GB2312" w:hAnsi="仿宋_GB2312" w:eastAsia="仿宋_GB2312" w:cs="仿宋_GB2312"/>
          <w:color w:val="000000"/>
          <w:sz w:val="30"/>
          <w:szCs w:val="30"/>
          <w:shd w:val="clear" w:fill="FFFFFF"/>
          <w:lang w:eastAsia="zh-CN"/>
        </w:rPr>
        <w:t>封顶。</w:t>
      </w:r>
      <w:bookmarkEnd w:id="274"/>
    </w:p>
    <w:p>
      <w:pPr>
        <w:pStyle w:val="21"/>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9.</w:t>
      </w:r>
      <w:r>
        <w:rPr>
          <w:rFonts w:hint="eastAsia" w:ascii="仿宋_GB2312" w:hAnsi="仿宋_GB2312" w:eastAsia="仿宋_GB2312" w:cs="仿宋_GB2312"/>
          <w:color w:val="000000"/>
          <w:sz w:val="30"/>
          <w:szCs w:val="30"/>
          <w:shd w:val="clear" w:fill="FFFFFF"/>
          <w:lang w:eastAsia="zh-CN"/>
        </w:rPr>
        <w:t>乙方依据本合同约定应当承担的各项违约金和损失赔偿，甲方均有权从应支付乙方的款项中扣除。</w:t>
      </w:r>
    </w:p>
    <w:p>
      <w:pPr>
        <w:pStyle w:val="21"/>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十、争议解决方法</w:t>
      </w:r>
      <w:r>
        <w:rPr>
          <w:rFonts w:hint="eastAsia" w:ascii="仿宋_GB2312" w:hAnsi="仿宋_GB2312" w:eastAsia="仿宋_GB2312" w:cs="仿宋_GB2312"/>
          <w:sz w:val="30"/>
          <w:szCs w:val="30"/>
          <w:shd w:val="clear" w:fill="FFFFFF"/>
          <w:lang w:eastAsia="zh-CN"/>
        </w:rPr>
        <w:t>：凡因本合同引起的或与本合同有关的任何争议，应协商解决，协商不成的，均应向甲方住所地人民法院提起诉讼。（如乙方为疆外企业）</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凡因本合同引起的或与本合同有关的任何争议，应协商解决，协商不成的，</w:t>
      </w:r>
      <w:r>
        <w:rPr>
          <w:rFonts w:hint="eastAsia" w:ascii="仿宋_GB2312" w:hAnsi="仿宋_GB2312" w:eastAsia="仿宋_GB2312" w:cs="仿宋_GB2312"/>
          <w:kern w:val="0"/>
          <w:sz w:val="30"/>
          <w:szCs w:val="30"/>
          <w:shd w:val="clear" w:fill="FFFFFF"/>
          <w:lang w:val="en-US" w:eastAsia="zh-CN" w:bidi="ar"/>
        </w:rPr>
        <w:t>均应提交钦州仲裁委员会，按照申请仲裁时该会现行有效的仲裁规则进行仲裁，采用网上仲裁的方式开庭。仲裁裁决是终局的，对双方均有约束力。（如乙方为疆内企业）</w:t>
      </w:r>
    </w:p>
    <w:p>
      <w:pPr>
        <w:pStyle w:val="21"/>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十一、其他</w:t>
      </w:r>
      <w:r>
        <w:rPr>
          <w:rFonts w:hint="eastAsia" w:ascii="仿宋_GB2312" w:hAnsi="仿宋_GB2312" w:eastAsia="仿宋_GB2312" w:cs="仿宋_GB2312"/>
          <w:sz w:val="30"/>
          <w:szCs w:val="30"/>
          <w:shd w:val="clear" w:fill="FFFFFF"/>
          <w:lang w:eastAsia="zh-CN"/>
        </w:rPr>
        <w:t>：</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合同变更须经双方书面同意。</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招标文件、乙方投标文件、</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等均作为本合同的附件，与本合同具有同等法律效力。</w:t>
      </w:r>
    </w:p>
    <w:p>
      <w:pPr>
        <w:keepNext w:val="0"/>
        <w:keepLines w:val="0"/>
        <w:widowControl w:val="0"/>
        <w:suppressLineNumbers w:val="0"/>
        <w:spacing w:before="0" w:beforeAutospacing="0" w:after="0" w:afterAutospacing="0" w:line="504" w:lineRule="auto"/>
        <w:ind w:left="0" w:right="0" w:firstLine="600" w:firstLineChars="200"/>
        <w:jc w:val="both"/>
        <w:rPr>
          <w:rFonts w:hint="eastAsia" w:ascii="仿宋_GB2312" w:hAnsi="仿宋_GB2312" w:eastAsia="仿宋_GB2312" w:cs="仿宋_GB2312"/>
          <w:kern w:val="0"/>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3.</w:t>
      </w:r>
      <w:bookmarkStart w:id="275" w:name="_Hlk7478227"/>
      <w:r>
        <w:rPr>
          <w:rFonts w:hint="eastAsia" w:ascii="仿宋_GB2312" w:hAnsi="仿宋_GB2312" w:eastAsia="仿宋_GB2312" w:cs="仿宋_GB2312"/>
          <w:kern w:val="0"/>
          <w:sz w:val="30"/>
          <w:szCs w:val="30"/>
          <w:shd w:val="clear" w:fill="FFFFFF"/>
          <w:lang w:val="en-US" w:eastAsia="zh-CN" w:bidi="ar"/>
        </w:rPr>
        <w:t>本合同所列地址、联系方式是双方确定的作为本合同项下合同履行、争议解决方式条款中所涉仲裁法律文书的送达地址和联系方式。本合同履行过程中送达的文书包括但不限于商业函件、开庭传票、开庭通知书、证据、判决书、裁定书、裁决书、调解书、执行裁定书等。</w:t>
      </w:r>
    </w:p>
    <w:p>
      <w:pPr>
        <w:keepNext w:val="0"/>
        <w:keepLines w:val="0"/>
        <w:widowControl w:val="0"/>
        <w:suppressLineNumbers w:val="0"/>
        <w:spacing w:before="0" w:beforeAutospacing="0" w:after="0" w:afterAutospacing="0" w:line="504" w:lineRule="auto"/>
        <w:ind w:left="0" w:right="0" w:firstLine="600" w:firstLineChars="200"/>
        <w:jc w:val="both"/>
        <w:rPr>
          <w:rFonts w:hint="eastAsia" w:ascii="仿宋_GB2312" w:hAnsi="仿宋_GB2312" w:eastAsia="仿宋_GB2312" w:cs="仿宋_GB2312"/>
          <w:kern w:val="0"/>
          <w:sz w:val="30"/>
          <w:szCs w:val="30"/>
          <w:shd w:val="clear" w:fill="FFFFFF"/>
          <w:lang w:val="en-US"/>
        </w:rPr>
      </w:pPr>
      <w:r>
        <w:rPr>
          <w:rFonts w:hint="eastAsia" w:ascii="仿宋_GB2312" w:hAnsi="仿宋_GB2312" w:eastAsia="仿宋_GB2312" w:cs="仿宋_GB2312"/>
          <w:kern w:val="0"/>
          <w:sz w:val="30"/>
          <w:szCs w:val="30"/>
          <w:shd w:val="clear" w:fill="FFFFFF"/>
          <w:lang w:val="en-US" w:eastAsia="zh-CN" w:bidi="ar"/>
        </w:rPr>
        <w:t>双方确认：上述送达地址和电子邮箱适用于合同履行完毕或争议经或仲裁、一审、二审、再审、执行阶段，至案件执行程序终结时止。</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任何一方发生地址、接收人变动的，应书面向对方送达并获得对方书面确认，否则不发生送达地址、接收人变动的效力；向本合同约定地址送达导致诉讼仲裁文书未能被当事人实际接收，邮寄送达的，以文书退回之日视为送达之日；直接送达的，送达人当场在送达回证上记明情况之日视为送达之日。</w:t>
      </w:r>
      <w:bookmarkEnd w:id="275"/>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sz w:val="30"/>
          <w:szCs w:val="30"/>
          <w:shd w:val="clear" w:fill="FFFFFF"/>
          <w:lang w:eastAsia="zh-CN"/>
        </w:rPr>
        <w:t>本合同一式陆份，甲方肆份，乙方贰份，经双方签字盖章后生效。</w:t>
      </w:r>
    </w:p>
    <w:p>
      <w:pPr>
        <w:pStyle w:val="21"/>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p>
    <w:p>
      <w:pPr>
        <w:pStyle w:val="21"/>
        <w:widowControl/>
        <w:shd w:val="clear" w:fill="FFFFFF"/>
        <w:spacing w:line="504" w:lineRule="auto"/>
        <w:rPr>
          <w:rFonts w:hint="eastAsia" w:ascii="仿宋_GB2312" w:hAnsi="仿宋_GB2312" w:eastAsia="仿宋_GB2312" w:cs="仿宋_GB2312"/>
          <w:color w:val="000000"/>
          <w:sz w:val="24"/>
          <w:szCs w:val="24"/>
          <w:shd w:val="clear" w:fill="FFFFFF"/>
          <w:lang w:val="en-US"/>
        </w:rPr>
      </w:pPr>
      <w:r>
        <w:rPr>
          <w:rFonts w:hint="eastAsia" w:ascii="仿宋_GB2312" w:hAnsi="仿宋_GB2312" w:eastAsia="仿宋_GB2312" w:cs="仿宋_GB2312"/>
          <w:sz w:val="24"/>
          <w:szCs w:val="24"/>
          <w:shd w:val="clear" w:fill="FFFFFF"/>
          <w:lang w:eastAsia="zh-CN"/>
        </w:rPr>
        <w:t>甲</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方（盖章</w:t>
      </w:r>
      <w:r>
        <w:rPr>
          <w:rFonts w:hint="eastAsia" w:ascii="仿宋_GB2312" w:hAnsi="仿宋_GB2312" w:eastAsia="仿宋_GB2312" w:cs="仿宋_GB2312"/>
          <w:color w:val="auto"/>
          <w:sz w:val="24"/>
          <w:szCs w:val="24"/>
          <w:shd w:val="clear" w:fill="FFFFFF"/>
          <w:lang w:eastAsia="zh-CN"/>
        </w:rPr>
        <w:t>）：</w:t>
      </w:r>
      <w:r>
        <w:rPr>
          <w:rFonts w:hint="eastAsia" w:ascii="仿宋_GB2312" w:hAnsi="仿宋_GB2312" w:eastAsia="仿宋_GB2312" w:cs="仿宋_GB2312"/>
          <w:color w:val="auto"/>
          <w:sz w:val="24"/>
          <w:szCs w:val="24"/>
          <w:shd w:val="clear" w:fill="FFFFFF"/>
          <w:lang w:val="en-US" w:eastAsia="zh-CN"/>
        </w:rPr>
        <w:t>木垒县人民医院</w:t>
      </w:r>
      <w:r>
        <w:rPr>
          <w:rFonts w:hint="eastAsia" w:ascii="仿宋_GB2312" w:hAnsi="仿宋_GB2312" w:eastAsia="仿宋_GB2312" w:cs="仿宋_GB2312"/>
          <w:color w:val="auto"/>
          <w:sz w:val="24"/>
          <w:szCs w:val="24"/>
          <w:shd w:val="clear" w:fill="FFFFFF"/>
          <w:lang w:val="en-US"/>
        </w:rPr>
        <w:t xml:space="preserve"> </w:t>
      </w:r>
      <w:r>
        <w:rPr>
          <w:rFonts w:hint="eastAsia" w:ascii="仿宋_GB2312" w:hAnsi="仿宋_GB2312" w:eastAsia="仿宋_GB2312" w:cs="仿宋_GB2312"/>
          <w:color w:val="auto"/>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乙方（盖章）：</w:t>
      </w:r>
      <w:r>
        <w:rPr>
          <w:rFonts w:hint="eastAsia" w:ascii="仿宋_GB2312" w:hAnsi="仿宋_GB2312" w:eastAsia="仿宋_GB2312" w:cs="仿宋_GB2312"/>
          <w:color w:val="000000"/>
          <w:sz w:val="24"/>
          <w:szCs w:val="24"/>
          <w:shd w:val="clear" w:fill="FFFFFF"/>
          <w:lang w:val="en-US"/>
        </w:rPr>
        <w:t xml:space="preserve">    </w:t>
      </w:r>
    </w:p>
    <w:p>
      <w:pPr>
        <w:pStyle w:val="21"/>
        <w:widowControl/>
        <w:shd w:val="clear" w:fill="FFFFFF"/>
        <w:spacing w:line="504" w:lineRule="auto"/>
        <w:rPr>
          <w:rFonts w:hint="eastAsia" w:ascii="仿宋_GB2312" w:hAnsi="仿宋_GB2312" w:eastAsia="仿宋_GB2312" w:cs="仿宋_GB2312"/>
          <w:sz w:val="24"/>
          <w:szCs w:val="24"/>
          <w:shd w:val="clear" w:fill="FFFFFF"/>
          <w:lang w:val="en-US"/>
        </w:rPr>
      </w:pPr>
    </w:p>
    <w:p>
      <w:pPr>
        <w:pStyle w:val="21"/>
        <w:widowControl/>
        <w:shd w:val="clear" w:fill="FFFFFF"/>
        <w:spacing w:line="504" w:lineRule="auto"/>
        <w:ind w:left="6600" w:hanging="6600" w:hangingChars="2750"/>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开户行：</w:t>
      </w:r>
      <w:r>
        <w:rPr>
          <w:rFonts w:hint="eastAsia" w:ascii="仿宋_GB2312" w:hAnsi="仿宋_GB2312" w:eastAsia="仿宋_GB2312" w:cs="仿宋_GB2312"/>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eastAsia="zh-CN"/>
        </w:rPr>
        <w:t xml:space="preserve"> 开户行：</w:t>
      </w:r>
    </w:p>
    <w:p>
      <w:pPr>
        <w:pStyle w:val="21"/>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账</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号：</w:t>
      </w:r>
      <w:r>
        <w:rPr>
          <w:rFonts w:hint="eastAsia" w:ascii="仿宋_GB2312" w:hAnsi="仿宋_GB2312" w:eastAsia="仿宋_GB2312" w:cs="仿宋_GB2312"/>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账</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号：</w:t>
      </w:r>
      <w:r>
        <w:rPr>
          <w:rFonts w:hint="eastAsia" w:ascii="仿宋_GB2312" w:hAnsi="仿宋_GB2312" w:eastAsia="仿宋_GB2312" w:cs="仿宋_GB2312"/>
          <w:sz w:val="24"/>
          <w:szCs w:val="24"/>
          <w:shd w:val="clear" w:fill="FFFFFF"/>
          <w:lang w:val="en-US"/>
        </w:rPr>
        <w:t xml:space="preserve">              </w:t>
      </w:r>
    </w:p>
    <w:p>
      <w:pPr>
        <w:pStyle w:val="21"/>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法人代表：</w:t>
      </w:r>
      <w:r>
        <w:rPr>
          <w:rFonts w:hint="eastAsia" w:ascii="仿宋_GB2312" w:hAnsi="仿宋_GB2312" w:eastAsia="仿宋_GB2312" w:cs="仿宋_GB2312"/>
          <w:sz w:val="24"/>
          <w:szCs w:val="24"/>
          <w:shd w:val="clear" w:fill="FFFFFF"/>
          <w:lang w:val="en-US"/>
        </w:rPr>
        <w:tab/>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法人代表：</w:t>
      </w:r>
    </w:p>
    <w:p>
      <w:pPr>
        <w:pStyle w:val="21"/>
        <w:widowControl/>
        <w:shd w:val="clear" w:fill="FFFFFF"/>
        <w:spacing w:line="504" w:lineRule="auto"/>
        <w:rPr>
          <w:rFonts w:hint="eastAsia" w:ascii="仿宋_GB2312" w:hAnsi="仿宋_GB2312" w:eastAsia="仿宋_GB2312" w:cs="仿宋_GB2312"/>
          <w:sz w:val="24"/>
          <w:szCs w:val="24"/>
          <w:shd w:val="clear" w:fill="FFFFFF"/>
          <w:lang w:val="en-US"/>
        </w:rPr>
      </w:pPr>
    </w:p>
    <w:p>
      <w:pPr>
        <w:pStyle w:val="21"/>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签约代表：</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签约代表：</w:t>
      </w:r>
      <w:r>
        <w:rPr>
          <w:rFonts w:hint="eastAsia" w:ascii="仿宋_GB2312" w:hAnsi="仿宋_GB2312" w:eastAsia="仿宋_GB2312" w:cs="仿宋_GB2312"/>
          <w:sz w:val="24"/>
          <w:szCs w:val="24"/>
          <w:shd w:val="clear" w:fill="FFFFFF"/>
          <w:lang w:val="en-US"/>
        </w:rPr>
        <w:t xml:space="preserve">      </w:t>
      </w:r>
    </w:p>
    <w:p>
      <w:pPr>
        <w:pStyle w:val="21"/>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 xml:space="preserve">                 </w:t>
      </w:r>
    </w:p>
    <w:p>
      <w:pPr>
        <w:pStyle w:val="21"/>
        <w:widowControl/>
        <w:shd w:val="clear" w:fill="FFFFFF"/>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24"/>
          <w:szCs w:val="24"/>
          <w:shd w:val="clear" w:fill="FFFFFF"/>
          <w:lang w:eastAsia="zh-CN"/>
        </w:rPr>
        <w:t>日期：</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年</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月</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日期：</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年</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月</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30"/>
          <w:szCs w:val="30"/>
          <w:shd w:val="clear" w:fill="FFFFFF"/>
          <w:lang w:val="en-US"/>
        </w:rPr>
        <w:br w:type="page"/>
      </w:r>
      <w:r>
        <w:rPr>
          <w:rFonts w:hint="eastAsia" w:ascii="仿宋_GB2312" w:hAnsi="仿宋_GB2312" w:eastAsia="仿宋_GB2312" w:cs="仿宋_GB2312"/>
          <w:b/>
          <w:bCs/>
          <w:sz w:val="30"/>
          <w:szCs w:val="30"/>
          <w:shd w:val="clear" w:fill="FFFFFF"/>
          <w:lang w:eastAsia="zh-CN"/>
        </w:rPr>
        <w:t>附件</w:t>
      </w:r>
      <w:r>
        <w:rPr>
          <w:rFonts w:hint="eastAsia" w:ascii="仿宋_GB2312" w:hAnsi="仿宋_GB2312" w:eastAsia="仿宋_GB2312" w:cs="仿宋_GB2312"/>
          <w:b/>
          <w:bCs/>
          <w:sz w:val="30"/>
          <w:szCs w:val="30"/>
          <w:shd w:val="clear" w:fill="FFFFFF"/>
          <w:lang w:val="en-US"/>
        </w:rPr>
        <w:t>1</w:t>
      </w:r>
      <w:r>
        <w:rPr>
          <w:rFonts w:hint="eastAsia" w:ascii="仿宋_GB2312" w:hAnsi="仿宋_GB2312" w:eastAsia="仿宋_GB2312" w:cs="仿宋_GB2312"/>
          <w:sz w:val="30"/>
          <w:szCs w:val="30"/>
          <w:shd w:val="clear" w:fill="FFFFFF"/>
          <w:lang w:eastAsia="zh-CN"/>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XXX设备配置清单</w:t>
      </w:r>
    </w:p>
    <w:tbl>
      <w:tblPr>
        <w:tblStyle w:val="26"/>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645"/>
        <w:gridCol w:w="1573"/>
        <w:gridCol w:w="1550"/>
        <w:gridCol w:w="1065"/>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bl>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pStyle w:val="22"/>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2"/>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2"/>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2"/>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2"/>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2"/>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附件2</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snapToGrid w:val="0"/>
          <w:kern w:val="0"/>
          <w:sz w:val="30"/>
          <w:szCs w:val="30"/>
          <w:lang w:val="en-US"/>
        </w:rPr>
      </w:pP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Xxxxxxx设备备品备件清单</w:t>
      </w:r>
    </w:p>
    <w:tbl>
      <w:tblPr>
        <w:tblStyle w:val="26"/>
        <w:tblW w:w="92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370"/>
        <w:gridCol w:w="1848"/>
        <w:gridCol w:w="1802"/>
        <w:gridCol w:w="79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4</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5</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6</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7</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8</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9</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bl>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附件3</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val="0"/>
        <w:suppressLineNumbers w:val="0"/>
        <w:spacing w:before="0" w:beforeAutospacing="0" w:after="0" w:afterAutospacing="0" w:line="400" w:lineRule="exact"/>
        <w:ind w:left="0" w:right="0" w:firstLine="2409" w:firstLineChars="8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snapToGrid w:val="0"/>
          <w:kern w:val="0"/>
          <w:sz w:val="30"/>
          <w:szCs w:val="30"/>
          <w:lang w:val="en-US" w:eastAsia="zh-CN" w:bidi="ar"/>
        </w:rPr>
        <w:t>XXXXX设备</w:t>
      </w:r>
      <w:r>
        <w:rPr>
          <w:rFonts w:hint="eastAsia" w:ascii="仿宋_GB2312" w:hAnsi="仿宋_GB2312" w:eastAsia="仿宋_GB2312" w:cs="仿宋_GB2312"/>
          <w:b/>
          <w:bCs/>
          <w:spacing w:val="20"/>
          <w:kern w:val="2"/>
          <w:sz w:val="30"/>
          <w:szCs w:val="30"/>
          <w:lang w:val="en-US" w:eastAsia="zh-CN" w:bidi="ar"/>
        </w:rPr>
        <w:t>零配件消耗品购买价格清单</w:t>
      </w:r>
    </w:p>
    <w:tbl>
      <w:tblPr>
        <w:tblStyle w:val="26"/>
        <w:tblW w:w="91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6"/>
        <w:gridCol w:w="838"/>
        <w:gridCol w:w="1088"/>
        <w:gridCol w:w="652"/>
        <w:gridCol w:w="1816"/>
        <w:gridCol w:w="1284"/>
        <w:gridCol w:w="140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9"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名称</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型号和规格</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数量</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原产地和</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制造商名称</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单价(元)</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对应的投标设备名称</w:t>
            </w: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2</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3</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4</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5</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6</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bl>
    <w:p>
      <w:pPr>
        <w:pStyle w:val="22"/>
        <w:keepNext w:val="0"/>
        <w:keepLines w:val="0"/>
        <w:widowControl w:val="0"/>
        <w:suppressLineNumbers w:val="0"/>
        <w:spacing w:before="12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22"/>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附件4：技术参数偏离表+设备参数 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附件5：法人授权书盖公章</w:t>
      </w:r>
    </w:p>
    <w:p>
      <w:pPr>
        <w:pStyle w:val="22"/>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附件6：服务承诺书盖公章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附件7：廉洁承诺书盖公章</w:t>
      </w:r>
    </w:p>
    <w:p>
      <w:pPr>
        <w:pStyle w:val="22"/>
        <w:keepNext w:val="0"/>
        <w:keepLines w:val="0"/>
        <w:widowControl w:val="0"/>
        <w:suppressLineNumbers w:val="0"/>
        <w:spacing w:before="120" w:beforeAutospacing="0" w:after="0" w:afterAutospacing="0"/>
        <w:ind w:left="0" w:right="0"/>
        <w:jc w:val="both"/>
        <w:rPr>
          <w:rFonts w:eastAsia="仿宋_GB2312"/>
          <w:lang w:val="en-US"/>
        </w:rPr>
      </w:pPr>
      <w:r>
        <w:rPr>
          <w:rFonts w:hint="eastAsia" w:ascii="仿宋_GB2312" w:hAnsi="仿宋_GB2312" w:eastAsia="仿宋_GB2312" w:cs="仿宋_GB2312"/>
          <w:kern w:val="2"/>
          <w:sz w:val="30"/>
          <w:szCs w:val="30"/>
          <w:lang w:val="en-US" w:eastAsia="zh-CN" w:bidi="ar"/>
        </w:rPr>
        <w:t>附件8：中标通知书复印件加盖公章</w:t>
      </w:r>
    </w:p>
    <w:p>
      <w:pPr>
        <w:pStyle w:val="8"/>
        <w:rPr>
          <w:rFonts w:hint="eastAsia" w:eastAsia="仿宋"/>
          <w:lang w:eastAsia="zh-CN"/>
        </w:rPr>
      </w:pPr>
    </w:p>
    <w:p>
      <w:pPr>
        <w:jc w:val="center"/>
        <w:rPr>
          <w:rFonts w:hint="eastAsia" w:ascii="仿宋_GB2312" w:hAnsi="Arial" w:eastAsia="仿宋_GB2312" w:cs="Times New Roman"/>
          <w:b/>
          <w:sz w:val="32"/>
          <w:szCs w:val="32"/>
        </w:rPr>
      </w:pPr>
      <w:bookmarkStart w:id="276" w:name="_Toc9026"/>
      <w:bookmarkStart w:id="277" w:name="_Toc1711"/>
      <w:bookmarkStart w:id="278" w:name="_Toc6145"/>
      <w:bookmarkStart w:id="279" w:name="_Toc7288"/>
      <w:bookmarkStart w:id="280" w:name="_Toc17272"/>
      <w:bookmarkStart w:id="281" w:name="_Toc15131"/>
      <w:bookmarkStart w:id="282" w:name="_Toc20692"/>
      <w:bookmarkStart w:id="283" w:name="_Toc19626"/>
      <w:bookmarkStart w:id="284" w:name="_Toc22702"/>
      <w:bookmarkStart w:id="285" w:name="_Toc28748"/>
      <w:bookmarkStart w:id="286" w:name="_Toc1978"/>
      <w:bookmarkStart w:id="287" w:name="_Toc11969"/>
      <w:bookmarkStart w:id="288" w:name="_Toc8133"/>
      <w:bookmarkStart w:id="289" w:name="_Toc9472"/>
      <w:bookmarkStart w:id="290" w:name="_Toc22825"/>
    </w:p>
    <w:p>
      <w:pPr>
        <w:jc w:val="center"/>
        <w:rPr>
          <w:rFonts w:hint="eastAsia" w:ascii="仿宋_GB2312" w:hAnsi="Arial" w:eastAsia="仿宋_GB2312" w:cs="Times New Roman"/>
          <w:b/>
          <w:sz w:val="32"/>
          <w:szCs w:val="32"/>
        </w:rPr>
      </w:pPr>
    </w:p>
    <w:p>
      <w:pPr>
        <w:jc w:val="center"/>
        <w:rPr>
          <w:rFonts w:hint="eastAsia" w:ascii="仿宋_GB2312" w:hAnsi="Arial" w:eastAsia="仿宋_GB2312" w:cs="Times New Roman"/>
          <w:b/>
          <w:sz w:val="32"/>
          <w:szCs w:val="32"/>
        </w:rPr>
      </w:pPr>
    </w:p>
    <w:p>
      <w:pPr>
        <w:jc w:val="center"/>
        <w:rPr>
          <w:rFonts w:ascii="宋体" w:hAnsi="宋体" w:cs="Times New Roman"/>
          <w:b/>
          <w:sz w:val="24"/>
          <w:szCs w:val="24"/>
        </w:rPr>
      </w:pPr>
      <w:r>
        <w:rPr>
          <w:rFonts w:hint="eastAsia" w:ascii="仿宋_GB2312" w:hAnsi="Arial" w:eastAsia="仿宋_GB2312" w:cs="Times New Roman"/>
          <w:b/>
          <w:sz w:val="32"/>
          <w:szCs w:val="32"/>
        </w:rPr>
        <w:t>第三章 项目验收</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widowControl/>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1、交货、包装与组织验收</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ind w:firstLine="480" w:firstLineChars="200"/>
        <w:rPr>
          <w:rFonts w:ascii="仿宋" w:hAnsi="仿宋" w:eastAsia="仿宋" w:cs="仿宋"/>
          <w:sz w:val="24"/>
          <w:szCs w:val="24"/>
        </w:rPr>
      </w:pPr>
      <w:r>
        <w:rPr>
          <w:rFonts w:hint="eastAsia" w:ascii="仿宋" w:hAnsi="仿宋" w:eastAsia="仿宋" w:cs="仿宋"/>
          <w:sz w:val="24"/>
          <w:szCs w:val="24"/>
        </w:rPr>
        <w:t>1.2  采购人应当成立验收小组,按照采购合同的约定对供应商履约情况进行验收。验收时,应当按照采购合同的约定对每一项技术、服务、安全标准的履约情况进行确认。</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1.3中标供应商所提供货物品种、数量、质量不符合国家法律法规和本合同规定的，采购人有权拒收，由中标供应商负责包换或退货，并承担由此而支付的实际费用</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1.4货物包装应符合国家标准，以保证货物在运输过程中不受损伤。货物在运输或邮寄途中发 </w:t>
      </w:r>
    </w:p>
    <w:p>
      <w:pPr>
        <w:widowControl/>
        <w:jc w:val="left"/>
        <w:rPr>
          <w:rFonts w:ascii="仿宋" w:hAnsi="仿宋" w:eastAsia="仿宋" w:cs="仿宋"/>
          <w:sz w:val="24"/>
          <w:szCs w:val="24"/>
        </w:rPr>
      </w:pPr>
      <w:r>
        <w:rPr>
          <w:rFonts w:hint="eastAsia" w:ascii="仿宋" w:hAnsi="仿宋" w:eastAsia="仿宋" w:cs="仿宋"/>
          <w:sz w:val="24"/>
          <w:szCs w:val="24"/>
        </w:rPr>
        <w:t xml:space="preserve">生毁损或丢失，由中标供应商负责。在运输途中、交货前、卸货中发生人身伤害或货物受损的，由 </w:t>
      </w:r>
    </w:p>
    <w:p>
      <w:pPr>
        <w:widowControl/>
        <w:jc w:val="left"/>
        <w:rPr>
          <w:rFonts w:ascii="仿宋" w:hAnsi="仿宋" w:eastAsia="仿宋" w:cs="仿宋"/>
          <w:sz w:val="24"/>
          <w:szCs w:val="24"/>
        </w:rPr>
      </w:pPr>
      <w:r>
        <w:rPr>
          <w:rFonts w:hint="eastAsia" w:ascii="仿宋" w:hAnsi="仿宋" w:eastAsia="仿宋" w:cs="仿宋"/>
          <w:sz w:val="24"/>
          <w:szCs w:val="24"/>
        </w:rPr>
        <w:t xml:space="preserve">中标供应商负责承担。 </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1.5货物由中标供应商进行</w:t>
      </w:r>
      <w:r>
        <w:rPr>
          <w:rFonts w:hint="eastAsia" w:ascii="仿宋" w:hAnsi="仿宋" w:eastAsia="仿宋" w:cs="仿宋"/>
          <w:sz w:val="24"/>
          <w:szCs w:val="24"/>
          <w:lang w:val="en-US" w:eastAsia="zh-CN"/>
        </w:rPr>
        <w:t>改装</w:t>
      </w:r>
      <w:r>
        <w:rPr>
          <w:rFonts w:hint="eastAsia" w:ascii="仿宋" w:hAnsi="仿宋" w:eastAsia="仿宋" w:cs="仿宋"/>
          <w:sz w:val="24"/>
          <w:szCs w:val="24"/>
        </w:rPr>
        <w:t>，</w:t>
      </w:r>
      <w:r>
        <w:rPr>
          <w:rFonts w:hint="eastAsia" w:ascii="仿宋" w:hAnsi="仿宋" w:eastAsia="仿宋" w:cs="仿宋"/>
          <w:sz w:val="24"/>
          <w:szCs w:val="24"/>
          <w:lang w:val="en-US" w:eastAsia="zh-CN"/>
        </w:rPr>
        <w:t>改装</w:t>
      </w:r>
      <w:r>
        <w:rPr>
          <w:rFonts w:hint="eastAsia" w:ascii="仿宋" w:hAnsi="仿宋" w:eastAsia="仿宋" w:cs="仿宋"/>
          <w:sz w:val="24"/>
          <w:szCs w:val="24"/>
        </w:rPr>
        <w:t>后，采购人应对货物的数量、质量、规格、性能等进行详细而全面的检验。</w:t>
      </w:r>
      <w:r>
        <w:rPr>
          <w:rFonts w:hint="eastAsia" w:ascii="仿宋" w:hAnsi="仿宋" w:eastAsia="仿宋" w:cs="仿宋"/>
          <w:sz w:val="24"/>
          <w:szCs w:val="24"/>
          <w:lang w:val="en-US" w:eastAsia="zh-CN"/>
        </w:rPr>
        <w:t>交货</w:t>
      </w:r>
      <w:r>
        <w:rPr>
          <w:rFonts w:hint="eastAsia" w:ascii="仿宋" w:hAnsi="仿宋" w:eastAsia="仿宋" w:cs="仿宋"/>
          <w:sz w:val="24"/>
          <w:szCs w:val="24"/>
        </w:rPr>
        <w:t>10日后，证明货物以及</w:t>
      </w:r>
      <w:r>
        <w:rPr>
          <w:rFonts w:hint="eastAsia" w:ascii="仿宋" w:hAnsi="仿宋" w:eastAsia="仿宋" w:cs="仿宋"/>
          <w:sz w:val="24"/>
          <w:szCs w:val="24"/>
          <w:lang w:val="en-US" w:eastAsia="zh-CN"/>
        </w:rPr>
        <w:t>改装</w:t>
      </w:r>
      <w:r>
        <w:rPr>
          <w:rFonts w:hint="eastAsia" w:ascii="仿宋" w:hAnsi="仿宋" w:eastAsia="仿宋" w:cs="仿宋"/>
          <w:sz w:val="24"/>
          <w:szCs w:val="24"/>
        </w:rPr>
        <w:t>质量无任何问题，由采购人组成的验收小组签署验收书，作为付款凭据之一。如验收不合格，中标供应商应退货，预缴押金的不予退还，一切损失由中标供应商承担。</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1.6验收结束后,应当出具验收书,列明各项标准的验收情况及项目总体评价,由验收双方共同签署。验收结果应当与采购合同约定的资金支付及履约保证金返还条件挂钩。履约验收的各项资料应当存档备查。</w:t>
      </w:r>
    </w:p>
    <w:p>
      <w:pPr>
        <w:widowControl/>
        <w:ind w:firstLine="480" w:firstLineChars="200"/>
        <w:jc w:val="left"/>
        <w:rPr>
          <w:rFonts w:ascii="仿宋" w:hAnsi="仿宋" w:eastAsia="仿宋" w:cs="仿宋"/>
          <w:b/>
          <w:sz w:val="24"/>
          <w:szCs w:val="24"/>
        </w:rPr>
      </w:pPr>
      <w:r>
        <w:rPr>
          <w:rFonts w:hint="eastAsia" w:ascii="仿宋" w:hAnsi="仿宋" w:eastAsia="仿宋" w:cs="仿宋"/>
          <w:sz w:val="24"/>
          <w:szCs w:val="24"/>
        </w:rPr>
        <w:t>1.7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rPr>
          <w:rFonts w:ascii="宋体" w:hAnsi="宋体" w:cs="Times New Roman"/>
          <w:b/>
          <w:sz w:val="36"/>
          <w:szCs w:val="36"/>
        </w:rPr>
      </w:pPr>
    </w:p>
    <w:p>
      <w:pPr>
        <w:pStyle w:val="5"/>
        <w:ind w:left="0" w:leftChars="0" w:firstLine="0" w:firstLineChars="0"/>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rPr>
      </w:pPr>
    </w:p>
    <w:p>
      <w:pPr>
        <w:tabs>
          <w:tab w:val="left" w:pos="4108"/>
          <w:tab w:val="center" w:pos="5975"/>
        </w:tabs>
        <w:ind w:firstLine="3253" w:firstLineChars="900"/>
        <w:jc w:val="left"/>
        <w:rPr>
          <w:rFonts w:ascii="宋体" w:hAnsi="宋体" w:cs="Times New Roman"/>
          <w:b/>
          <w:sz w:val="36"/>
          <w:szCs w:val="36"/>
        </w:rPr>
      </w:pPr>
      <w:r>
        <w:rPr>
          <w:rFonts w:hint="eastAsia" w:ascii="宋体" w:hAnsi="宋体" w:cs="Times New Roman"/>
          <w:b/>
          <w:sz w:val="36"/>
          <w:szCs w:val="36"/>
        </w:rPr>
        <w:t>第七部分 投标范本</w:t>
      </w:r>
      <w:bookmarkStart w:id="291" w:name="_Toc10287"/>
      <w:bookmarkStart w:id="292" w:name="_Toc6388"/>
      <w:bookmarkStart w:id="293" w:name="_Toc25343"/>
      <w:bookmarkStart w:id="294" w:name="_Toc14785"/>
      <w:bookmarkStart w:id="295" w:name="_Toc28586"/>
      <w:bookmarkStart w:id="296" w:name="_Toc26804"/>
      <w:bookmarkStart w:id="297" w:name="_Toc17075"/>
      <w:bookmarkStart w:id="298" w:name="_Toc30069"/>
      <w:bookmarkStart w:id="299" w:name="_Toc20900"/>
      <w:bookmarkStart w:id="300" w:name="_Toc14108"/>
      <w:bookmarkStart w:id="301" w:name="_Toc8272"/>
      <w:bookmarkStart w:id="302" w:name="_Toc7456"/>
      <w:bookmarkStart w:id="303" w:name="_Toc8188"/>
      <w:bookmarkStart w:id="304" w:name="_Toc24890_WPSOffice_Level2"/>
      <w:bookmarkStart w:id="305" w:name="_Toc16635"/>
      <w:r>
        <w:rPr>
          <w:rFonts w:hint="eastAsia" w:ascii="宋体" w:hAnsi="宋体" w:cs="Times New Roman"/>
          <w:b/>
          <w:sz w:val="36"/>
          <w:szCs w:val="36"/>
        </w:rPr>
        <w:t>格式</w:t>
      </w:r>
    </w:p>
    <w:p>
      <w:pPr>
        <w:spacing w:line="360" w:lineRule="auto"/>
        <w:jc w:val="center"/>
      </w:pPr>
      <w:r>
        <w:rPr>
          <w:rFonts w:hint="eastAsia"/>
          <w:b/>
          <w:bCs/>
          <w:sz w:val="32"/>
          <w:szCs w:val="32"/>
        </w:rPr>
        <w:t>（投标文件标书封皮）</w:t>
      </w:r>
    </w:p>
    <w:p>
      <w:pPr>
        <w:spacing w:line="360" w:lineRule="auto"/>
        <w:ind w:firstLine="7228" w:firstLineChars="2000"/>
      </w:pPr>
      <w:r>
        <w:rPr>
          <w:rFonts w:hint="eastAsia" w:ascii="宋体" w:hAnsi="宋体" w:cs="宋体"/>
          <w:b/>
          <w:bCs/>
          <w:kern w:val="1"/>
          <w:sz w:val="36"/>
          <w:szCs w:val="36"/>
        </w:rPr>
        <w:t>正（副）本</w:t>
      </w:r>
    </w:p>
    <w:p>
      <w:pPr>
        <w:spacing w:line="360" w:lineRule="auto"/>
      </w:pPr>
    </w:p>
    <w:p>
      <w:pPr>
        <w:spacing w:line="360" w:lineRule="auto"/>
        <w:jc w:val="center"/>
        <w:rPr>
          <w:b/>
          <w:bCs/>
          <w:sz w:val="52"/>
          <w:szCs w:val="52"/>
        </w:rP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投 标 文 件</w:t>
      </w:r>
    </w:p>
    <w:p>
      <w:pPr>
        <w:spacing w:line="360" w:lineRule="auto"/>
        <w:rPr>
          <w:sz w:val="28"/>
          <w:szCs w:val="28"/>
        </w:rPr>
      </w:pPr>
    </w:p>
    <w:p>
      <w:pPr>
        <w:spacing w:line="360" w:lineRule="auto"/>
        <w:rPr>
          <w:sz w:val="28"/>
          <w:szCs w:val="28"/>
        </w:rPr>
      </w:pPr>
    </w:p>
    <w:p>
      <w:pPr>
        <w:spacing w:line="360" w:lineRule="auto"/>
        <w:rPr>
          <w:sz w:val="30"/>
          <w:szCs w:val="30"/>
        </w:rPr>
      </w:pP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采购人：</w:t>
      </w:r>
    </w:p>
    <w:p>
      <w:pPr>
        <w:ind w:firstLine="2711" w:firstLineChars="900"/>
        <w:jc w:val="left"/>
        <w:rPr>
          <w:rFonts w:hint="eastAsia" w:ascii="仿宋" w:hAnsi="仿宋" w:eastAsia="仿宋" w:cs="Times New Roman"/>
          <w:b/>
          <w:bCs/>
          <w:sz w:val="30"/>
          <w:szCs w:val="30"/>
          <w:lang w:eastAsia="zh-CN"/>
        </w:rPr>
      </w:pPr>
      <w:r>
        <w:rPr>
          <w:rFonts w:hint="eastAsia" w:ascii="仿宋" w:hAnsi="仿宋" w:eastAsia="仿宋" w:cs="Times New Roman"/>
          <w:b/>
          <w:bCs/>
          <w:sz w:val="30"/>
          <w:szCs w:val="30"/>
        </w:rPr>
        <w:t>采购代理机构：</w:t>
      </w:r>
      <w:r>
        <w:rPr>
          <w:rFonts w:hint="eastAsia" w:ascii="仿宋" w:hAnsi="仿宋" w:eastAsia="仿宋" w:cs="Times New Roman"/>
          <w:b/>
          <w:bCs/>
          <w:sz w:val="30"/>
          <w:szCs w:val="30"/>
          <w:u w:val="single"/>
          <w:lang w:eastAsia="zh-CN"/>
        </w:rPr>
        <w:t>新疆天麒工程项目管理咨询有限责任公司</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投标人名称：</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法定代表/被授权人：</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联系电话：</w:t>
      </w:r>
    </w:p>
    <w:p>
      <w:pPr>
        <w:ind w:firstLine="2711" w:firstLineChars="900"/>
        <w:jc w:val="left"/>
      </w:pPr>
      <w:r>
        <w:rPr>
          <w:rFonts w:hint="eastAsia" w:ascii="仿宋" w:hAnsi="仿宋" w:eastAsia="仿宋" w:cs="Times New Roman"/>
          <w:b/>
          <w:bCs/>
          <w:sz w:val="30"/>
          <w:szCs w:val="30"/>
        </w:rPr>
        <w:t>地址：</w:t>
      </w:r>
    </w:p>
    <w:p>
      <w:pPr>
        <w:pStyle w:val="35"/>
        <w:ind w:firstLine="420"/>
      </w:pPr>
    </w:p>
    <w:p/>
    <w:p>
      <w:pPr>
        <w:pStyle w:val="35"/>
        <w:ind w:firstLine="420"/>
      </w:pPr>
    </w:p>
    <w:p/>
    <w:p>
      <w:pPr>
        <w:pStyle w:val="16"/>
      </w:pPr>
    </w:p>
    <w:p>
      <w:pPr>
        <w:pStyle w:val="16"/>
      </w:pPr>
    </w:p>
    <w:p>
      <w:pPr>
        <w:pStyle w:val="16"/>
      </w:pPr>
    </w:p>
    <w:p>
      <w:pPr>
        <w:pStyle w:val="16"/>
      </w:pPr>
    </w:p>
    <w:p>
      <w:pPr>
        <w:pStyle w:val="16"/>
      </w:pPr>
    </w:p>
    <w:p>
      <w:pPr>
        <w:pStyle w:val="16"/>
      </w:pPr>
    </w:p>
    <w:p>
      <w:pPr>
        <w:pStyle w:val="16"/>
      </w:pPr>
    </w:p>
    <w:p/>
    <w:p>
      <w:pPr>
        <w:pStyle w:val="8"/>
      </w:pPr>
    </w:p>
    <w:p/>
    <w:p>
      <w:pPr>
        <w:keepNext/>
        <w:keepLines/>
        <w:spacing w:line="380" w:lineRule="exact"/>
        <w:jc w:val="center"/>
        <w:outlineLvl w:val="1"/>
        <w:rPr>
          <w:rFonts w:ascii="仿宋" w:hAnsi="仿宋" w:eastAsia="仿宋" w:cs="仿宋"/>
          <w:b/>
          <w:bCs/>
          <w:sz w:val="32"/>
          <w:szCs w:val="32"/>
        </w:rPr>
      </w:pPr>
      <w:bookmarkStart w:id="306" w:name="_Toc9111"/>
      <w:r>
        <w:rPr>
          <w:rFonts w:hint="eastAsia" w:ascii="仿宋" w:hAnsi="仿宋" w:eastAsia="仿宋" w:cs="仿宋"/>
          <w:b/>
          <w:bCs/>
          <w:sz w:val="32"/>
          <w:szCs w:val="32"/>
        </w:rPr>
        <w:t>（一）投 标 函</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spacing w:line="380" w:lineRule="exact"/>
        <w:rPr>
          <w:rFonts w:ascii="仿宋" w:hAnsi="仿宋" w:eastAsia="仿宋" w:cs="Times New Roman"/>
          <w:sz w:val="24"/>
          <w:szCs w:val="20"/>
        </w:rPr>
      </w:pPr>
      <w:r>
        <w:rPr>
          <w:rFonts w:hint="eastAsia" w:ascii="仿宋" w:hAnsi="仿宋" w:eastAsia="仿宋" w:cs="仿宋"/>
          <w:sz w:val="24"/>
          <w:szCs w:val="24"/>
          <w:lang w:val="en-US" w:eastAsia="zh-CN"/>
        </w:rPr>
        <w:t>木垒县</w:t>
      </w:r>
      <w:r>
        <w:rPr>
          <w:rFonts w:hint="eastAsia" w:ascii="仿宋" w:hAnsi="仿宋" w:eastAsia="仿宋" w:cs="仿宋"/>
          <w:sz w:val="24"/>
          <w:szCs w:val="24"/>
          <w:lang w:eastAsia="zh-CN"/>
        </w:rPr>
        <w:t>人民医院</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根据贵方组织招标的</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项目招标文号，签字代表</w:t>
      </w:r>
      <w:r>
        <w:rPr>
          <w:rFonts w:hint="eastAsia" w:ascii="仿宋" w:hAnsi="仿宋" w:eastAsia="仿宋" w:cs="Times New Roman"/>
          <w:sz w:val="24"/>
          <w:szCs w:val="20"/>
          <w:u w:val="single"/>
        </w:rPr>
        <w:t>（姓名、职务）</w:t>
      </w:r>
      <w:r>
        <w:rPr>
          <w:rFonts w:hint="eastAsia" w:ascii="仿宋" w:hAnsi="仿宋" w:eastAsia="仿宋" w:cs="Times New Roman"/>
          <w:sz w:val="24"/>
          <w:szCs w:val="20"/>
        </w:rPr>
        <w:t>经正式授权并代表投标人</w:t>
      </w:r>
      <w:r>
        <w:rPr>
          <w:rFonts w:hint="eastAsia" w:ascii="仿宋" w:hAnsi="仿宋" w:eastAsia="仿宋" w:cs="Times New Roman"/>
          <w:sz w:val="24"/>
          <w:szCs w:val="20"/>
          <w:u w:val="single"/>
        </w:rPr>
        <w:t>（投标人名称、地址）</w:t>
      </w:r>
      <w:r>
        <w:rPr>
          <w:rFonts w:hint="eastAsia" w:ascii="仿宋" w:hAnsi="仿宋" w:eastAsia="仿宋" w:cs="Times New Roman"/>
          <w:sz w:val="24"/>
          <w:szCs w:val="20"/>
        </w:rPr>
        <w:t>。</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投标声明函</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法人授权委托书/法定代表人身份证明书</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开标一览表</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按招标文件投标人须知、技术规格要求及其他要求提供有关文件</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资格证明文件</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投标保证金，形式，金额为</w:t>
      </w:r>
      <w:r>
        <w:rPr>
          <w:rFonts w:hint="eastAsia" w:ascii="仿宋" w:hAnsi="仿宋" w:eastAsia="仿宋" w:cs="Times New Roman"/>
          <w:sz w:val="24"/>
          <w:szCs w:val="20"/>
          <w:u w:val="single"/>
        </w:rPr>
        <w:t>　　　　</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据此函，签字代表宣布并同意如下：</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1、所附投标报价表中项目总价为</w:t>
      </w:r>
      <w:r>
        <w:rPr>
          <w:rFonts w:hint="eastAsia" w:ascii="仿宋" w:hAnsi="仿宋" w:eastAsia="仿宋" w:cs="Times New Roman"/>
          <w:sz w:val="24"/>
          <w:szCs w:val="20"/>
          <w:u w:val="single"/>
        </w:rPr>
        <w:t>（注明币种，  并用文字和数字表示的投标总价</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2、投标人将按招标文件的规定履行合同责任和义务；</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3、投标人已详细阅读并理解了招标文件的全部，包括修改文件（如有的话）。我们完全理解并同意放弃对这方面有不明及误解的权利。</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4、本投标有效期自开标之日起</w:t>
      </w:r>
      <w:r>
        <w:rPr>
          <w:rFonts w:hint="eastAsia" w:ascii="仿宋" w:hAnsi="仿宋" w:eastAsia="仿宋" w:cs="Times New Roman"/>
          <w:sz w:val="24"/>
          <w:szCs w:val="20"/>
          <w:u w:val="single"/>
        </w:rPr>
        <w:t>　　　</w:t>
      </w:r>
      <w:r>
        <w:rPr>
          <w:rFonts w:hint="eastAsia" w:ascii="仿宋" w:hAnsi="仿宋" w:eastAsia="仿宋" w:cs="Times New Roman"/>
          <w:sz w:val="24"/>
          <w:szCs w:val="20"/>
        </w:rPr>
        <w:t>个日历日。</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5、在规定的开标时间后，如果在投标有效期内撤回投标，同意投标保证金将被贵方没收。</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6、投标人同意提供按照贵方可能要求的与其投标有关的一切数据或资料，完全理解贵方不一定接受最低价的投标或收到的任何投标的约定。</w:t>
      </w:r>
    </w:p>
    <w:p>
      <w:pPr>
        <w:spacing w:line="380" w:lineRule="exact"/>
        <w:ind w:firstLine="570"/>
        <w:rPr>
          <w:rFonts w:ascii="仿宋" w:hAnsi="仿宋" w:eastAsia="仿宋" w:cs="Times New Roman"/>
          <w:sz w:val="24"/>
          <w:szCs w:val="20"/>
        </w:rPr>
      </w:pPr>
      <w:r>
        <w:rPr>
          <w:rFonts w:hint="eastAsia" w:ascii="仿宋" w:hAnsi="仿宋" w:eastAsia="仿宋" w:cs="Times New Roman"/>
          <w:sz w:val="24"/>
          <w:szCs w:val="20"/>
        </w:rPr>
        <w:t>7、与本投标有关的一切正式往来信函请寄：</w:t>
      </w:r>
    </w:p>
    <w:p>
      <w:pPr>
        <w:spacing w:line="380" w:lineRule="exact"/>
        <w:ind w:firstLine="280"/>
        <w:rPr>
          <w:rFonts w:ascii="仿宋" w:hAnsi="仿宋" w:eastAsia="仿宋" w:cs="Times New Roman"/>
          <w:sz w:val="24"/>
          <w:szCs w:val="20"/>
        </w:rPr>
      </w:pPr>
      <w:r>
        <w:rPr>
          <w:rFonts w:hint="eastAsia" w:ascii="仿宋" w:hAnsi="仿宋" w:eastAsia="仿宋" w:cs="Times New Roman"/>
          <w:sz w:val="24"/>
          <w:szCs w:val="20"/>
        </w:rPr>
        <w:t>地　　　　　 址：</w:t>
      </w:r>
      <w:r>
        <w:rPr>
          <w:rFonts w:hint="eastAsia" w:ascii="仿宋" w:hAnsi="仿宋" w:eastAsia="仿宋" w:cs="Times New Roman"/>
          <w:sz w:val="24"/>
          <w:szCs w:val="20"/>
          <w:u w:val="single"/>
        </w:rPr>
        <w:t>　　　　　　　　    　　</w:t>
      </w:r>
      <w:r>
        <w:rPr>
          <w:rFonts w:hint="eastAsia" w:ascii="仿宋" w:hAnsi="仿宋" w:eastAsia="仿宋" w:cs="Times New Roman"/>
          <w:sz w:val="24"/>
          <w:szCs w:val="20"/>
        </w:rPr>
        <w:t>邮编：</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电　　　　　 话：</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传真：</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投标人代表签字：</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 标 人 名 称：</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公          章：</w:t>
      </w:r>
      <w:r>
        <w:rPr>
          <w:rFonts w:hint="eastAsia" w:ascii="仿宋" w:hAnsi="仿宋" w:eastAsia="仿宋" w:cs="Times New Roman"/>
          <w:sz w:val="24"/>
          <w:szCs w:val="20"/>
          <w:u w:val="single"/>
        </w:rPr>
        <w:t>　　　　　　　　　　　　　</w:t>
      </w:r>
    </w:p>
    <w:p>
      <w:pPr>
        <w:spacing w:line="380" w:lineRule="exact"/>
        <w:rPr>
          <w:rFonts w:ascii="仿宋" w:hAnsi="仿宋" w:eastAsia="仿宋" w:cs="Times New Roman"/>
          <w:b/>
          <w:sz w:val="32"/>
          <w:szCs w:val="32"/>
        </w:rPr>
      </w:pPr>
      <w:r>
        <w:rPr>
          <w:rFonts w:hint="eastAsia" w:ascii="仿宋" w:hAnsi="仿宋" w:eastAsia="仿宋" w:cs="Times New Roman"/>
          <w:sz w:val="24"/>
          <w:szCs w:val="20"/>
        </w:rPr>
        <w:t>　　　　　　　　　　　　　　　　　　　　　　　20</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年</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月</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日</w:t>
      </w:r>
    </w:p>
    <w:p>
      <w:pPr>
        <w:spacing w:line="380" w:lineRule="exact"/>
        <w:rPr>
          <w:rFonts w:ascii="仿宋" w:hAnsi="仿宋" w:eastAsia="仿宋" w:cs="Times New Roman"/>
          <w:b/>
          <w:sz w:val="32"/>
          <w:szCs w:val="32"/>
        </w:rPr>
      </w:pPr>
    </w:p>
    <w:p>
      <w:pPr>
        <w:pStyle w:val="10"/>
        <w:rPr>
          <w:rFonts w:ascii="仿宋" w:hAnsi="仿宋" w:eastAsia="仿宋" w:cs="Times New Roman"/>
          <w:b/>
          <w:sz w:val="32"/>
          <w:szCs w:val="32"/>
        </w:rPr>
      </w:pPr>
    </w:p>
    <w:p>
      <w:pPr>
        <w:pStyle w:val="10"/>
        <w:rPr>
          <w:rFonts w:ascii="仿宋" w:hAnsi="仿宋" w:eastAsia="仿宋" w:cs="Times New Roman"/>
          <w:b/>
          <w:sz w:val="32"/>
          <w:szCs w:val="32"/>
        </w:rPr>
      </w:pPr>
    </w:p>
    <w:p>
      <w:pPr>
        <w:pStyle w:val="10"/>
        <w:rPr>
          <w:rFonts w:ascii="仿宋" w:hAnsi="仿宋" w:eastAsia="仿宋" w:cs="Times New Roman"/>
          <w:b/>
          <w:sz w:val="32"/>
          <w:szCs w:val="32"/>
        </w:rPr>
      </w:pPr>
    </w:p>
    <w:p>
      <w:pPr>
        <w:pStyle w:val="10"/>
        <w:rPr>
          <w:rFonts w:ascii="仿宋" w:hAnsi="仿宋" w:eastAsia="仿宋" w:cs="Times New Roman"/>
          <w:b/>
          <w:sz w:val="32"/>
          <w:szCs w:val="32"/>
        </w:rPr>
      </w:pPr>
    </w:p>
    <w:p>
      <w:pPr>
        <w:spacing w:line="380" w:lineRule="exact"/>
        <w:jc w:val="center"/>
        <w:rPr>
          <w:rFonts w:ascii="仿宋" w:hAnsi="仿宋" w:eastAsia="仿宋" w:cs="Times New Roman"/>
          <w:b/>
          <w:sz w:val="32"/>
          <w:szCs w:val="32"/>
        </w:rPr>
      </w:pPr>
      <w:r>
        <w:rPr>
          <w:rFonts w:hint="eastAsia" w:ascii="仿宋" w:hAnsi="仿宋" w:eastAsia="仿宋" w:cs="Times New Roman"/>
          <w:b/>
          <w:sz w:val="32"/>
          <w:szCs w:val="32"/>
        </w:rPr>
        <w:t>（二）投标声明函</w:t>
      </w:r>
    </w:p>
    <w:p>
      <w:pPr>
        <w:spacing w:line="380" w:lineRule="exact"/>
        <w:rPr>
          <w:rFonts w:ascii="仿宋" w:hAnsi="仿宋" w:eastAsia="仿宋" w:cs="Times New Roman"/>
          <w:sz w:val="24"/>
          <w:szCs w:val="20"/>
        </w:rPr>
      </w:pPr>
      <w:r>
        <w:rPr>
          <w:rFonts w:hint="eastAsia" w:ascii="仿宋" w:hAnsi="仿宋" w:eastAsia="仿宋" w:cs="仿宋"/>
          <w:sz w:val="24"/>
          <w:szCs w:val="24"/>
          <w:lang w:val="en-US" w:eastAsia="zh-CN"/>
        </w:rPr>
        <w:t>木垒县</w:t>
      </w:r>
      <w:r>
        <w:rPr>
          <w:rFonts w:hint="eastAsia" w:ascii="仿宋" w:hAnsi="仿宋" w:eastAsia="仿宋" w:cs="仿宋"/>
          <w:sz w:val="24"/>
          <w:szCs w:val="24"/>
          <w:lang w:eastAsia="zh-CN"/>
        </w:rPr>
        <w:t>人民医院</w:t>
      </w:r>
      <w:r>
        <w:rPr>
          <w:rFonts w:hint="eastAsia" w:ascii="仿宋" w:hAnsi="仿宋" w:eastAsia="仿宋" w:cs="Times New Roman"/>
          <w:sz w:val="24"/>
          <w:szCs w:val="20"/>
        </w:rPr>
        <w:t>:</w:t>
      </w:r>
    </w:p>
    <w:p>
      <w:pPr>
        <w:spacing w:line="380" w:lineRule="exact"/>
        <w:ind w:firstLine="480" w:firstLineChars="200"/>
        <w:rPr>
          <w:rFonts w:ascii="仿宋" w:hAnsi="仿宋" w:eastAsia="仿宋" w:cs="Times New Roman"/>
          <w:sz w:val="24"/>
          <w:szCs w:val="20"/>
        </w:rPr>
      </w:pPr>
      <w:r>
        <w:rPr>
          <w:rFonts w:hint="eastAsia" w:ascii="仿宋" w:hAnsi="仿宋" w:eastAsia="仿宋" w:cs="Times New Roman"/>
          <w:sz w:val="24"/>
          <w:szCs w:val="20"/>
        </w:rPr>
        <w:t>关于贵方20</w:t>
      </w:r>
      <w:r>
        <w:rPr>
          <w:rFonts w:hint="eastAsia" w:ascii="仿宋" w:hAnsi="仿宋" w:eastAsia="仿宋" w:cs="Times New Roman"/>
          <w:sz w:val="24"/>
          <w:szCs w:val="20"/>
          <w:u w:val="single"/>
        </w:rPr>
        <w:t>　　</w:t>
      </w:r>
      <w:r>
        <w:rPr>
          <w:rFonts w:hint="eastAsia" w:ascii="仿宋" w:hAnsi="仿宋" w:eastAsia="仿宋" w:cs="Times New Roman"/>
          <w:sz w:val="24"/>
          <w:szCs w:val="20"/>
        </w:rPr>
        <w:t>年</w:t>
      </w:r>
      <w:r>
        <w:rPr>
          <w:rFonts w:hint="eastAsia" w:ascii="仿宋" w:hAnsi="仿宋" w:eastAsia="仿宋" w:cs="Times New Roman"/>
          <w:sz w:val="24"/>
          <w:szCs w:val="20"/>
          <w:u w:val="single"/>
        </w:rPr>
        <w:t>　　</w:t>
      </w:r>
      <w:r>
        <w:rPr>
          <w:rFonts w:hint="eastAsia" w:ascii="仿宋" w:hAnsi="仿宋" w:eastAsia="仿宋" w:cs="Times New Roman"/>
          <w:sz w:val="24"/>
          <w:szCs w:val="20"/>
        </w:rPr>
        <w:t>月</w:t>
      </w:r>
      <w:r>
        <w:rPr>
          <w:rFonts w:hint="eastAsia" w:ascii="仿宋" w:hAnsi="仿宋" w:eastAsia="仿宋" w:cs="Times New Roman"/>
          <w:sz w:val="24"/>
          <w:szCs w:val="20"/>
          <w:u w:val="single"/>
        </w:rPr>
        <w:t>　　</w:t>
      </w:r>
      <w:r>
        <w:rPr>
          <w:rFonts w:hint="eastAsia" w:ascii="仿宋" w:hAnsi="仿宋" w:eastAsia="仿宋" w:cs="Times New Roman"/>
          <w:sz w:val="24"/>
          <w:szCs w:val="20"/>
        </w:rPr>
        <w:t>日关于</w:t>
      </w:r>
      <w:r>
        <w:rPr>
          <w:rFonts w:hint="eastAsia" w:ascii="仿宋" w:hAnsi="仿宋" w:eastAsia="仿宋" w:cs="Times New Roman"/>
          <w:sz w:val="24"/>
          <w:szCs w:val="20"/>
          <w:u w:val="single"/>
        </w:rPr>
        <w:t>“　　　　　　　　”</w:t>
      </w:r>
      <w:r>
        <w:rPr>
          <w:rFonts w:hint="eastAsia" w:ascii="仿宋" w:hAnsi="仿宋" w:eastAsia="仿宋" w:cs="Times New Roman"/>
          <w:sz w:val="24"/>
          <w:szCs w:val="20"/>
        </w:rPr>
        <w:t>的招标项目，本签字人愿意参加投标，并有能力提供</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项目中的供货和售后服务，并保证所提交的所有文件和说明是真实和准确的。</w:t>
      </w:r>
    </w:p>
    <w:p>
      <w:pPr>
        <w:spacing w:line="380" w:lineRule="exact"/>
        <w:ind w:left="420" w:leftChars="200"/>
        <w:rPr>
          <w:rFonts w:ascii="仿宋" w:hAnsi="仿宋" w:eastAsia="仿宋" w:cs="Times New Roman"/>
          <w:sz w:val="24"/>
          <w:szCs w:val="20"/>
          <w:u w:val="single"/>
        </w:rPr>
      </w:pPr>
      <w:r>
        <w:rPr>
          <w:rFonts w:hint="eastAsia" w:ascii="仿宋" w:hAnsi="仿宋" w:eastAsia="仿宋" w:cs="Times New Roman"/>
          <w:sz w:val="24"/>
          <w:szCs w:val="20"/>
        </w:rPr>
        <w:t>供应商：</w:t>
      </w:r>
      <w:r>
        <w:rPr>
          <w:rFonts w:hint="eastAsia" w:ascii="仿宋" w:hAnsi="仿宋" w:eastAsia="仿宋" w:cs="Times New Roman"/>
          <w:sz w:val="24"/>
          <w:szCs w:val="20"/>
          <w:u w:val="single"/>
        </w:rPr>
        <w:t>　供应商名称　</w:t>
      </w:r>
      <w:r>
        <w:rPr>
          <w:rFonts w:hint="eastAsia" w:ascii="仿宋" w:hAnsi="仿宋" w:eastAsia="仿宋" w:cs="Times New Roman"/>
          <w:sz w:val="24"/>
          <w:szCs w:val="20"/>
        </w:rPr>
        <w:t>　　　　　　签字人姓名、职务：</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地址：　　　　　　　　　　　　 　 授权签署本资格文件人：</w:t>
      </w:r>
      <w:r>
        <w:rPr>
          <w:rFonts w:hint="eastAsia" w:ascii="仿宋" w:hAnsi="仿宋" w:eastAsia="仿宋" w:cs="Times New Roman"/>
          <w:sz w:val="24"/>
          <w:szCs w:val="20"/>
          <w:u w:val="single"/>
        </w:rPr>
        <w:t>授权人姓名</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传真：　　　　　　  　邮编：　　　　　　　　　　　　</w:t>
      </w:r>
    </w:p>
    <w:p>
      <w:pPr>
        <w:spacing w:line="380" w:lineRule="exact"/>
        <w:ind w:left="420" w:leftChars="200"/>
        <w:rPr>
          <w:rFonts w:ascii="仿宋" w:hAnsi="仿宋" w:eastAsia="仿宋" w:cs="Times New Roman"/>
          <w:szCs w:val="20"/>
        </w:rPr>
      </w:pPr>
      <w:r>
        <w:rPr>
          <w:rFonts w:hint="eastAsia" w:ascii="仿宋" w:hAnsi="仿宋" w:eastAsia="仿宋" w:cs="Times New Roman"/>
          <w:sz w:val="24"/>
          <w:szCs w:val="20"/>
        </w:rPr>
        <w:t>盖章：　　　　　　　　　　　　　  电话：　</w:t>
      </w:r>
      <w:r>
        <w:rPr>
          <w:rFonts w:hint="eastAsia" w:ascii="仿宋" w:hAnsi="仿宋" w:eastAsia="仿宋" w:cs="Times New Roman"/>
          <w:szCs w:val="20"/>
        </w:rPr>
        <w:t>　　　　　　　</w:t>
      </w:r>
    </w:p>
    <w:p>
      <w:pPr>
        <w:numPr>
          <w:ilvl w:val="0"/>
          <w:numId w:val="0"/>
        </w:numPr>
        <w:spacing w:line="380" w:lineRule="exact"/>
        <w:ind w:left="7350" w:leftChars="0" w:firstLine="480" w:firstLineChars="200"/>
        <w:jc w:val="both"/>
        <w:rPr>
          <w:rFonts w:ascii="仿宋" w:hAnsi="仿宋" w:eastAsia="仿宋" w:cs="仿宋"/>
          <w:b/>
          <w:bCs/>
          <w:sz w:val="32"/>
          <w:szCs w:val="32"/>
        </w:rPr>
      </w:pPr>
      <w:r>
        <w:rPr>
          <w:rFonts w:hint="eastAsia" w:ascii="仿宋" w:hAnsi="仿宋" w:eastAsia="仿宋" w:cs="Times New Roman"/>
          <w:bCs/>
          <w:sz w:val="24"/>
          <w:szCs w:val="20"/>
          <w:u w:val="single"/>
        </w:rPr>
        <w:t>　</w:t>
      </w:r>
      <w:r>
        <w:rPr>
          <w:rFonts w:hint="eastAsia" w:ascii="仿宋" w:hAnsi="仿宋" w:eastAsia="仿宋" w:cs="Times New Roman"/>
          <w:bCs/>
          <w:sz w:val="24"/>
          <w:szCs w:val="20"/>
        </w:rPr>
        <w:t>年</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月</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日</w:t>
      </w:r>
      <w:bookmarkStart w:id="307" w:name="_Toc9032"/>
      <w:bookmarkStart w:id="308" w:name="_Toc17429"/>
      <w:bookmarkStart w:id="309" w:name="_Toc1255"/>
      <w:bookmarkStart w:id="310" w:name="_Toc17568"/>
      <w:bookmarkStart w:id="311" w:name="_Toc10673"/>
      <w:bookmarkStart w:id="312" w:name="_Toc913"/>
      <w:bookmarkStart w:id="313" w:name="_Toc28959"/>
      <w:bookmarkStart w:id="314" w:name="_Toc28992"/>
      <w:bookmarkStart w:id="315" w:name="_Toc3640"/>
      <w:bookmarkStart w:id="316" w:name="_Toc10815"/>
      <w:bookmarkStart w:id="317" w:name="_Toc22678_WPSOffice_Level2"/>
      <w:bookmarkStart w:id="318" w:name="_Toc10792"/>
      <w:bookmarkStart w:id="319" w:name="_Toc13542"/>
      <w:bookmarkStart w:id="320" w:name="_Toc16155"/>
      <w:bookmarkStart w:id="321" w:name="_Toc8441"/>
      <w:bookmarkStart w:id="322" w:name="_Toc6509"/>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lang w:eastAsia="zh-CN"/>
        </w:rPr>
      </w:pPr>
    </w:p>
    <w:p>
      <w:pPr>
        <w:pStyle w:val="5"/>
        <w:rPr>
          <w:rFonts w:hint="eastAsia"/>
          <w:lang w:eastAsia="zh-CN"/>
        </w:rPr>
      </w:pPr>
    </w:p>
    <w:p>
      <w:pPr>
        <w:pStyle w:val="4"/>
        <w:spacing w:before="0" w:line="360" w:lineRule="auto"/>
        <w:jc w:val="center"/>
        <w:rPr>
          <w:rFonts w:ascii="仿宋" w:hAnsi="仿宋" w:eastAsia="仿宋" w:cs="Times New Roman"/>
          <w:bCs w:val="0"/>
        </w:rPr>
      </w:pPr>
      <w:r>
        <w:rPr>
          <w:rFonts w:hint="eastAsia" w:ascii="仿宋" w:hAnsi="仿宋" w:eastAsia="仿宋" w:cs="仿宋"/>
        </w:rPr>
        <w:t>（三）</w:t>
      </w:r>
      <w:r>
        <w:rPr>
          <w:rFonts w:hint="eastAsia" w:ascii="仿宋" w:hAnsi="仿宋" w:eastAsia="仿宋" w:cs="Times New Roman"/>
          <w:bCs w:val="0"/>
        </w:rPr>
        <w:t>法定代表人身份证明书</w:t>
      </w:r>
    </w:p>
    <w:p>
      <w:pPr>
        <w:rPr>
          <w:rFonts w:ascii="仿宋" w:hAnsi="仿宋" w:eastAsia="仿宋" w:cs="仿宋"/>
          <w:sz w:val="24"/>
          <w:szCs w:val="24"/>
        </w:rPr>
      </w:pPr>
      <w:r>
        <w:rPr>
          <w:rFonts w:hint="eastAsia" w:ascii="仿宋" w:hAnsi="仿宋" w:eastAsia="仿宋" w:cs="仿宋"/>
          <w:sz w:val="24"/>
          <w:szCs w:val="24"/>
          <w:lang w:val="en-US" w:eastAsia="zh-CN"/>
        </w:rPr>
        <w:t>木垒县</w:t>
      </w:r>
      <w:r>
        <w:rPr>
          <w:rFonts w:hint="eastAsia" w:ascii="仿宋" w:hAnsi="仿宋" w:eastAsia="仿宋" w:cs="仿宋"/>
          <w:sz w:val="24"/>
          <w:szCs w:val="24"/>
          <w:lang w:eastAsia="zh-CN"/>
        </w:rPr>
        <w:t>人民医院</w:t>
      </w:r>
      <w:r>
        <w:rPr>
          <w:rFonts w:hint="eastAsia" w:ascii="仿宋" w:hAnsi="仿宋" w:eastAsia="仿宋" w:cs="仿宋"/>
          <w:sz w:val="24"/>
          <w:szCs w:val="24"/>
        </w:rPr>
        <w:t>：</w:t>
      </w:r>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（姓名、性别、年龄、身份证号码）在我</w:t>
      </w:r>
      <w:r>
        <w:fldChar w:fldCharType="begin"/>
      </w:r>
      <w:r>
        <w:instrText xml:space="preserve"> HYPERLINK "https://baike.baidu.com/item/%E5%8D%95%E4%BD%8D/32292" \t "_blank" </w:instrText>
      </w:r>
      <w:r>
        <w:fldChar w:fldCharType="separate"/>
      </w:r>
      <w:r>
        <w:rPr>
          <w:rFonts w:hint="eastAsia" w:ascii="仿宋" w:hAnsi="仿宋" w:eastAsia="仿宋" w:cs="仿宋"/>
          <w:sz w:val="24"/>
          <w:szCs w:val="24"/>
        </w:rPr>
        <w:t>单位</w:t>
      </w:r>
      <w:r>
        <w:rPr>
          <w:rFonts w:hint="eastAsia" w:ascii="仿宋" w:hAnsi="仿宋" w:eastAsia="仿宋" w:cs="仿宋"/>
          <w:sz w:val="24"/>
          <w:szCs w:val="24"/>
        </w:rPr>
        <w:fldChar w:fldCharType="end"/>
      </w:r>
      <w:r>
        <w:rPr>
          <w:rFonts w:hint="eastAsia" w:ascii="仿宋" w:hAnsi="仿宋" w:eastAsia="仿宋" w:cs="仿宋"/>
          <w:sz w:val="24"/>
          <w:szCs w:val="24"/>
        </w:rPr>
        <w:t>任</w:t>
      </w:r>
      <w:r>
        <w:rPr>
          <w:rFonts w:hint="eastAsia" w:ascii="仿宋" w:hAnsi="仿宋" w:eastAsia="仿宋" w:cs="仿宋"/>
          <w:sz w:val="24"/>
          <w:szCs w:val="24"/>
          <w:u w:val="single"/>
        </w:rPr>
        <w:t xml:space="preserve">       </w:t>
      </w:r>
      <w:r>
        <w:rPr>
          <w:rFonts w:hint="eastAsia" w:ascii="仿宋" w:hAnsi="仿宋" w:eastAsia="仿宋" w:cs="仿宋"/>
          <w:sz w:val="24"/>
          <w:szCs w:val="24"/>
        </w:rPr>
        <w:t>（董事长、总经理等）职务，是我单位的法定代表人。</w:t>
      </w:r>
    </w:p>
    <w:p>
      <w:pPr>
        <w:ind w:left="239" w:leftChars="114" w:firstLine="480" w:firstLineChars="200"/>
        <w:rPr>
          <w:rFonts w:ascii="仿宋" w:hAnsi="仿宋" w:eastAsia="仿宋" w:cs="仿宋"/>
          <w:sz w:val="24"/>
          <w:szCs w:val="24"/>
        </w:rPr>
      </w:pPr>
    </w:p>
    <w:p>
      <w:pPr>
        <w:ind w:left="239" w:leftChars="114" w:firstLine="480" w:firstLineChars="200"/>
        <w:rPr>
          <w:rFonts w:ascii="宋体" w:hAnsi="宋体"/>
          <w:sz w:val="24"/>
        </w:rPr>
      </w:pPr>
      <w:r>
        <w:rPr>
          <w:rFonts w:hint="eastAsia" w:ascii="仿宋" w:hAnsi="仿宋" w:eastAsia="仿宋" w:cs="仿宋"/>
          <w:sz w:val="24"/>
          <w:szCs w:val="24"/>
        </w:rPr>
        <w:t>特此证明。</w:t>
      </w: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p>
    <w:tbl>
      <w:tblPr>
        <w:tblStyle w:val="26"/>
        <w:tblpPr w:leftFromText="180" w:rightFromText="180" w:vertAnchor="text" w:horzAnchor="page" w:tblpX="2526" w:tblpY="515"/>
        <w:tblOverlap w:val="never"/>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442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正面 </w:t>
            </w:r>
          </w:p>
        </w:tc>
        <w:tc>
          <w:tcPr>
            <w:tcW w:w="3574"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背面 </w:t>
            </w:r>
          </w:p>
        </w:tc>
      </w:tr>
    </w:tbl>
    <w:p>
      <w:pPr>
        <w:pStyle w:val="13"/>
        <w:tabs>
          <w:tab w:val="left" w:pos="5580"/>
        </w:tabs>
        <w:spacing w:line="360" w:lineRule="auto"/>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0" w:firstLineChars="500"/>
        <w:rPr>
          <w:rFonts w:ascii="仿宋" w:hAnsi="仿宋" w:eastAsia="仿宋" w:cs="仿宋"/>
          <w:sz w:val="24"/>
          <w:szCs w:val="24"/>
          <w:u w:val="single"/>
        </w:rPr>
      </w:pPr>
      <w:r>
        <w:rPr>
          <w:rFonts w:hint="eastAsia" w:ascii="仿宋" w:hAnsi="仿宋" w:eastAsia="仿宋" w:cs="仿宋"/>
          <w:sz w:val="24"/>
          <w:szCs w:val="24"/>
        </w:rPr>
        <w:t>法人代表签字：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pStyle w:val="35"/>
        <w:ind w:firstLine="1200" w:firstLineChars="500"/>
      </w:pPr>
      <w:r>
        <w:rPr>
          <w:rFonts w:hint="eastAsia" w:ascii="仿宋" w:hAnsi="仿宋" w:eastAsia="仿宋" w:cs="仿宋"/>
          <w:kern w:val="2"/>
          <w:sz w:val="24"/>
          <w:szCs w:val="24"/>
        </w:rPr>
        <w:t xml:space="preserve">投标人（盖公章）：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xml:space="preserve"> </w:t>
      </w:r>
    </w:p>
    <w:p>
      <w:pPr>
        <w:ind w:firstLine="1200" w:firstLineChars="500"/>
        <w:rPr>
          <w:rFonts w:ascii="仿宋" w:hAnsi="仿宋" w:eastAsia="仿宋" w:cs="仿宋"/>
          <w:sz w:val="24"/>
          <w:szCs w:val="24"/>
        </w:rPr>
      </w:pPr>
      <w:r>
        <w:rPr>
          <w:rFonts w:hint="eastAsia" w:ascii="仿宋" w:hAnsi="仿宋" w:eastAsia="仿宋" w:cs="仿宋"/>
          <w:sz w:val="24"/>
          <w:szCs w:val="24"/>
        </w:rPr>
        <w:t>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
      <w:pPr>
        <w:keepNext/>
        <w:keepLines/>
        <w:spacing w:before="260" w:after="260"/>
        <w:jc w:val="center"/>
        <w:outlineLvl w:val="1"/>
        <w:rPr>
          <w:rFonts w:ascii="仿宋" w:hAnsi="仿宋" w:eastAsia="仿宋" w:cs="Times New Roman"/>
          <w:b/>
          <w:sz w:val="32"/>
          <w:szCs w:val="32"/>
        </w:rPr>
      </w:pPr>
      <w:r>
        <w:rPr>
          <w:rFonts w:hint="eastAsia" w:ascii="仿宋" w:hAnsi="仿宋" w:eastAsia="仿宋" w:cs="仿宋"/>
          <w:b/>
          <w:bCs/>
          <w:sz w:val="32"/>
          <w:szCs w:val="32"/>
        </w:rPr>
        <w:t>（四）</w:t>
      </w:r>
      <w:r>
        <w:rPr>
          <w:rFonts w:hint="eastAsia" w:ascii="仿宋" w:hAnsi="仿宋" w:eastAsia="仿宋" w:cs="Times New Roman"/>
          <w:b/>
          <w:sz w:val="32"/>
          <w:szCs w:val="32"/>
        </w:rPr>
        <w:t>法人代表授权书</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 xml:space="preserve">姓名）           </w:t>
      </w:r>
      <w:r>
        <w:rPr>
          <w:rFonts w:hint="eastAsia" w:ascii="仿宋" w:hAnsi="仿宋" w:eastAsia="仿宋" w:cs="仿宋"/>
          <w:sz w:val="24"/>
          <w:szCs w:val="24"/>
        </w:rPr>
        <w:t>系</w:t>
      </w:r>
      <w:r>
        <w:rPr>
          <w:rFonts w:hint="eastAsia" w:ascii="仿宋" w:hAnsi="仿宋" w:eastAsia="仿宋" w:cs="Times New Roman"/>
          <w:sz w:val="24"/>
          <w:szCs w:val="20"/>
        </w:rPr>
        <w:t>注册于</w:t>
      </w:r>
      <w:r>
        <w:rPr>
          <w:rFonts w:hint="eastAsia" w:ascii="仿宋" w:hAnsi="仿宋" w:eastAsia="仿宋" w:cs="Times New Roman"/>
          <w:sz w:val="24"/>
          <w:szCs w:val="20"/>
          <w:u w:val="single"/>
        </w:rPr>
        <w:t xml:space="preserve">（地区的名称）             </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 xml:space="preserve">姓名）       </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（采购单位名称）                    （项目名称)               （文件编号）【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的采购招标活动。被授权人在本次采购招标过程中所签署的一切文件和处理与之有关的一切事务,我均予以承认。</w:t>
      </w:r>
    </w:p>
    <w:p>
      <w:pPr>
        <w:ind w:firstLine="480" w:firstLineChars="200"/>
        <w:rPr>
          <w:rFonts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日签字生效，被授权人无转让权,特此授权。</w:t>
      </w:r>
    </w:p>
    <w:p>
      <w:pPr>
        <w:ind w:firstLine="482"/>
        <w:rPr>
          <w:rFonts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xml:space="preserve">             　　　</w:t>
      </w:r>
    </w:p>
    <w:p>
      <w:pPr>
        <w:ind w:firstLine="482"/>
        <w:rPr>
          <w:rFonts w:ascii="仿宋" w:hAnsi="仿宋" w:eastAsia="仿宋" w:cs="仿宋"/>
          <w:sz w:val="24"/>
          <w:szCs w:val="24"/>
        </w:rPr>
      </w:pPr>
      <w:r>
        <w:rPr>
          <w:rFonts w:hint="eastAsia" w:ascii="仿宋" w:hAnsi="仿宋" w:eastAsia="仿宋" w:cs="仿宋"/>
          <w:sz w:val="24"/>
          <w:szCs w:val="24"/>
        </w:rPr>
        <w:t>公       章：</w:t>
      </w:r>
    </w:p>
    <w:p>
      <w:pPr>
        <w:ind w:firstLine="482"/>
        <w:rPr>
          <w:rFonts w:ascii="仿宋" w:hAnsi="仿宋" w:eastAsia="仿宋" w:cs="仿宋"/>
          <w:sz w:val="24"/>
          <w:szCs w:val="24"/>
        </w:rPr>
      </w:pPr>
    </w:p>
    <w:p>
      <w:pPr>
        <w:ind w:firstLine="480"/>
        <w:rPr>
          <w:rFonts w:ascii="仿宋" w:hAnsi="仿宋" w:eastAsia="仿宋" w:cs="仿宋"/>
          <w:sz w:val="24"/>
          <w:szCs w:val="24"/>
          <w:u w:val="single"/>
        </w:rPr>
      </w:pPr>
      <w:r>
        <w:rPr>
          <w:rFonts w:hint="eastAsia" w:ascii="仿宋" w:hAnsi="仿宋" w:eastAsia="仿宋" w:cs="仿宋"/>
          <w:sz w:val="24"/>
          <w:szCs w:val="24"/>
        </w:rPr>
        <w:t>　　　　　　　　　　　　　　授权日期：20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spacing w:line="380" w:lineRule="exact"/>
        <w:jc w:val="center"/>
        <w:outlineLvl w:val="0"/>
        <w:rPr>
          <w:rFonts w:ascii="宋体" w:hAnsi="宋体" w:cs="宋体"/>
          <w:b/>
          <w:bCs/>
          <w:sz w:val="28"/>
          <w:szCs w:val="28"/>
        </w:rPr>
      </w:pPr>
      <w:bookmarkStart w:id="323" w:name="_Toc26910"/>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bookmarkEnd w:id="323"/>
    </w:p>
    <w:tbl>
      <w:tblPr>
        <w:tblStyle w:val="26"/>
        <w:tblpPr w:leftFromText="180" w:rightFromText="180" w:vertAnchor="text" w:horzAnchor="page" w:tblpX="1755" w:tblpY="400"/>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20" w:hRule="atLeast"/>
        </w:trPr>
        <w:tc>
          <w:tcPr>
            <w:tcW w:w="4327"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4" w:name="_Toc12022"/>
            <w:r>
              <w:rPr>
                <w:rFonts w:hint="eastAsia" w:ascii="仿宋" w:hAnsi="仿宋" w:eastAsia="仿宋" w:cs="Times New Roman"/>
                <w:b/>
                <w:bCs/>
                <w:sz w:val="28"/>
                <w:szCs w:val="28"/>
              </w:rPr>
              <w:t>正面</w:t>
            </w:r>
            <w:bookmarkEnd w:id="324"/>
            <w:r>
              <w:rPr>
                <w:rFonts w:hint="eastAsia" w:ascii="仿宋" w:hAnsi="仿宋" w:eastAsia="仿宋" w:cs="Times New Roman"/>
                <w:b/>
                <w:bCs/>
                <w:sz w:val="28"/>
                <w:szCs w:val="28"/>
              </w:rPr>
              <w:t xml:space="preserve"> </w:t>
            </w:r>
          </w:p>
        </w:tc>
        <w:tc>
          <w:tcPr>
            <w:tcW w:w="4293"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5" w:name="_Toc9509"/>
            <w:r>
              <w:rPr>
                <w:rFonts w:hint="eastAsia" w:ascii="仿宋" w:hAnsi="仿宋" w:eastAsia="仿宋" w:cs="Times New Roman"/>
                <w:b/>
                <w:bCs/>
                <w:sz w:val="28"/>
                <w:szCs w:val="28"/>
              </w:rPr>
              <w:t>背面</w:t>
            </w:r>
            <w:bookmarkEnd w:id="325"/>
            <w:r>
              <w:rPr>
                <w:rFonts w:hint="eastAsia" w:ascii="仿宋" w:hAnsi="仿宋" w:eastAsia="仿宋" w:cs="Times New Roman"/>
                <w:b/>
                <w:bCs/>
                <w:sz w:val="28"/>
                <w:szCs w:val="28"/>
              </w:rPr>
              <w:t xml:space="preserve"> </w:t>
            </w:r>
          </w:p>
        </w:tc>
      </w:tr>
    </w:tbl>
    <w:p>
      <w:pPr>
        <w:spacing w:line="380" w:lineRule="exact"/>
        <w:jc w:val="center"/>
        <w:outlineLvl w:val="0"/>
        <w:rPr>
          <w:rFonts w:hint="eastAsia" w:ascii="宋体" w:hAnsi="宋体" w:cs="宋体"/>
          <w:b/>
          <w:bCs/>
          <w:sz w:val="28"/>
          <w:szCs w:val="28"/>
        </w:rPr>
      </w:pPr>
      <w:bookmarkStart w:id="326" w:name="_Toc19940"/>
    </w:p>
    <w:p>
      <w:pPr>
        <w:spacing w:line="380" w:lineRule="exact"/>
        <w:jc w:val="center"/>
        <w:outlineLvl w:val="0"/>
        <w:rPr>
          <w:rFonts w:ascii="宋体" w:hAnsi="宋体" w:cs="宋体"/>
          <w:b/>
          <w:bCs/>
          <w:sz w:val="28"/>
          <w:szCs w:val="28"/>
        </w:rPr>
      </w:pPr>
      <w:r>
        <w:rPr>
          <w:rFonts w:hint="eastAsia" w:ascii="宋体" w:hAnsi="宋体" w:cs="宋体"/>
          <w:b/>
          <w:bCs/>
          <w:sz w:val="28"/>
          <w:szCs w:val="28"/>
        </w:rPr>
        <w:t>被授权人身份证复印件</w:t>
      </w:r>
      <w:bookmarkEnd w:id="326"/>
    </w:p>
    <w:tbl>
      <w:tblPr>
        <w:tblStyle w:val="26"/>
        <w:tblpPr w:leftFromText="180" w:rightFromText="180" w:vertAnchor="text" w:horzAnchor="page" w:tblpX="1834" w:tblpY="153"/>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4315"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7" w:name="_Toc19052"/>
            <w:bookmarkStart w:id="328" w:name="_Toc9107"/>
            <w:bookmarkStart w:id="329" w:name="_Toc31120"/>
            <w:bookmarkStart w:id="330" w:name="_Toc21239"/>
            <w:bookmarkStart w:id="331" w:name="_Toc5285"/>
            <w:bookmarkStart w:id="332" w:name="_Toc18894"/>
            <w:bookmarkStart w:id="333" w:name="_Toc2380"/>
            <w:bookmarkStart w:id="334" w:name="_Toc31819"/>
            <w:bookmarkStart w:id="335" w:name="_Toc17248"/>
            <w:bookmarkStart w:id="336" w:name="_Toc12866"/>
            <w:bookmarkStart w:id="337" w:name="_Toc27144"/>
            <w:bookmarkStart w:id="338" w:name="_Toc23835"/>
            <w:bookmarkStart w:id="339" w:name="_Toc13738_WPSOffice_Level2"/>
            <w:bookmarkStart w:id="340" w:name="_Toc29612"/>
            <w:bookmarkStart w:id="341" w:name="_Toc14188"/>
            <w:bookmarkStart w:id="342" w:name="_Toc27024"/>
            <w:r>
              <w:rPr>
                <w:rFonts w:hint="eastAsia" w:ascii="仿宋" w:hAnsi="仿宋" w:eastAsia="仿宋" w:cs="Times New Roman"/>
                <w:b/>
                <w:bCs/>
                <w:sz w:val="28"/>
                <w:szCs w:val="28"/>
              </w:rPr>
              <w:t>正面</w:t>
            </w:r>
            <w:bookmarkEnd w:id="327"/>
            <w:r>
              <w:rPr>
                <w:rFonts w:hint="eastAsia" w:ascii="仿宋" w:hAnsi="仿宋" w:eastAsia="仿宋" w:cs="Times New Roman"/>
                <w:b/>
                <w:bCs/>
                <w:sz w:val="28"/>
                <w:szCs w:val="28"/>
              </w:rPr>
              <w:t xml:space="preserve"> </w:t>
            </w:r>
          </w:p>
        </w:tc>
        <w:tc>
          <w:tcPr>
            <w:tcW w:w="429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43" w:name="_Toc26231"/>
            <w:r>
              <w:rPr>
                <w:rFonts w:hint="eastAsia" w:ascii="仿宋" w:hAnsi="仿宋" w:eastAsia="仿宋" w:cs="Times New Roman"/>
                <w:b/>
                <w:bCs/>
                <w:sz w:val="28"/>
                <w:szCs w:val="28"/>
              </w:rPr>
              <w:t>背面</w:t>
            </w:r>
            <w:bookmarkEnd w:id="343"/>
            <w:r>
              <w:rPr>
                <w:rFonts w:hint="eastAsia" w:ascii="仿宋" w:hAnsi="仿宋" w:eastAsia="仿宋" w:cs="Times New Roman"/>
                <w:b/>
                <w:bCs/>
                <w:sz w:val="28"/>
                <w:szCs w:val="28"/>
              </w:rPr>
              <w:t xml:space="preserve"> </w:t>
            </w:r>
          </w:p>
        </w:tc>
      </w:tr>
    </w:tbl>
    <w:p>
      <w:pPr>
        <w:jc w:val="both"/>
        <w:rPr>
          <w:rFonts w:hint="eastAsia" w:ascii="仿宋" w:hAnsi="仿宋" w:eastAsia="仿宋"/>
          <w:b/>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8"/>
        <w:jc w:val="left"/>
        <w:textAlignment w:val="baseline"/>
        <w:rPr>
          <w:rFonts w:hint="eastAsia" w:ascii="仿宋" w:hAnsi="仿宋" w:eastAsia="仿宋" w:cs="仿宋"/>
          <w:b w:val="0"/>
          <w:bCs w:val="0"/>
          <w:color w:val="auto"/>
          <w:spacing w:val="0"/>
          <w:w w:val="100"/>
          <w:position w:val="0"/>
          <w:highlight w:val="none"/>
        </w:rPr>
        <w:sectPr>
          <w:footerReference r:id="rId9" w:type="default"/>
          <w:pgSz w:w="11906" w:h="16839"/>
          <w:pgMar w:top="1417" w:right="1417" w:bottom="1417" w:left="1417" w:header="0" w:footer="1030" w:gutter="283"/>
          <w:pgBorders>
            <w:top w:val="none" w:sz="0" w:space="0"/>
            <w:left w:val="none" w:sz="0" w:space="0"/>
            <w:bottom w:val="none" w:sz="0" w:space="0"/>
            <w:right w:val="none" w:sz="0" w:space="0"/>
          </w:pgBorders>
          <w:pgNumType w:fmt="decimal"/>
          <w:cols w:space="720" w:num="1"/>
          <w:rtlGutter w:val="0"/>
          <w:docGrid w:linePitch="0" w:charSpace="0"/>
        </w:sectPr>
      </w:pPr>
      <w:r>
        <w:rPr>
          <w:rFonts w:hint="eastAsia" w:ascii="仿宋" w:hAnsi="仿宋" w:eastAsia="仿宋" w:cs="仿宋"/>
          <w:b/>
          <w:bCs/>
          <w:color w:val="auto"/>
          <w:spacing w:val="0"/>
          <w:w w:val="100"/>
          <w:position w:val="0"/>
          <w:sz w:val="24"/>
          <w:szCs w:val="24"/>
          <w:highlight w:val="none"/>
          <w:u w:val="none" w:color="auto"/>
        </w:rPr>
        <w:t>注</w:t>
      </w:r>
      <w:r>
        <w:rPr>
          <w:rFonts w:hint="eastAsia" w:ascii="仿宋" w:hAnsi="仿宋" w:eastAsia="仿宋" w:cs="仿宋"/>
          <w:b/>
          <w:bCs/>
          <w:color w:val="auto"/>
          <w:spacing w:val="0"/>
          <w:w w:val="100"/>
          <w:position w:val="0"/>
          <w:sz w:val="24"/>
          <w:szCs w:val="24"/>
          <w:highlight w:val="none"/>
          <w:u w:val="none" w:color="auto"/>
          <w:lang w:eastAsia="zh-CN"/>
        </w:rPr>
        <w:t>：委托代理人2021年10月至2022年3月在职单位社保明细证明，</w:t>
      </w:r>
      <w:r>
        <w:rPr>
          <w:rFonts w:hint="eastAsia" w:ascii="仿宋" w:hAnsi="仿宋" w:eastAsia="仿宋" w:cs="仿宋"/>
          <w:b/>
          <w:bCs/>
          <w:color w:val="auto"/>
          <w:spacing w:val="0"/>
          <w:w w:val="100"/>
          <w:position w:val="0"/>
          <w:sz w:val="24"/>
          <w:szCs w:val="24"/>
          <w:highlight w:val="none"/>
          <w:u w:val="none" w:color="auto"/>
        </w:rPr>
        <w:t>（如退休人员可提供退休证明等</w:t>
      </w:r>
      <w:r>
        <w:rPr>
          <w:rFonts w:hint="eastAsia" w:ascii="仿宋" w:hAnsi="仿宋" w:eastAsia="仿宋" w:cs="仿宋"/>
          <w:b/>
          <w:bCs/>
          <w:color w:val="auto"/>
          <w:spacing w:val="0"/>
          <w:w w:val="100"/>
          <w:position w:val="0"/>
          <w:sz w:val="24"/>
          <w:szCs w:val="24"/>
          <w:highlight w:val="none"/>
          <w:u w:val="none" w:color="auto"/>
          <w:lang w:eastAsia="zh-CN"/>
        </w:rPr>
        <w:t>，</w:t>
      </w:r>
      <w:r>
        <w:rPr>
          <w:rFonts w:hint="eastAsia" w:ascii="仿宋" w:hAnsi="仿宋" w:eastAsia="仿宋" w:cs="仿宋"/>
          <w:b/>
          <w:bCs/>
          <w:color w:val="auto"/>
          <w:spacing w:val="0"/>
          <w:w w:val="100"/>
          <w:position w:val="0"/>
          <w:sz w:val="24"/>
          <w:szCs w:val="24"/>
          <w:highlight w:val="none"/>
          <w:u w:val="none" w:color="auto"/>
        </w:rPr>
        <w:t>投标单位出具的说明不能作为证明文件），否则视为未提供社会保险的缴纳证明</w:t>
      </w:r>
      <w:r>
        <w:rPr>
          <w:rFonts w:hint="eastAsia" w:ascii="仿宋" w:hAnsi="仿宋" w:eastAsia="仿宋" w:cs="仿宋"/>
          <w:b/>
          <w:bCs/>
          <w:color w:val="auto"/>
          <w:spacing w:val="0"/>
          <w:w w:val="100"/>
          <w:position w:val="0"/>
          <w:sz w:val="24"/>
          <w:szCs w:val="24"/>
          <w:highlight w:val="none"/>
          <w:u w:val="none" w:color="auto"/>
          <w:lang w:eastAsia="zh-CN"/>
        </w:rPr>
        <w:t>。</w:t>
      </w:r>
    </w:p>
    <w:p>
      <w:pPr>
        <w:jc w:val="both"/>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_GB2312" w:hAnsi="宋体" w:eastAsia="仿宋_GB2312"/>
        </w:rPr>
      </w:pPr>
      <w:r>
        <w:rPr>
          <w:rFonts w:hint="eastAsia" w:ascii="仿宋" w:hAnsi="仿宋" w:eastAsia="仿宋"/>
          <w:b/>
          <w:sz w:val="32"/>
          <w:szCs w:val="32"/>
        </w:rPr>
        <w:t>（五）开标一览表</w:t>
      </w:r>
      <w:r>
        <w:rPr>
          <w:rFonts w:hint="eastAsia" w:ascii="仿宋_GB2312" w:hAnsi="宋体" w:eastAsia="仿宋_GB2312"/>
          <w:b/>
        </w:rPr>
        <w:cr/>
      </w:r>
    </w:p>
    <w:p>
      <w:pPr>
        <w:autoSpaceDE w:val="0"/>
        <w:autoSpaceDN w:val="0"/>
        <w:adjustRightInd w:val="0"/>
        <w:ind w:firstLine="482" w:firstLineChars="20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项目名称：　                                       项目编号： </w:t>
      </w:r>
    </w:p>
    <w:tbl>
      <w:tblPr>
        <w:tblStyle w:val="26"/>
        <w:tblW w:w="9699"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581"/>
        <w:gridCol w:w="5"/>
        <w:gridCol w:w="1023"/>
        <w:gridCol w:w="409"/>
        <w:gridCol w:w="1227"/>
        <w:gridCol w:w="264"/>
        <w:gridCol w:w="5"/>
        <w:gridCol w:w="1095"/>
        <w:gridCol w:w="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1581"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制造商</w:t>
            </w:r>
          </w:p>
        </w:tc>
        <w:tc>
          <w:tcPr>
            <w:tcW w:w="1437"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491"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100"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1"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           </w:t>
            </w:r>
          </w:p>
        </w:tc>
        <w:tc>
          <w:tcPr>
            <w:tcW w:w="1437" w:type="dxa"/>
            <w:gridSpan w:val="3"/>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491"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100"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685"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5"/>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680" w:type="dxa"/>
          </w:tcPr>
          <w:p>
            <w:pPr>
              <w:pStyle w:val="35"/>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5"/>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680" w:type="dxa"/>
          </w:tcPr>
          <w:p>
            <w:pPr>
              <w:pStyle w:val="35"/>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5"/>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680" w:type="dxa"/>
          </w:tcPr>
          <w:p>
            <w:pPr>
              <w:pStyle w:val="35"/>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投标总报价（人民币）</w:t>
            </w:r>
          </w:p>
        </w:tc>
        <w:tc>
          <w:tcPr>
            <w:tcW w:w="7294" w:type="dxa"/>
            <w:gridSpan w:val="10"/>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大写：           </w:t>
            </w:r>
          </w:p>
          <w:p>
            <w:pPr>
              <w:pStyle w:val="35"/>
              <w:keepNext w:val="0"/>
              <w:keepLines w:val="0"/>
              <w:widowControl/>
              <w:suppressLineNumbers w:val="0"/>
              <w:spacing w:before="0" w:beforeAutospacing="0" w:after="0" w:afterAutospacing="0"/>
              <w:ind w:left="0" w:right="0" w:firstLine="420"/>
              <w:rPr>
                <w:rFonts w:hint="default"/>
              </w:rPr>
            </w:pPr>
            <w:r>
              <w:rPr>
                <w:rFonts w:hint="eastAsia" w:ascii="仿宋" w:hAnsi="仿宋" w:eastAsia="仿宋" w:cs="仿宋"/>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交货期</w:t>
            </w:r>
            <w:r>
              <w:rPr>
                <w:rFonts w:hint="eastAsia" w:ascii="仿宋" w:hAnsi="仿宋" w:eastAsia="仿宋" w:cs="仿宋"/>
                <w:sz w:val="24"/>
                <w:szCs w:val="24"/>
                <w:lang w:eastAsia="zh-CN"/>
              </w:rPr>
              <w:t>：</w:t>
            </w:r>
          </w:p>
        </w:tc>
        <w:tc>
          <w:tcPr>
            <w:tcW w:w="2609" w:type="dxa"/>
            <w:gridSpan w:val="3"/>
          </w:tcPr>
          <w:p>
            <w:pPr>
              <w:pStyle w:val="35"/>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5"/>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p>
        </w:tc>
        <w:tc>
          <w:tcPr>
            <w:tcW w:w="3049" w:type="dxa"/>
            <w:gridSpan w:val="5"/>
          </w:tcPr>
          <w:p>
            <w:pPr>
              <w:pStyle w:val="35"/>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405" w:type="dxa"/>
          </w:tcPr>
          <w:p>
            <w:pPr>
              <w:pStyle w:val="35"/>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kern w:val="2"/>
                <w:sz w:val="24"/>
                <w:szCs w:val="24"/>
              </w:rPr>
            </w:pPr>
            <w:r>
              <w:rPr>
                <w:rFonts w:hint="eastAsia" w:ascii="仿宋" w:hAnsi="仿宋" w:eastAsia="仿宋" w:cs="仿宋"/>
                <w:kern w:val="2"/>
                <w:sz w:val="24"/>
                <w:szCs w:val="24"/>
              </w:rPr>
              <w:t>报价总说明：</w:t>
            </w:r>
          </w:p>
        </w:tc>
        <w:tc>
          <w:tcPr>
            <w:tcW w:w="2609" w:type="dxa"/>
            <w:gridSpan w:val="3"/>
          </w:tcPr>
          <w:p>
            <w:pPr>
              <w:pStyle w:val="35"/>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5"/>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质量标准</w:t>
            </w:r>
            <w:r>
              <w:rPr>
                <w:rFonts w:hint="eastAsia" w:ascii="仿宋" w:hAnsi="仿宋" w:eastAsia="仿宋" w:cs="仿宋"/>
                <w:sz w:val="24"/>
                <w:szCs w:val="24"/>
                <w:lang w:eastAsia="zh-CN"/>
              </w:rPr>
              <w:t>：</w:t>
            </w:r>
          </w:p>
        </w:tc>
        <w:tc>
          <w:tcPr>
            <w:tcW w:w="3049" w:type="dxa"/>
            <w:gridSpan w:val="5"/>
          </w:tcPr>
          <w:p>
            <w:pPr>
              <w:pStyle w:val="35"/>
              <w:keepNext w:val="0"/>
              <w:keepLines w:val="0"/>
              <w:widowControl/>
              <w:suppressLineNumbers w:val="0"/>
              <w:spacing w:before="0" w:beforeAutospacing="0" w:after="0" w:afterAutospacing="0"/>
              <w:ind w:left="0" w:right="0" w:firstLine="420"/>
              <w:rPr>
                <w:rFonts w:hint="default"/>
              </w:rPr>
            </w:pPr>
          </w:p>
        </w:tc>
      </w:tr>
    </w:tbl>
    <w:p>
      <w:pPr>
        <w:pStyle w:val="35"/>
        <w:ind w:firstLine="420"/>
      </w:pPr>
    </w:p>
    <w:p>
      <w:pPr>
        <w:autoSpaceDE w:val="0"/>
        <w:autoSpaceDN w:val="0"/>
        <w:adjustRightInd w:val="0"/>
        <w:rPr>
          <w:rFonts w:ascii="仿宋" w:hAnsi="仿宋" w:eastAsia="仿宋" w:cs="Times New Roman"/>
          <w:b/>
          <w:bCs/>
          <w:color w:val="000000"/>
          <w:kern w:val="0"/>
          <w:sz w:val="24"/>
          <w:szCs w:val="24"/>
        </w:rPr>
      </w:pP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投标人名称（单位盖章）：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法定代表人或被授权代理人（签字、盖章）：</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日期：20　年　　月　　日</w:t>
      </w:r>
    </w:p>
    <w:p>
      <w:pPr>
        <w:autoSpaceDE w:val="0"/>
        <w:autoSpaceDN w:val="0"/>
        <w:adjustRightInd w:val="0"/>
        <w:rPr>
          <w:rFonts w:hint="eastAsia" w:ascii="仿宋" w:hAnsi="仿宋" w:eastAsia="仿宋" w:cs="Times New Roman"/>
          <w:b/>
          <w:bCs/>
          <w:color w:val="000000"/>
          <w:kern w:val="0"/>
          <w:sz w:val="24"/>
          <w:szCs w:val="24"/>
          <w:lang w:val="en-US" w:eastAsia="zh-CN"/>
        </w:rPr>
      </w:pPr>
      <w:r>
        <w:rPr>
          <w:rFonts w:hint="eastAsia" w:ascii="仿宋" w:hAnsi="仿宋" w:eastAsia="仿宋" w:cs="Times New Roman"/>
          <w:b/>
          <w:bCs/>
          <w:color w:val="000000"/>
          <w:kern w:val="0"/>
          <w:sz w:val="24"/>
          <w:szCs w:val="24"/>
        </w:rPr>
        <w:t>注:</w:t>
      </w:r>
      <w:r>
        <w:rPr>
          <w:rFonts w:hint="eastAsia" w:ascii="仿宋" w:hAnsi="仿宋" w:eastAsia="仿宋" w:cs="Times New Roman"/>
          <w:b/>
          <w:bCs/>
          <w:color w:val="000000"/>
          <w:kern w:val="0"/>
          <w:sz w:val="24"/>
          <w:szCs w:val="24"/>
          <w:lang w:val="en-US" w:eastAsia="zh-CN"/>
        </w:rPr>
        <w:t xml:space="preserve">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1、此表一式两份，一份单独密封，一份装订在投标文件里。</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2、“交货期”指签订合同之日起，多少天内完成合同规定的全部工作内容。</w:t>
      </w:r>
    </w:p>
    <w:p>
      <w:pPr>
        <w:autoSpaceDE w:val="0"/>
        <w:autoSpaceDN w:val="0"/>
        <w:adjustRightInd w:val="0"/>
        <w:rPr>
          <w:rFonts w:ascii="仿宋" w:hAnsi="仿宋" w:eastAsia="仿宋" w:cs="仿宋"/>
          <w:b/>
          <w:bCs/>
          <w:sz w:val="32"/>
          <w:szCs w:val="32"/>
        </w:rPr>
      </w:pPr>
      <w:r>
        <w:rPr>
          <w:rFonts w:hint="eastAsia" w:ascii="仿宋" w:hAnsi="仿宋" w:eastAsia="仿宋" w:cs="Times New Roman"/>
          <w:b/>
          <w:bCs/>
          <w:color w:val="000000"/>
          <w:kern w:val="0"/>
          <w:sz w:val="24"/>
          <w:szCs w:val="24"/>
        </w:rPr>
        <w:t>3、投标单位如果需要对投标报价或其它内容加以说明，可在报价说明中填写；投标总报价以元为单位，小数点后保留2位。此表中，每包的投标总价应和投标分项报价表的总价相一致。</w:t>
      </w:r>
    </w:p>
    <w:p>
      <w:pPr>
        <w:autoSpaceDE w:val="0"/>
        <w:autoSpaceDN w:val="0"/>
        <w:adjustRightInd w:val="0"/>
        <w:ind w:firstLine="643" w:firstLineChars="200"/>
        <w:rPr>
          <w:rFonts w:ascii="仿宋" w:hAnsi="仿宋" w:eastAsia="仿宋" w:cs="仿宋"/>
          <w:b/>
          <w:bCs/>
          <w:sz w:val="32"/>
          <w:szCs w:val="32"/>
        </w:rPr>
      </w:pPr>
    </w:p>
    <w:p/>
    <w:p>
      <w:pPr>
        <w:pStyle w:val="6"/>
        <w:spacing w:line="360" w:lineRule="exact"/>
        <w:ind w:left="359"/>
        <w:jc w:val="center"/>
        <w:rPr>
          <w:rFonts w:hint="eastAsia" w:ascii="仿宋" w:hAnsi="仿宋" w:eastAsia="仿宋"/>
          <w:bCs w:val="0"/>
        </w:rPr>
      </w:pPr>
    </w:p>
    <w:p>
      <w:pPr>
        <w:rPr>
          <w:rFonts w:hint="eastAsia"/>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jc w:val="both"/>
        <w:rPr>
          <w:rFonts w:hint="eastAsia" w:ascii="仿宋" w:hAnsi="仿宋" w:eastAsia="仿宋"/>
          <w:bCs w:val="0"/>
        </w:rPr>
      </w:pPr>
    </w:p>
    <w:p>
      <w:pPr>
        <w:rPr>
          <w:rFonts w:hint="eastAsia" w:ascii="仿宋" w:hAnsi="仿宋" w:eastAsia="仿宋"/>
          <w:bCs w:val="0"/>
        </w:rPr>
      </w:pPr>
    </w:p>
    <w:p>
      <w:pPr>
        <w:pStyle w:val="16"/>
        <w:rPr>
          <w:rFonts w:hint="eastAsia" w:ascii="仿宋" w:hAnsi="仿宋" w:eastAsia="仿宋"/>
          <w:bCs w:val="0"/>
        </w:rPr>
      </w:pPr>
    </w:p>
    <w:p>
      <w:pPr>
        <w:pStyle w:val="16"/>
        <w:rPr>
          <w:rFonts w:hint="eastAsia" w:ascii="仿宋" w:hAnsi="仿宋" w:eastAsia="仿宋"/>
          <w:bCs w:val="0"/>
        </w:rPr>
      </w:pPr>
    </w:p>
    <w:p>
      <w:pPr>
        <w:rPr>
          <w:rFonts w:hint="eastAsia"/>
        </w:rPr>
      </w:pPr>
    </w:p>
    <w:p>
      <w:pPr>
        <w:pStyle w:val="6"/>
        <w:spacing w:line="360" w:lineRule="exact"/>
        <w:ind w:left="359"/>
        <w:jc w:val="center"/>
        <w:rPr>
          <w:rFonts w:ascii="仿宋" w:hAnsi="仿宋" w:eastAsia="仿宋"/>
          <w:bCs w:val="0"/>
        </w:rPr>
      </w:pPr>
      <w:r>
        <w:rPr>
          <w:rFonts w:hint="eastAsia" w:ascii="仿宋" w:hAnsi="仿宋" w:eastAsia="仿宋"/>
          <w:bCs w:val="0"/>
        </w:rPr>
        <w:t>（六）投标报价明细表</w:t>
      </w:r>
      <w:r>
        <w:rPr>
          <w:rFonts w:hint="eastAsia" w:ascii="黑体" w:hAnsi="黑体"/>
          <w:szCs w:val="21"/>
        </w:rPr>
        <w:t>（设备、材料、系统费用及其他费用）</w:t>
      </w:r>
    </w:p>
    <w:p>
      <w:pPr>
        <w:widowControl/>
        <w:ind w:firstLine="723" w:firstLineChars="300"/>
        <w:jc w:val="left"/>
        <w:rPr>
          <w:rFonts w:ascii="仿宋_GB2312" w:eastAsia="仿宋_GB2312"/>
          <w:sz w:val="24"/>
        </w:rPr>
      </w:pPr>
      <w:r>
        <w:rPr>
          <w:rFonts w:hint="eastAsia" w:ascii="仿宋" w:hAnsi="仿宋" w:eastAsia="仿宋" w:cs="Times New Roman"/>
          <w:b/>
          <w:bCs/>
          <w:kern w:val="0"/>
          <w:sz w:val="24"/>
          <w:szCs w:val="24"/>
        </w:rPr>
        <w:t xml:space="preserve">项目名称：                                 项目编号： </w:t>
      </w:r>
      <w:r>
        <w:rPr>
          <w:rFonts w:hint="eastAsia" w:ascii="仿宋" w:hAnsi="仿宋" w:eastAsia="仿宋" w:cs="仿宋"/>
          <w:color w:val="000000"/>
          <w:kern w:val="0"/>
          <w:sz w:val="24"/>
          <w:szCs w:val="24"/>
        </w:rPr>
        <w:t xml:space="preserve"> </w:t>
      </w:r>
      <w:bookmarkStart w:id="344" w:name="_Toc15264"/>
    </w:p>
    <w:tbl>
      <w:tblPr>
        <w:tblStyle w:val="26"/>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70"/>
        <w:gridCol w:w="854"/>
        <w:gridCol w:w="1084"/>
        <w:gridCol w:w="796"/>
        <w:gridCol w:w="1026"/>
        <w:gridCol w:w="1063"/>
        <w:gridCol w:w="715"/>
        <w:gridCol w:w="98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484" w:type="dxa"/>
            <w:vAlign w:val="center"/>
          </w:tcPr>
          <w:p>
            <w:pPr>
              <w:pStyle w:val="13"/>
              <w:keepNext w:val="0"/>
              <w:keepLines w:val="0"/>
              <w:suppressLineNumbers w:val="0"/>
              <w:spacing w:before="0" w:beforeAutospacing="0" w:after="0" w:afterAutospacing="0" w:line="240" w:lineRule="atLeast"/>
              <w:ind w:left="0" w:right="0"/>
              <w:rPr>
                <w:rFonts w:hint="default" w:ascii="仿宋_GB2312" w:eastAsia="仿宋_GB2312"/>
                <w:sz w:val="24"/>
              </w:rPr>
            </w:pPr>
            <w:r>
              <w:rPr>
                <w:rFonts w:hint="eastAsia" w:ascii="仿宋_GB2312" w:eastAsia="仿宋_GB2312"/>
                <w:sz w:val="24"/>
              </w:rPr>
              <w:t>序号</w:t>
            </w:r>
          </w:p>
        </w:tc>
        <w:tc>
          <w:tcPr>
            <w:tcW w:w="1270" w:type="dxa"/>
            <w:vAlign w:val="center"/>
          </w:tcPr>
          <w:p>
            <w:pPr>
              <w:pStyle w:val="13"/>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（设备、材料、系统及其他）</w:t>
            </w:r>
          </w:p>
        </w:tc>
        <w:tc>
          <w:tcPr>
            <w:tcW w:w="854" w:type="dxa"/>
            <w:vAlign w:val="center"/>
          </w:tcPr>
          <w:p>
            <w:pPr>
              <w:pStyle w:val="13"/>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品牌</w:t>
            </w:r>
          </w:p>
        </w:tc>
        <w:tc>
          <w:tcPr>
            <w:tcW w:w="1084" w:type="dxa"/>
            <w:vAlign w:val="center"/>
          </w:tcPr>
          <w:p>
            <w:pPr>
              <w:pStyle w:val="13"/>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规格型号及技术参数</w:t>
            </w:r>
          </w:p>
        </w:tc>
        <w:tc>
          <w:tcPr>
            <w:tcW w:w="796" w:type="dxa"/>
            <w:vAlign w:val="center"/>
          </w:tcPr>
          <w:p>
            <w:pPr>
              <w:pStyle w:val="13"/>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数量</w:t>
            </w:r>
          </w:p>
        </w:tc>
        <w:tc>
          <w:tcPr>
            <w:tcW w:w="1026" w:type="dxa"/>
            <w:vAlign w:val="center"/>
          </w:tcPr>
          <w:p>
            <w:pPr>
              <w:pStyle w:val="13"/>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原产地</w:t>
            </w:r>
          </w:p>
        </w:tc>
        <w:tc>
          <w:tcPr>
            <w:tcW w:w="1063" w:type="dxa"/>
            <w:vAlign w:val="center"/>
          </w:tcPr>
          <w:p>
            <w:pPr>
              <w:pStyle w:val="13"/>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制造商名称</w:t>
            </w:r>
          </w:p>
        </w:tc>
        <w:tc>
          <w:tcPr>
            <w:tcW w:w="715" w:type="dxa"/>
            <w:vAlign w:val="center"/>
          </w:tcPr>
          <w:p>
            <w:pPr>
              <w:pStyle w:val="13"/>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单价</w:t>
            </w:r>
          </w:p>
        </w:tc>
        <w:tc>
          <w:tcPr>
            <w:tcW w:w="986" w:type="dxa"/>
            <w:vAlign w:val="center"/>
          </w:tcPr>
          <w:p>
            <w:pPr>
              <w:pStyle w:val="13"/>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总价</w:t>
            </w:r>
          </w:p>
        </w:tc>
        <w:tc>
          <w:tcPr>
            <w:tcW w:w="821" w:type="dxa"/>
            <w:vAlign w:val="center"/>
          </w:tcPr>
          <w:p>
            <w:pPr>
              <w:pStyle w:val="13"/>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484" w:type="dxa"/>
            <w:vAlign w:val="center"/>
          </w:tcPr>
          <w:p>
            <w:pPr>
              <w:pStyle w:val="13"/>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3"/>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3"/>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3"/>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3"/>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3"/>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3"/>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3"/>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黑体" w:hAnsi="黑体" w:eastAsia="黑体"/>
              </w:rPr>
              <w:t>…</w:t>
            </w:r>
          </w:p>
        </w:tc>
        <w:tc>
          <w:tcPr>
            <w:tcW w:w="854"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9099" w:type="dxa"/>
            <w:gridSpan w:val="10"/>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eastAsia" w:ascii="仿宋_GB2312" w:eastAsia="黑体"/>
                <w:sz w:val="24"/>
                <w:lang w:val="en-US" w:eastAsia="zh-CN"/>
              </w:rPr>
            </w:pPr>
            <w:r>
              <w:rPr>
                <w:rFonts w:hint="eastAsia" w:ascii="黑体" w:hAnsi="黑体" w:eastAsia="黑体"/>
              </w:rPr>
              <w:t>其他</w:t>
            </w:r>
            <w:r>
              <w:rPr>
                <w:rFonts w:hint="eastAsia" w:ascii="黑体" w:hAnsi="黑体" w:eastAsia="黑体"/>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3"/>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3"/>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3"/>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3"/>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854" w:type="dxa"/>
            <w:vAlign w:val="center"/>
          </w:tcPr>
          <w:p>
            <w:pPr>
              <w:pStyle w:val="13"/>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1084" w:type="dxa"/>
            <w:vAlign w:val="center"/>
          </w:tcPr>
          <w:p>
            <w:pPr>
              <w:pStyle w:val="13"/>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79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3"/>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合计总报价（小写）：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 xml:space="preserve">合计总报价（大写）： </w:t>
            </w:r>
          </w:p>
        </w:tc>
      </w:tr>
    </w:tbl>
    <w:p>
      <w:pPr>
        <w:pStyle w:val="13"/>
        <w:spacing w:line="240" w:lineRule="atLeast"/>
        <w:ind w:left="1080" w:leftChars="257" w:hanging="540"/>
        <w:rPr>
          <w:rFonts w:ascii="仿宋_GB2312" w:eastAsia="仿宋_GB2312"/>
          <w:sz w:val="24"/>
        </w:rPr>
      </w:pPr>
    </w:p>
    <w:p>
      <w:pPr>
        <w:pStyle w:val="13"/>
        <w:spacing w:line="240" w:lineRule="atLeast"/>
        <w:ind w:left="1080" w:leftChars="257" w:hanging="540"/>
        <w:rPr>
          <w:rFonts w:ascii="仿宋_GB2312" w:eastAsia="仿宋_GB2312"/>
          <w:b/>
          <w:bCs/>
          <w:sz w:val="24"/>
        </w:rPr>
      </w:pPr>
      <w:r>
        <w:rPr>
          <w:rFonts w:hint="eastAsia" w:ascii="仿宋_GB2312" w:eastAsia="仿宋_GB2312"/>
          <w:b/>
          <w:bCs/>
          <w:sz w:val="24"/>
        </w:rPr>
        <w:t>法定代表人或被授权代理人</w:t>
      </w:r>
      <w:r>
        <w:rPr>
          <w:rFonts w:hint="eastAsia" w:ascii="仿宋_GB2312" w:eastAsia="仿宋_GB2312"/>
          <w:b/>
          <w:bCs/>
          <w:color w:val="000000"/>
          <w:sz w:val="24"/>
        </w:rPr>
        <w:t>（签字或签章）</w:t>
      </w:r>
      <w:r>
        <w:rPr>
          <w:rFonts w:hint="eastAsia" w:ascii="仿宋_GB2312" w:eastAsia="仿宋_GB2312"/>
          <w:b/>
          <w:bCs/>
          <w:sz w:val="24"/>
        </w:rPr>
        <w:t>:</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3"/>
        <w:tabs>
          <w:tab w:val="left" w:pos="5370"/>
        </w:tabs>
        <w:spacing w:line="240" w:lineRule="atLeast"/>
        <w:ind w:left="1080" w:leftChars="257" w:hanging="540"/>
        <w:rPr>
          <w:rFonts w:ascii="仿宋_GB2312" w:hAnsi="宋体" w:eastAsia="仿宋_GB2312"/>
          <w:b/>
          <w:bCs/>
          <w:sz w:val="24"/>
          <w:u w:val="single"/>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autoSpaceDE w:val="0"/>
        <w:autoSpaceDN w:val="0"/>
        <w:adjustRightInd w:val="0"/>
        <w:ind w:firstLine="723" w:firstLineChars="300"/>
        <w:rPr>
          <w:rFonts w:ascii="仿宋_GB2312" w:eastAsia="仿宋_GB2312"/>
          <w:sz w:val="24"/>
        </w:rPr>
      </w:pPr>
      <w:r>
        <w:rPr>
          <w:rFonts w:hint="eastAsia" w:ascii="仿宋_GB2312" w:hAnsi="Courier New" w:eastAsia="仿宋_GB2312"/>
          <w:b/>
          <w:bCs/>
          <w:sz w:val="24"/>
          <w:szCs w:val="20"/>
        </w:rPr>
        <w:t>日期：20　　年　　月　　日</w:t>
      </w:r>
    </w:p>
    <w:p>
      <w:pPr>
        <w:pStyle w:val="13"/>
        <w:spacing w:line="240" w:lineRule="atLeast"/>
        <w:ind w:left="1080" w:leftChars="257" w:hanging="540"/>
        <w:rPr>
          <w:rFonts w:ascii="仿宋_GB2312" w:eastAsia="仿宋_GB2312"/>
          <w:b/>
          <w:bCs/>
          <w:sz w:val="24"/>
        </w:rPr>
      </w:pPr>
      <w:r>
        <w:rPr>
          <w:rFonts w:hint="eastAsia" w:ascii="仿宋_GB2312" w:eastAsia="仿宋_GB2312"/>
          <w:b/>
          <w:bCs/>
          <w:sz w:val="24"/>
        </w:rPr>
        <w:t>注:1.如果按单价计算的结果与总价不一致,以单价为准修正总价。</w:t>
      </w:r>
    </w:p>
    <w:p>
      <w:pPr>
        <w:pStyle w:val="13"/>
        <w:spacing w:line="240" w:lineRule="atLeast"/>
        <w:ind w:left="1080" w:leftChars="257" w:hanging="540"/>
        <w:rPr>
          <w:rFonts w:ascii="仿宋_GB2312" w:eastAsia="仿宋_GB2312"/>
          <w:b/>
          <w:bCs/>
          <w:sz w:val="24"/>
        </w:rPr>
      </w:pPr>
      <w:r>
        <w:rPr>
          <w:rFonts w:hint="eastAsia" w:ascii="仿宋_GB2312" w:eastAsia="仿宋_GB2312"/>
          <w:b/>
          <w:bCs/>
          <w:sz w:val="24"/>
        </w:rPr>
        <w:t xml:space="preserve">   2.如果不提供详细报价明细表将视为没有实质性响应招标文件。</w:t>
      </w:r>
    </w:p>
    <w:p>
      <w:pPr>
        <w:pStyle w:val="13"/>
        <w:spacing w:line="240" w:lineRule="atLeast"/>
        <w:ind w:left="1080" w:leftChars="257" w:hanging="540"/>
        <w:rPr>
          <w:rFonts w:ascii="仿宋_GB2312" w:eastAsia="仿宋_GB2312"/>
          <w:b/>
          <w:bCs/>
          <w:sz w:val="24"/>
        </w:rPr>
      </w:pPr>
      <w:r>
        <w:rPr>
          <w:rFonts w:hint="eastAsia" w:ascii="仿宋_GB2312" w:eastAsia="仿宋_GB2312"/>
          <w:b/>
          <w:bCs/>
          <w:sz w:val="24"/>
        </w:rPr>
        <w:t xml:space="preserve">   3.如果开标一览表（报价表）内容与投标文件中明细表内容不一致的，以开标一览表（报价表）内容为准。</w:t>
      </w:r>
    </w:p>
    <w:p>
      <w:pPr>
        <w:widowControl/>
        <w:ind w:firstLine="964" w:firstLineChars="400"/>
        <w:jc w:val="left"/>
        <w:rPr>
          <w:rFonts w:ascii="仿宋_GB2312" w:hAnsi="Courier New" w:eastAsia="仿宋_GB2312"/>
          <w:b/>
          <w:bCs/>
          <w:sz w:val="24"/>
          <w:szCs w:val="20"/>
        </w:rPr>
      </w:pPr>
      <w:r>
        <w:rPr>
          <w:rFonts w:hint="eastAsia" w:ascii="仿宋_GB2312" w:eastAsia="仿宋_GB2312"/>
          <w:b/>
          <w:bCs/>
          <w:sz w:val="24"/>
        </w:rPr>
        <w:t>4.</w:t>
      </w:r>
      <w:r>
        <w:rPr>
          <w:rFonts w:hint="eastAsia" w:ascii="仿宋_GB2312" w:hAnsi="Courier New" w:eastAsia="仿宋_GB2312"/>
          <w:b/>
          <w:bCs/>
          <w:sz w:val="24"/>
          <w:szCs w:val="20"/>
        </w:rPr>
        <w:t xml:space="preserve">合计总报价必须包括货物、安装、调试、技术支持、运输、保险、售后服务、培训及其 </w:t>
      </w:r>
    </w:p>
    <w:p>
      <w:pPr>
        <w:widowControl/>
        <w:ind w:firstLine="964" w:firstLineChars="400"/>
        <w:jc w:val="left"/>
        <w:rPr>
          <w:rFonts w:ascii="仿宋_GB2312" w:hAnsi="Courier New" w:eastAsia="仿宋_GB2312"/>
          <w:b/>
          <w:bCs/>
          <w:sz w:val="24"/>
          <w:szCs w:val="20"/>
        </w:rPr>
      </w:pPr>
      <w:r>
        <w:rPr>
          <w:rFonts w:hint="eastAsia" w:ascii="仿宋_GB2312" w:hAnsi="Courier New" w:eastAsia="仿宋_GB2312"/>
          <w:b/>
          <w:bCs/>
          <w:sz w:val="24"/>
          <w:szCs w:val="20"/>
        </w:rPr>
        <w:t xml:space="preserve">它必需服务的报价。 </w:t>
      </w:r>
    </w:p>
    <w:p>
      <w:pPr>
        <w:widowControl/>
        <w:jc w:val="left"/>
        <w:rPr>
          <w:rFonts w:ascii="仿宋_GB2312" w:hAnsi="Courier New" w:eastAsia="仿宋_GB2312"/>
          <w:b/>
          <w:bCs/>
          <w:sz w:val="24"/>
          <w:szCs w:val="20"/>
        </w:rPr>
      </w:pPr>
      <w:r>
        <w:rPr>
          <w:rFonts w:hint="eastAsia" w:ascii="仿宋_GB2312" w:eastAsia="仿宋_GB2312"/>
          <w:b/>
          <w:bCs/>
          <w:sz w:val="24"/>
        </w:rPr>
        <w:t xml:space="preserve">       </w:t>
      </w:r>
      <w:r>
        <w:rPr>
          <w:rFonts w:hint="eastAsia" w:ascii="仿宋_GB2312" w:hAnsi="Courier New" w:eastAsia="仿宋_GB2312"/>
          <w:b/>
          <w:bCs/>
          <w:sz w:val="24"/>
          <w:szCs w:val="20"/>
        </w:rPr>
        <w:t>5.上述报价包含一切由供方承担的费用。</w:t>
      </w:r>
    </w:p>
    <w:p>
      <w:pPr>
        <w:pStyle w:val="13"/>
        <w:spacing w:line="360" w:lineRule="auto"/>
        <w:rPr>
          <w:rFonts w:ascii="仿宋_GB2312" w:eastAsia="仿宋_GB2312"/>
          <w:sz w:val="24"/>
        </w:rPr>
      </w:pPr>
    </w:p>
    <w:p>
      <w:pPr>
        <w:pStyle w:val="13"/>
        <w:spacing w:line="360" w:lineRule="auto"/>
        <w:rPr>
          <w:rFonts w:ascii="仿宋_GB2312" w:eastAsia="仿宋_GB2312"/>
          <w:sz w:val="24"/>
        </w:rPr>
      </w:pPr>
    </w:p>
    <w:p>
      <w:pPr>
        <w:pStyle w:val="13"/>
        <w:spacing w:line="360" w:lineRule="auto"/>
        <w:rPr>
          <w:rFonts w:ascii="仿宋_GB2312" w:eastAsia="仿宋_GB2312"/>
          <w:sz w:val="24"/>
        </w:rPr>
      </w:pPr>
    </w:p>
    <w:p>
      <w:pPr>
        <w:pStyle w:val="13"/>
        <w:spacing w:line="360" w:lineRule="auto"/>
        <w:rPr>
          <w:rFonts w:ascii="仿宋_GB2312" w:eastAsia="仿宋_GB2312"/>
          <w:sz w:val="24"/>
        </w:rPr>
      </w:pPr>
    </w:p>
    <w:p>
      <w:pPr>
        <w:pStyle w:val="13"/>
        <w:spacing w:line="360" w:lineRule="auto"/>
        <w:rPr>
          <w:rFonts w:ascii="仿宋_GB2312" w:eastAsia="仿宋_GB2312"/>
          <w:sz w:val="24"/>
        </w:rPr>
      </w:pPr>
    </w:p>
    <w:p>
      <w:pPr>
        <w:pStyle w:val="13"/>
        <w:spacing w:line="360" w:lineRule="auto"/>
        <w:rPr>
          <w:rFonts w:ascii="仿宋_GB2312" w:eastAsia="仿宋_GB2312"/>
          <w:sz w:val="24"/>
        </w:rPr>
      </w:pPr>
    </w:p>
    <w:p>
      <w:pPr>
        <w:pStyle w:val="6"/>
        <w:numPr>
          <w:ilvl w:val="0"/>
          <w:numId w:val="7"/>
        </w:numPr>
        <w:spacing w:line="360" w:lineRule="exact"/>
        <w:ind w:left="359"/>
        <w:jc w:val="center"/>
        <w:rPr>
          <w:rFonts w:ascii="仿宋" w:hAnsi="仿宋" w:eastAsia="仿宋"/>
          <w:bCs w:val="0"/>
        </w:rPr>
      </w:pPr>
      <w:r>
        <w:rPr>
          <w:rFonts w:hint="eastAsia" w:ascii="仿宋" w:hAnsi="仿宋" w:eastAsia="仿宋"/>
          <w:bCs w:val="0"/>
        </w:rPr>
        <w:t>备品、备件清单及维保期期满后</w:t>
      </w:r>
      <w:bookmarkStart w:id="345" w:name="_Toc14674_WPSOffice_Level1"/>
    </w:p>
    <w:p>
      <w:pPr>
        <w:pStyle w:val="6"/>
        <w:spacing w:line="360" w:lineRule="exact"/>
        <w:ind w:firstLine="1285" w:firstLineChars="400"/>
        <w:jc w:val="center"/>
        <w:rPr>
          <w:rFonts w:ascii="仿宋" w:hAnsi="仿宋" w:eastAsia="仿宋"/>
          <w:bCs w:val="0"/>
        </w:rPr>
      </w:pPr>
      <w:r>
        <w:rPr>
          <w:rFonts w:hint="eastAsia" w:ascii="仿宋" w:hAnsi="仿宋" w:eastAsia="仿宋"/>
          <w:bCs w:val="0"/>
        </w:rPr>
        <w:t>相关维修配件清单一览表</w:t>
      </w:r>
      <w:bookmarkEnd w:id="345"/>
    </w:p>
    <w:p>
      <w:pPr>
        <w:pStyle w:val="35"/>
        <w:ind w:firstLine="840" w:firstLineChars="400"/>
      </w:pPr>
      <w:r>
        <w:rPr>
          <w:rFonts w:hint="eastAsia"/>
        </w:rPr>
        <w:t>项目名称：                                                   项目编号：</w:t>
      </w:r>
      <w:r>
        <w:rPr>
          <w:rFonts w:hint="eastAsia"/>
          <w:u w:val="single"/>
        </w:rPr>
        <w:t xml:space="preserve"> </w:t>
      </w:r>
    </w:p>
    <w:tbl>
      <w:tblPr>
        <w:tblStyle w:val="26"/>
        <w:tblW w:w="9051"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26"/>
        <w:gridCol w:w="1526"/>
        <w:gridCol w:w="1526"/>
        <w:gridCol w:w="1526"/>
        <w:gridCol w:w="636"/>
        <w:gridCol w:w="7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序号</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备品、备件名称</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规格型号</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制造商</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单位</w:t>
            </w:r>
          </w:p>
        </w:tc>
        <w:tc>
          <w:tcPr>
            <w:tcW w:w="63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数量</w:t>
            </w:r>
          </w:p>
        </w:tc>
        <w:tc>
          <w:tcPr>
            <w:tcW w:w="762"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单价</w:t>
            </w:r>
          </w:p>
        </w:tc>
        <w:tc>
          <w:tcPr>
            <w:tcW w:w="905"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96" w:type="dxa"/>
            <w:gridSpan w:val="3"/>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质保期外的约定供货价格承诺期限</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bl>
    <w:p>
      <w:pPr>
        <w:pStyle w:val="13"/>
        <w:tabs>
          <w:tab w:val="left" w:pos="5370"/>
        </w:tabs>
        <w:spacing w:line="360" w:lineRule="auto"/>
        <w:ind w:left="1080" w:leftChars="257" w:hanging="540"/>
        <w:rPr>
          <w:rFonts w:ascii="仿宋_GB2312" w:hAnsi="宋体" w:eastAsia="仿宋_GB2312"/>
          <w:b/>
          <w:bCs/>
          <w:color w:val="000000"/>
          <w:sz w:val="24"/>
          <w:u w:val="single"/>
        </w:rPr>
      </w:pPr>
      <w:r>
        <w:rPr>
          <w:rFonts w:hint="eastAsia" w:ascii="仿宋_GB2312" w:hAnsi="宋体" w:eastAsia="仿宋_GB2312"/>
          <w:b/>
          <w:bCs/>
          <w:color w:val="000000"/>
          <w:sz w:val="24"/>
        </w:rPr>
        <w:t>投标人(盖公章):</w:t>
      </w:r>
      <w:r>
        <w:rPr>
          <w:rFonts w:ascii="仿宋_GB2312" w:hAnsi="宋体" w:eastAsia="仿宋_GB2312"/>
          <w:b/>
          <w:bCs/>
          <w:color w:val="000000"/>
          <w:sz w:val="24"/>
          <w:u w:val="single"/>
        </w:rPr>
        <w:tab/>
      </w:r>
    </w:p>
    <w:p>
      <w:pPr>
        <w:pStyle w:val="13"/>
        <w:spacing w:line="360" w:lineRule="auto"/>
        <w:ind w:left="1080" w:leftChars="257" w:hanging="540"/>
        <w:rPr>
          <w:rFonts w:ascii="仿宋_GB2312" w:eastAsia="仿宋_GB2312"/>
          <w:b/>
          <w:bCs/>
          <w:color w:val="000000"/>
          <w:sz w:val="24"/>
        </w:rPr>
      </w:pPr>
      <w:r>
        <w:rPr>
          <w:rFonts w:hint="eastAsia" w:ascii="仿宋_GB2312" w:eastAsia="仿宋_GB2312"/>
          <w:b/>
          <w:bCs/>
          <w:color w:val="000000"/>
          <w:sz w:val="24"/>
        </w:rPr>
        <w:t>法定代表人或被委托授权代理人（签字或签章）:</w:t>
      </w:r>
      <w:r>
        <w:rPr>
          <w:rFonts w:hint="eastAsia" w:ascii="仿宋_GB2312" w:hAnsi="宋体" w:eastAsia="仿宋_GB2312"/>
          <w:b/>
          <w:bCs/>
          <w:color w:val="000000"/>
          <w:sz w:val="24"/>
          <w:u w:val="single"/>
        </w:rPr>
        <w:t xml:space="preserve"> </w:t>
      </w:r>
      <w:r>
        <w:rPr>
          <w:rFonts w:ascii="仿宋_GB2312" w:hAnsi="宋体" w:eastAsia="仿宋_GB2312"/>
          <w:b/>
          <w:bCs/>
          <w:color w:val="000000"/>
          <w:sz w:val="24"/>
          <w:u w:val="single"/>
        </w:rPr>
        <w:tab/>
      </w:r>
      <w:r>
        <w:rPr>
          <w:rFonts w:hint="eastAsia" w:ascii="仿宋_GB2312" w:hAnsi="宋体" w:eastAsia="仿宋_GB2312"/>
          <w:b/>
          <w:bCs/>
          <w:color w:val="000000"/>
          <w:sz w:val="24"/>
          <w:u w:val="single"/>
        </w:rPr>
        <w:t xml:space="preserve">                 </w:t>
      </w:r>
    </w:p>
    <w:p>
      <w:pPr>
        <w:autoSpaceDE w:val="0"/>
        <w:autoSpaceDN w:val="0"/>
        <w:adjustRightInd w:val="0"/>
        <w:ind w:firstLine="482" w:firstLineChars="200"/>
        <w:rPr>
          <w:b/>
          <w:bCs/>
          <w:color w:val="000000"/>
        </w:rPr>
      </w:pPr>
      <w:r>
        <w:rPr>
          <w:rFonts w:hint="eastAsia" w:ascii="仿宋_GB2312" w:hAnsi="Courier New" w:eastAsia="仿宋_GB2312"/>
          <w:b/>
          <w:bCs/>
          <w:color w:val="000000"/>
          <w:sz w:val="24"/>
          <w:szCs w:val="20"/>
        </w:rPr>
        <w:t>日期：20　　年　　月　　日</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注：1.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2. 本表中所列价格不计入投标总价，仅供采购人选购时用。</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sectPr>
          <w:pgSz w:w="11906" w:h="16838"/>
          <w:pgMar w:top="720" w:right="720" w:bottom="720" w:left="720" w:header="851" w:footer="992" w:gutter="0"/>
          <w:cols w:space="720" w:num="1"/>
          <w:docGrid w:linePitch="312" w:charSpace="0"/>
        </w:sectPr>
      </w:pPr>
      <w:r>
        <w:rPr>
          <w:rFonts w:hint="eastAsia" w:ascii="仿宋_GB2312" w:hAnsi="Courier New" w:eastAsia="仿宋_GB2312" w:cs="黑体"/>
          <w:b/>
          <w:bCs/>
          <w:color w:val="000000"/>
          <w:kern w:val="2"/>
          <w:sz w:val="24"/>
          <w:szCs w:val="20"/>
          <w:lang w:val="en-US" w:eastAsia="zh-CN" w:bidi="ar-SA"/>
        </w:rPr>
        <w:t>3. 此表仅提供了表格形式，投标人应根据需要准备足够数量的表格来填</w:t>
      </w:r>
    </w:p>
    <w:p>
      <w:pPr>
        <w:pStyle w:val="4"/>
        <w:spacing w:line="240" w:lineRule="auto"/>
        <w:jc w:val="center"/>
        <w:rPr>
          <w:rFonts w:ascii="仿宋" w:hAnsi="仿宋" w:eastAsia="仿宋"/>
          <w:bCs w:val="0"/>
        </w:rPr>
      </w:pPr>
      <w:r>
        <w:rPr>
          <w:rFonts w:hint="eastAsia" w:ascii="仿宋" w:hAnsi="仿宋" w:eastAsia="仿宋"/>
          <w:bCs w:val="0"/>
        </w:rPr>
        <w:t>（八）技术参数、功能偏离表</w:t>
      </w:r>
      <w:bookmarkEnd w:id="344"/>
    </w:p>
    <w:p>
      <w:pPr>
        <w:rPr>
          <w:rFonts w:ascii="仿宋" w:hAnsi="仿宋" w:eastAsia="仿宋" w:cs="仿宋"/>
          <w:color w:val="000000"/>
          <w:kern w:val="0"/>
          <w:sz w:val="24"/>
          <w:szCs w:val="24"/>
        </w:rPr>
      </w:pPr>
      <w:r>
        <w:rPr>
          <w:rFonts w:hint="eastAsia" w:ascii="仿宋" w:hAnsi="仿宋" w:eastAsia="仿宋" w:cs="Times New Roman"/>
          <w:b/>
          <w:bCs/>
          <w:sz w:val="24"/>
          <w:szCs w:val="20"/>
        </w:rPr>
        <w:t>投标人名称（公章）：                         项目</w:t>
      </w:r>
      <w:r>
        <w:rPr>
          <w:rFonts w:hint="eastAsia" w:ascii="仿宋" w:hAnsi="仿宋" w:eastAsia="仿宋" w:cs="Times New Roman"/>
          <w:b/>
          <w:bCs/>
          <w:sz w:val="24"/>
          <w:szCs w:val="24"/>
        </w:rPr>
        <w:t xml:space="preserve">编号： </w:t>
      </w:r>
    </w:p>
    <w:tbl>
      <w:tblPr>
        <w:tblStyle w:val="26"/>
        <w:tblW w:w="94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98"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序号</w:t>
            </w:r>
          </w:p>
        </w:tc>
        <w:tc>
          <w:tcPr>
            <w:tcW w:w="1789"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投标产品名称</w:t>
            </w:r>
          </w:p>
        </w:tc>
        <w:tc>
          <w:tcPr>
            <w:tcW w:w="2326"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招标规格参数</w:t>
            </w:r>
          </w:p>
        </w:tc>
        <w:tc>
          <w:tcPr>
            <w:tcW w:w="1854"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投标规格参数</w:t>
            </w:r>
          </w:p>
        </w:tc>
        <w:tc>
          <w:tcPr>
            <w:tcW w:w="1641"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偏离</w:t>
            </w:r>
          </w:p>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（正/无/负）</w:t>
            </w:r>
          </w:p>
        </w:tc>
        <w:tc>
          <w:tcPr>
            <w:tcW w:w="1172"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1</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2</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bl>
    <w:p>
      <w:pPr>
        <w:rPr>
          <w:rFonts w:ascii="仿宋" w:hAnsi="仿宋" w:eastAsia="仿宋" w:cs="仿宋"/>
          <w:szCs w:val="20"/>
        </w:rPr>
      </w:pPr>
      <w:r>
        <w:rPr>
          <w:rFonts w:hint="eastAsia" w:ascii="仿宋" w:hAnsi="仿宋" w:eastAsia="仿宋" w:cs="Times New Roman"/>
          <w:b/>
          <w:bCs/>
          <w:sz w:val="24"/>
          <w:szCs w:val="20"/>
        </w:rPr>
        <w:t>注：投标人必须按所投产品的真实技术参数逐条对应填写（官方宣传彩图</w:t>
      </w:r>
      <w:r>
        <w:rPr>
          <w:rFonts w:hint="eastAsia" w:ascii="仿宋" w:hAnsi="仿宋" w:eastAsia="仿宋" w:cs="Times New Roman"/>
          <w:b/>
          <w:bCs/>
          <w:sz w:val="24"/>
          <w:szCs w:val="20"/>
          <w:lang w:val="en-US" w:eastAsia="zh-CN"/>
        </w:rPr>
        <w:t>为证明材料</w:t>
      </w:r>
      <w:r>
        <w:rPr>
          <w:rFonts w:hint="eastAsia" w:ascii="仿宋" w:hAnsi="仿宋" w:eastAsia="仿宋" w:cs="Times New Roman"/>
          <w:b/>
          <w:bCs/>
          <w:sz w:val="24"/>
          <w:szCs w:val="20"/>
        </w:rPr>
        <w:t>），若复制粘贴招标参数，按无效标处理。此表可延伸。</w:t>
      </w:r>
    </w:p>
    <w:p>
      <w:pPr>
        <w:pStyle w:val="37"/>
        <w:spacing w:line="380" w:lineRule="exact"/>
        <w:jc w:val="center"/>
        <w:rPr>
          <w:rFonts w:ascii="仿宋" w:hAnsi="仿宋" w:eastAsia="仿宋" w:cs="仿宋"/>
          <w:b/>
        </w:rPr>
      </w:pPr>
    </w:p>
    <w:p>
      <w:pPr>
        <w:pStyle w:val="37"/>
        <w:rPr>
          <w:rFonts w:ascii="仿宋" w:hAnsi="仿宋" w:eastAsia="仿宋" w:cs="仿宋"/>
          <w:b/>
        </w:rPr>
      </w:pPr>
      <w:r>
        <w:rPr>
          <w:rFonts w:hint="eastAsia" w:ascii="仿宋" w:hAnsi="仿宋" w:eastAsia="仿宋" w:cs="仿宋"/>
          <w:b/>
        </w:rPr>
        <w:t>法定代表人或被委托授权代表（签字）：</w:t>
      </w: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Pr>
        <w:autoSpaceDE w:val="0"/>
        <w:autoSpaceDN w:val="0"/>
        <w:adjustRightInd w:val="0"/>
        <w:rPr>
          <w:rFonts w:hint="eastAsia" w:ascii="仿宋_GB2312" w:hAnsi="Courier New" w:eastAsia="仿宋_GB2312"/>
          <w:b/>
          <w:bCs/>
          <w:color w:val="000000"/>
          <w:sz w:val="24"/>
          <w:szCs w:val="20"/>
        </w:rPr>
      </w:pPr>
      <w:bookmarkStart w:id="346" w:name="_Toc25633"/>
      <w:bookmarkStart w:id="347" w:name="_Toc7997"/>
      <w:bookmarkStart w:id="348" w:name="_Toc3339"/>
      <w:bookmarkStart w:id="349" w:name="_Toc8972"/>
      <w:bookmarkStart w:id="350" w:name="_Toc6453_WPSOffice_Level2"/>
      <w:bookmarkStart w:id="351" w:name="_Toc22349"/>
      <w:bookmarkStart w:id="352" w:name="_Toc4564"/>
      <w:bookmarkStart w:id="353" w:name="_Toc8728"/>
      <w:bookmarkStart w:id="354" w:name="_Toc7502"/>
      <w:bookmarkStart w:id="355" w:name="_Toc28734"/>
      <w:bookmarkStart w:id="356" w:name="_Toc19355"/>
      <w:bookmarkStart w:id="357" w:name="_Toc24493"/>
      <w:bookmarkStart w:id="358" w:name="_Toc18576"/>
      <w:bookmarkStart w:id="359" w:name="_Toc2509"/>
      <w:bookmarkStart w:id="360" w:name="_Toc17736"/>
      <w:bookmarkStart w:id="361" w:name="_Toc2882"/>
      <w:r>
        <w:rPr>
          <w:rFonts w:hint="eastAsia" w:ascii="仿宋_GB2312" w:hAnsi="Courier New" w:eastAsia="仿宋_GB2312"/>
          <w:b/>
          <w:bCs/>
          <w:color w:val="000000"/>
          <w:sz w:val="24"/>
          <w:szCs w:val="20"/>
        </w:rPr>
        <w:t>日期：20　　年　　月　　日</w:t>
      </w:r>
    </w:p>
    <w:p>
      <w:pPr>
        <w:pStyle w:val="10"/>
        <w:rPr>
          <w:rFonts w:hint="eastAsia" w:ascii="仿宋_GB2312" w:hAnsi="Courier New" w:eastAsia="仿宋_GB2312"/>
          <w:b/>
          <w:bCs/>
          <w:color w:val="000000"/>
          <w:sz w:val="24"/>
          <w:szCs w:val="20"/>
        </w:rPr>
      </w:pPr>
    </w:p>
    <w:p>
      <w:pPr>
        <w:pStyle w:val="10"/>
        <w:rPr>
          <w:rFonts w:hint="eastAsia" w:ascii="仿宋_GB2312" w:hAnsi="Courier New" w:eastAsia="仿宋_GB2312"/>
          <w:b/>
          <w:bCs/>
          <w:color w:val="000000"/>
          <w:sz w:val="24"/>
          <w:szCs w:val="20"/>
        </w:rPr>
      </w:pPr>
    </w:p>
    <w:p>
      <w:pPr>
        <w:pStyle w:val="10"/>
        <w:rPr>
          <w:rFonts w:hint="eastAsia" w:ascii="仿宋_GB2312" w:hAnsi="Courier New" w:eastAsia="仿宋_GB2312"/>
          <w:b/>
          <w:bCs/>
          <w:color w:val="000000"/>
          <w:sz w:val="24"/>
          <w:szCs w:val="20"/>
        </w:rPr>
      </w:pPr>
    </w:p>
    <w:p>
      <w:pPr>
        <w:widowControl/>
        <w:ind w:left="1050" w:leftChars="500"/>
        <w:jc w:val="center"/>
        <w:rPr>
          <w:rFonts w:ascii="仿宋" w:hAnsi="仿宋" w:eastAsia="仿宋"/>
          <w:b/>
          <w:sz w:val="32"/>
          <w:szCs w:val="32"/>
        </w:rPr>
      </w:pPr>
    </w:p>
    <w:p>
      <w:pPr>
        <w:widowControl/>
        <w:ind w:left="1050" w:leftChars="500"/>
        <w:jc w:val="center"/>
        <w:rPr>
          <w:rFonts w:ascii="仿宋" w:hAnsi="仿宋" w:eastAsia="仿宋"/>
          <w:b/>
          <w:sz w:val="32"/>
          <w:szCs w:val="32"/>
        </w:rPr>
      </w:pPr>
      <w:r>
        <w:rPr>
          <w:rFonts w:hint="eastAsia" w:ascii="仿宋" w:hAnsi="仿宋" w:eastAsia="仿宋"/>
          <w:b/>
          <w:sz w:val="32"/>
          <w:szCs w:val="32"/>
        </w:rPr>
        <w:t>（九）项目负责人简历表及拟投入本项目主要成员表</w:t>
      </w:r>
    </w:p>
    <w:p>
      <w:pPr>
        <w:spacing w:line="360" w:lineRule="exact"/>
        <w:rPr>
          <w:rFonts w:ascii="黑体" w:hAnsi="黑体"/>
          <w:b/>
          <w:szCs w:val="21"/>
        </w:rPr>
      </w:pPr>
      <w:r>
        <w:rPr>
          <w:rFonts w:hint="eastAsia" w:ascii="黑体" w:hAnsi="黑体"/>
          <w:b/>
          <w:szCs w:val="21"/>
        </w:rPr>
        <w:t xml:space="preserve">     项目名称：                                            项目编号：</w:t>
      </w:r>
    </w:p>
    <w:tbl>
      <w:tblPr>
        <w:tblStyle w:val="26"/>
        <w:tblW w:w="92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21"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职责分工</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姓名</w:t>
            </w: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年龄</w:t>
            </w: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学历</w:t>
            </w: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专业</w:t>
            </w: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职务</w:t>
            </w: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在本项目中担任的岗位</w:t>
            </w: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从事类似工作年限</w:t>
            </w: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项目负责人</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restart"/>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其他人员</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bl>
    <w:p>
      <w:pPr>
        <w:pStyle w:val="13"/>
        <w:spacing w:line="240" w:lineRule="atLeast"/>
        <w:ind w:left="1080" w:leftChars="257" w:hanging="540"/>
        <w:rPr>
          <w:rFonts w:ascii="仿宋_GB2312" w:eastAsia="仿宋_GB2312"/>
          <w:b/>
          <w:bCs/>
          <w:sz w:val="24"/>
        </w:rPr>
      </w:pPr>
      <w:r>
        <w:rPr>
          <w:rFonts w:hint="eastAsia" w:ascii="仿宋_GB2312" w:eastAsia="仿宋_GB2312"/>
          <w:b/>
          <w:bCs/>
          <w:sz w:val="24"/>
        </w:rPr>
        <w:t>法定代表人</w:t>
      </w:r>
      <w:r>
        <w:rPr>
          <w:rFonts w:ascii="仿宋_GB2312" w:eastAsia="仿宋_GB2312"/>
          <w:b/>
          <w:bCs/>
          <w:sz w:val="24"/>
        </w:rPr>
        <w:t>或</w:t>
      </w:r>
      <w:r>
        <w:rPr>
          <w:rFonts w:hint="eastAsia" w:ascii="仿宋_GB2312" w:eastAsia="仿宋_GB2312"/>
          <w:b/>
          <w:bCs/>
          <w:sz w:val="24"/>
        </w:rPr>
        <w:t>被</w:t>
      </w:r>
      <w:r>
        <w:rPr>
          <w:rFonts w:ascii="仿宋_GB2312" w:eastAsia="仿宋_GB2312"/>
          <w:b/>
          <w:bCs/>
          <w:sz w:val="24"/>
        </w:rPr>
        <w:t>委托代理人</w:t>
      </w:r>
      <w:r>
        <w:rPr>
          <w:rFonts w:hint="eastAsia" w:ascii="仿宋_GB2312" w:eastAsia="仿宋_GB2312"/>
          <w:b/>
          <w:bCs/>
          <w:sz w:val="24"/>
        </w:rPr>
        <w:t>签字:</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3"/>
        <w:tabs>
          <w:tab w:val="left" w:pos="5370"/>
        </w:tabs>
        <w:spacing w:line="240" w:lineRule="atLeast"/>
        <w:ind w:left="1080" w:leftChars="257" w:hanging="540"/>
        <w:rPr>
          <w:rFonts w:ascii="仿宋_GB2312" w:eastAsia="仿宋_GB2312"/>
          <w:b/>
          <w:bCs/>
          <w:sz w:val="24"/>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spacing w:line="380" w:lineRule="exact"/>
        <w:ind w:firstLine="843" w:firstLineChars="400"/>
        <w:outlineLvl w:val="1"/>
        <w:rPr>
          <w:rFonts w:ascii="仿宋" w:hAnsi="仿宋" w:eastAsia="仿宋" w:cs="仿宋"/>
          <w:b/>
          <w:bCs/>
          <w:sz w:val="30"/>
          <w:szCs w:val="30"/>
        </w:rPr>
      </w:pPr>
      <w:r>
        <w:rPr>
          <w:rFonts w:hint="eastAsia" w:ascii="宋体" w:hAnsi="宋体"/>
          <w:b/>
          <w:bCs/>
          <w:color w:val="000000"/>
        </w:rPr>
        <w:t xml:space="preserve"> 日期：</w:t>
      </w:r>
      <w:r>
        <w:rPr>
          <w:rFonts w:hint="eastAsia" w:ascii="宋体" w:hAnsi="宋体"/>
          <w:b/>
          <w:bCs/>
          <w:color w:val="000000"/>
          <w:u w:val="single"/>
        </w:rPr>
        <w:t xml:space="preserve">        </w:t>
      </w:r>
      <w:r>
        <w:rPr>
          <w:rFonts w:hint="eastAsia" w:ascii="宋体" w:hAnsi="宋体"/>
          <w:b/>
          <w:bCs/>
          <w:color w:val="000000"/>
        </w:rPr>
        <w:t>年</w:t>
      </w:r>
      <w:r>
        <w:rPr>
          <w:rFonts w:hint="eastAsia" w:ascii="宋体" w:hAnsi="宋体"/>
          <w:b/>
          <w:bCs/>
          <w:color w:val="000000"/>
          <w:u w:val="single"/>
        </w:rPr>
        <w:t xml:space="preserve">    </w:t>
      </w:r>
      <w:r>
        <w:rPr>
          <w:rFonts w:hint="eastAsia" w:ascii="宋体" w:hAnsi="宋体"/>
          <w:b/>
          <w:bCs/>
          <w:color w:val="000000"/>
        </w:rPr>
        <w:t>月</w:t>
      </w:r>
      <w:r>
        <w:rPr>
          <w:rFonts w:hint="eastAsia" w:ascii="宋体" w:hAnsi="宋体"/>
          <w:b/>
          <w:bCs/>
          <w:color w:val="000000"/>
          <w:u w:val="single"/>
        </w:rPr>
        <w:t xml:space="preserve">    </w:t>
      </w:r>
      <w:r>
        <w:rPr>
          <w:rFonts w:hint="eastAsia" w:ascii="宋体" w:hAnsi="宋体"/>
          <w:b/>
          <w:bCs/>
          <w:color w:val="000000"/>
        </w:rPr>
        <w:t xml:space="preserve">日   </w:t>
      </w:r>
    </w:p>
    <w:p>
      <w:pPr>
        <w:spacing w:line="360" w:lineRule="exact"/>
        <w:rPr>
          <w:rFonts w:ascii="仿宋_GB2312" w:hAnsi="Courier New" w:eastAsia="仿宋_GB2312"/>
          <w:b/>
          <w:bCs/>
          <w:sz w:val="24"/>
          <w:szCs w:val="20"/>
        </w:rPr>
      </w:pPr>
      <w:r>
        <w:rPr>
          <w:rFonts w:hint="eastAsia" w:ascii="仿宋_GB2312" w:hAnsi="Courier New" w:eastAsia="仿宋_GB2312"/>
          <w:b/>
          <w:bCs/>
          <w:sz w:val="24"/>
          <w:szCs w:val="20"/>
        </w:rPr>
        <w:t>说明：包括项目实施人员、培训人员及售后服务人员。</w:t>
      </w:r>
    </w:p>
    <w:p>
      <w:pPr>
        <w:pStyle w:val="19"/>
        <w:rPr>
          <w:rFonts w:ascii="仿宋_GB2312" w:eastAsia="仿宋_GB2312"/>
          <w:sz w:val="24"/>
        </w:rPr>
      </w:pPr>
    </w:p>
    <w:p>
      <w:pPr>
        <w:rPr>
          <w:rFonts w:ascii="宋体" w:hAnsi="宋体"/>
          <w:color w:val="000000"/>
        </w:rPr>
      </w:pPr>
    </w:p>
    <w:p>
      <w:pPr>
        <w:spacing w:line="380" w:lineRule="exact"/>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bookmarkStart w:id="362" w:name="_Toc26038"/>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r>
        <w:rPr>
          <w:rFonts w:hint="eastAsia" w:ascii="仿宋" w:hAnsi="仿宋" w:eastAsia="仿宋" w:cs="仿宋"/>
          <w:b/>
          <w:bCs/>
          <w:sz w:val="30"/>
          <w:szCs w:val="30"/>
        </w:rPr>
        <w:t>（十）投标人近三年</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2019年1月1日至今</w:t>
      </w:r>
      <w:r>
        <w:rPr>
          <w:rFonts w:hint="eastAsia" w:ascii="仿宋" w:hAnsi="仿宋" w:eastAsia="仿宋" w:cs="仿宋"/>
          <w:b/>
          <w:bCs/>
          <w:sz w:val="30"/>
          <w:szCs w:val="30"/>
          <w:lang w:eastAsia="zh-CN"/>
        </w:rPr>
        <w:t>）</w:t>
      </w:r>
      <w:r>
        <w:rPr>
          <w:rFonts w:hint="eastAsia" w:ascii="仿宋" w:hAnsi="仿宋" w:eastAsia="仿宋" w:cs="仿宋"/>
          <w:b/>
          <w:bCs/>
          <w:sz w:val="30"/>
          <w:szCs w:val="30"/>
        </w:rPr>
        <w:t>类似业绩表</w:t>
      </w:r>
      <w:bookmarkEnd w:id="346"/>
      <w:bookmarkEnd w:id="362"/>
    </w:p>
    <w:p>
      <w:pPr>
        <w:autoSpaceDE w:val="0"/>
        <w:autoSpaceDN w:val="0"/>
        <w:adjustRightInd w:val="0"/>
        <w:spacing w:line="380" w:lineRule="exact"/>
        <w:ind w:left="206" w:leftChars="85" w:hanging="28" w:hangingChars="12"/>
        <w:rPr>
          <w:rFonts w:ascii="仿宋" w:hAnsi="仿宋" w:eastAsia="仿宋" w:cs="仿宋"/>
          <w:b/>
          <w:bCs/>
          <w:color w:val="000000"/>
          <w:kern w:val="0"/>
          <w:sz w:val="30"/>
          <w:szCs w:val="30"/>
        </w:rPr>
      </w:pPr>
      <w:r>
        <w:rPr>
          <w:rFonts w:hint="eastAsia" w:ascii="仿宋" w:hAnsi="仿宋" w:eastAsia="仿宋" w:cs="仿宋"/>
          <w:kern w:val="0"/>
          <w:sz w:val="24"/>
          <w:szCs w:val="24"/>
        </w:rPr>
        <w:t>投标人名称</w:t>
      </w:r>
      <w:r>
        <w:rPr>
          <w:rFonts w:hint="eastAsia" w:ascii="仿宋" w:hAnsi="仿宋" w:eastAsia="仿宋" w:cs="仿宋"/>
          <w:color w:val="000000"/>
          <w:kern w:val="0"/>
          <w:sz w:val="24"/>
          <w:szCs w:val="24"/>
        </w:rPr>
        <w:t>（公章）</w:t>
      </w:r>
      <w:r>
        <w:rPr>
          <w:rFonts w:hint="eastAsia" w:ascii="仿宋" w:hAnsi="仿宋" w:eastAsia="仿宋" w:cs="仿宋"/>
          <w:kern w:val="0"/>
          <w:sz w:val="24"/>
          <w:szCs w:val="24"/>
        </w:rPr>
        <w:t>：                            项目编号：</w:t>
      </w:r>
      <w:r>
        <w:rPr>
          <w:rFonts w:hint="eastAsia" w:ascii="仿宋" w:hAnsi="仿宋" w:eastAsia="仿宋" w:cs="仿宋"/>
          <w:color w:val="000000"/>
          <w:kern w:val="0"/>
          <w:sz w:val="24"/>
          <w:szCs w:val="24"/>
        </w:rPr>
        <w:t xml:space="preserve">   </w:t>
      </w:r>
    </w:p>
    <w:tbl>
      <w:tblPr>
        <w:tblStyle w:val="26"/>
        <w:tblW w:w="928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296"/>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52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用户名称</w:t>
            </w:r>
          </w:p>
        </w:tc>
        <w:tc>
          <w:tcPr>
            <w:tcW w:w="3296" w:type="dxa"/>
            <w:vAlign w:val="center"/>
          </w:tcPr>
          <w:p>
            <w:pPr>
              <w:keepNext w:val="0"/>
              <w:keepLines w:val="0"/>
              <w:suppressLineNumbers w:val="0"/>
              <w:autoSpaceDE w:val="0"/>
              <w:autoSpaceDN w:val="0"/>
              <w:adjustRightInd w:val="0"/>
              <w:spacing w:before="0" w:beforeAutospacing="0" w:after="0" w:afterAutospacing="0" w:line="380" w:lineRule="exact"/>
              <w:ind w:left="0" w:right="-107" w:rightChars="-51"/>
              <w:jc w:val="center"/>
              <w:rPr>
                <w:rFonts w:hint="default" w:ascii="仿宋" w:hAnsi="仿宋" w:eastAsia="仿宋" w:cs="仿宋"/>
                <w:kern w:val="0"/>
                <w:sz w:val="24"/>
                <w:szCs w:val="24"/>
              </w:rPr>
            </w:pPr>
            <w:r>
              <w:rPr>
                <w:rFonts w:hint="eastAsia" w:ascii="仿宋" w:hAnsi="仿宋" w:eastAsia="仿宋" w:cs="仿宋"/>
                <w:kern w:val="0"/>
                <w:sz w:val="24"/>
                <w:szCs w:val="24"/>
              </w:rPr>
              <w:t>项目名称</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中标金额(</w:t>
            </w:r>
            <w:r>
              <w:rPr>
                <w:rFonts w:hint="eastAsia" w:ascii="仿宋" w:hAnsi="仿宋" w:eastAsia="仿宋" w:cs="仿宋"/>
                <w:color w:val="000000"/>
                <w:kern w:val="0"/>
                <w:sz w:val="24"/>
                <w:szCs w:val="24"/>
              </w:rPr>
              <w:t>万元)</w:t>
            </w:r>
          </w:p>
        </w:tc>
        <w:tc>
          <w:tcPr>
            <w:tcW w:w="1963"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验收结果</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r>
              <w:rPr>
                <w:rFonts w:hint="eastAsia" w:ascii="仿宋" w:hAnsi="仿宋" w:eastAsia="仿宋" w:cs="仿宋"/>
                <w:sz w:val="24"/>
                <w:szCs w:val="20"/>
              </w:rPr>
              <w:t>………</w:t>
            </w: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bl>
    <w:p>
      <w:pPr>
        <w:spacing w:line="380" w:lineRule="exact"/>
        <w:rPr>
          <w:rFonts w:ascii="仿宋" w:hAnsi="仿宋" w:eastAsia="仿宋" w:cs="仿宋"/>
          <w:szCs w:val="20"/>
        </w:rPr>
      </w:pPr>
      <w:r>
        <w:rPr>
          <w:rFonts w:hint="eastAsia" w:ascii="仿宋" w:hAnsi="仿宋" w:eastAsia="仿宋" w:cs="仿宋"/>
          <w:szCs w:val="20"/>
        </w:rPr>
        <w:t xml:space="preserve">   此表可向下延伸。</w:t>
      </w:r>
    </w:p>
    <w:p>
      <w:pPr>
        <w:spacing w:line="380" w:lineRule="exact"/>
        <w:rPr>
          <w:rFonts w:ascii="仿宋" w:hAnsi="仿宋" w:eastAsia="仿宋" w:cs="仿宋"/>
          <w:szCs w:val="20"/>
        </w:rPr>
      </w:pPr>
      <w:r>
        <w:rPr>
          <w:rFonts w:hint="eastAsia" w:ascii="仿宋" w:hAnsi="仿宋" w:eastAsia="仿宋" w:cs="仿宋"/>
          <w:szCs w:val="20"/>
        </w:rPr>
        <w:t>注：投标人（仅限于投标人自己实施的）以上业绩需提供有关书面证明材料。“中标金额”需提供中标通知书</w:t>
      </w:r>
      <w:r>
        <w:rPr>
          <w:rFonts w:hint="eastAsia" w:ascii="仿宋" w:hAnsi="仿宋" w:eastAsia="仿宋" w:cs="仿宋"/>
          <w:szCs w:val="20"/>
          <w:lang w:val="en-US" w:eastAsia="zh-CN"/>
        </w:rPr>
        <w:t>或</w:t>
      </w:r>
      <w:r>
        <w:rPr>
          <w:rFonts w:hint="eastAsia" w:ascii="仿宋" w:hAnsi="仿宋" w:eastAsia="仿宋" w:cs="仿宋"/>
          <w:szCs w:val="20"/>
        </w:rPr>
        <w:t>成交合同复印件；</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Start w:id="363" w:name="_Toc10015_WPSOffice_Level2"/>
      <w:bookmarkStart w:id="364" w:name="_Toc1365"/>
      <w:bookmarkStart w:id="365" w:name="_Toc17340"/>
      <w:bookmarkStart w:id="366" w:name="_Toc22369"/>
      <w:bookmarkStart w:id="367" w:name="_Toc19247"/>
      <w:bookmarkStart w:id="368" w:name="_Toc531"/>
      <w:bookmarkStart w:id="369" w:name="_Toc5115"/>
      <w:bookmarkStart w:id="370" w:name="_Toc25174"/>
      <w:bookmarkStart w:id="371" w:name="_Toc32375"/>
      <w:bookmarkStart w:id="372" w:name="_Toc29509"/>
      <w:bookmarkStart w:id="373" w:name="_Toc21899"/>
      <w:bookmarkStart w:id="374" w:name="_Toc288"/>
      <w:bookmarkStart w:id="375" w:name="_Toc8343"/>
      <w:bookmarkStart w:id="376" w:name="_Toc27671"/>
      <w:bookmarkStart w:id="377" w:name="_Toc5813"/>
    </w:p>
    <w:p>
      <w:pPr>
        <w:jc w:val="center"/>
        <w:outlineLvl w:val="1"/>
        <w:rPr>
          <w:rFonts w:ascii="仿宋" w:hAnsi="仿宋" w:eastAsia="仿宋" w:cs="仿宋"/>
          <w:b/>
          <w:bCs/>
          <w:sz w:val="32"/>
          <w:szCs w:val="32"/>
        </w:rPr>
      </w:pPr>
    </w:p>
    <w:p>
      <w:pPr>
        <w:jc w:val="center"/>
        <w:outlineLvl w:val="1"/>
        <w:rPr>
          <w:rFonts w:ascii="仿宋" w:hAnsi="仿宋" w:eastAsia="仿宋" w:cs="仿宋"/>
          <w:b/>
          <w:bCs/>
          <w:sz w:val="32"/>
          <w:szCs w:val="32"/>
        </w:rPr>
      </w:pPr>
    </w:p>
    <w:bookmarkEnd w:id="363"/>
    <w:p>
      <w:pPr>
        <w:pStyle w:val="4"/>
        <w:spacing w:before="0" w:line="240" w:lineRule="atLeast"/>
        <w:jc w:val="center"/>
        <w:rPr>
          <w:rFonts w:ascii="仿宋" w:hAnsi="仿宋" w:eastAsia="仿宋" w:cs="仿宋"/>
          <w:sz w:val="30"/>
          <w:szCs w:val="30"/>
        </w:rPr>
      </w:pPr>
      <w:bookmarkStart w:id="378" w:name="_Toc14965"/>
      <w:r>
        <w:rPr>
          <w:rFonts w:hint="eastAsia" w:ascii="仿宋" w:hAnsi="仿宋" w:eastAsia="仿宋" w:cs="仿宋"/>
          <w:sz w:val="30"/>
          <w:szCs w:val="30"/>
        </w:rPr>
        <w:t>（十一）投标人企业（单位）类型声明函</w:t>
      </w:r>
      <w:bookmarkEnd w:id="378"/>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379" w:name="_Toc515647824"/>
      <w:bookmarkStart w:id="380" w:name="_Toc11803"/>
      <w:bookmarkStart w:id="381" w:name="_Toc13776"/>
      <w:bookmarkStart w:id="382" w:name="_Toc10977"/>
    </w:p>
    <w:p>
      <w:pPr>
        <w:spacing w:line="380" w:lineRule="exact"/>
        <w:jc w:val="center"/>
        <w:rPr>
          <w:rFonts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（十二）制造商企业（单位）类型声明函</w:t>
      </w:r>
      <w:bookmarkEnd w:id="379"/>
      <w:bookmarkEnd w:id="380"/>
      <w:bookmarkEnd w:id="381"/>
      <w:bookmarkEnd w:id="382"/>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rPr>
          <w:rFonts w:ascii="仿宋" w:hAnsi="仿宋" w:eastAsia="仿宋" w:cs="仿宋"/>
          <w:sz w:val="30"/>
          <w:szCs w:val="30"/>
        </w:rPr>
      </w:pPr>
      <w:bookmarkStart w:id="383" w:name="_Toc5160"/>
      <w:bookmarkStart w:id="384" w:name="_Toc24603"/>
      <w:bookmarkStart w:id="385" w:name="_Toc515647825"/>
      <w:bookmarkStart w:id="386" w:name="_Toc19284"/>
      <w:bookmarkStart w:id="387" w:name="_Toc23068"/>
      <w:bookmarkStart w:id="388" w:name="OLE_LINK14"/>
      <w:bookmarkStart w:id="389" w:name="OLE_LINK13"/>
    </w:p>
    <w:p>
      <w:pPr>
        <w:pStyle w:val="4"/>
        <w:spacing w:before="0" w:line="240" w:lineRule="atLeast"/>
        <w:ind w:firstLine="2711" w:firstLineChars="900"/>
        <w:rPr>
          <w:rFonts w:ascii="仿宋" w:hAnsi="仿宋" w:eastAsia="仿宋" w:cs="仿宋"/>
          <w:sz w:val="30"/>
          <w:szCs w:val="30"/>
        </w:rPr>
      </w:pPr>
      <w:r>
        <w:rPr>
          <w:rFonts w:hint="eastAsia" w:ascii="仿宋" w:hAnsi="仿宋" w:eastAsia="仿宋" w:cs="仿宋"/>
          <w:sz w:val="30"/>
          <w:szCs w:val="30"/>
        </w:rPr>
        <w:t>（十三）残疾人福利性单位声明函</w:t>
      </w:r>
      <w:bookmarkEnd w:id="383"/>
      <w:bookmarkEnd w:id="384"/>
      <w:bookmarkEnd w:id="385"/>
      <w:bookmarkEnd w:id="386"/>
      <w:bookmarkEnd w:id="387"/>
    </w:p>
    <w:bookmarkEnd w:id="388"/>
    <w:bookmarkEnd w:id="389"/>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rPr>
          <w:rFonts w:ascii="仿宋" w:hAnsi="仿宋" w:eastAsia="仿宋" w:cs="仿宋"/>
          <w:b/>
          <w:bCs/>
          <w:sz w:val="24"/>
          <w:szCs w:val="24"/>
        </w:rPr>
      </w:pP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Pr>
        <w:rPr>
          <w:rFonts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26"/>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项目名称</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合同完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设备</w:t>
            </w:r>
          </w:p>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29" w:type="dxa"/>
            <w:vMerge w:val="restart"/>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专业技术或</w:t>
            </w:r>
          </w:p>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trPr>
        <w:tc>
          <w:tcPr>
            <w:tcW w:w="9321" w:type="dxa"/>
            <w:gridSpan w:val="9"/>
            <w:vAlign w:val="center"/>
          </w:tcPr>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供应商意见：（是否属实）</w:t>
            </w:r>
          </w:p>
          <w:p>
            <w:pPr>
              <w:keepNext w:val="0"/>
              <w:keepLines w:val="0"/>
              <w:suppressLineNumbers w:val="0"/>
              <w:spacing w:before="0" w:beforeAutospacing="0" w:after="0" w:afterAutospacing="0"/>
              <w:ind w:left="0" w:right="0"/>
              <w:rPr>
                <w:rFonts w:hint="default" w:ascii="仿宋" w:hAnsi="仿宋" w:eastAsia="仿宋" w:cs="仿宋"/>
                <w:b/>
                <w:sz w:val="24"/>
                <w:szCs w:val="20"/>
              </w:rPr>
            </w:pPr>
          </w:p>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2" w:hRule="atLeast"/>
        </w:trPr>
        <w:tc>
          <w:tcPr>
            <w:tcW w:w="9321" w:type="dxa"/>
            <w:gridSpan w:val="9"/>
            <w:tcBorders>
              <w:right w:val="single" w:color="auto" w:sz="4" w:space="0"/>
            </w:tcBorders>
          </w:tcPr>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r>
              <w:rPr>
                <w:rFonts w:hint="eastAsia" w:ascii="仿宋" w:hAnsi="仿宋" w:eastAsia="仿宋" w:cs="仿宋"/>
                <w:b/>
                <w:sz w:val="24"/>
                <w:szCs w:val="20"/>
              </w:rPr>
              <w:t>采购人意见:</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2976" w:firstLineChars="1235"/>
              <w:rPr>
                <w:rFonts w:hint="default" w:ascii="仿宋" w:hAnsi="仿宋" w:eastAsia="仿宋" w:cs="仿宋"/>
                <w:b/>
                <w:sz w:val="24"/>
                <w:szCs w:val="20"/>
              </w:rPr>
            </w:pPr>
            <w:r>
              <w:rPr>
                <w:rFonts w:hint="eastAsia" w:ascii="仿宋" w:hAnsi="仿宋" w:eastAsia="仿宋" w:cs="仿宋"/>
                <w:b/>
                <w:sz w:val="24"/>
                <w:szCs w:val="20"/>
              </w:rPr>
              <w:t>(是否合格)</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采购人公章</w:t>
            </w:r>
          </w:p>
          <w:p>
            <w:pPr>
              <w:keepNext w:val="0"/>
              <w:keepLines w:val="0"/>
              <w:suppressLineNumbers w:val="0"/>
              <w:spacing w:before="0" w:beforeAutospacing="0" w:after="0" w:afterAutospacing="0"/>
              <w:ind w:left="0" w:right="0" w:firstLine="1771" w:firstLineChars="735"/>
              <w:jc w:val="center"/>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390" w:name="_Toc19561"/>
    </w:p>
    <w:p>
      <w:pPr>
        <w:tabs>
          <w:tab w:val="left" w:pos="360"/>
        </w:tabs>
        <w:outlineLvl w:val="0"/>
        <w:rPr>
          <w:rFonts w:ascii="宋体" w:hAnsi="宋体" w:cs="宋体"/>
          <w:b/>
          <w:bCs/>
          <w:sz w:val="32"/>
          <w:szCs w:val="32"/>
        </w:rPr>
      </w:pPr>
      <w:r>
        <w:rPr>
          <w:rFonts w:hint="eastAsia" w:ascii="宋体" w:hAnsi="宋体" w:cs="宋体"/>
          <w:b/>
          <w:bCs/>
          <w:sz w:val="32"/>
          <w:szCs w:val="32"/>
        </w:rPr>
        <w:t>附表二、采购履约保证金退付申请单</w:t>
      </w:r>
      <w:bookmarkEnd w:id="390"/>
    </w:p>
    <w:p>
      <w:pPr>
        <w:widowControl/>
        <w:spacing w:line="440" w:lineRule="exact"/>
        <w:rPr>
          <w:rFonts w:ascii="宋体" w:hAnsi="宋体" w:cs="宋体"/>
          <w:b/>
          <w:bCs/>
          <w:color w:val="000000"/>
          <w:kern w:val="0"/>
          <w:sz w:val="24"/>
          <w:szCs w:val="24"/>
        </w:rPr>
      </w:pPr>
      <w:bookmarkStart w:id="391" w:name="_Toc11364"/>
      <w:bookmarkStart w:id="392" w:name="_Toc12352"/>
      <w:bookmarkStart w:id="393" w:name="_Toc20004"/>
      <w:r>
        <w:rPr>
          <w:rFonts w:hint="eastAsia" w:ascii="仿宋" w:hAnsi="仿宋" w:eastAsia="仿宋" w:cs="仿宋"/>
          <w:sz w:val="24"/>
          <w:szCs w:val="24"/>
          <w:lang w:val="en-US" w:eastAsia="zh-CN"/>
        </w:rPr>
        <w:t>木垒县人民医院</w:t>
      </w:r>
      <w:r>
        <w:rPr>
          <w:rFonts w:hint="eastAsia" w:ascii="宋体" w:hAnsi="宋体" w:cs="宋体"/>
          <w:b/>
          <w:bCs/>
          <w:color w:val="000000"/>
          <w:kern w:val="0"/>
          <w:sz w:val="24"/>
          <w:szCs w:val="24"/>
        </w:rPr>
        <w:t>：</w:t>
      </w:r>
      <w:bookmarkEnd w:id="391"/>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（单位）               （项目名称）</w:t>
      </w:r>
      <w:r>
        <w:rPr>
          <w:rFonts w:hint="eastAsia" w:ascii="仿宋" w:hAnsi="仿宋" w:eastAsia="仿宋" w:cs="宋体"/>
          <w:color w:val="000000"/>
          <w:kern w:val="0"/>
          <w:sz w:val="24"/>
          <w:szCs w:val="24"/>
          <w:u w:val="single"/>
          <w:lang w:val="en-US" w:eastAsia="zh-CN"/>
        </w:rPr>
        <w:t xml:space="preserve">          </w:t>
      </w:r>
      <w:r>
        <w:rPr>
          <w:rFonts w:hint="eastAsia" w:ascii="仿宋" w:hAnsi="仿宋" w:eastAsia="仿宋" w:cs="宋体"/>
          <w:color w:val="000000"/>
          <w:kern w:val="0"/>
          <w:sz w:val="24"/>
          <w:szCs w:val="24"/>
          <w:u w:val="single"/>
        </w:rPr>
        <w:t>  )</w:t>
      </w:r>
      <w:r>
        <w:rPr>
          <w:rFonts w:hint="eastAsia" w:ascii="仿宋" w:hAnsi="仿宋" w:eastAsia="仿宋" w:cs="宋体"/>
          <w:color w:val="000000"/>
          <w:kern w:val="0"/>
          <w:sz w:val="24"/>
          <w:szCs w:val="24"/>
        </w:rPr>
        <w:t>履约完毕（采购验收单附后），本项目中标（成交）金额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4" w:name="_Toc2304"/>
      <w:r>
        <w:rPr>
          <w:rFonts w:hint="eastAsia" w:ascii="仿宋" w:hAnsi="仿宋" w:eastAsia="仿宋" w:cs="Times New Roman"/>
          <w:b/>
          <w:bCs/>
          <w:color w:val="333333"/>
          <w:kern w:val="0"/>
          <w:sz w:val="24"/>
          <w:szCs w:val="24"/>
        </w:rPr>
        <w:t>收 款  单 位：</w:t>
      </w:r>
      <w:bookmarkEnd w:id="394"/>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5"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395"/>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6" w:name="_Toc14681"/>
      <w:r>
        <w:rPr>
          <w:rFonts w:hint="eastAsia" w:ascii="仿宋" w:hAnsi="仿宋" w:eastAsia="仿宋" w:cs="Times New Roman"/>
          <w:b/>
          <w:bCs/>
          <w:color w:val="333333"/>
          <w:kern w:val="0"/>
          <w:sz w:val="24"/>
          <w:szCs w:val="24"/>
        </w:rPr>
        <w:t>开户银行全称:</w:t>
      </w:r>
      <w:bookmarkEnd w:id="396"/>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7"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397"/>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398"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398"/>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399" w:name="_Toc10912"/>
      <w:bookmarkStart w:id="400" w:name="_Toc30653"/>
      <w:bookmarkStart w:id="401" w:name="_Toc13314"/>
      <w:bookmarkStart w:id="402" w:name="_Toc23779"/>
      <w:bookmarkStart w:id="403" w:name="_Toc22502"/>
      <w:bookmarkStart w:id="404" w:name="_Toc14906"/>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392"/>
      <w:bookmarkEnd w:id="393"/>
      <w:bookmarkEnd w:id="399"/>
      <w:bookmarkEnd w:id="400"/>
      <w:bookmarkEnd w:id="401"/>
      <w:bookmarkEnd w:id="402"/>
      <w:bookmarkEnd w:id="403"/>
      <w:bookmarkEnd w:id="404"/>
    </w:p>
    <w:p>
      <w:pPr>
        <w:widowControl/>
        <w:autoSpaceDN w:val="0"/>
        <w:spacing w:line="440" w:lineRule="exact"/>
        <w:ind w:left="1636" w:leftChars="779" w:firstLine="3836" w:firstLineChars="1592"/>
        <w:jc w:val="left"/>
        <w:rPr>
          <w:rFonts w:ascii="仿宋" w:hAnsi="仿宋" w:eastAsia="仿宋" w:cs="Times New Roman"/>
          <w:b/>
          <w:bCs/>
          <w:color w:val="333333"/>
          <w:kern w:val="0"/>
          <w:sz w:val="24"/>
          <w:szCs w:val="24"/>
        </w:rPr>
      </w:pPr>
      <w:bookmarkStart w:id="405" w:name="_Toc7297"/>
      <w:bookmarkStart w:id="406" w:name="_Toc25653"/>
      <w:bookmarkStart w:id="407" w:name="_Toc16925"/>
      <w:bookmarkStart w:id="408" w:name="_Toc20490"/>
      <w:bookmarkStart w:id="409" w:name="_Toc11054"/>
      <w:bookmarkStart w:id="410" w:name="_Toc8115"/>
      <w:bookmarkStart w:id="411" w:name="_Toc8836"/>
      <w:bookmarkStart w:id="412" w:name="_Toc2596"/>
      <w:r>
        <w:rPr>
          <w:rFonts w:hint="eastAsia" w:ascii="仿宋" w:hAnsi="仿宋" w:eastAsia="仿宋" w:cs="Times New Roman"/>
          <w:b/>
          <w:color w:val="333333"/>
          <w:kern w:val="0"/>
          <w:sz w:val="24"/>
          <w:szCs w:val="24"/>
        </w:rPr>
        <w:t>年  月  日</w:t>
      </w:r>
      <w:bookmarkEnd w:id="405"/>
      <w:bookmarkEnd w:id="406"/>
      <w:bookmarkEnd w:id="407"/>
      <w:bookmarkEnd w:id="408"/>
      <w:bookmarkEnd w:id="409"/>
      <w:bookmarkEnd w:id="410"/>
      <w:bookmarkEnd w:id="411"/>
      <w:bookmarkEnd w:id="412"/>
    </w:p>
    <w:tbl>
      <w:tblPr>
        <w:tblStyle w:val="26"/>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9343" w:type="dxa"/>
          </w:tcPr>
          <w:p>
            <w:pPr>
              <w:keepNext w:val="0"/>
              <w:keepLines w:val="0"/>
              <w:suppressLineNumbers w:val="0"/>
              <w:spacing w:before="0" w:beforeAutospacing="0" w:after="0" w:afterAutospacing="0"/>
              <w:ind w:left="0" w:right="0"/>
              <w:rPr>
                <w:rFonts w:hint="default" w:cs="Times New Roman"/>
                <w:b/>
                <w:sz w:val="24"/>
                <w:szCs w:val="20"/>
              </w:rPr>
            </w:pPr>
            <w:r>
              <w:rPr>
                <w:rFonts w:hint="eastAsia" w:cs="Times New Roman"/>
                <w:b/>
                <w:sz w:val="24"/>
                <w:szCs w:val="20"/>
              </w:rPr>
              <w:t>项目负责人签字：</w:t>
            </w:r>
          </w:p>
          <w:p>
            <w:pPr>
              <w:keepNext w:val="0"/>
              <w:keepLines w:val="0"/>
              <w:suppressLineNumbers w:val="0"/>
              <w:spacing w:before="0" w:beforeAutospacing="0" w:after="0" w:afterAutospacing="0"/>
              <w:ind w:left="0" w:right="0"/>
              <w:rPr>
                <w:rFonts w:hint="default" w:cs="Times New Roman"/>
                <w:b/>
                <w:sz w:val="24"/>
                <w:szCs w:val="20"/>
              </w:rPr>
            </w:pPr>
          </w:p>
          <w:p>
            <w:pPr>
              <w:keepNext w:val="0"/>
              <w:keepLines w:val="0"/>
              <w:suppressLineNumbers w:val="0"/>
              <w:spacing w:before="0" w:beforeAutospacing="0" w:after="0" w:afterAutospacing="0"/>
              <w:ind w:left="0" w:right="0"/>
              <w:rPr>
                <w:rFonts w:hint="default" w:cs="Times New Roman"/>
                <w:b/>
                <w:sz w:val="24"/>
                <w:szCs w:val="20"/>
              </w:rPr>
            </w:pPr>
            <w:r>
              <w:rPr>
                <w:rFonts w:hint="eastAsia" w:cs="Times New Roman"/>
                <w:b/>
                <w:sz w:val="24"/>
                <w:szCs w:val="20"/>
              </w:rPr>
              <w:t xml:space="preserve">                         年   月   日</w:t>
            </w:r>
          </w:p>
          <w:p>
            <w:pPr>
              <w:keepNext w:val="0"/>
              <w:keepLines w:val="0"/>
              <w:suppressLineNumbers w:val="0"/>
              <w:spacing w:before="0" w:beforeAutospacing="0" w:after="0" w:afterAutospacing="0"/>
              <w:ind w:left="0" w:right="0"/>
              <w:rPr>
                <w:rFonts w:hint="default" w:cs="Times New Roman"/>
                <w:b/>
                <w:sz w:val="24"/>
                <w:szCs w:val="20"/>
              </w:rPr>
            </w:pPr>
          </w:p>
          <w:p>
            <w:pPr>
              <w:keepNext w:val="0"/>
              <w:keepLines w:val="0"/>
              <w:suppressLineNumbers w:val="0"/>
              <w:spacing w:before="0" w:beforeAutospacing="0" w:after="0" w:afterAutospacing="0"/>
              <w:ind w:left="0" w:right="0"/>
              <w:rPr>
                <w:rFonts w:hint="default"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9343" w:type="dxa"/>
          </w:tcPr>
          <w:p>
            <w:pPr>
              <w:keepNext w:val="0"/>
              <w:keepLines w:val="0"/>
              <w:suppressLineNumbers w:val="0"/>
              <w:spacing w:before="0" w:beforeAutospacing="0" w:after="0" w:afterAutospacing="0"/>
              <w:ind w:left="0" w:right="0" w:firstLine="944" w:firstLineChars="392"/>
              <w:rPr>
                <w:rFonts w:hint="default"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rPr>
          <w:rFonts w:ascii="仿宋_GB2312" w:hAnsi="宋体" w:eastAsia="仿宋_GB2312" w:cs="Times New Roman"/>
          <w:b/>
          <w:szCs w:val="21"/>
        </w:rPr>
      </w:pPr>
    </w:p>
    <w:p>
      <w:pPr>
        <w:pStyle w:val="10"/>
        <w:rPr>
          <w:rFonts w:ascii="仿宋_GB2312" w:hAnsi="宋体" w:eastAsia="仿宋_GB2312" w:cs="Times New Roman"/>
          <w:b/>
          <w:szCs w:val="21"/>
        </w:rPr>
      </w:pPr>
    </w:p>
    <w:p>
      <w:pPr>
        <w:pStyle w:val="10"/>
        <w:rPr>
          <w:rFonts w:ascii="仿宋_GB2312" w:hAnsi="宋体" w:eastAsia="仿宋_GB2312" w:cs="Times New Roman"/>
          <w:b/>
          <w:szCs w:val="21"/>
        </w:rPr>
      </w:pPr>
    </w:p>
    <w:p>
      <w:pPr>
        <w:pStyle w:val="10"/>
        <w:rPr>
          <w:rFonts w:ascii="仿宋_GB2312" w:hAnsi="宋体" w:eastAsia="仿宋_GB2312" w:cs="Times New Roman"/>
          <w:b/>
          <w:szCs w:val="21"/>
        </w:rPr>
      </w:pPr>
    </w:p>
    <w:p>
      <w:pPr>
        <w:pStyle w:val="10"/>
        <w:rPr>
          <w:rFonts w:ascii="仿宋_GB2312" w:hAnsi="宋体" w:eastAsia="仿宋_GB2312" w:cs="Times New Roman"/>
          <w:b/>
          <w:szCs w:val="21"/>
        </w:rPr>
      </w:pPr>
    </w:p>
    <w:p>
      <w:pPr>
        <w:pStyle w:val="10"/>
        <w:rPr>
          <w:rFonts w:ascii="仿宋_GB2312" w:hAnsi="宋体" w:eastAsia="仿宋_GB2312" w:cs="Times New Roman"/>
          <w:b/>
          <w:szCs w:val="21"/>
        </w:rPr>
      </w:pPr>
    </w:p>
    <w:p>
      <w:pPr>
        <w:pStyle w:val="10"/>
        <w:rPr>
          <w:rFonts w:ascii="仿宋_GB2312" w:hAnsi="宋体" w:eastAsia="仿宋_GB2312" w:cs="Times New Roman"/>
          <w:b/>
          <w:szCs w:val="21"/>
        </w:rPr>
      </w:pPr>
    </w:p>
    <w:p>
      <w:pPr>
        <w:pStyle w:val="10"/>
        <w:rPr>
          <w:rFonts w:ascii="仿宋_GB2312" w:hAnsi="宋体" w:eastAsia="仿宋_GB2312" w:cs="Times New Roman"/>
          <w:b/>
          <w:szCs w:val="21"/>
        </w:rPr>
      </w:pPr>
    </w:p>
    <w:p>
      <w:pPr>
        <w:jc w:val="left"/>
        <w:rPr>
          <w:rFonts w:ascii="宋体" w:hAnsi="宋体" w:cs="宋体"/>
          <w:b/>
          <w:bCs/>
          <w:sz w:val="32"/>
          <w:szCs w:val="32"/>
        </w:rPr>
      </w:pPr>
    </w:p>
    <w:p>
      <w:pPr>
        <w:jc w:val="left"/>
        <w:rPr>
          <w:rFonts w:ascii="宋体" w:hAnsi="宋体" w:cs="宋体"/>
          <w:b/>
          <w:bCs/>
          <w:sz w:val="32"/>
          <w:szCs w:val="32"/>
        </w:rPr>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10"/>
        <w:rPr>
          <w:rFonts w:ascii="仿宋" w:hAnsi="仿宋" w:eastAsia="仿宋" w:cs="仿宋"/>
          <w:b/>
          <w:sz w:val="24"/>
          <w:szCs w:val="24"/>
        </w:rPr>
      </w:pPr>
    </w:p>
    <w:p>
      <w:pPr>
        <w:pStyle w:val="10"/>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5"/>
        <w:ind w:firstLine="0"/>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其他资料</w:t>
      </w:r>
    </w:p>
    <w:p>
      <w:pPr>
        <w:rPr>
          <w:rFonts w:hint="default" w:ascii="仿宋" w:hAnsi="仿宋" w:eastAsia="仿宋" w:cs="仿宋"/>
          <w:b/>
          <w:sz w:val="24"/>
          <w:szCs w:val="24"/>
          <w:lang w:val="en-US" w:eastAsia="zh-CN"/>
        </w:rPr>
      </w:pPr>
      <w:r>
        <w:rPr>
          <w:rFonts w:hint="eastAsia" w:ascii="仿宋" w:hAnsi="仿宋" w:eastAsia="仿宋" w:cs="仿宋"/>
          <w:b/>
          <w:sz w:val="24"/>
          <w:szCs w:val="24"/>
          <w:lang w:eastAsia="zh-CN"/>
        </w:rPr>
        <w:t>如：保证金收据复印件</w:t>
      </w:r>
    </w:p>
    <w:sectPr>
      <w:footerReference r:id="rId11" w:type="first"/>
      <w:footerReference r:id="rId10" w:type="default"/>
      <w:pgSz w:w="11906" w:h="16838"/>
      <w:pgMar w:top="851" w:right="851" w:bottom="851" w:left="8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AaUa8BAABLAwAADgAAAGRycy9lMm9Eb2MueG1srVPNahsxEL4H8g5C&#10;91hrE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lt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OdAaUa8BAABL&#10;AwAADgAAAAAAAAABACAAAAAeAQAAZHJzL2Uyb0RvYy54bWxQSwUGAAAAAAYABgBZAQAAP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23</w:t>
                    </w:r>
                    <w:r>
                      <w:fldChar w:fldCharType="end"/>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5102"/>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- 3 -</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fRTuq8BAABL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h9SmhVcMV5uEJAq3XOEA&#10;eyyMEyvqjtuVV+Lve8l6/Qe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fRTuq8BAABL&#10;AwAADgAAAAAAAAABACAAAAAeAQAAZHJzL2Uyb0RvYy54bWxQSwUGAAAAAAYABgBZAQAAP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0"/>
      </w:rPr>
    </w:pPr>
    <w:r>
      <w:fldChar w:fldCharType="begin"/>
    </w:r>
    <w:r>
      <w:rPr>
        <w:rStyle w:val="30"/>
      </w:rPr>
      <w:instrText xml:space="preserve">PAGE  </w:instrTex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posOffset>3136900</wp:posOffset>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- 38 -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left:247pt;margin-top:0pt;height:144pt;width:144pt;mso-position-horizontal-relative:margin;mso-wrap-style:none;z-index:251660288;mso-width-relative:page;mso-height-relative:page;" filled="f" stroked="f" coordsize="21600,21600" o:gfxdata="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GcTA1QAA&#10;AAgBAAAPAAAAAAAAAAEAIAAAACIAAABkcnMvZG93bnJldi54bWxQSwECFAAUAAAACACHTuJA3Qk5&#10;U68BAABLAwAADgAAAAAAAAABACAAAAAkAQAAZHJzL2Uyb0RvYy54bWxQSwUGAAAAAAYABgBZAQAA&#10;R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- 38 -</w:t>
                    </w:r>
                    <w:r>
                      <w:fldChar w:fldCharType="end"/>
                    </w:r>
                  </w:p>
                </w:txbxContent>
              </v:textbox>
            </v:shape>
          </w:pict>
        </mc:Fallback>
      </mc:AlternateContent>
    </w:r>
  </w:p>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atZq8BAABLAwAADgAAAGRycy9lMm9Eb2MueG1srVNLbtswEN0X6B0I&#10;7mvKLhI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5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ybatZq8BAABL&#10;AwAADgAAAAAAAAABACAAAAAeAQAAZHJzL2Uyb0RvYy54bWxQSwUGAAAAAAYABgBZAQAAPwUAAAAA&#10;">
              <v:fill on="f" focussize="0,0"/>
              <v:stroke on="f"/>
              <v:imagedata o:title=""/>
              <o:lock v:ext="edit" aspectratio="f"/>
              <v:textbox inset="0mm,0mm,0mm,0mm" style="mso-fit-shape-to-text:t;">
                <w:txbxContent>
                  <w:p>
                    <w:pPr>
                      <w:pStyle w:val="16"/>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973712"/>
    <w:multiLevelType w:val="singleLevel"/>
    <w:tmpl w:val="86973712"/>
    <w:lvl w:ilvl="0" w:tentative="0">
      <w:start w:val="1"/>
      <w:numFmt w:val="chineseCounting"/>
      <w:suff w:val="nothing"/>
      <w:lvlText w:val="%1、"/>
      <w:lvlJc w:val="left"/>
      <w:rPr>
        <w:rFonts w:hint="eastAsia"/>
      </w:rPr>
    </w:lvl>
  </w:abstractNum>
  <w:abstractNum w:abstractNumId="1">
    <w:nsid w:val="EB891D12"/>
    <w:multiLevelType w:val="singleLevel"/>
    <w:tmpl w:val="EB891D12"/>
    <w:lvl w:ilvl="0" w:tentative="0">
      <w:start w:val="7"/>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lvlText w:val="（%1）"/>
      <w:lvlJc w:val="left"/>
      <w:pPr>
        <w:tabs>
          <w:tab w:val="left" w:pos="1245"/>
        </w:tabs>
        <w:ind w:left="1245" w:hanging="6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A69EB5"/>
    <w:multiLevelType w:val="singleLevel"/>
    <w:tmpl w:val="03A69EB5"/>
    <w:lvl w:ilvl="0" w:tentative="0">
      <w:start w:val="2"/>
      <w:numFmt w:val="chineseCounting"/>
      <w:suff w:val="space"/>
      <w:lvlText w:val="第%1章"/>
      <w:lvlJc w:val="left"/>
      <w:rPr>
        <w:rFonts w:hint="eastAsia"/>
      </w:rPr>
    </w:lvl>
  </w:abstractNum>
  <w:abstractNum w:abstractNumId="4">
    <w:nsid w:val="1DE21FCE"/>
    <w:multiLevelType w:val="multilevel"/>
    <w:tmpl w:val="1DE21FC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20364595"/>
    <w:multiLevelType w:val="singleLevel"/>
    <w:tmpl w:val="20364595"/>
    <w:lvl w:ilvl="0" w:tentative="0">
      <w:start w:val="2"/>
      <w:numFmt w:val="decimal"/>
      <w:suff w:val="nothing"/>
      <w:lvlText w:val="%1、"/>
      <w:lvlJc w:val="left"/>
    </w:lvl>
  </w:abstractNum>
  <w:abstractNum w:abstractNumId="6">
    <w:nsid w:val="4A3A5A4B"/>
    <w:multiLevelType w:val="multilevel"/>
    <w:tmpl w:val="4A3A5A4B"/>
    <w:lvl w:ilvl="0" w:tentative="0">
      <w:start w:val="1"/>
      <w:numFmt w:val="decimal"/>
      <w:lvlText w:val="%1."/>
      <w:lvlJc w:val="left"/>
      <w:pPr>
        <w:tabs>
          <w:tab w:val="left" w:pos="420"/>
        </w:tabs>
        <w:ind w:left="420" w:hanging="420"/>
      </w:pPr>
      <w:rPr>
        <w:rFonts w:hint="default"/>
        <w:u w:val="none" w:color="auto"/>
      </w:rPr>
    </w:lvl>
    <w:lvl w:ilvl="1" w:tentative="0">
      <w:start w:val="1"/>
      <w:numFmt w:val="bullet"/>
      <w:lvlText w:val=""/>
      <w:lvlJc w:val="left"/>
      <w:pPr>
        <w:tabs>
          <w:tab w:val="left" w:pos="840"/>
        </w:tabs>
        <w:ind w:left="840" w:hanging="420"/>
      </w:pPr>
      <w:rPr>
        <w:rFonts w:hint="default" w:ascii="Wingdings" w:hAnsi="Wingdings" w:eastAsia="宋体"/>
        <w:u w:val="none" w:color="auto"/>
      </w:rPr>
    </w:lvl>
    <w:lvl w:ilvl="2" w:tentative="0">
      <w:start w:val="1"/>
      <w:numFmt w:val="bullet"/>
      <w:lvlText w:val=""/>
      <w:lvlJc w:val="left"/>
      <w:pPr>
        <w:tabs>
          <w:tab w:val="left" w:pos="1260"/>
        </w:tabs>
        <w:ind w:left="1260" w:hanging="420"/>
      </w:pPr>
      <w:rPr>
        <w:rFonts w:hint="default" w:ascii="Wingdings" w:hAnsi="Wingdings" w:eastAsia="宋体"/>
        <w:u w:val="none" w:color="auto"/>
      </w:rPr>
    </w:lvl>
    <w:lvl w:ilvl="3" w:tentative="0">
      <w:start w:val="1"/>
      <w:numFmt w:val="bullet"/>
      <w:lvlText w:val=""/>
      <w:lvlJc w:val="left"/>
      <w:pPr>
        <w:tabs>
          <w:tab w:val="left" w:pos="1680"/>
        </w:tabs>
        <w:ind w:left="1680" w:hanging="420"/>
      </w:pPr>
      <w:rPr>
        <w:rFonts w:hint="default" w:ascii="Wingdings" w:hAnsi="Wingdings" w:eastAsia="宋体"/>
        <w:u w:val="none" w:color="auto"/>
      </w:rPr>
    </w:lvl>
    <w:lvl w:ilvl="4" w:tentative="0">
      <w:start w:val="1"/>
      <w:numFmt w:val="bullet"/>
      <w:lvlText w:val=""/>
      <w:lvlJc w:val="left"/>
      <w:pPr>
        <w:tabs>
          <w:tab w:val="left" w:pos="2100"/>
        </w:tabs>
        <w:ind w:left="2100" w:hanging="420"/>
      </w:pPr>
      <w:rPr>
        <w:rFonts w:hint="default" w:ascii="Wingdings" w:hAnsi="Wingdings" w:eastAsia="宋体"/>
        <w:u w:val="none" w:color="auto"/>
      </w:rPr>
    </w:lvl>
    <w:lvl w:ilvl="5" w:tentative="0">
      <w:start w:val="1"/>
      <w:numFmt w:val="bullet"/>
      <w:lvlText w:val=""/>
      <w:lvlJc w:val="left"/>
      <w:pPr>
        <w:tabs>
          <w:tab w:val="left" w:pos="2520"/>
        </w:tabs>
        <w:ind w:left="2520" w:hanging="420"/>
      </w:pPr>
      <w:rPr>
        <w:rFonts w:hint="default" w:ascii="Wingdings" w:hAnsi="Wingdings" w:eastAsia="宋体"/>
        <w:u w:val="none" w:color="auto"/>
      </w:rPr>
    </w:lvl>
    <w:lvl w:ilvl="6" w:tentative="0">
      <w:start w:val="1"/>
      <w:numFmt w:val="bullet"/>
      <w:lvlText w:val=""/>
      <w:lvlJc w:val="left"/>
      <w:pPr>
        <w:tabs>
          <w:tab w:val="left" w:pos="2940"/>
        </w:tabs>
        <w:ind w:left="2940" w:hanging="420"/>
      </w:pPr>
      <w:rPr>
        <w:rFonts w:hint="default" w:ascii="Wingdings" w:hAnsi="Wingdings" w:eastAsia="宋体"/>
        <w:u w:val="none" w:color="auto"/>
      </w:rPr>
    </w:lvl>
    <w:lvl w:ilvl="7" w:tentative="0">
      <w:start w:val="1"/>
      <w:numFmt w:val="bullet"/>
      <w:lvlText w:val=""/>
      <w:lvlJc w:val="left"/>
      <w:pPr>
        <w:tabs>
          <w:tab w:val="left" w:pos="3360"/>
        </w:tabs>
        <w:ind w:left="3360" w:hanging="420"/>
      </w:pPr>
      <w:rPr>
        <w:rFonts w:hint="default" w:ascii="Wingdings" w:hAnsi="Wingdings" w:eastAsia="宋体"/>
        <w:u w:val="none" w:color="auto"/>
      </w:rPr>
    </w:lvl>
    <w:lvl w:ilvl="8" w:tentative="0">
      <w:start w:val="1"/>
      <w:numFmt w:val="bullet"/>
      <w:lvlText w:val=""/>
      <w:lvlJc w:val="left"/>
      <w:pPr>
        <w:tabs>
          <w:tab w:val="left" w:pos="3780"/>
        </w:tabs>
        <w:ind w:left="3780" w:hanging="420"/>
      </w:pPr>
      <w:rPr>
        <w:rFonts w:hint="default" w:ascii="Wingdings" w:hAnsi="Wingdings" w:eastAsia="宋体"/>
        <w:u w:val="none" w:color="auto"/>
      </w:rPr>
    </w:lvl>
  </w:abstractNum>
  <w:num w:numId="1">
    <w:abstractNumId w:val="4"/>
  </w:num>
  <w:num w:numId="2">
    <w:abstractNumId w:val="0"/>
  </w:num>
  <w:num w:numId="3">
    <w:abstractNumId w:val="6"/>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YTAwNjhhNmUzMGRjN2Q4MGY2NzcyZDQ2Y2JlNWUifQ=="/>
  </w:docVars>
  <w:rsids>
    <w:rsidRoot w:val="00164FD2"/>
    <w:rsid w:val="000B2A08"/>
    <w:rsid w:val="000C4F72"/>
    <w:rsid w:val="00164FD2"/>
    <w:rsid w:val="00181250"/>
    <w:rsid w:val="0020729E"/>
    <w:rsid w:val="002B5341"/>
    <w:rsid w:val="002F7447"/>
    <w:rsid w:val="00340A98"/>
    <w:rsid w:val="003676F3"/>
    <w:rsid w:val="003F77FD"/>
    <w:rsid w:val="004B56E4"/>
    <w:rsid w:val="008C5694"/>
    <w:rsid w:val="00993C82"/>
    <w:rsid w:val="00996BC9"/>
    <w:rsid w:val="00A0070D"/>
    <w:rsid w:val="00A764E0"/>
    <w:rsid w:val="00A916E9"/>
    <w:rsid w:val="00B320AA"/>
    <w:rsid w:val="00B43764"/>
    <w:rsid w:val="00B457E7"/>
    <w:rsid w:val="00B479FA"/>
    <w:rsid w:val="00BC54E8"/>
    <w:rsid w:val="00BD7A04"/>
    <w:rsid w:val="00BE3779"/>
    <w:rsid w:val="00C65BC7"/>
    <w:rsid w:val="00C93E27"/>
    <w:rsid w:val="00CB69A1"/>
    <w:rsid w:val="00D51D8F"/>
    <w:rsid w:val="00D75593"/>
    <w:rsid w:val="00F42DB3"/>
    <w:rsid w:val="00F937E5"/>
    <w:rsid w:val="00FE2CBC"/>
    <w:rsid w:val="00FF23A7"/>
    <w:rsid w:val="010A219D"/>
    <w:rsid w:val="0117090E"/>
    <w:rsid w:val="011D4DC1"/>
    <w:rsid w:val="012D6F4B"/>
    <w:rsid w:val="01474BAD"/>
    <w:rsid w:val="0151773A"/>
    <w:rsid w:val="015F2416"/>
    <w:rsid w:val="01656568"/>
    <w:rsid w:val="0176717D"/>
    <w:rsid w:val="01771D1C"/>
    <w:rsid w:val="017A01BE"/>
    <w:rsid w:val="017A7E8C"/>
    <w:rsid w:val="01812C9A"/>
    <w:rsid w:val="01880354"/>
    <w:rsid w:val="01985AC8"/>
    <w:rsid w:val="01C55583"/>
    <w:rsid w:val="01E94CCA"/>
    <w:rsid w:val="01F2114F"/>
    <w:rsid w:val="020C1E2B"/>
    <w:rsid w:val="020F0235"/>
    <w:rsid w:val="02494171"/>
    <w:rsid w:val="025F043D"/>
    <w:rsid w:val="02824E21"/>
    <w:rsid w:val="028E5A8A"/>
    <w:rsid w:val="02C75596"/>
    <w:rsid w:val="02CA6552"/>
    <w:rsid w:val="030D2753"/>
    <w:rsid w:val="03421698"/>
    <w:rsid w:val="03464843"/>
    <w:rsid w:val="03576B1A"/>
    <w:rsid w:val="035949DD"/>
    <w:rsid w:val="035E186B"/>
    <w:rsid w:val="03D30007"/>
    <w:rsid w:val="03F46FA0"/>
    <w:rsid w:val="041D750B"/>
    <w:rsid w:val="043357E2"/>
    <w:rsid w:val="043B55DD"/>
    <w:rsid w:val="0440084C"/>
    <w:rsid w:val="04486308"/>
    <w:rsid w:val="046B5201"/>
    <w:rsid w:val="046E43FA"/>
    <w:rsid w:val="04B76589"/>
    <w:rsid w:val="04DA00AC"/>
    <w:rsid w:val="04E01ED6"/>
    <w:rsid w:val="04E7105E"/>
    <w:rsid w:val="04EF4AA3"/>
    <w:rsid w:val="04FD483B"/>
    <w:rsid w:val="05111DB0"/>
    <w:rsid w:val="05223DC5"/>
    <w:rsid w:val="05253410"/>
    <w:rsid w:val="05306851"/>
    <w:rsid w:val="0547670E"/>
    <w:rsid w:val="05487FC9"/>
    <w:rsid w:val="05623288"/>
    <w:rsid w:val="057064B7"/>
    <w:rsid w:val="05751019"/>
    <w:rsid w:val="0591747D"/>
    <w:rsid w:val="059D2187"/>
    <w:rsid w:val="05AD5538"/>
    <w:rsid w:val="05C731D8"/>
    <w:rsid w:val="05D3730F"/>
    <w:rsid w:val="05D52F48"/>
    <w:rsid w:val="05FD37DE"/>
    <w:rsid w:val="05FE6D85"/>
    <w:rsid w:val="0627139B"/>
    <w:rsid w:val="063479DF"/>
    <w:rsid w:val="065729F3"/>
    <w:rsid w:val="066148B9"/>
    <w:rsid w:val="067B17F8"/>
    <w:rsid w:val="06822295"/>
    <w:rsid w:val="06C5136C"/>
    <w:rsid w:val="06D16D3B"/>
    <w:rsid w:val="06E77E9C"/>
    <w:rsid w:val="06F17CCF"/>
    <w:rsid w:val="071C4968"/>
    <w:rsid w:val="07301B46"/>
    <w:rsid w:val="07857088"/>
    <w:rsid w:val="078855A7"/>
    <w:rsid w:val="078A7BD3"/>
    <w:rsid w:val="07910105"/>
    <w:rsid w:val="079F15C9"/>
    <w:rsid w:val="07A221B2"/>
    <w:rsid w:val="07B436A2"/>
    <w:rsid w:val="07D7024B"/>
    <w:rsid w:val="07DF6848"/>
    <w:rsid w:val="07FD5092"/>
    <w:rsid w:val="080D578C"/>
    <w:rsid w:val="08156C52"/>
    <w:rsid w:val="081F7D8D"/>
    <w:rsid w:val="082508ED"/>
    <w:rsid w:val="082C2790"/>
    <w:rsid w:val="083F344F"/>
    <w:rsid w:val="08602F1C"/>
    <w:rsid w:val="086D086A"/>
    <w:rsid w:val="08725C86"/>
    <w:rsid w:val="088E00AD"/>
    <w:rsid w:val="088E2FB2"/>
    <w:rsid w:val="089423BF"/>
    <w:rsid w:val="08AB02A9"/>
    <w:rsid w:val="08CA1BC7"/>
    <w:rsid w:val="08D47483"/>
    <w:rsid w:val="08D91440"/>
    <w:rsid w:val="09046405"/>
    <w:rsid w:val="09093BFC"/>
    <w:rsid w:val="091F5262"/>
    <w:rsid w:val="092E10A1"/>
    <w:rsid w:val="09536B71"/>
    <w:rsid w:val="095C37BE"/>
    <w:rsid w:val="09633768"/>
    <w:rsid w:val="09793656"/>
    <w:rsid w:val="09910B82"/>
    <w:rsid w:val="09975FFA"/>
    <w:rsid w:val="099D0A98"/>
    <w:rsid w:val="09C74452"/>
    <w:rsid w:val="09D74A0C"/>
    <w:rsid w:val="09E16BE1"/>
    <w:rsid w:val="09E609B8"/>
    <w:rsid w:val="09EC7DA5"/>
    <w:rsid w:val="0A041680"/>
    <w:rsid w:val="0A053E03"/>
    <w:rsid w:val="0A376A32"/>
    <w:rsid w:val="0A5E185F"/>
    <w:rsid w:val="0A6564C0"/>
    <w:rsid w:val="0A793E91"/>
    <w:rsid w:val="0A8F3A0B"/>
    <w:rsid w:val="0A93637B"/>
    <w:rsid w:val="0AAB4675"/>
    <w:rsid w:val="0AB4143B"/>
    <w:rsid w:val="0AD23A0B"/>
    <w:rsid w:val="0ADB7BA8"/>
    <w:rsid w:val="0AE17639"/>
    <w:rsid w:val="0B2B487D"/>
    <w:rsid w:val="0B3F41B2"/>
    <w:rsid w:val="0B426BFF"/>
    <w:rsid w:val="0B7A5CA5"/>
    <w:rsid w:val="0B9614BE"/>
    <w:rsid w:val="0BA10F01"/>
    <w:rsid w:val="0BB1173A"/>
    <w:rsid w:val="0BB51FD5"/>
    <w:rsid w:val="0BC85AD7"/>
    <w:rsid w:val="0BFB6358"/>
    <w:rsid w:val="0BFD7C3F"/>
    <w:rsid w:val="0C064E70"/>
    <w:rsid w:val="0C1E4924"/>
    <w:rsid w:val="0C2D6EA4"/>
    <w:rsid w:val="0C315878"/>
    <w:rsid w:val="0C342F35"/>
    <w:rsid w:val="0C363F0C"/>
    <w:rsid w:val="0C3E4B62"/>
    <w:rsid w:val="0C535831"/>
    <w:rsid w:val="0C640998"/>
    <w:rsid w:val="0C6679D2"/>
    <w:rsid w:val="0C676F41"/>
    <w:rsid w:val="0C7D3F0A"/>
    <w:rsid w:val="0C7E7211"/>
    <w:rsid w:val="0CBA3E17"/>
    <w:rsid w:val="0D0E3012"/>
    <w:rsid w:val="0D280E73"/>
    <w:rsid w:val="0D29210B"/>
    <w:rsid w:val="0D3A372D"/>
    <w:rsid w:val="0D88314B"/>
    <w:rsid w:val="0D931CF8"/>
    <w:rsid w:val="0D936F90"/>
    <w:rsid w:val="0DB63326"/>
    <w:rsid w:val="0DCD0C05"/>
    <w:rsid w:val="0E066454"/>
    <w:rsid w:val="0E1671B1"/>
    <w:rsid w:val="0E170DC2"/>
    <w:rsid w:val="0E230DDE"/>
    <w:rsid w:val="0E2D2ABA"/>
    <w:rsid w:val="0E347F94"/>
    <w:rsid w:val="0E367AFD"/>
    <w:rsid w:val="0E686C91"/>
    <w:rsid w:val="0E6A537C"/>
    <w:rsid w:val="0E700A00"/>
    <w:rsid w:val="0E7C7688"/>
    <w:rsid w:val="0E815F0D"/>
    <w:rsid w:val="0E851AE9"/>
    <w:rsid w:val="0EBB2E51"/>
    <w:rsid w:val="0ECB1C78"/>
    <w:rsid w:val="0ED171F0"/>
    <w:rsid w:val="0EF37E11"/>
    <w:rsid w:val="0EF445F9"/>
    <w:rsid w:val="0F034262"/>
    <w:rsid w:val="0F117C55"/>
    <w:rsid w:val="0F183C20"/>
    <w:rsid w:val="0F2B3A11"/>
    <w:rsid w:val="0F30529A"/>
    <w:rsid w:val="0F404902"/>
    <w:rsid w:val="0F515084"/>
    <w:rsid w:val="0F71271D"/>
    <w:rsid w:val="0F8160A4"/>
    <w:rsid w:val="0F854218"/>
    <w:rsid w:val="0F890F35"/>
    <w:rsid w:val="0F8D5E84"/>
    <w:rsid w:val="0F977D43"/>
    <w:rsid w:val="0F9C59C4"/>
    <w:rsid w:val="0FA77EEC"/>
    <w:rsid w:val="0FAB42F5"/>
    <w:rsid w:val="0FAC4436"/>
    <w:rsid w:val="0FBC40BD"/>
    <w:rsid w:val="0FDC262F"/>
    <w:rsid w:val="0FE531C2"/>
    <w:rsid w:val="10311AFB"/>
    <w:rsid w:val="103C67F0"/>
    <w:rsid w:val="10467EC1"/>
    <w:rsid w:val="105E138E"/>
    <w:rsid w:val="106F37A0"/>
    <w:rsid w:val="106F783A"/>
    <w:rsid w:val="107E40DD"/>
    <w:rsid w:val="10A723CF"/>
    <w:rsid w:val="10C241BD"/>
    <w:rsid w:val="10CF28B9"/>
    <w:rsid w:val="10E86DA5"/>
    <w:rsid w:val="10F90C35"/>
    <w:rsid w:val="10FC4BB7"/>
    <w:rsid w:val="110B55B1"/>
    <w:rsid w:val="11105BC5"/>
    <w:rsid w:val="113A40A4"/>
    <w:rsid w:val="115852A9"/>
    <w:rsid w:val="118B6354"/>
    <w:rsid w:val="11AD57E8"/>
    <w:rsid w:val="11B642D7"/>
    <w:rsid w:val="11B82F16"/>
    <w:rsid w:val="11B97C8C"/>
    <w:rsid w:val="11BD525C"/>
    <w:rsid w:val="11C651EA"/>
    <w:rsid w:val="11FA27CA"/>
    <w:rsid w:val="11FB7F9F"/>
    <w:rsid w:val="120A3F7C"/>
    <w:rsid w:val="120F5A4B"/>
    <w:rsid w:val="12272914"/>
    <w:rsid w:val="12312C73"/>
    <w:rsid w:val="123741D8"/>
    <w:rsid w:val="12613624"/>
    <w:rsid w:val="12694494"/>
    <w:rsid w:val="126A0BE8"/>
    <w:rsid w:val="126B7E28"/>
    <w:rsid w:val="12A60B90"/>
    <w:rsid w:val="12AA49F8"/>
    <w:rsid w:val="12AD7AEB"/>
    <w:rsid w:val="12C4020D"/>
    <w:rsid w:val="12DC1114"/>
    <w:rsid w:val="12F02A25"/>
    <w:rsid w:val="130B18FA"/>
    <w:rsid w:val="1326738F"/>
    <w:rsid w:val="133B6CA1"/>
    <w:rsid w:val="134442A7"/>
    <w:rsid w:val="134501FF"/>
    <w:rsid w:val="1347097F"/>
    <w:rsid w:val="135347BE"/>
    <w:rsid w:val="135E507E"/>
    <w:rsid w:val="13675428"/>
    <w:rsid w:val="1399618E"/>
    <w:rsid w:val="13A201C2"/>
    <w:rsid w:val="13D0714B"/>
    <w:rsid w:val="13E0137B"/>
    <w:rsid w:val="13F1129B"/>
    <w:rsid w:val="142A2625"/>
    <w:rsid w:val="143102D7"/>
    <w:rsid w:val="14533359"/>
    <w:rsid w:val="14BC3E72"/>
    <w:rsid w:val="14D376EF"/>
    <w:rsid w:val="14DC1AF4"/>
    <w:rsid w:val="14EF05EB"/>
    <w:rsid w:val="150B5BFA"/>
    <w:rsid w:val="1518434B"/>
    <w:rsid w:val="156C3725"/>
    <w:rsid w:val="15791116"/>
    <w:rsid w:val="15802C9C"/>
    <w:rsid w:val="1593274C"/>
    <w:rsid w:val="159557A8"/>
    <w:rsid w:val="15A836F4"/>
    <w:rsid w:val="15AB3005"/>
    <w:rsid w:val="15BC3124"/>
    <w:rsid w:val="15C66D7D"/>
    <w:rsid w:val="15C850B1"/>
    <w:rsid w:val="15F74C5A"/>
    <w:rsid w:val="15F85A43"/>
    <w:rsid w:val="15FA24B6"/>
    <w:rsid w:val="15FB7C3D"/>
    <w:rsid w:val="161B61EB"/>
    <w:rsid w:val="163D0862"/>
    <w:rsid w:val="16932201"/>
    <w:rsid w:val="16935BEA"/>
    <w:rsid w:val="169646A7"/>
    <w:rsid w:val="169D0ED8"/>
    <w:rsid w:val="16A76214"/>
    <w:rsid w:val="16E979C6"/>
    <w:rsid w:val="16F37B0D"/>
    <w:rsid w:val="170548F4"/>
    <w:rsid w:val="174001C7"/>
    <w:rsid w:val="17417503"/>
    <w:rsid w:val="17496D84"/>
    <w:rsid w:val="174E2CAD"/>
    <w:rsid w:val="17522ED4"/>
    <w:rsid w:val="178648A8"/>
    <w:rsid w:val="178E24DD"/>
    <w:rsid w:val="1793491F"/>
    <w:rsid w:val="17A97592"/>
    <w:rsid w:val="17BE5480"/>
    <w:rsid w:val="17CB39ED"/>
    <w:rsid w:val="17CE3A24"/>
    <w:rsid w:val="180B55F1"/>
    <w:rsid w:val="1811107C"/>
    <w:rsid w:val="18135070"/>
    <w:rsid w:val="18266E5B"/>
    <w:rsid w:val="183F7C0F"/>
    <w:rsid w:val="184B48F4"/>
    <w:rsid w:val="187A4E7E"/>
    <w:rsid w:val="187B1937"/>
    <w:rsid w:val="187F650C"/>
    <w:rsid w:val="189171DE"/>
    <w:rsid w:val="18A328CC"/>
    <w:rsid w:val="18B824B5"/>
    <w:rsid w:val="18E76EB1"/>
    <w:rsid w:val="18E77AC1"/>
    <w:rsid w:val="18EB3C08"/>
    <w:rsid w:val="190232C0"/>
    <w:rsid w:val="19206F6D"/>
    <w:rsid w:val="1922461B"/>
    <w:rsid w:val="192632ED"/>
    <w:rsid w:val="1930573C"/>
    <w:rsid w:val="19395351"/>
    <w:rsid w:val="193F6188"/>
    <w:rsid w:val="196A09BA"/>
    <w:rsid w:val="19741AAD"/>
    <w:rsid w:val="197C1136"/>
    <w:rsid w:val="1A0C6226"/>
    <w:rsid w:val="1A1F4A81"/>
    <w:rsid w:val="1A212B85"/>
    <w:rsid w:val="1A456744"/>
    <w:rsid w:val="1A474348"/>
    <w:rsid w:val="1A5E1C59"/>
    <w:rsid w:val="1A862C63"/>
    <w:rsid w:val="1A8A68DE"/>
    <w:rsid w:val="1AA518F5"/>
    <w:rsid w:val="1AB23A8A"/>
    <w:rsid w:val="1AB42651"/>
    <w:rsid w:val="1AD14FFB"/>
    <w:rsid w:val="1ADF2334"/>
    <w:rsid w:val="1AF84DDC"/>
    <w:rsid w:val="1B1707D5"/>
    <w:rsid w:val="1B21757E"/>
    <w:rsid w:val="1B4F0257"/>
    <w:rsid w:val="1B576B72"/>
    <w:rsid w:val="1B843EF7"/>
    <w:rsid w:val="1B904B9B"/>
    <w:rsid w:val="1B95148F"/>
    <w:rsid w:val="1BA04336"/>
    <w:rsid w:val="1BDC06AF"/>
    <w:rsid w:val="1BE60757"/>
    <w:rsid w:val="1C186A38"/>
    <w:rsid w:val="1C2D5486"/>
    <w:rsid w:val="1C492209"/>
    <w:rsid w:val="1C581D0C"/>
    <w:rsid w:val="1C5F7614"/>
    <w:rsid w:val="1C6A7EB8"/>
    <w:rsid w:val="1C6F7772"/>
    <w:rsid w:val="1C8048E4"/>
    <w:rsid w:val="1C975071"/>
    <w:rsid w:val="1CA06721"/>
    <w:rsid w:val="1CAF217E"/>
    <w:rsid w:val="1CB16A0E"/>
    <w:rsid w:val="1CDC5838"/>
    <w:rsid w:val="1D1B5227"/>
    <w:rsid w:val="1D2553BF"/>
    <w:rsid w:val="1D3B3710"/>
    <w:rsid w:val="1D682795"/>
    <w:rsid w:val="1D6D367D"/>
    <w:rsid w:val="1D777203"/>
    <w:rsid w:val="1D8F444D"/>
    <w:rsid w:val="1D9073F6"/>
    <w:rsid w:val="1DAB7306"/>
    <w:rsid w:val="1DC70E25"/>
    <w:rsid w:val="1DE57361"/>
    <w:rsid w:val="1DE80843"/>
    <w:rsid w:val="1E0D1DEE"/>
    <w:rsid w:val="1E6E43B7"/>
    <w:rsid w:val="1E7939AA"/>
    <w:rsid w:val="1E9A0AF1"/>
    <w:rsid w:val="1EAF7E8E"/>
    <w:rsid w:val="1EBC2EB4"/>
    <w:rsid w:val="1EDE7954"/>
    <w:rsid w:val="1EF068EE"/>
    <w:rsid w:val="1F142094"/>
    <w:rsid w:val="1F1651FE"/>
    <w:rsid w:val="1F322DCE"/>
    <w:rsid w:val="1F3878BE"/>
    <w:rsid w:val="1F3A2332"/>
    <w:rsid w:val="1F487A87"/>
    <w:rsid w:val="1F4D50AD"/>
    <w:rsid w:val="1F8117D6"/>
    <w:rsid w:val="1F854CA0"/>
    <w:rsid w:val="1F966745"/>
    <w:rsid w:val="1FD738DC"/>
    <w:rsid w:val="2006234E"/>
    <w:rsid w:val="20083052"/>
    <w:rsid w:val="200A390B"/>
    <w:rsid w:val="20596192"/>
    <w:rsid w:val="205F0D19"/>
    <w:rsid w:val="20871FD6"/>
    <w:rsid w:val="209C7EA7"/>
    <w:rsid w:val="20AE7BE7"/>
    <w:rsid w:val="20B63864"/>
    <w:rsid w:val="20BD2592"/>
    <w:rsid w:val="20BE44FC"/>
    <w:rsid w:val="20C71A59"/>
    <w:rsid w:val="20F55DDB"/>
    <w:rsid w:val="21133941"/>
    <w:rsid w:val="212A6CB9"/>
    <w:rsid w:val="21512BF6"/>
    <w:rsid w:val="216B55F5"/>
    <w:rsid w:val="218E7346"/>
    <w:rsid w:val="219B1446"/>
    <w:rsid w:val="21B0608E"/>
    <w:rsid w:val="21B70825"/>
    <w:rsid w:val="21E2092A"/>
    <w:rsid w:val="21FA4934"/>
    <w:rsid w:val="21FC4AEF"/>
    <w:rsid w:val="2214626C"/>
    <w:rsid w:val="22347471"/>
    <w:rsid w:val="22446FA9"/>
    <w:rsid w:val="224B0094"/>
    <w:rsid w:val="224C5E6C"/>
    <w:rsid w:val="22893B74"/>
    <w:rsid w:val="230326C6"/>
    <w:rsid w:val="231F10F1"/>
    <w:rsid w:val="232459B5"/>
    <w:rsid w:val="233C7BF9"/>
    <w:rsid w:val="23510103"/>
    <w:rsid w:val="23814580"/>
    <w:rsid w:val="239D37CD"/>
    <w:rsid w:val="23B42BC6"/>
    <w:rsid w:val="23C34B5E"/>
    <w:rsid w:val="23C35C30"/>
    <w:rsid w:val="23DC0AA4"/>
    <w:rsid w:val="23E32BB3"/>
    <w:rsid w:val="23E7405F"/>
    <w:rsid w:val="23EE6260"/>
    <w:rsid w:val="242A22D5"/>
    <w:rsid w:val="244760C4"/>
    <w:rsid w:val="246951E8"/>
    <w:rsid w:val="246E70C6"/>
    <w:rsid w:val="2472609A"/>
    <w:rsid w:val="247E463A"/>
    <w:rsid w:val="24801A6A"/>
    <w:rsid w:val="248955A8"/>
    <w:rsid w:val="24AD076B"/>
    <w:rsid w:val="24C31C7A"/>
    <w:rsid w:val="24CF70E6"/>
    <w:rsid w:val="24E41F9F"/>
    <w:rsid w:val="24EE164A"/>
    <w:rsid w:val="250709D7"/>
    <w:rsid w:val="2535301F"/>
    <w:rsid w:val="25410195"/>
    <w:rsid w:val="255E53C7"/>
    <w:rsid w:val="2579321E"/>
    <w:rsid w:val="25847256"/>
    <w:rsid w:val="25866F2C"/>
    <w:rsid w:val="25A41CE1"/>
    <w:rsid w:val="25AA7F73"/>
    <w:rsid w:val="25B10115"/>
    <w:rsid w:val="25B478B1"/>
    <w:rsid w:val="25C016EE"/>
    <w:rsid w:val="25C47C5E"/>
    <w:rsid w:val="25CB5B73"/>
    <w:rsid w:val="260A65E4"/>
    <w:rsid w:val="26125A98"/>
    <w:rsid w:val="26146C5E"/>
    <w:rsid w:val="26171B6F"/>
    <w:rsid w:val="26290B71"/>
    <w:rsid w:val="26746D14"/>
    <w:rsid w:val="26795D76"/>
    <w:rsid w:val="26942464"/>
    <w:rsid w:val="26AC45FC"/>
    <w:rsid w:val="26BF4161"/>
    <w:rsid w:val="26DE1346"/>
    <w:rsid w:val="26DF0C06"/>
    <w:rsid w:val="26E455A0"/>
    <w:rsid w:val="26EB3EBC"/>
    <w:rsid w:val="26FA67D0"/>
    <w:rsid w:val="273A69A0"/>
    <w:rsid w:val="276D18EC"/>
    <w:rsid w:val="27833035"/>
    <w:rsid w:val="278F296A"/>
    <w:rsid w:val="27952A05"/>
    <w:rsid w:val="279A72ED"/>
    <w:rsid w:val="279C315A"/>
    <w:rsid w:val="27B103D2"/>
    <w:rsid w:val="27DC3C60"/>
    <w:rsid w:val="27DC4D54"/>
    <w:rsid w:val="27DD4F57"/>
    <w:rsid w:val="27DE59C8"/>
    <w:rsid w:val="28005F8C"/>
    <w:rsid w:val="280310D9"/>
    <w:rsid w:val="28032FC3"/>
    <w:rsid w:val="28440FCA"/>
    <w:rsid w:val="285955EF"/>
    <w:rsid w:val="285F2A2A"/>
    <w:rsid w:val="289E4CE4"/>
    <w:rsid w:val="28A22EF7"/>
    <w:rsid w:val="28BF5C29"/>
    <w:rsid w:val="28C61F13"/>
    <w:rsid w:val="28C92E03"/>
    <w:rsid w:val="28CF680C"/>
    <w:rsid w:val="29083F00"/>
    <w:rsid w:val="29363CA1"/>
    <w:rsid w:val="294137A2"/>
    <w:rsid w:val="29573AC1"/>
    <w:rsid w:val="2978473A"/>
    <w:rsid w:val="297A060D"/>
    <w:rsid w:val="297C28FB"/>
    <w:rsid w:val="297D3AD7"/>
    <w:rsid w:val="29AE07E9"/>
    <w:rsid w:val="29C3438D"/>
    <w:rsid w:val="29C83A93"/>
    <w:rsid w:val="29CA2F97"/>
    <w:rsid w:val="29DD62E6"/>
    <w:rsid w:val="29DE5FF8"/>
    <w:rsid w:val="2A02177D"/>
    <w:rsid w:val="2A3B21ED"/>
    <w:rsid w:val="2A576353"/>
    <w:rsid w:val="2A604C14"/>
    <w:rsid w:val="2A654AC4"/>
    <w:rsid w:val="2A890B19"/>
    <w:rsid w:val="2A962BA9"/>
    <w:rsid w:val="2AA53AE6"/>
    <w:rsid w:val="2AA763F9"/>
    <w:rsid w:val="2ABA519B"/>
    <w:rsid w:val="2AD37AA5"/>
    <w:rsid w:val="2AE27AFA"/>
    <w:rsid w:val="2AFA0717"/>
    <w:rsid w:val="2AFA5374"/>
    <w:rsid w:val="2AFF6153"/>
    <w:rsid w:val="2B084AB7"/>
    <w:rsid w:val="2B336EBA"/>
    <w:rsid w:val="2B3A59B3"/>
    <w:rsid w:val="2B5E4CD2"/>
    <w:rsid w:val="2B7A0F8E"/>
    <w:rsid w:val="2B8354EB"/>
    <w:rsid w:val="2B88624E"/>
    <w:rsid w:val="2B8A13A4"/>
    <w:rsid w:val="2BCF1947"/>
    <w:rsid w:val="2BD01DBA"/>
    <w:rsid w:val="2BE240B0"/>
    <w:rsid w:val="2BE94639"/>
    <w:rsid w:val="2BFF2DBD"/>
    <w:rsid w:val="2C1F076B"/>
    <w:rsid w:val="2C27483A"/>
    <w:rsid w:val="2C2B6576"/>
    <w:rsid w:val="2C44600B"/>
    <w:rsid w:val="2C52544F"/>
    <w:rsid w:val="2C611208"/>
    <w:rsid w:val="2C6F23AC"/>
    <w:rsid w:val="2C877179"/>
    <w:rsid w:val="2C8F7F51"/>
    <w:rsid w:val="2C9B46AE"/>
    <w:rsid w:val="2CA36A3C"/>
    <w:rsid w:val="2CAE068D"/>
    <w:rsid w:val="2CCA1D08"/>
    <w:rsid w:val="2CF6246F"/>
    <w:rsid w:val="2D1C7330"/>
    <w:rsid w:val="2D6206D1"/>
    <w:rsid w:val="2D7C4F58"/>
    <w:rsid w:val="2D9F21FB"/>
    <w:rsid w:val="2DBB6FA6"/>
    <w:rsid w:val="2DD236B2"/>
    <w:rsid w:val="2E033867"/>
    <w:rsid w:val="2E0A007B"/>
    <w:rsid w:val="2E144D73"/>
    <w:rsid w:val="2E17449B"/>
    <w:rsid w:val="2E194E64"/>
    <w:rsid w:val="2E240E52"/>
    <w:rsid w:val="2E46595E"/>
    <w:rsid w:val="2E4F51D9"/>
    <w:rsid w:val="2E536AE5"/>
    <w:rsid w:val="2E88496A"/>
    <w:rsid w:val="2EB20716"/>
    <w:rsid w:val="2ECB0BB3"/>
    <w:rsid w:val="2ED10DCA"/>
    <w:rsid w:val="2F0E7C78"/>
    <w:rsid w:val="2F17183F"/>
    <w:rsid w:val="2F2029ED"/>
    <w:rsid w:val="2F4242F0"/>
    <w:rsid w:val="2F484DC0"/>
    <w:rsid w:val="2F6C637C"/>
    <w:rsid w:val="2F7425BA"/>
    <w:rsid w:val="2F8663B7"/>
    <w:rsid w:val="2FA400DF"/>
    <w:rsid w:val="2FAF6333"/>
    <w:rsid w:val="2FD80A51"/>
    <w:rsid w:val="2FDD7022"/>
    <w:rsid w:val="2FF06AE3"/>
    <w:rsid w:val="2FF56538"/>
    <w:rsid w:val="2FF94FEF"/>
    <w:rsid w:val="300F0838"/>
    <w:rsid w:val="300F1B62"/>
    <w:rsid w:val="30105C96"/>
    <w:rsid w:val="303E3931"/>
    <w:rsid w:val="3044056B"/>
    <w:rsid w:val="30615BA9"/>
    <w:rsid w:val="3091125D"/>
    <w:rsid w:val="30923FD2"/>
    <w:rsid w:val="30AD141E"/>
    <w:rsid w:val="30C22E0E"/>
    <w:rsid w:val="310254B3"/>
    <w:rsid w:val="3123731A"/>
    <w:rsid w:val="31441803"/>
    <w:rsid w:val="316F2BEF"/>
    <w:rsid w:val="31773287"/>
    <w:rsid w:val="3180471A"/>
    <w:rsid w:val="318115B7"/>
    <w:rsid w:val="31814360"/>
    <w:rsid w:val="318269EE"/>
    <w:rsid w:val="31A6571C"/>
    <w:rsid w:val="31A85571"/>
    <w:rsid w:val="31B75BC5"/>
    <w:rsid w:val="31D7487B"/>
    <w:rsid w:val="320831A7"/>
    <w:rsid w:val="320D00DC"/>
    <w:rsid w:val="32130E88"/>
    <w:rsid w:val="322D126E"/>
    <w:rsid w:val="32310EFF"/>
    <w:rsid w:val="323F1671"/>
    <w:rsid w:val="324834D0"/>
    <w:rsid w:val="324C2D4D"/>
    <w:rsid w:val="324E06B7"/>
    <w:rsid w:val="326F1CC2"/>
    <w:rsid w:val="32704FAA"/>
    <w:rsid w:val="3271036A"/>
    <w:rsid w:val="328B70EF"/>
    <w:rsid w:val="32972159"/>
    <w:rsid w:val="32985625"/>
    <w:rsid w:val="32B34FFC"/>
    <w:rsid w:val="32E7697E"/>
    <w:rsid w:val="33047647"/>
    <w:rsid w:val="33083753"/>
    <w:rsid w:val="33161AFD"/>
    <w:rsid w:val="33284BA5"/>
    <w:rsid w:val="336C37AD"/>
    <w:rsid w:val="337204F4"/>
    <w:rsid w:val="338024EA"/>
    <w:rsid w:val="339E22CC"/>
    <w:rsid w:val="33A20E09"/>
    <w:rsid w:val="33AA0DA1"/>
    <w:rsid w:val="33AA4F1F"/>
    <w:rsid w:val="33CA20CB"/>
    <w:rsid w:val="33DA1E4D"/>
    <w:rsid w:val="33E01370"/>
    <w:rsid w:val="33E57FC9"/>
    <w:rsid w:val="33E947AF"/>
    <w:rsid w:val="33E94CD7"/>
    <w:rsid w:val="34086972"/>
    <w:rsid w:val="34092B00"/>
    <w:rsid w:val="340C2F6C"/>
    <w:rsid w:val="341A3B90"/>
    <w:rsid w:val="342530C6"/>
    <w:rsid w:val="34487ACB"/>
    <w:rsid w:val="347162F6"/>
    <w:rsid w:val="34827BD4"/>
    <w:rsid w:val="34894BE6"/>
    <w:rsid w:val="348E0F50"/>
    <w:rsid w:val="348E390E"/>
    <w:rsid w:val="349E33D7"/>
    <w:rsid w:val="34B92450"/>
    <w:rsid w:val="34CA681E"/>
    <w:rsid w:val="34CF22CD"/>
    <w:rsid w:val="35077BEE"/>
    <w:rsid w:val="351962B2"/>
    <w:rsid w:val="35362E88"/>
    <w:rsid w:val="355A302C"/>
    <w:rsid w:val="356035AE"/>
    <w:rsid w:val="356B4BAE"/>
    <w:rsid w:val="357871E4"/>
    <w:rsid w:val="35A711FE"/>
    <w:rsid w:val="35DA3D25"/>
    <w:rsid w:val="35FA4C33"/>
    <w:rsid w:val="3609365F"/>
    <w:rsid w:val="360E10EC"/>
    <w:rsid w:val="361D5391"/>
    <w:rsid w:val="36213E8A"/>
    <w:rsid w:val="364D0223"/>
    <w:rsid w:val="36AF61C1"/>
    <w:rsid w:val="36C63E63"/>
    <w:rsid w:val="36CA1050"/>
    <w:rsid w:val="36E01492"/>
    <w:rsid w:val="36E17C86"/>
    <w:rsid w:val="36E2721B"/>
    <w:rsid w:val="36EA64D6"/>
    <w:rsid w:val="37030FE4"/>
    <w:rsid w:val="3704738C"/>
    <w:rsid w:val="37222105"/>
    <w:rsid w:val="374A0C46"/>
    <w:rsid w:val="37D070D2"/>
    <w:rsid w:val="37DB4EB2"/>
    <w:rsid w:val="37DC07FA"/>
    <w:rsid w:val="37F31815"/>
    <w:rsid w:val="37FC21A4"/>
    <w:rsid w:val="380940A5"/>
    <w:rsid w:val="38361429"/>
    <w:rsid w:val="38431F05"/>
    <w:rsid w:val="384B65DB"/>
    <w:rsid w:val="384C0B02"/>
    <w:rsid w:val="385E351D"/>
    <w:rsid w:val="38605C0F"/>
    <w:rsid w:val="38675673"/>
    <w:rsid w:val="38955891"/>
    <w:rsid w:val="389A1043"/>
    <w:rsid w:val="38DB5355"/>
    <w:rsid w:val="390811DC"/>
    <w:rsid w:val="3964335F"/>
    <w:rsid w:val="396475D3"/>
    <w:rsid w:val="39793B41"/>
    <w:rsid w:val="397A373C"/>
    <w:rsid w:val="398340D2"/>
    <w:rsid w:val="39C434D0"/>
    <w:rsid w:val="39DD054D"/>
    <w:rsid w:val="3A095087"/>
    <w:rsid w:val="3A0C6BC1"/>
    <w:rsid w:val="3A2D0D0F"/>
    <w:rsid w:val="3A3C461B"/>
    <w:rsid w:val="3A4E483B"/>
    <w:rsid w:val="3A723904"/>
    <w:rsid w:val="3A730CA2"/>
    <w:rsid w:val="3A766001"/>
    <w:rsid w:val="3A7A4256"/>
    <w:rsid w:val="3A8D6630"/>
    <w:rsid w:val="3A934784"/>
    <w:rsid w:val="3A9C2A11"/>
    <w:rsid w:val="3A9E65FE"/>
    <w:rsid w:val="3AB2271E"/>
    <w:rsid w:val="3ACB4178"/>
    <w:rsid w:val="3AF21FB6"/>
    <w:rsid w:val="3B085CF4"/>
    <w:rsid w:val="3B2F5B11"/>
    <w:rsid w:val="3B3C5667"/>
    <w:rsid w:val="3B3C75B1"/>
    <w:rsid w:val="3B602A54"/>
    <w:rsid w:val="3B792110"/>
    <w:rsid w:val="3B7D6EA3"/>
    <w:rsid w:val="3BA83CBF"/>
    <w:rsid w:val="3BB01C55"/>
    <w:rsid w:val="3BD84726"/>
    <w:rsid w:val="3C2911FB"/>
    <w:rsid w:val="3C2D2972"/>
    <w:rsid w:val="3C6C0773"/>
    <w:rsid w:val="3C793A16"/>
    <w:rsid w:val="3C7A04BF"/>
    <w:rsid w:val="3C883F13"/>
    <w:rsid w:val="3C9F192B"/>
    <w:rsid w:val="3CDA6064"/>
    <w:rsid w:val="3CED7585"/>
    <w:rsid w:val="3CF61BD0"/>
    <w:rsid w:val="3D183852"/>
    <w:rsid w:val="3D190C9E"/>
    <w:rsid w:val="3D2A789B"/>
    <w:rsid w:val="3D307EB8"/>
    <w:rsid w:val="3D5D40AF"/>
    <w:rsid w:val="3D662831"/>
    <w:rsid w:val="3D972621"/>
    <w:rsid w:val="3DB3007A"/>
    <w:rsid w:val="3DB723FC"/>
    <w:rsid w:val="3DD16AF6"/>
    <w:rsid w:val="3DD50E6F"/>
    <w:rsid w:val="3DDC0B3F"/>
    <w:rsid w:val="3DDC23CD"/>
    <w:rsid w:val="3DEA5864"/>
    <w:rsid w:val="3DF243B3"/>
    <w:rsid w:val="3E0E728F"/>
    <w:rsid w:val="3E112406"/>
    <w:rsid w:val="3E2516D8"/>
    <w:rsid w:val="3E255805"/>
    <w:rsid w:val="3E3500B7"/>
    <w:rsid w:val="3E4E472D"/>
    <w:rsid w:val="3E6834B9"/>
    <w:rsid w:val="3E6919CE"/>
    <w:rsid w:val="3E7C3192"/>
    <w:rsid w:val="3E865D14"/>
    <w:rsid w:val="3EC50A8B"/>
    <w:rsid w:val="3ECB5D1F"/>
    <w:rsid w:val="3EF25620"/>
    <w:rsid w:val="3F0D45F3"/>
    <w:rsid w:val="3F3131BE"/>
    <w:rsid w:val="3F3F7420"/>
    <w:rsid w:val="3F40749A"/>
    <w:rsid w:val="3F494595"/>
    <w:rsid w:val="3F5F4CCF"/>
    <w:rsid w:val="3F691783"/>
    <w:rsid w:val="3F7B2282"/>
    <w:rsid w:val="3FB30217"/>
    <w:rsid w:val="3FBB11C5"/>
    <w:rsid w:val="3FC343B9"/>
    <w:rsid w:val="3FEC5FE8"/>
    <w:rsid w:val="40014BD7"/>
    <w:rsid w:val="40284B68"/>
    <w:rsid w:val="402F3541"/>
    <w:rsid w:val="40300FD4"/>
    <w:rsid w:val="403236BA"/>
    <w:rsid w:val="403902C6"/>
    <w:rsid w:val="403F1759"/>
    <w:rsid w:val="40795DF3"/>
    <w:rsid w:val="40BE1389"/>
    <w:rsid w:val="40EE048B"/>
    <w:rsid w:val="40F15579"/>
    <w:rsid w:val="40F57469"/>
    <w:rsid w:val="410E236C"/>
    <w:rsid w:val="41265127"/>
    <w:rsid w:val="4133561C"/>
    <w:rsid w:val="413C43E5"/>
    <w:rsid w:val="415657AD"/>
    <w:rsid w:val="416D2B62"/>
    <w:rsid w:val="41771512"/>
    <w:rsid w:val="4178708B"/>
    <w:rsid w:val="41851EC9"/>
    <w:rsid w:val="41904A70"/>
    <w:rsid w:val="41EE21E8"/>
    <w:rsid w:val="42080B28"/>
    <w:rsid w:val="420F146B"/>
    <w:rsid w:val="420F6BBF"/>
    <w:rsid w:val="422A4E6A"/>
    <w:rsid w:val="42C9519A"/>
    <w:rsid w:val="42FA15F0"/>
    <w:rsid w:val="431B5D4C"/>
    <w:rsid w:val="43335817"/>
    <w:rsid w:val="433821EA"/>
    <w:rsid w:val="433F48FD"/>
    <w:rsid w:val="434635C6"/>
    <w:rsid w:val="434C38CA"/>
    <w:rsid w:val="437665D8"/>
    <w:rsid w:val="438C19B4"/>
    <w:rsid w:val="43921219"/>
    <w:rsid w:val="43921663"/>
    <w:rsid w:val="439A1E0E"/>
    <w:rsid w:val="43B86243"/>
    <w:rsid w:val="43E57EC3"/>
    <w:rsid w:val="4414155A"/>
    <w:rsid w:val="44240A76"/>
    <w:rsid w:val="44243B57"/>
    <w:rsid w:val="44285328"/>
    <w:rsid w:val="445D4EEE"/>
    <w:rsid w:val="44683F9A"/>
    <w:rsid w:val="44790741"/>
    <w:rsid w:val="449F6260"/>
    <w:rsid w:val="44AA140B"/>
    <w:rsid w:val="44AE7054"/>
    <w:rsid w:val="44D8489E"/>
    <w:rsid w:val="44DD2C36"/>
    <w:rsid w:val="44E42189"/>
    <w:rsid w:val="44E63B36"/>
    <w:rsid w:val="44E81F7A"/>
    <w:rsid w:val="45037ADE"/>
    <w:rsid w:val="45051456"/>
    <w:rsid w:val="45102ACA"/>
    <w:rsid w:val="4534729F"/>
    <w:rsid w:val="453C2511"/>
    <w:rsid w:val="45570C5E"/>
    <w:rsid w:val="45595582"/>
    <w:rsid w:val="458A5234"/>
    <w:rsid w:val="45940353"/>
    <w:rsid w:val="45C707E7"/>
    <w:rsid w:val="45EF1287"/>
    <w:rsid w:val="45F22F9C"/>
    <w:rsid w:val="460D577D"/>
    <w:rsid w:val="461B338B"/>
    <w:rsid w:val="46565D9F"/>
    <w:rsid w:val="467D2180"/>
    <w:rsid w:val="46842777"/>
    <w:rsid w:val="46977ECC"/>
    <w:rsid w:val="469E18B6"/>
    <w:rsid w:val="46AE01DF"/>
    <w:rsid w:val="46CB5794"/>
    <w:rsid w:val="46CE4C51"/>
    <w:rsid w:val="46DE0CB6"/>
    <w:rsid w:val="46E64178"/>
    <w:rsid w:val="46EC44A6"/>
    <w:rsid w:val="46FE6F3F"/>
    <w:rsid w:val="4708025C"/>
    <w:rsid w:val="4772178C"/>
    <w:rsid w:val="47776750"/>
    <w:rsid w:val="47872644"/>
    <w:rsid w:val="479C6E1E"/>
    <w:rsid w:val="47AB188A"/>
    <w:rsid w:val="47AD3D6D"/>
    <w:rsid w:val="47B81AB5"/>
    <w:rsid w:val="47D07020"/>
    <w:rsid w:val="47F060A4"/>
    <w:rsid w:val="4829731A"/>
    <w:rsid w:val="483150B1"/>
    <w:rsid w:val="48690643"/>
    <w:rsid w:val="48846BA6"/>
    <w:rsid w:val="489E3ADC"/>
    <w:rsid w:val="48AC7739"/>
    <w:rsid w:val="48B44685"/>
    <w:rsid w:val="48C73664"/>
    <w:rsid w:val="48DD2A4B"/>
    <w:rsid w:val="48F83C2C"/>
    <w:rsid w:val="491129BB"/>
    <w:rsid w:val="4913061A"/>
    <w:rsid w:val="491F7235"/>
    <w:rsid w:val="49211C67"/>
    <w:rsid w:val="49256537"/>
    <w:rsid w:val="492D6994"/>
    <w:rsid w:val="49420981"/>
    <w:rsid w:val="497109EF"/>
    <w:rsid w:val="498D334D"/>
    <w:rsid w:val="499462E3"/>
    <w:rsid w:val="499464E5"/>
    <w:rsid w:val="49C23108"/>
    <w:rsid w:val="49CE7624"/>
    <w:rsid w:val="49EE5BEF"/>
    <w:rsid w:val="49FC79CF"/>
    <w:rsid w:val="4A01056E"/>
    <w:rsid w:val="4A07754C"/>
    <w:rsid w:val="4A107A80"/>
    <w:rsid w:val="4A2F6602"/>
    <w:rsid w:val="4A3A2314"/>
    <w:rsid w:val="4A444F53"/>
    <w:rsid w:val="4A573752"/>
    <w:rsid w:val="4A675977"/>
    <w:rsid w:val="4A7B28E5"/>
    <w:rsid w:val="4A7E27AC"/>
    <w:rsid w:val="4A9A492E"/>
    <w:rsid w:val="4AB92405"/>
    <w:rsid w:val="4AE72891"/>
    <w:rsid w:val="4B204E94"/>
    <w:rsid w:val="4B4256EB"/>
    <w:rsid w:val="4B8D52C1"/>
    <w:rsid w:val="4BA40333"/>
    <w:rsid w:val="4BA459D7"/>
    <w:rsid w:val="4BB01C74"/>
    <w:rsid w:val="4BC16D70"/>
    <w:rsid w:val="4BC3380D"/>
    <w:rsid w:val="4BFD15E4"/>
    <w:rsid w:val="4C104E64"/>
    <w:rsid w:val="4C150EB3"/>
    <w:rsid w:val="4C2D3271"/>
    <w:rsid w:val="4C441C7A"/>
    <w:rsid w:val="4C4E2067"/>
    <w:rsid w:val="4C5B2BFB"/>
    <w:rsid w:val="4C6D6F98"/>
    <w:rsid w:val="4C772818"/>
    <w:rsid w:val="4C970E6C"/>
    <w:rsid w:val="4CAB0060"/>
    <w:rsid w:val="4CB901DA"/>
    <w:rsid w:val="4CC27BF1"/>
    <w:rsid w:val="4D1C3D15"/>
    <w:rsid w:val="4D2672D0"/>
    <w:rsid w:val="4D34519D"/>
    <w:rsid w:val="4D3F3170"/>
    <w:rsid w:val="4D4802D8"/>
    <w:rsid w:val="4D5525B1"/>
    <w:rsid w:val="4D692F63"/>
    <w:rsid w:val="4D724516"/>
    <w:rsid w:val="4D7F3C08"/>
    <w:rsid w:val="4D8A3572"/>
    <w:rsid w:val="4D8A5B27"/>
    <w:rsid w:val="4D913549"/>
    <w:rsid w:val="4D955073"/>
    <w:rsid w:val="4D9D6A32"/>
    <w:rsid w:val="4DA1245D"/>
    <w:rsid w:val="4DBD507B"/>
    <w:rsid w:val="4DCA5887"/>
    <w:rsid w:val="4DF00801"/>
    <w:rsid w:val="4DF75C20"/>
    <w:rsid w:val="4E492004"/>
    <w:rsid w:val="4E4A4897"/>
    <w:rsid w:val="4E537E84"/>
    <w:rsid w:val="4E5D38EB"/>
    <w:rsid w:val="4E6C6ECA"/>
    <w:rsid w:val="4E93490C"/>
    <w:rsid w:val="4E9974EE"/>
    <w:rsid w:val="4EA20C7D"/>
    <w:rsid w:val="4EA2238B"/>
    <w:rsid w:val="4EAB0F98"/>
    <w:rsid w:val="4EB3008C"/>
    <w:rsid w:val="4EB351B6"/>
    <w:rsid w:val="4ECD39B0"/>
    <w:rsid w:val="4EEB385C"/>
    <w:rsid w:val="4EF66275"/>
    <w:rsid w:val="4F0745F8"/>
    <w:rsid w:val="4F4833D9"/>
    <w:rsid w:val="4F4A5CD5"/>
    <w:rsid w:val="4F677866"/>
    <w:rsid w:val="4F7C173A"/>
    <w:rsid w:val="4F8F582C"/>
    <w:rsid w:val="4FA4772A"/>
    <w:rsid w:val="4FAC4E62"/>
    <w:rsid w:val="4FF629D9"/>
    <w:rsid w:val="500712F4"/>
    <w:rsid w:val="502E13BC"/>
    <w:rsid w:val="50340BDD"/>
    <w:rsid w:val="503811BE"/>
    <w:rsid w:val="504408FD"/>
    <w:rsid w:val="504B10C3"/>
    <w:rsid w:val="5057415D"/>
    <w:rsid w:val="507C20F1"/>
    <w:rsid w:val="5099512D"/>
    <w:rsid w:val="50BC550F"/>
    <w:rsid w:val="50FA0A7C"/>
    <w:rsid w:val="50FC4C9B"/>
    <w:rsid w:val="512C393A"/>
    <w:rsid w:val="51407E57"/>
    <w:rsid w:val="518101CE"/>
    <w:rsid w:val="51AC1368"/>
    <w:rsid w:val="51B026FD"/>
    <w:rsid w:val="51B61CC2"/>
    <w:rsid w:val="51BD2FA5"/>
    <w:rsid w:val="51CE4D60"/>
    <w:rsid w:val="51D23365"/>
    <w:rsid w:val="51E0790D"/>
    <w:rsid w:val="51F70286"/>
    <w:rsid w:val="52133D3E"/>
    <w:rsid w:val="521F6986"/>
    <w:rsid w:val="52205A6B"/>
    <w:rsid w:val="52434056"/>
    <w:rsid w:val="52490E66"/>
    <w:rsid w:val="52680D43"/>
    <w:rsid w:val="52763890"/>
    <w:rsid w:val="52822BA6"/>
    <w:rsid w:val="52A8615E"/>
    <w:rsid w:val="52B7108F"/>
    <w:rsid w:val="52B844A1"/>
    <w:rsid w:val="531277FD"/>
    <w:rsid w:val="532760E3"/>
    <w:rsid w:val="53326730"/>
    <w:rsid w:val="5340068B"/>
    <w:rsid w:val="53436AE4"/>
    <w:rsid w:val="535656B1"/>
    <w:rsid w:val="535F3ABD"/>
    <w:rsid w:val="53717C57"/>
    <w:rsid w:val="537F7B73"/>
    <w:rsid w:val="53BE299B"/>
    <w:rsid w:val="53BF7775"/>
    <w:rsid w:val="53C24810"/>
    <w:rsid w:val="53D24F08"/>
    <w:rsid w:val="53D77CFC"/>
    <w:rsid w:val="53DB1FAB"/>
    <w:rsid w:val="53DB24F3"/>
    <w:rsid w:val="53E66897"/>
    <w:rsid w:val="53F51DFF"/>
    <w:rsid w:val="54166896"/>
    <w:rsid w:val="54242C30"/>
    <w:rsid w:val="54461E20"/>
    <w:rsid w:val="54467CD5"/>
    <w:rsid w:val="54484919"/>
    <w:rsid w:val="5462088F"/>
    <w:rsid w:val="546A18BC"/>
    <w:rsid w:val="547230FD"/>
    <w:rsid w:val="549235D8"/>
    <w:rsid w:val="5492430B"/>
    <w:rsid w:val="549776CC"/>
    <w:rsid w:val="54B20830"/>
    <w:rsid w:val="54BE7FC7"/>
    <w:rsid w:val="54CC7B87"/>
    <w:rsid w:val="54D432A3"/>
    <w:rsid w:val="54D66891"/>
    <w:rsid w:val="54E35D1D"/>
    <w:rsid w:val="54EB2732"/>
    <w:rsid w:val="54EC6FD0"/>
    <w:rsid w:val="552D061B"/>
    <w:rsid w:val="55506CB4"/>
    <w:rsid w:val="55997CD0"/>
    <w:rsid w:val="55AD7EF0"/>
    <w:rsid w:val="55DF1C70"/>
    <w:rsid w:val="55FD3DE5"/>
    <w:rsid w:val="560B2A63"/>
    <w:rsid w:val="562F4C93"/>
    <w:rsid w:val="563453DE"/>
    <w:rsid w:val="563F58A0"/>
    <w:rsid w:val="565613FB"/>
    <w:rsid w:val="56603C9B"/>
    <w:rsid w:val="566901E2"/>
    <w:rsid w:val="5684329A"/>
    <w:rsid w:val="56866DDF"/>
    <w:rsid w:val="56A54004"/>
    <w:rsid w:val="56FB7796"/>
    <w:rsid w:val="570A789C"/>
    <w:rsid w:val="57273CDE"/>
    <w:rsid w:val="573B1DEC"/>
    <w:rsid w:val="5767084A"/>
    <w:rsid w:val="57675486"/>
    <w:rsid w:val="576D181D"/>
    <w:rsid w:val="577E0195"/>
    <w:rsid w:val="579B080E"/>
    <w:rsid w:val="57E8419F"/>
    <w:rsid w:val="57EB1663"/>
    <w:rsid w:val="57F40803"/>
    <w:rsid w:val="57F63B81"/>
    <w:rsid w:val="57FC5DA1"/>
    <w:rsid w:val="580644E2"/>
    <w:rsid w:val="58072F49"/>
    <w:rsid w:val="581C6513"/>
    <w:rsid w:val="581F76F5"/>
    <w:rsid w:val="588D708F"/>
    <w:rsid w:val="58AF1D16"/>
    <w:rsid w:val="58D66337"/>
    <w:rsid w:val="59084B2C"/>
    <w:rsid w:val="59170AC5"/>
    <w:rsid w:val="592C4027"/>
    <w:rsid w:val="595D5FF2"/>
    <w:rsid w:val="59733355"/>
    <w:rsid w:val="597D2AC4"/>
    <w:rsid w:val="59EE3A67"/>
    <w:rsid w:val="5A1E5267"/>
    <w:rsid w:val="5A283C86"/>
    <w:rsid w:val="5A307CDA"/>
    <w:rsid w:val="5A611B69"/>
    <w:rsid w:val="5A90170F"/>
    <w:rsid w:val="5AAA4A92"/>
    <w:rsid w:val="5AD35354"/>
    <w:rsid w:val="5AD61FCC"/>
    <w:rsid w:val="5AE25BFD"/>
    <w:rsid w:val="5AE3426C"/>
    <w:rsid w:val="5AF24597"/>
    <w:rsid w:val="5B171BF0"/>
    <w:rsid w:val="5B1F2037"/>
    <w:rsid w:val="5B354342"/>
    <w:rsid w:val="5B381D57"/>
    <w:rsid w:val="5B40123C"/>
    <w:rsid w:val="5B745A01"/>
    <w:rsid w:val="5B815974"/>
    <w:rsid w:val="5B87770D"/>
    <w:rsid w:val="5BA84372"/>
    <w:rsid w:val="5BB91435"/>
    <w:rsid w:val="5BBC3ADF"/>
    <w:rsid w:val="5BBC78E8"/>
    <w:rsid w:val="5BD33D6F"/>
    <w:rsid w:val="5C1924BC"/>
    <w:rsid w:val="5C2D5CF3"/>
    <w:rsid w:val="5C345FBC"/>
    <w:rsid w:val="5C417D56"/>
    <w:rsid w:val="5C434B19"/>
    <w:rsid w:val="5C7B2626"/>
    <w:rsid w:val="5C8753B8"/>
    <w:rsid w:val="5C8B302E"/>
    <w:rsid w:val="5C9246CF"/>
    <w:rsid w:val="5CA507C3"/>
    <w:rsid w:val="5CA635B0"/>
    <w:rsid w:val="5CA70DC2"/>
    <w:rsid w:val="5CE51295"/>
    <w:rsid w:val="5D030937"/>
    <w:rsid w:val="5D0C50BA"/>
    <w:rsid w:val="5D143A15"/>
    <w:rsid w:val="5D642F90"/>
    <w:rsid w:val="5D684DDB"/>
    <w:rsid w:val="5D706776"/>
    <w:rsid w:val="5D786FA9"/>
    <w:rsid w:val="5D872A8C"/>
    <w:rsid w:val="5D9C040A"/>
    <w:rsid w:val="5DC64E65"/>
    <w:rsid w:val="5DDA2135"/>
    <w:rsid w:val="5DDA7962"/>
    <w:rsid w:val="5DF67486"/>
    <w:rsid w:val="5E0A0A81"/>
    <w:rsid w:val="5E221AE7"/>
    <w:rsid w:val="5E295086"/>
    <w:rsid w:val="5E296536"/>
    <w:rsid w:val="5E351D04"/>
    <w:rsid w:val="5E4664A1"/>
    <w:rsid w:val="5E490A33"/>
    <w:rsid w:val="5E725AA4"/>
    <w:rsid w:val="5E7C7B26"/>
    <w:rsid w:val="5EB76128"/>
    <w:rsid w:val="5EEC01A5"/>
    <w:rsid w:val="5F0A4E0E"/>
    <w:rsid w:val="5F12377E"/>
    <w:rsid w:val="5F27742B"/>
    <w:rsid w:val="5F392770"/>
    <w:rsid w:val="5F5A0902"/>
    <w:rsid w:val="5F610162"/>
    <w:rsid w:val="5F6419B5"/>
    <w:rsid w:val="5FA4213E"/>
    <w:rsid w:val="5FBF68AA"/>
    <w:rsid w:val="5FCD396F"/>
    <w:rsid w:val="5FFC5FF3"/>
    <w:rsid w:val="600F6D19"/>
    <w:rsid w:val="601B05A0"/>
    <w:rsid w:val="60296118"/>
    <w:rsid w:val="602C1428"/>
    <w:rsid w:val="605B212C"/>
    <w:rsid w:val="609A3F65"/>
    <w:rsid w:val="60B36BFC"/>
    <w:rsid w:val="60C06C2F"/>
    <w:rsid w:val="61127E60"/>
    <w:rsid w:val="613C402E"/>
    <w:rsid w:val="61433F64"/>
    <w:rsid w:val="616E192D"/>
    <w:rsid w:val="6173615D"/>
    <w:rsid w:val="6178693A"/>
    <w:rsid w:val="6184173A"/>
    <w:rsid w:val="61851C5D"/>
    <w:rsid w:val="6187546E"/>
    <w:rsid w:val="61A41D3E"/>
    <w:rsid w:val="61BB3567"/>
    <w:rsid w:val="61C55D09"/>
    <w:rsid w:val="61D3727D"/>
    <w:rsid w:val="61D858AC"/>
    <w:rsid w:val="620B3555"/>
    <w:rsid w:val="623A71AE"/>
    <w:rsid w:val="629D2268"/>
    <w:rsid w:val="62A3410F"/>
    <w:rsid w:val="62B102AC"/>
    <w:rsid w:val="62C11E9D"/>
    <w:rsid w:val="62C21243"/>
    <w:rsid w:val="62D03209"/>
    <w:rsid w:val="62E23370"/>
    <w:rsid w:val="62E546E1"/>
    <w:rsid w:val="62EE4DF0"/>
    <w:rsid w:val="62EF3BCA"/>
    <w:rsid w:val="62FC7CB8"/>
    <w:rsid w:val="630162BD"/>
    <w:rsid w:val="630E4B70"/>
    <w:rsid w:val="632335C7"/>
    <w:rsid w:val="63495B44"/>
    <w:rsid w:val="635953B3"/>
    <w:rsid w:val="636860DF"/>
    <w:rsid w:val="63730790"/>
    <w:rsid w:val="637536FD"/>
    <w:rsid w:val="63AF5CAD"/>
    <w:rsid w:val="63C20EA0"/>
    <w:rsid w:val="63D141BD"/>
    <w:rsid w:val="63E55721"/>
    <w:rsid w:val="63F270C6"/>
    <w:rsid w:val="63F805D2"/>
    <w:rsid w:val="63FF32F4"/>
    <w:rsid w:val="6423336C"/>
    <w:rsid w:val="64436735"/>
    <w:rsid w:val="646531B1"/>
    <w:rsid w:val="646F0BCA"/>
    <w:rsid w:val="64730113"/>
    <w:rsid w:val="648A12AB"/>
    <w:rsid w:val="648E5FF0"/>
    <w:rsid w:val="649065D7"/>
    <w:rsid w:val="649F0D21"/>
    <w:rsid w:val="64A54A90"/>
    <w:rsid w:val="64A75316"/>
    <w:rsid w:val="64B423C9"/>
    <w:rsid w:val="64D63FF5"/>
    <w:rsid w:val="64DA7A85"/>
    <w:rsid w:val="64F90675"/>
    <w:rsid w:val="65500340"/>
    <w:rsid w:val="656246E4"/>
    <w:rsid w:val="65652954"/>
    <w:rsid w:val="656B7B22"/>
    <w:rsid w:val="657A5DAB"/>
    <w:rsid w:val="65995B5D"/>
    <w:rsid w:val="65AF0698"/>
    <w:rsid w:val="65BD51BE"/>
    <w:rsid w:val="65C7368C"/>
    <w:rsid w:val="65D756AF"/>
    <w:rsid w:val="65DA4A03"/>
    <w:rsid w:val="65DD3FD0"/>
    <w:rsid w:val="65E63217"/>
    <w:rsid w:val="65F12B73"/>
    <w:rsid w:val="65F82138"/>
    <w:rsid w:val="661776A5"/>
    <w:rsid w:val="666A3731"/>
    <w:rsid w:val="66862423"/>
    <w:rsid w:val="66CD2585"/>
    <w:rsid w:val="66FC54CA"/>
    <w:rsid w:val="673116A9"/>
    <w:rsid w:val="67320D86"/>
    <w:rsid w:val="673A4495"/>
    <w:rsid w:val="67457087"/>
    <w:rsid w:val="675B5CD2"/>
    <w:rsid w:val="675E0AD0"/>
    <w:rsid w:val="676D4A21"/>
    <w:rsid w:val="677421F7"/>
    <w:rsid w:val="678B6E29"/>
    <w:rsid w:val="67977F03"/>
    <w:rsid w:val="67B50F11"/>
    <w:rsid w:val="67D66C2F"/>
    <w:rsid w:val="67E67579"/>
    <w:rsid w:val="680B2001"/>
    <w:rsid w:val="680C6E77"/>
    <w:rsid w:val="68151E96"/>
    <w:rsid w:val="68220960"/>
    <w:rsid w:val="68334B46"/>
    <w:rsid w:val="68487F13"/>
    <w:rsid w:val="685561A3"/>
    <w:rsid w:val="6859281F"/>
    <w:rsid w:val="685C571D"/>
    <w:rsid w:val="68641B31"/>
    <w:rsid w:val="68680353"/>
    <w:rsid w:val="68701FBD"/>
    <w:rsid w:val="687B18A4"/>
    <w:rsid w:val="6894297A"/>
    <w:rsid w:val="68B31A2F"/>
    <w:rsid w:val="68BB1DD2"/>
    <w:rsid w:val="68BC590B"/>
    <w:rsid w:val="68C64B25"/>
    <w:rsid w:val="68CA328A"/>
    <w:rsid w:val="68F556FC"/>
    <w:rsid w:val="691F7E2B"/>
    <w:rsid w:val="693041B5"/>
    <w:rsid w:val="694C44A6"/>
    <w:rsid w:val="69503867"/>
    <w:rsid w:val="6951504C"/>
    <w:rsid w:val="69594895"/>
    <w:rsid w:val="69694226"/>
    <w:rsid w:val="69754746"/>
    <w:rsid w:val="69835EFD"/>
    <w:rsid w:val="69960D43"/>
    <w:rsid w:val="69D0227A"/>
    <w:rsid w:val="69D41B10"/>
    <w:rsid w:val="69DB3A7C"/>
    <w:rsid w:val="69E7240F"/>
    <w:rsid w:val="69FE629B"/>
    <w:rsid w:val="6A0920FC"/>
    <w:rsid w:val="6A0F19F2"/>
    <w:rsid w:val="6A205725"/>
    <w:rsid w:val="6A251F0F"/>
    <w:rsid w:val="6A5E1D34"/>
    <w:rsid w:val="6A7313C5"/>
    <w:rsid w:val="6A76683A"/>
    <w:rsid w:val="6A921FA8"/>
    <w:rsid w:val="6A9B6781"/>
    <w:rsid w:val="6AAC1371"/>
    <w:rsid w:val="6ABA40B4"/>
    <w:rsid w:val="6AC92C22"/>
    <w:rsid w:val="6AD45EC1"/>
    <w:rsid w:val="6AEB58DE"/>
    <w:rsid w:val="6AF26029"/>
    <w:rsid w:val="6B045EE7"/>
    <w:rsid w:val="6B0512A5"/>
    <w:rsid w:val="6B3C66FF"/>
    <w:rsid w:val="6B493781"/>
    <w:rsid w:val="6B50542A"/>
    <w:rsid w:val="6B5E2CDA"/>
    <w:rsid w:val="6B621E0C"/>
    <w:rsid w:val="6B8030F5"/>
    <w:rsid w:val="6BAD0271"/>
    <w:rsid w:val="6BD60EEB"/>
    <w:rsid w:val="6BDF5174"/>
    <w:rsid w:val="6BE3504C"/>
    <w:rsid w:val="6BEE3CC0"/>
    <w:rsid w:val="6BF55B48"/>
    <w:rsid w:val="6BF71579"/>
    <w:rsid w:val="6BFA5804"/>
    <w:rsid w:val="6C063AF3"/>
    <w:rsid w:val="6C3E63DC"/>
    <w:rsid w:val="6C424009"/>
    <w:rsid w:val="6C4E57E2"/>
    <w:rsid w:val="6C596DB8"/>
    <w:rsid w:val="6C5B3716"/>
    <w:rsid w:val="6C667D0B"/>
    <w:rsid w:val="6C75435B"/>
    <w:rsid w:val="6C865580"/>
    <w:rsid w:val="6C8E7C14"/>
    <w:rsid w:val="6CA433F3"/>
    <w:rsid w:val="6CB520C1"/>
    <w:rsid w:val="6D2215A7"/>
    <w:rsid w:val="6D274691"/>
    <w:rsid w:val="6D652726"/>
    <w:rsid w:val="6D835216"/>
    <w:rsid w:val="6D9557C5"/>
    <w:rsid w:val="6DB56B3E"/>
    <w:rsid w:val="6DBD625E"/>
    <w:rsid w:val="6DC363D4"/>
    <w:rsid w:val="6DC808EA"/>
    <w:rsid w:val="6DC96011"/>
    <w:rsid w:val="6DD860E4"/>
    <w:rsid w:val="6DED216E"/>
    <w:rsid w:val="6DF1641B"/>
    <w:rsid w:val="6E0B1CBE"/>
    <w:rsid w:val="6E2E43B6"/>
    <w:rsid w:val="6E3E4EA8"/>
    <w:rsid w:val="6E45159D"/>
    <w:rsid w:val="6E6F3A87"/>
    <w:rsid w:val="6E8A2715"/>
    <w:rsid w:val="6E955A76"/>
    <w:rsid w:val="6E9C51BA"/>
    <w:rsid w:val="6E9E7E78"/>
    <w:rsid w:val="6EA516E5"/>
    <w:rsid w:val="6EC0162E"/>
    <w:rsid w:val="6EC27E61"/>
    <w:rsid w:val="6EEE2ADC"/>
    <w:rsid w:val="6EEF5909"/>
    <w:rsid w:val="6EF627F8"/>
    <w:rsid w:val="6F0A7FEA"/>
    <w:rsid w:val="6F140343"/>
    <w:rsid w:val="6F2C3E7E"/>
    <w:rsid w:val="6F7F6239"/>
    <w:rsid w:val="6F8C13A2"/>
    <w:rsid w:val="6F8D6CDA"/>
    <w:rsid w:val="6F945EBA"/>
    <w:rsid w:val="6F9C44EC"/>
    <w:rsid w:val="6FDB71CA"/>
    <w:rsid w:val="6FE34C7A"/>
    <w:rsid w:val="6FF77399"/>
    <w:rsid w:val="70021770"/>
    <w:rsid w:val="700A7DB6"/>
    <w:rsid w:val="70200776"/>
    <w:rsid w:val="704A32D9"/>
    <w:rsid w:val="70513EC8"/>
    <w:rsid w:val="707B7F9E"/>
    <w:rsid w:val="70895462"/>
    <w:rsid w:val="70966E98"/>
    <w:rsid w:val="709F700B"/>
    <w:rsid w:val="70B756ED"/>
    <w:rsid w:val="70BF5D37"/>
    <w:rsid w:val="70C23486"/>
    <w:rsid w:val="70C96F58"/>
    <w:rsid w:val="71042F43"/>
    <w:rsid w:val="71334749"/>
    <w:rsid w:val="713A506B"/>
    <w:rsid w:val="716428E7"/>
    <w:rsid w:val="71662C2F"/>
    <w:rsid w:val="717B48BA"/>
    <w:rsid w:val="71971F5C"/>
    <w:rsid w:val="719F54E8"/>
    <w:rsid w:val="71A60CB9"/>
    <w:rsid w:val="71AE72C6"/>
    <w:rsid w:val="71C43062"/>
    <w:rsid w:val="71C97BEF"/>
    <w:rsid w:val="71EF7DB4"/>
    <w:rsid w:val="71F926E9"/>
    <w:rsid w:val="720B2B10"/>
    <w:rsid w:val="721E08FF"/>
    <w:rsid w:val="723E67FF"/>
    <w:rsid w:val="72457F73"/>
    <w:rsid w:val="725D6829"/>
    <w:rsid w:val="72603A6C"/>
    <w:rsid w:val="72686E96"/>
    <w:rsid w:val="726957B4"/>
    <w:rsid w:val="72756B50"/>
    <w:rsid w:val="72A24600"/>
    <w:rsid w:val="72C00307"/>
    <w:rsid w:val="72C55392"/>
    <w:rsid w:val="72C90BA4"/>
    <w:rsid w:val="72D70BBD"/>
    <w:rsid w:val="72FD0A77"/>
    <w:rsid w:val="72FD7D17"/>
    <w:rsid w:val="7312184D"/>
    <w:rsid w:val="73385F22"/>
    <w:rsid w:val="734014F2"/>
    <w:rsid w:val="734F03EB"/>
    <w:rsid w:val="735B3EDE"/>
    <w:rsid w:val="736D0863"/>
    <w:rsid w:val="73715681"/>
    <w:rsid w:val="73810775"/>
    <w:rsid w:val="739A5D96"/>
    <w:rsid w:val="739C3EDF"/>
    <w:rsid w:val="739F60A9"/>
    <w:rsid w:val="73A47DA0"/>
    <w:rsid w:val="73B264D6"/>
    <w:rsid w:val="73B952BA"/>
    <w:rsid w:val="73C04DCC"/>
    <w:rsid w:val="73CA1D68"/>
    <w:rsid w:val="73FC6A55"/>
    <w:rsid w:val="7421558E"/>
    <w:rsid w:val="743416FA"/>
    <w:rsid w:val="744557CE"/>
    <w:rsid w:val="7468109B"/>
    <w:rsid w:val="746F6684"/>
    <w:rsid w:val="74823B1B"/>
    <w:rsid w:val="749D5F34"/>
    <w:rsid w:val="74B449D5"/>
    <w:rsid w:val="74BB4292"/>
    <w:rsid w:val="74BF16B0"/>
    <w:rsid w:val="74C51E5D"/>
    <w:rsid w:val="74CF2B1C"/>
    <w:rsid w:val="74ED0911"/>
    <w:rsid w:val="753C00E5"/>
    <w:rsid w:val="75520CDF"/>
    <w:rsid w:val="75676DCD"/>
    <w:rsid w:val="756B4204"/>
    <w:rsid w:val="7570448A"/>
    <w:rsid w:val="7584180C"/>
    <w:rsid w:val="759A576D"/>
    <w:rsid w:val="75A06A31"/>
    <w:rsid w:val="75B77899"/>
    <w:rsid w:val="75BC034A"/>
    <w:rsid w:val="75D0784D"/>
    <w:rsid w:val="763A5ADE"/>
    <w:rsid w:val="765009E3"/>
    <w:rsid w:val="76650257"/>
    <w:rsid w:val="766A4635"/>
    <w:rsid w:val="76855028"/>
    <w:rsid w:val="76A11DEF"/>
    <w:rsid w:val="76AB15A7"/>
    <w:rsid w:val="76AF2221"/>
    <w:rsid w:val="76BB37A0"/>
    <w:rsid w:val="76F33EDC"/>
    <w:rsid w:val="772C2C13"/>
    <w:rsid w:val="7733372B"/>
    <w:rsid w:val="773D398C"/>
    <w:rsid w:val="7743694D"/>
    <w:rsid w:val="776C5209"/>
    <w:rsid w:val="77772EFA"/>
    <w:rsid w:val="77777BD4"/>
    <w:rsid w:val="77B51070"/>
    <w:rsid w:val="77D900C1"/>
    <w:rsid w:val="77E8539E"/>
    <w:rsid w:val="781C1896"/>
    <w:rsid w:val="78506A5C"/>
    <w:rsid w:val="786C7EA5"/>
    <w:rsid w:val="78A22E64"/>
    <w:rsid w:val="78BC1C39"/>
    <w:rsid w:val="78BC37D9"/>
    <w:rsid w:val="78E663DB"/>
    <w:rsid w:val="78E84E1E"/>
    <w:rsid w:val="78FC3ADF"/>
    <w:rsid w:val="79074962"/>
    <w:rsid w:val="790A3FC5"/>
    <w:rsid w:val="790F38E4"/>
    <w:rsid w:val="79130908"/>
    <w:rsid w:val="791F4C62"/>
    <w:rsid w:val="792736B5"/>
    <w:rsid w:val="79311321"/>
    <w:rsid w:val="796B0444"/>
    <w:rsid w:val="7997519F"/>
    <w:rsid w:val="799A174D"/>
    <w:rsid w:val="79A05BFC"/>
    <w:rsid w:val="79A809B0"/>
    <w:rsid w:val="79AD048E"/>
    <w:rsid w:val="7A100A3F"/>
    <w:rsid w:val="7A3E45EB"/>
    <w:rsid w:val="7A5E3E55"/>
    <w:rsid w:val="7A5F5DC8"/>
    <w:rsid w:val="7A7B4C40"/>
    <w:rsid w:val="7A8228BD"/>
    <w:rsid w:val="7AA66A1C"/>
    <w:rsid w:val="7ACA4427"/>
    <w:rsid w:val="7AD67F63"/>
    <w:rsid w:val="7AE23A17"/>
    <w:rsid w:val="7AE2544A"/>
    <w:rsid w:val="7AF40F48"/>
    <w:rsid w:val="7AFF44D7"/>
    <w:rsid w:val="7B0901EE"/>
    <w:rsid w:val="7B196986"/>
    <w:rsid w:val="7B1F55DA"/>
    <w:rsid w:val="7B767F7F"/>
    <w:rsid w:val="7B863F57"/>
    <w:rsid w:val="7B8837DA"/>
    <w:rsid w:val="7BB870F0"/>
    <w:rsid w:val="7BDA4BC7"/>
    <w:rsid w:val="7BE75806"/>
    <w:rsid w:val="7C3A1AFF"/>
    <w:rsid w:val="7C6161C3"/>
    <w:rsid w:val="7C7B56E0"/>
    <w:rsid w:val="7C8D12FA"/>
    <w:rsid w:val="7C935C28"/>
    <w:rsid w:val="7CA46084"/>
    <w:rsid w:val="7CA46244"/>
    <w:rsid w:val="7CCC3935"/>
    <w:rsid w:val="7CE04B46"/>
    <w:rsid w:val="7CF25B07"/>
    <w:rsid w:val="7D0F2463"/>
    <w:rsid w:val="7D166719"/>
    <w:rsid w:val="7D17527D"/>
    <w:rsid w:val="7D341E91"/>
    <w:rsid w:val="7D451E0F"/>
    <w:rsid w:val="7D4A63BD"/>
    <w:rsid w:val="7D5169AE"/>
    <w:rsid w:val="7D5F2747"/>
    <w:rsid w:val="7D8E32A4"/>
    <w:rsid w:val="7DA01573"/>
    <w:rsid w:val="7DA845D7"/>
    <w:rsid w:val="7DB453B1"/>
    <w:rsid w:val="7DCE7BA7"/>
    <w:rsid w:val="7DE13900"/>
    <w:rsid w:val="7DF74C1A"/>
    <w:rsid w:val="7DFB63C1"/>
    <w:rsid w:val="7E1360A7"/>
    <w:rsid w:val="7E3716B3"/>
    <w:rsid w:val="7E551A77"/>
    <w:rsid w:val="7E6857A1"/>
    <w:rsid w:val="7E854E68"/>
    <w:rsid w:val="7EB3525E"/>
    <w:rsid w:val="7EBF7E66"/>
    <w:rsid w:val="7EC6564A"/>
    <w:rsid w:val="7ED14C6F"/>
    <w:rsid w:val="7ED8706A"/>
    <w:rsid w:val="7EDD7BB2"/>
    <w:rsid w:val="7F1211AA"/>
    <w:rsid w:val="7F204C44"/>
    <w:rsid w:val="7F3E5D51"/>
    <w:rsid w:val="7F421131"/>
    <w:rsid w:val="7F6A4E0D"/>
    <w:rsid w:val="7F7F529B"/>
    <w:rsid w:val="7F930143"/>
    <w:rsid w:val="7FA46B5E"/>
    <w:rsid w:val="7FCA2A8F"/>
    <w:rsid w:val="7FD424F4"/>
    <w:rsid w:val="7FD758EE"/>
    <w:rsid w:val="7FED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59"/>
    <w:unhideWhenUsed/>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6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toc 3"/>
    <w:basedOn w:val="1"/>
    <w:next w:val="1"/>
    <w:qFormat/>
    <w:uiPriority w:val="0"/>
    <w:pPr>
      <w:ind w:left="420"/>
      <w:jc w:val="left"/>
    </w:pPr>
    <w:rPr>
      <w:i/>
      <w:iCs/>
      <w:sz w:val="20"/>
      <w:szCs w:val="20"/>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semiHidden/>
    <w:qFormat/>
    <w:uiPriority w:val="99"/>
    <w:pPr>
      <w:spacing w:before="120"/>
    </w:pPr>
    <w:rPr>
      <w:rFonts w:ascii="Arial" w:hAnsi="Arial" w:cs="Arial"/>
      <w:sz w:val="24"/>
    </w:rPr>
  </w:style>
  <w:style w:type="paragraph" w:styleId="9">
    <w:name w:val="annotation text"/>
    <w:basedOn w:val="1"/>
    <w:unhideWhenUsed/>
    <w:qFormat/>
    <w:uiPriority w:val="99"/>
    <w:pPr>
      <w:jc w:val="left"/>
    </w:pPr>
  </w:style>
  <w:style w:type="paragraph" w:styleId="10">
    <w:name w:val="Body Text"/>
    <w:basedOn w:val="1"/>
    <w:next w:val="11"/>
    <w:link w:val="66"/>
    <w:unhideWhenUsed/>
    <w:qFormat/>
    <w:uiPriority w:val="99"/>
    <w:pPr>
      <w:spacing w:after="120"/>
    </w:pPr>
  </w:style>
  <w:style w:type="paragraph" w:styleId="11">
    <w:name w:val="Quote"/>
    <w:basedOn w:val="1"/>
    <w:next w:val="1"/>
    <w:qFormat/>
    <w:uiPriority w:val="29"/>
    <w:pPr>
      <w:spacing w:beforeLines="50" w:afterLines="50" w:line="360" w:lineRule="auto"/>
    </w:pPr>
    <w:rPr>
      <w:i/>
      <w:iCs/>
      <w:color w:val="000000"/>
      <w:sz w:val="21"/>
      <w:szCs w:val="24"/>
      <w:lang w:val="zh-CN"/>
    </w:rPr>
  </w:style>
  <w:style w:type="paragraph" w:styleId="12">
    <w:name w:val="Body Text Indent"/>
    <w:basedOn w:val="1"/>
    <w:qFormat/>
    <w:uiPriority w:val="0"/>
    <w:pPr>
      <w:ind w:firstLine="630"/>
    </w:pPr>
    <w:rPr>
      <w:rFonts w:eastAsia="楷体_GB2312"/>
      <w:sz w:val="30"/>
      <w:szCs w:val="20"/>
    </w:rPr>
  </w:style>
  <w:style w:type="paragraph" w:styleId="13">
    <w:name w:val="Plain Text"/>
    <w:basedOn w:val="1"/>
    <w:qFormat/>
    <w:uiPriority w:val="0"/>
    <w:rPr>
      <w:rFonts w:ascii="宋体" w:hAnsi="Courier New"/>
      <w:szCs w:val="20"/>
    </w:rPr>
  </w:style>
  <w:style w:type="paragraph" w:styleId="14">
    <w:name w:val="Body Text Indent 2"/>
    <w:basedOn w:val="1"/>
    <w:link w:val="64"/>
    <w:qFormat/>
    <w:uiPriority w:val="99"/>
    <w:pPr>
      <w:ind w:firstLine="480"/>
    </w:pPr>
    <w:rPr>
      <w:rFonts w:ascii="宋体" w:hAnsi="宋体"/>
      <w:sz w:val="30"/>
      <w:szCs w:val="24"/>
    </w:rPr>
  </w:style>
  <w:style w:type="paragraph" w:styleId="15">
    <w:name w:val="Balloon Text"/>
    <w:basedOn w:val="1"/>
    <w:link w:val="60"/>
    <w:unhideWhenUsed/>
    <w:qFormat/>
    <w:uiPriority w:val="99"/>
    <w:rPr>
      <w:sz w:val="18"/>
      <w:szCs w:val="18"/>
    </w:rPr>
  </w:style>
  <w:style w:type="paragraph" w:styleId="16">
    <w:name w:val="footer"/>
    <w:basedOn w:val="1"/>
    <w:link w:val="84"/>
    <w:unhideWhenUsed/>
    <w:qFormat/>
    <w:uiPriority w:val="99"/>
    <w:pPr>
      <w:tabs>
        <w:tab w:val="center" w:pos="4153"/>
        <w:tab w:val="right" w:pos="8306"/>
      </w:tabs>
      <w:snapToGrid w:val="0"/>
      <w:jc w:val="left"/>
    </w:pPr>
    <w:rPr>
      <w:sz w:val="18"/>
      <w:szCs w:val="18"/>
    </w:rPr>
  </w:style>
  <w:style w:type="paragraph" w:styleId="17">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nhideWhenUsed/>
    <w:qFormat/>
    <w:uiPriority w:val="39"/>
  </w:style>
  <w:style w:type="paragraph" w:styleId="19">
    <w:name w:val="footnote text"/>
    <w:basedOn w:val="1"/>
    <w:qFormat/>
    <w:uiPriority w:val="0"/>
    <w:pPr>
      <w:adjustRightInd w:val="0"/>
      <w:spacing w:line="315" w:lineRule="atLeast"/>
      <w:textAlignment w:val="baseline"/>
    </w:pPr>
    <w:rPr>
      <w:rFonts w:ascii="宋体" w:hAnsi="宋体"/>
      <w:sz w:val="18"/>
      <w:szCs w:val="18"/>
    </w:rPr>
  </w:style>
  <w:style w:type="paragraph" w:styleId="20">
    <w:name w:val="toc 2"/>
    <w:basedOn w:val="1"/>
    <w:next w:val="1"/>
    <w:semiHidden/>
    <w:unhideWhenUsed/>
    <w:qFormat/>
    <w:uiPriority w:val="39"/>
    <w:pPr>
      <w:ind w:left="420" w:leftChars="200"/>
    </w:pPr>
  </w:style>
  <w:style w:type="paragraph" w:styleId="21">
    <w:name w:val="HTML Preformatted"/>
    <w:basedOn w:val="1"/>
    <w:link w:val="83"/>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atLeast"/>
      <w:ind w:left="0" w:right="0"/>
      <w:jc w:val="left"/>
    </w:pPr>
    <w:rPr>
      <w:rFonts w:ascii="Arial" w:hAnsi="Arial" w:eastAsia="宋体" w:cs="Arial"/>
      <w:kern w:val="0"/>
      <w:sz w:val="28"/>
      <w:szCs w:val="28"/>
      <w:lang w:val="en-US" w:eastAsia="zh-CN" w:bidi="ar"/>
    </w:rPr>
  </w:style>
  <w:style w:type="paragraph" w:styleId="22">
    <w:name w:val="Normal (Web)"/>
    <w:basedOn w:val="1"/>
    <w:link w:val="63"/>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3">
    <w:name w:val="Title"/>
    <w:basedOn w:val="1"/>
    <w:next w:val="1"/>
    <w:link w:val="67"/>
    <w:qFormat/>
    <w:uiPriority w:val="0"/>
    <w:pPr>
      <w:jc w:val="center"/>
    </w:pPr>
    <w:rPr>
      <w:rFonts w:ascii="宋体" w:hAnsi="宋体" w:cs="Times New Roman"/>
      <w:b/>
      <w:sz w:val="32"/>
      <w:szCs w:val="24"/>
    </w:rPr>
  </w:style>
  <w:style w:type="paragraph" w:styleId="24">
    <w:name w:val="Body Text First Indent"/>
    <w:basedOn w:val="10"/>
    <w:qFormat/>
    <w:uiPriority w:val="0"/>
    <w:pPr>
      <w:spacing w:after="120"/>
      <w:ind w:firstLine="420" w:firstLineChars="100"/>
    </w:pPr>
    <w:rPr>
      <w:rFonts w:ascii="Times New Roman" w:hAnsi="Times New Roman" w:cs="Times New Roman"/>
      <w:sz w:val="21"/>
    </w:rPr>
  </w:style>
  <w:style w:type="paragraph" w:styleId="25">
    <w:name w:val="Body Text First Indent 2"/>
    <w:basedOn w:val="12"/>
    <w:next w:val="1"/>
    <w:qFormat/>
    <w:uiPriority w:val="0"/>
    <w:pPr>
      <w:ind w:firstLine="420" w:firstLineChars="200"/>
    </w:pPr>
    <w:rPr>
      <w:kern w:val="0"/>
      <w:sz w:val="20"/>
      <w:szCs w:val="24"/>
    </w:rPr>
  </w:style>
  <w:style w:type="table" w:styleId="27">
    <w:name w:val="Table Grid"/>
    <w:basedOn w:val="2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9">
    <w:name w:val="Strong"/>
    <w:qFormat/>
    <w:uiPriority w:val="0"/>
    <w:rPr>
      <w:b/>
    </w:rPr>
  </w:style>
  <w:style w:type="character" w:styleId="30">
    <w:name w:val="page number"/>
    <w:basedOn w:val="28"/>
    <w:qFormat/>
    <w:uiPriority w:val="0"/>
  </w:style>
  <w:style w:type="character" w:styleId="31">
    <w:name w:val="Hyperlink"/>
    <w:unhideWhenUsed/>
    <w:qFormat/>
    <w:uiPriority w:val="99"/>
    <w:rPr>
      <w:color w:val="0000FF"/>
      <w:u w:val="single"/>
    </w:rPr>
  </w:style>
  <w:style w:type="character" w:styleId="32">
    <w:name w:val="annotation reference"/>
    <w:basedOn w:val="28"/>
    <w:semiHidden/>
    <w:unhideWhenUsed/>
    <w:qFormat/>
    <w:uiPriority w:val="99"/>
    <w:rPr>
      <w:sz w:val="21"/>
      <w:szCs w:val="21"/>
    </w:rPr>
  </w:style>
  <w:style w:type="paragraph" w:customStyle="1" w:styleId="33">
    <w:name w:val="Default"/>
    <w:next w:val="34"/>
    <w:qFormat/>
    <w:uiPriority w:val="99"/>
    <w:pPr>
      <w:widowControl w:val="0"/>
      <w:autoSpaceDE w:val="0"/>
      <w:autoSpaceDN w:val="0"/>
      <w:adjustRightInd w:val="0"/>
    </w:pPr>
    <w:rPr>
      <w:rFonts w:ascii="Calibri" w:hAnsi="Calibri" w:eastAsia="宋体" w:cs="黑体"/>
      <w:color w:val="000000"/>
      <w:kern w:val="0"/>
      <w:sz w:val="24"/>
      <w:szCs w:val="24"/>
      <w:lang w:val="en-US" w:eastAsia="zh-CN" w:bidi="ar-SA"/>
    </w:rPr>
  </w:style>
  <w:style w:type="paragraph" w:customStyle="1" w:styleId="34">
    <w:name w:val="大标题"/>
    <w:basedOn w:val="1"/>
    <w:next w:val="25"/>
    <w:qFormat/>
    <w:uiPriority w:val="0"/>
    <w:pPr>
      <w:jc w:val="center"/>
    </w:pPr>
    <w:rPr>
      <w:rFonts w:ascii="Arial" w:hAnsi="Arial" w:eastAsia="宋体"/>
      <w:b/>
      <w:sz w:val="28"/>
      <w:szCs w:val="24"/>
    </w:rPr>
  </w:style>
  <w:style w:type="paragraph" w:customStyle="1" w:styleId="3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6">
    <w:name w:val="Char"/>
    <w:basedOn w:val="1"/>
    <w:qFormat/>
    <w:uiPriority w:val="0"/>
    <w:pPr>
      <w:spacing w:line="240" w:lineRule="atLeast"/>
      <w:ind w:left="420" w:firstLine="420"/>
    </w:pPr>
    <w:rPr>
      <w:rFonts w:cs="Times New Roman"/>
      <w:kern w:val="0"/>
      <w:szCs w:val="21"/>
    </w:rPr>
  </w:style>
  <w:style w:type="paragraph" w:customStyle="1" w:styleId="37">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8">
    <w:name w:val="Char1"/>
    <w:basedOn w:val="1"/>
    <w:qFormat/>
    <w:uiPriority w:val="0"/>
    <w:pPr>
      <w:spacing w:line="240" w:lineRule="atLeast"/>
      <w:ind w:left="420" w:firstLine="420"/>
    </w:pPr>
    <w:rPr>
      <w:rFonts w:cs="Times New Roman"/>
      <w:kern w:val="0"/>
      <w:szCs w:val="21"/>
    </w:rPr>
  </w:style>
  <w:style w:type="paragraph" w:customStyle="1" w:styleId="39">
    <w:name w:val="列出段落1"/>
    <w:basedOn w:val="1"/>
    <w:qFormat/>
    <w:uiPriority w:val="99"/>
    <w:pPr>
      <w:ind w:firstLine="420" w:firstLineChars="200"/>
    </w:pPr>
  </w:style>
  <w:style w:type="paragraph" w:customStyle="1" w:styleId="40">
    <w:name w:val="WPSOffice手动目录 1"/>
    <w:qFormat/>
    <w:uiPriority w:val="0"/>
    <w:rPr>
      <w:rFonts w:ascii="Calibri" w:hAnsi="Calibri" w:eastAsia="宋体" w:cs="Times New Roman"/>
      <w:lang w:val="en-US" w:eastAsia="zh-CN" w:bidi="ar-SA"/>
    </w:rPr>
  </w:style>
  <w:style w:type="paragraph" w:customStyle="1" w:styleId="41">
    <w:name w:val="WPSOffice手动目录 2"/>
    <w:qFormat/>
    <w:uiPriority w:val="0"/>
    <w:pPr>
      <w:ind w:left="200" w:leftChars="200"/>
    </w:pPr>
    <w:rPr>
      <w:rFonts w:ascii="Calibri" w:hAnsi="Calibri" w:eastAsia="宋体" w:cs="Times New Roman"/>
      <w:lang w:val="en-US" w:eastAsia="zh-CN" w:bidi="ar-SA"/>
    </w:rPr>
  </w:style>
  <w:style w:type="paragraph" w:customStyle="1" w:styleId="42">
    <w:name w:val="Char2"/>
    <w:basedOn w:val="1"/>
    <w:qFormat/>
    <w:uiPriority w:val="0"/>
    <w:pPr>
      <w:spacing w:line="240" w:lineRule="atLeast"/>
      <w:ind w:left="420" w:firstLine="420"/>
    </w:pPr>
    <w:rPr>
      <w:rFonts w:cs="Times New Roman"/>
      <w:kern w:val="0"/>
      <w:szCs w:val="21"/>
    </w:rPr>
  </w:style>
  <w:style w:type="paragraph" w:customStyle="1" w:styleId="43">
    <w:name w:val="Char3"/>
    <w:basedOn w:val="1"/>
    <w:qFormat/>
    <w:uiPriority w:val="0"/>
    <w:pPr>
      <w:spacing w:line="240" w:lineRule="atLeast"/>
      <w:ind w:left="420" w:firstLine="420"/>
    </w:pPr>
    <w:rPr>
      <w:rFonts w:cs="Times New Roman"/>
      <w:kern w:val="0"/>
      <w:szCs w:val="21"/>
    </w:rPr>
  </w:style>
  <w:style w:type="paragraph" w:customStyle="1" w:styleId="44">
    <w:name w:val="采购二级"/>
    <w:basedOn w:val="1"/>
    <w:link w:val="62"/>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45">
    <w:name w:val="Char4"/>
    <w:basedOn w:val="1"/>
    <w:qFormat/>
    <w:uiPriority w:val="0"/>
    <w:pPr>
      <w:spacing w:line="240" w:lineRule="atLeast"/>
      <w:ind w:left="420" w:firstLine="420"/>
    </w:pPr>
    <w:rPr>
      <w:rFonts w:cs="Times New Roman"/>
      <w:kern w:val="0"/>
      <w:szCs w:val="21"/>
    </w:rPr>
  </w:style>
  <w:style w:type="paragraph" w:customStyle="1" w:styleId="46">
    <w:name w:val="Char5"/>
    <w:basedOn w:val="1"/>
    <w:qFormat/>
    <w:uiPriority w:val="0"/>
    <w:pPr>
      <w:spacing w:line="240" w:lineRule="atLeast"/>
      <w:ind w:left="420" w:firstLine="420"/>
    </w:pPr>
    <w:rPr>
      <w:rFonts w:cs="Times New Roman"/>
      <w:kern w:val="0"/>
      <w:szCs w:val="21"/>
    </w:rPr>
  </w:style>
  <w:style w:type="paragraph" w:customStyle="1" w:styleId="47">
    <w:name w:val="Char6"/>
    <w:basedOn w:val="1"/>
    <w:qFormat/>
    <w:uiPriority w:val="0"/>
    <w:pPr>
      <w:spacing w:line="240" w:lineRule="atLeast"/>
      <w:ind w:left="420" w:firstLine="420"/>
    </w:pPr>
    <w:rPr>
      <w:rFonts w:cs="Times New Roman"/>
      <w:kern w:val="0"/>
      <w:szCs w:val="21"/>
    </w:rPr>
  </w:style>
  <w:style w:type="paragraph" w:customStyle="1" w:styleId="48">
    <w:name w:val="Char7"/>
    <w:basedOn w:val="1"/>
    <w:qFormat/>
    <w:uiPriority w:val="0"/>
    <w:pPr>
      <w:spacing w:line="240" w:lineRule="atLeast"/>
      <w:ind w:left="420" w:firstLine="420"/>
    </w:pPr>
    <w:rPr>
      <w:rFonts w:cs="Times New Roman"/>
      <w:kern w:val="0"/>
      <w:szCs w:val="21"/>
    </w:rPr>
  </w:style>
  <w:style w:type="paragraph" w:customStyle="1" w:styleId="49">
    <w:name w:val="Char8"/>
    <w:basedOn w:val="1"/>
    <w:qFormat/>
    <w:uiPriority w:val="0"/>
    <w:pPr>
      <w:spacing w:line="240" w:lineRule="atLeast"/>
      <w:ind w:left="420" w:firstLine="420"/>
    </w:pPr>
    <w:rPr>
      <w:rFonts w:cs="Times New Roman"/>
      <w:kern w:val="0"/>
      <w:szCs w:val="21"/>
    </w:rPr>
  </w:style>
  <w:style w:type="paragraph" w:customStyle="1" w:styleId="50">
    <w:name w:val="Char9"/>
    <w:basedOn w:val="1"/>
    <w:qFormat/>
    <w:uiPriority w:val="0"/>
    <w:pPr>
      <w:spacing w:line="240" w:lineRule="atLeast"/>
      <w:ind w:left="420" w:firstLine="420"/>
    </w:pPr>
    <w:rPr>
      <w:rFonts w:cs="Times New Roman"/>
      <w:kern w:val="0"/>
      <w:szCs w:val="21"/>
    </w:rPr>
  </w:style>
  <w:style w:type="paragraph" w:customStyle="1" w:styleId="51">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52">
    <w:name w:val="列出段落2"/>
    <w:basedOn w:val="1"/>
    <w:qFormat/>
    <w:uiPriority w:val="0"/>
    <w:pPr>
      <w:ind w:firstLine="420" w:firstLineChars="200"/>
    </w:pPr>
    <w:rPr>
      <w:rFonts w:cs="Times New Roman"/>
      <w:szCs w:val="21"/>
    </w:rPr>
  </w:style>
  <w:style w:type="paragraph" w:customStyle="1" w:styleId="53">
    <w:name w:val="列出段落3"/>
    <w:basedOn w:val="1"/>
    <w:unhideWhenUsed/>
    <w:qFormat/>
    <w:uiPriority w:val="99"/>
    <w:pPr>
      <w:ind w:firstLine="420" w:firstLineChars="200"/>
    </w:pPr>
  </w:style>
  <w:style w:type="paragraph" w:customStyle="1" w:styleId="54">
    <w:name w:val="Char Char Char Char Char Char Char"/>
    <w:basedOn w:val="1"/>
    <w:qFormat/>
    <w:uiPriority w:val="0"/>
    <w:rPr>
      <w:rFonts w:ascii="Times New Roman" w:hAnsi="Times New Roman" w:cs="Times New Roman"/>
      <w:szCs w:val="24"/>
    </w:rPr>
  </w:style>
  <w:style w:type="paragraph" w:customStyle="1" w:styleId="55">
    <w:name w:val="Char Char Char Char Char Char Char1"/>
    <w:basedOn w:val="1"/>
    <w:qFormat/>
    <w:uiPriority w:val="0"/>
    <w:rPr>
      <w:rFonts w:ascii="Times New Roman" w:hAnsi="Times New Roman" w:cs="Times New Roman"/>
      <w:szCs w:val="24"/>
    </w:rPr>
  </w:style>
  <w:style w:type="character" w:customStyle="1" w:styleId="56">
    <w:name w:val="页眉 字符"/>
    <w:link w:val="17"/>
    <w:qFormat/>
    <w:uiPriority w:val="99"/>
    <w:rPr>
      <w:sz w:val="18"/>
      <w:szCs w:val="18"/>
    </w:rPr>
  </w:style>
  <w:style w:type="character" w:customStyle="1" w:styleId="57">
    <w:name w:val="页脚 字符"/>
    <w:link w:val="16"/>
    <w:qFormat/>
    <w:uiPriority w:val="99"/>
    <w:rPr>
      <w:sz w:val="18"/>
      <w:szCs w:val="18"/>
    </w:rPr>
  </w:style>
  <w:style w:type="character" w:customStyle="1" w:styleId="58">
    <w:name w:val="标题 1 字符"/>
    <w:link w:val="3"/>
    <w:qFormat/>
    <w:uiPriority w:val="9"/>
    <w:rPr>
      <w:b/>
      <w:bCs/>
      <w:kern w:val="44"/>
      <w:sz w:val="44"/>
      <w:szCs w:val="44"/>
    </w:rPr>
  </w:style>
  <w:style w:type="character" w:customStyle="1" w:styleId="59">
    <w:name w:val="标题 2 字符"/>
    <w:link w:val="4"/>
    <w:qFormat/>
    <w:uiPriority w:val="9"/>
    <w:rPr>
      <w:rFonts w:ascii="Cambria" w:hAnsi="Cambria" w:eastAsia="宋体" w:cs="黑体"/>
      <w:b/>
      <w:bCs/>
      <w:sz w:val="32"/>
      <w:szCs w:val="32"/>
    </w:rPr>
  </w:style>
  <w:style w:type="character" w:customStyle="1" w:styleId="60">
    <w:name w:val="批注框文本 字符"/>
    <w:link w:val="15"/>
    <w:semiHidden/>
    <w:qFormat/>
    <w:uiPriority w:val="99"/>
    <w:rPr>
      <w:sz w:val="18"/>
      <w:szCs w:val="18"/>
    </w:rPr>
  </w:style>
  <w:style w:type="character" w:customStyle="1" w:styleId="61">
    <w:name w:val="标题 3 字符"/>
    <w:link w:val="6"/>
    <w:qFormat/>
    <w:uiPriority w:val="9"/>
    <w:rPr>
      <w:b/>
      <w:bCs/>
      <w:sz w:val="32"/>
      <w:szCs w:val="32"/>
    </w:rPr>
  </w:style>
  <w:style w:type="character" w:customStyle="1" w:styleId="62">
    <w:name w:val="采购二级 Char"/>
    <w:link w:val="44"/>
    <w:qFormat/>
    <w:locked/>
    <w:uiPriority w:val="0"/>
    <w:rPr>
      <w:rFonts w:ascii="仿宋" w:hAnsi="仿宋" w:eastAsia="仿宋"/>
      <w:b/>
      <w:kern w:val="2"/>
      <w:sz w:val="24"/>
      <w:szCs w:val="24"/>
    </w:rPr>
  </w:style>
  <w:style w:type="character" w:customStyle="1" w:styleId="63">
    <w:name w:val="普通(网站) 字符"/>
    <w:link w:val="22"/>
    <w:qFormat/>
    <w:uiPriority w:val="0"/>
    <w:rPr>
      <w:rFonts w:ascii="宋体" w:hAnsi="宋体" w:cs="宋体"/>
      <w:color w:val="000000"/>
      <w:sz w:val="24"/>
      <w:szCs w:val="24"/>
    </w:rPr>
  </w:style>
  <w:style w:type="character" w:customStyle="1" w:styleId="64">
    <w:name w:val="正文文本缩进 2 字符"/>
    <w:link w:val="14"/>
    <w:qFormat/>
    <w:locked/>
    <w:uiPriority w:val="99"/>
    <w:rPr>
      <w:rFonts w:ascii="宋体" w:hAnsi="宋体"/>
      <w:kern w:val="2"/>
      <w:sz w:val="30"/>
      <w:szCs w:val="24"/>
    </w:rPr>
  </w:style>
  <w:style w:type="character" w:customStyle="1" w:styleId="65">
    <w:name w:val="正文文本缩进 2 Char1"/>
    <w:semiHidden/>
    <w:qFormat/>
    <w:uiPriority w:val="99"/>
    <w:rPr>
      <w:kern w:val="2"/>
      <w:sz w:val="21"/>
      <w:szCs w:val="22"/>
    </w:rPr>
  </w:style>
  <w:style w:type="character" w:customStyle="1" w:styleId="66">
    <w:name w:val="正文文本 字符"/>
    <w:link w:val="10"/>
    <w:qFormat/>
    <w:uiPriority w:val="99"/>
    <w:rPr>
      <w:kern w:val="2"/>
      <w:sz w:val="21"/>
      <w:szCs w:val="22"/>
    </w:rPr>
  </w:style>
  <w:style w:type="character" w:customStyle="1" w:styleId="67">
    <w:name w:val="标题 字符"/>
    <w:link w:val="23"/>
    <w:qFormat/>
    <w:uiPriority w:val="0"/>
    <w:rPr>
      <w:rFonts w:ascii="宋体" w:hAnsi="宋体"/>
      <w:b/>
      <w:kern w:val="2"/>
      <w:sz w:val="32"/>
      <w:szCs w:val="24"/>
    </w:rPr>
  </w:style>
  <w:style w:type="character" w:customStyle="1" w:styleId="68">
    <w:name w:val="font21"/>
    <w:qFormat/>
    <w:uiPriority w:val="0"/>
    <w:rPr>
      <w:rFonts w:hint="eastAsia" w:ascii="宋体" w:hAnsi="宋体" w:eastAsia="宋体" w:cs="宋体"/>
      <w:color w:val="000000"/>
      <w:sz w:val="24"/>
      <w:szCs w:val="24"/>
      <w:u w:val="none"/>
    </w:rPr>
  </w:style>
  <w:style w:type="paragraph" w:customStyle="1" w:styleId="69">
    <w:name w:val="列出段落4"/>
    <w:basedOn w:val="1"/>
    <w:qFormat/>
    <w:uiPriority w:val="99"/>
    <w:pPr>
      <w:widowControl/>
      <w:spacing w:after="160" w:line="259" w:lineRule="auto"/>
      <w:ind w:left="720"/>
      <w:contextualSpacing/>
      <w:jc w:val="left"/>
    </w:pPr>
    <w:rPr>
      <w:rFonts w:eastAsia="等线"/>
      <w:kern w:val="0"/>
      <w:sz w:val="22"/>
    </w:rPr>
  </w:style>
  <w:style w:type="character" w:customStyle="1" w:styleId="70">
    <w:name w:val="font11"/>
    <w:qFormat/>
    <w:uiPriority w:val="0"/>
    <w:rPr>
      <w:rFonts w:hint="eastAsia" w:ascii="宋体" w:hAnsi="宋体" w:eastAsia="宋体" w:cs="宋体"/>
      <w:color w:val="FF0000"/>
      <w:sz w:val="21"/>
      <w:szCs w:val="21"/>
      <w:u w:val="none"/>
    </w:rPr>
  </w:style>
  <w:style w:type="character" w:customStyle="1" w:styleId="71">
    <w:name w:val="font01"/>
    <w:qFormat/>
    <w:uiPriority w:val="0"/>
    <w:rPr>
      <w:rFonts w:hint="eastAsia" w:ascii="宋体" w:hAnsi="宋体" w:eastAsia="宋体" w:cs="宋体"/>
      <w:color w:val="000000"/>
      <w:sz w:val="21"/>
      <w:szCs w:val="21"/>
      <w:u w:val="none"/>
    </w:rPr>
  </w:style>
  <w:style w:type="character" w:customStyle="1" w:styleId="72">
    <w:name w:val="font51"/>
    <w:qFormat/>
    <w:uiPriority w:val="0"/>
    <w:rPr>
      <w:rFonts w:hint="eastAsia" w:ascii="仿宋" w:hAnsi="仿宋" w:eastAsia="仿宋" w:cs="仿宋"/>
      <w:color w:val="000000"/>
      <w:sz w:val="24"/>
      <w:szCs w:val="24"/>
      <w:u w:val="none"/>
    </w:rPr>
  </w:style>
  <w:style w:type="character" w:customStyle="1" w:styleId="73">
    <w:name w:val="font41"/>
    <w:qFormat/>
    <w:uiPriority w:val="0"/>
    <w:rPr>
      <w:rFonts w:hint="eastAsia" w:ascii="宋体" w:hAnsi="宋体" w:eastAsia="宋体" w:cs="宋体"/>
      <w:color w:val="000000"/>
      <w:sz w:val="21"/>
      <w:szCs w:val="21"/>
      <w:u w:val="none"/>
    </w:rPr>
  </w:style>
  <w:style w:type="character" w:customStyle="1" w:styleId="74">
    <w:name w:val="font61"/>
    <w:qFormat/>
    <w:uiPriority w:val="0"/>
    <w:rPr>
      <w:rFonts w:hint="eastAsia" w:ascii="仿宋" w:hAnsi="仿宋" w:eastAsia="仿宋" w:cs="仿宋"/>
      <w:color w:val="000000"/>
      <w:sz w:val="24"/>
      <w:szCs w:val="24"/>
      <w:u w:val="none"/>
    </w:rPr>
  </w:style>
  <w:style w:type="character" w:customStyle="1" w:styleId="75">
    <w:name w:val="font71"/>
    <w:qFormat/>
    <w:uiPriority w:val="0"/>
    <w:rPr>
      <w:rFonts w:hint="eastAsia" w:ascii="仿宋" w:hAnsi="仿宋" w:eastAsia="仿宋" w:cs="仿宋"/>
      <w:b/>
      <w:color w:val="000000"/>
      <w:sz w:val="24"/>
      <w:szCs w:val="24"/>
      <w:u w:val="none"/>
    </w:rPr>
  </w:style>
  <w:style w:type="character" w:customStyle="1" w:styleId="76">
    <w:name w:val="font81"/>
    <w:qFormat/>
    <w:uiPriority w:val="0"/>
    <w:rPr>
      <w:rFonts w:hint="eastAsia" w:ascii="宋体" w:hAnsi="宋体" w:eastAsia="宋体" w:cs="宋体"/>
      <w:b/>
      <w:color w:val="FF0000"/>
      <w:sz w:val="24"/>
      <w:szCs w:val="24"/>
      <w:u w:val="none"/>
    </w:rPr>
  </w:style>
  <w:style w:type="paragraph" w:customStyle="1" w:styleId="77">
    <w:name w:val="正文_0"/>
    <w:basedOn w:val="1"/>
    <w:qFormat/>
    <w:uiPriority w:val="0"/>
    <w:rPr>
      <w:rFonts w:ascii="Times New Roman" w:hAnsi="Times New Roman" w:cs="Times New Roman"/>
      <w:szCs w:val="20"/>
    </w:rPr>
  </w:style>
  <w:style w:type="character" w:customStyle="1" w:styleId="78">
    <w:name w:val="NormalCharacter"/>
    <w:qFormat/>
    <w:uiPriority w:val="0"/>
    <w:rPr>
      <w:rFonts w:ascii="Calibri" w:hAnsi="Calibri" w:eastAsia="宋体" w:cs="黑体"/>
      <w:kern w:val="2"/>
      <w:sz w:val="21"/>
      <w:szCs w:val="22"/>
      <w:lang w:val="en-US" w:eastAsia="zh-CN" w:bidi="ar-SA"/>
    </w:rPr>
  </w:style>
  <w:style w:type="paragraph" w:customStyle="1" w:styleId="79">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80">
    <w:name w:val="Table Paragraph"/>
    <w:basedOn w:val="1"/>
    <w:qFormat/>
    <w:uiPriority w:val="1"/>
    <w:pPr>
      <w:jc w:val="center"/>
    </w:pPr>
  </w:style>
  <w:style w:type="paragraph" w:styleId="81">
    <w:name w:val="List Paragraph"/>
    <w:basedOn w:val="1"/>
    <w:qFormat/>
    <w:uiPriority w:val="34"/>
    <w:pPr>
      <w:ind w:left="520" w:firstLine="419"/>
    </w:pPr>
  </w:style>
  <w:style w:type="paragraph" w:customStyle="1" w:styleId="82">
    <w:name w:val="xl50"/>
    <w:basedOn w:val="1"/>
    <w:qFormat/>
    <w:uiPriority w:val="0"/>
    <w:pPr>
      <w:keepNext w:val="0"/>
      <w:keepLines w:val="0"/>
      <w:widowControl/>
      <w:suppressLineNumbers w:val="0"/>
      <w:pBdr>
        <w:top w:val="none" w:color="auto" w:sz="0" w:space="0"/>
        <w:left w:val="single" w:color="auto" w:sz="4" w:space="0"/>
        <w:bottom w:val="single" w:color="auto" w:sz="4" w:space="0"/>
        <w:right w:val="single" w:color="auto" w:sz="4" w:space="0"/>
      </w:pBdr>
      <w:spacing w:before="0" w:beforeAutospacing="1" w:after="0" w:afterAutospacing="1"/>
      <w:ind w:left="0" w:right="0"/>
      <w:jc w:val="center"/>
    </w:pPr>
    <w:rPr>
      <w:rFonts w:hint="default" w:ascii="Arial Unicode MS" w:hAnsi="Arial Unicode MS" w:eastAsia="宋体" w:cs="Times New Roman"/>
      <w:kern w:val="0"/>
      <w:sz w:val="20"/>
      <w:szCs w:val="20"/>
      <w:lang w:val="en-US" w:eastAsia="zh-CN" w:bidi="ar"/>
    </w:rPr>
  </w:style>
  <w:style w:type="character" w:customStyle="1" w:styleId="83">
    <w:name w:val="HTML 预设格式 Char"/>
    <w:basedOn w:val="28"/>
    <w:link w:val="21"/>
    <w:qFormat/>
    <w:uiPriority w:val="0"/>
    <w:rPr>
      <w:rFonts w:hint="default" w:ascii="Arial" w:hAnsi="Arial" w:cs="Arial"/>
      <w:sz w:val="28"/>
      <w:szCs w:val="28"/>
    </w:rPr>
  </w:style>
  <w:style w:type="character" w:customStyle="1" w:styleId="84">
    <w:name w:val="页脚 Char"/>
    <w:basedOn w:val="28"/>
    <w:link w:val="16"/>
    <w:qFormat/>
    <w:uiPriority w:val="0"/>
    <w:rPr>
      <w:kern w:val="2"/>
      <w:sz w:val="18"/>
      <w:szCs w:val="18"/>
    </w:rPr>
  </w:style>
  <w:style w:type="paragraph" w:customStyle="1" w:styleId="85">
    <w:name w:val="正文样式"/>
    <w:basedOn w:val="1"/>
    <w:qFormat/>
    <w:uiPriority w:val="0"/>
    <w:pPr>
      <w:snapToGrid w:val="0"/>
      <w:spacing w:line="520" w:lineRule="exact"/>
      <w:ind w:firstLine="562"/>
    </w:pPr>
    <w:rPr>
      <w:color w:val="000000"/>
      <w:sz w:val="28"/>
      <w:szCs w:val="28"/>
    </w:rPr>
  </w:style>
  <w:style w:type="table" w:customStyle="1" w:styleId="86">
    <w:name w:val="Table Normal"/>
    <w:semiHidden/>
    <w:unhideWhenUsed/>
    <w:qFormat/>
    <w:uiPriority w:val="0"/>
    <w:tblPr>
      <w:tblLayout w:type="fixed"/>
      <w:tblCellMar>
        <w:top w:w="0" w:type="dxa"/>
        <w:left w:w="0" w:type="dxa"/>
        <w:bottom w:w="0" w:type="dxa"/>
        <w:right w:w="0" w:type="dxa"/>
      </w:tblCellMar>
    </w:tblPr>
  </w:style>
  <w:style w:type="paragraph" w:customStyle="1" w:styleId="87">
    <w:name w:val="LO-Normal"/>
    <w:qFormat/>
    <w:uiPriority w:val="0"/>
    <w:pPr>
      <w:suppressAutoHyphens/>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24818</Words>
  <Characters>26170</Characters>
  <Lines>227</Lines>
  <Paragraphs>64</Paragraphs>
  <TotalTime>1</TotalTime>
  <ScaleCrop>false</ScaleCrop>
  <LinksUpToDate>false</LinksUpToDate>
  <CharactersWithSpaces>28257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2020-03-12T10:44:00Z</dcterms:created>
  <dc:creator>Lenovo</dc:creator>
  <cp:lastModifiedBy>lenovo</cp:lastModifiedBy>
  <cp:lastPrinted>2021-04-14T04:10:00Z</cp:lastPrinted>
  <dcterms:modified xsi:type="dcterms:W3CDTF">2022-05-23T13:19:13Z</dcterms:modified>
  <dc:title>伊犁州新华医院钬激光外科手术系统采购项目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659F6A65D4244DD283A1E508C5333C8C</vt:lpwstr>
  </property>
</Properties>
</file>