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Tahoma" w:hAnsi="Tahoma" w:eastAsia="黑体" w:cs="Tahoma"/>
          <w:b/>
          <w:bCs/>
          <w:color w:val="000000" w:themeColor="text1"/>
          <w:sz w:val="44"/>
          <w:highlight w:val="none"/>
          <w14:textFill>
            <w14:solidFill>
              <w14:schemeClr w14:val="tx1"/>
            </w14:solidFill>
          </w14:textFill>
        </w:rPr>
      </w:pPr>
    </w:p>
    <w:p>
      <w:pPr>
        <w:spacing w:line="240" w:lineRule="exact"/>
        <w:jc w:val="center"/>
        <w:rPr>
          <w:rFonts w:ascii="Tahoma" w:hAnsi="Tahoma" w:eastAsia="黑体" w:cs="Tahoma"/>
          <w:b/>
          <w:bCs/>
          <w:color w:val="000000" w:themeColor="text1"/>
          <w:sz w:val="44"/>
          <w:highlight w:val="none"/>
          <w14:textFill>
            <w14:solidFill>
              <w14:schemeClr w14:val="tx1"/>
            </w14:solidFill>
          </w14:textFill>
        </w:rPr>
      </w:pPr>
    </w:p>
    <w:p>
      <w:pPr>
        <w:spacing w:line="400" w:lineRule="exact"/>
        <w:jc w:val="center"/>
        <w:rPr>
          <w:rFonts w:ascii="Tahoma" w:hAnsi="黑体" w:eastAsia="黑体" w:cs="Tahoma"/>
          <w:b/>
          <w:color w:val="000000" w:themeColor="text1"/>
          <w:sz w:val="44"/>
          <w:szCs w:val="44"/>
          <w:highlight w:val="none"/>
          <w14:textFill>
            <w14:solidFill>
              <w14:schemeClr w14:val="tx1"/>
            </w14:solidFill>
          </w14:textFill>
        </w:rPr>
      </w:pPr>
    </w:p>
    <w:p>
      <w:pPr>
        <w:spacing w:line="276" w:lineRule="auto"/>
        <w:jc w:val="center"/>
        <w:rPr>
          <w:rFonts w:hint="eastAsia" w:ascii="Tahoma" w:hAnsi="黑体" w:eastAsia="黑体" w:cs="Tahoma"/>
          <w:b/>
          <w:color w:val="000000" w:themeColor="text1"/>
          <w:sz w:val="52"/>
          <w:szCs w:val="52"/>
          <w:highlight w:val="none"/>
          <w:lang w:eastAsia="zh-CN"/>
          <w14:textFill>
            <w14:solidFill>
              <w14:schemeClr w14:val="tx1"/>
            </w14:solidFill>
          </w14:textFill>
        </w:rPr>
      </w:pPr>
      <w:r>
        <w:rPr>
          <w:rFonts w:hint="eastAsia" w:ascii="Tahoma" w:hAnsi="黑体" w:eastAsia="黑体" w:cs="Tahoma"/>
          <w:b/>
          <w:color w:val="000000" w:themeColor="text1"/>
          <w:sz w:val="52"/>
          <w:szCs w:val="52"/>
          <w:highlight w:val="none"/>
          <w:lang w:val="en-US" w:eastAsia="zh-CN"/>
          <w14:textFill>
            <w14:solidFill>
              <w14:schemeClr w14:val="tx1"/>
            </w14:solidFill>
          </w14:textFill>
        </w:rPr>
        <w:t>和田地区</w:t>
      </w:r>
      <w:r>
        <w:rPr>
          <w:rFonts w:hint="eastAsia" w:ascii="Tahoma" w:hAnsi="黑体" w:eastAsia="黑体" w:cs="Tahoma"/>
          <w:b/>
          <w:color w:val="000000" w:themeColor="text1"/>
          <w:sz w:val="52"/>
          <w:szCs w:val="52"/>
          <w:highlight w:val="none"/>
          <w:lang w:eastAsia="zh-CN"/>
          <w14:textFill>
            <w14:solidFill>
              <w14:schemeClr w14:val="tx1"/>
            </w14:solidFill>
          </w14:textFill>
        </w:rPr>
        <w:t>和田县人民医院综合能力提升及</w:t>
      </w:r>
    </w:p>
    <w:p>
      <w:pPr>
        <w:spacing w:line="276" w:lineRule="auto"/>
        <w:jc w:val="center"/>
        <w:rPr>
          <w:rFonts w:hint="eastAsia" w:ascii="Tahoma" w:hAnsi="Tahoma" w:eastAsia="黑体" w:cs="Tahoma"/>
          <w:color w:val="000000" w:themeColor="text1"/>
          <w:sz w:val="96"/>
          <w:highlight w:val="none"/>
          <w:lang w:eastAsia="zh-CN"/>
          <w14:textFill>
            <w14:solidFill>
              <w14:schemeClr w14:val="tx1"/>
            </w14:solidFill>
          </w14:textFill>
        </w:rPr>
      </w:pPr>
      <w:r>
        <w:rPr>
          <w:rFonts w:hint="eastAsia" w:ascii="Tahoma" w:hAnsi="黑体" w:eastAsia="黑体" w:cs="Tahoma"/>
          <w:b/>
          <w:color w:val="000000" w:themeColor="text1"/>
          <w:sz w:val="52"/>
          <w:szCs w:val="52"/>
          <w:highlight w:val="none"/>
          <w:lang w:eastAsia="zh-CN"/>
          <w14:textFill>
            <w14:solidFill>
              <w14:schemeClr w14:val="tx1"/>
            </w14:solidFill>
          </w14:textFill>
        </w:rPr>
        <w:t>信息化建设项目</w:t>
      </w: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pStyle w:val="19"/>
        <w:rPr>
          <w:color w:val="000000" w:themeColor="text1"/>
          <w:highlight w:val="none"/>
          <w14:textFill>
            <w14:solidFill>
              <w14:schemeClr w14:val="tx1"/>
            </w14:solidFill>
          </w14:textFill>
        </w:rPr>
      </w:pPr>
    </w:p>
    <w:p>
      <w:pPr>
        <w:shd w:val="clear"/>
        <w:jc w:val="center"/>
        <w:rPr>
          <w:rFonts w:ascii="Tahoma" w:hAnsi="Tahoma" w:cs="Tahoma"/>
          <w:b/>
          <w:bCs/>
          <w:color w:val="000000" w:themeColor="text1"/>
          <w:sz w:val="84"/>
          <w:highlight w:val="none"/>
          <w14:textFill>
            <w14:solidFill>
              <w14:schemeClr w14:val="tx1"/>
            </w14:solidFill>
          </w14:textFill>
        </w:rPr>
      </w:pPr>
      <w:r>
        <w:rPr>
          <w:rFonts w:ascii="Tahoma" w:hAnsi="黑体" w:eastAsia="黑体" w:cs="Tahoma"/>
          <w:b/>
          <w:bCs/>
          <w:color w:val="000000" w:themeColor="text1"/>
          <w:sz w:val="96"/>
          <w:highlight w:val="none"/>
          <w14:textFill>
            <w14:solidFill>
              <w14:schemeClr w14:val="tx1"/>
            </w14:solidFill>
          </w14:textFill>
        </w:rPr>
        <w:t>招标文件</w:t>
      </w:r>
    </w:p>
    <w:p>
      <w:pPr>
        <w:pStyle w:val="13"/>
        <w:shd w:val="clear"/>
        <w:snapToGrid w:val="0"/>
        <w:spacing w:line="400" w:lineRule="exact"/>
        <w:jc w:val="center"/>
        <w:rPr>
          <w:rFonts w:hint="default" w:ascii="Tahoma" w:hAnsi="Tahoma" w:eastAsia="黑体" w:cs="Tahoma"/>
          <w:b/>
          <w:color w:val="000000" w:themeColor="text1"/>
          <w:sz w:val="32"/>
          <w:szCs w:val="32"/>
          <w:highlight w:val="none"/>
          <w:shd w:val="clear" w:fill="FFFF00"/>
          <w:lang w:val="en-US" w:eastAsia="zh-CN"/>
          <w14:textFill>
            <w14:solidFill>
              <w14:schemeClr w14:val="tx1"/>
            </w14:solidFill>
          </w14:textFill>
        </w:rPr>
      </w:pPr>
      <w:r>
        <w:rPr>
          <w:rFonts w:ascii="Tahoma" w:hAnsi="Tahoma" w:eastAsia="黑体" w:cs="Tahoma"/>
          <w:b/>
          <w:bCs/>
          <w:color w:val="000000" w:themeColor="text1"/>
          <w:sz w:val="32"/>
          <w:szCs w:val="32"/>
          <w:highlight w:val="none"/>
          <w14:textFill>
            <w14:solidFill>
              <w14:schemeClr w14:val="tx1"/>
            </w14:solidFill>
          </w14:textFill>
        </w:rPr>
        <w:t>项目编号</w:t>
      </w:r>
      <w:r>
        <w:rPr>
          <w:rFonts w:ascii="Tahoma" w:hAnsi="Tahoma" w:eastAsia="黑体" w:cs="Tahoma"/>
          <w:b/>
          <w:bCs/>
          <w:color w:val="000000" w:themeColor="text1"/>
          <w:sz w:val="32"/>
          <w:szCs w:val="32"/>
          <w:highlight w:val="none"/>
          <w:shd w:val="clear"/>
          <w14:textFill>
            <w14:solidFill>
              <w14:schemeClr w14:val="tx1"/>
            </w14:solidFill>
          </w14:textFill>
        </w:rPr>
        <w:t>：</w:t>
      </w:r>
      <w:r>
        <w:rPr>
          <w:rFonts w:hint="eastAsia" w:ascii="Tahoma" w:hAnsi="Tahoma" w:eastAsia="黑体" w:cs="Tahoma"/>
          <w:b/>
          <w:bCs/>
          <w:color w:val="000000" w:themeColor="text1"/>
          <w:sz w:val="32"/>
          <w:szCs w:val="32"/>
          <w:highlight w:val="none"/>
          <w:shd w:val="clear"/>
          <w:lang w:eastAsia="zh-CN"/>
          <w14:textFill>
            <w14:solidFill>
              <w14:schemeClr w14:val="tx1"/>
            </w14:solidFill>
          </w14:textFill>
        </w:rPr>
        <w:t>HTXZFCG（2022FS）039号</w:t>
      </w:r>
    </w:p>
    <w:p>
      <w:pPr>
        <w:pStyle w:val="13"/>
        <w:shd w:val="clear"/>
        <w:snapToGrid w:val="0"/>
        <w:spacing w:line="240" w:lineRule="exact"/>
        <w:ind w:firstLine="3518" w:firstLineChars="1095"/>
        <w:rPr>
          <w:rFonts w:ascii="Tahoma" w:hAnsi="Tahoma" w:cs="Tahoma"/>
          <w:b/>
          <w:bCs/>
          <w:color w:val="000000" w:themeColor="text1"/>
          <w:sz w:val="32"/>
          <w:szCs w:val="32"/>
          <w:highlight w:val="none"/>
          <w:u w:val="single"/>
          <w14:textFill>
            <w14:solidFill>
              <w14:schemeClr w14:val="tx1"/>
            </w14:solidFill>
          </w14:textFill>
        </w:rPr>
      </w:pPr>
    </w:p>
    <w:p>
      <w:pPr>
        <w:pStyle w:val="13"/>
        <w:snapToGrid w:val="0"/>
        <w:spacing w:line="240" w:lineRule="exact"/>
        <w:ind w:firstLine="3518" w:firstLineChars="1095"/>
        <w:rPr>
          <w:rFonts w:ascii="Tahoma" w:hAnsi="Tahoma" w:cs="Tahoma"/>
          <w:b/>
          <w:bCs/>
          <w:color w:val="000000" w:themeColor="text1"/>
          <w:sz w:val="32"/>
          <w:szCs w:val="32"/>
          <w:highlight w:val="none"/>
          <w:u w:val="single"/>
          <w14:textFill>
            <w14:solidFill>
              <w14:schemeClr w14:val="tx1"/>
            </w14:solidFill>
          </w14:textFill>
        </w:rPr>
      </w:pPr>
    </w:p>
    <w:p>
      <w:pPr>
        <w:snapToGrid w:val="0"/>
        <w:spacing w:line="240" w:lineRule="exact"/>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both"/>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240" w:lineRule="exact"/>
        <w:jc w:val="center"/>
        <w:rPr>
          <w:rFonts w:ascii="Tahoma" w:hAnsi="Tahoma" w:eastAsia="黑体" w:cs="Tahoma"/>
          <w:b/>
          <w:bCs/>
          <w:color w:val="000000" w:themeColor="text1"/>
          <w:sz w:val="36"/>
          <w:szCs w:val="32"/>
          <w:highlight w:val="none"/>
          <w14:textFill>
            <w14:solidFill>
              <w14:schemeClr w14:val="tx1"/>
            </w14:solidFill>
          </w14:textFill>
        </w:rPr>
      </w:pPr>
    </w:p>
    <w:p>
      <w:pPr>
        <w:snapToGrid w:val="0"/>
        <w:spacing w:line="360" w:lineRule="auto"/>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黑体" w:eastAsia="黑体" w:cs="Tahoma"/>
          <w:b/>
          <w:bCs/>
          <w:color w:val="000000" w:themeColor="text1"/>
          <w:sz w:val="32"/>
          <w:szCs w:val="32"/>
          <w:highlight w:val="none"/>
          <w14:textFill>
            <w14:solidFill>
              <w14:schemeClr w14:val="tx1"/>
            </w14:solidFill>
          </w14:textFill>
        </w:rPr>
        <w:t>招标人：</w:t>
      </w:r>
      <w:r>
        <w:rPr>
          <w:rFonts w:hint="eastAsia" w:ascii="Tahoma" w:hAnsi="黑体" w:eastAsia="黑体" w:cs="Tahoma"/>
          <w:b/>
          <w:bCs/>
          <w:color w:val="000000" w:themeColor="text1"/>
          <w:sz w:val="32"/>
          <w:szCs w:val="32"/>
          <w:highlight w:val="none"/>
          <w14:textFill>
            <w14:solidFill>
              <w14:schemeClr w14:val="tx1"/>
            </w14:solidFill>
          </w14:textFill>
        </w:rPr>
        <w:t>和田县人民医院</w:t>
      </w:r>
    </w:p>
    <w:p>
      <w:pPr>
        <w:snapToGrid w:val="0"/>
        <w:spacing w:line="360" w:lineRule="auto"/>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黑体" w:eastAsia="黑体" w:cs="Tahoma"/>
          <w:b/>
          <w:bCs/>
          <w:color w:val="000000" w:themeColor="text1"/>
          <w:sz w:val="32"/>
          <w:szCs w:val="32"/>
          <w:highlight w:val="none"/>
          <w14:textFill>
            <w14:solidFill>
              <w14:schemeClr w14:val="tx1"/>
            </w14:solidFill>
          </w14:textFill>
        </w:rPr>
        <w:t>招标代理人：</w:t>
      </w:r>
      <w:r>
        <w:rPr>
          <w:rFonts w:hint="eastAsia" w:ascii="Tahoma" w:hAnsi="黑体" w:eastAsia="黑体" w:cs="Tahoma"/>
          <w:b/>
          <w:bCs/>
          <w:color w:val="000000" w:themeColor="text1"/>
          <w:sz w:val="32"/>
          <w:szCs w:val="32"/>
          <w:highlight w:val="none"/>
          <w14:textFill>
            <w14:solidFill>
              <w14:schemeClr w14:val="tx1"/>
            </w14:solidFill>
          </w14:textFill>
        </w:rPr>
        <w:t>新疆浩诚致远项目管理咨询有限公司</w:t>
      </w:r>
    </w:p>
    <w:p>
      <w:pPr>
        <w:snapToGrid w:val="0"/>
        <w:spacing w:line="360" w:lineRule="auto"/>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黑体" w:eastAsia="黑体" w:cs="Tahoma"/>
          <w:b/>
          <w:bCs/>
          <w:color w:val="000000" w:themeColor="text1"/>
          <w:sz w:val="32"/>
          <w:szCs w:val="32"/>
          <w:highlight w:val="none"/>
          <w14:textFill>
            <w14:solidFill>
              <w14:schemeClr w14:val="tx1"/>
            </w14:solidFill>
          </w14:textFill>
        </w:rPr>
        <w:t>日</w:t>
      </w:r>
      <w:r>
        <w:rPr>
          <w:rFonts w:ascii="Tahoma" w:hAnsi="Tahoma" w:eastAsia="黑体" w:cs="Tahoma"/>
          <w:b/>
          <w:bCs/>
          <w:color w:val="000000" w:themeColor="text1"/>
          <w:sz w:val="32"/>
          <w:szCs w:val="32"/>
          <w:highlight w:val="none"/>
          <w14:textFill>
            <w14:solidFill>
              <w14:schemeClr w14:val="tx1"/>
            </w14:solidFill>
          </w14:textFill>
        </w:rPr>
        <w:t xml:space="preserve">  </w:t>
      </w:r>
      <w:r>
        <w:rPr>
          <w:rFonts w:ascii="Tahoma" w:hAnsi="黑体" w:eastAsia="黑体" w:cs="Tahoma"/>
          <w:b/>
          <w:bCs/>
          <w:color w:val="000000" w:themeColor="text1"/>
          <w:sz w:val="32"/>
          <w:szCs w:val="32"/>
          <w:highlight w:val="none"/>
          <w14:textFill>
            <w14:solidFill>
              <w14:schemeClr w14:val="tx1"/>
            </w14:solidFill>
          </w14:textFill>
        </w:rPr>
        <w:t>期：</w:t>
      </w:r>
      <w:r>
        <w:rPr>
          <w:rFonts w:ascii="Tahoma" w:hAnsi="Tahoma" w:eastAsia="黑体" w:cs="Tahoma"/>
          <w:b/>
          <w:bCs/>
          <w:color w:val="000000" w:themeColor="text1"/>
          <w:sz w:val="32"/>
          <w:szCs w:val="32"/>
          <w:highlight w:val="none"/>
          <w14:textFill>
            <w14:solidFill>
              <w14:schemeClr w14:val="tx1"/>
            </w14:solidFill>
          </w14:textFill>
        </w:rPr>
        <w:t>20</w:t>
      </w:r>
      <w:r>
        <w:rPr>
          <w:rFonts w:hint="eastAsia" w:ascii="Tahoma" w:hAnsi="Tahoma" w:eastAsia="黑体" w:cs="Tahoma"/>
          <w:b/>
          <w:bCs/>
          <w:color w:val="000000" w:themeColor="text1"/>
          <w:sz w:val="32"/>
          <w:szCs w:val="32"/>
          <w:highlight w:val="none"/>
          <w14:textFill>
            <w14:solidFill>
              <w14:schemeClr w14:val="tx1"/>
            </w14:solidFill>
          </w14:textFill>
        </w:rPr>
        <w:t>2</w:t>
      </w:r>
      <w:r>
        <w:rPr>
          <w:rFonts w:hint="eastAsia" w:ascii="Tahoma" w:hAnsi="Tahoma" w:eastAsia="黑体" w:cs="Tahoma"/>
          <w:b/>
          <w:bCs/>
          <w:color w:val="000000" w:themeColor="text1"/>
          <w:sz w:val="32"/>
          <w:szCs w:val="32"/>
          <w:highlight w:val="none"/>
          <w:lang w:val="en-US" w:eastAsia="zh-CN"/>
          <w14:textFill>
            <w14:solidFill>
              <w14:schemeClr w14:val="tx1"/>
            </w14:solidFill>
          </w14:textFill>
        </w:rPr>
        <w:t>2</w:t>
      </w:r>
      <w:r>
        <w:rPr>
          <w:rFonts w:ascii="Tahoma" w:hAnsi="Tahoma" w:eastAsia="黑体" w:cs="Tahoma"/>
          <w:b/>
          <w:bCs/>
          <w:color w:val="000000" w:themeColor="text1"/>
          <w:sz w:val="32"/>
          <w:szCs w:val="32"/>
          <w:highlight w:val="none"/>
          <w14:textFill>
            <w14:solidFill>
              <w14:schemeClr w14:val="tx1"/>
            </w14:solidFill>
          </w14:textFill>
        </w:rPr>
        <w:t>年</w:t>
      </w:r>
      <w:r>
        <w:rPr>
          <w:rFonts w:hint="eastAsia" w:ascii="Tahoma" w:hAnsi="Tahoma" w:eastAsia="黑体" w:cs="Tahoma"/>
          <w:b/>
          <w:bCs/>
          <w:color w:val="000000" w:themeColor="text1"/>
          <w:sz w:val="32"/>
          <w:szCs w:val="32"/>
          <w:highlight w:val="none"/>
          <w:lang w:val="en-US" w:eastAsia="zh-CN"/>
          <w14:textFill>
            <w14:solidFill>
              <w14:schemeClr w14:val="tx1"/>
            </w14:solidFill>
          </w14:textFill>
        </w:rPr>
        <w:t>5</w:t>
      </w:r>
      <w:r>
        <w:rPr>
          <w:rFonts w:ascii="Tahoma" w:hAnsi="Tahoma" w:eastAsia="黑体" w:cs="Tahoma"/>
          <w:b/>
          <w:bCs/>
          <w:color w:val="000000" w:themeColor="text1"/>
          <w:sz w:val="32"/>
          <w:szCs w:val="32"/>
          <w:highlight w:val="none"/>
          <w14:textFill>
            <w14:solidFill>
              <w14:schemeClr w14:val="tx1"/>
            </w14:solidFill>
          </w14:textFill>
        </w:rPr>
        <w:t>月</w:t>
      </w:r>
    </w:p>
    <w:p>
      <w:pPr>
        <w:snapToGrid w:val="0"/>
        <w:spacing w:line="2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360" w:lineRule="exact"/>
        <w:jc w:val="center"/>
        <w:rPr>
          <w:rFonts w:ascii="Tahoma" w:hAnsi="Tahoma" w:eastAsia="黑体" w:cs="Tahoma"/>
          <w:b/>
          <w:color w:val="000000" w:themeColor="text1"/>
          <w:sz w:val="36"/>
          <w:szCs w:val="36"/>
          <w:highlight w:val="none"/>
          <w14:textFill>
            <w14:solidFill>
              <w14:schemeClr w14:val="tx1"/>
            </w14:solidFill>
          </w14:textFill>
        </w:rPr>
      </w:pPr>
      <w:r>
        <w:rPr>
          <w:rFonts w:ascii="Tahoma" w:hAnsi="Tahoma" w:eastAsia="黑体" w:cs="Tahoma"/>
          <w:b/>
          <w:color w:val="000000" w:themeColor="text1"/>
          <w:sz w:val="36"/>
          <w:szCs w:val="36"/>
          <w:highlight w:val="none"/>
          <w14:textFill>
            <w14:solidFill>
              <w14:schemeClr w14:val="tx1"/>
            </w14:solidFill>
          </w14:textFill>
        </w:rPr>
        <w:t>目   录</w:t>
      </w:r>
    </w:p>
    <w:p>
      <w:pPr>
        <w:spacing w:line="360" w:lineRule="exact"/>
        <w:jc w:val="center"/>
        <w:rPr>
          <w:rFonts w:ascii="Tahoma" w:hAnsi="Tahoma" w:eastAsia="黑体" w:cs="Tahoma"/>
          <w:b/>
          <w:color w:val="000000" w:themeColor="text1"/>
          <w:sz w:val="36"/>
          <w:szCs w:val="36"/>
          <w:highlight w:val="none"/>
          <w14:textFill>
            <w14:solidFill>
              <w14:schemeClr w14:val="tx1"/>
            </w14:solidFill>
          </w14:textFill>
        </w:rPr>
      </w:pPr>
    </w:p>
    <w:p>
      <w:pPr>
        <w:spacing w:line="240" w:lineRule="exact"/>
        <w:jc w:val="center"/>
        <w:rPr>
          <w:rFonts w:ascii="Tahoma" w:hAnsi="Tahoma" w:eastAsia="黑体" w:cs="Tahoma"/>
          <w:color w:val="000000" w:themeColor="text1"/>
          <w:sz w:val="24"/>
          <w:highlight w:val="none"/>
          <w14:textFill>
            <w14:solidFill>
              <w14:schemeClr w14:val="tx1"/>
            </w14:solidFill>
          </w14:textFill>
        </w:rPr>
      </w:pPr>
    </w:p>
    <w:p>
      <w:pPr>
        <w:tabs>
          <w:tab w:val="right" w:leader="middleDot" w:pos="9000"/>
        </w:tabs>
        <w:spacing w:line="600" w:lineRule="auto"/>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fldChar w:fldCharType="begin"/>
      </w:r>
      <w:r>
        <w:rPr>
          <w:rFonts w:ascii="Tahoma" w:hAnsi="Tahoma" w:eastAsia="黑体" w:cs="Tahoma"/>
          <w:b/>
          <w:color w:val="000000" w:themeColor="text1"/>
          <w:szCs w:val="21"/>
          <w:highlight w:val="none"/>
          <w14:textFill>
            <w14:solidFill>
              <w14:schemeClr w14:val="tx1"/>
            </w14:solidFill>
          </w14:textFill>
        </w:rPr>
        <w:instrText xml:space="preserve">TOC \o "1-1" \h \u </w:instrText>
      </w:r>
      <w:r>
        <w:rPr>
          <w:rFonts w:ascii="Tahoma" w:hAnsi="Tahoma" w:eastAsia="黑体" w:cs="Tahoma"/>
          <w:b/>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"_Toc4908"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 xml:space="preserve">第一章 </w:t>
      </w:r>
      <w:r>
        <w:rPr>
          <w:rFonts w:hint="eastAsia" w:ascii="Tahoma" w:hAnsi="Tahoma" w:eastAsia="黑体" w:cs="Tahoma"/>
          <w:b/>
          <w:color w:val="000000" w:themeColor="text1"/>
          <w:sz w:val="24"/>
          <w:highlight w:val="none"/>
          <w:lang w:val="en-US" w:eastAsia="zh-CN"/>
          <w14:textFill>
            <w14:solidFill>
              <w14:schemeClr w14:val="tx1"/>
            </w14:solidFill>
          </w14:textFill>
        </w:rPr>
        <w:t>招标公告</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3</w:t>
      </w:r>
      <w:r>
        <w:rPr>
          <w:rFonts w:hint="eastAsia" w:ascii="Tahoma" w:hAnsi="Tahoma" w:eastAsia="黑体" w:cs="Tahoma"/>
          <w:b/>
          <w:color w:val="000000" w:themeColor="text1"/>
          <w:sz w:val="24"/>
          <w:highlight w:val="none"/>
          <w14:textFill>
            <w14:solidFill>
              <w14:schemeClr w14:val="tx1"/>
            </w14:solidFill>
          </w14:textFill>
        </w:rPr>
        <w:fldChar w:fldCharType="end"/>
      </w:r>
    </w:p>
    <w:p>
      <w:pPr>
        <w:tabs>
          <w:tab w:val="right" w:leader="middleDot" w:pos="9000"/>
        </w:tabs>
        <w:spacing w:line="600" w:lineRule="auto"/>
        <w:jc w:val="center"/>
        <w:rPr>
          <w:rFonts w:ascii="Tahoma" w:hAnsi="Tahoma" w:eastAsia="黑体" w:cs="Tahoma"/>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"_Toc1120"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第二章 投标人须知</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9</w:t>
      </w:r>
      <w:r>
        <w:rPr>
          <w:rFonts w:ascii="Tahoma" w:hAnsi="Tahoma" w:eastAsia="黑体" w:cs="Tahoma"/>
          <w:b/>
          <w:color w:val="000000" w:themeColor="text1"/>
          <w:sz w:val="24"/>
          <w:highlight w:val="none"/>
          <w14:textFill>
            <w14:solidFill>
              <w14:schemeClr w14:val="tx1"/>
            </w14:solidFill>
          </w14:textFill>
        </w:rPr>
        <w:fldChar w:fldCharType="end"/>
      </w:r>
    </w:p>
    <w:p>
      <w:pPr>
        <w:tabs>
          <w:tab w:val="right" w:leader="middleDot" w:pos="9000"/>
        </w:tabs>
        <w:spacing w:line="600" w:lineRule="auto"/>
        <w:jc w:val="center"/>
        <w:rPr>
          <w:rFonts w:hint="eastAsia" w:ascii="Tahoma" w:hAnsi="Tahoma" w:eastAsia="黑体" w:cs="Tahoma"/>
          <w:b/>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"_Toc17885"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第三章 评标办法</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2</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6</w:t>
      </w:r>
    </w:p>
    <w:p>
      <w:pPr>
        <w:tabs>
          <w:tab w:val="right" w:leader="middleDot" w:pos="9000"/>
        </w:tabs>
        <w:spacing w:line="600" w:lineRule="auto"/>
        <w:jc w:val="center"/>
        <w:rPr>
          <w:rFonts w:hint="eastAsia" w:ascii="Tahoma" w:hAnsi="Tahoma" w:eastAsia="黑体" w:cs="Tahoma"/>
          <w:b/>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"_Toc30156"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第四章 合同附件格式及条款</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3</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6</w:t>
      </w:r>
    </w:p>
    <w:p>
      <w:pPr>
        <w:tabs>
          <w:tab w:val="right" w:leader="middleDot" w:pos="9000"/>
        </w:tabs>
        <w:spacing w:line="600" w:lineRule="auto"/>
        <w:jc w:val="center"/>
        <w:rPr>
          <w:rFonts w:hint="eastAsia" w:ascii="Tahoma" w:hAnsi="Tahoma" w:eastAsia="黑体" w:cs="Tahoma"/>
          <w:b/>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"_Toc11713"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 xml:space="preserve">第五章 </w:t>
      </w:r>
      <w:r>
        <w:rPr>
          <w:rFonts w:hint="eastAsia" w:ascii="Tahoma" w:hAnsi="Tahoma" w:eastAsia="黑体" w:cs="Tahoma"/>
          <w:b/>
          <w:color w:val="000000" w:themeColor="text1"/>
          <w:sz w:val="24"/>
          <w:highlight w:val="none"/>
          <w14:textFill>
            <w14:solidFill>
              <w14:schemeClr w14:val="tx1"/>
            </w14:solidFill>
          </w14:textFill>
        </w:rPr>
        <w:t>货物</w:t>
      </w:r>
      <w:r>
        <w:rPr>
          <w:rFonts w:ascii="Tahoma" w:hAnsi="Tahoma" w:eastAsia="黑体" w:cs="Tahoma"/>
          <w:b/>
          <w:color w:val="000000" w:themeColor="text1"/>
          <w:sz w:val="24"/>
          <w:highlight w:val="none"/>
          <w14:textFill>
            <w14:solidFill>
              <w14:schemeClr w14:val="tx1"/>
            </w14:solidFill>
          </w14:textFill>
        </w:rPr>
        <w:t>（产品）采购清单</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5</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0</w:t>
      </w:r>
    </w:p>
    <w:p>
      <w:pPr>
        <w:tabs>
          <w:tab w:val="right" w:leader="middleDot" w:pos="9000"/>
        </w:tabs>
        <w:spacing w:line="600" w:lineRule="auto"/>
        <w:jc w:val="center"/>
        <w:rPr>
          <w:rFonts w:hint="eastAsia" w:ascii="Tahoma" w:hAnsi="Tahoma" w:eastAsia="黑体" w:cs="Tahoma"/>
          <w:b/>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"_Toc32713"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第六章 技术标准及要求</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6</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2</w:t>
      </w:r>
    </w:p>
    <w:p>
      <w:pPr>
        <w:tabs>
          <w:tab w:val="right" w:leader="middleDot" w:pos="9000"/>
        </w:tabs>
        <w:spacing w:line="720" w:lineRule="auto"/>
        <w:jc w:val="center"/>
        <w:rPr>
          <w:rFonts w:hint="default" w:ascii="Tahoma" w:hAnsi="Tahoma" w:eastAsia="黑体" w:cs="Tahoma"/>
          <w:b/>
          <w:color w:val="000000" w:themeColor="text1"/>
          <w:szCs w:val="2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"_Toc26727" </w:instrText>
      </w:r>
      <w:r>
        <w:rPr>
          <w:color w:val="000000" w:themeColor="text1"/>
          <w:highlight w:val="none"/>
          <w14:textFill>
            <w14:solidFill>
              <w14:schemeClr w14:val="tx1"/>
            </w14:solidFill>
          </w14:textFill>
        </w:rPr>
        <w:fldChar w:fldCharType="separate"/>
      </w:r>
      <w:r>
        <w:rPr>
          <w:rFonts w:ascii="Tahoma" w:hAnsi="Tahoma" w:eastAsia="黑体" w:cs="Tahoma"/>
          <w:b/>
          <w:color w:val="000000" w:themeColor="text1"/>
          <w:sz w:val="24"/>
          <w:highlight w:val="none"/>
          <w14:textFill>
            <w14:solidFill>
              <w14:schemeClr w14:val="tx1"/>
            </w14:solidFill>
          </w14:textFill>
        </w:rPr>
        <w:t>第七章 投标文件格式</w:t>
      </w:r>
      <w:r>
        <w:rPr>
          <w:rFonts w:ascii="Tahoma" w:hAnsi="Tahoma" w:eastAsia="黑体" w:cs="Tahoma"/>
          <w:b/>
          <w:color w:val="000000" w:themeColor="text1"/>
          <w:sz w:val="24"/>
          <w:highlight w:val="none"/>
          <w14:textFill>
            <w14:solidFill>
              <w14:schemeClr w14:val="tx1"/>
            </w14:solidFill>
          </w14:textFill>
        </w:rPr>
        <w:tab/>
      </w:r>
      <w:r>
        <w:rPr>
          <w:rFonts w:hint="eastAsia" w:ascii="Tahoma" w:hAnsi="Tahoma" w:eastAsia="黑体" w:cs="Tahoma"/>
          <w:b/>
          <w:color w:val="000000" w:themeColor="text1"/>
          <w:sz w:val="24"/>
          <w:highlight w:val="none"/>
          <w:lang w:val="en-US" w:eastAsia="zh-CN"/>
          <w14:textFill>
            <w14:solidFill>
              <w14:schemeClr w14:val="tx1"/>
            </w14:solidFill>
          </w14:textFill>
        </w:rPr>
        <w:t>1</w:t>
      </w:r>
      <w:r>
        <w:rPr>
          <w:rFonts w:ascii="Tahoma" w:hAnsi="Tahoma" w:eastAsia="黑体" w:cs="Tahoma"/>
          <w:b/>
          <w:color w:val="000000" w:themeColor="text1"/>
          <w:sz w:val="24"/>
          <w:highlight w:val="none"/>
          <w14:textFill>
            <w14:solidFill>
              <w14:schemeClr w14:val="tx1"/>
            </w14:solidFill>
          </w14:textFill>
        </w:rPr>
        <w:fldChar w:fldCharType="end"/>
      </w:r>
      <w:r>
        <w:rPr>
          <w:rFonts w:hint="eastAsia" w:ascii="Tahoma" w:hAnsi="Tahoma" w:eastAsia="黑体" w:cs="Tahoma"/>
          <w:b/>
          <w:color w:val="000000" w:themeColor="text1"/>
          <w:sz w:val="24"/>
          <w:highlight w:val="none"/>
          <w:lang w:val="en-US" w:eastAsia="zh-CN"/>
          <w14:textFill>
            <w14:solidFill>
              <w14:schemeClr w14:val="tx1"/>
            </w14:solidFill>
          </w14:textFill>
        </w:rPr>
        <w:t>36</w:t>
      </w:r>
    </w:p>
    <w:p>
      <w:pPr>
        <w:tabs>
          <w:tab w:val="right" w:leader="middleDot" w:pos="9000"/>
        </w:tabs>
        <w:spacing w:line="720" w:lineRule="auto"/>
        <w:jc w:val="center"/>
        <w:rPr>
          <w:rFonts w:ascii="Tahoma" w:hAnsi="Tahoma" w:eastAsia="黑体" w:cs="Tahoma"/>
          <w:b/>
          <w:color w:val="000000" w:themeColor="text1"/>
          <w:szCs w:val="21"/>
          <w:highlight w:val="none"/>
          <w14:textFill>
            <w14:solidFill>
              <w14:schemeClr w14:val="tx1"/>
            </w14:solidFill>
          </w14:textFill>
        </w:rPr>
      </w:pPr>
    </w:p>
    <w:p>
      <w:pPr>
        <w:tabs>
          <w:tab w:val="right" w:leader="middleDot" w:pos="9000"/>
        </w:tabs>
        <w:spacing w:line="720" w:lineRule="auto"/>
        <w:rPr>
          <w:rFonts w:ascii="Tahoma" w:hAnsi="Tahoma" w:cs="Tahoma"/>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fldChar w:fldCharType="end"/>
      </w:r>
    </w:p>
    <w:p>
      <w:pPr>
        <w:pStyle w:val="2"/>
        <w:ind w:firstLine="2530" w:firstLineChars="700"/>
        <w:rPr>
          <w:rFonts w:ascii="Tahoma" w:hAnsi="Tahoma" w:cs="Tahoma"/>
          <w:b/>
          <w:bCs/>
          <w:color w:val="000000" w:themeColor="text1"/>
          <w:sz w:val="36"/>
          <w:highlight w:val="none"/>
          <w14:textFill>
            <w14:solidFill>
              <w14:schemeClr w14:val="tx1"/>
            </w14:solidFill>
          </w14:textFill>
        </w:rPr>
      </w:pPr>
    </w:p>
    <w:p>
      <w:pPr>
        <w:pStyle w:val="2"/>
        <w:ind w:firstLine="2530" w:firstLineChars="700"/>
        <w:rPr>
          <w:rFonts w:ascii="Tahoma" w:hAnsi="Tahoma" w:cs="Tahoma"/>
          <w:b/>
          <w:bCs/>
          <w:color w:val="000000" w:themeColor="text1"/>
          <w:sz w:val="36"/>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pStyle w:val="2"/>
        <w:spacing w:line="240" w:lineRule="exact"/>
        <w:ind w:firstLine="3092" w:firstLineChars="700"/>
        <w:rPr>
          <w:rFonts w:ascii="Tahoma" w:hAnsi="Tahoma" w:eastAsia="黑体" w:cs="Tahoma"/>
          <w:b/>
          <w:bCs/>
          <w:color w:val="000000" w:themeColor="text1"/>
          <w:sz w:val="4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ind w:firstLine="3092" w:firstLineChars="700"/>
        <w:jc w:val="both"/>
        <w:textAlignment w:val="auto"/>
        <w:rPr>
          <w:rFonts w:hint="default" w:ascii="Tahoma" w:hAnsi="Tahoma" w:eastAsia="黑体" w:cs="Tahoma"/>
          <w:b/>
          <w:bCs/>
          <w:color w:val="000000" w:themeColor="text1"/>
          <w:kern w:val="0"/>
          <w:sz w:val="44"/>
          <w:highlight w:val="none"/>
          <w:lang w:val="en-US" w:eastAsia="zh-CN"/>
          <w14:textFill>
            <w14:solidFill>
              <w14:schemeClr w14:val="tx1"/>
            </w14:solidFill>
          </w14:textFill>
        </w:rPr>
      </w:pPr>
      <w:r>
        <w:rPr>
          <w:rFonts w:hint="eastAsia" w:ascii="Tahoma" w:hAnsi="Tahoma" w:eastAsia="黑体" w:cs="Tahoma"/>
          <w:b/>
          <w:bCs/>
          <w:color w:val="000000" w:themeColor="text1"/>
          <w:kern w:val="0"/>
          <w:sz w:val="44"/>
          <w:highlight w:val="none"/>
          <w:lang w:eastAsia="zh-CN"/>
          <w14:textFill>
            <w14:solidFill>
              <w14:schemeClr w14:val="tx1"/>
            </w14:solidFill>
          </w14:textFill>
        </w:rPr>
        <w:t>第一章</w:t>
      </w:r>
      <w:r>
        <w:rPr>
          <w:rFonts w:hint="eastAsia" w:ascii="Tahoma" w:hAnsi="Tahoma" w:eastAsia="黑体" w:cs="Tahoma"/>
          <w:b/>
          <w:bCs/>
          <w:color w:val="000000" w:themeColor="text1"/>
          <w:kern w:val="0"/>
          <w:sz w:val="44"/>
          <w:highlight w:val="none"/>
          <w:lang w:val="en-US" w:eastAsia="zh-CN"/>
          <w14:textFill>
            <w14:solidFill>
              <w14:schemeClr w14:val="tx1"/>
            </w14:solidFill>
          </w14:textFill>
        </w:rPr>
        <w:t xml:space="preserve">   </w:t>
      </w:r>
      <w:r>
        <w:rPr>
          <w:rFonts w:hint="eastAsia" w:ascii="Tahoma" w:hAnsi="Tahoma" w:eastAsia="黑体" w:cs="Tahoma"/>
          <w:b/>
          <w:bCs/>
          <w:color w:val="000000" w:themeColor="text1"/>
          <w:kern w:val="0"/>
          <w:sz w:val="44"/>
          <w:highlight w:val="none"/>
          <w:lang w:eastAsia="zh-CN"/>
          <w14:textFill>
            <w14:solidFill>
              <w14:schemeClr w14:val="tx1"/>
            </w14:solidFill>
          </w14:textFill>
        </w:rPr>
        <w:t>招标公告</w:t>
      </w: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pStyle w:val="19"/>
        <w:rPr>
          <w:color w:val="000000" w:themeColor="text1"/>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spacing w:line="360" w:lineRule="exact"/>
        <w:rPr>
          <w:rFonts w:ascii="Tahoma" w:hAnsi="Tahoma" w:eastAsia="黑体" w:cs="Tahoma"/>
          <w:b/>
          <w:bCs/>
          <w:color w:val="000000" w:themeColor="text1"/>
          <w:kern w:val="0"/>
          <w:sz w:val="44"/>
          <w:highlight w:val="none"/>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color w:val="000000" w:themeColor="text1"/>
          <w:sz w:val="36"/>
          <w:szCs w:val="36"/>
          <w:highlight w:val="none"/>
          <w14:textFill>
            <w14:solidFill>
              <w14:schemeClr w14:val="tx1"/>
            </w14:solidFill>
          </w14:textFill>
        </w:rPr>
      </w:pPr>
      <w:r>
        <w:rPr>
          <w:rFonts w:hint="eastAsia"/>
          <w:color w:val="000000" w:themeColor="text1"/>
          <w:sz w:val="36"/>
          <w:szCs w:val="36"/>
          <w:highlight w:val="none"/>
          <w:lang w:eastAsia="zh-CN"/>
          <w14:textFill>
            <w14:solidFill>
              <w14:schemeClr w14:val="tx1"/>
            </w14:solidFill>
          </w14:textFill>
        </w:rPr>
        <w:t>和田地区和田县人民医院综合能力提升及信息化建设项目</w:t>
      </w:r>
      <w:r>
        <w:rPr>
          <w:color w:val="000000" w:themeColor="text1"/>
          <w:sz w:val="36"/>
          <w:szCs w:val="36"/>
          <w:highlight w:val="none"/>
          <w14:textFill>
            <w14:solidFill>
              <w14:schemeClr w14:val="tx1"/>
            </w14:solidFill>
          </w14:textFill>
        </w:rPr>
        <w:t>公开招标公告</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textAlignment w:val="auto"/>
        <w:rPr>
          <w:color w:val="000000" w:themeColor="text1"/>
          <w:highlight w:val="none"/>
          <w14:textFill>
            <w14:solidFill>
              <w14:schemeClr w14:val="tx1"/>
            </w14:solidFill>
          </w14:textFill>
        </w:rPr>
      </w:pPr>
      <w:r>
        <w:rPr>
          <w:rFonts w:ascii="仿宋" w:hAnsi="仿宋" w:eastAsia="仿宋" w:cs="仿宋"/>
          <w:color w:val="000000" w:themeColor="text1"/>
          <w:sz w:val="27"/>
          <w:szCs w:val="27"/>
          <w:highlight w:val="none"/>
          <w14:textFill>
            <w14:solidFill>
              <w14:schemeClr w14:val="tx1"/>
            </w14:solidFill>
          </w14:textFill>
        </w:rPr>
        <w:t>项目概况</w:t>
      </w:r>
      <w:r>
        <w:rPr>
          <w:rFonts w:hint="eastAsia" w:ascii="仿宋" w:hAnsi="仿宋" w:eastAsia="仿宋" w:cs="仿宋"/>
          <w:color w:val="000000" w:themeColor="text1"/>
          <w:highlight w:val="none"/>
          <w14:textFill>
            <w14:solidFill>
              <w14:schemeClr w14:val="tx1"/>
            </w14:solidFill>
          </w14:textFill>
        </w:rPr>
        <w:t xml:space="preserve"> </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firstLine="540" w:firstLineChars="20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lang w:val="en-US" w:eastAsia="zh-CN"/>
          <w14:textFill>
            <w14:solidFill>
              <w14:schemeClr w14:val="tx1"/>
            </w14:solidFill>
          </w14:textFill>
        </w:rPr>
        <w:t>和田地区</w:t>
      </w:r>
      <w:r>
        <w:rPr>
          <w:rFonts w:hint="eastAsia" w:ascii="仿宋" w:hAnsi="仿宋" w:eastAsia="仿宋" w:cs="仿宋"/>
          <w:color w:val="000000" w:themeColor="text1"/>
          <w:sz w:val="27"/>
          <w:szCs w:val="27"/>
          <w:highlight w:val="none"/>
          <w:lang w:eastAsia="zh-CN"/>
          <w14:textFill>
            <w14:solidFill>
              <w14:schemeClr w14:val="tx1"/>
            </w14:solidFill>
          </w14:textFill>
        </w:rPr>
        <w:t>和田县人民医院综合</w:t>
      </w:r>
      <w:r>
        <w:rPr>
          <w:rFonts w:hint="eastAsia" w:ascii="仿宋" w:hAnsi="仿宋" w:eastAsia="仿宋" w:cs="仿宋"/>
          <w:color w:val="000000" w:themeColor="text1"/>
          <w:sz w:val="27"/>
          <w:szCs w:val="27"/>
          <w:highlight w:val="none"/>
          <w:lang w:val="en-US" w:eastAsia="zh-CN"/>
          <w14:textFill>
            <w14:solidFill>
              <w14:schemeClr w14:val="tx1"/>
            </w14:solidFill>
          </w14:textFill>
        </w:rPr>
        <w:t>与院区</w:t>
      </w:r>
      <w:r>
        <w:rPr>
          <w:rFonts w:hint="eastAsia" w:ascii="仿宋" w:hAnsi="仿宋" w:eastAsia="仿宋" w:cs="仿宋"/>
          <w:color w:val="000000" w:themeColor="text1"/>
          <w:sz w:val="27"/>
          <w:szCs w:val="27"/>
          <w:highlight w:val="none"/>
          <w:lang w:eastAsia="zh-CN"/>
          <w14:textFill>
            <w14:solidFill>
              <w14:schemeClr w14:val="tx1"/>
            </w14:solidFill>
          </w14:textFill>
        </w:rPr>
        <w:t>能力提升及信息化建设项目</w:t>
      </w:r>
      <w:r>
        <w:rPr>
          <w:rFonts w:hint="eastAsia" w:ascii="仿宋" w:hAnsi="仿宋" w:eastAsia="仿宋" w:cs="仿宋"/>
          <w:color w:val="000000" w:themeColor="text1"/>
          <w:sz w:val="27"/>
          <w:szCs w:val="27"/>
          <w:highlight w:val="none"/>
          <w14:textFill>
            <w14:solidFill>
              <w14:schemeClr w14:val="tx1"/>
            </w14:solidFill>
          </w14:textFill>
        </w:rPr>
        <w:t>的潜在投标人应在新疆政府采购网获取招标文件，并于20</w:t>
      </w:r>
      <w:r>
        <w:rPr>
          <w:rFonts w:hint="eastAsia" w:ascii="仿宋" w:hAnsi="仿宋" w:eastAsia="仿宋" w:cs="仿宋"/>
          <w:color w:val="000000" w:themeColor="text1"/>
          <w:sz w:val="27"/>
          <w:szCs w:val="27"/>
          <w:highlight w:val="none"/>
          <w:lang w:val="en-US" w:eastAsia="zh-CN"/>
          <w14:textFill>
            <w14:solidFill>
              <w14:schemeClr w14:val="tx1"/>
            </w14:solidFill>
          </w14:textFill>
        </w:rPr>
        <w:t>22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14</w:t>
      </w:r>
      <w:r>
        <w:rPr>
          <w:rFonts w:hint="eastAsia" w:ascii="仿宋" w:hAnsi="仿宋" w:eastAsia="仿宋" w:cs="仿宋"/>
          <w:color w:val="000000" w:themeColor="text1"/>
          <w:sz w:val="27"/>
          <w:szCs w:val="27"/>
          <w:highlight w:val="none"/>
          <w14:textFill>
            <w14:solidFill>
              <w14:schemeClr w14:val="tx1"/>
            </w14:solidFill>
          </w14:textFill>
        </w:rPr>
        <w:t>日</w:t>
      </w:r>
      <w:r>
        <w:rPr>
          <w:rFonts w:hint="eastAsia" w:ascii="仿宋" w:hAnsi="仿宋" w:eastAsia="仿宋" w:cs="仿宋"/>
          <w:color w:val="000000" w:themeColor="text1"/>
          <w:sz w:val="27"/>
          <w:szCs w:val="27"/>
          <w:highlight w:val="none"/>
          <w:lang w:val="en-US" w:eastAsia="zh-CN"/>
          <w14:textFill>
            <w14:solidFill>
              <w14:schemeClr w14:val="tx1"/>
            </w14:solidFill>
          </w14:textFill>
        </w:rPr>
        <w:t>上</w:t>
      </w:r>
      <w:r>
        <w:rPr>
          <w:rFonts w:hint="eastAsia" w:ascii="仿宋" w:hAnsi="仿宋" w:eastAsia="仿宋" w:cs="仿宋"/>
          <w:color w:val="000000" w:themeColor="text1"/>
          <w:sz w:val="27"/>
          <w:szCs w:val="27"/>
          <w:highlight w:val="none"/>
          <w14:textFill>
            <w14:solidFill>
              <w14:schemeClr w14:val="tx1"/>
            </w14:solidFill>
          </w14:textFill>
        </w:rPr>
        <w:t>午1</w:t>
      </w:r>
      <w:r>
        <w:rPr>
          <w:rFonts w:hint="eastAsia" w:ascii="仿宋" w:hAnsi="仿宋" w:eastAsia="仿宋" w:cs="仿宋"/>
          <w:color w:val="000000" w:themeColor="text1"/>
          <w:sz w:val="27"/>
          <w:szCs w:val="27"/>
          <w:highlight w:val="none"/>
          <w:lang w:val="en-US"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:00（北京时间）前递交投标文件。</w:t>
      </w:r>
      <w:r>
        <w:rPr>
          <w:rFonts w:hint="eastAsia" w:ascii="仿宋" w:hAnsi="仿宋" w:eastAsia="仿宋" w:cs="仿宋"/>
          <w:color w:val="000000" w:themeColor="text1"/>
          <w:highlight w:val="none"/>
          <w14:textFill>
            <w14:solidFill>
              <w14:schemeClr w14:val="tx1"/>
            </w14:solidFill>
          </w14:textFill>
        </w:rPr>
        <w:t xml:space="preserve"> </w:t>
      </w:r>
    </w:p>
    <w:p>
      <w:pPr>
        <w:pStyle w:val="18"/>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27"/>
          <w:szCs w:val="27"/>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一、项目基本情况</w:t>
      </w:r>
      <w:r>
        <w:rPr>
          <w:rFonts w:ascii="黑体" w:hAnsi="宋体" w:eastAsia="黑体" w:cs="黑体"/>
          <w:color w:val="000000" w:themeColor="text1"/>
          <w:sz w:val="27"/>
          <w:szCs w:val="27"/>
          <w:highlight w:val="none"/>
          <w14:textFill>
            <w14:solidFill>
              <w14:schemeClr w14:val="tx1"/>
            </w14:solidFill>
          </w14:textFill>
        </w:rPr>
        <w:t xml:space="preserve"> </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sz w:val="27"/>
          <w:szCs w:val="27"/>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项目编号：</w:t>
      </w:r>
      <w:r>
        <w:rPr>
          <w:rFonts w:hint="eastAsia" w:ascii="仿宋" w:hAnsi="仿宋" w:eastAsia="仿宋" w:cs="仿宋"/>
          <w:color w:val="000000" w:themeColor="text1"/>
          <w:sz w:val="27"/>
          <w:szCs w:val="27"/>
          <w:highlight w:val="none"/>
          <w:lang w:val="en-US" w:eastAsia="zh-CN"/>
          <w14:textFill>
            <w14:solidFill>
              <w14:schemeClr w14:val="tx1"/>
            </w14:solidFill>
          </w14:textFill>
        </w:rPr>
        <w:t>HTXZFCG（2022FS）039号</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项目名称：</w:t>
      </w:r>
      <w:r>
        <w:rPr>
          <w:rFonts w:hint="eastAsia" w:ascii="仿宋" w:hAnsi="仿宋" w:eastAsia="仿宋" w:cs="仿宋"/>
          <w:color w:val="000000" w:themeColor="text1"/>
          <w:sz w:val="27"/>
          <w:szCs w:val="27"/>
          <w:highlight w:val="none"/>
          <w:lang w:eastAsia="zh-CN"/>
          <w14:textFill>
            <w14:solidFill>
              <w14:schemeClr w14:val="tx1"/>
            </w14:solidFill>
          </w14:textFill>
        </w:rPr>
        <w:t>和田地区和田县人民医院综合能力提升及信息化建设项目</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采购方式：公开招标</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预算金额（元）：</w:t>
      </w:r>
      <w:r>
        <w:rPr>
          <w:rFonts w:hint="eastAsia" w:ascii="仿宋" w:hAnsi="仿宋" w:eastAsia="仿宋" w:cs="仿宋"/>
          <w:color w:val="000000" w:themeColor="text1"/>
          <w:sz w:val="27"/>
          <w:szCs w:val="27"/>
          <w:highlight w:val="none"/>
          <w:lang w:val="en-US" w:eastAsia="zh-CN"/>
          <w14:textFill>
            <w14:solidFill>
              <w14:schemeClr w14:val="tx1"/>
            </w14:solidFill>
          </w14:textFill>
        </w:rPr>
        <w:t>21976917.00</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最高限价（元）：</w:t>
      </w:r>
      <w:r>
        <w:rPr>
          <w:rFonts w:hint="eastAsia" w:ascii="仿宋" w:hAnsi="仿宋" w:eastAsia="仿宋" w:cs="仿宋"/>
          <w:color w:val="000000" w:themeColor="text1"/>
          <w:sz w:val="27"/>
          <w:szCs w:val="27"/>
          <w:highlight w:val="none"/>
          <w:lang w:val="en-US" w:eastAsia="zh-CN"/>
          <w14:textFill>
            <w14:solidFill>
              <w14:schemeClr w14:val="tx1"/>
            </w14:solidFill>
          </w14:textFill>
        </w:rPr>
        <w:t>21976917.00</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采购需求：</w:t>
      </w:r>
      <w:r>
        <w:rPr>
          <w:rFonts w:hint="eastAsia" w:ascii="仿宋" w:hAnsi="仿宋" w:eastAsia="仿宋" w:cs="仿宋"/>
          <w:color w:val="000000" w:themeColor="text1"/>
          <w:sz w:val="27"/>
          <w:szCs w:val="27"/>
          <w:highlight w:val="none"/>
          <w:lang w:eastAsia="zh-CN"/>
          <w14:textFill>
            <w14:solidFill>
              <w14:schemeClr w14:val="tx1"/>
            </w14:solidFill>
          </w14:textFill>
        </w:rPr>
        <w:t>和田地区和田县人民医院综合能力提升及信息化建设项目</w:t>
      </w:r>
      <w:r>
        <w:rPr>
          <w:rFonts w:hint="eastAsia" w:ascii="仿宋" w:hAnsi="仿宋" w:eastAsia="仿宋" w:cs="仿宋"/>
          <w:color w:val="000000" w:themeColor="text1"/>
          <w:sz w:val="27"/>
          <w:szCs w:val="27"/>
          <w:highlight w:val="none"/>
          <w:lang w:val="en-US" w:eastAsia="zh-CN"/>
          <w14:textFill>
            <w14:solidFill>
              <w14:schemeClr w14:val="tx1"/>
            </w14:solidFill>
          </w14:textFill>
        </w:rPr>
        <w:t>软件、</w:t>
      </w:r>
      <w:r>
        <w:rPr>
          <w:rFonts w:hint="eastAsia" w:ascii="仿宋" w:hAnsi="仿宋" w:eastAsia="仿宋" w:cs="仿宋"/>
          <w:color w:val="000000" w:themeColor="text1"/>
          <w:sz w:val="27"/>
          <w:szCs w:val="27"/>
          <w:highlight w:val="none"/>
          <w14:textFill>
            <w14:solidFill>
              <w14:schemeClr w14:val="tx1"/>
            </w14:solidFill>
          </w14:textFill>
        </w:rPr>
        <w:t>硬件</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标项名称:</w:t>
      </w:r>
      <w:r>
        <w:rPr>
          <w:rFonts w:hint="eastAsia" w:ascii="仿宋" w:hAnsi="仿宋" w:eastAsia="仿宋" w:cs="仿宋"/>
          <w:color w:val="000000" w:themeColor="text1"/>
          <w:sz w:val="27"/>
          <w:szCs w:val="27"/>
          <w:highlight w:val="none"/>
          <w:lang w:eastAsia="zh-CN"/>
          <w14:textFill>
            <w14:solidFill>
              <w14:schemeClr w14:val="tx1"/>
            </w14:solidFill>
          </w14:textFill>
        </w:rPr>
        <w:t>和田地区和田县人民医院综合能力提升及信息化建设项目</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数量:/</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预算金额（元）:</w:t>
      </w:r>
      <w:r>
        <w:rPr>
          <w:rFonts w:hint="eastAsia" w:ascii="仿宋" w:hAnsi="仿宋" w:eastAsia="仿宋" w:cs="仿宋"/>
          <w:color w:val="000000" w:themeColor="text1"/>
          <w:sz w:val="27"/>
          <w:szCs w:val="27"/>
          <w:highlight w:val="none"/>
          <w:lang w:val="en-US" w:eastAsia="zh-CN"/>
          <w14:textFill>
            <w14:solidFill>
              <w14:schemeClr w14:val="tx1"/>
            </w14:solidFill>
          </w14:textFill>
        </w:rPr>
        <w:t>21976917.00</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简要规格描述或项目基本概况介绍、用途：（详见采购清单）</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备注：</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合同履约期限：</w:t>
      </w:r>
      <w:r>
        <w:rPr>
          <w:rFonts w:hint="eastAsia" w:ascii="仿宋" w:hAnsi="仿宋" w:eastAsia="仿宋" w:cs="仿宋"/>
          <w:color w:val="000000" w:themeColor="text1"/>
          <w:sz w:val="27"/>
          <w:szCs w:val="27"/>
          <w:highlight w:val="none"/>
          <w:lang w:val="en-US" w:eastAsia="zh-CN"/>
          <w14:textFill>
            <w14:solidFill>
              <w14:schemeClr w14:val="tx1"/>
            </w14:solidFill>
          </w14:textFill>
        </w:rPr>
        <w:t>合同签订后2个月内完成</w:t>
      </w:r>
      <w:r>
        <w:rPr>
          <w:rFonts w:hint="eastAsia" w:ascii="仿宋" w:hAnsi="仿宋" w:eastAsia="仿宋" w:cs="仿宋"/>
          <w:color w:val="000000" w:themeColor="text1"/>
          <w:sz w:val="27"/>
          <w:szCs w:val="27"/>
          <w:highlight w:val="none"/>
          <w14:textFill>
            <w14:solidFill>
              <w14:schemeClr w14:val="tx1"/>
            </w14:solidFill>
          </w14:textFill>
        </w:rPr>
        <w:t>。</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本项目（</w:t>
      </w:r>
      <w:r>
        <w:rPr>
          <w:rFonts w:hint="eastAsia" w:ascii="仿宋" w:hAnsi="仿宋" w:eastAsia="仿宋" w:cs="仿宋"/>
          <w:color w:val="000000" w:themeColor="text1"/>
          <w:sz w:val="27"/>
          <w:szCs w:val="27"/>
          <w:highlight w:val="none"/>
          <w:lang w:val="en-US" w:eastAsia="zh-CN"/>
          <w14:textFill>
            <w14:solidFill>
              <w14:schemeClr w14:val="tx1"/>
            </w14:solidFill>
          </w14:textFill>
        </w:rPr>
        <w:t>是</w:t>
      </w:r>
      <w:r>
        <w:rPr>
          <w:rFonts w:hint="eastAsia" w:ascii="仿宋" w:hAnsi="仿宋" w:eastAsia="仿宋" w:cs="仿宋"/>
          <w:color w:val="000000" w:themeColor="text1"/>
          <w:sz w:val="27"/>
          <w:szCs w:val="27"/>
          <w:highlight w:val="none"/>
          <w14:textFill>
            <w14:solidFill>
              <w14:schemeClr w14:val="tx1"/>
            </w14:solidFill>
          </w14:textFill>
        </w:rPr>
        <w:t>）接受联合体投标。</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textAlignment w:val="auto"/>
        <w:rPr>
          <w:color w:val="000000" w:themeColor="text1"/>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二、申请人的资格要求：</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1.满足《中华人民共和国政府采购法》第二十二条规定；</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2.落实政府采购政策需满足的资格要求：标项1：（1）《新疆维吾尔自治区政府采购促进中小企业发展管理实施办法》（新财规〔2021〕6号）；（2）《财政部、司法部关于政府采购支持监狱企业发展有关问题的通知》（财库〔2014〕68号）；（3）《关于调整优化节能产品、环境标志产品政府采购执行机制的通知》（财库〔2019）9号）；（4）《财政部民政部中国残疾人联合会关于促进残疾人就业政府采购政策的通知》（财库〔2017〕141号）。（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lang w:val="en-US" w:eastAsia="zh-CN"/>
          <w14:textFill>
            <w14:solidFill>
              <w14:schemeClr w14:val="tx1"/>
            </w14:solidFill>
          </w14:textFill>
        </w:rPr>
        <w:t>3</w:t>
      </w:r>
      <w:r>
        <w:rPr>
          <w:rFonts w:hint="eastAsia" w:ascii="仿宋" w:hAnsi="仿宋" w:eastAsia="仿宋" w:cs="仿宋"/>
          <w:color w:val="000000" w:themeColor="text1"/>
          <w:sz w:val="27"/>
          <w:szCs w:val="27"/>
          <w:highlight w:val="none"/>
          <w14:textFill>
            <w14:solidFill>
              <w14:schemeClr w14:val="tx1"/>
            </w14:solidFill>
          </w14:textFill>
        </w:rPr>
        <w:t>.本项目的特定资格要求：标项1：</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（1）投标人具备实施医院信息化建设能力，具备市场监督管理局核准的有效营业执照；</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（2）由法人参标的需提供法人身份证明及法人身份证；由委托人参标的需提供</w:t>
      </w:r>
      <w:r>
        <w:rPr>
          <w:rFonts w:hint="eastAsia" w:ascii="仿宋" w:hAnsi="仿宋" w:eastAsia="仿宋" w:cs="仿宋"/>
          <w:color w:val="000000" w:themeColor="text1"/>
          <w:sz w:val="27"/>
          <w:szCs w:val="27"/>
          <w:highlight w:val="none"/>
          <w:lang w:val="en-US" w:eastAsia="zh-CN"/>
          <w14:textFill>
            <w14:solidFill>
              <w14:schemeClr w14:val="tx1"/>
            </w14:solidFill>
          </w14:textFill>
        </w:rPr>
        <w:t>法人</w:t>
      </w:r>
      <w:r>
        <w:rPr>
          <w:rFonts w:hint="eastAsia" w:ascii="仿宋" w:hAnsi="仿宋" w:eastAsia="仿宋" w:cs="仿宋"/>
          <w:color w:val="000000" w:themeColor="text1"/>
          <w:sz w:val="27"/>
          <w:szCs w:val="27"/>
          <w:highlight w:val="none"/>
          <w14:textFill>
            <w14:solidFill>
              <w14:schemeClr w14:val="tx1"/>
            </w14:solidFill>
          </w14:textFill>
        </w:rPr>
        <w:t>授权委托书、委托人身份证（授权书需附法人及委托人身份证复印件）及近三个月社保缴纳凭证；</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（3）投标人具有良好的商业信誉和独立健全的财务会计制度（需提供</w:t>
      </w:r>
      <w:r>
        <w:rPr>
          <w:rFonts w:hint="eastAsia" w:ascii="仿宋" w:hAnsi="仿宋" w:eastAsia="仿宋" w:cs="仿宋"/>
          <w:color w:val="000000" w:themeColor="text1"/>
          <w:sz w:val="27"/>
          <w:szCs w:val="27"/>
          <w:highlight w:val="none"/>
          <w:lang w:val="en-US" w:eastAsia="zh-CN"/>
          <w14:textFill>
            <w14:solidFill>
              <w14:schemeClr w14:val="tx1"/>
            </w14:solidFill>
          </w14:textFill>
        </w:rPr>
        <w:t>2021年度</w:t>
      </w:r>
      <w:r>
        <w:rPr>
          <w:rFonts w:hint="eastAsia" w:ascii="仿宋" w:hAnsi="仿宋" w:eastAsia="仿宋" w:cs="仿宋"/>
          <w:color w:val="000000" w:themeColor="text1"/>
          <w:sz w:val="27"/>
          <w:szCs w:val="27"/>
          <w:highlight w:val="none"/>
          <w14:textFill>
            <w14:solidFill>
              <w14:schemeClr w14:val="tx1"/>
            </w14:solidFill>
          </w14:textFill>
        </w:rPr>
        <w:t>财务审计报告</w:t>
      </w:r>
      <w:r>
        <w:rPr>
          <w:rFonts w:hint="eastAsia" w:ascii="仿宋" w:hAnsi="仿宋" w:eastAsia="仿宋" w:cs="仿宋"/>
          <w:color w:val="000000" w:themeColor="text1"/>
          <w:sz w:val="27"/>
          <w:szCs w:val="27"/>
          <w:highlight w:val="none"/>
          <w:lang w:eastAsia="zh-CN"/>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2021年新成立公司提供银行出具资信证明</w:t>
      </w:r>
      <w:r>
        <w:rPr>
          <w:rFonts w:hint="eastAsia" w:ascii="仿宋" w:hAnsi="仿宋" w:eastAsia="仿宋" w:cs="仿宋"/>
          <w:color w:val="000000" w:themeColor="text1"/>
          <w:sz w:val="27"/>
          <w:szCs w:val="27"/>
          <w:highlight w:val="none"/>
          <w:lang w:eastAsia="zh-CN"/>
          <w14:textFill>
            <w14:solidFill>
              <w14:schemeClr w14:val="tx1"/>
            </w14:solidFill>
          </w14:textFill>
        </w:rPr>
        <w:t>））</w:t>
      </w:r>
      <w:r>
        <w:rPr>
          <w:rFonts w:hint="eastAsia" w:ascii="仿宋" w:hAnsi="仿宋" w:eastAsia="仿宋" w:cs="仿宋"/>
          <w:color w:val="000000" w:themeColor="text1"/>
          <w:sz w:val="27"/>
          <w:szCs w:val="27"/>
          <w:highlight w:val="none"/>
          <w14:textFill>
            <w14:solidFill>
              <w14:schemeClr w14:val="tx1"/>
            </w14:solidFill>
          </w14:textFill>
        </w:rPr>
        <w:t>及近三个月完税证明材料；</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（4）投标人</w:t>
      </w:r>
      <w:r>
        <w:rPr>
          <w:rFonts w:hint="eastAsia" w:ascii="仿宋" w:hAnsi="仿宋" w:eastAsia="仿宋" w:cs="仿宋"/>
          <w:color w:val="000000" w:themeColor="text1"/>
          <w:sz w:val="27"/>
          <w:szCs w:val="27"/>
          <w:highlight w:val="none"/>
          <w:lang w:val="en-US" w:eastAsia="zh-CN"/>
          <w14:textFill>
            <w14:solidFill>
              <w14:schemeClr w14:val="tx1"/>
            </w14:solidFill>
          </w14:textFill>
        </w:rPr>
        <w:t>需</w:t>
      </w:r>
      <w:r>
        <w:rPr>
          <w:rFonts w:hint="eastAsia" w:ascii="仿宋" w:hAnsi="仿宋" w:eastAsia="仿宋" w:cs="仿宋"/>
          <w:color w:val="000000" w:themeColor="text1"/>
          <w:sz w:val="27"/>
          <w:szCs w:val="27"/>
          <w:highlight w:val="none"/>
          <w14:textFill>
            <w14:solidFill>
              <w14:schemeClr w14:val="tx1"/>
            </w14:solidFill>
          </w14:textFill>
        </w:rPr>
        <w:t>提供信用中国（</w:t>
      </w:r>
      <w:r>
        <w:rPr>
          <w:rFonts w:hint="eastAsia" w:ascii="仿宋" w:hAnsi="仿宋" w:eastAsia="仿宋" w:cs="仿宋"/>
          <w:color w:val="000000" w:themeColor="text1"/>
          <w:sz w:val="27"/>
          <w:szCs w:val="27"/>
          <w:highlight w:val="none"/>
          <w:lang w:val="en-US" w:eastAsia="zh-CN"/>
          <w14:textFill>
            <w14:solidFill>
              <w14:schemeClr w14:val="tx1"/>
            </w14:solidFill>
          </w14:textFill>
        </w:rPr>
        <w:t>www</w:t>
      </w:r>
      <w:r>
        <w:rPr>
          <w:rFonts w:hint="eastAsia" w:ascii="仿宋" w:hAnsi="仿宋" w:eastAsia="仿宋" w:cs="仿宋"/>
          <w:color w:val="000000" w:themeColor="text1"/>
          <w:sz w:val="27"/>
          <w:szCs w:val="27"/>
          <w:highlight w:val="none"/>
          <w14:textFill>
            <w14:solidFill>
              <w14:schemeClr w14:val="tx1"/>
            </w14:solidFill>
          </w14:textFill>
        </w:rPr>
        <w:t>.creditchina.gov.cn）、中国政府采购网（www.ccgp.gov.cn）、国家企业信用信息公示系统（www.gsxt.gov.cn）的查询结果，如被列入失信被执行人、重大税收违法案件当事人名单、政府采购严重违法失信行为记录名单的（尚在处罚期内的），将拒绝其参加本次采购活动；</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sz w:val="27"/>
          <w:szCs w:val="27"/>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lang w:eastAsia="zh-CN"/>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5）本项目接受联合体投标，联合体组成必须符合国家相关法律法规，联合体成员个数不得超过两家（含两家）。</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）与采购人存在利害关系可能影响公正性的单位，不得参加投标。单位负责人为同一人或存在控股、管理关系的不同单位，不得参加同一标段投标，否则，相关投标均无效。</w:t>
      </w:r>
    </w:p>
    <w:p>
      <w:pPr>
        <w:pStyle w:val="18"/>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27"/>
          <w:szCs w:val="27"/>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三、获取招标文件</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时间：20</w:t>
      </w:r>
      <w:r>
        <w:rPr>
          <w:rFonts w:hint="eastAsia" w:ascii="仿宋" w:hAnsi="仿宋" w:eastAsia="仿宋" w:cs="仿宋"/>
          <w:color w:val="000000" w:themeColor="text1"/>
          <w:sz w:val="27"/>
          <w:szCs w:val="27"/>
          <w:highlight w:val="none"/>
          <w:lang w:val="en-US" w:eastAsia="zh-CN"/>
          <w14:textFill>
            <w14:solidFill>
              <w14:schemeClr w14:val="tx1"/>
            </w14:solidFill>
          </w14:textFill>
        </w:rPr>
        <w:t>22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5</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25</w:t>
      </w:r>
      <w:r>
        <w:rPr>
          <w:rFonts w:hint="eastAsia" w:ascii="仿宋" w:hAnsi="仿宋" w:eastAsia="仿宋" w:cs="仿宋"/>
          <w:color w:val="000000" w:themeColor="text1"/>
          <w:sz w:val="27"/>
          <w:szCs w:val="27"/>
          <w:highlight w:val="none"/>
          <w14:textFill>
            <w14:solidFill>
              <w14:schemeClr w14:val="tx1"/>
            </w14:solidFill>
          </w14:textFill>
        </w:rPr>
        <w:t>日至202</w:t>
      </w:r>
      <w:r>
        <w:rPr>
          <w:rFonts w:hint="eastAsia" w:ascii="仿宋" w:hAnsi="仿宋" w:eastAsia="仿宋" w:cs="仿宋"/>
          <w:color w:val="000000" w:themeColor="text1"/>
          <w:sz w:val="27"/>
          <w:szCs w:val="27"/>
          <w:highlight w:val="none"/>
          <w:lang w:val="en-US" w:eastAsia="zh-CN"/>
          <w14:textFill>
            <w14:solidFill>
              <w14:schemeClr w14:val="tx1"/>
            </w14:solidFill>
          </w14:textFill>
        </w:rPr>
        <w:t>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日，每天上午10:00至14:00，下午1</w:t>
      </w:r>
      <w:r>
        <w:rPr>
          <w:rFonts w:hint="eastAsia" w:ascii="仿宋" w:hAnsi="仿宋" w:eastAsia="仿宋" w:cs="仿宋"/>
          <w:color w:val="000000" w:themeColor="text1"/>
          <w:sz w:val="27"/>
          <w:szCs w:val="27"/>
          <w:highlight w:val="none"/>
          <w:lang w:val="en-US" w:eastAsia="zh-CN"/>
          <w14:textFill>
            <w14:solidFill>
              <w14:schemeClr w14:val="tx1"/>
            </w14:solidFill>
          </w14:textFill>
        </w:rPr>
        <w:t>4</w:t>
      </w: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0</w:t>
      </w:r>
      <w:r>
        <w:rPr>
          <w:rFonts w:hint="eastAsia" w:ascii="仿宋" w:hAnsi="仿宋" w:eastAsia="仿宋" w:cs="仿宋"/>
          <w:color w:val="000000" w:themeColor="text1"/>
          <w:sz w:val="27"/>
          <w:szCs w:val="27"/>
          <w:highlight w:val="none"/>
          <w14:textFill>
            <w14:solidFill>
              <w14:schemeClr w14:val="tx1"/>
            </w14:solidFill>
          </w14:textFill>
        </w:rPr>
        <w:t>0至</w:t>
      </w:r>
      <w:r>
        <w:rPr>
          <w:rFonts w:hint="eastAsia" w:ascii="仿宋" w:hAnsi="仿宋" w:eastAsia="仿宋" w:cs="仿宋"/>
          <w:color w:val="000000" w:themeColor="text1"/>
          <w:sz w:val="27"/>
          <w:szCs w:val="27"/>
          <w:highlight w:val="none"/>
          <w:lang w:val="en-US" w:eastAsia="zh-CN"/>
          <w14:textFill>
            <w14:solidFill>
              <w14:schemeClr w14:val="tx1"/>
            </w14:solidFill>
          </w14:textFill>
        </w:rPr>
        <w:t>23</w:t>
      </w: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59</w:t>
      </w:r>
      <w:r>
        <w:rPr>
          <w:rFonts w:hint="eastAsia" w:ascii="仿宋" w:hAnsi="仿宋" w:eastAsia="仿宋" w:cs="仿宋"/>
          <w:color w:val="000000" w:themeColor="text1"/>
          <w:sz w:val="27"/>
          <w:szCs w:val="27"/>
          <w:highlight w:val="none"/>
          <w14:textFill>
            <w14:solidFill>
              <w14:schemeClr w14:val="tx1"/>
            </w14:solidFill>
          </w14:textFill>
        </w:rPr>
        <w:t>（北京时间，法定节假日除外）</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地点：新疆政府采购网</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方式：供应商自行登录新疆政府采购网官网，（即：http://www.ccgp-xinjiang.gov.cn/），首页点击“采购公告”，进入项目公告中自行下载《政府采购报名表》、《招标文件》，报名表如实填写后加盖鲜红公章以彩色扫描件形式，于2022年</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日北京时间</w:t>
      </w:r>
      <w:r>
        <w:rPr>
          <w:rFonts w:hint="eastAsia" w:ascii="仿宋" w:hAnsi="仿宋" w:eastAsia="仿宋" w:cs="仿宋"/>
          <w:color w:val="000000" w:themeColor="text1"/>
          <w:sz w:val="27"/>
          <w:szCs w:val="27"/>
          <w:highlight w:val="none"/>
          <w:lang w:val="en-US" w:eastAsia="zh-CN"/>
          <w14:textFill>
            <w14:solidFill>
              <w14:schemeClr w14:val="tx1"/>
            </w14:solidFill>
          </w14:textFill>
        </w:rPr>
        <w:t>23</w:t>
      </w: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59</w:t>
      </w:r>
      <w:r>
        <w:rPr>
          <w:rFonts w:hint="eastAsia" w:ascii="仿宋" w:hAnsi="仿宋" w:eastAsia="仿宋" w:cs="仿宋"/>
          <w:color w:val="000000" w:themeColor="text1"/>
          <w:sz w:val="27"/>
          <w:szCs w:val="27"/>
          <w:highlight w:val="none"/>
          <w14:textFill>
            <w14:solidFill>
              <w14:schemeClr w14:val="tx1"/>
            </w14:solidFill>
          </w14:textFill>
        </w:rPr>
        <w:t>前发送至招标公告中规定的报名电子邮箱，电子邮箱为453142526@qq.com，逾期发送的将拒绝投标。联系人：何馨怡；联系方式：15309910678。</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售价（元）：</w:t>
      </w:r>
      <w:r>
        <w:rPr>
          <w:rFonts w:hint="eastAsia" w:ascii="仿宋" w:hAnsi="仿宋" w:eastAsia="仿宋" w:cs="仿宋"/>
          <w:color w:val="000000" w:themeColor="text1"/>
          <w:sz w:val="27"/>
          <w:szCs w:val="27"/>
          <w:highlight w:val="none"/>
          <w:lang w:val="en-US" w:eastAsia="zh-CN"/>
          <w14:textFill>
            <w14:solidFill>
              <w14:schemeClr w14:val="tx1"/>
            </w14:solidFill>
          </w14:textFill>
        </w:rPr>
        <w:t>200</w:t>
      </w:r>
    </w:p>
    <w:p>
      <w:pPr>
        <w:pStyle w:val="18"/>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27"/>
          <w:szCs w:val="27"/>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四、提交投标文件截止时间、开标时间和地点</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提交投标文件截止时间：202</w:t>
      </w:r>
      <w:r>
        <w:rPr>
          <w:rFonts w:hint="eastAsia" w:ascii="仿宋" w:hAnsi="仿宋" w:eastAsia="仿宋" w:cs="仿宋"/>
          <w:color w:val="000000" w:themeColor="text1"/>
          <w:sz w:val="27"/>
          <w:szCs w:val="27"/>
          <w:highlight w:val="none"/>
          <w:lang w:val="en-US" w:eastAsia="zh-CN"/>
          <w14:textFill>
            <w14:solidFill>
              <w14:schemeClr w14:val="tx1"/>
            </w14:solidFill>
          </w14:textFill>
        </w:rPr>
        <w:t>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14</w:t>
      </w:r>
      <w:r>
        <w:rPr>
          <w:rFonts w:hint="eastAsia" w:ascii="仿宋" w:hAnsi="仿宋" w:eastAsia="仿宋" w:cs="仿宋"/>
          <w:color w:val="000000" w:themeColor="text1"/>
          <w:sz w:val="27"/>
          <w:szCs w:val="27"/>
          <w:highlight w:val="none"/>
          <w14:textFill>
            <w14:solidFill>
              <w14:schemeClr w14:val="tx1"/>
            </w14:solidFill>
          </w14:textFill>
        </w:rPr>
        <w:t>日</w:t>
      </w:r>
      <w:r>
        <w:rPr>
          <w:rFonts w:hint="eastAsia" w:ascii="仿宋" w:hAnsi="仿宋" w:eastAsia="仿宋" w:cs="仿宋"/>
          <w:color w:val="000000" w:themeColor="text1"/>
          <w:sz w:val="27"/>
          <w:szCs w:val="27"/>
          <w:highlight w:val="none"/>
          <w:lang w:val="en-US" w:eastAsia="zh-CN"/>
          <w14:textFill>
            <w14:solidFill>
              <w14:schemeClr w14:val="tx1"/>
            </w14:solidFill>
          </w14:textFill>
        </w:rPr>
        <w:t>上</w:t>
      </w:r>
      <w:r>
        <w:rPr>
          <w:rFonts w:hint="eastAsia" w:ascii="仿宋" w:hAnsi="仿宋" w:eastAsia="仿宋" w:cs="仿宋"/>
          <w:color w:val="000000" w:themeColor="text1"/>
          <w:sz w:val="27"/>
          <w:szCs w:val="27"/>
          <w:highlight w:val="none"/>
          <w14:textFill>
            <w14:solidFill>
              <w14:schemeClr w14:val="tx1"/>
            </w14:solidFill>
          </w14:textFill>
        </w:rPr>
        <w:t>午1</w:t>
      </w:r>
      <w:r>
        <w:rPr>
          <w:rFonts w:hint="eastAsia" w:ascii="仿宋" w:hAnsi="仿宋" w:eastAsia="仿宋" w:cs="仿宋"/>
          <w:color w:val="000000" w:themeColor="text1"/>
          <w:sz w:val="27"/>
          <w:szCs w:val="27"/>
          <w:highlight w:val="none"/>
          <w:lang w:val="en-US"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:00（北京时间）</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投标地点：</w:t>
      </w:r>
      <w:r>
        <w:rPr>
          <w:rFonts w:hint="eastAsia" w:ascii="仿宋" w:hAnsi="仿宋" w:eastAsia="仿宋" w:cs="仿宋"/>
          <w:color w:val="000000" w:themeColor="text1"/>
          <w:sz w:val="27"/>
          <w:szCs w:val="27"/>
          <w:highlight w:val="none"/>
          <w:lang w:eastAsia="zh-CN"/>
          <w14:textFill>
            <w14:solidFill>
              <w14:schemeClr w14:val="tx1"/>
            </w14:solidFill>
          </w14:textFill>
        </w:rPr>
        <w:t>和田县行政服务和公共资源交易中心（和田县经济新区昌盛路）</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开标时间：202</w:t>
      </w:r>
      <w:r>
        <w:rPr>
          <w:rFonts w:hint="eastAsia" w:ascii="仿宋" w:hAnsi="仿宋" w:eastAsia="仿宋" w:cs="仿宋"/>
          <w:color w:val="000000" w:themeColor="text1"/>
          <w:sz w:val="27"/>
          <w:szCs w:val="27"/>
          <w:highlight w:val="none"/>
          <w:lang w:val="en-US" w:eastAsia="zh-CN"/>
          <w14:textFill>
            <w14:solidFill>
              <w14:schemeClr w14:val="tx1"/>
            </w14:solidFill>
          </w14:textFill>
        </w:rPr>
        <w:t>2</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val="en-US" w:eastAsia="zh-CN"/>
          <w14:textFill>
            <w14:solidFill>
              <w14:schemeClr w14:val="tx1"/>
            </w14:solidFill>
          </w14:textFill>
        </w:rPr>
        <w:t>14</w:t>
      </w:r>
      <w:r>
        <w:rPr>
          <w:rFonts w:hint="eastAsia" w:ascii="仿宋" w:hAnsi="仿宋" w:eastAsia="仿宋" w:cs="仿宋"/>
          <w:color w:val="000000" w:themeColor="text1"/>
          <w:sz w:val="27"/>
          <w:szCs w:val="27"/>
          <w:highlight w:val="none"/>
          <w14:textFill>
            <w14:solidFill>
              <w14:schemeClr w14:val="tx1"/>
            </w14:solidFill>
          </w14:textFill>
        </w:rPr>
        <w:t>日</w:t>
      </w:r>
      <w:r>
        <w:rPr>
          <w:rFonts w:hint="eastAsia" w:ascii="仿宋" w:hAnsi="仿宋" w:eastAsia="仿宋" w:cs="仿宋"/>
          <w:color w:val="000000" w:themeColor="text1"/>
          <w:sz w:val="27"/>
          <w:szCs w:val="27"/>
          <w:highlight w:val="none"/>
          <w:lang w:val="en-US" w:eastAsia="zh-CN"/>
          <w14:textFill>
            <w14:solidFill>
              <w14:schemeClr w14:val="tx1"/>
            </w14:solidFill>
          </w14:textFill>
        </w:rPr>
        <w:t>上</w:t>
      </w:r>
      <w:r>
        <w:rPr>
          <w:rFonts w:hint="eastAsia" w:ascii="仿宋" w:hAnsi="仿宋" w:eastAsia="仿宋" w:cs="仿宋"/>
          <w:color w:val="000000" w:themeColor="text1"/>
          <w:sz w:val="27"/>
          <w:szCs w:val="27"/>
          <w:highlight w:val="none"/>
          <w14:textFill>
            <w14:solidFill>
              <w14:schemeClr w14:val="tx1"/>
            </w14:solidFill>
          </w14:textFill>
        </w:rPr>
        <w:t>午1</w:t>
      </w:r>
      <w:r>
        <w:rPr>
          <w:rFonts w:hint="eastAsia" w:ascii="仿宋" w:hAnsi="仿宋" w:eastAsia="仿宋" w:cs="仿宋"/>
          <w:color w:val="000000" w:themeColor="text1"/>
          <w:sz w:val="27"/>
          <w:szCs w:val="27"/>
          <w:highlight w:val="none"/>
          <w:lang w:val="en-US"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:00（北京时间）</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开标地点：</w:t>
      </w:r>
      <w:r>
        <w:rPr>
          <w:rFonts w:hint="eastAsia" w:ascii="仿宋" w:hAnsi="仿宋" w:eastAsia="仿宋" w:cs="仿宋"/>
          <w:color w:val="000000" w:themeColor="text1"/>
          <w:sz w:val="27"/>
          <w:szCs w:val="27"/>
          <w:highlight w:val="none"/>
          <w:lang w:eastAsia="zh-CN"/>
          <w14:textFill>
            <w14:solidFill>
              <w14:schemeClr w14:val="tx1"/>
            </w14:solidFill>
          </w14:textFill>
        </w:rPr>
        <w:t>和田县行政服务和公共资源交易中心（和田县经济新区昌盛路）</w:t>
      </w:r>
    </w:p>
    <w:p>
      <w:pPr>
        <w:pStyle w:val="18"/>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31"/>
          <w:szCs w:val="31"/>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五、公告期限</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自本公告发布之日起5个工作日。</w:t>
      </w:r>
    </w:p>
    <w:p>
      <w:pPr>
        <w:pStyle w:val="18"/>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27"/>
          <w:szCs w:val="27"/>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六、其他补充事宜</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sz w:val="27"/>
          <w:szCs w:val="27"/>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lang w:val="en-US" w:eastAsia="zh-CN"/>
          <w14:textFill>
            <w14:solidFill>
              <w14:schemeClr w14:val="tx1"/>
            </w14:solidFill>
          </w14:textFill>
        </w:rPr>
        <w:t>无</w:t>
      </w:r>
    </w:p>
    <w:p>
      <w:pPr>
        <w:pStyle w:val="18"/>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288" w:lineRule="auto"/>
        <w:jc w:val="both"/>
        <w:textAlignment w:val="auto"/>
        <w:rPr>
          <w:rFonts w:ascii="黑体" w:hAnsi="宋体" w:eastAsia="黑体" w:cs="黑体"/>
          <w:color w:val="000000" w:themeColor="text1"/>
          <w:sz w:val="31"/>
          <w:szCs w:val="31"/>
          <w:highlight w:val="none"/>
          <w14:textFill>
            <w14:solidFill>
              <w14:schemeClr w14:val="tx1"/>
            </w14:solidFill>
          </w14:textFill>
        </w:rPr>
      </w:pPr>
      <w:r>
        <w:rPr>
          <w:rStyle w:val="22"/>
          <w:rFonts w:ascii="黑体" w:hAnsi="宋体" w:eastAsia="黑体" w:cs="黑体"/>
          <w:color w:val="000000" w:themeColor="text1"/>
          <w:sz w:val="27"/>
          <w:szCs w:val="27"/>
          <w:highlight w:val="none"/>
          <w14:textFill>
            <w14:solidFill>
              <w14:schemeClr w14:val="tx1"/>
            </w14:solidFill>
          </w14:textFill>
        </w:rPr>
        <w:t>七、对本次采购提出询问，请按以下方式联系</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1.采购人信息</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名 称：</w:t>
      </w:r>
      <w:r>
        <w:rPr>
          <w:rStyle w:val="24"/>
          <w:rFonts w:hint="eastAsia" w:ascii="仿宋" w:hAnsi="仿宋" w:eastAsia="仿宋" w:cs="仿宋"/>
          <w:color w:val="000000" w:themeColor="text1"/>
          <w:sz w:val="27"/>
          <w:szCs w:val="27"/>
          <w:highlight w:val="none"/>
          <w:lang w:val="en-US" w:eastAsia="zh-CN"/>
          <w14:textFill>
            <w14:solidFill>
              <w14:schemeClr w14:val="tx1"/>
            </w14:solidFill>
          </w14:textFill>
        </w:rPr>
        <w:t>和田县人民医院</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地 址：</w:t>
      </w:r>
      <w:r>
        <w:rPr>
          <w:rFonts w:hint="eastAsia" w:ascii="仿宋" w:hAnsi="仿宋" w:eastAsia="仿宋" w:cs="仿宋"/>
          <w:color w:val="000000" w:themeColor="text1"/>
          <w:sz w:val="27"/>
          <w:szCs w:val="27"/>
          <w:highlight w:val="none"/>
          <w:lang w:val="en-US" w:eastAsia="zh-CN"/>
          <w14:textFill>
            <w14:solidFill>
              <w14:schemeClr w14:val="tx1"/>
            </w14:solidFill>
          </w14:textFill>
        </w:rPr>
        <w:t>和田市迎宾路517</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联系方式：</w:t>
      </w:r>
      <w:r>
        <w:rPr>
          <w:rFonts w:hint="eastAsia" w:ascii="仿宋" w:hAnsi="仿宋" w:eastAsia="仿宋" w:cs="仿宋"/>
          <w:color w:val="000000" w:themeColor="text1"/>
          <w:sz w:val="27"/>
          <w:szCs w:val="27"/>
          <w:highlight w:val="none"/>
          <w:lang w:val="en-US" w:eastAsia="zh-CN"/>
          <w14:textFill>
            <w14:solidFill>
              <w14:schemeClr w14:val="tx1"/>
            </w14:solidFill>
          </w14:textFill>
        </w:rPr>
        <w:t>0903-2052275</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2.采购代理机构信息</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名 称：新疆浩诚致远项目管理咨询有限公司</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地 址：和田市屯垦路墩库卡社区631号</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联系方式：</w:t>
      </w:r>
      <w:r>
        <w:rPr>
          <w:rFonts w:hint="eastAsia" w:ascii="仿宋" w:hAnsi="仿宋" w:eastAsia="仿宋" w:cs="仿宋"/>
          <w:color w:val="000000" w:themeColor="text1"/>
          <w:sz w:val="27"/>
          <w:szCs w:val="27"/>
          <w:highlight w:val="none"/>
          <w:lang w:val="en-US" w:eastAsia="zh-CN"/>
          <w14:textFill>
            <w14:solidFill>
              <w14:schemeClr w14:val="tx1"/>
            </w14:solidFill>
          </w14:textFill>
        </w:rPr>
        <w:t>0903-2099765</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3.项目联系方式</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项目联系人：</w:t>
      </w:r>
      <w:r>
        <w:rPr>
          <w:rStyle w:val="24"/>
          <w:rFonts w:hint="eastAsia" w:ascii="仿宋" w:hAnsi="仿宋" w:eastAsia="仿宋" w:cs="仿宋"/>
          <w:color w:val="000000" w:themeColor="text1"/>
          <w:sz w:val="27"/>
          <w:szCs w:val="27"/>
          <w:highlight w:val="none"/>
          <w:lang w:val="en-US" w:eastAsia="zh-CN"/>
          <w14:textFill>
            <w14:solidFill>
              <w14:schemeClr w14:val="tx1"/>
            </w14:solidFill>
          </w14:textFill>
        </w:rPr>
        <w:t>何馨怡</w:t>
      </w:r>
    </w:p>
    <w:p>
      <w:pPr>
        <w:pStyle w:val="18"/>
        <w:keepNext w:val="0"/>
        <w:keepLines w:val="0"/>
        <w:pageBreakBefore w:val="0"/>
        <w:widowControl/>
        <w:suppressLineNumbers w:val="0"/>
        <w:kinsoku/>
        <w:wordWrap/>
        <w:overflowPunct/>
        <w:topLinePunct w:val="0"/>
        <w:autoSpaceDE/>
        <w:autoSpaceDN/>
        <w:bidi w:val="0"/>
        <w:adjustRightInd w:val="0"/>
        <w:snapToGrid w:val="0"/>
        <w:spacing w:line="288" w:lineRule="auto"/>
        <w:ind w:left="0" w:firstLine="420"/>
        <w:textAlignment w:val="auto"/>
        <w:rPr>
          <w:rStyle w:val="24"/>
          <w:rFonts w:hint="eastAsia" w:ascii="仿宋" w:hAnsi="仿宋" w:eastAsia="仿宋" w:cs="仿宋"/>
          <w:color w:val="000000" w:themeColor="text1"/>
          <w:sz w:val="27"/>
          <w:szCs w:val="27"/>
          <w:highlight w:val="none"/>
          <w:lang w:val="en-US" w:eastAsia="zh-CN"/>
          <w14:textFill>
            <w14:solidFill>
              <w14:schemeClr w14:val="tx1"/>
            </w14:solidFill>
          </w14:textFill>
        </w:rPr>
        <w:sectPr>
          <w:headerReference r:id="rId3" w:type="default"/>
          <w:footerReference r:id="rId4" w:type="default"/>
          <w:pgSz w:w="12240" w:h="15840"/>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linePitch="323" w:charSpace="0"/>
        </w:sectPr>
      </w:pPr>
      <w:r>
        <w:rPr>
          <w:rFonts w:hint="eastAsia" w:ascii="仿宋" w:hAnsi="仿宋" w:eastAsia="仿宋" w:cs="仿宋"/>
          <w:color w:val="000000" w:themeColor="text1"/>
          <w:sz w:val="27"/>
          <w:szCs w:val="27"/>
          <w:highlight w:val="none"/>
          <w14:textFill>
            <w14:solidFill>
              <w14:schemeClr w14:val="tx1"/>
            </w14:solidFill>
          </w14:textFill>
        </w:rPr>
        <w:t>电 话：</w:t>
      </w:r>
      <w:r>
        <w:rPr>
          <w:rStyle w:val="24"/>
          <w:rFonts w:hint="eastAsia" w:ascii="仿宋" w:hAnsi="仿宋" w:eastAsia="仿宋" w:cs="仿宋"/>
          <w:color w:val="000000" w:themeColor="text1"/>
          <w:sz w:val="27"/>
          <w:szCs w:val="27"/>
          <w:highlight w:val="none"/>
          <w:lang w:val="en-US" w:eastAsia="zh-CN"/>
          <w14:textFill>
            <w14:solidFill>
              <w14:schemeClr w14:val="tx1"/>
            </w14:solidFill>
          </w14:textFill>
        </w:rPr>
        <w:t>0903-2099765</w:t>
      </w:r>
    </w:p>
    <w:p>
      <w:pPr>
        <w:pStyle w:val="5"/>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招投标监督管理机构备案登记栏：</w:t>
      </w:r>
    </w:p>
    <w:p>
      <w:pPr>
        <w:pBdr>
          <w:top w:val="single" w:color="auto" w:sz="4" w:space="0"/>
          <w:left w:val="single" w:color="auto" w:sz="4" w:space="0"/>
          <w:bottom w:val="single" w:color="auto" w:sz="4" w:space="0"/>
          <w:right w:val="single" w:color="auto" w:sz="4" w:space="0"/>
        </w:pBdr>
        <w:rPr>
          <w:color w:val="000000" w:themeColor="text1"/>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240" w:lineRule="exac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240" w:lineRule="exac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240" w:lineRule="exac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240" w:lineRule="exac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ascii="Tahoma" w:hAnsi="Tahoma" w:eastAsia="黑体" w:cs="Tahoma"/>
          <w:b/>
          <w:color w:val="000000" w:themeColor="text1"/>
          <w:sz w:val="44"/>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t>本招标文件已报备</w:t>
      </w: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cente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t>项目名称：</w:t>
      </w:r>
      <w:r>
        <w:rPr>
          <w:rFonts w:hint="eastAsia" w:hAnsi="宋体" w:cs="宋体"/>
          <w:b w:val="0"/>
          <w:bCs/>
          <w:color w:val="000000" w:themeColor="text1"/>
          <w:sz w:val="32"/>
          <w:szCs w:val="20"/>
          <w:highlight w:val="none"/>
          <w:lang w:val="en-US" w:eastAsia="zh-CN"/>
          <w14:textFill>
            <w14:solidFill>
              <w14:schemeClr w14:val="tx1"/>
            </w14:solidFill>
          </w14:textFill>
        </w:rPr>
        <w:t>和田地区和田县人民医院综合能力提升及信息化建设项目</w:t>
      </w: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Tahoma" w:hAnsi="Tahoma" w:eastAsia="黑体" w:cs="Tahoma"/>
          <w:b/>
          <w:color w:val="000000" w:themeColor="text1"/>
          <w:sz w:val="44"/>
          <w:highlight w:val="none"/>
          <w:lang w:val="en-US" w:eastAsia="zh-CN"/>
          <w14:textFill>
            <w14:solidFill>
              <w14:schemeClr w14:val="tx1"/>
            </w14:solidFill>
          </w14:textFill>
        </w:rPr>
      </w:pPr>
      <w:r>
        <w:rPr>
          <w:rFonts w:hint="eastAsia" w:ascii="宋体" w:hAnsi="宋体" w:eastAsia="宋体" w:cs="宋体"/>
          <w:b w:val="0"/>
          <w:bCs/>
          <w:color w:val="000000" w:themeColor="text1"/>
          <w:sz w:val="32"/>
          <w:szCs w:val="20"/>
          <w:highlight w:val="none"/>
          <w:lang w:val="en-US" w:eastAsia="zh-CN"/>
          <w14:textFill>
            <w14:solidFill>
              <w14:schemeClr w14:val="tx1"/>
            </w14:solidFill>
          </w14:textFill>
        </w:rPr>
        <w:t>备案人：             备案日期：</w:t>
      </w: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eastAsia" w:ascii="Tahoma" w:hAnsi="Tahoma" w:eastAsia="黑体" w:cs="Tahoma"/>
          <w:b/>
          <w:color w:val="000000" w:themeColor="text1"/>
          <w:sz w:val="44"/>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hint="default" w:ascii="Tahoma" w:hAnsi="Tahoma" w:eastAsia="黑体" w:cs="Tahoma"/>
          <w:b/>
          <w:color w:val="000000" w:themeColor="text1"/>
          <w:sz w:val="44"/>
          <w:highlight w:val="none"/>
          <w:lang w:val="en-US" w:eastAsia="zh-CN"/>
          <w14:textFill>
            <w14:solidFill>
              <w14:schemeClr w14:val="tx1"/>
            </w14:solidFill>
          </w14:textFill>
        </w:rPr>
      </w:pPr>
    </w:p>
    <w:p>
      <w:pPr>
        <w:pStyle w:val="2"/>
        <w:pBdr>
          <w:top w:val="single" w:color="auto" w:sz="4" w:space="0"/>
          <w:left w:val="single" w:color="auto" w:sz="4" w:space="0"/>
          <w:bottom w:val="single" w:color="auto" w:sz="4" w:space="0"/>
          <w:right w:val="single" w:color="auto" w:sz="4" w:space="0"/>
        </w:pBdr>
        <w:snapToGrid w:val="0"/>
        <w:spacing w:line="480" w:lineRule="atLeast"/>
        <w:jc w:val="both"/>
        <w:rPr>
          <w:rFonts w:ascii="Tahoma" w:hAnsi="Tahoma" w:eastAsia="黑体" w:cs="Tahoma"/>
          <w:b/>
          <w:color w:val="000000" w:themeColor="text1"/>
          <w:sz w:val="44"/>
          <w:highlight w:val="none"/>
          <w14:textFill>
            <w14:solidFill>
              <w14:schemeClr w14:val="tx1"/>
            </w14:solidFill>
          </w14:textFill>
        </w:rPr>
      </w:pPr>
    </w:p>
    <w:p>
      <w:pPr>
        <w:pStyle w:val="2"/>
        <w:snapToGrid w:val="0"/>
        <w:spacing w:line="480" w:lineRule="atLeast"/>
        <w:jc w:val="center"/>
        <w:rPr>
          <w:rFonts w:ascii="Tahoma" w:hAnsi="Tahoma" w:eastAsia="黑体" w:cs="Tahoma"/>
          <w:b/>
          <w:color w:val="000000" w:themeColor="text1"/>
          <w:sz w:val="44"/>
          <w:highlight w:val="none"/>
          <w14:textFill>
            <w14:solidFill>
              <w14:schemeClr w14:val="tx1"/>
            </w14:solidFill>
          </w14:textFill>
        </w:rPr>
      </w:pPr>
    </w:p>
    <w:p>
      <w:pPr>
        <w:pStyle w:val="2"/>
        <w:snapToGrid w:val="0"/>
        <w:spacing w:line="480" w:lineRule="atLeast"/>
        <w:jc w:val="center"/>
        <w:rPr>
          <w:rFonts w:hint="default" w:ascii="Tahoma" w:hAnsi="Tahoma" w:eastAsia="黑体" w:cs="Tahoma"/>
          <w:b/>
          <w:color w:val="000000" w:themeColor="text1"/>
          <w:sz w:val="32"/>
          <w:szCs w:val="20"/>
          <w:highlight w:val="none"/>
          <w:lang w:val="en-US" w:eastAsia="zh-CN"/>
          <w14:textFill>
            <w14:solidFill>
              <w14:schemeClr w14:val="tx1"/>
            </w14:solidFill>
          </w14:textFill>
        </w:rPr>
      </w:pPr>
      <w:r>
        <w:rPr>
          <w:rFonts w:hint="eastAsia" w:ascii="Tahoma" w:hAnsi="Tahoma" w:eastAsia="黑体" w:cs="Tahoma"/>
          <w:b/>
          <w:color w:val="000000" w:themeColor="text1"/>
          <w:sz w:val="32"/>
          <w:szCs w:val="20"/>
          <w:highlight w:val="none"/>
          <w:lang w:val="en-US" w:eastAsia="zh-CN"/>
          <w14:textFill>
            <w14:solidFill>
              <w14:schemeClr w14:val="tx1"/>
            </w14:solidFill>
          </w14:textFill>
        </w:rPr>
        <w:t xml:space="preserve">                                 和田县政府采购管理办公室</w:t>
      </w: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bookmarkStart w:id="0" w:name="_Toc15141"/>
      <w:bookmarkStart w:id="1" w:name="_Toc1120"/>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黑体" w:eastAsia="黑体" w:cs="Tahoma"/>
          <w:b/>
          <w:color w:val="000000" w:themeColor="text1"/>
          <w:sz w:val="44"/>
          <w:highlight w:val="none"/>
          <w14:textFill>
            <w14:solidFill>
              <w14:schemeClr w14:val="tx1"/>
            </w14:solidFill>
          </w14:textFill>
        </w:rPr>
      </w:pPr>
    </w:p>
    <w:p>
      <w:pPr>
        <w:pStyle w:val="2"/>
        <w:snapToGrid w:val="0"/>
        <w:spacing w:line="480" w:lineRule="atLeast"/>
        <w:jc w:val="center"/>
        <w:outlineLvl w:val="0"/>
        <w:rPr>
          <w:rFonts w:ascii="Tahoma" w:hAnsi="Tahoma" w:eastAsia="黑体" w:cs="Tahoma"/>
          <w:color w:val="000000" w:themeColor="text1"/>
          <w:sz w:val="44"/>
          <w:highlight w:val="none"/>
          <w14:textFill>
            <w14:solidFill>
              <w14:schemeClr w14:val="tx1"/>
            </w14:solidFill>
          </w14:textFill>
        </w:rPr>
      </w:pPr>
      <w:r>
        <w:rPr>
          <w:rFonts w:ascii="Tahoma" w:hAnsi="黑体" w:eastAsia="黑体" w:cs="Tahoma"/>
          <w:b/>
          <w:color w:val="000000" w:themeColor="text1"/>
          <w:sz w:val="44"/>
          <w:highlight w:val="none"/>
          <w14:textFill>
            <w14:solidFill>
              <w14:schemeClr w14:val="tx1"/>
            </w14:solidFill>
          </w14:textFill>
        </w:rPr>
        <w:t>第二章</w:t>
      </w:r>
      <w:r>
        <w:rPr>
          <w:rFonts w:ascii="Tahoma" w:hAnsi="Tahoma" w:eastAsia="黑体" w:cs="Tahoma"/>
          <w:b/>
          <w:color w:val="000000" w:themeColor="text1"/>
          <w:sz w:val="44"/>
          <w:highlight w:val="none"/>
          <w14:textFill>
            <w14:solidFill>
              <w14:schemeClr w14:val="tx1"/>
            </w14:solidFill>
          </w14:textFill>
        </w:rPr>
        <w:t xml:space="preserve">  </w:t>
      </w:r>
      <w:r>
        <w:rPr>
          <w:rFonts w:ascii="Tahoma" w:hAnsi="黑体" w:eastAsia="黑体" w:cs="Tahoma"/>
          <w:b/>
          <w:color w:val="000000" w:themeColor="text1"/>
          <w:sz w:val="44"/>
          <w:highlight w:val="none"/>
          <w14:textFill>
            <w14:solidFill>
              <w14:schemeClr w14:val="tx1"/>
            </w14:solidFill>
          </w14:textFill>
        </w:rPr>
        <w:t>投标人须知</w:t>
      </w:r>
      <w:bookmarkEnd w:id="0"/>
      <w:bookmarkEnd w:id="1"/>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snapToGrid w:val="0"/>
        <w:spacing w:line="480" w:lineRule="atLeast"/>
        <w:jc w:val="center"/>
        <w:rPr>
          <w:rFonts w:ascii="Tahoma" w:hAnsi="Tahoma" w:cs="Tahoma"/>
          <w:color w:val="000000" w:themeColor="text1"/>
          <w:sz w:val="24"/>
          <w:highlight w:val="none"/>
          <w14:textFill>
            <w14:solidFill>
              <w14:schemeClr w14:val="tx1"/>
            </w14:solidFill>
          </w14:textFill>
        </w:rPr>
      </w:pPr>
    </w:p>
    <w:p>
      <w:pPr>
        <w:pStyle w:val="19"/>
        <w:rPr>
          <w:color w:val="000000" w:themeColor="text1"/>
          <w:highlight w:val="none"/>
          <w14:textFill>
            <w14:solidFill>
              <w14:schemeClr w14:val="tx1"/>
            </w14:solidFill>
          </w14:textFill>
        </w:rPr>
      </w:pPr>
    </w:p>
    <w:p>
      <w:pPr>
        <w:snapToGrid w:val="0"/>
        <w:spacing w:line="300" w:lineRule="atLeast"/>
        <w:jc w:val="center"/>
        <w:rPr>
          <w:rFonts w:ascii="Tahoma" w:hAnsi="Tahoma" w:cs="Tahoma"/>
          <w:color w:val="000000" w:themeColor="text1"/>
          <w:sz w:val="24"/>
          <w:highlight w:val="none"/>
          <w14:textFill>
            <w14:solidFill>
              <w14:schemeClr w14:val="tx1"/>
            </w14:solidFill>
          </w14:textFill>
        </w:rPr>
      </w:pPr>
      <w:r>
        <w:rPr>
          <w:rFonts w:ascii="Tahoma" w:hAnsi="黑体" w:eastAsia="黑体" w:cs="Tahoma"/>
          <w:b/>
          <w:color w:val="000000" w:themeColor="text1"/>
          <w:sz w:val="30"/>
          <w:szCs w:val="30"/>
          <w:highlight w:val="none"/>
          <w14:textFill>
            <w14:solidFill>
              <w14:schemeClr w14:val="tx1"/>
            </w14:solidFill>
          </w14:textFill>
        </w:rPr>
        <w:t>投标人须知前附表（一）</w:t>
      </w:r>
    </w:p>
    <w:tbl>
      <w:tblPr>
        <w:tblStyle w:val="20"/>
        <w:tblW w:w="10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567"/>
        <w:gridCol w:w="7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Align w:val="center"/>
          </w:tcPr>
          <w:p>
            <w:pPr>
              <w:spacing w:line="280" w:lineRule="exact"/>
              <w:jc w:val="center"/>
              <w:rPr>
                <w:rFonts w:ascii="Tahoma" w:hAnsi="Tahoma" w:cs="Tahoma"/>
                <w:b/>
                <w:bCs/>
                <w:color w:val="000000" w:themeColor="text1"/>
                <w:highlight w:val="none"/>
                <w14:textFill>
                  <w14:solidFill>
                    <w14:schemeClr w14:val="tx1"/>
                  </w14:solidFill>
                </w14:textFill>
              </w:rPr>
            </w:pPr>
            <w:r>
              <w:rPr>
                <w:rFonts w:ascii="Tahoma" w:cs="Tahoma"/>
                <w:b/>
                <w:bCs/>
                <w:color w:val="000000" w:themeColor="text1"/>
                <w:highlight w:val="none"/>
                <w14:textFill>
                  <w14:solidFill>
                    <w14:schemeClr w14:val="tx1"/>
                  </w14:solidFill>
                </w14:textFill>
              </w:rPr>
              <w:t>条款号</w:t>
            </w:r>
          </w:p>
        </w:tc>
        <w:tc>
          <w:tcPr>
            <w:tcW w:w="1567" w:type="dxa"/>
            <w:vAlign w:val="center"/>
          </w:tcPr>
          <w:p>
            <w:pPr>
              <w:spacing w:line="280" w:lineRule="exact"/>
              <w:jc w:val="center"/>
              <w:rPr>
                <w:rFonts w:ascii="Tahoma" w:hAnsi="Tahoma" w:cs="Tahoma"/>
                <w:b/>
                <w:bCs/>
                <w:color w:val="000000" w:themeColor="text1"/>
                <w:highlight w:val="none"/>
                <w14:textFill>
                  <w14:solidFill>
                    <w14:schemeClr w14:val="tx1"/>
                  </w14:solidFill>
                </w14:textFill>
              </w:rPr>
            </w:pPr>
            <w:r>
              <w:rPr>
                <w:rFonts w:ascii="Tahoma" w:cs="Tahoma"/>
                <w:b/>
                <w:bCs/>
                <w:color w:val="000000" w:themeColor="text1"/>
                <w:highlight w:val="none"/>
                <w14:textFill>
                  <w14:solidFill>
                    <w14:schemeClr w14:val="tx1"/>
                  </w14:solidFill>
                </w14:textFill>
              </w:rPr>
              <w:t>条款名称</w:t>
            </w:r>
          </w:p>
        </w:tc>
        <w:tc>
          <w:tcPr>
            <w:tcW w:w="7774" w:type="dxa"/>
            <w:vAlign w:val="center"/>
          </w:tcPr>
          <w:p>
            <w:pPr>
              <w:spacing w:line="280" w:lineRule="exact"/>
              <w:jc w:val="center"/>
              <w:rPr>
                <w:rFonts w:ascii="Tahoma" w:hAnsi="Tahoma" w:cs="Tahoma"/>
                <w:b/>
                <w:bCs/>
                <w:color w:val="000000" w:themeColor="text1"/>
                <w:highlight w:val="none"/>
                <w14:textFill>
                  <w14:solidFill>
                    <w14:schemeClr w14:val="tx1"/>
                  </w14:solidFill>
                </w14:textFill>
              </w:rPr>
            </w:pPr>
            <w:r>
              <w:rPr>
                <w:rFonts w:ascii="Tahoma" w:cs="Tahoma"/>
                <w:b/>
                <w:bCs/>
                <w:color w:val="000000" w:themeColor="text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1.1</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项目名称</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ahoma" w:hAnsi="Tahoma" w:eastAsia="宋体" w:cs="Tahoma"/>
                <w:color w:val="000000" w:themeColor="text1"/>
                <w:highlight w:val="none"/>
                <w:lang w:eastAsia="zh-CN"/>
                <w14:textFill>
                  <w14:solidFill>
                    <w14:schemeClr w14:val="tx1"/>
                  </w14:solidFill>
                </w14:textFill>
              </w:rPr>
            </w:pPr>
            <w:r>
              <w:rPr>
                <w:rFonts w:hint="eastAsia" w:ascii="Tahoma" w:hAnsi="Tahoma" w:cs="Tahoma"/>
                <w:color w:val="000000" w:themeColor="text1"/>
                <w:szCs w:val="21"/>
                <w:highlight w:val="none"/>
                <w:lang w:eastAsia="zh-CN"/>
                <w14:textFill>
                  <w14:solidFill>
                    <w14:schemeClr w14:val="tx1"/>
                  </w14:solidFill>
                </w14:textFill>
              </w:rPr>
              <w:t>和田地区和田县人民医院综合能力提升及信息化建设项目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b/>
                <w:bCs/>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招标人</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和田县人民医院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招标代理人</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新疆浩诚致远项目管理咨询有限公司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招标范围</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详见招标文件第五章招标内容及要求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项目编号</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eastAsia="宋体" w:cs="Tahoma"/>
                <w:color w:val="000000" w:themeColor="text1"/>
                <w:highlight w:val="none"/>
                <w:lang w:eastAsia="zh-CN"/>
                <w14:textFill>
                  <w14:solidFill>
                    <w14:schemeClr w14:val="tx1"/>
                  </w14:solidFill>
                </w14:textFill>
              </w:rPr>
            </w:pPr>
            <w:r>
              <w:rPr>
                <w:rFonts w:hint="eastAsia" w:ascii="Tahoma" w:hAnsi="Tahoma" w:cs="Tahoma"/>
                <w:color w:val="000000" w:themeColor="text1"/>
                <w:highlight w:val="none"/>
                <w:lang w:eastAsia="zh-CN"/>
                <w14:textFill>
                  <w14:solidFill>
                    <w14:schemeClr w14:val="tx1"/>
                  </w14:solidFill>
                </w14:textFill>
              </w:rPr>
              <w:t>HTXZFCG（2022FS）039号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资金来源</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eastAsia="宋体" w:cs="Tahoma"/>
                <w:color w:val="000000" w:themeColor="text1"/>
                <w:highlight w:val="none"/>
                <w:lang w:eastAsia="zh-CN"/>
                <w14:textFill>
                  <w14:solidFill>
                    <w14:schemeClr w14:val="tx1"/>
                  </w14:solidFill>
                </w14:textFill>
              </w:rPr>
            </w:pPr>
            <w:r>
              <w:rPr>
                <w:rFonts w:hint="eastAsia" w:ascii="Tahoma" w:hAnsi="Tahoma" w:cs="Tahoma"/>
                <w:color w:val="000000" w:themeColor="text1"/>
                <w:highlight w:val="none"/>
                <w:lang w:eastAsia="zh-CN"/>
                <w14:textFill>
                  <w14:solidFill>
                    <w14:schemeClr w14:val="tx1"/>
                  </w14:solidFill>
                </w14:textFill>
              </w:rPr>
              <w:t>债券资金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1038"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资金落实情况</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w:t>
            </w:r>
            <w:r>
              <w:rPr>
                <w:rFonts w:hint="eastAsia" w:ascii="Tahoma" w:hAnsi="Tahoma" w:eastAsia="华文中宋" w:cs="Tahoma"/>
                <w:color w:val="000000" w:themeColor="text1"/>
                <w:highlight w:val="none"/>
                <w14:textFill>
                  <w14:solidFill>
                    <w14:schemeClr w14:val="tx1"/>
                  </w14:solidFill>
                </w14:textFill>
              </w:rPr>
              <w:t>2</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资格要求</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符合《中华人民共和国政府采购法》第二十</w:t>
            </w:r>
            <w:r>
              <w:rPr>
                <w:rFonts w:hint="eastAsia" w:ascii="Tahoma" w:hAnsi="Tahoma" w:cs="Tahoma"/>
                <w:color w:val="000000" w:themeColor="text1"/>
                <w:highlight w:val="none"/>
                <w14:textFill>
                  <w14:solidFill>
                    <w14:schemeClr w14:val="tx1"/>
                  </w14:solidFill>
                </w14:textFill>
              </w:rPr>
              <w:t>一、二</w:t>
            </w:r>
            <w:r>
              <w:rPr>
                <w:rFonts w:ascii="Tahoma" w:hAnsi="Tahoma" w:cs="Tahoma"/>
                <w:color w:val="000000" w:themeColor="text1"/>
                <w:highlight w:val="none"/>
                <w14:textFill>
                  <w14:solidFill>
                    <w14:schemeClr w14:val="tx1"/>
                  </w14:solidFill>
                </w14:textFill>
              </w:rPr>
              <w:t>条之规定；</w:t>
            </w:r>
            <w:r>
              <w:rPr>
                <w:rFonts w:hint="eastAsia" w:ascii="Tahoma" w:hAnsi="Tahoma" w:cs="Tahoma"/>
                <w:color w:val="000000" w:themeColor="text1"/>
                <w:highlight w:val="none"/>
                <w14:textFill>
                  <w14:solidFill>
                    <w14:schemeClr w14:val="tx1"/>
                  </w14:solidFill>
                </w14:textFill>
              </w:rPr>
              <w:t>供应商是指向采购人提供货物、工程或者服务的法人、其他组织或者自然人。</w:t>
            </w:r>
            <w:r>
              <w:rPr>
                <w:rFonts w:ascii="Tahoma" w:hAnsi="Tahoma" w:cs="Tahoma"/>
                <w:color w:val="000000" w:themeColor="text1"/>
                <w:highlight w:val="none"/>
                <w14:textFill>
                  <w14:solidFill>
                    <w14:schemeClr w14:val="tx1"/>
                  </w14:solidFill>
                </w14:textFill>
              </w:rPr>
              <w:t>需具有独立承担民事行为责任的能力；三年内无违法违规等不良记录；具有良好的社会和商业信誉及履约能力；具有健全的财务会计制度和依法纳税及社会保障资金的良好记录；还应同时具备下列资格条件：</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1、满足《中华人民共和国政府采购法》</w:t>
            </w:r>
            <w:r>
              <w:rPr>
                <w:rFonts w:ascii="Tahoma" w:hAnsi="Tahoma" w:cs="Tahoma"/>
                <w:color w:val="000000" w:themeColor="text1"/>
                <w:highlight w:val="none"/>
                <w14:textFill>
                  <w14:solidFill>
                    <w14:schemeClr w14:val="tx1"/>
                  </w14:solidFill>
                </w14:textFill>
              </w:rPr>
              <w:t>第二十</w:t>
            </w:r>
            <w:r>
              <w:rPr>
                <w:rFonts w:hint="eastAsia" w:ascii="Tahoma" w:hAnsi="Tahoma" w:cs="Tahoma"/>
                <w:color w:val="000000" w:themeColor="text1"/>
                <w:highlight w:val="none"/>
                <w14:textFill>
                  <w14:solidFill>
                    <w14:schemeClr w14:val="tx1"/>
                  </w14:solidFill>
                </w14:textFill>
              </w:rPr>
              <w:t>一、二</w:t>
            </w:r>
            <w:r>
              <w:rPr>
                <w:rFonts w:ascii="Tahoma" w:hAnsi="Tahoma" w:cs="Tahoma"/>
                <w:color w:val="000000" w:themeColor="text1"/>
                <w:highlight w:val="none"/>
                <w14:textFill>
                  <w14:solidFill>
                    <w14:schemeClr w14:val="tx1"/>
                  </w14:solidFill>
                </w14:textFill>
              </w:rPr>
              <w:t>条之规定</w:t>
            </w:r>
            <w:r>
              <w:rPr>
                <w:rFonts w:hint="eastAsia" w:ascii="Tahoma" w:hAnsi="Tahoma" w:cs="Tahoma"/>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2、</w:t>
            </w:r>
            <w:r>
              <w:rPr>
                <w:rFonts w:hint="eastAsia" w:ascii="Tahoma" w:hAnsi="Tahoma" w:cs="Tahoma"/>
                <w:color w:val="000000" w:themeColor="text1"/>
                <w:highlight w:val="none"/>
                <w14:textFill>
                  <w14:solidFill>
                    <w14:schemeClr w14:val="tx1"/>
                  </w14:solidFill>
                </w14:textFill>
              </w:rPr>
              <w:t>投标人具备实施医院信息化建设能力，具备经市场监督管理局核准的有效的营业执照；</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3、</w:t>
            </w:r>
            <w:r>
              <w:rPr>
                <w:rFonts w:hint="eastAsia" w:ascii="Tahoma" w:hAnsi="Tahoma" w:cs="Tahoma"/>
                <w:color w:val="000000" w:themeColor="text1"/>
                <w:highlight w:val="none"/>
                <w14:textFill>
                  <w14:solidFill>
                    <w14:schemeClr w14:val="tx1"/>
                  </w14:solidFill>
                </w14:textFill>
              </w:rPr>
              <w:t>由法人参标的需提供法人身份证明及法人身份证原件；或由委托人参标的需提供法定代表人授权委托书、委托人身份证（授权书需附法人身份证及委托人身份证复印件）及近三个月社保缴纳凭证；</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4、</w:t>
            </w:r>
            <w:r>
              <w:rPr>
                <w:rFonts w:hint="eastAsia" w:ascii="Tahoma" w:hAnsi="Tahoma" w:cs="Tahoma"/>
                <w:color w:val="000000" w:themeColor="text1"/>
                <w:highlight w:val="none"/>
                <w14:textFill>
                  <w14:solidFill>
                    <w14:schemeClr w14:val="tx1"/>
                  </w14:solidFill>
                </w14:textFill>
              </w:rPr>
              <w:t>投标人具有良好的商业信誉和独立健全的财务会计制度及完税证明（需提供2021年度财务审计报告（2021年新成立公司提供银行出具资信证明</w:t>
            </w:r>
            <w:r>
              <w:rPr>
                <w:rFonts w:hint="eastAsia" w:ascii="Tahoma" w:hAnsi="Tahoma" w:cs="Tahoma"/>
                <w:color w:val="000000" w:themeColor="text1"/>
                <w:highlight w:val="none"/>
                <w:lang w:eastAsia="zh-CN"/>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及近三个月完税证明材料）；</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Tahoma" w:hAnsi="Tahoma" w:cs="Tahoma"/>
                <w:color w:val="000000" w:themeColor="text1"/>
                <w:highlight w:val="none"/>
                <w:lang w:val="en-US" w:eastAsia="zh-CN"/>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5、投标人需提供“信用中国”网站（WWW.creditchina.gov.cn）、中国政府采购网（www.ccgp.gov.cn）、国家企业信用信息公示系统（http://www.gsxt.gov.cn）的查询结果，如被列入失信被执行人、重大税收违法案件当事人名单、政府采购严重违法失信行为记录名单的（尚在处罚期内的），将拒绝其参加本次采购活动；</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ahoma" w:hAnsi="Tahoma" w:cs="Tahoma"/>
                <w:color w:val="000000" w:themeColor="text1"/>
                <w:highlight w:val="none"/>
                <w:lang w:val="en-US" w:eastAsia="zh-CN"/>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6、一个制造商对同一品牌的货物及产品，仅能委托一个代理商参加投标；</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7、与采购人存在利害关系可能影响公正性的单位，不得参加投标。单位负责人为同一</w:t>
            </w:r>
            <w:r>
              <w:rPr>
                <w:rFonts w:hint="eastAsia" w:ascii="Tahoma" w:hAnsi="Tahoma" w:cs="Tahoma"/>
                <w:color w:val="000000" w:themeColor="text1"/>
                <w:highlight w:val="none"/>
                <w14:textFill>
                  <w14:solidFill>
                    <w14:schemeClr w14:val="tx1"/>
                  </w14:solidFill>
                </w14:textFill>
              </w:rPr>
              <w:t>人或存在控股、管理关系的</w:t>
            </w:r>
            <w:bookmarkStart w:id="260" w:name="_GoBack"/>
            <w:bookmarkEnd w:id="260"/>
            <w:r>
              <w:rPr>
                <w:rFonts w:hint="eastAsia" w:ascii="Tahoma" w:hAnsi="Tahoma" w:cs="Tahoma"/>
                <w:color w:val="000000" w:themeColor="text1"/>
                <w:highlight w:val="none"/>
                <w14:textFill>
                  <w14:solidFill>
                    <w14:schemeClr w14:val="tx1"/>
                  </w14:solidFill>
                </w14:textFill>
              </w:rPr>
              <w:t>不同单位，不得参加同一标段投标，否则，相关投标均无效。</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供应商所提供的所有资格文件的复印件必须与原件相一致，并加盖供应商公章。否则将被视为无效投标，敬请供应商注意！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2</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答疑与澄清</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获取招标文件的供应商如认为招标文件如有表述不清晰、缺页、漏页、损页等，应当以书面形式要求采购方做出书面解释、澄清或补齐；采购人（采购代理机构）将在收到书面函的</w:t>
            </w:r>
            <w:r>
              <w:rPr>
                <w:rFonts w:ascii="Tahoma" w:hAnsi="Tahoma" w:cs="Tahoma"/>
                <w:color w:val="000000" w:themeColor="text1"/>
                <w:highlight w:val="none"/>
                <w14:textFill>
                  <w14:solidFill>
                    <w14:schemeClr w14:val="tx1"/>
                  </w14:solidFill>
                </w14:textFill>
              </w:rPr>
              <w:t>3</w:t>
            </w:r>
            <w:r>
              <w:rPr>
                <w:rFonts w:ascii="Tahoma" w:cs="Tahoma"/>
                <w:color w:val="000000" w:themeColor="text1"/>
                <w:highlight w:val="none"/>
                <w14:textFill>
                  <w14:solidFill>
                    <w14:schemeClr w14:val="tx1"/>
                  </w14:solidFill>
                </w14:textFill>
              </w:rPr>
              <w:t>个工作日内组织澄清或补齐；澄清或补齐内容是招标文件的组成部份，并将以招标文件的补充文件形式书面发布通知所有已获取招标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3.1</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投标文件</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一套（包括</w:t>
            </w:r>
            <w:r>
              <w:rPr>
                <w:rFonts w:ascii="Tahoma" w:hAnsi="Tahoma" w:cs="Tahoma"/>
                <w:color w:val="000000" w:themeColor="text1"/>
                <w:szCs w:val="21"/>
                <w:highlight w:val="none"/>
                <w14:textFill>
                  <w14:solidFill>
                    <w14:schemeClr w14:val="tx1"/>
                  </w14:solidFill>
                </w14:textFill>
              </w:rPr>
              <w:t>资格类文件和投标主要文件</w:t>
            </w:r>
            <w:r>
              <w:rPr>
                <w:rFonts w:ascii="Tahoma" w:hAnsi="Tahoma" w:cs="Tahoma"/>
                <w:color w:val="000000" w:themeColor="text1"/>
                <w:highlight w:val="none"/>
                <w14:textFill>
                  <w14:solidFill>
                    <w14:schemeClr w14:val="tx1"/>
                  </w14:solidFill>
                </w14:textFill>
              </w:rPr>
              <w:t>）：一式伍份（正本1份、副本4份）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3.2</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最高投标限价</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本项目的预算价：</w:t>
            </w:r>
            <w:r>
              <w:rPr>
                <w:rFonts w:hint="eastAsia" w:ascii="Tahoma" w:hAnsi="Tahoma" w:cs="Tahoma"/>
                <w:color w:val="000000" w:themeColor="text1"/>
                <w:highlight w:val="none"/>
                <w:lang w:val="en-US" w:eastAsia="zh-CN"/>
                <w14:textFill>
                  <w14:solidFill>
                    <w14:schemeClr w14:val="tx1"/>
                  </w14:solidFill>
                </w14:textFill>
              </w:rPr>
              <w:t>2197.6917</w:t>
            </w:r>
            <w:r>
              <w:rPr>
                <w:rFonts w:hint="eastAsia" w:ascii="Tahoma" w:hAnsi="Tahoma" w:cs="Tahoma"/>
                <w:bCs/>
                <w:color w:val="000000" w:themeColor="text1"/>
                <w:kern w:val="0"/>
                <w:szCs w:val="21"/>
                <w:highlight w:val="none"/>
                <w14:textFill>
                  <w14:solidFill>
                    <w14:schemeClr w14:val="tx1"/>
                  </w14:solidFill>
                </w14:textFill>
              </w:rPr>
              <w:t>万</w:t>
            </w:r>
            <w:r>
              <w:rPr>
                <w:rFonts w:ascii="Tahoma" w:hAnsi="Tahoma" w:cs="Tahoma"/>
                <w:color w:val="000000" w:themeColor="text1"/>
                <w:kern w:val="0"/>
                <w:sz w:val="22"/>
                <w:szCs w:val="22"/>
                <w:highlight w:val="none"/>
                <w14:textFill>
                  <w14:solidFill>
                    <w14:schemeClr w14:val="tx1"/>
                  </w14:solidFill>
                </w14:textFill>
              </w:rPr>
              <w:t>元</w:t>
            </w:r>
            <w:r>
              <w:rPr>
                <w:rFonts w:ascii="Tahoma" w:hAnsi="Tahoma" w:cs="Tahoma"/>
                <w:color w:val="000000" w:themeColor="text1"/>
                <w:highlight w:val="none"/>
                <w14:textFill>
                  <w14:solidFill>
                    <w14:schemeClr w14:val="tx1"/>
                  </w14:solidFill>
                </w14:textFill>
              </w:rPr>
              <w:t>，</w:t>
            </w:r>
            <w:r>
              <w:rPr>
                <w:rFonts w:ascii="Tahoma" w:cs="Tahoma"/>
                <w:b/>
                <w:bCs/>
                <w:color w:val="000000" w:themeColor="text1"/>
                <w:highlight w:val="none"/>
                <w14:textFill>
                  <w14:solidFill>
                    <w14:schemeClr w14:val="tx1"/>
                  </w14:solidFill>
                </w14:textFill>
              </w:rPr>
              <w:t>报价超过上限价</w:t>
            </w:r>
            <w:r>
              <w:rPr>
                <w:rFonts w:ascii="Tahoma" w:hAnsi="Tahoma" w:cs="Tahoma"/>
                <w:b/>
                <w:bCs/>
                <w:color w:val="000000" w:themeColor="text1"/>
                <w:highlight w:val="none"/>
                <w14:textFill>
                  <w14:solidFill>
                    <w14:schemeClr w14:val="tx1"/>
                  </w14:solidFill>
                </w14:textFill>
              </w:rPr>
              <w:t>（预算价）的</w:t>
            </w:r>
            <w:r>
              <w:rPr>
                <w:rFonts w:hint="eastAsia" w:ascii="Tahoma" w:hAnsi="Tahoma" w:cs="Tahoma"/>
                <w:b/>
                <w:bCs/>
                <w:color w:val="000000" w:themeColor="text1"/>
                <w:highlight w:val="none"/>
                <w14:textFill>
                  <w14:solidFill>
                    <w14:schemeClr w14:val="tx1"/>
                  </w14:solidFill>
                </w14:textFill>
              </w:rPr>
              <w:t>其</w:t>
            </w:r>
            <w:r>
              <w:rPr>
                <w:rFonts w:ascii="Tahoma" w:cs="Tahoma"/>
                <w:b/>
                <w:bCs/>
                <w:color w:val="000000" w:themeColor="text1"/>
                <w:highlight w:val="none"/>
                <w14:textFill>
                  <w14:solidFill>
                    <w14:schemeClr w14:val="tx1"/>
                  </w14:solidFill>
                </w14:textFill>
              </w:rPr>
              <w:t>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blHeader/>
        </w:trPr>
        <w:tc>
          <w:tcPr>
            <w:tcW w:w="103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3.</w:t>
            </w:r>
            <w:r>
              <w:rPr>
                <w:rFonts w:hint="eastAsia" w:ascii="Tahoma" w:hAnsi="Tahoma" w:eastAsia="华文中宋" w:cs="Tahoma"/>
                <w:color w:val="000000" w:themeColor="text1"/>
                <w:highlight w:val="none"/>
                <w14:textFill>
                  <w14:solidFill>
                    <w14:schemeClr w14:val="tx1"/>
                  </w14:solidFill>
                </w14:textFill>
              </w:rPr>
              <w:t>3</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投标有效期</w:t>
            </w:r>
          </w:p>
        </w:tc>
        <w:tc>
          <w:tcPr>
            <w:tcW w:w="7774"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投标截止期结束后</w:t>
            </w:r>
            <w:r>
              <w:rPr>
                <w:rFonts w:hint="eastAsia" w:ascii="Tahoma" w:hAnsi="Tahoma" w:cs="Tahoma"/>
                <w:color w:val="000000" w:themeColor="text1"/>
                <w:highlight w:val="none"/>
                <w14:textFill>
                  <w14:solidFill>
                    <w14:schemeClr w14:val="tx1"/>
                  </w14:solidFill>
                </w14:textFill>
              </w:rPr>
              <w:t>30工作</w:t>
            </w:r>
            <w:r>
              <w:rPr>
                <w:rFonts w:ascii="Tahoma" w:hAnsi="Tahoma" w:cs="Tahoma"/>
                <w:color w:val="000000" w:themeColor="text1"/>
                <w:highlight w:val="none"/>
                <w14:textFill>
                  <w14:solidFill>
                    <w14:schemeClr w14:val="tx1"/>
                  </w14:solidFill>
                </w14:textFill>
              </w:rPr>
              <w:t>日，有效期不足将导致其投标文件被拒绝。</w:t>
            </w:r>
          </w:p>
        </w:tc>
      </w:tr>
    </w:tbl>
    <w:p>
      <w:pPr>
        <w:rPr>
          <w:color w:val="000000" w:themeColor="text1"/>
          <w:highlight w:val="none"/>
          <w14:textFill>
            <w14:solidFill>
              <w14:schemeClr w14:val="tx1"/>
            </w14:solidFill>
          </w14:textFill>
        </w:rPr>
      </w:pPr>
    </w:p>
    <w:tbl>
      <w:tblPr>
        <w:tblStyle w:val="20"/>
        <w:tblW w:w="10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61"/>
        <w:gridCol w:w="7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trPr>
        <w:tc>
          <w:tcPr>
            <w:tcW w:w="103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3.</w:t>
            </w:r>
            <w:r>
              <w:rPr>
                <w:rFonts w:hint="eastAsia" w:ascii="Tahoma" w:hAnsi="Tahoma" w:eastAsia="华文中宋" w:cs="Tahoma"/>
                <w:color w:val="000000" w:themeColor="text1"/>
                <w:highlight w:val="none"/>
                <w14:textFill>
                  <w14:solidFill>
                    <w14:schemeClr w14:val="tx1"/>
                  </w14:solidFill>
                </w14:textFill>
              </w:rPr>
              <w:t>4</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投标保证金</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投标保证金：</w:t>
            </w:r>
            <w:r>
              <w:rPr>
                <w:rFonts w:hint="eastAsia" w:ascii="Tahoma" w:hAnsi="Tahoma" w:cs="Tahoma"/>
                <w:color w:val="000000" w:themeColor="text1"/>
                <w:szCs w:val="21"/>
                <w:highlight w:val="none"/>
                <w:lang w:val="en-US" w:eastAsia="zh-CN"/>
                <w14:textFill>
                  <w14:solidFill>
                    <w14:schemeClr w14:val="tx1"/>
                  </w14:solidFill>
                </w14:textFill>
              </w:rPr>
              <w:t>¥200000.00元（贰拾万元整）</w:t>
            </w:r>
            <w:r>
              <w:rPr>
                <w:rFonts w:ascii="Tahoma" w:hAnsi="Tahoma" w:cs="Tahoma"/>
                <w:color w:val="000000" w:themeColor="text1"/>
                <w:szCs w:val="21"/>
                <w:highlight w:val="none"/>
                <w14:textFill>
                  <w14:solidFill>
                    <w14:schemeClr w14:val="tx1"/>
                  </w14:solidFill>
                </w14:textFill>
              </w:rPr>
              <w:t>，从投标人的基本账户汇出</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开户名称：</w:t>
            </w:r>
            <w:r>
              <w:rPr>
                <w:rFonts w:hint="eastAsia" w:ascii="Tahoma" w:hAnsi="Tahoma" w:cs="Tahoma"/>
                <w:color w:val="000000" w:themeColor="text1"/>
                <w:szCs w:val="21"/>
                <w:highlight w:val="none"/>
                <w:lang w:val="en-US" w:eastAsia="zh-CN"/>
                <w14:textFill>
                  <w14:solidFill>
                    <w14:schemeClr w14:val="tx1"/>
                  </w14:solidFill>
                </w14:textFill>
              </w:rPr>
              <w:t>和田县行政服务和公共资源交易中心</w:t>
            </w:r>
            <w:r>
              <w:rPr>
                <w:rFonts w:ascii="Tahoma" w:hAnsi="Tahoma" w:cs="Tahoma"/>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开户银行：</w:t>
            </w:r>
            <w:r>
              <w:rPr>
                <w:rFonts w:hint="eastAsia" w:ascii="Tahoma" w:hAnsi="Tahoma" w:cs="Tahoma"/>
                <w:color w:val="000000" w:themeColor="text1"/>
                <w:szCs w:val="21"/>
                <w:highlight w:val="none"/>
                <w:lang w:val="en-US" w:eastAsia="zh-CN"/>
                <w14:textFill>
                  <w14:solidFill>
                    <w14:schemeClr w14:val="tx1"/>
                  </w14:solidFill>
                </w14:textFill>
              </w:rPr>
              <w:t>中国农业银行股份有限公司和田市支行</w:t>
            </w:r>
            <w:r>
              <w:rPr>
                <w:rFonts w:ascii="Tahoma" w:hAnsi="Tahoma" w:cs="Tahoma"/>
                <w:color w:val="000000" w:themeColor="text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24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帐号：</w:t>
            </w:r>
            <w:r>
              <w:rPr>
                <w:rFonts w:hint="eastAsia" w:ascii="Tahoma" w:hAnsi="Tahoma" w:cs="Tahoma"/>
                <w:color w:val="000000" w:themeColor="text1"/>
                <w:szCs w:val="21"/>
                <w:highlight w:val="none"/>
                <w:lang w:val="en-US" w:eastAsia="zh-CN"/>
                <w14:textFill>
                  <w14:solidFill>
                    <w14:schemeClr w14:val="tx1"/>
                  </w14:solidFill>
                </w14:textFill>
              </w:rPr>
              <w:t>30580801040005315</w:t>
            </w:r>
            <w:r>
              <w:rPr>
                <w:rFonts w:ascii="Tahoma" w:hAnsi="Tahoma" w:cs="Tahoma"/>
                <w:color w:val="000000" w:themeColor="text1"/>
                <w:szCs w:val="21"/>
                <w:highlight w:val="none"/>
                <w14:textFill>
                  <w14:solidFill>
                    <w14:schemeClr w14:val="tx1"/>
                  </w14:solidFill>
                </w14:textFill>
              </w:rPr>
              <w:t>（行号：</w:t>
            </w:r>
            <w:r>
              <w:rPr>
                <w:rFonts w:hint="eastAsia" w:ascii="Tahoma" w:hAnsi="Tahoma" w:cs="Tahoma"/>
                <w:color w:val="000000" w:themeColor="text1"/>
                <w:szCs w:val="21"/>
                <w:highlight w:val="none"/>
                <w14:textFill>
                  <w14:solidFill>
                    <w14:schemeClr w14:val="tx1"/>
                  </w14:solidFill>
                </w14:textFill>
              </w:rPr>
              <w:t>103896058086</w:t>
            </w:r>
            <w:r>
              <w:rPr>
                <w:rFonts w:ascii="Tahoma" w:hAnsi="Tahoma" w:cs="Tahoma"/>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ahoma" w:hAnsi="Tahoma" w:eastAsia="宋体" w:cs="Tahoma"/>
                <w:color w:val="000000" w:themeColor="text1"/>
                <w:szCs w:val="21"/>
                <w:highlight w:val="none"/>
                <w:lang w:val="en-US" w:eastAsia="zh-CN"/>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注意：</w:t>
            </w:r>
            <w:r>
              <w:rPr>
                <w:rFonts w:hint="eastAsia" w:ascii="Tahoma" w:hAnsi="Tahoma" w:cs="Tahoma"/>
                <w:color w:val="000000" w:themeColor="text1"/>
                <w:szCs w:val="21"/>
                <w:highlight w:val="none"/>
                <w14:textFill>
                  <w14:solidFill>
                    <w14:schemeClr w14:val="tx1"/>
                  </w14:solidFill>
                </w14:textFill>
              </w:rPr>
              <w:t>投标人应在投标截止日期前，从其基本账户提交至下述指定专用账户（并注明项目名称及标段、用途），金额以到帐为准，并</w:t>
            </w:r>
            <w:r>
              <w:rPr>
                <w:rFonts w:ascii="Tahoma" w:hAnsi="Tahoma" w:cs="Tahoma"/>
                <w:color w:val="000000" w:themeColor="text1"/>
                <w:szCs w:val="21"/>
                <w:highlight w:val="none"/>
                <w14:textFill>
                  <w14:solidFill>
                    <w14:schemeClr w14:val="tx1"/>
                  </w14:solidFill>
                </w14:textFill>
              </w:rPr>
              <w:t>持基本账户开户许可证、能够证明其</w:t>
            </w:r>
            <w:r>
              <w:rPr>
                <w:rFonts w:hint="eastAsia" w:ascii="Tahoma" w:hAnsi="Tahoma" w:cs="Tahoma"/>
                <w:color w:val="000000" w:themeColor="text1"/>
                <w:szCs w:val="21"/>
                <w:highlight w:val="none"/>
                <w14:textFill>
                  <w14:solidFill>
                    <w14:schemeClr w14:val="tx1"/>
                  </w14:solidFill>
                </w14:textFill>
              </w:rPr>
              <w:t>投标</w:t>
            </w:r>
            <w:r>
              <w:rPr>
                <w:rFonts w:ascii="Tahoma" w:hAnsi="Tahoma" w:cs="Tahoma"/>
                <w:color w:val="000000" w:themeColor="text1"/>
                <w:szCs w:val="21"/>
                <w:highlight w:val="none"/>
                <w14:textFill>
                  <w14:solidFill>
                    <w14:schemeClr w14:val="tx1"/>
                  </w14:solidFill>
                </w14:textFill>
              </w:rPr>
              <w:t>保证金从其基本帐户转出且已交存的有效凭证在202</w:t>
            </w:r>
            <w:r>
              <w:rPr>
                <w:rFonts w:hint="eastAsia" w:ascii="Tahoma" w:hAnsi="Tahoma" w:cs="Tahoma"/>
                <w:color w:val="000000" w:themeColor="text1"/>
                <w:szCs w:val="21"/>
                <w:highlight w:val="none"/>
                <w:lang w:val="en-US" w:eastAsia="zh-CN"/>
                <w14:textFill>
                  <w14:solidFill>
                    <w14:schemeClr w14:val="tx1"/>
                  </w14:solidFill>
                </w14:textFill>
              </w:rPr>
              <w:t>2</w:t>
            </w:r>
            <w:r>
              <w:rPr>
                <w:rFonts w:ascii="Tahoma" w:hAnsi="Tahoma" w:cs="Tahoma"/>
                <w:color w:val="000000" w:themeColor="text1"/>
                <w:szCs w:val="21"/>
                <w:highlight w:val="none"/>
                <w14:textFill>
                  <w14:solidFill>
                    <w14:schemeClr w14:val="tx1"/>
                  </w14:solidFill>
                </w14:textFill>
              </w:rPr>
              <w:t>年</w:t>
            </w:r>
            <w:r>
              <w:rPr>
                <w:rFonts w:hint="eastAsia" w:ascii="Tahoma" w:hAnsi="Tahoma" w:cs="Tahoma"/>
                <w:color w:val="000000" w:themeColor="text1"/>
                <w:szCs w:val="21"/>
                <w:highlight w:val="none"/>
                <w:lang w:val="en-US" w:eastAsia="zh-CN"/>
                <w14:textFill>
                  <w14:solidFill>
                    <w14:schemeClr w14:val="tx1"/>
                  </w14:solidFill>
                </w14:textFill>
              </w:rPr>
              <w:t>6</w:t>
            </w:r>
            <w:r>
              <w:rPr>
                <w:rFonts w:ascii="Tahoma" w:hAnsi="Tahoma" w:cs="Tahoma"/>
                <w:color w:val="000000" w:themeColor="text1"/>
                <w:szCs w:val="21"/>
                <w:highlight w:val="none"/>
                <w14:textFill>
                  <w14:solidFill>
                    <w14:schemeClr w14:val="tx1"/>
                  </w14:solidFill>
                </w14:textFill>
              </w:rPr>
              <w:t>月</w:t>
            </w:r>
            <w:r>
              <w:rPr>
                <w:rFonts w:hint="eastAsia" w:ascii="Tahoma" w:hAnsi="Tahoma" w:cs="Tahoma"/>
                <w:color w:val="000000" w:themeColor="text1"/>
                <w:szCs w:val="21"/>
                <w:highlight w:val="none"/>
                <w:lang w:val="en-US" w:eastAsia="zh-CN"/>
                <w14:textFill>
                  <w14:solidFill>
                    <w14:schemeClr w14:val="tx1"/>
                  </w14:solidFill>
                </w14:textFill>
              </w:rPr>
              <w:t>14</w:t>
            </w:r>
            <w:r>
              <w:rPr>
                <w:rFonts w:ascii="Tahoma" w:hAnsi="Tahoma" w:cs="Tahoma"/>
                <w:color w:val="000000" w:themeColor="text1"/>
                <w:szCs w:val="21"/>
                <w:highlight w:val="none"/>
                <w14:textFill>
                  <w14:solidFill>
                    <w14:schemeClr w14:val="tx1"/>
                  </w14:solidFill>
                </w14:textFill>
              </w:rPr>
              <w:t>日</w:t>
            </w:r>
            <w:r>
              <w:rPr>
                <w:rFonts w:hint="eastAsia" w:ascii="Tahoma" w:hAnsi="Tahoma" w:cs="Tahoma"/>
                <w:color w:val="000000" w:themeColor="text1"/>
                <w:szCs w:val="21"/>
                <w:highlight w:val="none"/>
                <w14:textFill>
                  <w14:solidFill>
                    <w14:schemeClr w14:val="tx1"/>
                  </w14:solidFill>
                </w14:textFill>
              </w:rPr>
              <w:t>1</w:t>
            </w:r>
            <w:r>
              <w:rPr>
                <w:rFonts w:hint="eastAsia" w:ascii="Tahoma" w:hAnsi="Tahoma" w:cs="Tahoma"/>
                <w:color w:val="000000" w:themeColor="text1"/>
                <w:szCs w:val="21"/>
                <w:highlight w:val="none"/>
                <w:lang w:val="en-US" w:eastAsia="zh-CN"/>
                <w14:textFill>
                  <w14:solidFill>
                    <w14:schemeClr w14:val="tx1"/>
                  </w14:solidFill>
                </w14:textFill>
              </w:rPr>
              <w:t>1</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0</w:t>
            </w:r>
            <w:r>
              <w:rPr>
                <w:rFonts w:ascii="Tahoma" w:hAnsi="Tahoma" w:cs="Tahoma"/>
                <w:color w:val="000000" w:themeColor="text1"/>
                <w:szCs w:val="21"/>
                <w:highlight w:val="none"/>
                <w14:textFill>
                  <w14:solidFill>
                    <w14:schemeClr w14:val="tx1"/>
                  </w14:solidFill>
                </w14:textFill>
              </w:rPr>
              <w:t>0时之前至</w:t>
            </w:r>
            <w:r>
              <w:rPr>
                <w:rFonts w:hint="eastAsia" w:ascii="Tahoma" w:hAnsi="Tahoma" w:cs="Tahoma"/>
                <w:color w:val="000000" w:themeColor="text1"/>
                <w:szCs w:val="21"/>
                <w:highlight w:val="none"/>
                <w14:textFill>
                  <w14:solidFill>
                    <w14:schemeClr w14:val="tx1"/>
                  </w14:solidFill>
                </w14:textFill>
              </w:rPr>
              <w:t>和田县政务服务中心</w:t>
            </w:r>
            <w:r>
              <w:rPr>
                <w:rFonts w:ascii="Tahoma" w:hAnsi="Tahoma" w:cs="Tahoma"/>
                <w:color w:val="000000" w:themeColor="text1"/>
                <w:szCs w:val="21"/>
                <w:highlight w:val="none"/>
                <w14:textFill>
                  <w14:solidFill>
                    <w14:schemeClr w14:val="tx1"/>
                  </w14:solidFill>
                </w14:textFill>
              </w:rPr>
              <w:t>换取</w:t>
            </w:r>
            <w:r>
              <w:rPr>
                <w:rFonts w:hint="eastAsia" w:ascii="Tahoma" w:hAnsi="Tahoma" w:cs="Tahoma"/>
                <w:color w:val="000000" w:themeColor="text1"/>
                <w:szCs w:val="21"/>
                <w:highlight w:val="none"/>
                <w14:textFill>
                  <w14:solidFill>
                    <w14:schemeClr w14:val="tx1"/>
                  </w14:solidFill>
                </w14:textFill>
              </w:rPr>
              <w:t>投标</w:t>
            </w:r>
            <w:r>
              <w:rPr>
                <w:rFonts w:ascii="Tahoma" w:hAnsi="Tahoma" w:cs="Tahoma"/>
                <w:color w:val="000000" w:themeColor="text1"/>
                <w:szCs w:val="21"/>
                <w:highlight w:val="none"/>
                <w14:textFill>
                  <w14:solidFill>
                    <w14:schemeClr w14:val="tx1"/>
                  </w14:solidFill>
                </w14:textFill>
              </w:rPr>
              <w:t>保证金收据，逾期不予办理，造成的后果由供应商自行承担！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03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4.1</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封套上写明</w:t>
            </w:r>
          </w:p>
        </w:tc>
        <w:tc>
          <w:tcPr>
            <w:tcW w:w="7743"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项目名称：</w:t>
            </w:r>
            <w:r>
              <w:rPr>
                <w:rFonts w:ascii="Tahoma" w:hAnsi="Tahoma" w:cs="Tahoma"/>
                <w:color w:val="000000" w:themeColor="text1"/>
                <w:highlight w:val="none"/>
                <w:u w:val="single"/>
                <w14:textFill>
                  <w14:solidFill>
                    <w14:schemeClr w14:val="tx1"/>
                  </w14:solidFill>
                </w14:textFill>
              </w:rPr>
              <w:t xml:space="preserve">                   本采购项目、包段全称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项目编号：</w:t>
            </w:r>
            <w:r>
              <w:rPr>
                <w:rFonts w:ascii="Tahoma" w:hAnsi="Tahoma" w:cs="Tahoma"/>
                <w:color w:val="000000" w:themeColor="text1"/>
                <w:highlight w:val="none"/>
                <w:u w:val="single"/>
                <w14:textFill>
                  <w14:solidFill>
                    <w14:schemeClr w14:val="tx1"/>
                  </w14:solidFill>
                </w14:textFill>
              </w:rPr>
              <w:t xml:space="preserve">                      本采购项目编号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投标文件：在</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时</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分前不得开启</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u w:val="single"/>
                <w14:textFill>
                  <w14:solidFill>
                    <w14:schemeClr w14:val="tx1"/>
                  </w14:solidFill>
                </w14:textFill>
              </w:rPr>
            </w:pPr>
            <w:r>
              <w:rPr>
                <w:rFonts w:ascii="Tahoma" w:hAnsi="Tahoma" w:cs="Tahoma"/>
                <w:color w:val="000000" w:themeColor="text1"/>
                <w:highlight w:val="none"/>
                <w14:textFill>
                  <w14:solidFill>
                    <w14:schemeClr w14:val="tx1"/>
                  </w14:solidFill>
                </w14:textFill>
              </w:rPr>
              <w:t>投标人名称：</w:t>
            </w:r>
            <w:r>
              <w:rPr>
                <w:rFonts w:ascii="Tahoma" w:hAnsi="Tahoma" w:cs="Tahoma"/>
                <w:color w:val="000000" w:themeColor="text1"/>
                <w:highlight w:val="none"/>
                <w:u w:val="single"/>
                <w14:textFill>
                  <w14:solidFill>
                    <w14:schemeClr w14:val="tx1"/>
                  </w14:solidFill>
                </w14:textFill>
              </w:rPr>
              <w:t xml:space="preserve">                 供应商全称（加盖公章）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ahoma" w:hAnsi="Tahoma" w:cs="Tahoma"/>
                <w:b/>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日期：</w:t>
            </w:r>
            <w:r>
              <w:rPr>
                <w:rFonts w:hint="eastAsia" w:ascii="Tahoma" w:hAnsi="Tahoma" w:cs="Tahoma"/>
                <w:color w:val="000000" w:themeColor="text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4.2</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投标文件递交</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Tahoma" w:hAnsi="Tahoma" w:eastAsia="宋体" w:cs="Tahoma"/>
                <w:color w:val="000000" w:themeColor="text1"/>
                <w:highlight w:val="none"/>
                <w:lang w:eastAsia="zh-CN"/>
                <w14:textFill>
                  <w14:solidFill>
                    <w14:schemeClr w14:val="tx1"/>
                  </w14:solidFill>
                </w14:textFill>
              </w:rPr>
            </w:pPr>
            <w:r>
              <w:rPr>
                <w:rFonts w:hint="eastAsia" w:ascii="Tahoma" w:hAnsi="Tahoma" w:cs="Tahoma"/>
                <w:color w:val="000000" w:themeColor="text1"/>
                <w:highlight w:val="none"/>
                <w:lang w:eastAsia="zh-CN"/>
                <w14:textFill>
                  <w14:solidFill>
                    <w14:schemeClr w14:val="tx1"/>
                  </w14:solidFill>
                </w14:textFill>
              </w:rPr>
              <w:t>和田县行政服务和公共资源交易中心（和田县经济新区昌盛路）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kern w:val="0"/>
                <w:szCs w:val="2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5.1</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color w:val="000000" w:themeColor="text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开标时间和地点</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时间：</w:t>
            </w:r>
            <w:r>
              <w:rPr>
                <w:rFonts w:ascii="Tahoma" w:hAnsi="Tahoma" w:cs="Tahoma"/>
                <w:color w:val="000000" w:themeColor="text1"/>
                <w:highlight w:val="none"/>
                <w:u w:val="single"/>
                <w14:textFill>
                  <w14:solidFill>
                    <w14:schemeClr w14:val="tx1"/>
                  </w14:solidFill>
                </w14:textFill>
              </w:rPr>
              <w:t>20</w:t>
            </w:r>
            <w:r>
              <w:rPr>
                <w:rFonts w:hint="eastAsia" w:ascii="Tahoma" w:hAnsi="Tahoma" w:cs="Tahoma"/>
                <w:color w:val="000000" w:themeColor="text1"/>
                <w:highlight w:val="none"/>
                <w:u w:val="single"/>
                <w:lang w:val="en-US" w:eastAsia="zh-CN"/>
                <w14:textFill>
                  <w14:solidFill>
                    <w14:schemeClr w14:val="tx1"/>
                  </w14:solidFill>
                </w14:textFill>
              </w:rPr>
              <w:t>22</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年</w:t>
            </w:r>
            <w:r>
              <w:rPr>
                <w:rFonts w:hint="eastAsia" w:ascii="Tahoma" w:hAnsi="Tahoma" w:cs="Tahoma"/>
                <w:color w:val="000000" w:themeColor="text1"/>
                <w:highlight w:val="none"/>
                <w:u w:val="single"/>
                <w:lang w:val="en-US" w:eastAsia="zh-CN"/>
                <w14:textFill>
                  <w14:solidFill>
                    <w14:schemeClr w14:val="tx1"/>
                  </w14:solidFill>
                </w14:textFill>
              </w:rPr>
              <w:t>6</w:t>
            </w:r>
            <w:r>
              <w:rPr>
                <w:rFonts w:ascii="Tahoma" w:hAnsi="Tahoma" w:cs="Tahoma"/>
                <w:color w:val="000000" w:themeColor="text1"/>
                <w:highlight w:val="none"/>
                <w14:textFill>
                  <w14:solidFill>
                    <w14:schemeClr w14:val="tx1"/>
                  </w14:solidFill>
                </w14:textFill>
              </w:rPr>
              <w:t>月</w:t>
            </w:r>
            <w:r>
              <w:rPr>
                <w:rFonts w:hint="eastAsia" w:ascii="Tahoma" w:hAnsi="Tahoma" w:cs="Tahoma"/>
                <w:color w:val="000000" w:themeColor="text1"/>
                <w:highlight w:val="none"/>
                <w:u w:val="single"/>
                <w:lang w:val="en-US" w:eastAsia="zh-CN"/>
                <w14:textFill>
                  <w14:solidFill>
                    <w14:schemeClr w14:val="tx1"/>
                  </w14:solidFill>
                </w14:textFill>
              </w:rPr>
              <w:t>14</w:t>
            </w:r>
            <w:r>
              <w:rPr>
                <w:rFonts w:ascii="Tahoma" w:hAnsi="Tahoma" w:cs="Tahoma"/>
                <w:color w:val="000000" w:themeColor="text1"/>
                <w:highlight w:val="none"/>
                <w14:textFill>
                  <w14:solidFill>
                    <w14:schemeClr w14:val="tx1"/>
                  </w14:solidFill>
                </w14:textFill>
              </w:rPr>
              <w:t>日</w:t>
            </w:r>
            <w:r>
              <w:rPr>
                <w:rFonts w:ascii="Tahoma" w:hAnsi="Tahoma" w:cs="Tahoma"/>
                <w:color w:val="000000" w:themeColor="text1"/>
                <w:highlight w:val="none"/>
                <w:u w:val="single"/>
                <w14:textFill>
                  <w14:solidFill>
                    <w14:schemeClr w14:val="tx1"/>
                  </w14:solidFill>
                </w14:textFill>
              </w:rPr>
              <w:t xml:space="preserve"> </w:t>
            </w:r>
            <w:r>
              <w:rPr>
                <w:rFonts w:hint="eastAsia" w:ascii="Tahoma" w:hAnsi="Tahoma" w:cs="Tahoma"/>
                <w:color w:val="000000" w:themeColor="text1"/>
                <w:highlight w:val="none"/>
                <w:u w:val="single"/>
                <w14:textFill>
                  <w14:solidFill>
                    <w14:schemeClr w14:val="tx1"/>
                  </w14:solidFill>
                </w14:textFill>
              </w:rPr>
              <w:t>11</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时</w:t>
            </w:r>
            <w:r>
              <w:rPr>
                <w:rFonts w:ascii="Tahoma" w:hAnsi="Tahoma" w:cs="Tahoma"/>
                <w:color w:val="000000" w:themeColor="text1"/>
                <w:highlight w:val="none"/>
                <w:u w:val="single"/>
                <w14:textFill>
                  <w14:solidFill>
                    <w14:schemeClr w14:val="tx1"/>
                  </w14:solidFill>
                </w14:textFill>
              </w:rPr>
              <w:t xml:space="preserve"> </w:t>
            </w:r>
            <w:r>
              <w:rPr>
                <w:rFonts w:hint="eastAsia" w:ascii="Tahoma" w:hAnsi="Tahoma" w:cs="Tahoma"/>
                <w:color w:val="000000" w:themeColor="text1"/>
                <w:highlight w:val="none"/>
                <w:u w:val="single"/>
                <w14:textFill>
                  <w14:solidFill>
                    <w14:schemeClr w14:val="tx1"/>
                  </w14:solidFill>
                </w14:textFill>
              </w:rPr>
              <w:t>0</w:t>
            </w:r>
            <w:r>
              <w:rPr>
                <w:rFonts w:ascii="Tahoma" w:hAnsi="Tahoma" w:cs="Tahoma"/>
                <w:color w:val="000000" w:themeColor="text1"/>
                <w:highlight w:val="none"/>
                <w:u w:val="single"/>
                <w14:textFill>
                  <w14:solidFill>
                    <w14:schemeClr w14:val="tx1"/>
                  </w14:solidFill>
                </w14:textFill>
              </w:rPr>
              <w:t>0</w:t>
            </w:r>
            <w:r>
              <w:rPr>
                <w:rFonts w:ascii="Tahoma" w:hAnsi="Tahoma" w:cs="Tahoma"/>
                <w:color w:val="000000" w:themeColor="text1"/>
                <w:highlight w:val="none"/>
                <w14:textFill>
                  <w14:solidFill>
                    <w14:schemeClr w14:val="tx1"/>
                  </w14:solidFill>
                </w14:textFill>
              </w:rPr>
              <w:t>分（北京时间）；地点：同投标文件递交地点。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b/>
                <w:bCs/>
                <w:color w:val="000000" w:themeColor="text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5.</w:t>
            </w:r>
            <w:r>
              <w:rPr>
                <w:rFonts w:hint="eastAsia" w:ascii="Tahoma" w:hAnsi="Tahoma" w:eastAsia="华文中宋" w:cs="Tahoma"/>
                <w:color w:val="000000" w:themeColor="text1"/>
                <w:kern w:val="0"/>
                <w:szCs w:val="21"/>
                <w:highlight w:val="none"/>
                <w14:textFill>
                  <w14:solidFill>
                    <w14:schemeClr w14:val="tx1"/>
                  </w14:solidFill>
                </w14:textFill>
              </w:rPr>
              <w:t>2</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color w:val="000000" w:themeColor="text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开标程序</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bCs/>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（1）密封情况检查：密封性完好</w:t>
            </w:r>
            <w:r>
              <w:rPr>
                <w:rFonts w:hint="eastAsia" w:ascii="Tahoma" w:hAnsi="Tahoma" w:cs="Tahoma"/>
                <w:color w:val="000000" w:themeColor="text1"/>
                <w:highlight w:val="none"/>
                <w14:textFill>
                  <w14:solidFill>
                    <w14:schemeClr w14:val="tx1"/>
                  </w14:solidFill>
                </w14:textFill>
              </w:rPr>
              <w:t>；</w:t>
            </w:r>
            <w:r>
              <w:rPr>
                <w:rFonts w:ascii="Tahoma" w:hAnsi="Tahoma" w:cs="Tahoma"/>
                <w:color w:val="000000" w:themeColor="text1"/>
                <w:highlight w:val="none"/>
                <w14:textFill>
                  <w14:solidFill>
                    <w14:schemeClr w14:val="tx1"/>
                  </w14:solidFill>
                </w14:textFill>
              </w:rPr>
              <w:t>（2）开标顺序：按递交投标文件的逆顺序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kern w:val="0"/>
                <w:szCs w:val="2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6.1</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评</w:t>
            </w:r>
            <w:r>
              <w:rPr>
                <w:rFonts w:ascii="Tahoma" w:hAnsi="Trebuchet MS" w:cs="Tahoma"/>
                <w:color w:val="000000" w:themeColor="text1"/>
                <w:highlight w:val="none"/>
                <w14:textFill>
                  <w14:solidFill>
                    <w14:schemeClr w14:val="tx1"/>
                  </w14:solidFill>
                </w14:textFill>
              </w:rPr>
              <w:t>评标委员会</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（1）构成：</w:t>
            </w:r>
            <w:r>
              <w:rPr>
                <w:rFonts w:hint="eastAsia" w:ascii="Tahoma" w:hAnsi="Tahoma" w:cs="Tahoma"/>
                <w:color w:val="000000" w:themeColor="text1"/>
                <w:highlight w:val="none"/>
                <w:lang w:val="en-US" w:eastAsia="zh-CN"/>
                <w14:textFill>
                  <w14:solidFill>
                    <w14:schemeClr w14:val="tx1"/>
                  </w14:solidFill>
                </w14:textFill>
              </w:rPr>
              <w:t>7</w:t>
            </w:r>
            <w:r>
              <w:rPr>
                <w:rFonts w:ascii="Tahoma" w:hAnsi="Tahoma" w:cs="Tahoma"/>
                <w:color w:val="000000" w:themeColor="text1"/>
                <w:highlight w:val="none"/>
                <w14:textFill>
                  <w14:solidFill>
                    <w14:schemeClr w14:val="tx1"/>
                  </w14:solidFill>
                </w14:textFill>
              </w:rPr>
              <w:t>人，其中招标人代表</w:t>
            </w:r>
            <w:r>
              <w:rPr>
                <w:rFonts w:hint="eastAsia" w:ascii="Tahoma" w:hAnsi="Tahoma" w:cs="Tahoma"/>
                <w:color w:val="000000" w:themeColor="text1"/>
                <w:highlight w:val="none"/>
                <w:lang w:val="en-US" w:eastAsia="zh-CN"/>
                <w14:textFill>
                  <w14:solidFill>
                    <w14:schemeClr w14:val="tx1"/>
                  </w14:solidFill>
                </w14:textFill>
              </w:rPr>
              <w:t>2</w:t>
            </w:r>
            <w:r>
              <w:rPr>
                <w:rFonts w:ascii="Tahoma" w:hAnsi="Tahoma" w:cs="Tahoma"/>
                <w:color w:val="000000" w:themeColor="text1"/>
                <w:highlight w:val="none"/>
                <w14:textFill>
                  <w14:solidFill>
                    <w14:schemeClr w14:val="tx1"/>
                  </w14:solidFill>
                </w14:textFill>
              </w:rPr>
              <w:t>人，专家</w:t>
            </w:r>
            <w:r>
              <w:rPr>
                <w:rFonts w:hint="eastAsia" w:ascii="Tahoma" w:hAnsi="Tahoma" w:cs="Tahoma"/>
                <w:color w:val="000000" w:themeColor="text1"/>
                <w:highlight w:val="none"/>
                <w:lang w:val="en-US" w:eastAsia="zh-CN"/>
                <w14:textFill>
                  <w14:solidFill>
                    <w14:schemeClr w14:val="tx1"/>
                  </w14:solidFill>
                </w14:textFill>
              </w:rPr>
              <w:t>5</w:t>
            </w:r>
            <w:r>
              <w:rPr>
                <w:rFonts w:ascii="Tahoma" w:hAnsi="Tahoma" w:cs="Tahoma"/>
                <w:color w:val="000000" w:themeColor="text1"/>
                <w:highlight w:val="none"/>
                <w14:textFill>
                  <w14:solidFill>
                    <w14:schemeClr w14:val="tx1"/>
                  </w14:solidFill>
                </w14:textFill>
              </w:rPr>
              <w:t>人；（2）方式：评标专家名册中抽取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kern w:val="0"/>
                <w:szCs w:val="2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6.2.1</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评标办法</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根据</w:t>
            </w:r>
            <w:r>
              <w:rPr>
                <w:rFonts w:hint="eastAsia" w:ascii="Tahoma" w:hAnsi="Tahoma" w:cs="Tahoma"/>
                <w:color w:val="000000" w:themeColor="text1"/>
                <w:kern w:val="0"/>
                <w:szCs w:val="21"/>
                <w:highlight w:val="none"/>
                <w14:textFill>
                  <w14:solidFill>
                    <w14:schemeClr w14:val="tx1"/>
                  </w14:solidFill>
                </w14:textFill>
              </w:rPr>
              <w:t>《政府采购货物和服务招标投标管理办法》</w:t>
            </w:r>
            <w:r>
              <w:rPr>
                <w:rFonts w:ascii="Tahoma" w:hAnsi="Tahoma" w:cs="Tahoma"/>
                <w:color w:val="000000" w:themeColor="text1"/>
                <w:kern w:val="0"/>
                <w:szCs w:val="21"/>
                <w:highlight w:val="none"/>
                <w14:textFill>
                  <w14:solidFill>
                    <w14:schemeClr w14:val="tx1"/>
                  </w14:solidFill>
                </w14:textFill>
              </w:rPr>
              <w:t>（中华人民共和国财政部令第</w:t>
            </w:r>
            <w:r>
              <w:rPr>
                <w:rFonts w:hint="eastAsia" w:ascii="Tahoma" w:hAnsi="Tahoma" w:cs="Tahoma"/>
                <w:color w:val="000000" w:themeColor="text1"/>
                <w:kern w:val="0"/>
                <w:szCs w:val="21"/>
                <w:highlight w:val="none"/>
                <w14:textFill>
                  <w14:solidFill>
                    <w14:schemeClr w14:val="tx1"/>
                  </w14:solidFill>
                </w14:textFill>
              </w:rPr>
              <w:t>87</w:t>
            </w:r>
            <w:r>
              <w:rPr>
                <w:rFonts w:ascii="Tahoma" w:hAnsi="Tahoma" w:cs="Tahoma"/>
                <w:color w:val="000000" w:themeColor="text1"/>
                <w:kern w:val="0"/>
                <w:szCs w:val="21"/>
                <w:highlight w:val="none"/>
                <w14:textFill>
                  <w14:solidFill>
                    <w14:schemeClr w14:val="tx1"/>
                  </w14:solidFill>
                </w14:textFill>
              </w:rPr>
              <w:t>号）</w:t>
            </w:r>
            <w:r>
              <w:rPr>
                <w:rFonts w:ascii="Tahoma" w:hAnsi="Tahoma" w:cs="Tahoma"/>
                <w:color w:val="000000" w:themeColor="text1"/>
                <w:highlight w:val="none"/>
                <w14:textFill>
                  <w14:solidFill>
                    <w14:schemeClr w14:val="tx1"/>
                  </w14:solidFill>
                </w14:textFill>
              </w:rPr>
              <w:t>规定的评审标准，采用</w:t>
            </w:r>
            <w:r>
              <w:rPr>
                <w:rFonts w:hint="eastAsia" w:ascii="Tahoma" w:hAnsi="Tahoma" w:cs="Tahoma"/>
                <w:b/>
                <w:color w:val="000000" w:themeColor="text1"/>
                <w:kern w:val="0"/>
                <w:szCs w:val="21"/>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kern w:val="0"/>
                <w:szCs w:val="21"/>
                <w:highlight w:val="none"/>
                <w14:textFill>
                  <w14:solidFill>
                    <w14:schemeClr w14:val="tx1"/>
                  </w14:solidFill>
                </w14:textFill>
              </w:rPr>
            </w:pPr>
            <w:r>
              <w:rPr>
                <w:rFonts w:ascii="Tahoma" w:hAnsi="Tahoma" w:eastAsia="华文中宋" w:cs="Tahoma"/>
                <w:color w:val="000000" w:themeColor="text1"/>
                <w:kern w:val="0"/>
                <w:szCs w:val="21"/>
                <w:highlight w:val="none"/>
                <w14:textFill>
                  <w14:solidFill>
                    <w14:schemeClr w14:val="tx1"/>
                  </w14:solidFill>
                </w14:textFill>
              </w:rPr>
              <w:t>6.2.2</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评标</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各投标人的投标文件将提交评标委员会审核；即使投标人所提交的投标文件通过了审核，在评标过程中乃至确定中标人后，如发现投标人所提供的资格类文件不合法或不真实、或投标文件中存在虚假资料的，招标人仍可废除中标人其中标资格并追究</w:t>
            </w:r>
            <w:r>
              <w:rPr>
                <w:rFonts w:hint="eastAsia" w:ascii="Tahoma" w:hAnsi="Tahoma" w:cs="Tahoma"/>
                <w:color w:val="000000" w:themeColor="text1"/>
                <w:highlight w:val="none"/>
                <w14:textFill>
                  <w14:solidFill>
                    <w14:schemeClr w14:val="tx1"/>
                  </w14:solidFill>
                </w14:textFill>
              </w:rPr>
              <w:t>其</w:t>
            </w:r>
            <w:r>
              <w:rPr>
                <w:rFonts w:ascii="Tahoma" w:hAnsi="Tahoma" w:cs="Tahoma"/>
                <w:color w:val="000000" w:themeColor="text1"/>
                <w:highlight w:val="none"/>
                <w14:textFill>
                  <w14:solidFill>
                    <w14:schemeClr w14:val="tx1"/>
                  </w14:solidFill>
                </w14:textFill>
              </w:rPr>
              <w:t>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6.</w:t>
            </w:r>
            <w:r>
              <w:rPr>
                <w:rFonts w:hint="eastAsia" w:ascii="Tahoma" w:hAnsi="Tahoma" w:eastAsia="华文中宋" w:cs="Tahoma"/>
                <w:color w:val="000000" w:themeColor="text1"/>
                <w:highlight w:val="none"/>
                <w14:textFill>
                  <w14:solidFill>
                    <w14:schemeClr w14:val="tx1"/>
                  </w14:solidFill>
                </w14:textFill>
              </w:rPr>
              <w:t>3</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Cs/>
                <w:color w:val="000000" w:themeColor="text1"/>
                <w:highlight w:val="none"/>
                <w14:textFill>
                  <w14:solidFill>
                    <w14:schemeClr w14:val="tx1"/>
                  </w14:solidFill>
                </w14:textFill>
              </w:rPr>
            </w:pPr>
            <w:r>
              <w:rPr>
                <w:rFonts w:ascii="Tahoma" w:hAnsi="Tahoma" w:cs="Tahoma"/>
                <w:bCs/>
                <w:color w:val="000000" w:themeColor="text1"/>
                <w:highlight w:val="none"/>
                <w14:textFill>
                  <w14:solidFill>
                    <w14:schemeClr w14:val="tx1"/>
                  </w14:solidFill>
                </w14:textFill>
              </w:rPr>
              <w:t>符合性要求</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投标人存在下列情况之一的，投标文件将被视为未实质性响应招标文件要求，其投标无效：</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不具备招标文件中规定的资格要求的</w:t>
            </w:r>
            <w:r>
              <w:rPr>
                <w:rFonts w:ascii="Tahoma" w:hAnsi="Tahoma" w:cs="Tahoma"/>
                <w:color w:val="000000" w:themeColor="text1"/>
                <w:szCs w:val="21"/>
                <w:highlight w:val="none"/>
                <w14:textFill>
                  <w14:solidFill>
                    <w14:schemeClr w14:val="tx1"/>
                  </w14:solidFill>
                </w14:textFill>
              </w:rPr>
              <w:t>，或投标文件中提供的资格证明文件与原件不一致的；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（2）投标文件未按招标文件规定进行装订、密封、标记的；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r>
              <w:rPr>
                <w:rFonts w:ascii="Tahoma" w:hAnsi="Tahoma" w:cs="Tahoma"/>
                <w:color w:val="000000" w:themeColor="text1"/>
                <w:highlight w:val="none"/>
                <w14:textFill>
                  <w14:solidFill>
                    <w14:schemeClr w14:val="tx1"/>
                  </w14:solidFill>
                </w14:textFill>
              </w:rPr>
              <w:t>投标文件未按招标文件要求签署、盖章的；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w:t>
            </w:r>
            <w:r>
              <w:rPr>
                <w:rFonts w:ascii="Tahoma" w:hAnsi="Tahoma" w:cs="Tahoma"/>
                <w:color w:val="000000" w:themeColor="text1"/>
                <w:highlight w:val="none"/>
                <w14:textFill>
                  <w14:solidFill>
                    <w14:schemeClr w14:val="tx1"/>
                  </w14:solidFill>
                </w14:textFill>
              </w:rPr>
              <w:t>未按照招标文件的规定提交投标保证金的</w:t>
            </w:r>
            <w:r>
              <w:rPr>
                <w:rFonts w:ascii="Tahoma" w:hAnsi="Tahoma" w:cs="Tahoma"/>
                <w:color w:val="000000" w:themeColor="text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w:t>
            </w:r>
            <w:r>
              <w:rPr>
                <w:rFonts w:ascii="Tahoma" w:hAnsi="Tahoma" w:cs="Tahoma"/>
                <w:color w:val="000000" w:themeColor="text1"/>
                <w:highlight w:val="none"/>
                <w14:textFill>
                  <w14:solidFill>
                    <w14:schemeClr w14:val="tx1"/>
                  </w14:solidFill>
                </w14:textFill>
              </w:rPr>
              <w:t>投标文件含有采购人不能接受的附加条件的；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（6）投标有效期不满足招标文件要求的；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w:t>
            </w:r>
            <w:r>
              <w:rPr>
                <w:rFonts w:ascii="Tahoma" w:hAnsi="Tahoma" w:cs="Tahoma"/>
                <w:color w:val="000000" w:themeColor="text1"/>
                <w:highlight w:val="none"/>
                <w14:textFill>
                  <w14:solidFill>
                    <w14:schemeClr w14:val="tx1"/>
                  </w14:solidFill>
                </w14:textFill>
              </w:rPr>
              <w:t>报价超过招标文件中规定的预算金额或者最高限价的；或</w:t>
            </w:r>
            <w:r>
              <w:rPr>
                <w:rFonts w:ascii="Tahoma" w:hAnsi="Tahoma" w:cs="Tahoma"/>
                <w:color w:val="000000" w:themeColor="text1"/>
                <w:szCs w:val="21"/>
                <w:highlight w:val="none"/>
                <w14:textFill>
                  <w14:solidFill>
                    <w14:schemeClr w14:val="tx1"/>
                  </w14:solidFill>
                </w14:textFill>
              </w:rPr>
              <w:t>提供的报价是可供选择的（不是唯一报价）；</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（8）供应商未进行分项报价或分项报价的构成未能准确全部反映产品价格组成或有所隐含，有可能致使在合同履行过程中引起纠纷（非正常的追加或索赔等）或不能诚信履约的；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（9）投标文件的内容与采购内容及要求有重大偏离或保留的；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（10）投标文件互相混装的，或其他窜通的；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（11）投标文件的内容组成不符合招标文件要求的；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（12）投标文件中提供虚假或失实资料的；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（13）不同供应商所提交的投标文件的内容（或其单价等）存在异常一致或其报价呈规律性差异的；</w:t>
            </w:r>
          </w:p>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w:t>
            </w:r>
            <w:r>
              <w:rPr>
                <w:rFonts w:ascii="Tahoma" w:hAnsi="Tahoma" w:cs="Tahoma"/>
                <w:color w:val="000000" w:themeColor="text1"/>
                <w:highlight w:val="none"/>
                <w14:textFill>
                  <w14:solidFill>
                    <w14:schemeClr w14:val="tx1"/>
                  </w14:solidFill>
                </w14:textFill>
              </w:rPr>
              <w:t>法律、法规和招标文件规定的其他无效情形</w:t>
            </w:r>
            <w:r>
              <w:rPr>
                <w:rFonts w:ascii="Tahoma" w:hAnsi="Tahoma" w:cs="Tahom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7.1</w:t>
            </w:r>
          </w:p>
        </w:tc>
        <w:tc>
          <w:tcPr>
            <w:tcW w:w="1561"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中标结果公告</w:t>
            </w:r>
          </w:p>
        </w:tc>
        <w:tc>
          <w:tcPr>
            <w:tcW w:w="7743"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对中标结果在规定的媒介上进行公告</w:t>
            </w:r>
          </w:p>
        </w:tc>
      </w:tr>
    </w:tbl>
    <w:p>
      <w:pPr>
        <w:rPr>
          <w:color w:val="000000" w:themeColor="text1"/>
          <w:highlight w:val="none"/>
          <w14:textFill>
            <w14:solidFill>
              <w14:schemeClr w14:val="tx1"/>
            </w14:solidFill>
          </w14:textFill>
        </w:rPr>
      </w:pPr>
    </w:p>
    <w:tbl>
      <w:tblPr>
        <w:tblStyle w:val="20"/>
        <w:tblW w:w="10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634"/>
        <w:gridCol w:w="8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08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ahoma" w:hAnsi="Tahoma" w:eastAsia="华文中宋" w:cs="Tahoma"/>
                <w:color w:val="000000" w:themeColor="text1"/>
                <w:szCs w:val="21"/>
                <w:highlight w:val="none"/>
                <w14:textFill>
                  <w14:solidFill>
                    <w14:schemeClr w14:val="tx1"/>
                  </w14:solidFill>
                </w14:textFill>
              </w:rPr>
            </w:pPr>
            <w:r>
              <w:rPr>
                <w:rFonts w:ascii="Tahoma" w:hAnsi="Tahoma" w:eastAsia="华文中宋" w:cs="Tahoma"/>
                <w:color w:val="000000" w:themeColor="text1"/>
                <w:szCs w:val="21"/>
                <w:highlight w:val="none"/>
                <w14:textFill>
                  <w14:solidFill>
                    <w14:schemeClr w14:val="tx1"/>
                  </w14:solidFill>
                </w14:textFill>
              </w:rPr>
              <w:t>8.</w:t>
            </w:r>
            <w:r>
              <w:rPr>
                <w:rFonts w:hint="eastAsia" w:ascii="Tahoma" w:hAnsi="Tahoma" w:eastAsia="华文中宋" w:cs="Tahoma"/>
                <w:color w:val="000000" w:themeColor="text1"/>
                <w:szCs w:val="21"/>
                <w:highlight w:val="none"/>
                <w14:textFill>
                  <w14:solidFill>
                    <w14:schemeClr w14:val="tx1"/>
                  </w14:solidFill>
                </w14:textFill>
              </w:rPr>
              <w:t>1</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其他方式采购</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公开招标数额标准以上的采购项目，投标截止后投标人不足</w:t>
            </w:r>
            <w:r>
              <w:rPr>
                <w:rFonts w:ascii="Tahoma" w:hAnsi="Tahoma" w:cs="Tahoma"/>
                <w:color w:val="000000" w:themeColor="text1"/>
                <w:highlight w:val="none"/>
                <w14:textFill>
                  <w14:solidFill>
                    <w14:schemeClr w14:val="tx1"/>
                  </w14:solidFill>
                </w14:textFill>
              </w:rPr>
              <w:t>3</w:t>
            </w:r>
            <w:r>
              <w:rPr>
                <w:rFonts w:hint="eastAsia" w:ascii="Tahoma" w:cs="Tahoma"/>
                <w:color w:val="000000" w:themeColor="text1"/>
                <w:highlight w:val="none"/>
                <w14:textFill>
                  <w14:solidFill>
                    <w14:schemeClr w14:val="tx1"/>
                  </w14:solidFill>
                </w14:textFill>
              </w:rPr>
              <w:t>家</w:t>
            </w:r>
            <w:r>
              <w:rPr>
                <w:rFonts w:hint="eastAsia"/>
                <w:color w:val="000000" w:themeColor="text1"/>
                <w:highlight w:val="none"/>
                <w14:textFill>
                  <w14:solidFill>
                    <w14:schemeClr w14:val="tx1"/>
                  </w14:solidFill>
                </w14:textFill>
              </w:rPr>
              <w:t>或者通过资格审查或符合性审查的投标人不足</w:t>
            </w:r>
            <w:r>
              <w:rPr>
                <w:rFonts w:ascii="Tahoma" w:hAnsi="Tahoma" w:cs="Tahom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家的，除采购任务取消情形外，</w:t>
            </w:r>
            <w:r>
              <w:rPr>
                <w:rFonts w:hint="eastAsia" w:ascii="Tahoma" w:cs="Tahoma"/>
                <w:color w:val="000000" w:themeColor="text1"/>
                <w:highlight w:val="none"/>
                <w14:textFill>
                  <w14:solidFill>
                    <w14:schemeClr w14:val="tx1"/>
                  </w14:solidFill>
                </w14:textFill>
              </w:rPr>
              <w:t>根据</w:t>
            </w:r>
            <w:r>
              <w:rPr>
                <w:rFonts w:hint="eastAsia" w:ascii="Tahoma" w:hAnsi="Tahoma" w:cs="Tahoma"/>
                <w:color w:val="000000" w:themeColor="text1"/>
                <w:kern w:val="0"/>
                <w:szCs w:val="21"/>
                <w:highlight w:val="none"/>
                <w14:textFill>
                  <w14:solidFill>
                    <w14:schemeClr w14:val="tx1"/>
                  </w14:solidFill>
                </w14:textFill>
              </w:rPr>
              <w:t>《政府采购货物和服务招标投标管理办法》（中华人民共和国财政部令第</w:t>
            </w:r>
            <w:r>
              <w:rPr>
                <w:rFonts w:ascii="Tahoma" w:hAnsi="Tahoma" w:cs="Tahoma"/>
                <w:color w:val="000000" w:themeColor="text1"/>
                <w:kern w:val="0"/>
                <w:szCs w:val="21"/>
                <w:highlight w:val="none"/>
                <w14:textFill>
                  <w14:solidFill>
                    <w14:schemeClr w14:val="tx1"/>
                  </w14:solidFill>
                </w14:textFill>
              </w:rPr>
              <w:t>87</w:t>
            </w:r>
            <w:r>
              <w:rPr>
                <w:rFonts w:hint="eastAsia" w:ascii="Tahoma" w:hAnsi="Tahoma" w:cs="Tahoma"/>
                <w:color w:val="000000" w:themeColor="text1"/>
                <w:kern w:val="0"/>
                <w:szCs w:val="21"/>
                <w:highlight w:val="none"/>
                <w14:textFill>
                  <w14:solidFill>
                    <w14:schemeClr w14:val="tx1"/>
                  </w14:solidFill>
                </w14:textFill>
              </w:rPr>
              <w:t>号）</w:t>
            </w:r>
            <w:r>
              <w:rPr>
                <w:rFonts w:hint="eastAsia" w:ascii="Tahoma" w:cs="Tahoma"/>
                <w:color w:val="000000" w:themeColor="text1"/>
                <w:highlight w:val="none"/>
                <w14:textFill>
                  <w14:solidFill>
                    <w14:schemeClr w14:val="tx1"/>
                  </w14:solidFill>
                </w14:textFill>
              </w:rPr>
              <w:t>第四十三条规定，</w:t>
            </w:r>
            <w:r>
              <w:rPr>
                <w:rFonts w:hint="eastAsia"/>
                <w:color w:val="000000" w:themeColor="text1"/>
                <w:highlight w:val="none"/>
                <w14:textFill>
                  <w14:solidFill>
                    <w14:schemeClr w14:val="tx1"/>
                  </w14:solidFill>
                </w14:textFill>
              </w:rPr>
              <w:t>按照以下方式处理：</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w:t>
            </w:r>
            <w:r>
              <w:rPr>
                <w:rFonts w:hint="eastAsia" w:ascii="Tahoma" w:cs="Tahoma"/>
                <w:color w:val="000000" w:themeColor="text1"/>
                <w:highlight w:val="none"/>
                <w14:textFill>
                  <w14:solidFill>
                    <w14:schemeClr w14:val="tx1"/>
                  </w14:solidFill>
                </w14:textFill>
              </w:rPr>
              <w:t>）招标文件存在不合理条款或者招标程序不符合规定的，采购人、采购代理机构改正后依法重新招标；</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2</w:t>
            </w:r>
            <w:r>
              <w:rPr>
                <w:rFonts w:hint="eastAsia" w:ascii="Tahoma" w:cs="Tahoma"/>
                <w:color w:val="000000" w:themeColor="text1"/>
                <w:highlight w:val="none"/>
                <w14:textFill>
                  <w14:solidFill>
                    <w14:schemeClr w14:val="tx1"/>
                  </w14:solidFill>
                </w14:textFill>
              </w:rPr>
              <w:t>）招标文件没有不合理条款、招标程序符合规定，需要采用其他采购方式采购的，采购人应当依法报财政部门批准。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hint="eastAsia" w:ascii="Tahoma" w:hAnsi="Tahoma" w:eastAsia="华文中宋" w:cs="Tahoma"/>
                <w:color w:val="000000" w:themeColor="text1"/>
                <w:highlight w:val="none"/>
                <w14:textFill>
                  <w14:solidFill>
                    <w14:schemeClr w14:val="tx1"/>
                  </w14:solidFill>
                </w14:textFill>
              </w:rPr>
              <w:t>9</w:t>
            </w:r>
            <w:r>
              <w:rPr>
                <w:rFonts w:ascii="Tahoma" w:hAnsi="Tahoma" w:eastAsia="华文中宋" w:cs="Tahoma"/>
                <w:color w:val="000000" w:themeColor="text1"/>
                <w:highlight w:val="none"/>
                <w14:textFill>
                  <w14:solidFill>
                    <w14:schemeClr w14:val="tx1"/>
                  </w14:solidFill>
                </w14:textFill>
              </w:rPr>
              <w:t>.1</w:t>
            </w:r>
          </w:p>
        </w:tc>
        <w:tc>
          <w:tcPr>
            <w:tcW w:w="1634" w:type="dxa"/>
            <w:vAlign w:val="center"/>
          </w:tcPr>
          <w:p>
            <w:pPr>
              <w:snapToGrid w:val="0"/>
              <w:spacing w:line="2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质疑</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投标人认为招标文件、招标过程或中标结果使自己的合法权益受到损害的，应当在知道或者应知其权益受到损害之日起</w:t>
            </w:r>
            <w:r>
              <w:rPr>
                <w:rFonts w:hint="eastAsia" w:ascii="Tahoma" w:hAnsi="Tahoma" w:cs="Tahoma"/>
                <w:color w:val="000000" w:themeColor="text1"/>
                <w:highlight w:val="none"/>
                <w14:textFill>
                  <w14:solidFill>
                    <w14:schemeClr w14:val="tx1"/>
                  </w14:solidFill>
                </w14:textFill>
              </w:rPr>
              <w:t>在规定的期限</w:t>
            </w:r>
            <w:r>
              <w:rPr>
                <w:rFonts w:ascii="Tahoma" w:hAnsi="Tahoma" w:cs="Tahoma"/>
                <w:color w:val="000000" w:themeColor="text1"/>
                <w:highlight w:val="none"/>
                <w14:textFill>
                  <w14:solidFill>
                    <w14:schemeClr w14:val="tx1"/>
                  </w14:solidFill>
                </w14:textFill>
              </w:rPr>
              <w:t>内，以书面形式向招标人（招标代理机构）提出质疑或投标人对招标人（招标代理机构）的质疑答复不满意或者招标人（招标代理机构）未在规定时间内做出答复的，可以在答复期满后</w:t>
            </w:r>
            <w:r>
              <w:rPr>
                <w:rFonts w:hint="eastAsia" w:ascii="Tahoma" w:hAnsi="Tahoma" w:cs="Tahoma"/>
                <w:color w:val="000000" w:themeColor="text1"/>
                <w:highlight w:val="none"/>
                <w:lang w:val="en-US" w:eastAsia="zh-CN"/>
                <w14:textFill>
                  <w14:solidFill>
                    <w14:schemeClr w14:val="tx1"/>
                  </w14:solidFill>
                </w14:textFill>
              </w:rPr>
              <w:t>七</w:t>
            </w:r>
            <w:r>
              <w:rPr>
                <w:rFonts w:ascii="Tahoma" w:hAnsi="Tahoma" w:cs="Tahoma"/>
                <w:color w:val="000000" w:themeColor="text1"/>
                <w:highlight w:val="none"/>
                <w14:textFill>
                  <w14:solidFill>
                    <w14:schemeClr w14:val="tx1"/>
                  </w14:solidFill>
                </w14:textFill>
              </w:rPr>
              <w:t>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hint="eastAsia" w:ascii="Tahoma" w:hAnsi="Tahoma" w:eastAsia="华文中宋" w:cs="Tahoma"/>
                <w:color w:val="000000" w:themeColor="text1"/>
                <w:highlight w:val="none"/>
                <w14:textFill>
                  <w14:solidFill>
                    <w14:schemeClr w14:val="tx1"/>
                  </w14:solidFill>
                </w14:textFill>
              </w:rPr>
              <w:t>10</w:t>
            </w:r>
            <w:r>
              <w:rPr>
                <w:rFonts w:ascii="Tahoma" w:hAnsi="Tahoma" w:eastAsia="华文中宋" w:cs="Tahoma"/>
                <w:color w:val="000000" w:themeColor="text1"/>
                <w:highlight w:val="none"/>
                <w14:textFill>
                  <w14:solidFill>
                    <w14:schemeClr w14:val="tx1"/>
                  </w14:solidFill>
                </w14:textFill>
              </w:rPr>
              <w:t>.</w:t>
            </w:r>
            <w:r>
              <w:rPr>
                <w:rFonts w:hint="eastAsia" w:ascii="Tahoma" w:hAnsi="Tahoma" w:eastAsia="华文中宋" w:cs="Tahoma"/>
                <w:color w:val="000000" w:themeColor="text1"/>
                <w:highlight w:val="none"/>
                <w14:textFill>
                  <w14:solidFill>
                    <w14:schemeClr w14:val="tx1"/>
                  </w14:solidFill>
                </w14:textFill>
              </w:rPr>
              <w:t>1</w:t>
            </w:r>
          </w:p>
        </w:tc>
        <w:tc>
          <w:tcPr>
            <w:tcW w:w="1634" w:type="dxa"/>
            <w:vAlign w:val="center"/>
          </w:tcPr>
          <w:p>
            <w:pPr>
              <w:snapToGrid w:val="0"/>
              <w:spacing w:line="2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投诉</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hAnsi="Tahoma" w:cs="Tahoma"/>
                <w:color w:val="000000" w:themeColor="text1"/>
                <w:highlight w:val="none"/>
                <w14:textFill>
                  <w14:solidFill>
                    <w14:schemeClr w14:val="tx1"/>
                  </w14:solidFill>
                </w14:textFill>
              </w:rPr>
              <w:t>1</w:t>
            </w:r>
            <w:r>
              <w:rPr>
                <w:rFonts w:hint="eastAsia" w:ascii="Tahoma" w:cs="Tahoma"/>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ascii="Tahoma" w:hAnsi="Tahoma" w:cs="Tahoma"/>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10.</w:t>
            </w:r>
            <w:r>
              <w:rPr>
                <w:rFonts w:hint="eastAsia" w:ascii="Tahoma" w:hAnsi="Tahoma" w:eastAsia="华文中宋" w:cs="Tahoma"/>
                <w:color w:val="000000" w:themeColor="text1"/>
                <w:highlight w:val="none"/>
                <w14:textFill>
                  <w14:solidFill>
                    <w14:schemeClr w14:val="tx1"/>
                  </w14:solidFill>
                </w14:textFill>
              </w:rPr>
              <w:t>2</w:t>
            </w:r>
          </w:p>
        </w:tc>
        <w:tc>
          <w:tcPr>
            <w:tcW w:w="1634" w:type="dxa"/>
            <w:vAlign w:val="center"/>
          </w:tcPr>
          <w:p>
            <w:pPr>
              <w:spacing w:line="2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出席开标会</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ind w:firstLine="105" w:firstLineChars="50"/>
              <w:textAlignment w:val="auto"/>
              <w:rPr>
                <w:rFonts w:ascii="Tahoma" w:hAnsi="Tahoma" w:cs="Tahoma"/>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（一）关于资格审查：</w:t>
            </w:r>
            <w:r>
              <w:rPr>
                <w:rFonts w:ascii="Tahoma" w:hAnsi="Tahoma" w:cs="Tahoma"/>
                <w:color w:val="000000" w:themeColor="text1"/>
                <w:highlight w:val="none"/>
                <w14:textFill>
                  <w14:solidFill>
                    <w14:schemeClr w14:val="tx1"/>
                  </w14:solidFill>
                </w14:textFill>
              </w:rPr>
              <w:t>投标人在报名获取招标文件时的资格审查，仅代表其在获取招标文件时的资格审查获得通过，并不能代表投标人在出席开标会时要求其提供的全部资格证件的合格。</w:t>
            </w:r>
            <w:r>
              <w:rPr>
                <w:rFonts w:ascii="Tahoma" w:hAnsi="Tahoma" w:cs="Tahoma"/>
                <w:b/>
                <w:color w:val="000000" w:themeColor="text1"/>
                <w:szCs w:val="21"/>
                <w:highlight w:val="none"/>
                <w14:textFill>
                  <w14:solidFill>
                    <w14:schemeClr w14:val="tx1"/>
                  </w14:solidFill>
                </w14:textFill>
              </w:rPr>
              <w:t>投标人出席开标</w:t>
            </w:r>
            <w:r>
              <w:rPr>
                <w:rFonts w:ascii="Tahoma" w:hAnsi="Tahoma" w:eastAsia="F4,Bold" w:cs="Tahoma"/>
                <w:b/>
                <w:bCs/>
                <w:color w:val="000000" w:themeColor="text1"/>
                <w:highlight w:val="none"/>
                <w14:textFill>
                  <w14:solidFill>
                    <w14:schemeClr w14:val="tx1"/>
                  </w14:solidFill>
                </w14:textFill>
              </w:rPr>
              <w:t>会时，</w:t>
            </w:r>
            <w:r>
              <w:rPr>
                <w:rFonts w:hint="eastAsia" w:ascii="Tahoma" w:hAnsi="Tahoma" w:eastAsia="F4,Bold" w:cs="Tahoma"/>
                <w:b/>
                <w:bCs/>
                <w:color w:val="000000" w:themeColor="text1"/>
                <w:highlight w:val="none"/>
                <w:lang w:val="en-US" w:eastAsia="zh-CN"/>
                <w14:textFill>
                  <w14:solidFill>
                    <w14:schemeClr w14:val="tx1"/>
                  </w14:solidFill>
                </w14:textFill>
              </w:rPr>
              <w:t>需</w:t>
            </w:r>
            <w:r>
              <w:rPr>
                <w:rFonts w:ascii="Tahoma" w:hAnsi="Tahoma" w:eastAsia="F4,Bold" w:cs="Tahoma"/>
                <w:b/>
                <w:bCs/>
                <w:color w:val="000000" w:themeColor="text1"/>
                <w:highlight w:val="none"/>
                <w14:textFill>
                  <w14:solidFill>
                    <w14:schemeClr w14:val="tx1"/>
                  </w14:solidFill>
                </w14:textFill>
              </w:rPr>
              <w:t>携带以下全部资格证明文件的原件交</w:t>
            </w:r>
            <w:r>
              <w:rPr>
                <w:rFonts w:ascii="Tahoma" w:hAnsi="Tahoma" w:cs="Tahoma"/>
                <w:b/>
                <w:color w:val="000000" w:themeColor="text1"/>
                <w:highlight w:val="none"/>
                <w14:textFill>
                  <w14:solidFill>
                    <w14:schemeClr w14:val="tx1"/>
                  </w14:solidFill>
                </w14:textFill>
              </w:rPr>
              <w:t>由监督组成员进行初步审查（初步审查不合格的，不得进入下一阶段的评审），初步审查合格的由评标委员会进一步进行详细审查后</w:t>
            </w:r>
            <w:r>
              <w:rPr>
                <w:rFonts w:ascii="Tahoma" w:hAnsi="Tahoma" w:eastAsia="F4,Bold" w:cs="Tahoma"/>
                <w:b/>
                <w:bCs/>
                <w:color w:val="000000" w:themeColor="text1"/>
                <w:highlight w:val="none"/>
                <w14:textFill>
                  <w14:solidFill>
                    <w14:schemeClr w14:val="tx1"/>
                  </w14:solidFill>
                </w14:textFill>
              </w:rPr>
              <w:t>归还投标人（</w:t>
            </w:r>
            <w:r>
              <w:rPr>
                <w:rFonts w:ascii="Tahoma" w:hAnsi="Tahoma" w:cs="Tahoma"/>
                <w:b/>
                <w:color w:val="000000" w:themeColor="text1"/>
                <w:highlight w:val="none"/>
                <w14:textFill>
                  <w14:solidFill>
                    <w14:schemeClr w14:val="tx1"/>
                  </w14:solidFill>
                </w14:textFill>
              </w:rPr>
              <w:t>经评标委员会评审，所提交的资格证件不符合要求或不具备投标资格的其投标无效！</w:t>
            </w:r>
            <w:r>
              <w:rPr>
                <w:rFonts w:ascii="Tahoma" w:hAnsi="Tahoma" w:eastAsia="F4,Bold" w:cs="Tahoma"/>
                <w:b/>
                <w:bCs/>
                <w:color w:val="000000" w:themeColor="text1"/>
                <w:highlight w:val="none"/>
                <w14:textFill>
                  <w14:solidFill>
                    <w14:schemeClr w14:val="tx1"/>
                  </w14:solidFill>
                </w14:textFill>
              </w:rPr>
              <w:t>）</w:t>
            </w:r>
            <w:r>
              <w:rPr>
                <w:rFonts w:ascii="Tahoma" w:hAnsi="Tahoma" w:cs="Tahoma"/>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atLeast"/>
              <w:ind w:firstLine="105" w:firstLineChars="50"/>
              <w:textAlignment w:val="auto"/>
              <w:rPr>
                <w:rFonts w:ascii="Tahoma" w:hAnsi="Tahoma" w:eastAsia="F4,Bold" w:cs="Tahoma"/>
                <w:bCs/>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（二）开标会：</w:t>
            </w:r>
            <w:r>
              <w:rPr>
                <w:rFonts w:ascii="Tahoma" w:hAnsi="Tahoma" w:cs="Tahoma"/>
                <w:color w:val="000000" w:themeColor="text1"/>
                <w:highlight w:val="none"/>
                <w14:textFill>
                  <w14:solidFill>
                    <w14:schemeClr w14:val="tx1"/>
                  </w14:solidFill>
                </w14:textFill>
              </w:rPr>
              <w:t>投标人出席开标会时，应提交下列有效的资格证件：</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1、投标企业</w:t>
            </w:r>
            <w:r>
              <w:rPr>
                <w:rFonts w:hint="eastAsia" w:ascii="Tahoma" w:hAnsi="Tahoma" w:cs="Tahoma"/>
                <w:color w:val="000000" w:themeColor="text1"/>
                <w:highlight w:val="none"/>
                <w:lang w:val="en-US" w:eastAsia="zh-CN"/>
                <w14:textFill>
                  <w14:solidFill>
                    <w14:schemeClr w14:val="tx1"/>
                  </w14:solidFill>
                </w14:textFill>
              </w:rPr>
              <w:t>需</w:t>
            </w:r>
            <w:r>
              <w:rPr>
                <w:rFonts w:ascii="Tahoma" w:hAnsi="Tahoma" w:cs="Tahoma"/>
                <w:color w:val="000000" w:themeColor="text1"/>
                <w:highlight w:val="none"/>
                <w14:textFill>
                  <w14:solidFill>
                    <w14:schemeClr w14:val="tx1"/>
                  </w14:solidFill>
                </w14:textFill>
              </w:rPr>
              <w:t>携带有效的的营业执照原件、税务登记证原件、组织机构代码证原件（或三证合一营业执照）；</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2</w:t>
            </w:r>
            <w:r>
              <w:rPr>
                <w:rFonts w:ascii="Tahoma" w:hAnsi="Tahoma" w:cs="Tahoma"/>
                <w:color w:val="000000" w:themeColor="text1"/>
                <w:highlight w:val="none"/>
                <w14:textFill>
                  <w14:solidFill>
                    <w14:schemeClr w14:val="tx1"/>
                  </w14:solidFill>
                </w14:textFill>
              </w:rPr>
              <w:t>、法人</w:t>
            </w:r>
            <w:r>
              <w:rPr>
                <w:rFonts w:hint="eastAsia" w:ascii="Tahoma" w:hAnsi="Tahoma" w:cs="Tahoma"/>
                <w:color w:val="000000" w:themeColor="text1"/>
                <w:highlight w:val="none"/>
                <w:lang w:val="en-US" w:eastAsia="zh-CN"/>
                <w14:textFill>
                  <w14:solidFill>
                    <w14:schemeClr w14:val="tx1"/>
                  </w14:solidFill>
                </w14:textFill>
              </w:rPr>
              <w:t>需</w:t>
            </w:r>
            <w:r>
              <w:rPr>
                <w:rFonts w:ascii="Tahoma" w:hAnsi="Tahoma" w:cs="Tahoma"/>
                <w:color w:val="000000" w:themeColor="text1"/>
                <w:highlight w:val="none"/>
                <w14:textFill>
                  <w14:solidFill>
                    <w14:schemeClr w14:val="tx1"/>
                  </w14:solidFill>
                </w14:textFill>
              </w:rPr>
              <w:t>携带</w:t>
            </w:r>
            <w:r>
              <w:rPr>
                <w:rFonts w:hint="eastAsia" w:ascii="Tahoma" w:hAnsi="Tahoma" w:cs="Tahoma"/>
                <w:color w:val="000000" w:themeColor="text1"/>
                <w:highlight w:val="none"/>
                <w14:textFill>
                  <w14:solidFill>
                    <w14:schemeClr w14:val="tx1"/>
                  </w14:solidFill>
                </w14:textFill>
              </w:rPr>
              <w:t>法人身份证明及身份证</w:t>
            </w:r>
            <w:r>
              <w:rPr>
                <w:rFonts w:ascii="Tahoma" w:hAnsi="Tahoma" w:cs="Tahoma"/>
                <w:color w:val="000000" w:themeColor="text1"/>
                <w:highlight w:val="none"/>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或</w:t>
            </w:r>
            <w:r>
              <w:rPr>
                <w:rFonts w:ascii="Tahoma" w:hAnsi="Tahoma" w:cs="Tahoma"/>
                <w:color w:val="000000" w:themeColor="text1"/>
                <w:highlight w:val="none"/>
                <w14:textFill>
                  <w14:solidFill>
                    <w14:schemeClr w14:val="tx1"/>
                  </w14:solidFill>
                </w14:textFill>
              </w:rPr>
              <w:t>法人委托人</w:t>
            </w:r>
            <w:r>
              <w:rPr>
                <w:rFonts w:hint="eastAsia" w:ascii="Tahoma" w:hAnsi="Tahoma" w:cs="Tahoma"/>
                <w:color w:val="000000" w:themeColor="text1"/>
                <w:highlight w:val="none"/>
                <w:lang w:val="en-US" w:eastAsia="zh-CN"/>
                <w14:textFill>
                  <w14:solidFill>
                    <w14:schemeClr w14:val="tx1"/>
                  </w14:solidFill>
                </w14:textFill>
              </w:rPr>
              <w:t>需</w:t>
            </w:r>
            <w:r>
              <w:rPr>
                <w:rFonts w:ascii="Tahoma" w:hAnsi="Tahoma" w:cs="Tahoma"/>
                <w:color w:val="000000" w:themeColor="text1"/>
                <w:highlight w:val="none"/>
                <w14:textFill>
                  <w14:solidFill>
                    <w14:schemeClr w14:val="tx1"/>
                  </w14:solidFill>
                </w14:textFill>
              </w:rPr>
              <w:t>携带法人代表授权书</w:t>
            </w:r>
            <w:r>
              <w:rPr>
                <w:rFonts w:hint="eastAsia" w:ascii="Tahoma" w:hAnsi="Tahoma" w:cs="Tahoma"/>
                <w:color w:val="000000" w:themeColor="text1"/>
                <w:highlight w:val="none"/>
                <w:lang w:eastAsia="zh-CN"/>
                <w14:textFill>
                  <w14:solidFill>
                    <w14:schemeClr w14:val="tx1"/>
                  </w14:solidFill>
                </w14:textFill>
              </w:rPr>
              <w:t>、</w:t>
            </w:r>
            <w:r>
              <w:rPr>
                <w:rFonts w:ascii="Tahoma" w:hAnsi="Tahoma" w:cs="Tahoma"/>
                <w:color w:val="000000" w:themeColor="text1"/>
                <w:highlight w:val="none"/>
                <w14:textFill>
                  <w14:solidFill>
                    <w14:schemeClr w14:val="tx1"/>
                  </w14:solidFill>
                </w14:textFill>
              </w:rPr>
              <w:t>委托人身份证（授权书需附法人身份证及委托人身份证复印件）</w:t>
            </w:r>
            <w:r>
              <w:rPr>
                <w:rFonts w:hint="eastAsia" w:ascii="Tahoma" w:hAnsi="Tahoma" w:cs="Tahoma"/>
                <w:color w:val="000000" w:themeColor="text1"/>
                <w:highlight w:val="none"/>
                <w:lang w:val="en-US" w:eastAsia="zh-CN"/>
                <w14:textFill>
                  <w14:solidFill>
                    <w14:schemeClr w14:val="tx1"/>
                  </w14:solidFill>
                </w14:textFill>
              </w:rPr>
              <w:t>及委托人2022年3月至5月社保缴纳凭证</w:t>
            </w:r>
            <w:r>
              <w:rPr>
                <w:rFonts w:ascii="Tahoma" w:hAnsi="Tahoma" w:cs="Tahoma"/>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hint="eastAsia"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3、供应商</w:t>
            </w:r>
            <w:r>
              <w:rPr>
                <w:rFonts w:hint="eastAsia" w:ascii="Tahoma" w:hAnsi="Tahoma" w:cs="Tahoma"/>
                <w:color w:val="000000" w:themeColor="text1"/>
                <w:highlight w:val="none"/>
                <w:lang w:val="en-US" w:eastAsia="zh-CN"/>
                <w14:textFill>
                  <w14:solidFill>
                    <w14:schemeClr w14:val="tx1"/>
                  </w14:solidFill>
                </w14:textFill>
              </w:rPr>
              <w:t>需提供2021年度财务审计报告（2021年新成立公司提供银行出具资信证明）</w:t>
            </w:r>
            <w:r>
              <w:rPr>
                <w:rFonts w:hint="eastAsia" w:ascii="Tahoma" w:hAnsi="Tahoma" w:cs="Tahoma"/>
                <w:color w:val="000000" w:themeColor="text1"/>
                <w:highlight w:val="none"/>
                <w14:textFill>
                  <w14:solidFill>
                    <w14:schemeClr w14:val="tx1"/>
                  </w14:solidFill>
                </w14:textFill>
              </w:rPr>
              <w:t>及</w:t>
            </w:r>
            <w:r>
              <w:rPr>
                <w:rFonts w:hint="eastAsia" w:ascii="Tahoma" w:hAnsi="Tahoma" w:cs="Tahoma"/>
                <w:color w:val="000000" w:themeColor="text1"/>
                <w:highlight w:val="none"/>
                <w:lang w:val="en-US" w:eastAsia="zh-CN"/>
                <w14:textFill>
                  <w14:solidFill>
                    <w14:schemeClr w14:val="tx1"/>
                  </w14:solidFill>
                </w14:textFill>
              </w:rPr>
              <w:t>近三个月</w:t>
            </w:r>
            <w:r>
              <w:rPr>
                <w:rFonts w:hint="eastAsia" w:ascii="Tahoma" w:hAnsi="Tahoma" w:cs="Tahoma"/>
                <w:color w:val="000000" w:themeColor="text1"/>
                <w:highlight w:val="none"/>
                <w14:textFill>
                  <w14:solidFill>
                    <w14:schemeClr w14:val="tx1"/>
                  </w14:solidFill>
                </w14:textFill>
              </w:rPr>
              <w:t>完税证明；</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hint="eastAsia" w:ascii="Tahoma" w:hAnsi="Tahoma" w:cs="Tahoma"/>
                <w:color w:val="000000" w:themeColor="text1"/>
                <w:highlight w:val="none"/>
                <w:lang w:val="en-US" w:eastAsia="zh-CN"/>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4、提供数字化医院信息平台软件、医院信息集成平台软件、电子病历管理软件原始著作权登记证书（著作权必须在本招标文件发布之前取得，所登记注册的软件名称可以与上述名称略有不同，但必须是功能相同的产品）；</w:t>
            </w:r>
          </w:p>
          <w:p>
            <w:pPr>
              <w:pStyle w:val="2"/>
              <w:rPr>
                <w:rFonts w:hint="default" w:ascii="Tahoma" w:hAnsi="Tahoma" w:eastAsia="宋体" w:cs="Tahoma"/>
                <w:color w:val="000000" w:themeColor="text1"/>
                <w:kern w:val="2"/>
                <w:sz w:val="21"/>
                <w:szCs w:val="24"/>
                <w:highlight w:val="none"/>
                <w:lang w:val="en-US" w:eastAsia="zh-CN" w:bidi="ar-SA"/>
                <w14:textFill>
                  <w14:solidFill>
                    <w14:schemeClr w14:val="tx1"/>
                  </w14:solidFill>
                </w14:textFill>
              </w:rPr>
            </w:pPr>
            <w:r>
              <w:rPr>
                <w:rFonts w:hint="eastAsia" w:ascii="Tahoma" w:hAnsi="Tahoma" w:eastAsia="宋体" w:cs="Tahoma"/>
                <w:color w:val="000000" w:themeColor="text1"/>
                <w:kern w:val="2"/>
                <w:sz w:val="21"/>
                <w:szCs w:val="24"/>
                <w:highlight w:val="none"/>
                <w:lang w:val="en-US" w:eastAsia="zh-CN" w:bidi="ar-SA"/>
                <w14:textFill>
                  <w14:solidFill>
                    <w14:schemeClr w14:val="tx1"/>
                  </w14:solidFill>
                </w14:textFill>
              </w:rPr>
              <w:t>5</w:t>
            </w:r>
            <w:r>
              <w:rPr>
                <w:rFonts w:hint="eastAsia" w:ascii="Tahoma" w:hAnsi="Tahoma" w:cs="Tahoma"/>
                <w:color w:val="000000" w:themeColor="text1"/>
                <w:kern w:val="2"/>
                <w:sz w:val="21"/>
                <w:szCs w:val="24"/>
                <w:highlight w:val="none"/>
                <w:lang w:val="en-US" w:eastAsia="zh-CN" w:bidi="ar-SA"/>
                <w14:textFill>
                  <w14:solidFill>
                    <w14:schemeClr w14:val="tx1"/>
                  </w14:solidFill>
                </w14:textFill>
              </w:rPr>
              <w:t>、提供医院桌面云系统及超融合部分原厂家售后服务承诺书；</w:t>
            </w:r>
          </w:p>
          <w:p>
            <w:pPr>
              <w:pStyle w:val="16"/>
              <w:keepNext w:val="0"/>
              <w:keepLines w:val="0"/>
              <w:pageBreakBefore w:val="0"/>
              <w:widowControl/>
              <w:kinsoku/>
              <w:wordWrap/>
              <w:overflowPunct/>
              <w:topLinePunct w:val="0"/>
              <w:autoSpaceDE/>
              <w:autoSpaceDN/>
              <w:bidi w:val="0"/>
              <w:adjustRightInd/>
              <w:snapToGrid/>
              <w:spacing w:line="300" w:lineRule="atLeast"/>
              <w:textAlignment w:val="auto"/>
              <w:rPr>
                <w:rFonts w:hint="eastAsia" w:ascii="Tahoma" w:hAnsi="Tahoma" w:eastAsia="宋体" w:cs="Tahoma"/>
                <w:color w:val="000000" w:themeColor="text1"/>
                <w:kern w:val="2"/>
                <w:sz w:val="21"/>
                <w:szCs w:val="24"/>
                <w:highlight w:val="none"/>
                <w:lang w:val="en-US" w:eastAsia="zh-CN" w:bidi="ar-SA"/>
                <w14:textFill>
                  <w14:solidFill>
                    <w14:schemeClr w14:val="tx1"/>
                  </w14:solidFill>
                </w14:textFill>
              </w:rPr>
            </w:pPr>
            <w:r>
              <w:rPr>
                <w:rFonts w:hint="eastAsia" w:ascii="Tahoma" w:hAnsi="Tahoma" w:cs="Tahoma"/>
                <w:color w:val="000000" w:themeColor="text1"/>
                <w:kern w:val="2"/>
                <w:sz w:val="21"/>
                <w:szCs w:val="24"/>
                <w:highlight w:val="none"/>
                <w:lang w:val="en-US" w:eastAsia="zh-CN" w:bidi="ar-SA"/>
                <w14:textFill>
                  <w14:solidFill>
                    <w14:schemeClr w14:val="tx1"/>
                  </w14:solidFill>
                </w14:textFill>
              </w:rPr>
              <w:t>6</w:t>
            </w:r>
            <w:r>
              <w:rPr>
                <w:rFonts w:hint="eastAsia" w:ascii="Tahoma" w:hAnsi="Tahoma" w:eastAsia="宋体" w:cs="Tahoma"/>
                <w:color w:val="000000" w:themeColor="text1"/>
                <w:kern w:val="2"/>
                <w:sz w:val="21"/>
                <w:szCs w:val="24"/>
                <w:highlight w:val="none"/>
                <w:lang w:val="en-US" w:eastAsia="zh-CN" w:bidi="ar-SA"/>
                <w14:textFill>
                  <w14:solidFill>
                    <w14:schemeClr w14:val="tx1"/>
                  </w14:solidFill>
                </w14:textFill>
              </w:rPr>
              <w:t>、投标保证金</w:t>
            </w:r>
            <w:r>
              <w:rPr>
                <w:rFonts w:hint="eastAsia" w:ascii="Tahoma" w:hAnsi="Tahoma" w:cs="Tahoma"/>
                <w:color w:val="000000" w:themeColor="text1"/>
                <w:kern w:val="2"/>
                <w:sz w:val="21"/>
                <w:szCs w:val="24"/>
                <w:highlight w:val="none"/>
                <w:lang w:val="en-US" w:eastAsia="zh-CN" w:bidi="ar-SA"/>
                <w14:textFill>
                  <w14:solidFill>
                    <w14:schemeClr w14:val="tx1"/>
                  </w14:solidFill>
                </w14:textFill>
              </w:rPr>
              <w:t>收据。</w:t>
            </w:r>
          </w:p>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eastAsia="黑体" w:cs="Tahoma"/>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（三）特别提示</w:t>
            </w:r>
            <w:r>
              <w:rPr>
                <w:rFonts w:ascii="Tahoma" w:hAnsi="Tahoma" w:cs="Tahoma"/>
                <w:color w:val="000000" w:themeColor="text1"/>
                <w:highlight w:val="none"/>
                <w14:textFill>
                  <w14:solidFill>
                    <w14:schemeClr w14:val="tx1"/>
                  </w14:solidFill>
                </w14:textFill>
              </w:rPr>
              <w:t>：</w:t>
            </w:r>
            <w:r>
              <w:rPr>
                <w:rFonts w:ascii="Tahoma" w:hAnsi="Tahoma" w:cs="Tahoma"/>
                <w:b/>
                <w:color w:val="000000" w:themeColor="text1"/>
                <w:szCs w:val="21"/>
                <w:highlight w:val="none"/>
                <w14:textFill>
                  <w14:solidFill>
                    <w14:schemeClr w14:val="tx1"/>
                  </w14:solidFill>
                </w14:textFill>
              </w:rPr>
              <w:t>以上证件均需提供</w:t>
            </w:r>
            <w:r>
              <w:rPr>
                <w:rFonts w:hint="eastAsia" w:ascii="Tahoma" w:hAnsi="Tahoma" w:cs="Tahoma"/>
                <w:b/>
                <w:color w:val="000000" w:themeColor="text1"/>
                <w:szCs w:val="21"/>
                <w:highlight w:val="none"/>
                <w14:textFill>
                  <w14:solidFill>
                    <w14:schemeClr w14:val="tx1"/>
                  </w14:solidFill>
                </w14:textFill>
              </w:rPr>
              <w:t>原件</w:t>
            </w:r>
            <w:r>
              <w:rPr>
                <w:rFonts w:ascii="Tahoma" w:hAnsi="Tahoma" w:cs="Tahoma"/>
                <w:b/>
                <w:color w:val="000000" w:themeColor="text1"/>
                <w:szCs w:val="21"/>
                <w:highlight w:val="none"/>
                <w14:textFill>
                  <w14:solidFill>
                    <w14:schemeClr w14:val="tx1"/>
                  </w14:solidFill>
                </w14:textFill>
              </w:rPr>
              <w:t>，上述证件的公证件及其他形式，本次招标不予认可。上述证件有效、齐全、满足要求的投标人为有效投标人，</w:t>
            </w:r>
            <w:r>
              <w:rPr>
                <w:rFonts w:ascii="Tahoma" w:hAnsi="Tahoma" w:eastAsia="F4,Bold" w:cs="Tahoma"/>
                <w:b/>
                <w:color w:val="000000" w:themeColor="text1"/>
                <w:highlight w:val="none"/>
                <w14:textFill>
                  <w14:solidFill>
                    <w14:schemeClr w14:val="tx1"/>
                  </w14:solidFill>
                </w14:textFill>
              </w:rPr>
              <w:t>否则其投标将被否决。敬请各供应商注意！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10.3.</w:t>
            </w:r>
            <w:r>
              <w:rPr>
                <w:rFonts w:hint="eastAsia" w:ascii="Tahoma" w:hAnsi="Tahoma" w:eastAsia="华文中宋" w:cs="Tahoma"/>
                <w:color w:val="000000" w:themeColor="text1"/>
                <w:highlight w:val="none"/>
                <w14:textFill>
                  <w14:solidFill>
                    <w14:schemeClr w14:val="tx1"/>
                  </w14:solidFill>
                </w14:textFill>
              </w:rPr>
              <w:t>1</w:t>
            </w:r>
          </w:p>
        </w:tc>
        <w:tc>
          <w:tcPr>
            <w:tcW w:w="1634" w:type="dxa"/>
            <w:vAlign w:val="center"/>
          </w:tcPr>
          <w:p>
            <w:pPr>
              <w:spacing w:line="2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小、微型企业产品价格扣除</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在6%～10%之间确定给予价格扣除的具体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082" w:type="dxa"/>
            <w:vAlign w:val="center"/>
          </w:tcPr>
          <w:p>
            <w:pPr>
              <w:snapToGrid w:val="0"/>
              <w:spacing w:line="240" w:lineRule="exact"/>
              <w:jc w:val="center"/>
              <w:rPr>
                <w:rFonts w:ascii="Tahoma" w:hAnsi="Tahoma" w:eastAsia="华文中宋" w:cs="Tahoma"/>
                <w:color w:val="000000" w:themeColor="text1"/>
                <w:highlight w:val="none"/>
                <w14:textFill>
                  <w14:solidFill>
                    <w14:schemeClr w14:val="tx1"/>
                  </w14:solidFill>
                </w14:textFill>
              </w:rPr>
            </w:pPr>
            <w:r>
              <w:rPr>
                <w:rFonts w:ascii="Tahoma" w:hAnsi="Tahoma" w:eastAsia="华文中宋" w:cs="Tahoma"/>
                <w:color w:val="000000" w:themeColor="text1"/>
                <w:highlight w:val="none"/>
                <w14:textFill>
                  <w14:solidFill>
                    <w14:schemeClr w14:val="tx1"/>
                  </w14:solidFill>
                </w14:textFill>
              </w:rPr>
              <w:t>10.3.</w:t>
            </w:r>
            <w:r>
              <w:rPr>
                <w:rFonts w:hint="eastAsia" w:ascii="Tahoma" w:hAnsi="Tahoma" w:eastAsia="华文中宋" w:cs="Tahoma"/>
                <w:color w:val="000000" w:themeColor="text1"/>
                <w:highlight w:val="none"/>
                <w14:textFill>
                  <w14:solidFill>
                    <w14:schemeClr w14:val="tx1"/>
                  </w14:solidFill>
                </w14:textFill>
              </w:rPr>
              <w:t>2</w:t>
            </w:r>
          </w:p>
        </w:tc>
        <w:tc>
          <w:tcPr>
            <w:tcW w:w="1634" w:type="dxa"/>
            <w:vAlign w:val="center"/>
          </w:tcPr>
          <w:p>
            <w:pPr>
              <w:spacing w:line="2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通讯联系</w:t>
            </w:r>
          </w:p>
        </w:tc>
        <w:tc>
          <w:tcPr>
            <w:tcW w:w="8203" w:type="dxa"/>
            <w:vAlign w:val="center"/>
          </w:tcPr>
          <w:p>
            <w:pPr>
              <w:keepNext w:val="0"/>
              <w:keepLines w:val="0"/>
              <w:pageBreakBefore w:val="0"/>
              <w:widowControl/>
              <w:kinsoku/>
              <w:wordWrap/>
              <w:overflowPunct/>
              <w:topLinePunct w:val="0"/>
              <w:autoSpaceDE/>
              <w:autoSpaceDN/>
              <w:bidi w:val="0"/>
              <w:adjustRightInd/>
              <w:snapToGrid/>
              <w:spacing w:line="300" w:lineRule="atLeast"/>
              <w:textAlignment w:val="auto"/>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自获取（购买）招标文件之日起，投标人应确保其提供的联系方式（电话、传真、电子邮件</w:t>
            </w:r>
            <w:r>
              <w:rPr>
                <w:rFonts w:hint="eastAsia" w:ascii="Tahoma" w:hAnsi="Tahoma" w:cs="Tahoma"/>
                <w:color w:val="000000" w:themeColor="text1"/>
                <w:highlight w:val="none"/>
                <w14:textFill>
                  <w14:solidFill>
                    <w14:schemeClr w14:val="tx1"/>
                  </w14:solidFill>
                </w14:textFill>
              </w:rPr>
              <w:t>等</w:t>
            </w:r>
            <w:r>
              <w:rPr>
                <w:rFonts w:ascii="Tahoma" w:hAnsi="Tahoma" w:cs="Tahoma"/>
                <w:color w:val="000000" w:themeColor="text1"/>
                <w:highlight w:val="none"/>
                <w14:textFill>
                  <w14:solidFill>
                    <w14:schemeClr w14:val="tx1"/>
                  </w14:solidFill>
                </w14:textFill>
              </w:rPr>
              <w:t>）一直</w:t>
            </w:r>
            <w:r>
              <w:rPr>
                <w:rFonts w:hint="eastAsia" w:ascii="Tahoma" w:hAnsi="Tahoma" w:cs="Tahoma"/>
                <w:color w:val="000000" w:themeColor="text1"/>
                <w:highlight w:val="none"/>
                <w14:textFill>
                  <w14:solidFill>
                    <w14:schemeClr w14:val="tx1"/>
                  </w14:solidFill>
                </w14:textFill>
              </w:rPr>
              <w:t>保持</w:t>
            </w:r>
            <w:r>
              <w:rPr>
                <w:rFonts w:ascii="Tahoma" w:hAnsi="Tahoma" w:cs="Tahoma"/>
                <w:color w:val="000000" w:themeColor="text1"/>
                <w:highlight w:val="none"/>
                <w14:textFill>
                  <w14:solidFill>
                    <w14:schemeClr w14:val="tx1"/>
                  </w14:solidFill>
                </w14:textFill>
              </w:rPr>
              <w:t>有效和畅通，以保证往来函件（招标文件的澄清、修改等）能及时通知投标人，并能及时反馈信息，否则招标人（或招标代理机构）不承担由此（因投标人提供的联系方式无效或通讯不畅、无法联系等因素）引起的一切后果！</w:t>
            </w:r>
          </w:p>
        </w:tc>
      </w:tr>
    </w:tbl>
    <w:p>
      <w:pPr>
        <w:snapToGrid w:val="0"/>
        <w:spacing w:line="320" w:lineRule="exact"/>
        <w:rPr>
          <w:rFonts w:ascii="Tahoma" w:hAnsi="Tahoma" w:cs="Tahoma"/>
          <w:b/>
          <w:bCs/>
          <w:color w:val="000000" w:themeColor="text1"/>
          <w:sz w:val="24"/>
          <w:highlight w:val="none"/>
          <w14:textFill>
            <w14:solidFill>
              <w14:schemeClr w14:val="tx1"/>
            </w14:solidFill>
          </w14:textFill>
        </w:rPr>
      </w:pPr>
      <w:r>
        <w:rPr>
          <w:rFonts w:ascii="Tahoma" w:hAnsi="Tahoma" w:cs="Tahoma"/>
          <w:b/>
          <w:bCs/>
          <w:color w:val="000000" w:themeColor="text1"/>
          <w:highlight w:val="none"/>
          <w14:textFill>
            <w14:solidFill>
              <w14:schemeClr w14:val="tx1"/>
            </w14:solidFill>
          </w14:textFill>
        </w:rPr>
        <w:t>注：</w:t>
      </w:r>
      <w:r>
        <w:rPr>
          <w:rFonts w:ascii="Tahoma" w:hAnsi="Tahoma" w:cs="Tahoma"/>
          <w:color w:val="000000" w:themeColor="text1"/>
          <w:highlight w:val="none"/>
          <w14:textFill>
            <w14:solidFill>
              <w14:schemeClr w14:val="tx1"/>
            </w14:solidFill>
          </w14:textFill>
        </w:rPr>
        <w:t>本须知前附表的条款号是与《投标人须知》</w:t>
      </w:r>
      <w:r>
        <w:rPr>
          <w:rFonts w:hint="eastAsia" w:ascii="Tahoma" w:hAnsi="Tahoma" w:cs="Tahoma"/>
          <w:color w:val="000000" w:themeColor="text1"/>
          <w:highlight w:val="none"/>
          <w14:textFill>
            <w14:solidFill>
              <w14:schemeClr w14:val="tx1"/>
            </w14:solidFill>
          </w14:textFill>
        </w:rPr>
        <w:t>正文</w:t>
      </w:r>
      <w:r>
        <w:rPr>
          <w:rFonts w:ascii="Tahoma" w:hAnsi="Tahoma" w:cs="Tahoma"/>
          <w:color w:val="000000" w:themeColor="text1"/>
          <w:highlight w:val="none"/>
          <w14:textFill>
            <w14:solidFill>
              <w14:schemeClr w14:val="tx1"/>
            </w14:solidFill>
          </w14:textFill>
        </w:rPr>
        <w:t>中条款的项号相对应的。</w:t>
      </w:r>
      <w:r>
        <w:rPr>
          <w:rFonts w:hint="eastAsia" w:ascii="Tahoma" w:hAnsi="Tahoma" w:cs="Tahoma"/>
          <w:color w:val="000000" w:themeColor="text1"/>
          <w:highlight w:val="none"/>
          <w14:textFill>
            <w14:solidFill>
              <w14:schemeClr w14:val="tx1"/>
            </w14:solidFill>
          </w14:textFill>
        </w:rPr>
        <w:t>“投标人须知前附表”用于进一步明确“投标人须知”正文中的未尽事宜，但须知前附表中的内容与“投标人须知”正文内容相抵触的，抵触内容无效</w:t>
      </w:r>
      <w:r>
        <w:rPr>
          <w:rFonts w:ascii="Tahoma" w:hAnsi="Tahoma" w:cs="Tahoma"/>
          <w:color w:val="000000" w:themeColor="text1"/>
          <w:highlight w:val="none"/>
          <w14:textFill>
            <w14:solidFill>
              <w14:schemeClr w14:val="tx1"/>
            </w14:solidFill>
          </w14:textFill>
        </w:rPr>
        <w:t>。投标人对本招标文件有不明之处，欢迎进行必要的咨询或书面提出澄清。</w:t>
      </w:r>
    </w:p>
    <w:p>
      <w:pPr>
        <w:rPr>
          <w:rFonts w:ascii="Tahoma" w:hAnsi="Tahoma" w:cs="Tahoma"/>
          <w:b/>
          <w:color w:val="000000" w:themeColor="text1"/>
          <w:sz w:val="36"/>
          <w:highlight w:val="none"/>
          <w14:textFill>
            <w14:solidFill>
              <w14:schemeClr w14:val="tx1"/>
            </w14:solidFill>
          </w14:textFill>
        </w:rPr>
        <w:sectPr>
          <w:footerReference r:id="rId5" w:type="default"/>
          <w:pgSz w:w="12240" w:h="15840"/>
          <w:pgMar w:top="1440" w:right="1080" w:bottom="1440" w:left="1080" w:header="720" w:footer="720" w:gutter="0"/>
          <w:pgBorders>
            <w:top w:val="none" w:sz="0" w:space="0"/>
            <w:left w:val="none" w:sz="0" w:space="0"/>
            <w:bottom w:val="none" w:sz="0" w:space="0"/>
            <w:right w:val="none" w:sz="0" w:space="0"/>
          </w:pgBorders>
          <w:pgNumType w:fmt="decimal"/>
          <w:cols w:space="720" w:num="1"/>
          <w:docGrid w:linePitch="323" w:charSpace="0"/>
        </w:sectPr>
      </w:pPr>
    </w:p>
    <w:p>
      <w:pPr>
        <w:spacing w:line="400" w:lineRule="exact"/>
        <w:jc w:val="center"/>
        <w:rPr>
          <w:rFonts w:ascii="Tahoma" w:hAnsi="Tahoma" w:cs="Tahoma"/>
          <w:color w:val="000000" w:themeColor="text1"/>
          <w:sz w:val="24"/>
          <w:highlight w:val="none"/>
          <w14:textFill>
            <w14:solidFill>
              <w14:schemeClr w14:val="tx1"/>
            </w14:solidFill>
          </w14:textFill>
        </w:rPr>
      </w:pPr>
      <w:r>
        <w:rPr>
          <w:rFonts w:ascii="Tahoma" w:hAnsi="Tahoma" w:cs="Tahoma"/>
          <w:b/>
          <w:bCs/>
          <w:color w:val="000000" w:themeColor="text1"/>
          <w:sz w:val="24"/>
          <w:highlight w:val="none"/>
          <w14:textFill>
            <w14:solidFill>
              <w14:schemeClr w14:val="tx1"/>
            </w14:solidFill>
          </w14:textFill>
        </w:rPr>
        <w:t>1</w:t>
      </w:r>
      <w:r>
        <w:rPr>
          <w:rFonts w:ascii="Tahoma" w:hAnsi="Tahoma" w:eastAsia="黑体" w:cs="Tahoma"/>
          <w:b/>
          <w:bCs/>
          <w:color w:val="000000" w:themeColor="text1"/>
          <w:sz w:val="24"/>
          <w:highlight w:val="none"/>
          <w14:textFill>
            <w14:solidFill>
              <w14:schemeClr w14:val="tx1"/>
            </w14:solidFill>
          </w14:textFill>
        </w:rPr>
        <w:t>、总则</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 项目概况</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1.1.1 根据《 中华人民共和国招标投标法》、《中华人民共和国政府采购法》等有关法律、法规和规章的规定，本招标项目已具备招标条件，现对本项目进行招标。</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1.1.2 本招标项目招标人：见投标人须知前附表。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1.1.3 本标段招标代理机构：见投标人须知前附表。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1.1.4 本招标项目名称：见投标人须知前附表。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1.1.5 适用范围：本招标文件仅适用于招标文件中所叙述项目的招标。</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1.1.6 本招标项目的资金来源：见投标人须知前附表。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1.1.7 本招标项目的资金落实情况：见投标人须知前附表。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1.2. 定义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1.2.1 </w:t>
      </w:r>
      <w:r>
        <w:rPr>
          <w:rFonts w:ascii="宋体" w:hAnsi="宋体" w:cs="Tahoma"/>
          <w:color w:val="000000" w:themeColor="text1"/>
          <w:szCs w:val="21"/>
          <w:highlight w:val="none"/>
          <w14:textFill>
            <w14:solidFill>
              <w14:schemeClr w14:val="tx1"/>
            </w14:solidFill>
          </w14:textFill>
        </w:rPr>
        <w:t>“招标代理人”系指组织本次</w:t>
      </w:r>
      <w:r>
        <w:rPr>
          <w:rFonts w:ascii="Tahoma" w:hAnsi="Tahoma" w:cs="Tahoma"/>
          <w:color w:val="000000" w:themeColor="text1"/>
          <w:szCs w:val="21"/>
          <w:highlight w:val="none"/>
          <w14:textFill>
            <w14:solidFill>
              <w14:schemeClr w14:val="tx1"/>
            </w14:solidFill>
          </w14:textFill>
        </w:rPr>
        <w:t>招标活动的招标代理机构。</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1.2.2</w:t>
      </w:r>
      <w:r>
        <w:rPr>
          <w:rFonts w:ascii="宋体" w:hAnsi="宋体" w:cs="Tahoma"/>
          <w:color w:val="000000" w:themeColor="text1"/>
          <w:szCs w:val="21"/>
          <w:highlight w:val="none"/>
          <w14:textFill>
            <w14:solidFill>
              <w14:schemeClr w14:val="tx1"/>
            </w14:solidFill>
          </w14:textFill>
        </w:rPr>
        <w:t xml:space="preserve"> “招标人”系</w:t>
      </w:r>
      <w:r>
        <w:rPr>
          <w:rFonts w:ascii="Tahoma" w:hAnsi="Tahoma" w:cs="Tahoma"/>
          <w:color w:val="000000" w:themeColor="text1"/>
          <w:szCs w:val="21"/>
          <w:highlight w:val="none"/>
          <w14:textFill>
            <w14:solidFill>
              <w14:schemeClr w14:val="tx1"/>
            </w14:solidFill>
          </w14:textFill>
        </w:rPr>
        <w:t>指</w:t>
      </w: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b/>
          <w:color w:val="000000" w:themeColor="text1"/>
          <w:szCs w:val="21"/>
          <w:highlight w:val="none"/>
          <w14:textFill>
            <w14:solidFill>
              <w14:schemeClr w14:val="tx1"/>
            </w14:solidFill>
          </w14:textFill>
        </w:rPr>
        <w:t>和田县人民医院</w:t>
      </w:r>
      <w:r>
        <w:rPr>
          <w:rFonts w:ascii="Tahoma" w:hAnsi="Tahoma"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1.2.3 </w:t>
      </w:r>
      <w:r>
        <w:rPr>
          <w:rFonts w:ascii="宋体" w:hAnsi="宋体" w:cs="Tahoma"/>
          <w:color w:val="000000" w:themeColor="text1"/>
          <w:szCs w:val="21"/>
          <w:highlight w:val="none"/>
          <w14:textFill>
            <w14:solidFill>
              <w14:schemeClr w14:val="tx1"/>
            </w14:solidFill>
          </w14:textFill>
        </w:rPr>
        <w:t>“潜在投标人”系</w:t>
      </w:r>
      <w:r>
        <w:rPr>
          <w:rFonts w:ascii="Tahoma" w:hAnsi="Tahoma" w:cs="Tahoma"/>
          <w:color w:val="000000" w:themeColor="text1"/>
          <w:szCs w:val="21"/>
          <w:highlight w:val="none"/>
          <w14:textFill>
            <w14:solidFill>
              <w14:schemeClr w14:val="tx1"/>
            </w14:solidFill>
          </w14:textFill>
        </w:rPr>
        <w:t>指购买了本招标文件的投标人。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1.2.4</w:t>
      </w:r>
      <w:r>
        <w:rPr>
          <w:rFonts w:ascii="宋体" w:hAnsi="宋体" w:cs="Tahoma"/>
          <w:color w:val="000000" w:themeColor="text1"/>
          <w:szCs w:val="21"/>
          <w:highlight w:val="none"/>
          <w14:textFill>
            <w14:solidFill>
              <w14:schemeClr w14:val="tx1"/>
            </w14:solidFill>
          </w14:textFill>
        </w:rPr>
        <w:t xml:space="preserve"> “投标人”系指</w:t>
      </w:r>
      <w:r>
        <w:rPr>
          <w:rFonts w:ascii="Tahoma" w:hAnsi="Tahoma" w:cs="Tahoma"/>
          <w:color w:val="000000" w:themeColor="text1"/>
          <w:szCs w:val="21"/>
          <w:highlight w:val="none"/>
          <w14:textFill>
            <w14:solidFill>
              <w14:schemeClr w14:val="tx1"/>
            </w14:solidFill>
          </w14:textFill>
        </w:rPr>
        <w:t>购买了本招标文件，且已经提交本次投标文件的投标人。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1.2.5 </w:t>
      </w:r>
      <w:r>
        <w:rPr>
          <w:rFonts w:ascii="宋体" w:hAnsi="宋体" w:cs="Tahoma"/>
          <w:color w:val="000000" w:themeColor="text1"/>
          <w:szCs w:val="21"/>
          <w:highlight w:val="none"/>
          <w14:textFill>
            <w14:solidFill>
              <w14:schemeClr w14:val="tx1"/>
            </w14:solidFill>
          </w14:textFill>
        </w:rPr>
        <w:t>“</w:t>
      </w:r>
      <w:r>
        <w:rPr>
          <w:rFonts w:hint="eastAsia" w:ascii="宋体" w:hAnsi="宋体" w:cs="Tahoma"/>
          <w:color w:val="000000" w:themeColor="text1"/>
          <w:szCs w:val="21"/>
          <w:highlight w:val="none"/>
          <w14:textFill>
            <w14:solidFill>
              <w14:schemeClr w14:val="tx1"/>
            </w14:solidFill>
          </w14:textFill>
        </w:rPr>
        <w:t>货物或</w:t>
      </w:r>
      <w:r>
        <w:rPr>
          <w:rFonts w:ascii="宋体" w:hAnsi="宋体" w:cs="Tahoma"/>
          <w:color w:val="000000" w:themeColor="text1"/>
          <w:szCs w:val="21"/>
          <w:highlight w:val="none"/>
          <w14:textFill>
            <w14:solidFill>
              <w14:schemeClr w14:val="tx1"/>
            </w14:solidFill>
          </w14:textFill>
        </w:rPr>
        <w:t>产品”系</w:t>
      </w:r>
      <w:r>
        <w:rPr>
          <w:rFonts w:ascii="Tahoma" w:hAnsi="Tahoma" w:cs="Tahoma"/>
          <w:color w:val="000000" w:themeColor="text1"/>
          <w:szCs w:val="21"/>
          <w:highlight w:val="none"/>
          <w14:textFill>
            <w14:solidFill>
              <w14:schemeClr w14:val="tx1"/>
            </w14:solidFill>
          </w14:textFill>
        </w:rPr>
        <w:t>指供方按招标文件规定，须向采购人提供的一切货物、保险、税金、备品备件、工具、手册及其它有关技术资料和材料。</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1.2.6 </w:t>
      </w:r>
      <w:r>
        <w:rPr>
          <w:rFonts w:ascii="宋体" w:hAnsi="宋体" w:cs="Tahoma"/>
          <w:color w:val="000000" w:themeColor="text1"/>
          <w:szCs w:val="21"/>
          <w:highlight w:val="none"/>
          <w14:textFill>
            <w14:solidFill>
              <w14:schemeClr w14:val="tx1"/>
            </w14:solidFill>
          </w14:textFill>
        </w:rPr>
        <w:t>“服务”系</w:t>
      </w:r>
      <w:r>
        <w:rPr>
          <w:rFonts w:ascii="Tahoma" w:hAnsi="Tahoma" w:cs="Tahoma"/>
          <w:color w:val="000000" w:themeColor="text1"/>
          <w:szCs w:val="21"/>
          <w:highlight w:val="none"/>
          <w14:textFill>
            <w14:solidFill>
              <w14:schemeClr w14:val="tx1"/>
            </w14:solidFill>
          </w14:textFill>
        </w:rPr>
        <w:t>指招标文件规定投标人须承担的</w:t>
      </w:r>
      <w:r>
        <w:rPr>
          <w:rFonts w:hint="eastAsia" w:ascii="Tahoma" w:hAnsi="Tahoma" w:cs="Tahoma"/>
          <w:color w:val="000000" w:themeColor="text1"/>
          <w:szCs w:val="21"/>
          <w:highlight w:val="none"/>
          <w14:textFill>
            <w14:solidFill>
              <w14:schemeClr w14:val="tx1"/>
            </w14:solidFill>
          </w14:textFill>
        </w:rPr>
        <w:t>供应、运输、装卸、配送、保修、</w:t>
      </w:r>
      <w:r>
        <w:rPr>
          <w:rFonts w:ascii="Tahoma" w:hAnsi="Tahoma" w:cs="Tahoma"/>
          <w:color w:val="000000" w:themeColor="text1"/>
          <w:szCs w:val="21"/>
          <w:highlight w:val="none"/>
          <w14:textFill>
            <w14:solidFill>
              <w14:schemeClr w14:val="tx1"/>
            </w14:solidFill>
          </w14:textFill>
        </w:rPr>
        <w:t>提供售后服务以及其他类似的义务。</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1.3. 合格的投标人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1.3.1符合第二章投标人须知前附表中资格要求中的各条要求。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1.3.2 投标人应依法纳税及缴纳社会保障金。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1.3.3投标人应遵守中国的有关法律、法规和规章的规定。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1.3.4一个投标人只能提交一个投标文件。但如果投标人之间存在下列互为关联关系的情形之一的，不得同时参加本项目投标：</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 法定代表人为同一人的两个及两个以上法人；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 母公司、直接或间接持股50％及以上的被投资公司;</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 均为同一家母公司直接或间接持股50％及以上的被投资公司。</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1.3.5 投标人不得与本次招标项下设计、编制技术规格和其它文件的公司或提供咨询服务的公司包括其附属机构有任何关联。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1.3.6 </w:t>
      </w:r>
      <w:r>
        <w:rPr>
          <w:rFonts w:ascii="Tahoma" w:hAnsi="Tahoma" w:cs="Tahoma"/>
          <w:color w:val="000000" w:themeColor="text1"/>
          <w:kern w:val="0"/>
          <w:szCs w:val="21"/>
          <w:highlight w:val="none"/>
          <w14:textFill>
            <w14:solidFill>
              <w14:schemeClr w14:val="tx1"/>
            </w14:solidFill>
          </w14:textFill>
        </w:rPr>
        <w:t>本次开标允许联合体投标</w:t>
      </w:r>
      <w:r>
        <w:rPr>
          <w:rFonts w:ascii="Tahoma" w:hAnsi="Tahoma" w:cs="Tahoma"/>
          <w:color w:val="000000" w:themeColor="text1"/>
          <w:szCs w:val="21"/>
          <w:highlight w:val="none"/>
          <w14:textFill>
            <w14:solidFill>
              <w14:schemeClr w14:val="tx1"/>
            </w14:solidFill>
          </w14:textFill>
        </w:rPr>
        <w:t>。</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1.4联合体</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1.4.1投标人须知前附表规定接受联合体的，除应符合本章第1.</w:t>
      </w:r>
      <w:r>
        <w:rPr>
          <w:rFonts w:hint="eastAsia" w:ascii="Tahoma" w:hAnsi="Tahoma" w:cs="Tahoma"/>
          <w:bCs/>
          <w:color w:val="000000" w:themeColor="text1"/>
          <w:szCs w:val="21"/>
          <w:highlight w:val="none"/>
          <w14:textFill>
            <w14:solidFill>
              <w14:schemeClr w14:val="tx1"/>
            </w14:solidFill>
          </w14:textFill>
        </w:rPr>
        <w:t>2</w:t>
      </w:r>
      <w:r>
        <w:rPr>
          <w:rFonts w:ascii="Tahoma" w:hAnsi="Tahoma" w:cs="Tahoma"/>
          <w:bCs/>
          <w:color w:val="000000" w:themeColor="text1"/>
          <w:szCs w:val="21"/>
          <w:highlight w:val="none"/>
          <w14:textFill>
            <w14:solidFill>
              <w14:schemeClr w14:val="tx1"/>
            </w14:solidFill>
          </w14:textFill>
        </w:rPr>
        <w:t xml:space="preserve">项和投标人须知前附表的要求外，还应遵守以下规定： </w:t>
      </w:r>
    </w:p>
    <w:p>
      <w:pPr>
        <w:spacing w:line="320" w:lineRule="exact"/>
        <w:ind w:firstLine="105" w:firstLineChars="50"/>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（1）两个以上的自然人、法人或者其他组织可以组成一个联合体，以一个投标人的身份共同参加政府采购。</w:t>
      </w:r>
    </w:p>
    <w:p>
      <w:pPr>
        <w:spacing w:line="320" w:lineRule="exact"/>
        <w:ind w:firstLine="105" w:firstLineChars="50"/>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（2）以联合体形式参加政府采购的，参加联合体的投标人均应当具备《政府采购法》第二十二条规定</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的条件，并应当向采购人提交联合协议，载明联合体各方承担的工作和义务。联合体各方应当共同与采购人签订采购合同，就采购合同约定的事项对采购人承担连带责任。</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1.4.2联合体中有同类资质的投标人按照联合体分工承担相同工作的，应当按照资质等级较低的供应商确定资质等级。</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1.4.3以联合体形式参加政府采购活动的，联合体各方不得再单独参加或者与其他供应商另外组成联合体参加同一合同项下的政府采购活动。</w:t>
      </w:r>
    </w:p>
    <w:p>
      <w:pPr>
        <w:spacing w:line="320" w:lineRule="exact"/>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1</w:t>
      </w:r>
      <w:r>
        <w:rPr>
          <w:rFonts w:ascii="Tahoma" w:hAnsi="Tahoma" w:cs="Tahoma"/>
          <w:bCs/>
          <w:color w:val="000000" w:themeColor="text1"/>
          <w:szCs w:val="21"/>
          <w:highlight w:val="none"/>
          <w14:textFill>
            <w14:solidFill>
              <w14:schemeClr w14:val="tx1"/>
            </w14:solidFill>
          </w14:textFill>
        </w:rPr>
        <w:t>.4.4</w:t>
      </w:r>
      <w:r>
        <w:rPr>
          <w:rFonts w:hint="eastAsia" w:ascii="Tahoma" w:hAnsi="Tahoma" w:cs="Tahoma"/>
          <w:bCs/>
          <w:color w:val="000000" w:themeColor="text1"/>
          <w:szCs w:val="21"/>
          <w:highlight w:val="none"/>
          <w14:textFill>
            <w14:solidFill>
              <w14:schemeClr w14:val="tx1"/>
            </w14:solidFill>
          </w14:textFill>
        </w:rPr>
        <w:t>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pPr>
        <w:spacing w:line="320" w:lineRule="exact"/>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　　联合体各方均为小型、微型企业的，联合体视同为小型、微型企业。对小型和微型企业产品的价格给予6%～10%的扣除，用扣除后的价格参与评审，具体扣除比例由采购人或者采购代理机构确定，在评审过程中，将根据采购项目的特性，在6%～10%之间确定给予价格扣除的具体百分值。但组成联合体的大中型企业和其他自然人、法人或者其他组织，与小型、微型企业之间不得存在投资关系。</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1.5. 投标费用</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1.5.1 </w:t>
      </w:r>
      <w:r>
        <w:rPr>
          <w:rFonts w:ascii="Tahoma" w:hAnsi="Tahoma" w:cs="Tahoma"/>
          <w:color w:val="000000" w:themeColor="text1"/>
          <w:kern w:val="0"/>
          <w:szCs w:val="21"/>
          <w:highlight w:val="none"/>
          <w14:textFill>
            <w14:solidFill>
              <w14:schemeClr w14:val="tx1"/>
            </w14:solidFill>
          </w14:textFill>
        </w:rPr>
        <w:t>投标人准备和参加投标活动所发生的一切费用（包括招标文件购买、代理服务费等）均由投标人自理。</w:t>
      </w:r>
    </w:p>
    <w:p>
      <w:pPr>
        <w:spacing w:line="320" w:lineRule="exact"/>
        <w:rPr>
          <w:rFonts w:ascii="Tahoma" w:hAnsi="Tahoma" w:cs="Tahoma"/>
          <w:b/>
          <w:bCs/>
          <w:color w:val="000000" w:themeColor="text1"/>
          <w:szCs w:val="21"/>
          <w:highlight w:val="none"/>
          <w14:textFill>
            <w14:solidFill>
              <w14:schemeClr w14:val="tx1"/>
            </w14:solidFill>
          </w14:textFill>
        </w:rPr>
      </w:pPr>
      <w:bookmarkStart w:id="2" w:name="_Toc152045539"/>
      <w:bookmarkStart w:id="3" w:name="_Toc144974507"/>
      <w:bookmarkStart w:id="4" w:name="_Toc179632556"/>
      <w:bookmarkStart w:id="5" w:name="_Toc152042315"/>
      <w:r>
        <w:rPr>
          <w:rFonts w:ascii="Tahoma" w:hAnsi="Tahoma" w:cs="Tahoma"/>
          <w:b/>
          <w:bCs/>
          <w:color w:val="000000" w:themeColor="text1"/>
          <w:szCs w:val="21"/>
          <w:highlight w:val="none"/>
          <w14:textFill>
            <w14:solidFill>
              <w14:schemeClr w14:val="tx1"/>
            </w14:solidFill>
          </w14:textFill>
        </w:rPr>
        <w:t>1.6 踏勘现场</w:t>
      </w:r>
      <w:bookmarkEnd w:id="2"/>
      <w:bookmarkEnd w:id="3"/>
      <w:bookmarkEnd w:id="4"/>
      <w:bookmarkEnd w:id="5"/>
      <w:r>
        <w:rPr>
          <w:rFonts w:ascii="Tahoma" w:hAnsi="Tahoma" w:cs="Tahoma"/>
          <w:b/>
          <w:bCs/>
          <w:color w:val="000000" w:themeColor="text1"/>
          <w:szCs w:val="21"/>
          <w:highlight w:val="none"/>
          <w14:textFill>
            <w14:solidFill>
              <w14:schemeClr w14:val="tx1"/>
            </w14:solidFill>
          </w14:textFill>
        </w:rPr>
        <w:t>投标前答疑会</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1.6.1采购人、采购代理机构可以视采购项目的具体情况，组织供应商进行现场考察或召开投标前答疑会，但不得单独或分别组织只有一个供应商参加的现场考察和答疑会。</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1.6.2投标人须知前附表规定组织踏勘现场的，采购人应按投标人须知前附表规定的时间、地点组织供应商踏勘项目现场。</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1.6.3 供应商踏勘现场所发生的一切费用自理。</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1.6.4 除采购人的原因外，供应商自行负责在踏勘现场中所发生的人员伤亡和财产损失。</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1.6.5采购人在踏勘现场中介绍的项目情况，仅供供应商在编制投标文件时参考，采购人不对供应商据此作出的判断和决策负责。</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1.6.6 投标人须知前附表规定召开投标前答疑会的，采购人按投标人须知前附表规定的时间和地点召开投标前答疑会，澄清供应商提出的问题。</w:t>
      </w:r>
    </w:p>
    <w:p>
      <w:pPr>
        <w:spacing w:line="320" w:lineRule="exact"/>
        <w:rPr>
          <w:rFonts w:ascii="Tahoma" w:hAnsi="Tahoma" w:cs="Tahoma"/>
          <w:color w:val="000000" w:themeColor="text1"/>
          <w:sz w:val="24"/>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1.6.7本采购项目采购人（采购代理机构）不组织供应商进行现场考察或召开投标前答疑会。供应商应在投标须知前附表规定的时间前，以书面形式将提出的问题送达采购人，采购人或采购代理机构在投标人须知前附表规定的时间内，将对供应商所提问题的进行澄清，以书面方式在规定的发布渠道通知所有获取投标文件的供应商。该澄清内容为招标文件的组成部分。</w:t>
      </w:r>
    </w:p>
    <w:p>
      <w:pPr>
        <w:spacing w:line="320" w:lineRule="exact"/>
        <w:jc w:val="center"/>
        <w:rPr>
          <w:rFonts w:ascii="Tahoma" w:hAnsi="Tahoma" w:cs="Tahoma"/>
          <w:b/>
          <w:bCs/>
          <w:color w:val="000000" w:themeColor="text1"/>
          <w:sz w:val="24"/>
          <w:highlight w:val="none"/>
          <w14:textFill>
            <w14:solidFill>
              <w14:schemeClr w14:val="tx1"/>
            </w14:solidFill>
          </w14:textFill>
        </w:rPr>
      </w:pPr>
      <w:r>
        <w:rPr>
          <w:rFonts w:ascii="Tahoma" w:hAnsi="Tahoma" w:cs="Tahoma"/>
          <w:b/>
          <w:bCs/>
          <w:color w:val="000000" w:themeColor="text1"/>
          <w:sz w:val="24"/>
          <w:highlight w:val="none"/>
          <w14:textFill>
            <w14:solidFill>
              <w14:schemeClr w14:val="tx1"/>
            </w14:solidFill>
          </w14:textFill>
        </w:rPr>
        <w:t>2</w:t>
      </w:r>
      <w:r>
        <w:rPr>
          <w:rFonts w:ascii="Tahoma" w:hAnsi="Tahoma" w:eastAsia="黑体" w:cs="Tahoma"/>
          <w:b/>
          <w:bCs/>
          <w:color w:val="000000" w:themeColor="text1"/>
          <w:sz w:val="24"/>
          <w:highlight w:val="none"/>
          <w14:textFill>
            <w14:solidFill>
              <w14:schemeClr w14:val="tx1"/>
            </w14:solidFill>
          </w14:textFill>
        </w:rPr>
        <w:t>、招标文件</w:t>
      </w:r>
    </w:p>
    <w:p>
      <w:pPr>
        <w:spacing w:line="320" w:lineRule="exact"/>
        <w:rPr>
          <w:rFonts w:ascii="Tahoma" w:hAnsi="Tahoma" w:cs="Tahoma"/>
          <w:color w:val="000000" w:themeColor="text1"/>
          <w:szCs w:val="21"/>
          <w:highlight w:val="none"/>
          <w14:textFill>
            <w14:solidFill>
              <w14:schemeClr w14:val="tx1"/>
            </w14:solidFill>
          </w14:textFill>
        </w:rPr>
      </w:pPr>
      <w:bookmarkStart w:id="6" w:name="_Toc430490612"/>
      <w:bookmarkStart w:id="7" w:name="_Toc430488851"/>
      <w:bookmarkStart w:id="8" w:name="_Toc430489119"/>
      <w:bookmarkStart w:id="9" w:name="_Toc430488644"/>
      <w:bookmarkStart w:id="10" w:name="_Toc430422413"/>
      <w:bookmarkStart w:id="11" w:name="_Toc415567497"/>
      <w:bookmarkStart w:id="12" w:name="_Toc430492126"/>
      <w:r>
        <w:rPr>
          <w:rFonts w:ascii="Tahoma" w:hAnsi="Tahoma" w:cs="Tahoma"/>
          <w:b/>
          <w:bCs/>
          <w:color w:val="000000" w:themeColor="text1"/>
          <w:szCs w:val="21"/>
          <w:highlight w:val="none"/>
          <w14:textFill>
            <w14:solidFill>
              <w14:schemeClr w14:val="tx1"/>
            </w14:solidFill>
          </w14:textFill>
        </w:rPr>
        <w:t>2.1. 招标文件的组成</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2.1.1招标文件用以阐明所需货物及服务招标程序和合同主要条款。招标文件由下述部分组成：</w:t>
      </w:r>
    </w:p>
    <w:p>
      <w:pPr>
        <w:spacing w:line="320" w:lineRule="exact"/>
        <w:ind w:left="160" w:leftChars="76" w:firstLine="21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rFonts w:hint="eastAsia"/>
          <w:color w:val="000000" w:themeColor="text1"/>
          <w:highlight w:val="none"/>
          <w:lang w:val="en-US" w:eastAsia="zh-CN"/>
          <w14:textFill>
            <w14:solidFill>
              <w14:schemeClr w14:val="tx1"/>
            </w14:solidFill>
          </w14:textFill>
        </w:rPr>
        <w:t>招标公告</w:t>
      </w:r>
      <w:r>
        <w:rPr>
          <w:rFonts w:hint="eastAsia"/>
          <w:color w:val="000000" w:themeColor="text1"/>
          <w:highlight w:val="none"/>
          <w14:textFill>
            <w14:solidFill>
              <w14:schemeClr w14:val="tx1"/>
            </w14:solidFill>
          </w14:textFill>
        </w:rPr>
        <w:t>；</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（二）投标人须知（包括投标文件的密封、签署、盖章要求等）；</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（三）投标人应当提交的资格、资信证明文件；</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（四）为落实政府采购政策，采购标的需满足的要求，以及投标人须提供的证明材料；</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（五）投标文件编制要求、投标报价要求和投标保证金交纳、退还方式以及不予退还投标保证金的情形；</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（六）采购项目预算金额，设定最高限价的，还应当公开最高限价；</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（七）采购项目的技术规格、数量、服务标准、验收等要求，包括附件、图纸等；</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（八）拟签订的合同文本；</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（九）货物、服务提供的时间、地点、方式；</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（十）采购资金的支付方式、时间、条件；</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（十一）评标方法、评标标准和投标无效情形；</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（十二）投标有效期；</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（十三）投标截止时间、开标时间及地点；</w:t>
      </w:r>
    </w:p>
    <w:p>
      <w:pPr>
        <w:spacing w:line="320" w:lineRule="exact"/>
        <w:ind w:left="1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（十四）采购代理机构代理费用的收取标准和方式；</w:t>
      </w:r>
    </w:p>
    <w:p>
      <w:pPr>
        <w:spacing w:line="320" w:lineRule="exact"/>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（十五）投标人信用信息查询渠道及截止时点、信用信息查询记录和证据留存的具体方式、信用信息的使用规则等；</w:t>
      </w:r>
    </w:p>
    <w:p>
      <w:pPr>
        <w:spacing w:line="320" w:lineRule="exact"/>
        <w:ind w:firstLine="315" w:firstLineChars="150"/>
        <w:rPr>
          <w:rFonts w:ascii="Tahoma" w:hAnsi="Tahoma" w:cs="Tahoma"/>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（十六）省级以上财政部门规定的其他事项；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2.1.2除非有特殊要求，招标文件不单独提供招标货物使用地的自然环境、气候条件、公用设施等情况，投标人被视为熟悉上述与履行合同有关的一切情况。</w:t>
      </w:r>
    </w:p>
    <w:p>
      <w:pPr>
        <w:spacing w:line="320" w:lineRule="exact"/>
        <w:rPr>
          <w:rFonts w:ascii="Tahoma" w:hAnsi="Tahoma" w:cs="Tahoma"/>
          <w:b/>
          <w:color w:val="000000" w:themeColor="text1"/>
          <w:szCs w:val="21"/>
          <w:highlight w:val="none"/>
          <w14:textFill>
            <w14:solidFill>
              <w14:schemeClr w14:val="tx1"/>
            </w14:solidFill>
          </w14:textFill>
        </w:rPr>
      </w:pPr>
      <w:bookmarkStart w:id="13" w:name="_Toc144974512"/>
      <w:bookmarkStart w:id="14" w:name="_Toc152042320"/>
      <w:bookmarkStart w:id="15" w:name="_Toc179632562"/>
      <w:bookmarkStart w:id="16" w:name="_Toc152045544"/>
      <w:r>
        <w:rPr>
          <w:rFonts w:ascii="Tahoma" w:hAnsi="Tahoma" w:cs="Tahoma"/>
          <w:b/>
          <w:color w:val="000000" w:themeColor="text1"/>
          <w:szCs w:val="21"/>
          <w:highlight w:val="none"/>
          <w14:textFill>
            <w14:solidFill>
              <w14:schemeClr w14:val="tx1"/>
            </w14:solidFill>
          </w14:textFill>
        </w:rPr>
        <w:t>2.2 招标文件的澄清</w:t>
      </w:r>
      <w:bookmarkEnd w:id="13"/>
      <w:bookmarkEnd w:id="14"/>
      <w:bookmarkEnd w:id="15"/>
      <w:bookmarkEnd w:id="16"/>
      <w:r>
        <w:rPr>
          <w:rFonts w:hint="eastAsia" w:ascii="Tahoma" w:hAnsi="Tahoma" w:cs="Tahoma"/>
          <w:b/>
          <w:color w:val="000000" w:themeColor="text1"/>
          <w:szCs w:val="21"/>
          <w:highlight w:val="none"/>
          <w14:textFill>
            <w14:solidFill>
              <w14:schemeClr w14:val="tx1"/>
            </w14:solidFill>
          </w14:textFill>
        </w:rPr>
        <w:t>或修改</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2.2.1采购人或者采购代理机构可以对已发出的招标文件、投标邀请书进行必要的澄清或者修改，但不得改变采购标的和资格条件。澄清或者修改应当在原公告发布媒体上发布澄清公告。</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w:t>
      </w:r>
      <w:r>
        <w:rPr>
          <w:rFonts w:hint="eastAsia" w:ascii="Tahoma" w:hAnsi="Tahoma" w:cs="Tahoma"/>
          <w:color w:val="000000" w:themeColor="text1"/>
          <w:szCs w:val="21"/>
          <w:highlight w:val="none"/>
          <w14:textFill>
            <w14:solidFill>
              <w14:schemeClr w14:val="tx1"/>
            </w14:solidFill>
          </w14:textFill>
        </w:rPr>
        <w:t>2</w:t>
      </w:r>
      <w:r>
        <w:rPr>
          <w:rFonts w:ascii="Tahoma" w:hAnsi="Tahoma" w:cs="Tahoma"/>
          <w:color w:val="000000" w:themeColor="text1"/>
          <w:szCs w:val="21"/>
          <w:highlight w:val="none"/>
          <w14:textFill>
            <w14:solidFill>
              <w14:schemeClr w14:val="tx1"/>
            </w14:solidFill>
          </w14:textFill>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2.2.3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2.2.4 投标人在收到澄清后，应在投标人须知前附表规定的时间内以书面形式通知招标人，确认已收到该澄清。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2.2.5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2.2.6 投标人收到修改内容后，应在投标人须知前附表规定的时间内以书面形式通知招标人，确认已收到该修改。</w:t>
      </w:r>
      <w:r>
        <w:rPr>
          <w:rFonts w:hint="eastAsia" w:ascii="Tahoma" w:hAnsi="Tahoma" w:cs="Tahoma"/>
          <w:color w:val="000000" w:themeColor="text1"/>
          <w:szCs w:val="21"/>
          <w:highlight w:val="none"/>
          <w14:textFill>
            <w14:solidFill>
              <w14:schemeClr w14:val="tx1"/>
            </w14:solidFill>
          </w14:textFill>
        </w:rPr>
        <w:t>该修改内容为招标文件的组成部分。</w:t>
      </w:r>
    </w:p>
    <w:p>
      <w:pPr>
        <w:spacing w:line="32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2.2.7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6"/>
    <w:bookmarkEnd w:id="7"/>
    <w:bookmarkEnd w:id="8"/>
    <w:bookmarkEnd w:id="9"/>
    <w:bookmarkEnd w:id="10"/>
    <w:bookmarkEnd w:id="11"/>
    <w:bookmarkEnd w:id="12"/>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3、投标文件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 xml:space="preserve">3.1. </w:t>
      </w:r>
      <w:r>
        <w:rPr>
          <w:rFonts w:ascii="Tahoma" w:hAnsi="Tahoma" w:cs="Tahoma"/>
          <w:b/>
          <w:bCs/>
          <w:color w:val="000000" w:themeColor="text1"/>
          <w:kern w:val="0"/>
          <w:szCs w:val="21"/>
          <w:highlight w:val="none"/>
          <w14:textFill>
            <w14:solidFill>
              <w14:schemeClr w14:val="tx1"/>
            </w14:solidFill>
          </w14:textFill>
        </w:rPr>
        <w:t>投标文件的组成</w:t>
      </w:r>
    </w:p>
    <w:p>
      <w:pPr>
        <w:shd w:val="clear" w:color="auto" w:fill="FFFFFF"/>
        <w:snapToGrid w:val="0"/>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3.1.1</w:t>
      </w:r>
      <w:r>
        <w:rPr>
          <w:rFonts w:hint="eastAsia" w:ascii="Tahoma" w:hAnsi="Tahoma" w:cs="Tahoma"/>
          <w:color w:val="000000" w:themeColor="text1"/>
          <w:kern w:val="0"/>
          <w:szCs w:val="21"/>
          <w:highlight w:val="none"/>
          <w14:textFill>
            <w14:solidFill>
              <w14:schemeClr w14:val="tx1"/>
            </w14:solidFill>
          </w14:textFill>
        </w:rPr>
        <w:t>投标人应当按照招标文件的要求编制投标文件。投标文件应当对招标文件提出的要求和条件作出明确响应。</w:t>
      </w:r>
      <w:r>
        <w:rPr>
          <w:rFonts w:ascii="Tahoma" w:hAnsi="Tahoma" w:cs="Tahoma"/>
          <w:b/>
          <w:color w:val="000000" w:themeColor="text1"/>
          <w:szCs w:val="21"/>
          <w:highlight w:val="none"/>
          <w14:textFill>
            <w14:solidFill>
              <w14:schemeClr w14:val="tx1"/>
            </w14:solidFill>
          </w14:textFill>
        </w:rPr>
        <w:t>并保证所提供的全部资料的真实性，否则其投标将</w:t>
      </w:r>
      <w:r>
        <w:rPr>
          <w:rFonts w:hint="eastAsia" w:ascii="Tahoma" w:hAnsi="Tahoma" w:cs="Tahoma"/>
          <w:b/>
          <w:color w:val="000000" w:themeColor="text1"/>
          <w:szCs w:val="21"/>
          <w:highlight w:val="none"/>
          <w14:textFill>
            <w14:solidFill>
              <w14:schemeClr w14:val="tx1"/>
            </w14:solidFill>
          </w14:textFill>
        </w:rPr>
        <w:t>按无效投标处理</w:t>
      </w:r>
      <w:r>
        <w:rPr>
          <w:rFonts w:ascii="Tahoma" w:hAnsi="Tahoma" w:cs="Tahoma"/>
          <w:b/>
          <w:color w:val="000000" w:themeColor="text1"/>
          <w:szCs w:val="21"/>
          <w:highlight w:val="none"/>
          <w14:textFill>
            <w14:solidFill>
              <w14:schemeClr w14:val="tx1"/>
            </w14:solidFill>
          </w14:textFill>
        </w:rPr>
        <w:t>。</w:t>
      </w:r>
    </w:p>
    <w:p>
      <w:pPr>
        <w:shd w:val="clear" w:color="auto" w:fill="FFFFFF"/>
        <w:snapToGrid w:val="0"/>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3.1.2投标人须知前附表规定接受联合体投标的，或投标人组成联合体的，投标文件应包括本须知第1.3.6目所指的联合体协议书。</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3.1.3投标文件一套（份数：包括正本一份、副本肆份），包括资格类文件和投标主要文件。</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（一）、资格类文件</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制造或生产采购货物或服务的资格得到有关行政主管部门许可或批准的有关证件，包括：投标供应商有效的法人营业执照副本复印件、有效的税务登记证、组织机构代码证或三证合一证复印件；资质证书复印件；采购货物或设备（产品）</w:t>
      </w:r>
      <w:r>
        <w:rPr>
          <w:rFonts w:hint="eastAsia" w:ascii="Tahoma" w:hAnsi="Tahoma" w:cs="Tahoma"/>
          <w:color w:val="000000" w:themeColor="text1"/>
          <w:szCs w:val="21"/>
          <w:highlight w:val="none"/>
          <w14:textFill>
            <w14:solidFill>
              <w14:schemeClr w14:val="tx1"/>
            </w14:solidFill>
          </w14:textFill>
        </w:rPr>
        <w:t>中的进口设备（产品）</w:t>
      </w:r>
      <w:r>
        <w:rPr>
          <w:rFonts w:ascii="Tahoma" w:hAnsi="Tahoma" w:cs="Tahoma"/>
          <w:color w:val="000000" w:themeColor="text1"/>
          <w:szCs w:val="21"/>
          <w:highlight w:val="none"/>
          <w14:textFill>
            <w14:solidFill>
              <w14:schemeClr w14:val="tx1"/>
            </w14:solidFill>
          </w14:textFill>
        </w:rPr>
        <w:t>的生产或</w:t>
      </w:r>
      <w:r>
        <w:rPr>
          <w:rFonts w:hint="eastAsia" w:ascii="Tahoma" w:hAnsi="Tahoma" w:cs="Tahoma"/>
          <w:color w:val="000000" w:themeColor="text1"/>
          <w:szCs w:val="21"/>
          <w:highlight w:val="none"/>
          <w14:textFill>
            <w14:solidFill>
              <w14:schemeClr w14:val="tx1"/>
            </w14:solidFill>
          </w14:textFill>
        </w:rPr>
        <w:t>授权</w:t>
      </w:r>
      <w:r>
        <w:rPr>
          <w:rFonts w:ascii="Tahoma" w:hAnsi="Tahoma" w:cs="Tahoma"/>
          <w:color w:val="000000" w:themeColor="text1"/>
          <w:szCs w:val="21"/>
          <w:highlight w:val="none"/>
          <w14:textFill>
            <w14:solidFill>
              <w14:schemeClr w14:val="tx1"/>
            </w14:solidFill>
          </w14:textFill>
        </w:rPr>
        <w:t>经销许可证明：如供应商为</w:t>
      </w:r>
      <w:r>
        <w:rPr>
          <w:rFonts w:hint="eastAsia" w:ascii="Tahoma" w:hAnsi="Tahoma" w:cs="Tahoma"/>
          <w:color w:val="000000" w:themeColor="text1"/>
          <w:szCs w:val="21"/>
          <w:highlight w:val="none"/>
          <w14:textFill>
            <w14:solidFill>
              <w14:schemeClr w14:val="tx1"/>
            </w14:solidFill>
          </w14:textFill>
        </w:rPr>
        <w:t>授权</w:t>
      </w:r>
      <w:r>
        <w:rPr>
          <w:rFonts w:ascii="Tahoma" w:hAnsi="Tahoma" w:cs="Tahoma"/>
          <w:color w:val="000000" w:themeColor="text1"/>
          <w:szCs w:val="21"/>
          <w:highlight w:val="none"/>
          <w14:textFill>
            <w14:solidFill>
              <w14:schemeClr w14:val="tx1"/>
            </w14:solidFill>
          </w14:textFill>
        </w:rPr>
        <w:t>经销商的，须提供有关行政主管部门许可的货物或设备（产品）在经销许可证范围内的有关证明，以及依照招标文件规定应予提供的其他证件复印件（采购的货物名称规格型号应符合其生产或经销许可范围，复印件必须与原件一致）。</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（2）法人代表授权书原件（法人代表无此项要求）。</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（3）投标代表身份证复印件。</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（4）投标人的资格声明。</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（5）关于资格的声明函。</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（二）、投标主要文件</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 投标函；</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 开标一览表；</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 投标分项报价表；</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 货物说明一览表；</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 供货范围清单；</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 技术规格和商务偏离表；</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 服务组织措施；</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 产品出厂标准、质量检测报告</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 能说明投标产品规格型号、性能参数的彩页资料（或能充分证明投标产品质量、技术参数、功能说明、性能指标及产品选型说明等方面其他宣传资料）。</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（10）技术服务、技术培训、售后服务的内容和措施；</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（11）优惠条件：投标人承诺给予招标人的各种优惠条件，包括</w:t>
      </w:r>
      <w:r>
        <w:rPr>
          <w:rFonts w:hint="eastAsia" w:ascii="Tahoma" w:hAnsi="Tahoma" w:cs="Tahoma"/>
          <w:color w:val="000000" w:themeColor="text1"/>
          <w:szCs w:val="21"/>
          <w:highlight w:val="none"/>
          <w14:textFill>
            <w14:solidFill>
              <w14:schemeClr w14:val="tx1"/>
            </w14:solidFill>
          </w14:textFill>
        </w:rPr>
        <w:t>技术及</w:t>
      </w:r>
      <w:r>
        <w:rPr>
          <w:rFonts w:ascii="Tahoma" w:hAnsi="Tahoma" w:cs="Tahoma"/>
          <w:color w:val="000000" w:themeColor="text1"/>
          <w:szCs w:val="21"/>
          <w:highlight w:val="none"/>
          <w14:textFill>
            <w14:solidFill>
              <w14:schemeClr w14:val="tx1"/>
            </w14:solidFill>
          </w14:textFill>
        </w:rPr>
        <w:t xml:space="preserve">售后服务、备品备件、专用耗材等方面的优惠； </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（12）投标人需要说明的其他文件和说明。</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（三）、承诺书</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（1）招标代理服务费承诺书。</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3.2. 投标报价</w:t>
      </w:r>
      <w:r>
        <w:rPr>
          <w:rFonts w:ascii="Tahoma" w:hAnsi="Tahoma" w:cs="Tahoma"/>
          <w:color w:val="000000" w:themeColor="text1"/>
          <w:kern w:val="0"/>
          <w:szCs w:val="21"/>
          <w:highlight w:val="none"/>
          <w14:textFill>
            <w14:solidFill>
              <w14:schemeClr w14:val="tx1"/>
            </w14:solidFill>
          </w14:textFill>
        </w:rPr>
        <w:t xml:space="preserve"> </w:t>
      </w:r>
    </w:p>
    <w:p>
      <w:pPr>
        <w:shd w:val="clear" w:color="auto" w:fill="FFFFFF"/>
        <w:snapToGrid w:val="0"/>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3.2.1 投标人应按招标文件的要求填写相应投标报价表格。</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3.2.2 除非有另外的规定，投标人可对招标项目一览表所列的全部合同包或部分合同包进行投标。招标代理机构不接受有任何可选择性的报价，每一种货物只能有一个报价。且每一合同包的投标总报价</w:t>
      </w:r>
      <w:r>
        <w:rPr>
          <w:rFonts w:ascii="Tahoma" w:hAnsi="Tahoma" w:cs="Tahoma"/>
          <w:color w:val="000000" w:themeColor="text1"/>
          <w:kern w:val="0"/>
          <w:szCs w:val="21"/>
          <w:highlight w:val="none"/>
          <w14:textFill>
            <w14:solidFill>
              <w14:schemeClr w14:val="tx1"/>
            </w14:solidFill>
          </w14:textFill>
        </w:rPr>
        <w:t>不得超过规定的最高投标限价。</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3.3. 投标文件语言</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3.2.1投标文件应用中文书写。投标文件中所附或所引用的原件不是中文时，应附中文译本。各种计量单位及符号应采用国际上统一使用的公制计量单位和符号。</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3.4. 投标文件的编制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3.4.1投标文件应按招标文件</w:t>
      </w:r>
      <w:r>
        <w:rPr>
          <w:rFonts w:ascii="宋体" w:hAnsi="宋体" w:cs="Tahoma"/>
          <w:color w:val="000000" w:themeColor="text1"/>
          <w:szCs w:val="21"/>
          <w:highlight w:val="none"/>
          <w14:textFill>
            <w14:solidFill>
              <w14:schemeClr w14:val="tx1"/>
            </w14:solidFill>
          </w14:textFill>
        </w:rPr>
        <w:t>“投标文件格式”进</w:t>
      </w:r>
      <w:r>
        <w:rPr>
          <w:rFonts w:ascii="Tahoma" w:hAnsi="Tahoma" w:cs="Tahoma"/>
          <w:color w:val="000000" w:themeColor="text1"/>
          <w:szCs w:val="21"/>
          <w:highlight w:val="none"/>
          <w14:textFill>
            <w14:solidFill>
              <w14:schemeClr w14:val="tx1"/>
            </w14:solidFill>
          </w14:textFill>
        </w:rPr>
        <w:t>行编写，如有必要，可以增加附页，作为投标文件的组成部分。其中，投标函附录在满足招标文件实质性要求的基础上，可以提出比招标文件要求更有利于招标人的承诺。</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3.4.2 投标文件应当对招标文件有关供货计划、投标有效期、质量要求、技术标准和要求、招标范围等实质性内容做出响应。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3.4.3</w:t>
      </w:r>
      <w:r>
        <w:rPr>
          <w:rFonts w:hint="eastAsia" w:ascii="Tahoma" w:hAnsi="Tahoma" w:cs="Tahoma"/>
          <w:color w:val="000000" w:themeColor="text1"/>
          <w:szCs w:val="21"/>
          <w:highlight w:val="none"/>
          <w14:textFill>
            <w14:solidFill>
              <w14:schemeClr w14:val="tx1"/>
            </w14:solidFill>
          </w14:textFill>
        </w:rPr>
        <w:t>投标人须编制由本须知第</w:t>
      </w:r>
      <w:r>
        <w:rPr>
          <w:rFonts w:ascii="Tahoma" w:hAnsi="Tahoma" w:cs="Tahoma"/>
          <w:color w:val="000000" w:themeColor="text1"/>
          <w:szCs w:val="21"/>
          <w:highlight w:val="none"/>
          <w14:textFill>
            <w14:solidFill>
              <w14:schemeClr w14:val="tx1"/>
            </w14:solidFill>
          </w14:textFill>
        </w:rPr>
        <w:t>3.1</w:t>
      </w:r>
      <w:r>
        <w:rPr>
          <w:rFonts w:hint="eastAsia" w:ascii="Tahoma" w:hAnsi="Tahoma" w:cs="Tahoma"/>
          <w:color w:val="000000" w:themeColor="text1"/>
          <w:szCs w:val="21"/>
          <w:highlight w:val="none"/>
          <w14:textFill>
            <w14:solidFill>
              <w14:schemeClr w14:val="tx1"/>
            </w14:solidFill>
          </w14:textFill>
        </w:rPr>
        <w:t>条规定投标文件组成内容的投标文件一套：包括正本一份、副本肆份，投标文件的正本应使用不能擦去的墨料或墨水打印、书写，必须采用</w:t>
      </w:r>
      <w:r>
        <w:rPr>
          <w:rFonts w:ascii="Tahoma" w:hAnsi="Tahoma" w:cs="Tahoma"/>
          <w:color w:val="000000" w:themeColor="text1"/>
          <w:szCs w:val="21"/>
          <w:highlight w:val="none"/>
          <w14:textFill>
            <w14:solidFill>
              <w14:schemeClr w14:val="tx1"/>
            </w14:solidFill>
          </w14:textFill>
        </w:rPr>
        <w:t>A4</w:t>
      </w:r>
      <w:r>
        <w:rPr>
          <w:rFonts w:hint="eastAsia" w:ascii="Tahoma" w:hAnsi="Tahoma" w:cs="Tahoma"/>
          <w:color w:val="000000" w:themeColor="text1"/>
          <w:szCs w:val="21"/>
          <w:highlight w:val="none"/>
          <w14:textFill>
            <w14:solidFill>
              <w14:schemeClr w14:val="tx1"/>
            </w14:solidFill>
          </w14:textFill>
        </w:rPr>
        <w:t>幅面纸张（图页除外）进行胶装。并在封面右上角标明</w:t>
      </w:r>
      <w:r>
        <w:rPr>
          <w:rFonts w:hint="eastAsia" w:ascii="宋体" w:hAnsi="宋体" w:cs="Tahoma"/>
          <w:color w:val="000000" w:themeColor="text1"/>
          <w:szCs w:val="21"/>
          <w:highlight w:val="none"/>
          <w14:textFill>
            <w14:solidFill>
              <w14:schemeClr w14:val="tx1"/>
            </w14:solidFill>
          </w14:textFill>
        </w:rPr>
        <w:t>“正本”、“副本”</w:t>
      </w:r>
      <w:r>
        <w:rPr>
          <w:rFonts w:hint="eastAsia" w:ascii="Tahoma" w:hAnsi="Tahoma" w:cs="Tahoma"/>
          <w:color w:val="000000" w:themeColor="text1"/>
          <w:szCs w:val="21"/>
          <w:highlight w:val="none"/>
          <w14:textFill>
            <w14:solidFill>
              <w14:schemeClr w14:val="tx1"/>
            </w14:solidFill>
          </w14:textFill>
        </w:rPr>
        <w:t>字样，副本与正本如有不一致的，则以正本为准，</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3.4.4</w:t>
      </w:r>
      <w:r>
        <w:rPr>
          <w:rFonts w:ascii="Tahoma" w:hAnsi="Tahoma" w:cs="Tahoma"/>
          <w:b/>
          <w:color w:val="000000" w:themeColor="text1"/>
          <w:szCs w:val="21"/>
          <w:highlight w:val="none"/>
          <w14:textFill>
            <w14:solidFill>
              <w14:schemeClr w14:val="tx1"/>
            </w14:solidFill>
          </w14:textFill>
        </w:rPr>
        <w:t>投标文件的“正本”应由投标人的法定代表人或者其授权代表逐页加盖公章并</w:t>
      </w:r>
      <w:r>
        <w:rPr>
          <w:rFonts w:hint="eastAsia" w:ascii="Tahoma" w:hAnsi="Tahoma" w:cs="Tahoma"/>
          <w:b/>
          <w:color w:val="000000" w:themeColor="text1"/>
          <w:szCs w:val="21"/>
          <w:highlight w:val="none"/>
          <w14:textFill>
            <w14:solidFill>
              <w14:schemeClr w14:val="tx1"/>
            </w14:solidFill>
          </w14:textFill>
        </w:rPr>
        <w:t>在规定</w:t>
      </w:r>
      <w:r>
        <w:rPr>
          <w:rFonts w:ascii="Tahoma" w:hAnsi="Tahoma" w:cs="Tahoma"/>
          <w:b/>
          <w:color w:val="000000" w:themeColor="text1"/>
          <w:szCs w:val="21"/>
          <w:highlight w:val="none"/>
          <w14:textFill>
            <w14:solidFill>
              <w14:schemeClr w14:val="tx1"/>
            </w14:solidFill>
          </w14:textFill>
        </w:rPr>
        <w:t>签字</w:t>
      </w:r>
      <w:r>
        <w:rPr>
          <w:rFonts w:hint="eastAsia" w:ascii="Tahoma" w:hAnsi="Tahoma" w:cs="Tahoma"/>
          <w:b/>
          <w:color w:val="000000" w:themeColor="text1"/>
          <w:szCs w:val="21"/>
          <w:highlight w:val="none"/>
          <w14:textFill>
            <w14:solidFill>
              <w14:schemeClr w14:val="tx1"/>
            </w14:solidFill>
          </w14:textFill>
        </w:rPr>
        <w:t>的位置签字</w:t>
      </w:r>
      <w:r>
        <w:rPr>
          <w:rFonts w:ascii="Tahoma" w:hAnsi="Tahoma" w:cs="Tahoma"/>
          <w:b/>
          <w:color w:val="000000" w:themeColor="text1"/>
          <w:szCs w:val="21"/>
          <w:highlight w:val="none"/>
          <w14:textFill>
            <w14:solidFill>
              <w14:schemeClr w14:val="tx1"/>
            </w14:solidFill>
          </w14:textFill>
        </w:rPr>
        <w:t>，授权代表</w:t>
      </w:r>
      <w:r>
        <w:rPr>
          <w:rFonts w:ascii="Tahoma" w:hAnsi="Tahoma" w:cs="Tahoma"/>
          <w:b/>
          <w:color w:val="000000" w:themeColor="text1"/>
          <w:kern w:val="0"/>
          <w:szCs w:val="21"/>
          <w:highlight w:val="none"/>
          <w14:textFill>
            <w14:solidFill>
              <w14:schemeClr w14:val="tx1"/>
            </w14:solidFill>
          </w14:textFill>
        </w:rPr>
        <w:t>签字的，投标文件应附法定代表人签署的授权委托书（应与开标时的一致）</w:t>
      </w:r>
      <w:r>
        <w:rPr>
          <w:rFonts w:ascii="Tahoma" w:hAnsi="Tahoma" w:cs="Tahoma"/>
          <w:b/>
          <w:color w:val="000000" w:themeColor="text1"/>
          <w:szCs w:val="21"/>
          <w:highlight w:val="none"/>
          <w14:textFill>
            <w14:solidFill>
              <w14:schemeClr w14:val="tx1"/>
            </w14:solidFill>
          </w14:textFill>
        </w:rPr>
        <w:t>。否则，其投标无效！</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3.4.5</w:t>
      </w:r>
      <w:r>
        <w:rPr>
          <w:rFonts w:hint="eastAsia" w:ascii="Tahoma" w:hAnsi="Tahoma" w:cs="Tahoma"/>
          <w:color w:val="000000" w:themeColor="text1"/>
          <w:szCs w:val="21"/>
          <w:highlight w:val="none"/>
          <w14:textFill>
            <w14:solidFill>
              <w14:schemeClr w14:val="tx1"/>
            </w14:solidFill>
          </w14:textFill>
        </w:rPr>
        <w:t>投标文件的全部副本应使用不能擦去的墨料或墨水打印、书写，也可以用正本的全套完整复印件（</w:t>
      </w:r>
      <w:r>
        <w:rPr>
          <w:rFonts w:ascii="Tahoma" w:hAnsi="Tahoma" w:cs="Tahoma"/>
          <w:color w:val="000000" w:themeColor="text1"/>
          <w:szCs w:val="21"/>
          <w:highlight w:val="none"/>
          <w14:textFill>
            <w14:solidFill>
              <w14:schemeClr w14:val="tx1"/>
            </w14:solidFill>
          </w14:textFill>
        </w:rPr>
        <w:t>A4</w:t>
      </w:r>
      <w:r>
        <w:rPr>
          <w:rFonts w:hint="eastAsia" w:ascii="Tahoma" w:hAnsi="Tahoma" w:cs="Tahoma"/>
          <w:color w:val="000000" w:themeColor="text1"/>
          <w:szCs w:val="21"/>
          <w:highlight w:val="none"/>
          <w14:textFill>
            <w14:solidFill>
              <w14:schemeClr w14:val="tx1"/>
            </w14:solidFill>
          </w14:textFill>
        </w:rPr>
        <w:t>幅面，图页除外）并胶装，</w:t>
      </w:r>
      <w:r>
        <w:rPr>
          <w:rFonts w:hint="eastAsia" w:ascii="Tahoma" w:hAnsi="Tahoma" w:cs="Tahoma"/>
          <w:b/>
          <w:color w:val="000000" w:themeColor="text1"/>
          <w:szCs w:val="21"/>
          <w:highlight w:val="none"/>
          <w14:textFill>
            <w14:solidFill>
              <w14:schemeClr w14:val="tx1"/>
            </w14:solidFill>
          </w14:textFill>
        </w:rPr>
        <w:t>但副本封面的签字、盖章应与正本一致，不得采用正本的复印件，否则投标无效！</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3.4.6</w:t>
      </w:r>
      <w:r>
        <w:rPr>
          <w:rFonts w:hint="eastAsia" w:ascii="Tahoma" w:hAnsi="Tahoma" w:cs="Tahoma"/>
          <w:color w:val="000000" w:themeColor="text1"/>
          <w:szCs w:val="21"/>
          <w:highlight w:val="none"/>
          <w14:textFill>
            <w14:solidFill>
              <w14:schemeClr w14:val="tx1"/>
            </w14:solidFill>
          </w14:textFill>
        </w:rPr>
        <w:t>全套投标文件应无涂改和行间插字，除非这些改动是根据招标代理机构的指示进行的，或者是为改正投标人造成的必须修改的错误而进行的。有改动时，修改处应由授权代表签署证明或加盖投标人章。</w:t>
      </w:r>
      <w:r>
        <w:rPr>
          <w:rFonts w:ascii="Tahoma" w:hAnsi="Tahoma" w:cs="Tahoma"/>
          <w:color w:val="000000" w:themeColor="text1"/>
          <w:szCs w:val="21"/>
          <w:highlight w:val="none"/>
          <w14:textFill>
            <w14:solidFill>
              <w14:schemeClr w14:val="tx1"/>
            </w14:solidFill>
          </w14:textFill>
        </w:rPr>
        <w:t xml:space="preserve">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3.4.7</w:t>
      </w:r>
      <w:r>
        <w:rPr>
          <w:rFonts w:hint="eastAsia" w:ascii="Tahoma" w:hAnsi="Tahoma" w:cs="Tahoma"/>
          <w:color w:val="000000" w:themeColor="text1"/>
          <w:szCs w:val="21"/>
          <w:highlight w:val="none"/>
          <w14:textFill>
            <w14:solidFill>
              <w14:schemeClr w14:val="tx1"/>
            </w14:solidFill>
          </w14:textFill>
        </w:rPr>
        <w:t>除非有另外的规定或许可，投标使用货币为：人民币。</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3.4.8</w:t>
      </w:r>
      <w:r>
        <w:rPr>
          <w:rFonts w:hint="eastAsia" w:ascii="Tahoma" w:hAnsi="Tahoma" w:cs="Tahoma"/>
          <w:color w:val="000000" w:themeColor="text1"/>
          <w:szCs w:val="21"/>
          <w:highlight w:val="none"/>
          <w14:textFill>
            <w14:solidFill>
              <w14:schemeClr w14:val="tx1"/>
            </w14:solidFill>
          </w14:textFill>
        </w:rPr>
        <w:t>投标人应提交证明其拟供货物符合招标文件要求的技术文件，该文件可以是包括文字资料、图纸和数据等组成，并须提供货物主要技术性能的详细描述。</w:t>
      </w:r>
      <w:r>
        <w:rPr>
          <w:rFonts w:ascii="Tahoma" w:hAnsi="Tahoma" w:cs="Tahoma"/>
          <w:color w:val="000000" w:themeColor="text1"/>
          <w:szCs w:val="21"/>
          <w:highlight w:val="none"/>
          <w14:textFill>
            <w14:solidFill>
              <w14:schemeClr w14:val="tx1"/>
            </w14:solidFill>
          </w14:textFill>
        </w:rPr>
        <w:t xml:space="preserve">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3.4.9</w:t>
      </w:r>
      <w:r>
        <w:rPr>
          <w:rFonts w:hint="eastAsia" w:ascii="Tahoma" w:hAnsi="Tahoma" w:cs="Tahoma"/>
          <w:b/>
          <w:color w:val="000000" w:themeColor="text1"/>
          <w:szCs w:val="21"/>
          <w:highlight w:val="none"/>
          <w14:textFill>
            <w14:solidFill>
              <w14:schemeClr w14:val="tx1"/>
            </w14:solidFill>
          </w14:textFill>
        </w:rPr>
        <w:t>未按招标文件规定的内容编写的投标文件或投标文件字迹模糊不清的，无法辨认其价格、关键参数或指标等的，其投标无效。</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3.4.10</w:t>
      </w:r>
      <w:r>
        <w:rPr>
          <w:rFonts w:hint="eastAsia" w:ascii="宋体" w:hAnsi="宋体" w:cs="Tahoma"/>
          <w:color w:val="000000" w:themeColor="text1"/>
          <w:szCs w:val="21"/>
          <w:highlight w:val="none"/>
          <w14:textFill>
            <w14:solidFill>
              <w14:schemeClr w14:val="tx1"/>
            </w14:solidFill>
          </w14:textFill>
        </w:rPr>
        <w:t>所有资格证明文件复印件须注明“与原件一致”并加盖</w:t>
      </w:r>
      <w:r>
        <w:rPr>
          <w:rFonts w:hint="eastAsia" w:ascii="Tahoma" w:hAnsi="Tahoma" w:cs="Tahoma"/>
          <w:color w:val="000000" w:themeColor="text1"/>
          <w:szCs w:val="21"/>
          <w:highlight w:val="none"/>
          <w14:textFill>
            <w14:solidFill>
              <w14:schemeClr w14:val="tx1"/>
            </w14:solidFill>
          </w14:textFill>
        </w:rPr>
        <w:t>投标人公章。</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3.4.11</w:t>
      </w:r>
      <w:r>
        <w:rPr>
          <w:rFonts w:hint="eastAsia" w:ascii="Tahoma" w:hAnsi="Tahoma" w:cs="Tahoma"/>
          <w:color w:val="000000" w:themeColor="text1"/>
          <w:szCs w:val="21"/>
          <w:highlight w:val="none"/>
          <w14:textFill>
            <w14:solidFill>
              <w14:schemeClr w14:val="tx1"/>
            </w14:solidFill>
          </w14:textFill>
        </w:rPr>
        <w:t>投标人可对本次招标的所有货物进行投标，也可只对其中一个合同包或几个合同包的货物进行投标；除非招标文件另有规定，不得将一个合同包中的货物拆开投标。</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3.5. 投标有效期</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3.5.1投标文件从投标人须知前附表所规定的投标截止期之后开始生效，在投标人须知前附表所规定的期限内保持有效。有效期不足将导致其投标文件被拒绝。</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3.6. 投标保证金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3.6.1 投标保证金为投标文件的组成部分之一。</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3.6.2 投标人应在提交投标文件之前向招标代理机构缴交投标人须知前附表要求的投标保证金。联合体投标的，可以由联合体中的一方或者共同提交投标保证金，以一方名义提交投标保证金的，对联合体各方均具有约束力。</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3.6.3 投标保证金用于保护本次招标活动免受投标人的行为而引起的风险。</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3.6.4 投标保证金以</w:t>
      </w:r>
      <w:r>
        <w:rPr>
          <w:rFonts w:ascii="Tahoma" w:hAnsi="Tahoma" w:cs="Tahoma"/>
          <w:bCs/>
          <w:color w:val="000000" w:themeColor="text1"/>
          <w:spacing w:val="8"/>
          <w:kern w:val="0"/>
          <w:szCs w:val="21"/>
          <w:highlight w:val="none"/>
          <w14:textFill>
            <w14:solidFill>
              <w14:schemeClr w14:val="tx1"/>
            </w14:solidFill>
          </w14:textFill>
        </w:rPr>
        <w:t>投标保证金可以采用</w:t>
      </w:r>
      <w:r>
        <w:rPr>
          <w:rFonts w:ascii="Tahoma" w:hAnsi="Tahoma" w:cs="Tahoma"/>
          <w:bCs/>
          <w:color w:val="000000" w:themeColor="text1"/>
          <w:szCs w:val="21"/>
          <w:highlight w:val="none"/>
          <w14:textFill>
            <w14:solidFill>
              <w14:schemeClr w14:val="tx1"/>
            </w14:solidFill>
          </w14:textFill>
        </w:rPr>
        <w:t>现金、</w:t>
      </w:r>
      <w:r>
        <w:rPr>
          <w:rFonts w:ascii="Tahoma" w:hAnsi="Tahoma" w:cs="Tahoma"/>
          <w:bCs/>
          <w:color w:val="000000" w:themeColor="text1"/>
          <w:spacing w:val="8"/>
          <w:kern w:val="0"/>
          <w:szCs w:val="21"/>
          <w:highlight w:val="none"/>
          <w14:textFill>
            <w14:solidFill>
              <w14:schemeClr w14:val="tx1"/>
            </w14:solidFill>
          </w14:textFill>
        </w:rPr>
        <w:t>现金支票、银行汇票、银行保函等形式交纳</w:t>
      </w:r>
      <w:r>
        <w:rPr>
          <w:rFonts w:ascii="Tahoma" w:hAnsi="Tahoma" w:cs="Tahoma"/>
          <w:color w:val="000000" w:themeColor="text1"/>
          <w:szCs w:val="21"/>
          <w:highlight w:val="none"/>
          <w14:textFill>
            <w14:solidFill>
              <w14:schemeClr w14:val="tx1"/>
            </w14:solidFill>
          </w14:textFill>
        </w:rPr>
        <w:t>。投标人须知前附表另有规定的，则从其约定。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3.6.5 未按规定缴交投标保证金的投标，将被视为无效投标。</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3.6.6投标保证金退还手续说明</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（1）投标保证金将在中标通知书发出之日起五个工作日内，按照投标人所提供的开户行、开户名称、帐号等信息，予以原额无息退还中标人以外的投标人的投标保证金。</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3.6.7在中标人签订合同（招标人如有要求中标人支付履约保证金的，则增加：支付履约保证金）后5个工作日内，中标人的投标保证金予以原额无息退还。</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3.6.8 投标保证金的有效期为投标有效期满后的</w:t>
      </w:r>
      <w:r>
        <w:rPr>
          <w:rFonts w:hint="eastAsia" w:ascii="Tahoma" w:hAnsi="Tahoma" w:cs="Tahoma"/>
          <w:color w:val="000000" w:themeColor="text1"/>
          <w:szCs w:val="21"/>
          <w:highlight w:val="non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个</w:t>
      </w:r>
      <w:r>
        <w:rPr>
          <w:rFonts w:hint="eastAsia" w:ascii="Tahoma" w:hAnsi="Tahoma" w:cs="Tahoma"/>
          <w:color w:val="000000" w:themeColor="text1"/>
          <w:szCs w:val="21"/>
          <w:highlight w:val="none"/>
          <w14:textFill>
            <w14:solidFill>
              <w14:schemeClr w14:val="tx1"/>
            </w14:solidFill>
          </w14:textFill>
        </w:rPr>
        <w:t>工作</w:t>
      </w:r>
      <w:r>
        <w:rPr>
          <w:rFonts w:ascii="Tahoma" w:hAnsi="Tahoma" w:cs="Tahoma"/>
          <w:color w:val="000000" w:themeColor="text1"/>
          <w:szCs w:val="21"/>
          <w:highlight w:val="none"/>
          <w14:textFill>
            <w14:solidFill>
              <w14:schemeClr w14:val="tx1"/>
            </w14:solidFill>
          </w14:textFill>
        </w:rPr>
        <w:t>日。</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3.6.9 发生以下情况之一的，投标保证金将不予退还：</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（1）投标人在</w:t>
      </w:r>
      <w:r>
        <w:rPr>
          <w:rFonts w:hint="eastAsia" w:ascii="Tahoma" w:hAnsi="Tahoma" w:cs="Tahoma"/>
          <w:color w:val="000000" w:themeColor="text1"/>
          <w:szCs w:val="21"/>
          <w:highlight w:val="none"/>
          <w14:textFill>
            <w14:solidFill>
              <w14:schemeClr w14:val="tx1"/>
            </w14:solidFill>
          </w14:textFill>
        </w:rPr>
        <w:t>投标有效期内撤销投标文件的；</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（2）投标人提供虚假投标证明材料；</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（3）中标人未按有关规定缴纳招标代理服务费； </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（4）以他人名义投标或者以其他方式弄虚作假，骗取中标；</w:t>
      </w:r>
    </w:p>
    <w:p>
      <w:pPr>
        <w:shd w:val="clear" w:color="auto" w:fill="FFFFFF"/>
        <w:snapToGrid w:val="0"/>
        <w:spacing w:line="32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w:t>
      </w:r>
      <w:r>
        <w:rPr>
          <w:rFonts w:ascii="Tahoma" w:hAnsi="Tahoma" w:cs="Tahoma"/>
          <w:color w:val="000000" w:themeColor="text1"/>
          <w:kern w:val="0"/>
          <w:szCs w:val="21"/>
          <w:highlight w:val="none"/>
          <w14:textFill>
            <w14:solidFill>
              <w14:schemeClr w14:val="tx1"/>
            </w14:solidFill>
          </w14:textFill>
        </w:rPr>
        <w:t>投标人在规定的投标有效期内修改其投标文件；</w:t>
      </w:r>
    </w:p>
    <w:p>
      <w:pPr>
        <w:shd w:val="clear" w:color="auto" w:fill="FFFFFF"/>
        <w:snapToGrid w:val="0"/>
        <w:spacing w:line="32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（6）中标人在收到中标通知书后，无正当理由拒签合同协议书或未按招标文件规定提交履约担保。</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（7）上述不予退还投标保证金的情况给招标采购单位造成损失的，还要承担赔偿责任。</w:t>
      </w:r>
    </w:p>
    <w:p>
      <w:pPr>
        <w:spacing w:line="340" w:lineRule="exact"/>
        <w:jc w:val="center"/>
        <w:rPr>
          <w:rFonts w:ascii="Tahoma" w:hAnsi="Tahoma" w:eastAsia="黑体" w:cs="Tahoma"/>
          <w:color w:val="000000" w:themeColor="text1"/>
          <w:sz w:val="24"/>
          <w:highlight w:val="none"/>
          <w14:textFill>
            <w14:solidFill>
              <w14:schemeClr w14:val="tx1"/>
            </w14:solidFill>
          </w14:textFill>
        </w:rPr>
      </w:pPr>
      <w:r>
        <w:rPr>
          <w:rFonts w:ascii="Tahoma" w:hAnsi="Tahoma" w:eastAsia="黑体" w:cs="Tahoma"/>
          <w:b/>
          <w:bCs/>
          <w:color w:val="000000" w:themeColor="text1"/>
          <w:sz w:val="24"/>
          <w:highlight w:val="none"/>
          <w14:textFill>
            <w14:solidFill>
              <w14:schemeClr w14:val="tx1"/>
            </w14:solidFill>
          </w14:textFill>
        </w:rPr>
        <w:t>4、投标</w:t>
      </w:r>
    </w:p>
    <w:p>
      <w:pPr>
        <w:spacing w:line="34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4.1</w:t>
      </w:r>
      <w:r>
        <w:rPr>
          <w:rFonts w:ascii="Tahoma" w:hAnsi="Tahoma" w:cs="Tahoma"/>
          <w:b/>
          <w:bCs/>
          <w:color w:val="000000" w:themeColor="text1"/>
          <w:szCs w:val="21"/>
          <w:highlight w:val="none"/>
          <w14:textFill>
            <w14:solidFill>
              <w14:schemeClr w14:val="tx1"/>
            </w14:solidFill>
          </w14:textFill>
        </w:rPr>
        <w:t>.投标文件的密封、标记</w:t>
      </w:r>
    </w:p>
    <w:p>
      <w:pPr>
        <w:spacing w:line="340" w:lineRule="exac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4.1.1 投标人应将投标文件正本</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全部副本</w:t>
      </w:r>
      <w:r>
        <w:rPr>
          <w:rFonts w:hint="eastAsia" w:ascii="Tahoma" w:hAnsi="Tahoma" w:cs="Tahoma"/>
          <w:color w:val="000000" w:themeColor="text1"/>
          <w:szCs w:val="21"/>
          <w:highlight w:val="none"/>
          <w14:textFill>
            <w14:solidFill>
              <w14:schemeClr w14:val="tx1"/>
            </w14:solidFill>
          </w14:textFill>
        </w:rPr>
        <w:t>、投标报价</w:t>
      </w:r>
      <w:r>
        <w:rPr>
          <w:rFonts w:ascii="Tahoma" w:hAnsi="Tahoma" w:cs="Tahoma"/>
          <w:color w:val="000000" w:themeColor="text1"/>
          <w:szCs w:val="21"/>
          <w:highlight w:val="none"/>
          <w14:textFill>
            <w14:solidFill>
              <w14:schemeClr w14:val="tx1"/>
            </w14:solidFill>
          </w14:textFill>
        </w:rPr>
        <w:t>分别用封袋密封，并</w:t>
      </w:r>
      <w:r>
        <w:rPr>
          <w:rFonts w:hint="eastAsia" w:ascii="Tahoma" w:hAnsi="Tahoma" w:cs="Tahoma"/>
          <w:color w:val="000000" w:themeColor="text1"/>
          <w:szCs w:val="21"/>
          <w:highlight w:val="none"/>
          <w14:textFill>
            <w14:solidFill>
              <w14:schemeClr w14:val="tx1"/>
            </w14:solidFill>
          </w14:textFill>
        </w:rPr>
        <w:t>在封套上</w:t>
      </w:r>
      <w:r>
        <w:rPr>
          <w:rFonts w:ascii="Tahoma" w:hAnsi="Tahoma" w:cs="Tahoma"/>
          <w:color w:val="000000" w:themeColor="text1"/>
          <w:szCs w:val="21"/>
          <w:highlight w:val="none"/>
          <w14:textFill>
            <w14:solidFill>
              <w14:schemeClr w14:val="tx1"/>
            </w14:solidFill>
          </w14:textFill>
        </w:rPr>
        <w:t>标明招标编号、投标人名称、项目编号及</w:t>
      </w:r>
      <w:r>
        <w:rPr>
          <w:rFonts w:ascii="宋体" w:hAnsi="宋体" w:cs="Tahoma"/>
          <w:color w:val="000000" w:themeColor="text1"/>
          <w:szCs w:val="21"/>
          <w:highlight w:val="none"/>
          <w14:textFill>
            <w14:solidFill>
              <w14:schemeClr w14:val="tx1"/>
            </w14:solidFill>
          </w14:textFill>
        </w:rPr>
        <w:t>“正本”或“副本”或</w:t>
      </w:r>
      <w:r>
        <w:rPr>
          <w:rFonts w:hint="eastAsia" w:ascii="宋体" w:hAnsi="宋体"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投标报价</w:t>
      </w:r>
      <w:r>
        <w:rPr>
          <w:rFonts w:hint="eastAsia" w:ascii="宋体" w:hAnsi="宋体"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字样，并在封口处盖上骑缝公章。</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4.1.2 每一封套上应注明</w:t>
      </w:r>
      <w:r>
        <w:rPr>
          <w:rFonts w:ascii="宋体" w:hAnsi="宋体" w:cs="Tahoma"/>
          <w:color w:val="000000" w:themeColor="text1"/>
          <w:szCs w:val="21"/>
          <w:highlight w:val="none"/>
          <w14:textFill>
            <w14:solidFill>
              <w14:schemeClr w14:val="tx1"/>
            </w14:solidFill>
          </w14:textFill>
        </w:rPr>
        <w:t>“在</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年</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月</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日</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时</w:t>
      </w:r>
      <w:r>
        <w:rPr>
          <w:rFonts w:ascii="宋体" w:hAnsi="宋体" w:cs="Tahoma"/>
          <w:color w:val="000000" w:themeColor="text1"/>
          <w:szCs w:val="21"/>
          <w:highlight w:val="none"/>
          <w:u w:val="singl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分前不得开启（指招标文件中规定的开标日期及时间）不准启封”的</w:t>
      </w:r>
      <w:r>
        <w:rPr>
          <w:rFonts w:ascii="Tahoma" w:hAnsi="Tahoma" w:cs="Tahoma"/>
          <w:color w:val="000000" w:themeColor="text1"/>
          <w:szCs w:val="21"/>
          <w:highlight w:val="none"/>
          <w14:textFill>
            <w14:solidFill>
              <w14:schemeClr w14:val="tx1"/>
            </w14:solidFill>
          </w14:textFill>
        </w:rPr>
        <w:t>字样，并加盖投标人公章。</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4.1.3</w:t>
      </w:r>
      <w:r>
        <w:rPr>
          <w:rFonts w:hint="eastAsia" w:ascii="宋体" w:hAnsi="宋体" w:cs="Tahoma"/>
          <w:b/>
          <w:color w:val="000000" w:themeColor="text1"/>
          <w:szCs w:val="21"/>
          <w:highlight w:val="none"/>
          <w14:textFill>
            <w14:solidFill>
              <w14:schemeClr w14:val="tx1"/>
            </w14:solidFill>
          </w14:textFill>
        </w:rPr>
        <w:t>所有投标文件未按上述要求</w:t>
      </w:r>
      <w:r>
        <w:rPr>
          <w:rFonts w:ascii="Tahoma" w:hAnsi="Tahoma" w:cs="Tahoma"/>
          <w:b/>
          <w:bCs/>
          <w:color w:val="000000" w:themeColor="text1"/>
          <w:szCs w:val="21"/>
          <w:highlight w:val="none"/>
          <w14:textFill>
            <w14:solidFill>
              <w14:schemeClr w14:val="tx1"/>
            </w14:solidFill>
          </w14:textFill>
        </w:rPr>
        <w:t>标记</w:t>
      </w:r>
      <w:r>
        <w:rPr>
          <w:rFonts w:hint="eastAsia" w:ascii="Tahoma" w:hAnsi="Tahoma" w:cs="Tahoma"/>
          <w:b/>
          <w:bCs/>
          <w:color w:val="000000" w:themeColor="text1"/>
          <w:szCs w:val="21"/>
          <w:highlight w:val="none"/>
          <w14:textFill>
            <w14:solidFill>
              <w14:schemeClr w14:val="tx1"/>
            </w14:solidFill>
          </w14:textFill>
        </w:rPr>
        <w:t>、</w:t>
      </w:r>
      <w:r>
        <w:rPr>
          <w:rFonts w:hint="eastAsia" w:ascii="宋体" w:hAnsi="宋体" w:cs="Tahoma"/>
          <w:b/>
          <w:color w:val="000000" w:themeColor="text1"/>
          <w:szCs w:val="21"/>
          <w:highlight w:val="none"/>
          <w14:textFill>
            <w14:solidFill>
              <w14:schemeClr w14:val="tx1"/>
            </w14:solidFill>
          </w14:textFill>
        </w:rPr>
        <w:t>密封或提交的，其投标无效！</w:t>
      </w:r>
    </w:p>
    <w:p>
      <w:pPr>
        <w:spacing w:line="340" w:lineRule="exact"/>
        <w:rPr>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4.2.</w:t>
      </w:r>
      <w:r>
        <w:rPr>
          <w:rFonts w:hint="eastAsia" w:ascii="Tahoma" w:hAnsi="Tahoma" w:cs="Tahoma"/>
          <w:b/>
          <w:bCs/>
          <w:color w:val="000000" w:themeColor="text1"/>
          <w:szCs w:val="21"/>
          <w:highlight w:val="none"/>
          <w14:textFill>
            <w14:solidFill>
              <w14:schemeClr w14:val="tx1"/>
            </w14:solidFill>
          </w14:textFill>
        </w:rPr>
        <w:t xml:space="preserve"> </w:t>
      </w:r>
      <w:r>
        <w:rPr>
          <w:b/>
          <w:bCs/>
          <w:color w:val="000000" w:themeColor="text1"/>
          <w:szCs w:val="21"/>
          <w:highlight w:val="none"/>
          <w14:textFill>
            <w14:solidFill>
              <w14:schemeClr w14:val="tx1"/>
            </w14:solidFill>
          </w14:textFill>
        </w:rPr>
        <w:t>投标文件的递交</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4.2.1</w:t>
      </w:r>
      <w:r>
        <w:rPr>
          <w:rFonts w:hint="eastAsia" w:ascii="Tahoma" w:hAnsi="Tahoma" w:cs="Tahoma"/>
          <w:color w:val="000000" w:themeColor="text1"/>
          <w:szCs w:val="21"/>
          <w:highlight w:val="none"/>
          <w14:textFill>
            <w14:solidFill>
              <w14:schemeClr w14:val="tx1"/>
            </w14:solidFill>
          </w14:textFill>
        </w:rPr>
        <w:t>投标人应当在招标文件要求提交投标文件的截止时间前，将投标文件按照上述第4.1条的规定进行密封和标记后送达投标地点。采购人或者采购代理机构收到投标文件后，应当如实记载投标文件的送达时间和密封情况，签收保存，并向投标人出具签收回执。任何单位和个人不得在开标前开启投标文件。</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4.2.2</w:t>
      </w:r>
      <w:r>
        <w:rPr>
          <w:rFonts w:ascii="Tahoma" w:hAnsi="Tahoma" w:cs="Tahoma"/>
          <w:color w:val="000000" w:themeColor="text1"/>
          <w:szCs w:val="21"/>
          <w:highlight w:val="none"/>
          <w14:textFill>
            <w14:solidFill>
              <w14:schemeClr w14:val="tx1"/>
            </w14:solidFill>
          </w14:textFill>
        </w:rPr>
        <w:t>如果未按上述规定进行密封和标记，招标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将不承担由此造成的对投标文件的误投或提前拆封的责任。</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4.2.3</w:t>
      </w:r>
      <w:r>
        <w:rPr>
          <w:rFonts w:hint="eastAsia" w:ascii="Tahoma" w:hAnsi="Tahoma" w:cs="Tahoma"/>
          <w:color w:val="000000" w:themeColor="text1"/>
          <w:szCs w:val="21"/>
          <w:highlight w:val="none"/>
          <w14:textFill>
            <w14:solidFill>
              <w14:schemeClr w14:val="tx1"/>
            </w14:solidFill>
          </w14:textFill>
        </w:rPr>
        <w:t>逾期送达或者未按照招标文件要求密封的投标文件，采购人、采购代理机构应当拒收</w:t>
      </w:r>
      <w:r>
        <w:rPr>
          <w:rFonts w:ascii="Tahoma" w:hAnsi="Tahoma" w:cs="Tahoma"/>
          <w:b/>
          <w:color w:val="000000" w:themeColor="text1"/>
          <w:szCs w:val="21"/>
          <w:highlight w:val="none"/>
          <w14:textFill>
            <w14:solidFill>
              <w14:schemeClr w14:val="tx1"/>
            </w14:solidFill>
          </w14:textFill>
        </w:rPr>
        <w:t>。</w:t>
      </w:r>
    </w:p>
    <w:p>
      <w:pPr>
        <w:shd w:val="clear" w:color="auto" w:fill="FFFFFF"/>
        <w:snapToGrid w:val="0"/>
        <w:spacing w:line="340" w:lineRule="exact"/>
        <w:rPr>
          <w:rFonts w:ascii="Tahoma" w:hAnsi="Tahoma" w:cs="Tahoma"/>
          <w:b/>
          <w:color w:val="000000" w:themeColor="text1"/>
          <w:kern w:val="0"/>
          <w:szCs w:val="21"/>
          <w:highlight w:val="none"/>
          <w14:textFill>
            <w14:solidFill>
              <w14:schemeClr w14:val="tx1"/>
            </w14:solidFill>
          </w14:textFill>
        </w:rPr>
      </w:pPr>
    </w:p>
    <w:p>
      <w:pPr>
        <w:shd w:val="clear" w:color="auto" w:fill="FFFFFF"/>
        <w:snapToGrid w:val="0"/>
        <w:spacing w:line="340" w:lineRule="exact"/>
        <w:rPr>
          <w:rFonts w:ascii="Trebuchet MS" w:hAnsi="Trebuchet MS" w:cs="宋体"/>
          <w:b/>
          <w:color w:val="000000" w:themeColor="text1"/>
          <w:kern w:val="0"/>
          <w:szCs w:val="21"/>
          <w:highlight w:val="none"/>
          <w14:textFill>
            <w14:solidFill>
              <w14:schemeClr w14:val="tx1"/>
            </w14:solidFill>
          </w14:textFill>
        </w:rPr>
      </w:pPr>
      <w:r>
        <w:rPr>
          <w:rFonts w:ascii="Tahoma" w:hAnsi="Tahoma" w:cs="Tahoma"/>
          <w:b/>
          <w:color w:val="000000" w:themeColor="text1"/>
          <w:kern w:val="0"/>
          <w:szCs w:val="21"/>
          <w:highlight w:val="none"/>
          <w14:textFill>
            <w14:solidFill>
              <w14:schemeClr w14:val="tx1"/>
            </w14:solidFill>
          </w14:textFill>
        </w:rPr>
        <w:t>4.3</w:t>
      </w:r>
      <w:r>
        <w:rPr>
          <w:rFonts w:ascii="Tahoma" w:hAnsi="Tahoma" w:cs="Tahoma"/>
          <w:b/>
          <w:bCs/>
          <w:color w:val="000000" w:themeColor="text1"/>
          <w:szCs w:val="21"/>
          <w:highlight w:val="none"/>
          <w14:textFill>
            <w14:solidFill>
              <w14:schemeClr w14:val="tx1"/>
            </w14:solidFill>
          </w14:textFill>
        </w:rPr>
        <w:t>.</w:t>
      </w:r>
      <w:r>
        <w:rPr>
          <w:rFonts w:hint="eastAsia" w:ascii="Tahoma" w:hAnsi="Tahoma" w:cs="Tahoma"/>
          <w:b/>
          <w:bCs/>
          <w:color w:val="000000" w:themeColor="text1"/>
          <w:szCs w:val="21"/>
          <w:highlight w:val="none"/>
          <w14:textFill>
            <w14:solidFill>
              <w14:schemeClr w14:val="tx1"/>
            </w14:solidFill>
          </w14:textFill>
        </w:rPr>
        <w:t xml:space="preserve"> </w:t>
      </w:r>
      <w:r>
        <w:rPr>
          <w:rFonts w:ascii="Tahoma" w:hAnsi="Tahoma" w:cs="Tahoma"/>
          <w:b/>
          <w:color w:val="000000" w:themeColor="text1"/>
          <w:kern w:val="0"/>
          <w:szCs w:val="21"/>
          <w:highlight w:val="none"/>
          <w14:textFill>
            <w14:solidFill>
              <w14:schemeClr w14:val="tx1"/>
            </w14:solidFill>
          </w14:textFill>
        </w:rPr>
        <w:t>投标文件的修改与撤回</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4.3.1</w:t>
      </w:r>
      <w:r>
        <w:rPr>
          <w:color w:val="000000" w:themeColor="text1"/>
          <w:highlight w:val="none"/>
          <w14:textFill>
            <w14:solidFill>
              <w14:schemeClr w14:val="tx1"/>
            </w14:solidFill>
          </w14:textFill>
        </w:rPr>
        <w:t>投标人在投标截止时间前，可以对所递交的投标文件进行补充、修改或者撤回，并书面通知采购人或者采购代理机构。补充、修改的内容应当按照招标文件要求签署、盖章、密封后，作为投标文件的组成部分。</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4.3.2</w:t>
      </w:r>
      <w:r>
        <w:rPr>
          <w:rFonts w:ascii="Tahoma" w:hAnsi="Tahoma" w:cs="Tahoma"/>
          <w:color w:val="000000" w:themeColor="text1"/>
          <w:szCs w:val="21"/>
          <w:highlight w:val="none"/>
          <w14:textFill>
            <w14:solidFill>
              <w14:schemeClr w14:val="tx1"/>
            </w14:solidFill>
          </w14:textFill>
        </w:rPr>
        <w:t>投标人在投标截止期后不得补充</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修改、撤回投标文件。</w:t>
      </w:r>
      <w:r>
        <w:rPr>
          <w:rFonts w:ascii="Tahoma" w:hAnsi="Tahoma" w:cs="Tahoma"/>
          <w:b/>
          <w:color w:val="000000" w:themeColor="text1"/>
          <w:szCs w:val="21"/>
          <w:highlight w:val="none"/>
          <w14:textFill>
            <w14:solidFill>
              <w14:schemeClr w14:val="tx1"/>
            </w14:solidFill>
          </w14:textFill>
        </w:rPr>
        <w:t>投标人在投标截止期后补充</w:t>
      </w:r>
      <w:r>
        <w:rPr>
          <w:rFonts w:hint="eastAsia" w:ascii="Tahoma" w:hAnsi="Tahoma" w:cs="Tahoma"/>
          <w:b/>
          <w:color w:val="000000" w:themeColor="text1"/>
          <w:szCs w:val="21"/>
          <w:highlight w:val="none"/>
          <w14:textFill>
            <w14:solidFill>
              <w14:schemeClr w14:val="tx1"/>
            </w14:solidFill>
          </w14:textFill>
        </w:rPr>
        <w:t>、</w:t>
      </w:r>
      <w:r>
        <w:rPr>
          <w:rFonts w:ascii="Tahoma" w:hAnsi="Tahoma" w:cs="Tahoma"/>
          <w:b/>
          <w:color w:val="000000" w:themeColor="text1"/>
          <w:szCs w:val="21"/>
          <w:highlight w:val="none"/>
          <w14:textFill>
            <w14:solidFill>
              <w14:schemeClr w14:val="tx1"/>
            </w14:solidFill>
          </w14:textFill>
        </w:rPr>
        <w:t>修改投标文件的，其投标</w:t>
      </w:r>
      <w:r>
        <w:rPr>
          <w:rFonts w:hint="eastAsia" w:ascii="Tahoma" w:hAnsi="Tahoma" w:cs="Tahoma"/>
          <w:b/>
          <w:color w:val="000000" w:themeColor="text1"/>
          <w:szCs w:val="21"/>
          <w:highlight w:val="none"/>
          <w14:textFill>
            <w14:solidFill>
              <w14:schemeClr w14:val="tx1"/>
            </w14:solidFill>
          </w14:textFill>
        </w:rPr>
        <w:t>无效</w:t>
      </w:r>
      <w:r>
        <w:rPr>
          <w:rFonts w:ascii="Tahoma" w:hAnsi="Tahoma" w:cs="Tahoma"/>
          <w:b/>
          <w:color w:val="000000" w:themeColor="text1"/>
          <w:szCs w:val="21"/>
          <w:highlight w:val="none"/>
          <w14:textFill>
            <w14:solidFill>
              <w14:schemeClr w14:val="tx1"/>
            </w14:solidFill>
          </w14:textFill>
        </w:rPr>
        <w:t>。</w:t>
      </w:r>
    </w:p>
    <w:p>
      <w:pPr>
        <w:spacing w:line="340" w:lineRule="exact"/>
        <w:jc w:val="center"/>
        <w:rPr>
          <w:rFonts w:ascii="Tahoma" w:hAnsi="Tahoma" w:eastAsia="黑体" w:cs="Tahoma"/>
          <w:b/>
          <w:bCs/>
          <w:color w:val="000000" w:themeColor="text1"/>
          <w:sz w:val="24"/>
          <w:highlight w:val="none"/>
          <w14:textFill>
            <w14:solidFill>
              <w14:schemeClr w14:val="tx1"/>
            </w14:solidFill>
          </w14:textFill>
        </w:rPr>
      </w:pPr>
      <w:r>
        <w:rPr>
          <w:rFonts w:ascii="Tahoma" w:hAnsi="Tahoma" w:eastAsia="黑体" w:cs="Tahoma"/>
          <w:b/>
          <w:bCs/>
          <w:color w:val="000000" w:themeColor="text1"/>
          <w:sz w:val="24"/>
          <w:highlight w:val="none"/>
          <w14:textFill>
            <w14:solidFill>
              <w14:schemeClr w14:val="tx1"/>
            </w14:solidFill>
          </w14:textFill>
        </w:rPr>
        <w:t>5、</w:t>
      </w:r>
      <w:r>
        <w:rPr>
          <w:rFonts w:ascii="Tahoma" w:hAnsi="Tahoma" w:eastAsia="黑体" w:cs="Tahoma"/>
          <w:b/>
          <w:bCs/>
          <w:color w:val="000000" w:themeColor="text1"/>
          <w:spacing w:val="8"/>
          <w:kern w:val="0"/>
          <w:sz w:val="24"/>
          <w:highlight w:val="none"/>
          <w14:textFill>
            <w14:solidFill>
              <w14:schemeClr w14:val="tx1"/>
            </w14:solidFill>
          </w14:textFill>
        </w:rPr>
        <w:t>开标</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 xml:space="preserve">5.1. </w:t>
      </w:r>
      <w:r>
        <w:rPr>
          <w:rFonts w:ascii="Tahoma" w:hAnsi="Tahoma" w:cs="Tahoma"/>
          <w:b/>
          <w:bCs/>
          <w:color w:val="000000" w:themeColor="text1"/>
          <w:szCs w:val="21"/>
          <w:highlight w:val="none"/>
          <w14:textFill>
            <w14:solidFill>
              <w14:schemeClr w14:val="tx1"/>
            </w14:solidFill>
          </w14:textFill>
        </w:rPr>
        <w:t>开标</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5.1.1 </w:t>
      </w:r>
      <w:r>
        <w:rPr>
          <w:rFonts w:ascii="Tahoma" w:hAnsi="Tahoma" w:cs="Tahoma"/>
          <w:color w:val="000000" w:themeColor="text1"/>
          <w:kern w:val="0"/>
          <w:szCs w:val="21"/>
          <w:highlight w:val="none"/>
          <w14:textFill>
            <w14:solidFill>
              <w14:schemeClr w14:val="tx1"/>
            </w14:solidFill>
          </w14:textFill>
        </w:rPr>
        <w:t>招标人按投标人须知前附表规定的时间、地点公开开标</w:t>
      </w:r>
      <w:r>
        <w:rPr>
          <w:rFonts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bCs/>
          <w:color w:val="000000" w:themeColor="text1"/>
          <w:kern w:val="0"/>
          <w:szCs w:val="21"/>
          <w:highlight w:val="none"/>
          <w14:textFill>
            <w14:solidFill>
              <w14:schemeClr w14:val="tx1"/>
            </w14:solidFill>
          </w14:textFill>
        </w:rPr>
        <w:t>5.1.2</w:t>
      </w:r>
      <w:r>
        <w:rPr>
          <w:rFonts w:ascii="Tahoma" w:hAnsi="Tahoma" w:cs="Tahoma"/>
          <w:color w:val="000000" w:themeColor="text1"/>
          <w:kern w:val="0"/>
          <w:szCs w:val="21"/>
          <w:highlight w:val="none"/>
          <w14:textFill>
            <w14:solidFill>
              <w14:schemeClr w14:val="tx1"/>
            </w14:solidFill>
          </w14:textFill>
        </w:rPr>
        <w:t>开标由</w:t>
      </w:r>
      <w:r>
        <w:rPr>
          <w:rFonts w:ascii="Tahoma" w:hAnsi="Tahoma" w:cs="Tahoma"/>
          <w:color w:val="000000" w:themeColor="text1"/>
          <w:szCs w:val="21"/>
          <w:highlight w:val="none"/>
          <w14:textFill>
            <w14:solidFill>
              <w14:schemeClr w14:val="tx1"/>
            </w14:solidFill>
          </w14:textFill>
        </w:rPr>
        <w:t>招标代理机构主持</w:t>
      </w:r>
      <w:r>
        <w:rPr>
          <w:rFonts w:ascii="Tahoma" w:hAnsi="Tahoma" w:cs="Tahoma"/>
          <w:color w:val="000000" w:themeColor="text1"/>
          <w:kern w:val="0"/>
          <w:szCs w:val="21"/>
          <w:highlight w:val="none"/>
          <w14:textFill>
            <w14:solidFill>
              <w14:schemeClr w14:val="tx1"/>
            </w14:solidFill>
          </w14:textFill>
        </w:rPr>
        <w:t>，</w:t>
      </w:r>
      <w:r>
        <w:rPr>
          <w:rFonts w:hint="eastAsia" w:ascii="Tahoma" w:hAnsi="Tahoma" w:cs="Tahoma"/>
          <w:color w:val="000000" w:themeColor="text1"/>
          <w:kern w:val="0"/>
          <w:szCs w:val="21"/>
          <w:highlight w:val="none"/>
          <w14:textFill>
            <w14:solidFill>
              <w14:schemeClr w14:val="tx1"/>
            </w14:solidFill>
          </w14:textFill>
        </w:rPr>
        <w:t>招标</w:t>
      </w:r>
      <w:r>
        <w:rPr>
          <w:rFonts w:ascii="Tahoma" w:hAnsi="Tahoma" w:cs="Tahoma"/>
          <w:color w:val="000000" w:themeColor="text1"/>
          <w:kern w:val="0"/>
          <w:szCs w:val="21"/>
          <w:highlight w:val="none"/>
          <w14:textFill>
            <w14:solidFill>
              <w14:schemeClr w14:val="tx1"/>
            </w14:solidFill>
          </w14:textFill>
        </w:rPr>
        <w:t>人、投标人和有关方面代表参加。</w:t>
      </w:r>
      <w:r>
        <w:rPr>
          <w:rFonts w:ascii="Tahoma" w:hAnsi="Tahoma" w:cs="Tahoma"/>
          <w:color w:val="000000" w:themeColor="text1"/>
          <w:szCs w:val="21"/>
          <w:highlight w:val="none"/>
          <w14:textFill>
            <w14:solidFill>
              <w14:schemeClr w14:val="tx1"/>
            </w14:solidFill>
          </w14:textFill>
        </w:rPr>
        <w:t>所有投标人应派授权代表参加开标会，并签到。</w:t>
      </w:r>
    </w:p>
    <w:p>
      <w:pPr>
        <w:spacing w:line="340" w:lineRule="exact"/>
        <w:rPr>
          <w:color w:val="000000" w:themeColor="text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5.1.3</w:t>
      </w:r>
      <w:r>
        <w:rPr>
          <w:rFonts w:ascii="Tahoma" w:hAnsi="Tahoma" w:cs="Tahoma"/>
          <w:color w:val="000000" w:themeColor="text1"/>
          <w:kern w:val="0"/>
          <w:szCs w:val="21"/>
          <w:highlight w:val="none"/>
          <w14:textFill>
            <w14:solidFill>
              <w14:schemeClr w14:val="tx1"/>
            </w14:solidFill>
          </w14:textFill>
        </w:rPr>
        <w:t>开标时，</w:t>
      </w:r>
      <w:r>
        <w:rPr>
          <w:color w:val="000000" w:themeColor="text1"/>
          <w:highlight w:val="none"/>
          <w14:textFill>
            <w14:solidFill>
              <w14:schemeClr w14:val="tx1"/>
            </w14:solidFill>
          </w14:textFill>
        </w:rPr>
        <w:t>应当由投标人或者其推选的代表检查投标文件的密封情况；经确认无误后，由采购人或者采购代理机构工作人员当众拆封，宣布投标人名称、投标价格和招标文件规定的需要宣布的其他内容。投标人</w:t>
      </w:r>
      <w:r>
        <w:rPr>
          <w:rFonts w:ascii="Tahoma" w:cs="Tahoma"/>
          <w:color w:val="000000" w:themeColor="text1"/>
          <w:highlight w:val="none"/>
          <w14:textFill>
            <w14:solidFill>
              <w14:schemeClr w14:val="tx1"/>
            </w14:solidFill>
          </w14:textFill>
        </w:rPr>
        <w:t>不足</w:t>
      </w:r>
      <w:r>
        <w:rPr>
          <w:rFonts w:ascii="Tahoma" w:hAnsi="Tahoma" w:cs="Tahoma"/>
          <w:color w:val="000000" w:themeColor="text1"/>
          <w:highlight w:val="none"/>
          <w14:textFill>
            <w14:solidFill>
              <w14:schemeClr w14:val="tx1"/>
            </w14:solidFill>
          </w14:textFill>
        </w:rPr>
        <w:t>3</w:t>
      </w:r>
      <w:r>
        <w:rPr>
          <w:rFonts w:ascii="Tahoma" w:cs="Tahoma"/>
          <w:color w:val="000000" w:themeColor="text1"/>
          <w:highlight w:val="none"/>
          <w14:textFill>
            <w14:solidFill>
              <w14:schemeClr w14:val="tx1"/>
            </w14:solidFill>
          </w14:textFill>
        </w:rPr>
        <w:t>家的，不得开标。</w:t>
      </w:r>
    </w:p>
    <w:p>
      <w:pPr>
        <w:spacing w:line="340" w:lineRule="exact"/>
        <w:rPr>
          <w:rFonts w:ascii="Tahoma" w:cs="Tahoma"/>
          <w:color w:val="000000" w:themeColor="text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5.1.4</w:t>
      </w:r>
      <w:r>
        <w:rPr>
          <w:rFonts w:ascii="Tahoma" w:hAnsi="Tahoma" w:cs="Tahoma"/>
          <w:color w:val="000000" w:themeColor="text1"/>
          <w:kern w:val="0"/>
          <w:szCs w:val="21"/>
          <w:highlight w:val="none"/>
          <w14:textFill>
            <w14:solidFill>
              <w14:schemeClr w14:val="tx1"/>
            </w14:solidFill>
          </w14:textFill>
        </w:rPr>
        <w:t>开标时</w:t>
      </w:r>
      <w:r>
        <w:rPr>
          <w:rFonts w:hint="eastAsia" w:ascii="Tahoma" w:hAnsi="Tahoma" w:cs="Tahoma"/>
          <w:color w:val="000000" w:themeColor="text1"/>
          <w:kern w:val="0"/>
          <w:szCs w:val="21"/>
          <w:highlight w:val="none"/>
          <w14:textFill>
            <w14:solidFill>
              <w14:schemeClr w14:val="tx1"/>
            </w14:solidFill>
          </w14:textFill>
        </w:rPr>
        <w:t>，</w:t>
      </w:r>
      <w:r>
        <w:rPr>
          <w:rFonts w:hint="eastAsia" w:ascii="宋体" w:hAnsi="宋体" w:cs="Tahoma"/>
          <w:color w:val="000000" w:themeColor="text1"/>
          <w:kern w:val="0"/>
          <w:szCs w:val="21"/>
          <w:highlight w:val="none"/>
          <w14:textFill>
            <w14:solidFill>
              <w14:schemeClr w14:val="tx1"/>
            </w14:solidFill>
          </w14:textFill>
        </w:rPr>
        <w:t xml:space="preserve">投标文件中投标报价（报价表）内容与投标文件中明细表内容不一致的，以投标报价（报价表）为准。 </w:t>
      </w:r>
    </w:p>
    <w:p>
      <w:pPr>
        <w:spacing w:line="340" w:lineRule="exact"/>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5.1.5</w:t>
      </w:r>
      <w:r>
        <w:rPr>
          <w:color w:val="000000" w:themeColor="text1"/>
          <w:highlight w:val="none"/>
          <w14:textFill>
            <w14:solidFill>
              <w14:schemeClr w14:val="tx1"/>
            </w14:solidFill>
          </w14:textFill>
        </w:rPr>
        <w:t>开标过程应当由采购人或者采购代理机构负责记录，由参加开标的各投标人代表和相关工作人员签字确认后随采购文件一并存档</w:t>
      </w:r>
      <w:r>
        <w:rPr>
          <w:rFonts w:ascii="Tahoma" w:hAnsi="Tahoma" w:cs="Tahoma"/>
          <w:color w:val="000000" w:themeColor="text1"/>
          <w:kern w:val="0"/>
          <w:szCs w:val="21"/>
          <w:highlight w:val="none"/>
          <w14:textFill>
            <w14:solidFill>
              <w14:schemeClr w14:val="tx1"/>
            </w14:solidFill>
          </w14:textFill>
        </w:rPr>
        <w:t xml:space="preserve">。 </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5.1.6</w:t>
      </w:r>
      <w:r>
        <w:rPr>
          <w:color w:val="000000" w:themeColor="text1"/>
          <w:highlight w:val="none"/>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5.1.7</w:t>
      </w:r>
      <w:r>
        <w:rPr>
          <w:color w:val="000000" w:themeColor="text1"/>
          <w:highlight w:val="none"/>
          <w14:textFill>
            <w14:solidFill>
              <w14:schemeClr w14:val="tx1"/>
            </w14:solidFill>
          </w14:textFill>
        </w:rPr>
        <w:t>投标人未参加开标的，视同认可开标结果</w:t>
      </w:r>
      <w:r>
        <w:rPr>
          <w:rFonts w:hint="eastAsia" w:ascii="宋体" w:hAnsi="宋体" w:cs="Tahoma"/>
          <w:color w:val="000000" w:themeColor="text1"/>
          <w:szCs w:val="21"/>
          <w:highlight w:val="none"/>
          <w14:textFill>
            <w14:solidFill>
              <w14:schemeClr w14:val="tx1"/>
            </w14:solidFill>
          </w14:textFill>
        </w:rPr>
        <w:t>。</w:t>
      </w:r>
    </w:p>
    <w:p>
      <w:pPr>
        <w:spacing w:line="340" w:lineRule="exact"/>
        <w:jc w:val="center"/>
        <w:rPr>
          <w:rFonts w:ascii="Tahoma" w:hAnsi="Tahoma" w:cs="Tahoma"/>
          <w:color w:val="000000" w:themeColor="text1"/>
          <w:sz w:val="24"/>
          <w:highlight w:val="none"/>
          <w14:textFill>
            <w14:solidFill>
              <w14:schemeClr w14:val="tx1"/>
            </w14:solidFill>
          </w14:textFill>
        </w:rPr>
      </w:pPr>
      <w:r>
        <w:rPr>
          <w:rFonts w:ascii="Tahoma" w:hAnsi="Tahoma" w:cs="Tahoma"/>
          <w:b/>
          <w:bCs/>
          <w:color w:val="000000" w:themeColor="text1"/>
          <w:sz w:val="24"/>
          <w:highlight w:val="none"/>
          <w14:textFill>
            <w14:solidFill>
              <w14:schemeClr w14:val="tx1"/>
            </w14:solidFill>
          </w14:textFill>
        </w:rPr>
        <w:t>6、</w:t>
      </w:r>
      <w:r>
        <w:rPr>
          <w:rFonts w:ascii="Tahoma" w:hAnsi="Tahoma" w:eastAsia="黑体" w:cs="Tahoma"/>
          <w:b/>
          <w:bCs/>
          <w:color w:val="000000" w:themeColor="text1"/>
          <w:sz w:val="24"/>
          <w:highlight w:val="none"/>
          <w14:textFill>
            <w14:solidFill>
              <w14:schemeClr w14:val="tx1"/>
            </w14:solidFill>
          </w14:textFill>
        </w:rPr>
        <w:t>评标</w:t>
      </w:r>
    </w:p>
    <w:p>
      <w:pPr>
        <w:spacing w:line="34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6.1</w:t>
      </w:r>
      <w:r>
        <w:rPr>
          <w:rFonts w:ascii="Tahoma" w:hAnsi="Tahoma" w:cs="Tahoma"/>
          <w:b/>
          <w:bCs/>
          <w:color w:val="000000" w:themeColor="text1"/>
          <w:szCs w:val="21"/>
          <w:highlight w:val="none"/>
          <w14:textFill>
            <w14:solidFill>
              <w14:schemeClr w14:val="tx1"/>
            </w14:solidFill>
          </w14:textFill>
        </w:rPr>
        <w:t>．评标委员会</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6.1.1</w:t>
      </w:r>
      <w:r>
        <w:rPr>
          <w:rFonts w:ascii="Tahoma" w:hAnsi="Tahoma" w:cs="Tahoma"/>
          <w:color w:val="000000" w:themeColor="text1"/>
          <w:szCs w:val="21"/>
          <w:highlight w:val="none"/>
          <w14:textFill>
            <w14:solidFill>
              <w14:schemeClr w14:val="tx1"/>
            </w14:solidFill>
          </w14:textFill>
        </w:rPr>
        <w:t>招标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依法组建评标委员会。</w:t>
      </w:r>
      <w:r>
        <w:rPr>
          <w:rFonts w:ascii="Arial" w:hAnsi="Arial" w:cs="Arial"/>
          <w:bCs/>
          <w:color w:val="000000" w:themeColor="text1"/>
          <w:kern w:val="0"/>
          <w:szCs w:val="21"/>
          <w:highlight w:val="none"/>
          <w14:textFill>
            <w14:solidFill>
              <w14:schemeClr w14:val="tx1"/>
            </w14:solidFill>
          </w14:textFill>
        </w:rPr>
        <w:t>评标委员会由采购人代表和有关技术、经济等方面的专家组成，成员人数应当为</w:t>
      </w:r>
      <w:r>
        <w:rPr>
          <w:rFonts w:hint="eastAsia" w:ascii="Arial" w:hAnsi="Arial" w:cs="Arial"/>
          <w:bCs/>
          <w:color w:val="000000" w:themeColor="text1"/>
          <w:kern w:val="0"/>
          <w:szCs w:val="21"/>
          <w:highlight w:val="none"/>
          <w:u w:val="single"/>
          <w14:textFill>
            <w14:solidFill>
              <w14:schemeClr w14:val="tx1"/>
            </w14:solidFill>
          </w14:textFill>
        </w:rPr>
        <w:t xml:space="preserve"> </w:t>
      </w:r>
      <w:r>
        <w:rPr>
          <w:rFonts w:ascii="Tahoma" w:hAnsi="Tahoma" w:cs="Tahoma"/>
          <w:bCs/>
          <w:color w:val="000000" w:themeColor="text1"/>
          <w:kern w:val="0"/>
          <w:szCs w:val="21"/>
          <w:highlight w:val="none"/>
          <w:u w:val="single"/>
          <w14:textFill>
            <w14:solidFill>
              <w14:schemeClr w14:val="tx1"/>
            </w14:solidFill>
          </w14:textFill>
        </w:rPr>
        <w:t>5</w:t>
      </w:r>
      <w:r>
        <w:rPr>
          <w:rFonts w:ascii="Arial" w:hAnsi="Arial" w:cs="Arial"/>
          <w:bCs/>
          <w:color w:val="000000" w:themeColor="text1"/>
          <w:kern w:val="0"/>
          <w:szCs w:val="21"/>
          <w:highlight w:val="none"/>
          <w14:textFill>
            <w14:solidFill>
              <w14:schemeClr w14:val="tx1"/>
            </w14:solidFill>
          </w14:textFill>
        </w:rPr>
        <w:t>人以上单数</w:t>
      </w:r>
      <w:r>
        <w:rPr>
          <w:rFonts w:hint="eastAsia" w:ascii="Arial" w:hAnsi="Arial" w:cs="Arial"/>
          <w:bCs/>
          <w:color w:val="000000" w:themeColor="text1"/>
          <w:kern w:val="0"/>
          <w:szCs w:val="21"/>
          <w:highlight w:val="none"/>
          <w14:textFill>
            <w14:solidFill>
              <w14:schemeClr w14:val="tx1"/>
            </w14:solidFill>
          </w14:textFill>
        </w:rPr>
        <w:t>，</w:t>
      </w:r>
      <w:r>
        <w:rPr>
          <w:rFonts w:ascii="Arial" w:hAnsi="Arial" w:cs="Arial"/>
          <w:bCs/>
          <w:color w:val="000000" w:themeColor="text1"/>
          <w:kern w:val="0"/>
          <w:szCs w:val="21"/>
          <w:highlight w:val="none"/>
          <w14:textFill>
            <w14:solidFill>
              <w14:schemeClr w14:val="tx1"/>
            </w14:solidFill>
          </w14:textFill>
        </w:rPr>
        <w:t>其中，技术、经济等方面的专家不得少于成员总数的</w:t>
      </w:r>
      <w:r>
        <w:rPr>
          <w:rFonts w:ascii="Tahoma" w:hAnsi="Tahoma" w:cs="Tahoma"/>
          <w:bCs/>
          <w:color w:val="000000" w:themeColor="text1"/>
          <w:kern w:val="0"/>
          <w:szCs w:val="21"/>
          <w:highlight w:val="none"/>
          <w14:textFill>
            <w14:solidFill>
              <w14:schemeClr w14:val="tx1"/>
            </w14:solidFill>
          </w14:textFill>
        </w:rPr>
        <w:t>2/3</w:t>
      </w:r>
      <w:r>
        <w:rPr>
          <w:rFonts w:hint="eastAsia" w:ascii="Arial" w:hAnsi="Arial" w:cs="Arial"/>
          <w:bCs/>
          <w:color w:val="000000" w:themeColor="text1"/>
          <w:kern w:val="0"/>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并</w:t>
      </w:r>
      <w:r>
        <w:rPr>
          <w:rFonts w:ascii="Tahoma" w:hAnsi="Tahoma" w:cs="Tahoma"/>
          <w:color w:val="000000" w:themeColor="text1"/>
          <w:szCs w:val="21"/>
          <w:highlight w:val="none"/>
          <w14:textFill>
            <w14:solidFill>
              <w14:schemeClr w14:val="tx1"/>
            </w14:solidFill>
          </w14:textFill>
        </w:rPr>
        <w:t>对投标文件进行审查、评估和比较，并做出授予合同的建议。</w:t>
      </w:r>
    </w:p>
    <w:p>
      <w:pPr>
        <w:spacing w:line="340" w:lineRule="exact"/>
        <w:rPr>
          <w:rFonts w:ascii="Arial" w:hAnsi="Arial" w:cs="Arial"/>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6.1.2在评标工作开始前，由采购人或者采购代理机构负责：核对评审专家身份和采购人代表授权函； 宣布评标纪律；告知评审专家应当回避的情形；组织评标委员会推选评标组长，采购人代表不得担任组长。</w:t>
      </w:r>
      <w:r>
        <w:rPr>
          <w:rFonts w:ascii="Arial" w:hAnsi="Arial" w:cs="Arial"/>
          <w:color w:val="000000" w:themeColor="text1"/>
          <w:kern w:val="0"/>
          <w:szCs w:val="21"/>
          <w:highlight w:val="none"/>
          <w14:textFill>
            <w14:solidFill>
              <w14:schemeClr w14:val="tx1"/>
            </w14:solidFill>
          </w14:textFill>
        </w:rPr>
        <w:t xml:space="preserve"> </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6.1.3</w:t>
      </w:r>
      <w:r>
        <w:rPr>
          <w:rFonts w:hint="eastAsia" w:ascii="Tahoma" w:hAnsi="Tahoma" w:cs="Tahoma"/>
          <w:color w:val="000000" w:themeColor="text1"/>
          <w:szCs w:val="21"/>
          <w:highlight w:val="none"/>
          <w14:textFill>
            <w14:solidFill>
              <w14:schemeClr w14:val="tx1"/>
            </w14:solidFill>
          </w14:textFill>
        </w:rPr>
        <w:t>采购人</w:t>
      </w:r>
      <w:r>
        <w:rPr>
          <w:rFonts w:ascii="Tahoma" w:hAnsi="Tahoma" w:cs="Tahoma"/>
          <w:color w:val="000000" w:themeColor="text1"/>
          <w:kern w:val="0"/>
          <w:szCs w:val="21"/>
          <w:highlight w:val="none"/>
          <w14:textFill>
            <w14:solidFill>
              <w14:schemeClr w14:val="tx1"/>
            </w14:solidFill>
          </w14:textFill>
        </w:rPr>
        <w:t xml:space="preserve">就招标文件征询过意见的专家，不得再作为评标专家参加评标。招标人不得以专家身份参与本部门或者本项目的评标。招标代理机构工作人员不得参加由本机构代理的招标项目的评标。 </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6.1.4评标委员会成员应当履行下列义务：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（一）遵纪守法，客观、公正、廉洁地履行职责；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（二）按照招标文件规定的评标方法和评标标准进行评标，对评审意见承担个人责任；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（三）对评标过程和结果，以及供应商的商业秘密保密；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（四）参与评标报告的起草；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（五）配合有关部门的投诉处理工作； </w:t>
      </w:r>
    </w:p>
    <w:p>
      <w:pPr>
        <w:spacing w:line="340" w:lineRule="exact"/>
        <w:ind w:firstLine="105" w:firstLineChars="5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（六）配合招标单位答复投标供应商提出的质疑。 </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6.2．评标</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6.2.1本项目评标办法根据</w:t>
      </w:r>
      <w:r>
        <w:rPr>
          <w:rFonts w:ascii="Tahoma" w:hAnsi="Tahoma" w:cs="Tahoma"/>
          <w:color w:val="000000" w:themeColor="text1"/>
          <w:kern w:val="0"/>
          <w:szCs w:val="21"/>
          <w:highlight w:val="none"/>
          <w14:textFill>
            <w14:solidFill>
              <w14:schemeClr w14:val="tx1"/>
            </w14:solidFill>
          </w14:textFill>
        </w:rPr>
        <w:t>《政府采购货物和服务招标投标管理办法》（中华人民共和国财政部令第87号）</w:t>
      </w:r>
      <w:r>
        <w:rPr>
          <w:rFonts w:ascii="Tahoma" w:hAnsi="Tahoma" w:cs="Tahoma"/>
          <w:color w:val="000000" w:themeColor="text1"/>
          <w:szCs w:val="21"/>
          <w:highlight w:val="none"/>
          <w14:textFill>
            <w14:solidFill>
              <w14:schemeClr w14:val="tx1"/>
            </w14:solidFill>
          </w14:textFill>
        </w:rPr>
        <w:t>规定的评审标准，评标办法（详见第</w:t>
      </w:r>
      <w:r>
        <w:rPr>
          <w:rFonts w:hint="eastAsia" w:ascii="Tahoma" w:hAnsi="Tahoma" w:cs="Tahoma"/>
          <w:color w:val="000000" w:themeColor="text1"/>
          <w:szCs w:val="21"/>
          <w:highlight w:val="none"/>
          <w14:textFill>
            <w14:solidFill>
              <w14:schemeClr w14:val="tx1"/>
            </w14:solidFill>
          </w14:textFill>
        </w:rPr>
        <w:t>三</w:t>
      </w:r>
      <w:r>
        <w:rPr>
          <w:rFonts w:ascii="Tahoma" w:hAnsi="Tahoma" w:cs="Tahoma"/>
          <w:color w:val="000000" w:themeColor="text1"/>
          <w:szCs w:val="21"/>
          <w:highlight w:val="none"/>
          <w14:textFill>
            <w14:solidFill>
              <w14:schemeClr w14:val="tx1"/>
            </w14:solidFill>
          </w14:textFill>
        </w:rPr>
        <w:t>章）。</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6.2.2对所有投标人的评估，都采用相同的程序和招标文件规定的评审标准。评议过程将严格按照招标文件规定的评标办法和标准进行。</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6.2.3有关投标文件的审查、澄清、评估和比较以及推荐中标候选人的一切情况都不得透露给任一投标人或与上述评标工作无关的人员。</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6.2.4投标人任何试图影响评委会对投标文件的评估、比较或者推荐候选人的行为，都将导致其投标被拒绝，并被没收投标保证金。</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6.3. 投标文件的初审</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6.3.1评委会将对投标文件进行检查，以确定投标文件是否完整、有无计算上的错误、是否提交了投标保证金、文件是否已正确签署。 </w:t>
      </w:r>
    </w:p>
    <w:p>
      <w:pPr>
        <w:spacing w:line="34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 xml:space="preserve">6.4.资格性检查和符合性检查 </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其投标无效。</w:t>
      </w:r>
    </w:p>
    <w:p>
      <w:pPr>
        <w:snapToGrid w:val="0"/>
        <w:spacing w:line="340" w:lineRule="exact"/>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6.4.2</w:t>
      </w:r>
      <w:r>
        <w:rPr>
          <w:rFonts w:ascii="Tahoma" w:hAnsi="Tahoma" w:cs="Tahoma"/>
          <w:color w:val="000000" w:themeColor="text1"/>
          <w:szCs w:val="21"/>
          <w:highlight w:val="none"/>
          <w14:textFill>
            <w14:solidFill>
              <w14:schemeClr w14:val="tx1"/>
            </w14:solidFill>
          </w14:textFill>
        </w:rPr>
        <w:t>符合性检查</w:t>
      </w:r>
      <w:r>
        <w:rPr>
          <w:rFonts w:hint="eastAsia"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由评标委员会依据有关法律、法规及招标文件的要求，对</w:t>
      </w:r>
      <w:r>
        <w:rPr>
          <w:color w:val="000000" w:themeColor="text1"/>
          <w:highlight w:val="none"/>
          <w14:textFill>
            <w14:solidFill>
              <w14:schemeClr w14:val="tx1"/>
            </w14:solidFill>
          </w14:textFill>
        </w:rPr>
        <w:t>对符合资格的投标人的投标文件进行符合性审查，以确定其是否满足招标文件的实质性要求</w:t>
      </w:r>
      <w:r>
        <w:rPr>
          <w:rFonts w:hint="eastAsia"/>
          <w:color w:val="000000" w:themeColor="text1"/>
          <w:highlight w:val="none"/>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只有通过</w:t>
      </w:r>
      <w:r>
        <w:rPr>
          <w:color w:val="000000" w:themeColor="text1"/>
          <w:highlight w:val="none"/>
          <w14:textFill>
            <w14:solidFill>
              <w14:schemeClr w14:val="tx1"/>
            </w14:solidFill>
          </w14:textFill>
        </w:rPr>
        <w:t>符合性</w:t>
      </w:r>
      <w:r>
        <w:rPr>
          <w:rFonts w:hint="eastAsia" w:ascii="Tahoma" w:hAnsi="Tahoma" w:cs="Tahoma"/>
          <w:color w:val="000000" w:themeColor="text1"/>
          <w:highlight w:val="none"/>
          <w14:textFill>
            <w14:solidFill>
              <w14:schemeClr w14:val="tx1"/>
            </w14:solidFill>
          </w14:textFill>
        </w:rPr>
        <w:t>审查的</w:t>
      </w:r>
      <w:r>
        <w:rPr>
          <w:color w:val="000000" w:themeColor="text1"/>
          <w:highlight w:val="none"/>
          <w14:textFill>
            <w14:solidFill>
              <w14:schemeClr w14:val="tx1"/>
            </w14:solidFill>
          </w14:textFill>
        </w:rPr>
        <w:t>投标人的投标文件</w:t>
      </w:r>
      <w:r>
        <w:rPr>
          <w:rFonts w:hint="eastAsia" w:ascii="Tahoma" w:hAnsi="Tahoma" w:cs="Tahoma"/>
          <w:color w:val="000000" w:themeColor="text1"/>
          <w:highlight w:val="none"/>
          <w14:textFill>
            <w14:solidFill>
              <w14:schemeClr w14:val="tx1"/>
            </w14:solidFill>
          </w14:textFill>
        </w:rPr>
        <w:t>才能进入下一阶段的评审！</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6.4.3</w:t>
      </w:r>
      <w:r>
        <w:rPr>
          <w:b/>
          <w:color w:val="000000" w:themeColor="text1"/>
          <w:highlight w:val="none"/>
          <w14:textFill>
            <w14:solidFill>
              <w14:schemeClr w14:val="tx1"/>
            </w14:solidFill>
          </w14:textFill>
        </w:rPr>
        <w:t>投标人存在下列情况之一的</w:t>
      </w:r>
      <w:r>
        <w:rPr>
          <w:rFonts w:ascii="Tahoma" w:hAnsi="Tahoma" w:cs="Tahoma"/>
          <w:b/>
          <w:color w:val="000000" w:themeColor="text1"/>
          <w:highlight w:val="none"/>
          <w14:textFill>
            <w14:solidFill>
              <w14:schemeClr w14:val="tx1"/>
            </w14:solidFill>
          </w14:textFill>
        </w:rPr>
        <w:t>，投标文件将被视为未实质性响应招标文件要求</w:t>
      </w:r>
      <w:r>
        <w:rPr>
          <w:rFonts w:hint="eastAsia" w:ascii="Tahoma" w:hAnsi="Tahoma" w:cs="Tahoma"/>
          <w:b/>
          <w:color w:val="000000" w:themeColor="text1"/>
          <w:highlight w:val="none"/>
          <w14:textFill>
            <w14:solidFill>
              <w14:schemeClr w14:val="tx1"/>
            </w14:solidFill>
          </w14:textFill>
        </w:rPr>
        <w:t>，</w:t>
      </w:r>
      <w:r>
        <w:rPr>
          <w:rFonts w:ascii="Tahoma" w:hAnsi="Tahoma" w:cs="Tahoma"/>
          <w:b/>
          <w:color w:val="000000" w:themeColor="text1"/>
          <w:highlight w:val="none"/>
          <w14:textFill>
            <w14:solidFill>
              <w14:schemeClr w14:val="tx1"/>
            </w14:solidFill>
          </w14:textFill>
        </w:rPr>
        <w:t>其投标无效</w:t>
      </w:r>
      <w:r>
        <w:rPr>
          <w:rFonts w:hint="eastAsia" w:ascii="Tahoma" w:hAnsi="Tahoma" w:cs="Tahoma"/>
          <w:b/>
          <w:color w:val="000000" w:themeColor="text1"/>
          <w:highlight w:val="none"/>
          <w14:textFill>
            <w14:solidFill>
              <w14:schemeClr w14:val="tx1"/>
            </w14:solidFill>
          </w14:textFill>
        </w:rPr>
        <w:t>：</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（1）不具备招标文件中规定的资格要求的，或投标文件中提供的资格证明文件与原件不一致的；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（2）投标文件未按招标文件规定进行装订、密封、标记的；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（3）投标文件未按招标文件要求签署、盖章的；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（4）未按照招标文件的规定提交投标保证金的；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（5）投标文件含有采购人不能接受的附加条件的；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（6）投标有效期不满足招标文件要求的；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（7）报价超过招标文件中规定的预算金额或者最高限价的；或提供的报价是可供选择的（不是唯一报价）；</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（8）供应商未进行分项报价或分项报价的构成未能准确全部反映产品价格组成或有所隐含，有可能致使在合同履行过程中引起纠纷（非正常的追加或索赔等）或不能诚信履约的；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（9）投标文件的内容与采购内容及要求（质量要求、交货期、付款方式等）有重大偏离或保留的；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（10）存在财政部令第87号文第三十七条规定串通投标的情形之一的；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（11）投标文件的内容组成不符合招标文件要求的；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（12）投标文件中提供虚假或失实资料的；</w:t>
      </w:r>
    </w:p>
    <w:p>
      <w:pPr>
        <w:spacing w:line="340" w:lineRule="exact"/>
        <w:ind w:firstLine="210" w:firstLineChars="10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（13）法律、法规和招标文件规定的其他无效情形。</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6.4.4评标委员会判断投标文件的响应性仅基于投标文件本身而不靠外部证据。</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6.4.5评标委员会将拒绝被确定为非实质性响应的投标，投标人不能通过修正或撤销不符之处而使其投标成为实质性响应的投标。</w:t>
      </w:r>
    </w:p>
    <w:p>
      <w:pPr>
        <w:spacing w:line="340" w:lineRule="exact"/>
        <w:rPr>
          <w:color w:val="000000" w:themeColor="text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6.5.2</w:t>
      </w:r>
      <w:r>
        <w:rPr>
          <w:color w:val="000000" w:themeColor="text1"/>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3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6.5.3</w:t>
      </w:r>
      <w:r>
        <w:rPr>
          <w:color w:val="000000" w:themeColor="text1"/>
          <w:highlight w:val="none"/>
          <w14:textFill>
            <w14:solidFill>
              <w14:schemeClr w14:val="tx1"/>
            </w14:solidFill>
          </w14:textFill>
        </w:rPr>
        <w:t>投标文件报价出现前后不一致的，除招标文件另有规定外，按照下列规定修正：</w:t>
      </w:r>
    </w:p>
    <w:p>
      <w:pPr>
        <w:spacing w:line="340" w:lineRule="exact"/>
        <w:ind w:left="1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（一）投标文件中</w:t>
      </w:r>
      <w:r>
        <w:rPr>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（报价表）内容与投标文件中相应内容不一致的，以</w:t>
      </w:r>
      <w:r>
        <w:rPr>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（报价表）为准；</w:t>
      </w:r>
    </w:p>
    <w:p>
      <w:pPr>
        <w:spacing w:line="340" w:lineRule="exact"/>
        <w:ind w:left="1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（二）大写金额和小写金额不一致的，以大写金额为准；</w:t>
      </w:r>
    </w:p>
    <w:p>
      <w:pPr>
        <w:spacing w:line="340" w:lineRule="exact"/>
        <w:ind w:left="1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（三）单价金额小数点或者百分比有明显错位的，以</w:t>
      </w:r>
      <w:r>
        <w:rPr>
          <w:rFonts w:hint="eastAsia"/>
          <w:color w:val="000000" w:themeColor="text1"/>
          <w:highlight w:val="none"/>
          <w14:textFill>
            <w14:solidFill>
              <w14:schemeClr w14:val="tx1"/>
            </w14:solidFill>
          </w14:textFill>
        </w:rPr>
        <w:t>投标报价</w:t>
      </w:r>
      <w:r>
        <w:rPr>
          <w:color w:val="000000" w:themeColor="text1"/>
          <w:highlight w:val="none"/>
          <w14:textFill>
            <w14:solidFill>
              <w14:schemeClr w14:val="tx1"/>
            </w14:solidFill>
          </w14:textFill>
        </w:rPr>
        <w:t>的总价为准，并修改单价；</w:t>
      </w:r>
    </w:p>
    <w:p>
      <w:pPr>
        <w:spacing w:line="340" w:lineRule="exact"/>
        <w:ind w:left="1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（四）总价金额与按单价汇总金额不一致的，以单价金额计算结果为准。</w:t>
      </w:r>
    </w:p>
    <w:p>
      <w:pPr>
        <w:spacing w:line="340" w:lineRule="exact"/>
        <w:ind w:left="160"/>
        <w:rPr>
          <w:rFonts w:ascii="Tahoma" w:hAnsi="Tahoma" w:cs="Tahom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同时出现两种以上不一致的，按照前款规定的顺序修正。修正后的报价按</w:t>
      </w:r>
      <w:r>
        <w:rPr>
          <w:rFonts w:hint="eastAsia"/>
          <w:color w:val="000000" w:themeColor="text1"/>
          <w:highlight w:val="none"/>
          <w14:textFill>
            <w14:solidFill>
              <w14:schemeClr w14:val="tx1"/>
            </w14:solidFill>
          </w14:textFill>
        </w:rPr>
        <w:t>照本</w:t>
      </w:r>
      <w:r>
        <w:rPr>
          <w:color w:val="000000" w:themeColor="text1"/>
          <w:highlight w:val="none"/>
          <w14:textFill>
            <w14:solidFill>
              <w14:schemeClr w14:val="tx1"/>
            </w14:solidFill>
          </w14:textFill>
        </w:rPr>
        <w:t>章</w:t>
      </w:r>
      <w:r>
        <w:rPr>
          <w:rFonts w:ascii="Tahoma" w:cs="Tahoma"/>
          <w:color w:val="000000" w:themeColor="text1"/>
          <w:highlight w:val="none"/>
          <w14:textFill>
            <w14:solidFill>
              <w14:schemeClr w14:val="tx1"/>
            </w14:solidFill>
          </w14:textFill>
        </w:rPr>
        <w:t>第</w:t>
      </w:r>
      <w:r>
        <w:rPr>
          <w:rFonts w:ascii="Tahoma" w:hAnsi="Tahoma" w:cs="Tahoma"/>
          <w:color w:val="000000" w:themeColor="text1"/>
          <w:highlight w:val="none"/>
          <w14:textFill>
            <w14:solidFill>
              <w14:schemeClr w14:val="tx1"/>
            </w14:solidFill>
          </w14:textFill>
        </w:rPr>
        <w:t>6.5.2</w:t>
      </w:r>
      <w:r>
        <w:rPr>
          <w:color w:val="000000" w:themeColor="text1"/>
          <w:highlight w:val="none"/>
          <w14:textFill>
            <w14:solidFill>
              <w14:schemeClr w14:val="tx1"/>
            </w14:solidFill>
          </w14:textFill>
        </w:rPr>
        <w:t>条第二款的规定经投标人确认后产生约束力，</w:t>
      </w:r>
      <w:r>
        <w:rPr>
          <w:b/>
          <w:color w:val="000000" w:themeColor="text1"/>
          <w:highlight w:val="none"/>
          <w14:textFill>
            <w14:solidFill>
              <w14:schemeClr w14:val="tx1"/>
            </w14:solidFill>
          </w14:textFill>
        </w:rPr>
        <w:t>投标人不确认的，其投标无效。</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6.6. 比较与评价</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6.6.1</w:t>
      </w:r>
      <w:r>
        <w:rPr>
          <w:color w:val="000000" w:themeColor="text1"/>
          <w:highlight w:val="none"/>
          <w14:textFill>
            <w14:solidFill>
              <w14:schemeClr w14:val="tx1"/>
            </w14:solidFill>
          </w14:textFill>
        </w:rPr>
        <w:t>评标委员会按照招标文件中规定的评标方法和标准，对符合性审查合格的投标文件进行商务和技术评估，综合比较与评价</w:t>
      </w:r>
      <w:r>
        <w:rPr>
          <w:rFonts w:ascii="Tahoma" w:hAnsi="Tahoma" w:cs="Tahoma"/>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评价投标文件是否符合招标文件的商务、技术等实质性要求</w:t>
      </w:r>
      <w:r>
        <w:rPr>
          <w:rFonts w:hint="eastAsia"/>
          <w:color w:val="000000" w:themeColor="text1"/>
          <w:highlight w:val="none"/>
          <w14:textFill>
            <w14:solidFill>
              <w14:schemeClr w14:val="tx1"/>
            </w14:solidFill>
          </w14:textFill>
        </w:rPr>
        <w:t>。</w:t>
      </w:r>
    </w:p>
    <w:p>
      <w:pPr>
        <w:spacing w:line="340" w:lineRule="exact"/>
        <w:rPr>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6.6.2</w:t>
      </w:r>
      <w:r>
        <w:rPr>
          <w:rFonts w:hint="eastAsia" w:ascii="Tahoma" w:cs="Tahoma"/>
          <w:color w:val="000000" w:themeColor="text1"/>
          <w:highlight w:val="none"/>
          <w14:textFill>
            <w14:solidFill>
              <w14:schemeClr w14:val="tx1"/>
            </w14:solidFill>
          </w14:textFill>
        </w:rPr>
        <w:t>评标委员会按招标文件规定的评审因素和量化指标由评标委员会采用综合评分法对投标文件进行综合评分。评审时，各成员应当独立对每个全部实质性响应的投标文件进行评价、打分，然后汇总每个供应商每项评分因素的得分。</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6.6.3</w:t>
      </w:r>
      <w:r>
        <w:rPr>
          <w:b/>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6.6</w:t>
      </w:r>
      <w:r>
        <w:rPr>
          <w:rFonts w:ascii="Tahoma" w:hAnsi="Tahoma" w:cs="Tahoma"/>
          <w:color w:val="000000" w:themeColor="text1"/>
          <w:szCs w:val="21"/>
          <w:highlight w:val="none"/>
          <w14:textFill>
            <w14:solidFill>
              <w14:schemeClr w14:val="tx1"/>
            </w14:solidFill>
          </w14:textFill>
        </w:rPr>
        <w:t>.4评标委员会将按比较与评价最优在先原则</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排列评价顺序</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 xml:space="preserve"> 根据在投标人须知前附表中确定的中标候选人数量推荐出中标候选人。</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6.6</w:t>
      </w:r>
      <w:r>
        <w:rPr>
          <w:rFonts w:ascii="Tahoma" w:hAnsi="Tahoma" w:cs="Tahoma"/>
          <w:color w:val="000000" w:themeColor="text1"/>
          <w:szCs w:val="21"/>
          <w:highlight w:val="none"/>
          <w14:textFill>
            <w14:solidFill>
              <w14:schemeClr w14:val="tx1"/>
            </w14:solidFill>
          </w14:textFill>
        </w:rPr>
        <w:t xml:space="preserve">.5 </w:t>
      </w:r>
      <w:r>
        <w:rPr>
          <w:rFonts w:hint="eastAsia" w:ascii="Tahoma" w:hAnsi="Tahoma" w:cs="Tahoma"/>
          <w:color w:val="000000" w:themeColor="text1"/>
          <w:szCs w:val="21"/>
          <w:highlight w:val="none"/>
          <w14:textFill>
            <w14:solidFill>
              <w14:schemeClr w14:val="tx1"/>
            </w14:solidFill>
          </w14:textFill>
        </w:rPr>
        <w:t>经评审后</w:t>
      </w:r>
      <w:r>
        <w:rPr>
          <w:rFonts w:ascii="Tahoma" w:hAnsi="Tahoma" w:cs="Tahoma"/>
          <w:color w:val="000000" w:themeColor="text1"/>
          <w:szCs w:val="21"/>
          <w:highlight w:val="none"/>
          <w14:textFill>
            <w14:solidFill>
              <w14:schemeClr w14:val="tx1"/>
            </w14:solidFill>
          </w14:textFill>
        </w:rPr>
        <w:t>，若出现符合本须知规定的所有投标条件的投标人不足三家情形的，本次招标终止，除采购任务取消情形外，招标单位将依法重新组织招标或者采取其他方式采购。</w:t>
      </w:r>
    </w:p>
    <w:p>
      <w:pPr>
        <w:spacing w:line="340" w:lineRule="exact"/>
        <w:jc w:val="center"/>
        <w:rPr>
          <w:rFonts w:ascii="Tahoma" w:hAnsi="Tahoma" w:cs="Tahoma"/>
          <w:b/>
          <w:bCs/>
          <w:color w:val="000000" w:themeColor="text1"/>
          <w:sz w:val="24"/>
          <w:highlight w:val="none"/>
          <w14:textFill>
            <w14:solidFill>
              <w14:schemeClr w14:val="tx1"/>
            </w14:solidFill>
          </w14:textFill>
        </w:rPr>
      </w:pPr>
      <w:r>
        <w:rPr>
          <w:rFonts w:ascii="Tahoma" w:hAnsi="Tahoma" w:cs="Tahoma"/>
          <w:b/>
          <w:bCs/>
          <w:color w:val="000000" w:themeColor="text1"/>
          <w:sz w:val="24"/>
          <w:highlight w:val="none"/>
          <w14:textFill>
            <w14:solidFill>
              <w14:schemeClr w14:val="tx1"/>
            </w14:solidFill>
          </w14:textFill>
        </w:rPr>
        <w:t>7、</w:t>
      </w:r>
      <w:r>
        <w:rPr>
          <w:rFonts w:ascii="Tahoma" w:hAnsi="Tahoma" w:eastAsia="黑体" w:cs="Tahoma"/>
          <w:b/>
          <w:bCs/>
          <w:color w:val="000000" w:themeColor="text1"/>
          <w:sz w:val="24"/>
          <w:highlight w:val="none"/>
          <w14:textFill>
            <w14:solidFill>
              <w14:schemeClr w14:val="tx1"/>
            </w14:solidFill>
          </w14:textFill>
        </w:rPr>
        <w:t>定标与授予合同</w:t>
      </w:r>
    </w:p>
    <w:p>
      <w:pPr>
        <w:spacing w:line="34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7.1</w:t>
      </w:r>
      <w:r>
        <w:rPr>
          <w:rFonts w:ascii="Tahoma" w:hAnsi="Tahoma" w:cs="Tahoma"/>
          <w:b/>
          <w:bCs/>
          <w:color w:val="000000" w:themeColor="text1"/>
          <w:szCs w:val="21"/>
          <w:highlight w:val="none"/>
          <w14:textFill>
            <w14:solidFill>
              <w14:schemeClr w14:val="tx1"/>
            </w14:solidFill>
          </w14:textFill>
        </w:rPr>
        <w:t>.</w:t>
      </w:r>
      <w:r>
        <w:rPr>
          <w:rFonts w:hint="eastAsia" w:ascii="Tahoma" w:hAnsi="Tahoma" w:cs="Tahoma"/>
          <w:b/>
          <w:bCs/>
          <w:color w:val="000000" w:themeColor="text1"/>
          <w:szCs w:val="21"/>
          <w:highlight w:val="none"/>
          <w14:textFill>
            <w14:solidFill>
              <w14:schemeClr w14:val="tx1"/>
            </w14:solidFill>
          </w14:textFill>
        </w:rPr>
        <w:t xml:space="preserve"> </w:t>
      </w:r>
      <w:r>
        <w:rPr>
          <w:rFonts w:ascii="Tahoma" w:hAnsi="Tahoma" w:cs="Tahoma"/>
          <w:b/>
          <w:bCs/>
          <w:color w:val="000000" w:themeColor="text1"/>
          <w:szCs w:val="21"/>
          <w:highlight w:val="none"/>
          <w14:textFill>
            <w14:solidFill>
              <w14:schemeClr w14:val="tx1"/>
            </w14:solidFill>
          </w14:textFill>
        </w:rPr>
        <w:t>定标准则</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7.1</w:t>
      </w:r>
      <w:r>
        <w:rPr>
          <w:rFonts w:ascii="Tahoma" w:hAnsi="Tahoma" w:cs="Tahoma"/>
          <w:color w:val="000000" w:themeColor="text1"/>
          <w:szCs w:val="21"/>
          <w:highlight w:val="none"/>
          <w14:textFill>
            <w14:solidFill>
              <w14:schemeClr w14:val="tx1"/>
            </w14:solidFill>
          </w14:textFill>
        </w:rPr>
        <w:t>.1最低投标价不作为中标的保证。</w:t>
      </w:r>
      <w:r>
        <w:rPr>
          <w:rFonts w:hint="eastAsia" w:ascii="Tahoma" w:hAnsi="Tahoma" w:cs="Tahoma"/>
          <w:color w:val="000000" w:themeColor="text1"/>
          <w:szCs w:val="21"/>
          <w:highlight w:val="none"/>
          <w14:textFill>
            <w14:solidFill>
              <w14:schemeClr w14:val="tx1"/>
            </w14:solidFill>
          </w14:textFill>
        </w:rPr>
        <w:t>但投标人的投标文件满足招标文件全部实质性要求且投标报价最低的投标人除外。</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7.1.2</w:t>
      </w:r>
      <w:r>
        <w:rPr>
          <w:rFonts w:hint="eastAsia" w:ascii="Tahoma" w:hAnsi="Tahoma" w:cs="Tahoma"/>
          <w:color w:val="000000" w:themeColor="text1"/>
          <w:szCs w:val="21"/>
          <w:highlight w:val="none"/>
          <w14:textFill>
            <w14:solidFill>
              <w14:schemeClr w14:val="tx1"/>
            </w14:solidFill>
          </w14:textFill>
        </w:rPr>
        <w:t>采购代理机构应当在评标结束后</w:t>
      </w:r>
      <w:r>
        <w:rPr>
          <w:rFonts w:ascii="Tahoma" w:hAnsi="Tahoma" w:cs="Tahoma"/>
          <w:color w:val="000000" w:themeColor="text1"/>
          <w:szCs w:val="21"/>
          <w:highlight w:val="none"/>
          <w14:textFill>
            <w14:solidFill>
              <w14:schemeClr w14:val="tx1"/>
            </w14:solidFill>
          </w14:textFill>
        </w:rPr>
        <w:t>2</w:t>
      </w:r>
      <w:r>
        <w:rPr>
          <w:rFonts w:hint="eastAsia" w:ascii="Tahoma" w:hAnsi="Tahoma" w:cs="Tahoma"/>
          <w:color w:val="000000" w:themeColor="text1"/>
          <w:szCs w:val="21"/>
          <w:highlight w:val="none"/>
          <w14:textFill>
            <w14:solidFill>
              <w14:schemeClr w14:val="tx1"/>
            </w14:solidFill>
          </w14:textFill>
        </w:rPr>
        <w:t>个工作日内将评标报告送采购人。</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7.1.3</w:t>
      </w:r>
      <w:r>
        <w:rPr>
          <w:rFonts w:hint="eastAsia" w:ascii="Tahoma" w:hAnsi="Tahoma" w:cs="Tahoma"/>
          <w:color w:val="000000" w:themeColor="text1"/>
          <w:szCs w:val="21"/>
          <w:highlight w:val="none"/>
          <w14:textFill>
            <w14:solidFill>
              <w14:schemeClr w14:val="tx1"/>
            </w14:solidFill>
          </w14:textFill>
        </w:rPr>
        <w:t>采购人应当自收到评标报告之日起</w:t>
      </w:r>
      <w:r>
        <w:rPr>
          <w:rFonts w:ascii="Tahoma" w:hAnsi="Tahoma" w:cs="Tahoma"/>
          <w:color w:val="000000" w:themeColor="text1"/>
          <w:szCs w:val="21"/>
          <w:highlight w:val="none"/>
          <w14:textFill>
            <w14:solidFill>
              <w14:schemeClr w14:val="tx1"/>
            </w14:solidFill>
          </w14:textFill>
        </w:rPr>
        <w:t>5</w:t>
      </w:r>
      <w:r>
        <w:rPr>
          <w:rFonts w:hint="eastAsia" w:ascii="Tahoma" w:hAnsi="Tahoma" w:cs="Tahoma"/>
          <w:color w:val="000000" w:themeColor="text1"/>
          <w:szCs w:val="21"/>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7.1.4</w:t>
      </w:r>
      <w:r>
        <w:rPr>
          <w:rFonts w:hint="eastAsia" w:ascii="Tahoma" w:hAnsi="Tahoma" w:cs="Tahoma"/>
          <w:color w:val="000000" w:themeColor="text1"/>
          <w:szCs w:val="21"/>
          <w:highlight w:val="none"/>
          <w14:textFill>
            <w14:solidFill>
              <w14:schemeClr w14:val="tx1"/>
            </w14:solidFill>
          </w14:textFill>
        </w:rPr>
        <w:t>采购人在收到评标报告</w:t>
      </w:r>
      <w:r>
        <w:rPr>
          <w:rFonts w:ascii="Tahoma" w:hAnsi="Tahoma" w:cs="Tahoma"/>
          <w:color w:val="000000" w:themeColor="text1"/>
          <w:szCs w:val="21"/>
          <w:highlight w:val="none"/>
          <w14:textFill>
            <w14:solidFill>
              <w14:schemeClr w14:val="tx1"/>
            </w14:solidFill>
          </w14:textFill>
        </w:rPr>
        <w:t>5</w:t>
      </w:r>
      <w:r>
        <w:rPr>
          <w:rFonts w:hint="eastAsia" w:ascii="Tahoma" w:hAnsi="Tahoma" w:cs="Tahoma"/>
          <w:color w:val="000000" w:themeColor="text1"/>
          <w:szCs w:val="21"/>
          <w:highlight w:val="none"/>
          <w14:textFill>
            <w14:solidFill>
              <w14:schemeClr w14:val="tx1"/>
            </w14:solidFill>
          </w14:textFill>
        </w:rPr>
        <w:t>个工作日内未按评标报告推荐的中标候选人顺序确定中标人，又不能说明合法理由的，视同按评标报告推荐的顺序确定排名第一的中标候选人为中标人。</w:t>
      </w:r>
    </w:p>
    <w:p>
      <w:pPr>
        <w:spacing w:line="340" w:lineRule="exact"/>
        <w:rPr>
          <w:rFonts w:hint="eastAsia" w:ascii="Tahoma" w:hAnsi="Tahoma" w:cs="Tahoma"/>
          <w:b/>
          <w:bCs/>
          <w:color w:val="000000" w:themeColor="text1"/>
          <w:szCs w:val="21"/>
          <w:highlight w:val="none"/>
          <w14:textFill>
            <w14:solidFill>
              <w14:schemeClr w14:val="tx1"/>
            </w14:solidFill>
          </w14:textFill>
        </w:rPr>
      </w:pPr>
    </w:p>
    <w:p>
      <w:pPr>
        <w:spacing w:line="34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7.2</w:t>
      </w:r>
      <w:r>
        <w:rPr>
          <w:rFonts w:ascii="Tahoma" w:hAnsi="Tahoma" w:cs="Tahoma"/>
          <w:b/>
          <w:bCs/>
          <w:color w:val="000000" w:themeColor="text1"/>
          <w:szCs w:val="21"/>
          <w:highlight w:val="none"/>
          <w14:textFill>
            <w14:solidFill>
              <w14:schemeClr w14:val="tx1"/>
            </w14:solidFill>
          </w14:textFill>
        </w:rPr>
        <w:t>. 中标通知</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.1 评标结束后，</w:t>
      </w:r>
      <w:r>
        <w:rPr>
          <w:rFonts w:ascii="Tahoma" w:hAnsi="宋体" w:cs="Tahoma"/>
          <w:color w:val="000000" w:themeColor="text1"/>
          <w:highlight w:val="none"/>
          <w14:textFill>
            <w14:solidFill>
              <w14:schemeClr w14:val="tx1"/>
            </w14:solidFill>
          </w14:textFill>
        </w:rPr>
        <w:t>采购人或者采购代理机构应当自中标人确定之日起</w:t>
      </w:r>
      <w:r>
        <w:rPr>
          <w:rFonts w:ascii="Tahoma" w:hAnsi="Tahoma" w:cs="Tahoma"/>
          <w:color w:val="000000" w:themeColor="text1"/>
          <w:highlight w:val="none"/>
          <w14:textFill>
            <w14:solidFill>
              <w14:schemeClr w14:val="tx1"/>
            </w14:solidFill>
          </w14:textFill>
        </w:rPr>
        <w:t>2</w:t>
      </w:r>
      <w:r>
        <w:rPr>
          <w:rFonts w:ascii="Tahoma" w:hAnsi="宋体" w:cs="Tahoma"/>
          <w:color w:val="000000" w:themeColor="text1"/>
          <w:highlight w:val="none"/>
          <w14:textFill>
            <w14:solidFill>
              <w14:schemeClr w14:val="tx1"/>
            </w14:solidFill>
          </w14:textFill>
        </w:rPr>
        <w:t>个工作日内</w:t>
      </w:r>
      <w:r>
        <w:rPr>
          <w:rFonts w:ascii="Tahoma" w:hAnsi="Tahoma" w:cs="Tahoma"/>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在省级以上财政部门指定的媒体上公告中标结果</w:t>
      </w:r>
      <w:r>
        <w:rPr>
          <w:rFonts w:ascii="Tahoma" w:hAnsi="Tahoma" w:cs="Tahoma"/>
          <w:color w:val="000000" w:themeColor="text1"/>
          <w:szCs w:val="21"/>
          <w:highlight w:val="none"/>
          <w14:textFill>
            <w14:solidFill>
              <w14:schemeClr w14:val="tx1"/>
            </w14:solidFill>
          </w14:textFill>
        </w:rPr>
        <w:t>，公</w:t>
      </w:r>
      <w:r>
        <w:rPr>
          <w:rFonts w:hint="eastAsia" w:ascii="Tahoma" w:hAnsi="Tahoma" w:cs="Tahoma"/>
          <w:color w:val="000000" w:themeColor="text1"/>
          <w:szCs w:val="21"/>
          <w:highlight w:val="none"/>
          <w14:textFill>
            <w14:solidFill>
              <w14:schemeClr w14:val="tx1"/>
            </w14:solidFill>
          </w14:textFill>
        </w:rPr>
        <w:t>告</w:t>
      </w:r>
      <w:r>
        <w:rPr>
          <w:rFonts w:ascii="Tahoma" w:hAnsi="Tahoma" w:cs="Tahoma"/>
          <w:color w:val="000000" w:themeColor="text1"/>
          <w:szCs w:val="21"/>
          <w:highlight w:val="none"/>
          <w14:textFill>
            <w14:solidFill>
              <w14:schemeClr w14:val="tx1"/>
            </w14:solidFill>
          </w14:textFill>
        </w:rPr>
        <w:t>期限为</w:t>
      </w:r>
      <w:r>
        <w:rPr>
          <w:rFonts w:hint="eastAsia" w:ascii="Tahoma" w:hAnsi="Tahoma" w:cs="Tahoma"/>
          <w:color w:val="000000" w:themeColor="text1"/>
          <w:szCs w:val="21"/>
          <w:highlight w:val="none"/>
          <w14:textFill>
            <w14:solidFill>
              <w14:schemeClr w14:val="tx1"/>
            </w14:solidFill>
          </w14:textFill>
        </w:rPr>
        <w:t>1个工作日</w:t>
      </w:r>
      <w:r>
        <w:rPr>
          <w:rFonts w:ascii="Tahoma" w:hAnsi="Tahoma" w:cs="Tahoma"/>
          <w:color w:val="000000" w:themeColor="text1"/>
          <w:szCs w:val="21"/>
          <w:highlight w:val="none"/>
          <w14:textFill>
            <w14:solidFill>
              <w14:schemeClr w14:val="tx1"/>
            </w14:solidFill>
          </w14:textFill>
        </w:rPr>
        <w:t>；同时招标代理机构向中标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发出中标通知书。中标通知书对</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人和中标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具有同等法律效力。中标通知书发出后，</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人改变中标结果，或者中标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放弃中标，应按相关法律、规章、规范性文件的要求承担相应的法律责任。投标人对中标公告有异议的，应当在知道或应当知道其权益受到损害之日起</w:t>
      </w:r>
      <w:r>
        <w:rPr>
          <w:rFonts w:hint="eastAsia" w:ascii="Tahoma" w:hAnsi="Tahoma" w:cs="Tahoma"/>
          <w:color w:val="000000" w:themeColor="text1"/>
          <w:szCs w:val="21"/>
          <w:highlight w:val="none"/>
          <w14:textFill>
            <w14:solidFill>
              <w14:schemeClr w14:val="tx1"/>
            </w14:solidFill>
          </w14:textFill>
        </w:rPr>
        <w:t>在规定的期限</w:t>
      </w:r>
      <w:r>
        <w:rPr>
          <w:rFonts w:ascii="Tahoma" w:hAnsi="Tahoma" w:cs="Tahoma"/>
          <w:color w:val="000000" w:themeColor="text1"/>
          <w:szCs w:val="21"/>
          <w:highlight w:val="none"/>
          <w14:textFill>
            <w14:solidFill>
              <w14:schemeClr w14:val="tx1"/>
            </w14:solidFill>
          </w14:textFill>
        </w:rPr>
        <w:t>内，以书面形式向采购人或招标代理机构提出质疑。</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.2 中标公告发出后</w:t>
      </w:r>
      <w:r>
        <w:rPr>
          <w:rFonts w:hint="eastAsia" w:ascii="Tahoma" w:hAnsi="Tahoma" w:cs="Tahoma"/>
          <w:color w:val="000000" w:themeColor="text1"/>
          <w:szCs w:val="21"/>
          <w:highlight w:val="none"/>
          <w14:textFill>
            <w14:solidFill>
              <w14:schemeClr w14:val="tx1"/>
            </w14:solidFill>
          </w14:textFill>
        </w:rPr>
        <w:t>的</w:t>
      </w:r>
      <w:r>
        <w:rPr>
          <w:rFonts w:ascii="Tahoma" w:hAnsi="Tahoma" w:cs="Tahoma"/>
          <w:color w:val="000000" w:themeColor="text1"/>
          <w:szCs w:val="21"/>
          <w:highlight w:val="none"/>
          <w14:textFill>
            <w14:solidFill>
              <w14:schemeClr w14:val="tx1"/>
            </w14:solidFill>
          </w14:textFill>
        </w:rPr>
        <w:t>同时，</w:t>
      </w:r>
      <w:r>
        <w:rPr>
          <w:rFonts w:hint="eastAsia" w:ascii="Tahoma" w:hAnsi="Tahoma" w:cs="Tahoma"/>
          <w:color w:val="000000" w:themeColor="text1"/>
          <w:szCs w:val="21"/>
          <w:highlight w:val="none"/>
          <w14:textFill>
            <w14:solidFill>
              <w14:schemeClr w14:val="tx1"/>
            </w14:solidFill>
          </w14:textFill>
        </w:rPr>
        <w:t>将向</w:t>
      </w:r>
      <w:r>
        <w:rPr>
          <w:rFonts w:ascii="Tahoma" w:hAnsi="Tahoma" w:cs="Tahoma"/>
          <w:color w:val="000000" w:themeColor="text1"/>
          <w:szCs w:val="21"/>
          <w:highlight w:val="none"/>
          <w14:textFill>
            <w14:solidFill>
              <w14:schemeClr w14:val="tx1"/>
            </w14:solidFill>
          </w14:textFill>
        </w:rPr>
        <w:t>未中标人</w:t>
      </w:r>
      <w:r>
        <w:rPr>
          <w:rFonts w:hint="eastAsia" w:ascii="Tahoma" w:hAnsi="Tahoma" w:cs="Tahoma"/>
          <w:color w:val="000000" w:themeColor="text1"/>
          <w:szCs w:val="21"/>
          <w:highlight w:val="none"/>
          <w14:textFill>
            <w14:solidFill>
              <w14:schemeClr w14:val="tx1"/>
            </w14:solidFill>
          </w14:textFill>
        </w:rPr>
        <w:t>发出</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中</w:t>
      </w:r>
      <w:r>
        <w:rPr>
          <w:rFonts w:ascii="Tahoma" w:hAnsi="Tahoma" w:cs="Tahoma"/>
          <w:color w:val="000000" w:themeColor="text1"/>
          <w:szCs w:val="21"/>
          <w:highlight w:val="none"/>
          <w14:textFill>
            <w14:solidFill>
              <w14:schemeClr w14:val="tx1"/>
            </w14:solidFill>
          </w14:textFill>
        </w:rPr>
        <w:t>标</w:t>
      </w:r>
      <w:r>
        <w:rPr>
          <w:rFonts w:hint="eastAsia" w:ascii="Tahoma" w:hAnsi="Tahoma" w:cs="Tahoma"/>
          <w:color w:val="000000" w:themeColor="text1"/>
          <w:szCs w:val="21"/>
          <w:highlight w:val="none"/>
          <w14:textFill>
            <w14:solidFill>
              <w14:schemeClr w14:val="tx1"/>
            </w14:solidFill>
          </w14:textFill>
        </w:rPr>
        <w:t>结果</w:t>
      </w:r>
      <w:r>
        <w:rPr>
          <w:rFonts w:ascii="Tahoma" w:hAnsi="Tahoma" w:cs="Tahoma"/>
          <w:color w:val="000000" w:themeColor="text1"/>
          <w:szCs w:val="21"/>
          <w:highlight w:val="none"/>
          <w14:textFill>
            <w14:solidFill>
              <w14:schemeClr w14:val="tx1"/>
            </w14:solidFill>
          </w14:textFill>
        </w:rPr>
        <w:t>通知书》。</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.3 《中标通知书》将作为签订合同的依据。《合同》签订后，《中标通知书》成为《合同》的一部分。</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.4《中标通知书》发出后5个工作日内，招标代理机构</w:t>
      </w:r>
      <w:r>
        <w:rPr>
          <w:rFonts w:hint="eastAsia" w:ascii="Tahoma" w:hAnsi="Tahoma" w:cs="Tahoma"/>
          <w:color w:val="000000" w:themeColor="text1"/>
          <w:szCs w:val="21"/>
          <w:highlight w:val="none"/>
          <w14:textFill>
            <w14:solidFill>
              <w14:schemeClr w14:val="tx1"/>
            </w14:solidFill>
          </w14:textFill>
        </w:rPr>
        <w:t>将</w:t>
      </w:r>
      <w:r>
        <w:rPr>
          <w:rFonts w:ascii="Tahoma" w:hAnsi="Tahoma" w:cs="Tahoma"/>
          <w:color w:val="000000" w:themeColor="text1"/>
          <w:szCs w:val="21"/>
          <w:highlight w:val="none"/>
          <w14:textFill>
            <w14:solidFill>
              <w14:schemeClr w14:val="tx1"/>
            </w14:solidFill>
          </w14:textFill>
        </w:rPr>
        <w:t>向未中标的投标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退还其投标保证金，具体退款手续详见</w:t>
      </w:r>
      <w:r>
        <w:rPr>
          <w:rFonts w:hint="eastAsia" w:ascii="Tahoma" w:hAnsi="Tahoma" w:cs="Tahoma"/>
          <w:color w:val="000000" w:themeColor="text1"/>
          <w:szCs w:val="21"/>
          <w:highlight w:val="none"/>
          <w14:textFill>
            <w14:solidFill>
              <w14:schemeClr w14:val="tx1"/>
            </w14:solidFill>
          </w14:textFill>
        </w:rPr>
        <w:t>本须知第3.6</w:t>
      </w:r>
      <w:r>
        <w:rPr>
          <w:rFonts w:ascii="Tahoma" w:hAnsi="Tahoma" w:cs="Tahoma"/>
          <w:color w:val="000000" w:themeColor="text1"/>
          <w:szCs w:val="21"/>
          <w:highlight w:val="none"/>
          <w14:textFill>
            <w14:solidFill>
              <w14:schemeClr w14:val="tx1"/>
            </w14:solidFill>
          </w14:textFill>
        </w:rPr>
        <w:t>.6</w:t>
      </w:r>
      <w:r>
        <w:rPr>
          <w:rFonts w:hint="eastAsia" w:ascii="Tahoma" w:hAnsi="Tahoma" w:cs="Tahoma"/>
          <w:color w:val="000000" w:themeColor="text1"/>
          <w:szCs w:val="21"/>
          <w:highlight w:val="none"/>
          <w14:textFill>
            <w14:solidFill>
              <w14:schemeClr w14:val="tx1"/>
            </w14:solidFill>
          </w14:textFill>
        </w:rPr>
        <w:t>条</w:t>
      </w:r>
      <w:r>
        <w:rPr>
          <w:rFonts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7.2</w:t>
      </w:r>
      <w:r>
        <w:rPr>
          <w:rFonts w:ascii="Tahoma" w:hAnsi="Tahoma" w:cs="Tahoma"/>
          <w:color w:val="000000" w:themeColor="text1"/>
          <w:szCs w:val="21"/>
          <w:highlight w:val="none"/>
          <w14:textFill>
            <w14:solidFill>
              <w14:schemeClr w14:val="tx1"/>
            </w14:solidFill>
          </w14:textFill>
        </w:rPr>
        <w:t>.5在合同签订后5个工作日内，招标代理机构</w:t>
      </w:r>
      <w:r>
        <w:rPr>
          <w:rFonts w:hint="eastAsia" w:ascii="Tahoma" w:hAnsi="Tahoma" w:cs="Tahoma"/>
          <w:color w:val="000000" w:themeColor="text1"/>
          <w:szCs w:val="21"/>
          <w:highlight w:val="none"/>
          <w14:textFill>
            <w14:solidFill>
              <w14:schemeClr w14:val="tx1"/>
            </w14:solidFill>
          </w14:textFill>
        </w:rPr>
        <w:t>将</w:t>
      </w:r>
      <w:r>
        <w:rPr>
          <w:rFonts w:ascii="Tahoma" w:hAnsi="Tahoma" w:cs="Tahoma"/>
          <w:color w:val="000000" w:themeColor="text1"/>
          <w:szCs w:val="21"/>
          <w:highlight w:val="none"/>
          <w14:textFill>
            <w14:solidFill>
              <w14:schemeClr w14:val="tx1"/>
            </w14:solidFill>
          </w14:textFill>
        </w:rPr>
        <w:t>向中标的投标</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退还其投标保证金，</w:t>
      </w:r>
      <w:r>
        <w:rPr>
          <w:rFonts w:hint="eastAsia" w:ascii="Tahoma" w:hAnsi="Tahoma" w:cs="Tahoma"/>
          <w:color w:val="000000" w:themeColor="text1"/>
          <w:szCs w:val="21"/>
          <w:highlight w:val="none"/>
          <w14:textFill>
            <w14:solidFill>
              <w14:schemeClr w14:val="tx1"/>
            </w14:solidFill>
          </w14:textFill>
        </w:rPr>
        <w:t>条件是已交纳的招标代理服务费，</w:t>
      </w:r>
      <w:r>
        <w:rPr>
          <w:rFonts w:ascii="Tahoma" w:hAnsi="Tahoma" w:cs="Tahoma"/>
          <w:color w:val="000000" w:themeColor="text1"/>
          <w:szCs w:val="21"/>
          <w:highlight w:val="none"/>
          <w14:textFill>
            <w14:solidFill>
              <w14:schemeClr w14:val="tx1"/>
            </w14:solidFill>
          </w14:textFill>
        </w:rPr>
        <w:t>具体退款手续详见</w:t>
      </w:r>
      <w:r>
        <w:rPr>
          <w:rFonts w:hint="eastAsia" w:ascii="Tahoma" w:hAnsi="Tahoma" w:cs="Tahoma"/>
          <w:color w:val="000000" w:themeColor="text1"/>
          <w:szCs w:val="21"/>
          <w:highlight w:val="none"/>
          <w14:textFill>
            <w14:solidFill>
              <w14:schemeClr w14:val="tx1"/>
            </w14:solidFill>
          </w14:textFill>
        </w:rPr>
        <w:t>本须知第3.6</w:t>
      </w:r>
      <w:r>
        <w:rPr>
          <w:rFonts w:ascii="Tahoma" w:hAnsi="Tahoma" w:cs="Tahoma"/>
          <w:color w:val="000000" w:themeColor="text1"/>
          <w:szCs w:val="21"/>
          <w:highlight w:val="none"/>
          <w14:textFill>
            <w14:solidFill>
              <w14:schemeClr w14:val="tx1"/>
            </w14:solidFill>
          </w14:textFill>
        </w:rPr>
        <w:t>.6</w:t>
      </w:r>
      <w:r>
        <w:rPr>
          <w:rFonts w:hint="eastAsia" w:ascii="Tahoma" w:hAnsi="Tahoma" w:cs="Tahoma"/>
          <w:color w:val="000000" w:themeColor="text1"/>
          <w:szCs w:val="21"/>
          <w:highlight w:val="none"/>
          <w14:textFill>
            <w14:solidFill>
              <w14:schemeClr w14:val="tx1"/>
            </w14:solidFill>
          </w14:textFill>
        </w:rPr>
        <w:t>条</w:t>
      </w:r>
      <w:r>
        <w:rPr>
          <w:rFonts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7.3</w:t>
      </w:r>
      <w:r>
        <w:rPr>
          <w:rFonts w:ascii="Tahoma" w:hAnsi="Tahoma" w:cs="Tahoma"/>
          <w:b/>
          <w:bCs/>
          <w:color w:val="000000" w:themeColor="text1"/>
          <w:szCs w:val="21"/>
          <w:highlight w:val="none"/>
          <w14:textFill>
            <w14:solidFill>
              <w14:schemeClr w14:val="tx1"/>
            </w14:solidFill>
          </w14:textFill>
        </w:rPr>
        <w:t>.</w:t>
      </w:r>
      <w:r>
        <w:rPr>
          <w:rFonts w:hint="eastAsia" w:ascii="Tahoma" w:hAnsi="Tahoma" w:cs="Tahoma"/>
          <w:b/>
          <w:bCs/>
          <w:color w:val="000000" w:themeColor="text1"/>
          <w:szCs w:val="21"/>
          <w:highlight w:val="none"/>
          <w14:textFill>
            <w14:solidFill>
              <w14:schemeClr w14:val="tx1"/>
            </w14:solidFill>
          </w14:textFill>
        </w:rPr>
        <w:t xml:space="preserve"> </w:t>
      </w:r>
      <w:r>
        <w:rPr>
          <w:rFonts w:ascii="Tahoma" w:hAnsi="Tahoma" w:cs="Tahoma"/>
          <w:b/>
          <w:bCs/>
          <w:color w:val="000000" w:themeColor="text1"/>
          <w:szCs w:val="21"/>
          <w:highlight w:val="none"/>
          <w14:textFill>
            <w14:solidFill>
              <w14:schemeClr w14:val="tx1"/>
            </w14:solidFill>
          </w14:textFill>
        </w:rPr>
        <w:t>签订合同</w:t>
      </w:r>
    </w:p>
    <w:p>
      <w:pPr>
        <w:spacing w:line="340" w:lineRule="exact"/>
        <w:rPr>
          <w:rFonts w:hint="eastAsia" w:ascii="Tahoma" w:hAnsi="Tahoma" w:eastAsia="宋体" w:cs="Tahoma"/>
          <w:color w:val="000000" w:themeColor="text1"/>
          <w:szCs w:val="21"/>
          <w:highlight w:val="none"/>
          <w:lang w:eastAsia="zh-CN"/>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7.3.1采购人与成交供应商应当在成交通知书发出之日起30日内，按照招标文件确定的合同文本以及采购标的、规格型号、采购金额、采购数量、技术和服务要求等事项签订政府采购合同。采购人不得向成交供应商提出超出招标文件以外的任何要求作为签订合同的条件，不得与成交供应商订立背离招标文件确定的合同文本以及采购标的、规格型号、采购金额、采购数量、技术和服务要求等实质性内容的协议</w:t>
      </w:r>
      <w:r>
        <w:rPr>
          <w:rFonts w:ascii="Tahoma" w:hAnsi="Tahoma" w:cs="Tahoma"/>
          <w:color w:val="000000" w:themeColor="text1"/>
          <w:szCs w:val="21"/>
          <w:highlight w:val="none"/>
          <w14:textFill>
            <w14:solidFill>
              <w14:schemeClr w14:val="tx1"/>
            </w14:solidFill>
          </w14:textFill>
        </w:rPr>
        <w:t>。供应商逾期未与采购人签订合同，将按照有关法律规定承担相应的法律责任</w:t>
      </w:r>
      <w:r>
        <w:rPr>
          <w:rFonts w:hint="eastAsia" w:ascii="Tahoma" w:hAnsi="Tahoma" w:cs="Tahoma"/>
          <w:color w:val="000000" w:themeColor="text1"/>
          <w:szCs w:val="21"/>
          <w:highlight w:val="none"/>
          <w14:textFill>
            <w14:solidFill>
              <w14:schemeClr w14:val="tx1"/>
            </w14:solidFill>
          </w14:textFill>
        </w:rPr>
        <w:t>，并</w:t>
      </w:r>
      <w:r>
        <w:rPr>
          <w:rFonts w:ascii="Tahoma" w:hAnsi="Tahoma" w:cs="Tahoma"/>
          <w:color w:val="000000" w:themeColor="text1"/>
          <w:szCs w:val="21"/>
          <w:highlight w:val="none"/>
          <w14:textFill>
            <w14:solidFill>
              <w14:schemeClr w14:val="tx1"/>
            </w14:solidFill>
          </w14:textFill>
        </w:rPr>
        <w:t>没收</w:t>
      </w:r>
      <w:r>
        <w:rPr>
          <w:rFonts w:hint="eastAsia" w:ascii="Tahoma" w:hAnsi="Tahoma" w:cs="Tahoma"/>
          <w:color w:val="000000" w:themeColor="text1"/>
          <w:szCs w:val="21"/>
          <w:highlight w:val="none"/>
          <w14:textFill>
            <w14:solidFill>
              <w14:schemeClr w14:val="tx1"/>
            </w14:solidFill>
          </w14:textFill>
        </w:rPr>
        <w:t>投标</w:t>
      </w:r>
      <w:r>
        <w:rPr>
          <w:rFonts w:ascii="Tahoma" w:hAnsi="Tahoma" w:cs="Tahoma"/>
          <w:color w:val="000000" w:themeColor="text1"/>
          <w:szCs w:val="21"/>
          <w:highlight w:val="none"/>
          <w14:textFill>
            <w14:solidFill>
              <w14:schemeClr w14:val="tx1"/>
            </w14:solidFill>
          </w14:textFill>
        </w:rPr>
        <w:t>保证金，以抵偿对采购人造成的损失。</w:t>
      </w:r>
      <w:r>
        <w:rPr>
          <w:rFonts w:hint="eastAsia" w:ascii="Tahoma" w:hAnsi="Tahoma" w:cs="Tahoma"/>
          <w:color w:val="000000" w:themeColor="text1"/>
          <w:szCs w:val="21"/>
          <w:highlight w:val="none"/>
          <w14:textFill>
            <w14:solidFill>
              <w14:schemeClr w14:val="tx1"/>
            </w14:solidFill>
          </w14:textFill>
        </w:rPr>
        <w:t>采购方</w:t>
      </w:r>
      <w:r>
        <w:rPr>
          <w:rFonts w:ascii="Tahoma" w:hAnsi="Tahoma" w:cs="Tahoma"/>
          <w:color w:val="000000" w:themeColor="text1"/>
          <w:szCs w:val="21"/>
          <w:highlight w:val="none"/>
          <w14:textFill>
            <w14:solidFill>
              <w14:schemeClr w14:val="tx1"/>
            </w14:solidFill>
          </w14:textFill>
        </w:rPr>
        <w:t>逾期不与成交供应商签订合同的，按有关规定处理</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并承担相应的法律责任</w:t>
      </w:r>
      <w:r>
        <w:rPr>
          <w:rFonts w:hint="eastAsia" w:ascii="Tahoma" w:hAnsi="Tahoma" w:cs="Tahoma"/>
          <w:color w:val="000000" w:themeColor="text1"/>
          <w:szCs w:val="21"/>
          <w:highlight w:val="none"/>
          <w:lang w:eastAsia="zh-CN"/>
          <w14:textFill>
            <w14:solidFill>
              <w14:schemeClr w14:val="tx1"/>
            </w14:solidFill>
          </w14:textFill>
        </w:rPr>
        <w:t>。没收投标保证金不足以弥补采购人的损失的，以采购人的实际损失为准。</w:t>
      </w:r>
    </w:p>
    <w:p>
      <w:pPr>
        <w:spacing w:line="33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7.3</w:t>
      </w:r>
      <w:r>
        <w:rPr>
          <w:rFonts w:ascii="Tahoma" w:hAnsi="Tahoma" w:cs="Tahoma"/>
          <w:color w:val="000000" w:themeColor="text1"/>
          <w:szCs w:val="21"/>
          <w:highlight w:val="none"/>
          <w14:textFill>
            <w14:solidFill>
              <w14:schemeClr w14:val="tx1"/>
            </w14:solidFill>
          </w14:textFill>
        </w:rPr>
        <w:t>.2</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文件、</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文件的修改文件、成交供应商的</w:t>
      </w:r>
      <w:r>
        <w:rPr>
          <w:rFonts w:hint="eastAsia" w:ascii="Tahoma" w:hAnsi="Tahoma" w:cs="Tahoma"/>
          <w:color w:val="000000" w:themeColor="text1"/>
          <w:szCs w:val="21"/>
          <w:highlight w:val="none"/>
          <w14:textFill>
            <w14:solidFill>
              <w14:schemeClr w14:val="tx1"/>
            </w14:solidFill>
          </w14:textFill>
        </w:rPr>
        <w:t>投标文件</w:t>
      </w:r>
      <w:r>
        <w:rPr>
          <w:rFonts w:ascii="Tahoma" w:hAnsi="Tahoma" w:cs="Tahoma"/>
          <w:color w:val="000000" w:themeColor="text1"/>
          <w:szCs w:val="21"/>
          <w:highlight w:val="none"/>
          <w14:textFill>
            <w14:solidFill>
              <w14:schemeClr w14:val="tx1"/>
            </w14:solidFill>
          </w14:textFill>
        </w:rPr>
        <w:t>、补充或修改的文件及澄清或承诺文件等，均为双方签订《合同》的组成部分，并与《合同》一并作为本</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文件所列</w:t>
      </w:r>
      <w:r>
        <w:rPr>
          <w:rFonts w:hint="eastAsia" w:ascii="Tahoma" w:hAnsi="Tahoma" w:cs="Tahoma"/>
          <w:color w:val="000000" w:themeColor="text1"/>
          <w:szCs w:val="21"/>
          <w:highlight w:val="none"/>
          <w14:textFill>
            <w14:solidFill>
              <w14:schemeClr w14:val="tx1"/>
            </w14:solidFill>
          </w14:textFill>
        </w:rPr>
        <w:t>采购</w:t>
      </w:r>
      <w:r>
        <w:rPr>
          <w:rFonts w:ascii="Tahoma" w:hAnsi="Tahoma" w:cs="Tahoma"/>
          <w:color w:val="000000" w:themeColor="text1"/>
          <w:szCs w:val="21"/>
          <w:highlight w:val="none"/>
          <w14:textFill>
            <w14:solidFill>
              <w14:schemeClr w14:val="tx1"/>
            </w14:solidFill>
          </w14:textFill>
        </w:rPr>
        <w:t>项目的互补性法律文件，与《合同》具有同等法律效力。</w:t>
      </w:r>
    </w:p>
    <w:p>
      <w:pPr>
        <w:spacing w:line="33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7.3</w:t>
      </w:r>
      <w:r>
        <w:rPr>
          <w:rFonts w:ascii="Tahoma" w:hAnsi="Tahoma" w:cs="Tahoma"/>
          <w:color w:val="000000" w:themeColor="text1"/>
          <w:szCs w:val="21"/>
          <w:highlight w:val="none"/>
          <w14:textFill>
            <w14:solidFill>
              <w14:schemeClr w14:val="tx1"/>
            </w14:solidFill>
          </w14:textFill>
        </w:rPr>
        <w:t>.3政府采购合同履行中，采购人需追加与合同标的相同的货物、工程或者服务的，在不改变合同其他条款的前提下，可与供应商协商签订补充合同，但所有补充合同的采购金额不得超过原合同采购金额的百分之十</w:t>
      </w:r>
      <w:r>
        <w:rPr>
          <w:rFonts w:hint="eastAsia" w:ascii="Tahoma" w:hAnsi="Tahoma" w:cs="Tahoma"/>
          <w:color w:val="000000" w:themeColor="text1"/>
          <w:szCs w:val="21"/>
          <w:highlight w:val="none"/>
          <w14:textFill>
            <w14:solidFill>
              <w14:schemeClr w14:val="tx1"/>
            </w14:solidFill>
          </w14:textFill>
        </w:rPr>
        <w:t>。</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7.3</w:t>
      </w:r>
      <w:r>
        <w:rPr>
          <w:rFonts w:ascii="Tahoma" w:hAnsi="Tahoma" w:cs="Tahoma"/>
          <w:color w:val="000000" w:themeColor="text1"/>
          <w:szCs w:val="21"/>
          <w:highlight w:val="none"/>
          <w14:textFill>
            <w14:solidFill>
              <w14:schemeClr w14:val="tx1"/>
            </w14:solidFill>
          </w14:textFill>
        </w:rPr>
        <w:t>.4</w:t>
      </w:r>
      <w:r>
        <w:rPr>
          <w:rFonts w:hint="eastAsia" w:ascii="Tahoma" w:hAnsi="Tahoma" w:cs="Tahoma"/>
          <w:color w:val="000000" w:themeColor="text1"/>
          <w:szCs w:val="21"/>
          <w:highlight w:val="none"/>
          <w14:textFill>
            <w14:solidFill>
              <w14:schemeClr w14:val="tx1"/>
            </w14:solidFill>
          </w14:textFill>
        </w:rPr>
        <w:t>成交</w:t>
      </w:r>
      <w:r>
        <w:rPr>
          <w:rFonts w:ascii="Tahoma" w:hAnsi="Tahoma" w:cs="Tahoma"/>
          <w:color w:val="000000" w:themeColor="text1"/>
          <w:szCs w:val="21"/>
          <w:highlight w:val="none"/>
          <w14:textFill>
            <w14:solidFill>
              <w14:schemeClr w14:val="tx1"/>
            </w14:solidFill>
          </w14:textFill>
        </w:rPr>
        <w:t>供应商因不可抗力或者自身原因不能履行合同的，</w:t>
      </w:r>
      <w:r>
        <w:rPr>
          <w:rFonts w:hint="eastAsia" w:ascii="Tahoma" w:hAnsi="Tahoma" w:cs="Tahoma"/>
          <w:color w:val="000000" w:themeColor="text1"/>
          <w:szCs w:val="21"/>
          <w:highlight w:val="none"/>
          <w:lang w:eastAsia="zh-CN"/>
          <w14:textFill>
            <w14:solidFill>
              <w14:schemeClr w14:val="tx1"/>
            </w14:solidFill>
          </w14:textFill>
        </w:rPr>
        <w:t>应当向招标人作出书面情况说明。因供应商自身原因不能履行合同的，招标人有权扣除投标保证金。上述情形下，</w:t>
      </w:r>
      <w:r>
        <w:rPr>
          <w:rFonts w:hint="eastAsia" w:ascii="Tahoma" w:hAnsi="Tahoma" w:cs="Tahoma"/>
          <w:color w:val="000000" w:themeColor="text1"/>
          <w:szCs w:val="21"/>
          <w:highlight w:val="none"/>
          <w14:textFill>
            <w14:solidFill>
              <w14:schemeClr w14:val="tx1"/>
            </w14:solidFill>
          </w14:textFill>
        </w:rPr>
        <w:t>招标</w:t>
      </w:r>
      <w:r>
        <w:rPr>
          <w:rFonts w:ascii="Tahoma" w:hAnsi="Tahoma" w:cs="Tahoma"/>
          <w:color w:val="000000" w:themeColor="text1"/>
          <w:szCs w:val="21"/>
          <w:highlight w:val="none"/>
          <w14:textFill>
            <w14:solidFill>
              <w14:schemeClr w14:val="tx1"/>
            </w14:solidFill>
          </w14:textFill>
        </w:rPr>
        <w:t>人可以与排位在</w:t>
      </w:r>
      <w:r>
        <w:rPr>
          <w:rFonts w:hint="eastAsia" w:ascii="Tahoma" w:hAnsi="Tahoma" w:cs="Tahoma"/>
          <w:color w:val="000000" w:themeColor="text1"/>
          <w:szCs w:val="21"/>
          <w:highlight w:val="none"/>
          <w14:textFill>
            <w14:solidFill>
              <w14:schemeClr w14:val="tx1"/>
            </w14:solidFill>
          </w14:textFill>
        </w:rPr>
        <w:t>成交</w:t>
      </w:r>
      <w:r>
        <w:rPr>
          <w:rFonts w:ascii="Tahoma" w:hAnsi="Tahoma" w:cs="Tahoma"/>
          <w:color w:val="000000" w:themeColor="text1"/>
          <w:szCs w:val="21"/>
          <w:highlight w:val="none"/>
          <w14:textFill>
            <w14:solidFill>
              <w14:schemeClr w14:val="tx1"/>
            </w14:solidFill>
          </w14:textFill>
        </w:rPr>
        <w:t>供应商之后第一位的</w:t>
      </w:r>
      <w:r>
        <w:rPr>
          <w:rFonts w:hint="eastAsia" w:ascii="Tahoma" w:hAnsi="Tahoma" w:cs="Tahoma"/>
          <w:color w:val="000000" w:themeColor="text1"/>
          <w:szCs w:val="21"/>
          <w:highlight w:val="none"/>
          <w14:textFill>
            <w14:solidFill>
              <w14:schemeClr w14:val="tx1"/>
            </w14:solidFill>
          </w14:textFill>
        </w:rPr>
        <w:t>成交</w:t>
      </w:r>
      <w:r>
        <w:rPr>
          <w:rFonts w:ascii="Tahoma" w:hAnsi="Tahoma" w:cs="Tahoma"/>
          <w:color w:val="000000" w:themeColor="text1"/>
          <w:szCs w:val="21"/>
          <w:highlight w:val="none"/>
          <w14:textFill>
            <w14:solidFill>
              <w14:schemeClr w14:val="tx1"/>
            </w14:solidFill>
          </w14:textFill>
        </w:rPr>
        <w:t>候选供应商签订合同，以此类推。</w:t>
      </w:r>
    </w:p>
    <w:p>
      <w:pPr>
        <w:spacing w:line="320" w:lineRule="exact"/>
        <w:jc w:val="center"/>
        <w:rPr>
          <w:rFonts w:ascii="黑体" w:hAnsi="黑体" w:eastAsia="黑体" w:cs="Tahoma"/>
          <w:b/>
          <w:color w:val="000000" w:themeColor="text1"/>
          <w:sz w:val="24"/>
          <w:highlight w:val="none"/>
          <w14:textFill>
            <w14:solidFill>
              <w14:schemeClr w14:val="tx1"/>
            </w14:solidFill>
          </w14:textFill>
        </w:rPr>
      </w:pPr>
      <w:r>
        <w:rPr>
          <w:rFonts w:hint="eastAsia" w:ascii="Tahoma" w:hAnsi="Tahoma" w:cs="Tahoma"/>
          <w:b/>
          <w:color w:val="000000" w:themeColor="text1"/>
          <w:sz w:val="24"/>
          <w:highlight w:val="none"/>
          <w14:textFill>
            <w14:solidFill>
              <w14:schemeClr w14:val="tx1"/>
            </w14:solidFill>
          </w14:textFill>
        </w:rPr>
        <w:t>8</w:t>
      </w:r>
      <w:r>
        <w:rPr>
          <w:rFonts w:ascii="Tahoma" w:cs="Tahoma"/>
          <w:b/>
          <w:color w:val="000000" w:themeColor="text1"/>
          <w:sz w:val="24"/>
          <w:highlight w:val="none"/>
          <w14:textFill>
            <w14:solidFill>
              <w14:schemeClr w14:val="tx1"/>
            </w14:solidFill>
          </w14:textFill>
        </w:rPr>
        <w:t>、</w:t>
      </w:r>
      <w:r>
        <w:rPr>
          <w:rFonts w:hint="eastAsia" w:ascii="黑体" w:hAnsi="黑体" w:eastAsia="黑体" w:cs="Tahoma"/>
          <w:b/>
          <w:color w:val="000000" w:themeColor="text1"/>
          <w:sz w:val="24"/>
          <w:highlight w:val="none"/>
          <w14:textFill>
            <w14:solidFill>
              <w14:schemeClr w14:val="tx1"/>
            </w14:solidFill>
          </w14:textFill>
        </w:rPr>
        <w:t>重新招标和其他方式采购</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8.1</w:t>
      </w:r>
      <w:r>
        <w:rPr>
          <w:rFonts w:hint="eastAsia" w:ascii="Tahoma" w:cs="Tahoma"/>
          <w:b/>
          <w:color w:val="000000" w:themeColor="text1"/>
          <w:szCs w:val="21"/>
          <w:highlight w:val="none"/>
          <w14:textFill>
            <w14:solidFill>
              <w14:schemeClr w14:val="tx1"/>
            </w14:solidFill>
          </w14:textFill>
        </w:rPr>
        <w:t>重新</w:t>
      </w:r>
      <w:r>
        <w:rPr>
          <w:rFonts w:ascii="Tahoma" w:cs="Tahoma"/>
          <w:b/>
          <w:color w:val="000000" w:themeColor="text1"/>
          <w:szCs w:val="21"/>
          <w:highlight w:val="none"/>
          <w14:textFill>
            <w14:solidFill>
              <w14:schemeClr w14:val="tx1"/>
            </w14:solidFill>
          </w14:textFill>
        </w:rPr>
        <w:t>招标</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cs="Tahoma"/>
          <w:color w:val="000000" w:themeColor="text1"/>
          <w:szCs w:val="21"/>
          <w:highlight w:val="none"/>
          <w14:textFill>
            <w14:solidFill>
              <w14:schemeClr w14:val="tx1"/>
            </w14:solidFill>
          </w14:textFill>
        </w:rPr>
        <w:t>8.1.1</w:t>
      </w:r>
      <w:r>
        <w:rPr>
          <w:rFonts w:ascii="Tahoma" w:cs="Tahoma"/>
          <w:color w:val="000000" w:themeColor="text1"/>
          <w:szCs w:val="21"/>
          <w:highlight w:val="none"/>
          <w14:textFill>
            <w14:solidFill>
              <w14:schemeClr w14:val="tx1"/>
            </w14:solidFill>
          </w14:textFill>
        </w:rPr>
        <w:t>在招标采购中，出现下列情形之一的，</w:t>
      </w:r>
      <w:r>
        <w:rPr>
          <w:rFonts w:hint="eastAsia" w:ascii="Tahoma" w:cs="Tahoma"/>
          <w:color w:val="000000" w:themeColor="text1"/>
          <w:szCs w:val="21"/>
          <w:highlight w:val="none"/>
          <w14:textFill>
            <w14:solidFill>
              <w14:schemeClr w14:val="tx1"/>
            </w14:solidFill>
          </w14:textFill>
        </w:rPr>
        <w:t>应当在废标后重新招标</w:t>
      </w:r>
      <w:r>
        <w:rPr>
          <w:rFonts w:ascii="Tahoma"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cs="Tahoma"/>
          <w:color w:val="000000" w:themeColor="text1"/>
          <w:szCs w:val="21"/>
          <w:highlight w:val="none"/>
          <w14:textFill>
            <w14:solidFill>
              <w14:schemeClr w14:val="tx1"/>
            </w14:solidFill>
          </w14:textFill>
        </w:rPr>
        <w:t>　（</w:t>
      </w:r>
      <w:r>
        <w:rPr>
          <w:rFonts w:hint="eastAsia" w:ascii="Tahoma" w:cs="Tahoma"/>
          <w:color w:val="000000" w:themeColor="text1"/>
          <w:szCs w:val="21"/>
          <w:highlight w:val="none"/>
          <w14:textFill>
            <w14:solidFill>
              <w14:schemeClr w14:val="tx1"/>
            </w14:solidFill>
          </w14:textFill>
        </w:rPr>
        <w:t>1</w:t>
      </w:r>
      <w:r>
        <w:rPr>
          <w:rFonts w:ascii="Tahoma" w:cs="Tahoma"/>
          <w:color w:val="000000" w:themeColor="text1"/>
          <w:szCs w:val="21"/>
          <w:highlight w:val="none"/>
          <w14:textFill>
            <w14:solidFill>
              <w14:schemeClr w14:val="tx1"/>
            </w14:solidFill>
          </w14:textFill>
        </w:rPr>
        <w:t>）符合专业条件的供应商或者对招标文件作实质响应的供应商不足三家的；</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cs="Tahoma"/>
          <w:color w:val="000000" w:themeColor="text1"/>
          <w:szCs w:val="21"/>
          <w:highlight w:val="none"/>
          <w14:textFill>
            <w14:solidFill>
              <w14:schemeClr w14:val="tx1"/>
            </w14:solidFill>
          </w14:textFill>
        </w:rPr>
        <w:t>　（</w:t>
      </w:r>
      <w:r>
        <w:rPr>
          <w:rFonts w:hint="eastAsia" w:ascii="Tahoma" w:cs="Tahoma"/>
          <w:color w:val="000000" w:themeColor="text1"/>
          <w:szCs w:val="21"/>
          <w:highlight w:val="none"/>
          <w14:textFill>
            <w14:solidFill>
              <w14:schemeClr w14:val="tx1"/>
            </w14:solidFill>
          </w14:textFill>
        </w:rPr>
        <w:t>2</w:t>
      </w:r>
      <w:r>
        <w:rPr>
          <w:rFonts w:ascii="Tahoma" w:cs="Tahoma"/>
          <w:color w:val="000000" w:themeColor="text1"/>
          <w:szCs w:val="21"/>
          <w:highlight w:val="none"/>
          <w14:textFill>
            <w14:solidFill>
              <w14:schemeClr w14:val="tx1"/>
            </w14:solidFill>
          </w14:textFill>
        </w:rPr>
        <w:t>）出现影响采购公正的违法、违规行为的；</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cs="Tahoma"/>
          <w:color w:val="000000" w:themeColor="text1"/>
          <w:szCs w:val="21"/>
          <w:highlight w:val="none"/>
          <w14:textFill>
            <w14:solidFill>
              <w14:schemeClr w14:val="tx1"/>
            </w14:solidFill>
          </w14:textFill>
        </w:rPr>
        <w:t>　（</w:t>
      </w:r>
      <w:r>
        <w:rPr>
          <w:rFonts w:hint="eastAsia" w:ascii="Tahoma" w:cs="Tahoma"/>
          <w:color w:val="000000" w:themeColor="text1"/>
          <w:szCs w:val="21"/>
          <w:highlight w:val="none"/>
          <w14:textFill>
            <w14:solidFill>
              <w14:schemeClr w14:val="tx1"/>
            </w14:solidFill>
          </w14:textFill>
        </w:rPr>
        <w:t>3</w:t>
      </w:r>
      <w:r>
        <w:rPr>
          <w:rFonts w:ascii="Tahoma" w:cs="Tahoma"/>
          <w:color w:val="000000" w:themeColor="text1"/>
          <w:szCs w:val="21"/>
          <w:highlight w:val="none"/>
          <w14:textFill>
            <w14:solidFill>
              <w14:schemeClr w14:val="tx1"/>
            </w14:solidFill>
          </w14:textFill>
        </w:rPr>
        <w:t>）投标人的报价均超过了采购预算，采购人不能支付的；</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cs="Tahoma"/>
          <w:color w:val="000000" w:themeColor="text1"/>
          <w:szCs w:val="21"/>
          <w:highlight w:val="none"/>
          <w14:textFill>
            <w14:solidFill>
              <w14:schemeClr w14:val="tx1"/>
            </w14:solidFill>
          </w14:textFill>
        </w:rPr>
        <w:t>　（</w:t>
      </w:r>
      <w:r>
        <w:rPr>
          <w:rFonts w:hint="eastAsia" w:ascii="Tahoma" w:cs="Tahoma"/>
          <w:color w:val="000000" w:themeColor="text1"/>
          <w:szCs w:val="21"/>
          <w:highlight w:val="none"/>
          <w14:textFill>
            <w14:solidFill>
              <w14:schemeClr w14:val="tx1"/>
            </w14:solidFill>
          </w14:textFill>
        </w:rPr>
        <w:t>4</w:t>
      </w:r>
      <w:r>
        <w:rPr>
          <w:rFonts w:ascii="Tahoma" w:cs="Tahoma"/>
          <w:color w:val="000000" w:themeColor="text1"/>
          <w:szCs w:val="21"/>
          <w:highlight w:val="none"/>
          <w14:textFill>
            <w14:solidFill>
              <w14:schemeClr w14:val="tx1"/>
            </w14:solidFill>
          </w14:textFill>
        </w:rPr>
        <w:t>）因重大变故，采购任务取消的。</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cs="Tahoma"/>
          <w:color w:val="000000" w:themeColor="text1"/>
          <w:szCs w:val="21"/>
          <w:highlight w:val="none"/>
          <w14:textFill>
            <w14:solidFill>
              <w14:schemeClr w14:val="tx1"/>
            </w14:solidFill>
          </w14:textFill>
        </w:rPr>
        <w:t>8.1.2</w:t>
      </w:r>
      <w:r>
        <w:rPr>
          <w:rFonts w:hint="eastAsia" w:ascii="Tahoma" w:hAnsi="Tahoma" w:cs="Tahoma"/>
          <w:color w:val="000000" w:themeColor="text1"/>
          <w:szCs w:val="21"/>
          <w:highlight w:val="none"/>
          <w14:textFill>
            <w14:solidFill>
              <w14:schemeClr w14:val="tx1"/>
            </w14:solidFill>
          </w14:textFill>
        </w:rPr>
        <w:t>如果排名第一、二的中标候选人，直至排名第三的中标候选人因不可抗力或自身原因放弃中标结果，本次招标宣布失败。</w:t>
      </w:r>
      <w:r>
        <w:rPr>
          <w:rFonts w:ascii="Tahoma" w:hAnsi="Tahoma" w:cs="Tahoma"/>
          <w:color w:val="000000" w:themeColor="text1"/>
          <w:szCs w:val="21"/>
          <w:highlight w:val="none"/>
          <w14:textFill>
            <w14:solidFill>
              <w14:schemeClr w14:val="tx1"/>
            </w14:solidFill>
          </w14:textFill>
        </w:rPr>
        <w:t>招标人应</w:t>
      </w:r>
      <w:r>
        <w:rPr>
          <w:rFonts w:hint="eastAsia" w:ascii="Tahoma" w:hAnsi="Tahoma" w:cs="Tahoma"/>
          <w:color w:val="000000" w:themeColor="text1"/>
          <w:szCs w:val="21"/>
          <w:highlight w:val="none"/>
          <w14:textFill>
            <w14:solidFill>
              <w14:schemeClr w14:val="tx1"/>
            </w14:solidFill>
          </w14:textFill>
        </w:rPr>
        <w:t>依法按规定</w:t>
      </w:r>
      <w:r>
        <w:rPr>
          <w:rFonts w:ascii="Tahoma" w:hAnsi="Tahoma" w:cs="Tahoma"/>
          <w:color w:val="000000" w:themeColor="text1"/>
          <w:szCs w:val="21"/>
          <w:highlight w:val="none"/>
          <w14:textFill>
            <w14:solidFill>
              <w14:schemeClr w14:val="tx1"/>
            </w14:solidFill>
          </w14:textFill>
        </w:rPr>
        <w:t>重新组织招标。</w:t>
      </w:r>
    </w:p>
    <w:p>
      <w:pPr>
        <w:spacing w:line="320" w:lineRule="exact"/>
        <w:rPr>
          <w:rFonts w:ascii="Tahoma" w:hAnsi="Tahoma" w:cs="Tahoma"/>
          <w:b/>
          <w:color w:val="000000" w:themeColor="text1"/>
          <w:szCs w:val="21"/>
          <w:highlight w:val="none"/>
          <w14:textFill>
            <w14:solidFill>
              <w14:schemeClr w14:val="tx1"/>
            </w14:solidFill>
          </w14:textFill>
        </w:rPr>
      </w:pPr>
      <w:r>
        <w:rPr>
          <w:rFonts w:hint="eastAsia" w:ascii="Tahoma" w:hAnsi="Tahoma" w:cs="Tahoma"/>
          <w:b/>
          <w:color w:val="000000" w:themeColor="text1"/>
          <w:szCs w:val="21"/>
          <w:highlight w:val="none"/>
          <w14:textFill>
            <w14:solidFill>
              <w14:schemeClr w14:val="tx1"/>
            </w14:solidFill>
          </w14:textFill>
        </w:rPr>
        <w:t>8.2</w:t>
      </w:r>
      <w:r>
        <w:rPr>
          <w:rFonts w:hint="eastAsia" w:ascii="Tahoma" w:cs="Tahoma"/>
          <w:b/>
          <w:color w:val="000000" w:themeColor="text1"/>
          <w:szCs w:val="21"/>
          <w:highlight w:val="none"/>
          <w14:textFill>
            <w14:solidFill>
              <w14:schemeClr w14:val="tx1"/>
            </w14:solidFill>
          </w14:textFill>
        </w:rPr>
        <w:t>其他方式采购</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cs="Tahoma"/>
          <w:color w:val="000000" w:themeColor="text1"/>
          <w:szCs w:val="21"/>
          <w:highlight w:val="none"/>
          <w14:textFill>
            <w14:solidFill>
              <w14:schemeClr w14:val="tx1"/>
            </w14:solidFill>
          </w14:textFill>
        </w:rPr>
        <w:t>8.2.1</w:t>
      </w:r>
      <w:r>
        <w:rPr>
          <w:rFonts w:ascii="Tahoma" w:cs="Tahoma"/>
          <w:color w:val="000000" w:themeColor="text1"/>
          <w:szCs w:val="21"/>
          <w:highlight w:val="none"/>
          <w14:textFill>
            <w14:solidFill>
              <w14:schemeClr w14:val="tx1"/>
            </w14:solidFill>
          </w14:textFill>
        </w:rPr>
        <w:t>需要采取其他方式采购的，</w:t>
      </w:r>
      <w:r>
        <w:rPr>
          <w:rFonts w:hint="eastAsia" w:ascii="Tahoma" w:cs="Tahoma"/>
          <w:color w:val="000000" w:themeColor="text1"/>
          <w:szCs w:val="21"/>
          <w:highlight w:val="none"/>
          <w14:textFill>
            <w14:solidFill>
              <w14:schemeClr w14:val="tx1"/>
            </w14:solidFill>
          </w14:textFill>
        </w:rPr>
        <w:t>采购人应当依法报财政部门批准</w:t>
      </w:r>
      <w:r>
        <w:rPr>
          <w:rFonts w:ascii="Tahoma" w:cs="Tahoma"/>
          <w:color w:val="000000" w:themeColor="text1"/>
          <w:szCs w:val="21"/>
          <w:highlight w:val="none"/>
          <w14:textFill>
            <w14:solidFill>
              <w14:schemeClr w14:val="tx1"/>
            </w14:solidFill>
          </w14:textFill>
        </w:rPr>
        <w:t>。</w:t>
      </w:r>
    </w:p>
    <w:p>
      <w:pPr>
        <w:spacing w:line="320" w:lineRule="exact"/>
        <w:jc w:val="center"/>
        <w:rPr>
          <w:rFonts w:ascii="Tahoma" w:hAnsi="Tahoma" w:cs="Tahoma"/>
          <w:b/>
          <w:color w:val="000000" w:themeColor="text1"/>
          <w:sz w:val="24"/>
          <w:highlight w:val="none"/>
          <w14:textFill>
            <w14:solidFill>
              <w14:schemeClr w14:val="tx1"/>
            </w14:solidFill>
          </w14:textFill>
        </w:rPr>
      </w:pPr>
      <w:r>
        <w:rPr>
          <w:rFonts w:ascii="Tahoma" w:hAnsi="Tahoma" w:cs="Tahoma"/>
          <w:b/>
          <w:color w:val="000000" w:themeColor="text1"/>
          <w:sz w:val="24"/>
          <w:highlight w:val="none"/>
          <w14:textFill>
            <w14:solidFill>
              <w14:schemeClr w14:val="tx1"/>
            </w14:solidFill>
          </w14:textFill>
        </w:rPr>
        <w:t>9、</w:t>
      </w:r>
      <w:r>
        <w:rPr>
          <w:rFonts w:ascii="Tahoma" w:hAnsi="Tahoma" w:eastAsia="黑体" w:cs="Tahoma"/>
          <w:b/>
          <w:color w:val="000000" w:themeColor="text1"/>
          <w:sz w:val="24"/>
          <w:highlight w:val="none"/>
          <w14:textFill>
            <w14:solidFill>
              <w14:schemeClr w14:val="tx1"/>
            </w14:solidFill>
          </w14:textFill>
        </w:rPr>
        <w:t>纪律和监督</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9.1 对招标人的纪律要求</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color w:val="000000" w:themeColor="text1"/>
          <w:szCs w:val="21"/>
          <w:highlight w:val="none"/>
          <w14:textFill>
            <w14:solidFill>
              <w14:schemeClr w14:val="tx1"/>
            </w14:solidFill>
          </w14:textFill>
        </w:rPr>
        <w:t xml:space="preserve">    招标人不得泄露招标投标活动中应当保密的情况和资料，不得与投标人串通损害国家利益、社会公共利益或者他人合法利益。招标人不得有下列行为之一：</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（1）与投标人恶意串通的；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（2）在采购过程中接受贿赂或者获取其他不正当利益的；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（3）在有关部门依法实施的监督检查中提供虚假情况的；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（4）开标前泄露已获取招标文件的潜在投标人的名称、数量、标底或者其他可能影响公平竞争的有关招标投标情况的。 </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（5）法律、法规规定的其他违法、违规情形。</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9.2 对投标人的纪律要求</w:t>
      </w:r>
    </w:p>
    <w:p>
      <w:pPr>
        <w:spacing w:line="320" w:lineRule="exact"/>
        <w:ind w:right="248"/>
        <w:rPr>
          <w:rFonts w:ascii="Tahoma" w:hAnsi="Tahoma" w:eastAsia="新宋体" w:cs="Tahoma"/>
          <w:color w:val="000000" w:themeColor="text1"/>
          <w:szCs w:val="21"/>
          <w:highlight w:val="none"/>
          <w14:textFill>
            <w14:solidFill>
              <w14:schemeClr w14:val="tx1"/>
            </w14:solidFill>
          </w14:textFill>
        </w:rPr>
      </w:pPr>
      <w:r>
        <w:rPr>
          <w:rFonts w:ascii="Tahoma" w:hAnsi="Tahoma" w:eastAsia="新宋体" w:cs="Tahoma"/>
          <w:color w:val="000000" w:themeColor="text1"/>
          <w:szCs w:val="21"/>
          <w:highlight w:val="none"/>
          <w14:textFill>
            <w14:solidFill>
              <w14:schemeClr w14:val="tx1"/>
            </w14:solidFill>
          </w14:textFill>
        </w:rPr>
        <w:t>9.2.1投标人不得相互串通投标或者与招标人串通投标，不得向招标人或者评标委员会成员行贿谋取中标，不得以其它方式弄虚作假骗取中标；投标人不得以任何方式干扰、影响评标工作。</w:t>
      </w:r>
      <w:bookmarkStart w:id="17" w:name="_Toc221950237"/>
      <w:r>
        <w:rPr>
          <w:rFonts w:ascii="Tahoma" w:hAnsi="Tahoma" w:eastAsia="新宋体" w:cs="Tahoma"/>
          <w:color w:val="000000" w:themeColor="text1"/>
          <w:szCs w:val="21"/>
          <w:highlight w:val="none"/>
          <w14:textFill>
            <w14:solidFill>
              <w14:schemeClr w14:val="tx1"/>
            </w14:solidFill>
          </w14:textFill>
        </w:rPr>
        <w:t>投标人不得有下列行为之一：</w:t>
      </w:r>
    </w:p>
    <w:bookmarkEnd w:id="17"/>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bookmarkStart w:id="18" w:name="_Toc221950238"/>
      <w:r>
        <w:rPr>
          <w:rFonts w:ascii="Tahoma" w:hAnsi="Tahoma" w:cs="Tahoma"/>
          <w:color w:val="000000" w:themeColor="text1"/>
          <w:kern w:val="0"/>
          <w:szCs w:val="21"/>
          <w:highlight w:val="none"/>
          <w14:textFill>
            <w14:solidFill>
              <w14:schemeClr w14:val="tx1"/>
            </w14:solidFill>
          </w14:textFill>
        </w:rPr>
        <w:t xml:space="preserve">（1）提供虚假材料谋取中标的；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（2）采取不正当手段诋毁、排挤其他投标人的；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（3）与招标采购单位、其他投标人恶意串通的；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（4）向招标采购单位行贿或者提供其他不正当利益的；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（5）在招标过程中与招标采购单位进行协商</w:t>
      </w:r>
      <w:r>
        <w:rPr>
          <w:rFonts w:hint="eastAsia" w:ascii="Tahoma" w:hAnsi="Tahoma" w:cs="Tahoma"/>
          <w:color w:val="000000" w:themeColor="text1"/>
          <w:kern w:val="0"/>
          <w:szCs w:val="21"/>
          <w:highlight w:val="none"/>
          <w14:textFill>
            <w14:solidFill>
              <w14:schemeClr w14:val="tx1"/>
            </w14:solidFill>
          </w14:textFill>
        </w:rPr>
        <w:t>招标</w:t>
      </w:r>
      <w:r>
        <w:rPr>
          <w:rFonts w:ascii="Tahoma" w:hAnsi="Tahoma" w:cs="Tahoma"/>
          <w:color w:val="000000" w:themeColor="text1"/>
          <w:kern w:val="0"/>
          <w:szCs w:val="21"/>
          <w:highlight w:val="none"/>
          <w14:textFill>
            <w14:solidFill>
              <w14:schemeClr w14:val="tx1"/>
            </w14:solidFill>
          </w14:textFill>
        </w:rPr>
        <w:t xml:space="preserve">、不按照招标文件和中标供应商的投标文件订立合同，或者与采购人另行订立背离合同实质性内容的协议的；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　（6）拒绝有关部门监督检查或者提供虚假情况的； </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（7）法律、法规规定的其他违法、违规情形。</w:t>
      </w:r>
    </w:p>
    <w:bookmarkEnd w:id="18"/>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9.3 对评标委员会成员的纪律要求</w:t>
      </w:r>
    </w:p>
    <w:p>
      <w:pPr>
        <w:spacing w:line="32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评标委员会成员不得收受他人的财物或者其他好处，不得向他人透漏对</w:t>
      </w:r>
      <w:r>
        <w:rPr>
          <w:rFonts w:ascii="Tahoma" w:hAnsi="Tahoma" w:eastAsia="新宋体" w:cs="Tahoma"/>
          <w:color w:val="000000" w:themeColor="text1"/>
          <w:szCs w:val="21"/>
          <w:highlight w:val="none"/>
          <w14:textFill>
            <w14:solidFill>
              <w14:schemeClr w14:val="tx1"/>
            </w14:solidFill>
          </w14:textFill>
        </w:rPr>
        <w:t>投标文件的评审和比较、中标候选人的推荐情况以及评标有关的其他情况。在评标活动中，评标委员会成员不得擅离职守，影响评标程序正常进行。</w:t>
      </w:r>
      <w:r>
        <w:rPr>
          <w:rFonts w:ascii="Tahoma" w:hAnsi="Tahoma" w:cs="Tahoma"/>
          <w:color w:val="000000" w:themeColor="text1"/>
          <w:szCs w:val="21"/>
          <w:highlight w:val="none"/>
          <w14:textFill>
            <w14:solidFill>
              <w14:schemeClr w14:val="tx1"/>
            </w14:solidFill>
          </w14:textFill>
        </w:rPr>
        <w:t>评标委员</w:t>
      </w:r>
      <w:r>
        <w:rPr>
          <w:rFonts w:ascii="Tahoma" w:hAnsi="Tahoma" w:eastAsia="新宋体" w:cs="Tahoma"/>
          <w:color w:val="000000" w:themeColor="text1"/>
          <w:szCs w:val="21"/>
          <w:highlight w:val="none"/>
          <w14:textFill>
            <w14:solidFill>
              <w14:schemeClr w14:val="tx1"/>
            </w14:solidFill>
          </w14:textFill>
        </w:rPr>
        <w:t>不得有下列行为之一</w:t>
      </w:r>
      <w:r>
        <w:rPr>
          <w:rFonts w:ascii="Tahoma" w:hAnsi="Tahoma" w:cs="Tahoma"/>
          <w:color w:val="000000" w:themeColor="text1"/>
          <w:szCs w:val="21"/>
          <w:highlight w:val="none"/>
          <w14:textFill>
            <w14:solidFill>
              <w14:schemeClr w14:val="tx1"/>
            </w14:solidFill>
          </w14:textFill>
        </w:rPr>
        <w:t xml:space="preserve">： </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（1）明知应当回避而未主动回避的； </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（2）在知道自己为评委会成员身份后至评标结束前的时段内私下接触投标供应商的；</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（3）在评标过程中擅离职守，影响评标程序正常进行的； </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xml:space="preserve">（4）在评标过程中有明显不合理或者不正当倾向性的； </w:t>
      </w:r>
    </w:p>
    <w:p>
      <w:pPr>
        <w:spacing w:line="32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　（5）未按招标文件规定的评标方法和标准进行评标的。</w:t>
      </w:r>
    </w:p>
    <w:p>
      <w:pPr>
        <w:spacing w:line="32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（6）</w:t>
      </w:r>
      <w:r>
        <w:rPr>
          <w:rFonts w:ascii="Tahoma" w:hAnsi="Tahoma" w:cs="Tahoma"/>
          <w:color w:val="000000" w:themeColor="text1"/>
          <w:szCs w:val="21"/>
          <w:highlight w:val="none"/>
          <w14:textFill>
            <w14:solidFill>
              <w14:schemeClr w14:val="tx1"/>
            </w14:solidFill>
          </w14:textFill>
        </w:rPr>
        <w:t>法律、法规规定的其他违法、违规情形。</w:t>
      </w:r>
      <w:r>
        <w:rPr>
          <w:rFonts w:ascii="Tahoma" w:hAnsi="Tahoma" w:cs="Tahoma"/>
          <w:color w:val="000000" w:themeColor="text1"/>
          <w:kern w:val="0"/>
          <w:szCs w:val="21"/>
          <w:highlight w:val="none"/>
          <w14:textFill>
            <w14:solidFill>
              <w14:schemeClr w14:val="tx1"/>
            </w14:solidFill>
          </w14:textFill>
        </w:rPr>
        <w:t xml:space="preserve"> </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9.4 对与评标活动有关的工作人员的纪律要求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与评标活动有关的工作人员不得收受他人的财物或者其他好处，不得向他人透漏对投</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标文件的评审和比较、中标候选人的推荐情况以及评标有关的其他情况。在评标活动中，与评标活动有关的工作人员不得擅离职守，影响评标程序正常进行。</w:t>
      </w:r>
    </w:p>
    <w:p>
      <w:pPr>
        <w:spacing w:line="320" w:lineRule="exac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9.5 监督检查</w:t>
      </w:r>
    </w:p>
    <w:p>
      <w:pPr>
        <w:spacing w:line="320" w:lineRule="exact"/>
        <w:rPr>
          <w:rFonts w:ascii="Tahoma" w:hAnsi="Tahoma" w:eastAsia="新宋体"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9.5.1政府采购监督管理部门应对在政府采购活动中的当事人有关政府采购的法律、行政法规和规章的执行情况和采购范围、采购方式和采购程序的执行等情况进行监督检查</w:t>
      </w:r>
      <w:r>
        <w:rPr>
          <w:rFonts w:ascii="Tahoma" w:hAnsi="Tahoma" w:eastAsia="新宋体"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9.5.2招标项目行政监督部门可视情依法派员对招标活动的全程进行监督。</w:t>
      </w:r>
    </w:p>
    <w:p>
      <w:pPr>
        <w:spacing w:line="320" w:lineRule="exact"/>
        <w:jc w:val="center"/>
        <w:rPr>
          <w:rFonts w:ascii="Tahoma" w:hAnsi="Tahoma" w:cs="Tahoma"/>
          <w:b/>
          <w:color w:val="000000" w:themeColor="text1"/>
          <w:sz w:val="24"/>
          <w:highlight w:val="none"/>
          <w14:textFill>
            <w14:solidFill>
              <w14:schemeClr w14:val="tx1"/>
            </w14:solidFill>
          </w14:textFill>
        </w:rPr>
      </w:pPr>
    </w:p>
    <w:p>
      <w:pPr>
        <w:spacing w:line="320" w:lineRule="exact"/>
        <w:jc w:val="center"/>
        <w:rPr>
          <w:rFonts w:ascii="Tahoma" w:hAnsi="Tahoma" w:cs="Tahoma"/>
          <w:b/>
          <w:color w:val="000000" w:themeColor="text1"/>
          <w:sz w:val="24"/>
          <w:highlight w:val="none"/>
          <w14:textFill>
            <w14:solidFill>
              <w14:schemeClr w14:val="tx1"/>
            </w14:solidFill>
          </w14:textFill>
        </w:rPr>
      </w:pPr>
      <w:r>
        <w:rPr>
          <w:rFonts w:ascii="Tahoma" w:hAnsi="Tahoma" w:cs="Tahoma"/>
          <w:b/>
          <w:color w:val="000000" w:themeColor="text1"/>
          <w:sz w:val="24"/>
          <w:highlight w:val="none"/>
          <w14:textFill>
            <w14:solidFill>
              <w14:schemeClr w14:val="tx1"/>
            </w14:solidFill>
          </w14:textFill>
        </w:rPr>
        <w:t>10、</w:t>
      </w:r>
      <w:r>
        <w:rPr>
          <w:rFonts w:ascii="Tahoma" w:hAnsi="Tahoma" w:eastAsia="黑体" w:cs="Tahoma"/>
          <w:b/>
          <w:color w:val="000000" w:themeColor="text1"/>
          <w:sz w:val="24"/>
          <w:highlight w:val="none"/>
          <w14:textFill>
            <w14:solidFill>
              <w14:schemeClr w14:val="tx1"/>
            </w14:solidFill>
          </w14:textFill>
        </w:rPr>
        <w:t>需要补充的其他内容</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10.1质疑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10.1.1供应商对政府采购活动事项有疑问的，可以向采购人提出询问，采购人应当及时作出答复，但答复的内容不得涉及商业秘密。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10.1.2供应商认为采购文件、采购过程和成交结果使自己的权益受到损害的，可以在知道或者应知其权益受到损害之日起</w:t>
      </w:r>
      <w:r>
        <w:rPr>
          <w:rFonts w:hint="eastAsia" w:ascii="Tahoma" w:hAnsi="Tahoma" w:cs="Tahoma"/>
          <w:color w:val="000000" w:themeColor="text1"/>
          <w:szCs w:val="21"/>
          <w:highlight w:val="none"/>
          <w14:textFill>
            <w14:solidFill>
              <w14:schemeClr w14:val="tx1"/>
            </w14:solidFill>
          </w14:textFill>
        </w:rPr>
        <w:t>在规定的期限</w:t>
      </w:r>
      <w:r>
        <w:rPr>
          <w:rFonts w:ascii="Tahoma" w:hAnsi="Tahoma" w:cs="Tahoma"/>
          <w:color w:val="000000" w:themeColor="text1"/>
          <w:szCs w:val="21"/>
          <w:highlight w:val="none"/>
          <w14:textFill>
            <w14:solidFill>
              <w14:schemeClr w14:val="tx1"/>
            </w14:solidFill>
          </w14:textFill>
        </w:rPr>
        <w:t>内，以书面形式向采购人提出质疑。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10.1.3采购人应当在收到供应商的书面质疑后七个工作日内作出答复，并以书面形式通知质疑供应商和其他有关供应商，但答复的内容不得涉及商业秘密。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10.1.4采购人委托采购代理机构采购的，供应商可以向采购代理机构提出询问或者质疑，采购代理机构应当依照本法第10.1.1条、第10.1.3条的规定就采购人委托授权范围内的事项作出答复。</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10.2投诉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10.2.1质疑供应商对采购人、采购代理机构的答复不满意或者采购人、采购代理机构未在规定的时间内作出答复的，可以在答复期满后十五个工作日内向同级政府采购监督管理部门投诉。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10.2.2政府采购监督管理部门应当在收到投诉后三十个工作日内，对投诉事项作出处理决定，并以书面形式通知投诉人和与投诉事项有关的当事人。</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10.2.3政府采购监督管理部门在处理投诉事项期间，可以视具体情况书面通知采购人暂停采购活动，但暂停时间最长不得超过三十日。</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10.2.4投诉人对政府采购监督管理部门的投诉处理决定不服或者政府采购监督管理部门逾期未作处理的，可以依法申请行政复议或者向人民法院提起行政诉讼。</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10.3其他</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10.3.1投标人出席开标会，详见投标人须知前附表。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10.3.2通讯联系，详见投标人须知前附表。</w:t>
      </w:r>
    </w:p>
    <w:p>
      <w:pPr>
        <w:spacing w:line="360" w:lineRule="auto"/>
        <w:ind w:firstLine="723" w:firstLineChars="200"/>
        <w:rPr>
          <w:rFonts w:ascii="Tahoma" w:hAnsi="Tahoma" w:cs="Tahoma"/>
          <w:b/>
          <w:color w:val="000000" w:themeColor="text1"/>
          <w:sz w:val="36"/>
          <w:highlight w:val="none"/>
          <w14:textFill>
            <w14:solidFill>
              <w14:schemeClr w14:val="tx1"/>
            </w14:solidFill>
          </w14:textFill>
        </w:rPr>
      </w:pPr>
    </w:p>
    <w:p>
      <w:pPr>
        <w:rPr>
          <w:rFonts w:ascii="Tahoma" w:hAnsi="Tahoma" w:cs="Tahoma"/>
          <w:b/>
          <w:color w:val="000000" w:themeColor="text1"/>
          <w:sz w:val="36"/>
          <w:highlight w:val="none"/>
          <w14:textFill>
            <w14:solidFill>
              <w14:schemeClr w14:val="tx1"/>
            </w14:solidFill>
          </w14:textFill>
        </w:rPr>
      </w:pPr>
    </w:p>
    <w:p>
      <w:pPr>
        <w:rPr>
          <w:rFonts w:ascii="Tahoma" w:hAnsi="Tahoma" w:cs="Tahoma"/>
          <w:b/>
          <w:color w:val="000000" w:themeColor="text1"/>
          <w:sz w:val="36"/>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spacing w:line="200" w:lineRule="atLeast"/>
        <w:rPr>
          <w:rFonts w:ascii="Tahoma" w:hAnsi="Tahoma" w:cs="Tahoma"/>
          <w:color w:val="000000" w:themeColor="text1"/>
          <w:highlight w:val="none"/>
          <w14:textFill>
            <w14:solidFill>
              <w14:schemeClr w14:val="tx1"/>
            </w14:solidFill>
          </w14:textFill>
        </w:rPr>
      </w:pPr>
    </w:p>
    <w:p>
      <w:pPr>
        <w:jc w:val="center"/>
        <w:outlineLvl w:val="0"/>
        <w:rPr>
          <w:rFonts w:ascii="Tahoma" w:hAnsi="Tahoma" w:eastAsia="黑体" w:cs="Tahoma"/>
          <w:b/>
          <w:color w:val="000000" w:themeColor="text1"/>
          <w:sz w:val="44"/>
          <w:highlight w:val="none"/>
          <w14:textFill>
            <w14:solidFill>
              <w14:schemeClr w14:val="tx1"/>
            </w14:solidFill>
          </w14:textFill>
        </w:rPr>
      </w:pPr>
      <w:bookmarkStart w:id="19" w:name="_Toc17885"/>
      <w:bookmarkStart w:id="20" w:name="_Toc20058"/>
      <w:r>
        <w:rPr>
          <w:rFonts w:ascii="Tahoma" w:hAnsi="Tahoma" w:eastAsia="黑体" w:cs="Tahoma"/>
          <w:b/>
          <w:color w:val="000000" w:themeColor="text1"/>
          <w:sz w:val="44"/>
          <w:highlight w:val="none"/>
          <w14:textFill>
            <w14:solidFill>
              <w14:schemeClr w14:val="tx1"/>
            </w14:solidFill>
          </w14:textFill>
        </w:rPr>
        <w:t>第三章  评标办法</w:t>
      </w:r>
      <w:bookmarkEnd w:id="19"/>
      <w:bookmarkEnd w:id="20"/>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napToGrid w:val="0"/>
        <w:spacing w:line="240" w:lineRule="exact"/>
        <w:ind w:left="51" w:leftChars="-1" w:hanging="53" w:hangingChars="25"/>
        <w:jc w:val="center"/>
        <w:rPr>
          <w:rFonts w:ascii="Tahoma" w:hAnsi="Tahoma" w:cs="Tahoma"/>
          <w:b/>
          <w:bCs/>
          <w:color w:val="000000" w:themeColor="text1"/>
          <w:szCs w:val="28"/>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pStyle w:val="19"/>
        <w:rPr>
          <w:rFonts w:ascii="Tahoma" w:hAnsi="Tahoma" w:cs="Tahoma"/>
          <w:b/>
          <w:bCs/>
          <w:color w:val="000000" w:themeColor="text1"/>
          <w:kern w:val="0"/>
          <w:sz w:val="30"/>
          <w:szCs w:val="30"/>
          <w:highlight w:val="none"/>
          <w14:textFill>
            <w14:solidFill>
              <w14:schemeClr w14:val="tx1"/>
            </w14:solidFill>
          </w14:textFill>
        </w:rPr>
      </w:pPr>
    </w:p>
    <w:p>
      <w:pPr>
        <w:pStyle w:val="19"/>
        <w:rPr>
          <w:rFonts w:ascii="Tahoma" w:hAnsi="Tahoma" w:cs="Tahoma"/>
          <w:b/>
          <w:bCs/>
          <w:color w:val="000000" w:themeColor="text1"/>
          <w:kern w:val="0"/>
          <w:sz w:val="30"/>
          <w:szCs w:val="30"/>
          <w:highlight w:val="none"/>
          <w14:textFill>
            <w14:solidFill>
              <w14:schemeClr w14:val="tx1"/>
            </w14:solidFill>
          </w14:textFill>
        </w:rPr>
      </w:pPr>
    </w:p>
    <w:p>
      <w:pPr>
        <w:pStyle w:val="19"/>
        <w:rPr>
          <w:rFonts w:ascii="Tahoma" w:hAnsi="Tahoma" w:cs="Tahoma"/>
          <w:b/>
          <w:bCs/>
          <w:color w:val="000000" w:themeColor="text1"/>
          <w:kern w:val="0"/>
          <w:sz w:val="30"/>
          <w:szCs w:val="30"/>
          <w:highlight w:val="none"/>
          <w14:textFill>
            <w14:solidFill>
              <w14:schemeClr w14:val="tx1"/>
            </w14:solidFill>
          </w14:textFill>
        </w:rPr>
      </w:pPr>
    </w:p>
    <w:p>
      <w:pPr>
        <w:pStyle w:val="19"/>
        <w:rPr>
          <w:rFonts w:ascii="Tahoma" w:hAnsi="Tahoma" w:cs="Tahoma"/>
          <w:b/>
          <w:bCs/>
          <w:color w:val="000000" w:themeColor="text1"/>
          <w:kern w:val="0"/>
          <w:sz w:val="30"/>
          <w:szCs w:val="30"/>
          <w:highlight w:val="none"/>
          <w14:textFill>
            <w14:solidFill>
              <w14:schemeClr w14:val="tx1"/>
            </w14:solidFill>
          </w14:textFill>
        </w:rPr>
      </w:pPr>
    </w:p>
    <w:p>
      <w:pPr>
        <w:pStyle w:val="19"/>
        <w:rPr>
          <w:rFonts w:ascii="Tahoma" w:hAnsi="Tahoma" w:cs="Tahoma"/>
          <w:b/>
          <w:bCs/>
          <w:color w:val="000000" w:themeColor="text1"/>
          <w:kern w:val="0"/>
          <w:sz w:val="30"/>
          <w:szCs w:val="30"/>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shd w:val="clear" w:color="auto" w:fill="FFFFFF"/>
        <w:snapToGrid w:val="0"/>
        <w:spacing w:line="240" w:lineRule="exact"/>
        <w:jc w:val="center"/>
        <w:outlineLvl w:val="3"/>
        <w:rPr>
          <w:rFonts w:ascii="Tahoma" w:hAnsi="Tahoma" w:cs="Tahoma"/>
          <w:b/>
          <w:bCs/>
          <w:color w:val="000000" w:themeColor="text1"/>
          <w:kern w:val="0"/>
          <w:sz w:val="30"/>
          <w:szCs w:val="30"/>
          <w:highlight w:val="none"/>
          <w14:textFill>
            <w14:solidFill>
              <w14:schemeClr w14:val="tx1"/>
            </w14:solidFill>
          </w14:textFill>
        </w:rPr>
      </w:pPr>
    </w:p>
    <w:p>
      <w:pPr>
        <w:shd w:val="clear" w:color="auto" w:fill="FFFFFF"/>
        <w:snapToGrid w:val="0"/>
        <w:spacing w:line="360" w:lineRule="auto"/>
        <w:jc w:val="center"/>
        <w:outlineLvl w:val="3"/>
        <w:rPr>
          <w:rFonts w:ascii="Tahoma" w:hAnsi="Tahoma" w:cs="Tahoma"/>
          <w:b/>
          <w:bCs/>
          <w:color w:val="000000" w:themeColor="text1"/>
          <w:kern w:val="0"/>
          <w:sz w:val="24"/>
          <w:highlight w:val="none"/>
          <w14:textFill>
            <w14:solidFill>
              <w14:schemeClr w14:val="tx1"/>
            </w14:solidFill>
          </w14:textFill>
        </w:rPr>
      </w:pPr>
      <w:bookmarkStart w:id="21" w:name="_Toc2889"/>
      <w:bookmarkStart w:id="22" w:name="_Toc30156"/>
      <w:r>
        <w:rPr>
          <w:rFonts w:ascii="Tahoma" w:hAnsi="Tahoma" w:cs="Tahoma"/>
          <w:b/>
          <w:bCs/>
          <w:color w:val="000000" w:themeColor="text1"/>
          <w:kern w:val="0"/>
          <w:sz w:val="24"/>
          <w:highlight w:val="none"/>
          <w14:textFill>
            <w14:solidFill>
              <w14:schemeClr w14:val="tx1"/>
            </w14:solidFill>
          </w14:textFill>
        </w:rPr>
        <w:t>1、</w:t>
      </w:r>
      <w:r>
        <w:rPr>
          <w:rFonts w:ascii="黑体" w:hAnsi="黑体" w:eastAsia="黑体" w:cs="Tahoma"/>
          <w:b/>
          <w:bCs/>
          <w:color w:val="000000" w:themeColor="text1"/>
          <w:kern w:val="0"/>
          <w:sz w:val="24"/>
          <w:highlight w:val="none"/>
          <w14:textFill>
            <w14:solidFill>
              <w14:schemeClr w14:val="tx1"/>
            </w14:solidFill>
          </w14:textFill>
        </w:rPr>
        <w:t>评标办法</w:t>
      </w:r>
    </w:p>
    <w:p>
      <w:pPr>
        <w:spacing w:line="340" w:lineRule="exact"/>
        <w:rPr>
          <w:rFonts w:ascii="Arial" w:hAnsi="Arial" w:cs="Arial"/>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 w:val="24"/>
          <w:highlight w:val="none"/>
          <w14:textFill>
            <w14:solidFill>
              <w14:schemeClr w14:val="tx1"/>
            </w14:solidFill>
          </w14:textFill>
        </w:rPr>
        <w:t xml:space="preserve">    </w:t>
      </w:r>
      <w:r>
        <w:rPr>
          <w:rFonts w:ascii="Tahoma" w:hAnsi="Tahoma" w:cs="Tahoma"/>
          <w:color w:val="000000" w:themeColor="text1"/>
          <w:kern w:val="0"/>
          <w:szCs w:val="21"/>
          <w:highlight w:val="none"/>
          <w14:textFill>
            <w14:solidFill>
              <w14:schemeClr w14:val="tx1"/>
            </w14:solidFill>
          </w14:textFill>
        </w:rPr>
        <w:t>本次评标</w:t>
      </w:r>
      <w:r>
        <w:rPr>
          <w:rFonts w:ascii="Tahoma" w:hAnsi="Tahoma" w:cs="Tahoma"/>
          <w:b/>
          <w:color w:val="000000" w:themeColor="text1"/>
          <w:kern w:val="0"/>
          <w:szCs w:val="21"/>
          <w:highlight w:val="none"/>
          <w14:textFill>
            <w14:solidFill>
              <w14:schemeClr w14:val="tx1"/>
            </w14:solidFill>
          </w14:textFill>
        </w:rPr>
        <w:t>按照《政府采购货物和服务招标投标管理办法》（中华人民共和国财政部令第</w:t>
      </w:r>
      <w:r>
        <w:rPr>
          <w:rFonts w:hint="eastAsia" w:ascii="Tahoma" w:hAnsi="Tahoma" w:cs="Tahoma"/>
          <w:b/>
          <w:color w:val="000000" w:themeColor="text1"/>
          <w:kern w:val="0"/>
          <w:szCs w:val="21"/>
          <w:highlight w:val="none"/>
          <w14:textFill>
            <w14:solidFill>
              <w14:schemeClr w14:val="tx1"/>
            </w14:solidFill>
          </w14:textFill>
        </w:rPr>
        <w:t>87</w:t>
      </w:r>
      <w:r>
        <w:rPr>
          <w:rFonts w:ascii="Tahoma" w:hAnsi="Tahoma" w:cs="Tahoma"/>
          <w:b/>
          <w:color w:val="000000" w:themeColor="text1"/>
          <w:kern w:val="0"/>
          <w:szCs w:val="21"/>
          <w:highlight w:val="none"/>
          <w14:textFill>
            <w14:solidFill>
              <w14:schemeClr w14:val="tx1"/>
            </w14:solidFill>
          </w14:textFill>
        </w:rPr>
        <w:t>号）</w:t>
      </w:r>
      <w:r>
        <w:rPr>
          <w:rFonts w:ascii="Tahoma" w:hAnsi="Tahoma" w:cs="Tahoma"/>
          <w:b/>
          <w:color w:val="000000" w:themeColor="text1"/>
          <w:szCs w:val="21"/>
          <w:highlight w:val="none"/>
          <w14:textFill>
            <w14:solidFill>
              <w14:schemeClr w14:val="tx1"/>
            </w14:solidFill>
          </w14:textFill>
        </w:rPr>
        <w:t>规定的评审标准，采用</w:t>
      </w:r>
      <w:r>
        <w:rPr>
          <w:rFonts w:hint="eastAsia" w:ascii="Arial" w:hAnsi="Arial" w:cs="Arial"/>
          <w:b/>
          <w:bCs/>
          <w:color w:val="000000" w:themeColor="text1"/>
          <w:spacing w:val="8"/>
          <w:kern w:val="0"/>
          <w:szCs w:val="21"/>
          <w:highlight w:val="none"/>
          <w14:textFill>
            <w14:solidFill>
              <w14:schemeClr w14:val="tx1"/>
            </w14:solidFill>
          </w14:textFill>
        </w:rPr>
        <w:t>综合评分</w:t>
      </w:r>
      <w:r>
        <w:rPr>
          <w:rFonts w:ascii="Arial" w:hAnsi="Arial" w:cs="Arial"/>
          <w:b/>
          <w:bCs/>
          <w:color w:val="000000" w:themeColor="text1"/>
          <w:spacing w:val="8"/>
          <w:kern w:val="0"/>
          <w:szCs w:val="21"/>
          <w:highlight w:val="none"/>
          <w14:textFill>
            <w14:solidFill>
              <w14:schemeClr w14:val="tx1"/>
            </w14:solidFill>
          </w14:textFill>
        </w:rPr>
        <w:t>法</w:t>
      </w:r>
      <w:r>
        <w:rPr>
          <w:rFonts w:ascii="Tahoma" w:hAnsi="Tahoma" w:cs="Tahoma"/>
          <w:color w:val="000000" w:themeColor="text1"/>
          <w:kern w:val="0"/>
          <w:szCs w:val="21"/>
          <w:highlight w:val="none"/>
          <w14:textFill>
            <w14:solidFill>
              <w14:schemeClr w14:val="tx1"/>
            </w14:solidFill>
          </w14:textFill>
        </w:rPr>
        <w:t>。评标委员会对</w:t>
      </w:r>
      <w:r>
        <w:rPr>
          <w:rFonts w:hint="eastAsia" w:ascii="Tahoma" w:hAnsi="Tahoma" w:cs="Tahoma"/>
          <w:color w:val="000000" w:themeColor="text1"/>
          <w:kern w:val="0"/>
          <w:szCs w:val="21"/>
          <w:highlight w:val="none"/>
          <w14:textFill>
            <w14:solidFill>
              <w14:schemeClr w14:val="tx1"/>
            </w14:solidFill>
          </w14:textFill>
        </w:rPr>
        <w:t>全部</w:t>
      </w:r>
      <w:r>
        <w:rPr>
          <w:rFonts w:ascii="Tahoma" w:hAnsi="Tahoma" w:cs="Tahoma"/>
          <w:color w:val="000000" w:themeColor="text1"/>
          <w:kern w:val="0"/>
          <w:szCs w:val="21"/>
          <w:highlight w:val="none"/>
          <w14:textFill>
            <w14:solidFill>
              <w14:schemeClr w14:val="tx1"/>
            </w14:solidFill>
          </w14:textFill>
        </w:rPr>
        <w:t>满足招标文件实质性要求前提下，按照招标文件中规定的各项因素进行综合评审后，按评审后得分由高到低顺序排列，</w:t>
      </w:r>
      <w:r>
        <w:rPr>
          <w:color w:val="000000" w:themeColor="text1"/>
          <w:highlight w:val="none"/>
          <w14:textFill>
            <w14:solidFill>
              <w14:schemeClr w14:val="tx1"/>
            </w14:solidFill>
          </w14:textFill>
        </w:rPr>
        <w:t>得分相同的，按投标报价由低到高顺序排列。得分且投标报价相同的并列。投标文件满足招标文件全部实质性要求，且按照评审因素的量化指标评审得分最高的投标人为排名第一的中标候选人。</w:t>
      </w:r>
    </w:p>
    <w:p>
      <w:pPr>
        <w:spacing w:line="340" w:lineRule="exact"/>
        <w:jc w:val="center"/>
        <w:rPr>
          <w:rFonts w:ascii="Tahoma" w:hAnsi="Tahoma" w:cs="Tahoma"/>
          <w:b/>
          <w:bCs/>
          <w:color w:val="000000" w:themeColor="text1"/>
          <w:kern w:val="0"/>
          <w:sz w:val="24"/>
          <w:highlight w:val="none"/>
          <w14:textFill>
            <w14:solidFill>
              <w14:schemeClr w14:val="tx1"/>
            </w14:solidFill>
          </w14:textFill>
        </w:rPr>
      </w:pPr>
      <w:r>
        <w:rPr>
          <w:rFonts w:ascii="Tahoma" w:hAnsi="Tahoma" w:cs="Tahoma"/>
          <w:b/>
          <w:bCs/>
          <w:color w:val="000000" w:themeColor="text1"/>
          <w:kern w:val="0"/>
          <w:sz w:val="24"/>
          <w:highlight w:val="none"/>
          <w14:textFill>
            <w14:solidFill>
              <w14:schemeClr w14:val="tx1"/>
            </w14:solidFill>
          </w14:textFill>
        </w:rPr>
        <w:t>2、</w:t>
      </w:r>
      <w:r>
        <w:rPr>
          <w:rFonts w:ascii="黑体" w:hAnsi="黑体" w:eastAsia="黑体" w:cs="Tahoma"/>
          <w:b/>
          <w:bCs/>
          <w:color w:val="000000" w:themeColor="text1"/>
          <w:kern w:val="0"/>
          <w:sz w:val="24"/>
          <w:highlight w:val="none"/>
          <w14:textFill>
            <w14:solidFill>
              <w14:schemeClr w14:val="tx1"/>
            </w14:solidFill>
          </w14:textFill>
        </w:rPr>
        <w:t>评审标准</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kern w:val="0"/>
          <w:szCs w:val="21"/>
          <w:highlight w:val="none"/>
          <w14:textFill>
            <w14:solidFill>
              <w14:schemeClr w14:val="tx1"/>
            </w14:solidFill>
          </w14:textFill>
        </w:rPr>
        <w:t>2.1 初步评审标准</w:t>
      </w:r>
    </w:p>
    <w:p>
      <w:pPr>
        <w:spacing w:line="340" w:lineRule="exact"/>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2.1.1</w:t>
      </w:r>
      <w:r>
        <w:rPr>
          <w:rFonts w:ascii="Tahoma" w:hAnsi="Tahoma" w:cs="Tahoma"/>
          <w:color w:val="000000" w:themeColor="text1"/>
          <w:kern w:val="0"/>
          <w:szCs w:val="21"/>
          <w:highlight w:val="none"/>
          <w14:textFill>
            <w14:solidFill>
              <w14:schemeClr w14:val="tx1"/>
            </w14:solidFill>
          </w14:textFill>
        </w:rPr>
        <w:t xml:space="preserve">投标文件初审。初审分为资格性检查和符合性检查。 </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w:t>
      </w:r>
      <w:r>
        <w:rPr>
          <w:rFonts w:ascii="Tahoma" w:hAnsi="Tahoma" w:cs="Tahoma"/>
          <w:color w:val="000000" w:themeColor="text1"/>
          <w:kern w:val="0"/>
          <w:szCs w:val="21"/>
          <w:highlight w:val="none"/>
          <w14:textFill>
            <w14:solidFill>
              <w14:schemeClr w14:val="tx1"/>
            </w14:solidFill>
          </w14:textFill>
        </w:rPr>
        <w:t>1</w:t>
      </w:r>
      <w:r>
        <w:rPr>
          <w:rFonts w:hint="eastAsia" w:ascii="Tahoma" w:hAnsi="Tahoma" w:cs="Tahoma"/>
          <w:color w:val="000000" w:themeColor="text1"/>
          <w:kern w:val="0"/>
          <w:szCs w:val="21"/>
          <w:highlight w:val="none"/>
          <w14:textFill>
            <w14:solidFill>
              <w14:schemeClr w14:val="tx1"/>
            </w14:solidFill>
          </w14:textFill>
        </w:rPr>
        <w:t>）资格性检查：依据法律法规和招标文件的规定，在对投标文件详细评估之前，评标委员会将依据投标人提交的投标文件按投标人须知前附表所述的资格标准对投标人进行资格审查，以确定其是否具备投标资格。</w:t>
      </w:r>
      <w:r>
        <w:rPr>
          <w:rFonts w:hint="eastAsia" w:ascii="Tahoma" w:hAnsi="Tahoma" w:cs="Tahoma"/>
          <w:b/>
          <w:color w:val="000000" w:themeColor="text1"/>
          <w:kern w:val="0"/>
          <w:szCs w:val="21"/>
          <w:highlight w:val="none"/>
          <w14:textFill>
            <w14:solidFill>
              <w14:schemeClr w14:val="tx1"/>
            </w14:solidFill>
          </w14:textFill>
        </w:rPr>
        <w:t>如果投标人不具备投标资格，不满足招标文件所规定的资格标准或提供资格证明文件不全的，其投标无效。</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w:t>
      </w:r>
      <w:r>
        <w:rPr>
          <w:rFonts w:ascii="Tahoma" w:hAnsi="Tahoma" w:cs="Tahoma"/>
          <w:color w:val="000000" w:themeColor="text1"/>
          <w:kern w:val="0"/>
          <w:szCs w:val="21"/>
          <w:highlight w:val="none"/>
          <w14:textFill>
            <w14:solidFill>
              <w14:schemeClr w14:val="tx1"/>
            </w14:solidFill>
          </w14:textFill>
        </w:rPr>
        <w:t>2</w:t>
      </w:r>
      <w:r>
        <w:rPr>
          <w:rFonts w:hint="eastAsia" w:ascii="Tahoma" w:hAnsi="Tahoma" w:cs="Tahoma"/>
          <w:color w:val="000000" w:themeColor="text1"/>
          <w:kern w:val="0"/>
          <w:szCs w:val="21"/>
          <w:highlight w:val="none"/>
          <w14:textFill>
            <w14:solidFill>
              <w14:schemeClr w14:val="tx1"/>
            </w14:solidFill>
          </w14:textFill>
        </w:rPr>
        <w:t>）符合性检查：由评标委员会依据有关法律、法规及招标文件的要求，对符合资格的投标人的投标文件进行符合性审查，以确定是否对招标文件的实质性要求做出响应。只有通过符合性审查的投标人的投标文件才能进入下一阶段的评审！</w:t>
      </w:r>
    </w:p>
    <w:p>
      <w:pPr>
        <w:spacing w:line="340" w:lineRule="exact"/>
        <w:rPr>
          <w:rFonts w:ascii="Tahoma" w:hAnsi="Tahoma" w:cs="Tahoma"/>
          <w:b/>
          <w:color w:val="000000" w:themeColor="text1"/>
          <w:kern w:val="0"/>
          <w:szCs w:val="21"/>
          <w:highlight w:val="none"/>
          <w14:textFill>
            <w14:solidFill>
              <w14:schemeClr w14:val="tx1"/>
            </w14:solidFill>
          </w14:textFill>
        </w:rPr>
      </w:pPr>
      <w:r>
        <w:rPr>
          <w:rFonts w:hint="eastAsia" w:ascii="Tahoma" w:hAnsi="Tahoma" w:cs="Tahoma"/>
          <w:b/>
          <w:color w:val="000000" w:themeColor="text1"/>
          <w:kern w:val="0"/>
          <w:szCs w:val="21"/>
          <w:highlight w:val="none"/>
          <w14:textFill>
            <w14:solidFill>
              <w14:schemeClr w14:val="tx1"/>
            </w14:solidFill>
          </w14:textFill>
        </w:rPr>
        <w:t>2.2详细评审</w:t>
      </w:r>
    </w:p>
    <w:p>
      <w:pPr>
        <w:spacing w:line="340" w:lineRule="exact"/>
        <w:ind w:firstLine="210" w:firstLineChars="100"/>
        <w:rPr>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（1）对通过</w:t>
      </w:r>
      <w:r>
        <w:rPr>
          <w:color w:val="000000" w:themeColor="text1"/>
          <w:highlight w:val="none"/>
          <w14:textFill>
            <w14:solidFill>
              <w14:schemeClr w14:val="tx1"/>
            </w14:solidFill>
          </w14:textFill>
        </w:rPr>
        <w:t>符合性</w:t>
      </w:r>
      <w:r>
        <w:rPr>
          <w:rFonts w:hint="eastAsia" w:ascii="Tahoma" w:hAnsi="Tahoma" w:cs="Tahoma"/>
          <w:color w:val="000000" w:themeColor="text1"/>
          <w:highlight w:val="none"/>
          <w14:textFill>
            <w14:solidFill>
              <w14:schemeClr w14:val="tx1"/>
            </w14:solidFill>
          </w14:textFill>
        </w:rPr>
        <w:t>审查的</w:t>
      </w:r>
      <w:r>
        <w:rPr>
          <w:color w:val="000000" w:themeColor="text1"/>
          <w:highlight w:val="none"/>
          <w14:textFill>
            <w14:solidFill>
              <w14:schemeClr w14:val="tx1"/>
            </w14:solidFill>
          </w14:textFill>
        </w:rPr>
        <w:t>投标人的投标文件</w:t>
      </w:r>
      <w:r>
        <w:rPr>
          <w:rFonts w:hint="eastAsia" w:ascii="Tahoma" w:cs="Tahoma"/>
          <w:color w:val="000000" w:themeColor="text1"/>
          <w:highlight w:val="none"/>
          <w14:textFill>
            <w14:solidFill>
              <w14:schemeClr w14:val="tx1"/>
            </w14:solidFill>
          </w14:textFill>
        </w:rPr>
        <w:t>（投标文件满足招标文件全部实质性要求）</w:t>
      </w:r>
      <w:r>
        <w:rPr>
          <w:rFonts w:hint="eastAsia" w:ascii="Tahoma" w:hAnsi="Tahoma" w:cs="Tahoma"/>
          <w:color w:val="000000" w:themeColor="text1"/>
          <w:highlight w:val="none"/>
          <w14:textFill>
            <w14:solidFill>
              <w14:schemeClr w14:val="tx1"/>
            </w14:solidFill>
          </w14:textFill>
        </w:rPr>
        <w:t>进一步进行审查，由评标委员会</w:t>
      </w:r>
      <w:r>
        <w:rPr>
          <w:color w:val="000000" w:themeColor="text1"/>
          <w:highlight w:val="none"/>
          <w14:textFill>
            <w14:solidFill>
              <w14:schemeClr w14:val="tx1"/>
            </w14:solidFill>
          </w14:textFill>
        </w:rPr>
        <w:t>审查、评价投标文件是否符合招标文件的商务、技术等实质性要求</w:t>
      </w:r>
      <w:r>
        <w:rPr>
          <w:rFonts w:hint="eastAsia"/>
          <w:color w:val="000000" w:themeColor="text1"/>
          <w:highlight w:val="none"/>
          <w14:textFill>
            <w14:solidFill>
              <w14:schemeClr w14:val="tx1"/>
            </w14:solidFill>
          </w14:textFill>
        </w:rPr>
        <w:t>。</w:t>
      </w:r>
    </w:p>
    <w:p>
      <w:pPr>
        <w:spacing w:line="340" w:lineRule="exact"/>
        <w:ind w:firstLine="210" w:firstLineChars="100"/>
        <w:rPr>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评标委员会应当按照招标文件中规定的评标方法和标准，对符合性审查合格的投标文件进行商务和技术评估，综合比较与评价。</w:t>
      </w:r>
    </w:p>
    <w:p>
      <w:pPr>
        <w:spacing w:line="340" w:lineRule="exact"/>
        <w:ind w:firstLine="21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Tahoma" w:hAnsi="Tahoma" w:cs="Tahom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ascii="Tahoma" w:cs="Tahoma"/>
          <w:color w:val="000000" w:themeColor="text1"/>
          <w:highlight w:val="none"/>
          <w14:textFill>
            <w14:solidFill>
              <w14:schemeClr w14:val="tx1"/>
            </w14:solidFill>
          </w14:textFill>
        </w:rPr>
        <w:t>评标委员会按招标文件规定的评审因素和量化指标由评标委员会采用综合评分法对投标文件进行综合评分。</w:t>
      </w:r>
    </w:p>
    <w:p>
      <w:pPr>
        <w:spacing w:line="340" w:lineRule="exact"/>
        <w:rPr>
          <w:rFonts w:ascii="Tahoma" w:hAnsi="Tahoma" w:cs="Tahoma"/>
          <w:b/>
          <w:color w:val="000000" w:themeColor="text1"/>
          <w:szCs w:val="21"/>
          <w:highlight w:val="none"/>
          <w14:textFill>
            <w14:solidFill>
              <w14:schemeClr w14:val="tx1"/>
            </w14:solidFill>
          </w14:textFill>
        </w:rPr>
      </w:pPr>
      <w:r>
        <w:rPr>
          <w:rFonts w:hint="eastAsia" w:ascii="Tahoma" w:hAnsi="Tahoma" w:cs="Tahoma"/>
          <w:b/>
          <w:color w:val="000000" w:themeColor="text1"/>
          <w:szCs w:val="21"/>
          <w:highlight w:val="none"/>
          <w14:textFill>
            <w14:solidFill>
              <w14:schemeClr w14:val="tx1"/>
            </w14:solidFill>
          </w14:textFill>
        </w:rPr>
        <w:t>2.3评审因素</w:t>
      </w:r>
    </w:p>
    <w:p>
      <w:pPr>
        <w:spacing w:line="340" w:lineRule="exact"/>
        <w:rPr>
          <w:rFonts w:ascii="Arial" w:hAnsi="Arial" w:cs="Arial"/>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2.3.1</w:t>
      </w:r>
      <w:r>
        <w:rPr>
          <w:rFonts w:ascii="Tahoma" w:hAnsi="Tahoma" w:cs="Tahoma"/>
          <w:color w:val="000000" w:themeColor="text1"/>
          <w:kern w:val="0"/>
          <w:szCs w:val="21"/>
          <w:highlight w:val="none"/>
          <w14:textFill>
            <w14:solidFill>
              <w14:schemeClr w14:val="tx1"/>
            </w14:solidFill>
          </w14:textFill>
        </w:rPr>
        <w:t>评标委员会</w:t>
      </w:r>
      <w:r>
        <w:rPr>
          <w:rFonts w:ascii="Arial" w:hAnsi="Arial" w:cs="Arial"/>
          <w:color w:val="000000" w:themeColor="text1"/>
          <w:kern w:val="0"/>
          <w:szCs w:val="21"/>
          <w:highlight w:val="none"/>
          <w14:textFill>
            <w14:solidFill>
              <w14:schemeClr w14:val="tx1"/>
            </w14:solidFill>
          </w14:textFill>
        </w:rPr>
        <w:t>依据统一的</w:t>
      </w:r>
      <w:r>
        <w:rPr>
          <w:rFonts w:hint="eastAsia" w:ascii="Arial" w:hAnsi="Arial" w:cs="Arial"/>
          <w:color w:val="000000" w:themeColor="text1"/>
          <w:kern w:val="0"/>
          <w:szCs w:val="21"/>
          <w:highlight w:val="none"/>
          <w14:textFill>
            <w14:solidFill>
              <w14:schemeClr w14:val="tx1"/>
            </w14:solidFill>
          </w14:textFill>
        </w:rPr>
        <w:t>评审</w:t>
      </w:r>
      <w:r>
        <w:rPr>
          <w:rFonts w:ascii="Arial" w:hAnsi="Arial" w:cs="Arial"/>
          <w:color w:val="000000" w:themeColor="text1"/>
          <w:kern w:val="0"/>
          <w:szCs w:val="21"/>
          <w:highlight w:val="none"/>
          <w14:textFill>
            <w14:solidFill>
              <w14:schemeClr w14:val="tx1"/>
            </w14:solidFill>
          </w14:textFill>
        </w:rPr>
        <w:t>要素</w:t>
      </w:r>
      <w:r>
        <w:rPr>
          <w:rFonts w:hint="eastAsia" w:ascii="Arial" w:hAnsi="Arial" w:cs="Arial"/>
          <w:color w:val="000000" w:themeColor="text1"/>
          <w:kern w:val="0"/>
          <w:szCs w:val="21"/>
          <w:highlight w:val="none"/>
          <w14:textFill>
            <w14:solidFill>
              <w14:schemeClr w14:val="tx1"/>
            </w14:solidFill>
          </w14:textFill>
        </w:rPr>
        <w:t>，综合进行</w:t>
      </w:r>
      <w:r>
        <w:rPr>
          <w:rFonts w:ascii="Arial" w:hAnsi="Arial" w:cs="Arial"/>
          <w:color w:val="000000" w:themeColor="text1"/>
          <w:kern w:val="0"/>
          <w:szCs w:val="21"/>
          <w:highlight w:val="none"/>
          <w14:textFill>
            <w14:solidFill>
              <w14:schemeClr w14:val="tx1"/>
            </w14:solidFill>
          </w14:textFill>
        </w:rPr>
        <w:t>评定</w:t>
      </w:r>
      <w:r>
        <w:rPr>
          <w:rFonts w:hint="eastAsia" w:ascii="Arial" w:hAnsi="Arial" w:cs="Arial"/>
          <w:color w:val="000000" w:themeColor="text1"/>
          <w:kern w:val="0"/>
          <w:szCs w:val="21"/>
          <w:highlight w:val="none"/>
          <w14:textFill>
            <w14:solidFill>
              <w14:schemeClr w14:val="tx1"/>
            </w14:solidFill>
          </w14:textFill>
        </w:rPr>
        <w:t>，</w:t>
      </w:r>
      <w:r>
        <w:rPr>
          <w:rFonts w:ascii="Arial" w:hAnsi="Arial" w:cs="Arial"/>
          <w:color w:val="000000" w:themeColor="text1"/>
          <w:kern w:val="0"/>
          <w:szCs w:val="21"/>
          <w:highlight w:val="none"/>
          <w14:textFill>
            <w14:solidFill>
              <w14:schemeClr w14:val="tx1"/>
            </w14:solidFill>
          </w14:textFill>
        </w:rPr>
        <w:t>在评标中，不得改变招标文件中规定的评标标准、方法和中标条件。</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2.3.2</w:t>
      </w:r>
      <w:r>
        <w:rPr>
          <w:rFonts w:hint="eastAsia" w:ascii="Tahoma" w:hAnsi="Tahoma" w:cs="Tahoma"/>
          <w:color w:val="000000" w:themeColor="text1"/>
          <w:kern w:val="0"/>
          <w:szCs w:val="21"/>
          <w:highlight w:val="none"/>
          <w14:textFill>
            <w14:solidFill>
              <w14:schemeClr w14:val="tx1"/>
            </w14:solidFill>
          </w14:textFill>
        </w:rPr>
        <w:t>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spacing w:line="34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2.4评分标准与分值构成</w:t>
      </w: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评分标准按商务、技术和投标价格三个部分确定的评审因素和评分标准分别进行评定，分值构成采用百分制，商务</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技术部分满分为</w:t>
      </w:r>
      <w:r>
        <w:rPr>
          <w:rFonts w:hint="eastAsia" w:ascii="Tahoma" w:hAnsi="Tahoma" w:cs="Tahoma"/>
          <w:color w:val="000000" w:themeColor="text1"/>
          <w:szCs w:val="21"/>
          <w:highlight w:val="none"/>
          <w:lang w:val="en-US" w:eastAsia="zh-CN"/>
          <w14:textFill>
            <w14:solidFill>
              <w14:schemeClr w14:val="tx1"/>
            </w14:solidFill>
          </w14:textFill>
        </w:rPr>
        <w:t>100</w:t>
      </w:r>
      <w:r>
        <w:rPr>
          <w:rFonts w:ascii="Tahoma" w:hAnsi="Tahoma" w:cs="Tahoma"/>
          <w:color w:val="000000" w:themeColor="text1"/>
          <w:szCs w:val="21"/>
          <w:highlight w:val="none"/>
          <w14:textFill>
            <w14:solidFill>
              <w14:schemeClr w14:val="tx1"/>
            </w14:solidFill>
          </w14:textFill>
        </w:rPr>
        <w:t>分，合计总分100分。</w:t>
      </w: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p>
    <w:p>
      <w:pPr>
        <w:snapToGrid w:val="0"/>
        <w:spacing w:line="340" w:lineRule="exact"/>
        <w:ind w:firstLine="420" w:firstLineChars="200"/>
        <w:rPr>
          <w:rFonts w:ascii="Tahoma" w:hAnsi="Tahoma" w:cs="Tahoma"/>
          <w:color w:val="000000" w:themeColor="text1"/>
          <w:szCs w:val="21"/>
          <w:highlight w:val="none"/>
          <w14:textFill>
            <w14:solidFill>
              <w14:schemeClr w14:val="tx1"/>
            </w14:solidFill>
          </w14:textFill>
        </w:rPr>
      </w:pPr>
    </w:p>
    <w:p>
      <w:pPr>
        <w:pStyle w:val="32"/>
        <w:numPr>
          <w:ilvl w:val="0"/>
          <w:numId w:val="0"/>
        </w:numPr>
        <w:spacing w:after="156" w:afterLines="50" w:line="540" w:lineRule="exact"/>
        <w:ind w:left="630" w:leftChars="0" w:firstLine="1807" w:firstLineChars="600"/>
        <w:jc w:val="both"/>
        <w:rPr>
          <w:rFonts w:hint="eastAsia" w:ascii="仿宋" w:hAnsi="仿宋" w:eastAsia="仿宋_GB2312"/>
          <w:b w:val="0"/>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kern w:val="0"/>
          <w:sz w:val="30"/>
          <w:szCs w:val="30"/>
          <w:highlight w:val="none"/>
          <w:lang w:bidi="ar"/>
          <w14:textFill>
            <w14:solidFill>
              <w14:schemeClr w14:val="tx1"/>
            </w14:solidFill>
          </w14:textFill>
        </w:rPr>
        <w:t>详细评分表（满分100分</w:t>
      </w:r>
      <w:r>
        <w:rPr>
          <w:rFonts w:hint="eastAsia" w:ascii="宋体" w:hAnsi="宋体" w:cs="宋体"/>
          <w:b/>
          <w:bCs/>
          <w:color w:val="000000" w:themeColor="text1"/>
          <w:kern w:val="0"/>
          <w:sz w:val="30"/>
          <w:szCs w:val="30"/>
          <w:highlight w:val="none"/>
          <w:lang w:eastAsia="zh-CN" w:bidi="ar"/>
          <w14:textFill>
            <w14:solidFill>
              <w14:schemeClr w14:val="tx1"/>
            </w14:solidFill>
          </w14:textFill>
        </w:rPr>
        <w:t>）</w:t>
      </w:r>
    </w:p>
    <w:p>
      <w:pPr>
        <w:pStyle w:val="32"/>
        <w:numPr>
          <w:ilvl w:val="0"/>
          <w:numId w:val="2"/>
        </w:numPr>
        <w:spacing w:line="240" w:lineRule="auto"/>
        <w:ind w:left="0" w:leftChars="0" w:firstLine="0" w:firstLineChars="0"/>
        <w:jc w:val="left"/>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商务部分</w:t>
      </w:r>
    </w:p>
    <w:p>
      <w:pPr>
        <w:snapToGrid w:val="0"/>
        <w:spacing w:line="360" w:lineRule="auto"/>
        <w:jc w:val="center"/>
        <w:rPr>
          <w:rFonts w:hint="eastAsia" w:ascii="宋体" w:hAnsi="宋体" w:eastAsia="宋体" w:cs="宋体"/>
          <w:vanish/>
          <w:color w:val="000000" w:themeColor="text1"/>
          <w:sz w:val="18"/>
          <w:szCs w:val="18"/>
          <w:highlight w:val="none"/>
          <w14:textFill>
            <w14:solidFill>
              <w14:schemeClr w14:val="tx1"/>
            </w14:solidFill>
          </w14:textFill>
        </w:rPr>
      </w:pPr>
    </w:p>
    <w:tbl>
      <w:tblPr>
        <w:tblStyle w:val="20"/>
        <w:tblpPr w:leftFromText="180" w:rightFromText="180" w:vertAnchor="text" w:horzAnchor="page" w:tblpX="1005" w:tblpY="64"/>
        <w:tblOverlap w:val="never"/>
        <w:tblW w:w="10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416"/>
        <w:gridCol w:w="1638"/>
        <w:gridCol w:w="1077"/>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blHeader/>
        </w:trPr>
        <w:tc>
          <w:tcPr>
            <w:tcW w:w="717"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3054" w:type="dxa"/>
            <w:gridSpan w:val="2"/>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评审项目</w:t>
            </w:r>
          </w:p>
        </w:tc>
        <w:tc>
          <w:tcPr>
            <w:tcW w:w="1077"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分值</w:t>
            </w:r>
          </w:p>
        </w:tc>
        <w:tc>
          <w:tcPr>
            <w:tcW w:w="5650"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8" w:hRule="atLeast"/>
        </w:trPr>
        <w:tc>
          <w:tcPr>
            <w:tcW w:w="717" w:type="dxa"/>
            <w:vMerge w:val="restart"/>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商务部分</w:t>
            </w: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4</w:t>
            </w:r>
            <w:r>
              <w:rPr>
                <w:rFonts w:hint="eastAsia" w:ascii="宋体" w:hAnsi="宋体" w:eastAsia="宋体" w:cs="宋体"/>
                <w:b w:val="0"/>
                <w:color w:val="000000" w:themeColor="text1"/>
                <w:kern w:val="0"/>
                <w:sz w:val="18"/>
                <w:szCs w:val="18"/>
                <w:highlight w:val="none"/>
                <w14:textFill>
                  <w14:solidFill>
                    <w14:schemeClr w14:val="tx1"/>
                  </w14:solidFill>
                </w14:textFill>
              </w:rPr>
              <w:t>0分</w:t>
            </w:r>
          </w:p>
        </w:tc>
        <w:tc>
          <w:tcPr>
            <w:tcW w:w="3054" w:type="dxa"/>
            <w:gridSpan w:val="2"/>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价格</w:t>
            </w:r>
          </w:p>
        </w:tc>
        <w:tc>
          <w:tcPr>
            <w:tcW w:w="1077"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30分</w:t>
            </w:r>
          </w:p>
        </w:tc>
        <w:tc>
          <w:tcPr>
            <w:tcW w:w="5650" w:type="dxa"/>
            <w:vAlign w:val="center"/>
          </w:tcPr>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价格分采用低价优先法计算，即满足招标文件要求且投标价格最低的投标报价为评标基准价，其价格分为满分。其他投标人的价格分统一按照下列公式计算：C=30×（BL/B）。其中：C：投标人投标总报价部分得分；B：有效投标总报价（即满足招标文件要求的有效投标人的投标报价）；BL：评标基准价（即满足招标文件要求且投标价格最低的投标报价）。评标过程中，不得去掉报价中的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717" w:type="dxa"/>
            <w:vMerge w:val="continue"/>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416" w:type="dxa"/>
            <w:vMerge w:val="restart"/>
            <w:vAlign w:val="center"/>
          </w:tcPr>
          <w:p>
            <w:pPr>
              <w:pStyle w:val="32"/>
              <w:snapToGrid w:val="0"/>
              <w:spacing w:line="240" w:lineRule="auto"/>
              <w:ind w:left="0" w:leftChars="0" w:firstLine="0" w:firstLineChars="0"/>
              <w:jc w:val="both"/>
              <w:rPr>
                <w:rFonts w:hint="default" w:ascii="宋体" w:hAnsi="宋体" w:eastAsia="宋体" w:cs="宋体"/>
                <w:b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其他商务部分（10分）</w:t>
            </w:r>
          </w:p>
        </w:tc>
        <w:tc>
          <w:tcPr>
            <w:tcW w:w="1638"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企业或制造商实力证书</w:t>
            </w:r>
          </w:p>
        </w:tc>
        <w:tc>
          <w:tcPr>
            <w:tcW w:w="1077" w:type="dxa"/>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b w:val="0"/>
                <w:color w:val="000000" w:themeColor="text1"/>
                <w:kern w:val="0"/>
                <w:sz w:val="18"/>
                <w:szCs w:val="18"/>
                <w:highlight w:val="none"/>
                <w14:textFill>
                  <w14:solidFill>
                    <w14:schemeClr w14:val="tx1"/>
                  </w14:solidFill>
                </w14:textFill>
              </w:rPr>
              <w:t>分</w:t>
            </w:r>
          </w:p>
        </w:tc>
        <w:tc>
          <w:tcPr>
            <w:tcW w:w="5650" w:type="dxa"/>
            <w:vAlign w:val="center"/>
          </w:tcPr>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1.CMMI5级为1分4级为0.5分</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p>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2.软件服务商交付能力评估二级及以上资质得1分，没有的不得分；</w:t>
            </w:r>
          </w:p>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default"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3.ISO9001、14001、20000、27001、45001全部具备为1分，缺项不得分。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9" w:hRule="atLeast"/>
        </w:trPr>
        <w:tc>
          <w:tcPr>
            <w:tcW w:w="717" w:type="dxa"/>
            <w:vMerge w:val="continue"/>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416" w:type="dxa"/>
            <w:vMerge w:val="continue"/>
            <w:vAlign w:val="center"/>
          </w:tcPr>
          <w:p>
            <w:pPr>
              <w:pStyle w:val="32"/>
              <w:snapToGrid w:val="0"/>
              <w:spacing w:line="240" w:lineRule="auto"/>
              <w:ind w:firstLine="48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638" w:type="dxa"/>
            <w:vAlign w:val="center"/>
          </w:tcPr>
          <w:p>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类似项目业绩</w:t>
            </w:r>
          </w:p>
        </w:tc>
        <w:tc>
          <w:tcPr>
            <w:tcW w:w="1077" w:type="dxa"/>
            <w:vAlign w:val="center"/>
          </w:tcPr>
          <w:p>
            <w:pPr>
              <w:widowControl/>
              <w:spacing w:line="36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14:textFill>
                  <w14:solidFill>
                    <w14:schemeClr w14:val="tx1"/>
                  </w14:solidFill>
                </w14:textFill>
              </w:rPr>
              <w:t>分</w:t>
            </w:r>
          </w:p>
        </w:tc>
        <w:tc>
          <w:tcPr>
            <w:tcW w:w="5650" w:type="dxa"/>
            <w:vAlign w:val="center"/>
          </w:tcPr>
          <w:p>
            <w:pPr>
              <w:pStyle w:val="45"/>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所投产品集成平台软件生产厂商从2019年至今投标人承担过二级以上类似的医院信息化建设项目案例，投标人每提供一个案例得1分，最高得</w:t>
            </w:r>
            <w:r>
              <w:rPr>
                <w:rFonts w:hint="eastAsia" w:ascii="宋体" w:hAnsi="宋体" w:cs="宋体"/>
                <w:color w:val="000000" w:themeColor="text1"/>
                <w:kern w:val="0"/>
                <w:sz w:val="18"/>
                <w:szCs w:val="18"/>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分；未提供有效的类似项目业绩的不得分。</w:t>
            </w:r>
          </w:p>
          <w:p>
            <w:pPr>
              <w:pStyle w:val="45"/>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b w:val="0"/>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备注：提供合同或中标通知书的复印件加盖公章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717" w:type="dxa"/>
            <w:vMerge w:val="continue"/>
            <w:vAlign w:val="center"/>
          </w:tcPr>
          <w:p>
            <w:pPr>
              <w:pStyle w:val="32"/>
              <w:snapToGrid w:val="0"/>
              <w:spacing w:line="240" w:lineRule="auto"/>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416" w:type="dxa"/>
            <w:vMerge w:val="continue"/>
            <w:vAlign w:val="center"/>
          </w:tcPr>
          <w:p>
            <w:pPr>
              <w:pStyle w:val="32"/>
              <w:snapToGrid w:val="0"/>
              <w:spacing w:line="240" w:lineRule="auto"/>
              <w:ind w:firstLine="48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1638" w:type="dxa"/>
            <w:vAlign w:val="center"/>
          </w:tcPr>
          <w:p>
            <w:pPr>
              <w:widowControl/>
              <w:spacing w:line="360" w:lineRule="exact"/>
              <w:jc w:val="center"/>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售后服务方案</w:t>
            </w:r>
          </w:p>
        </w:tc>
        <w:tc>
          <w:tcPr>
            <w:tcW w:w="1077" w:type="dxa"/>
            <w:vAlign w:val="center"/>
          </w:tcPr>
          <w:p>
            <w:pPr>
              <w:widowControl/>
              <w:spacing w:line="36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4分</w:t>
            </w:r>
          </w:p>
        </w:tc>
        <w:tc>
          <w:tcPr>
            <w:tcW w:w="5650" w:type="dxa"/>
            <w:vAlign w:val="center"/>
          </w:tcPr>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1.有且准确提供本项目售后服务总负责人及售后服务网点的姓名、职务、详细的地址和联系方式的得1分</w:t>
            </w:r>
          </w:p>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2.具有本地化服务能力的得</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color w:val="000000" w:themeColor="text1"/>
                <w:sz w:val="18"/>
                <w:szCs w:val="18"/>
                <w:highlight w:val="none"/>
                <w14:textFill>
                  <w14:solidFill>
                    <w14:schemeClr w14:val="tx1"/>
                  </w14:solidFill>
                </w14:textFill>
              </w:rPr>
              <w:t>分（本地化服务能力指具有下列条件之一a.在和田县具有固定的办公场所或分公司;b.在和田县或注册成立的）</w:t>
            </w:r>
          </w:p>
          <w:p>
            <w:pPr>
              <w:pStyle w:val="32"/>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备注：投标人需提供相关人员的社保证明加盖公章。</w:t>
            </w:r>
          </w:p>
        </w:tc>
      </w:tr>
    </w:tbl>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pPr>
        <w:pStyle w:val="32"/>
        <w:numPr>
          <w:ilvl w:val="0"/>
          <w:numId w:val="0"/>
        </w:numPr>
        <w:spacing w:line="240" w:lineRule="auto"/>
        <w:ind w:leftChars="0"/>
        <w:jc w:val="left"/>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B、</w:t>
      </w:r>
      <w:r>
        <w:rPr>
          <w:rFonts w:hint="eastAsia" w:ascii="宋体" w:hAnsi="宋体" w:eastAsia="宋体" w:cs="宋体"/>
          <w:b w:val="0"/>
          <w:color w:val="000000" w:themeColor="text1"/>
          <w:sz w:val="18"/>
          <w:szCs w:val="18"/>
          <w:highlight w:val="none"/>
          <w14:textFill>
            <w14:solidFill>
              <w14:schemeClr w14:val="tx1"/>
            </w14:solidFill>
          </w14:textFill>
        </w:rPr>
        <w:t>技术部分</w:t>
      </w:r>
    </w:p>
    <w:p>
      <w:pPr>
        <w:snapToGrid w:val="0"/>
        <w:spacing w:line="360" w:lineRule="auto"/>
        <w:jc w:val="center"/>
        <w:rPr>
          <w:vanish/>
          <w:color w:val="000000" w:themeColor="text1"/>
          <w:szCs w:val="21"/>
          <w:highlight w:val="none"/>
          <w14:textFill>
            <w14:solidFill>
              <w14:schemeClr w14:val="tx1"/>
            </w14:solidFill>
          </w14:textFill>
        </w:rPr>
      </w:pPr>
    </w:p>
    <w:tbl>
      <w:tblPr>
        <w:tblStyle w:val="20"/>
        <w:tblpPr w:leftFromText="180" w:rightFromText="180" w:vertAnchor="text" w:horzAnchor="page" w:tblpX="976" w:tblpY="350"/>
        <w:tblOverlap w:val="never"/>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633"/>
        <w:gridCol w:w="1008"/>
        <w:gridCol w:w="5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trPr>
        <w:tc>
          <w:tcPr>
            <w:tcW w:w="1211" w:type="dxa"/>
            <w:tcBorders>
              <w:top w:val="single" w:color="auto" w:sz="4" w:space="0"/>
              <w:left w:val="single" w:color="auto" w:sz="4" w:space="0"/>
              <w:bottom w:val="single" w:color="auto" w:sz="4" w:space="0"/>
              <w:right w:val="single" w:color="auto" w:sz="4" w:space="0"/>
            </w:tcBorders>
            <w:vAlign w:val="center"/>
          </w:tcPr>
          <w:p>
            <w:pPr>
              <w:pStyle w:val="32"/>
              <w:ind w:firstLine="48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pPr>
              <w:pStyle w:val="32"/>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评审项目</w:t>
            </w:r>
          </w:p>
        </w:tc>
        <w:tc>
          <w:tcPr>
            <w:tcW w:w="1008" w:type="dxa"/>
            <w:tcBorders>
              <w:top w:val="single" w:color="auto" w:sz="4" w:space="0"/>
              <w:left w:val="single" w:color="auto" w:sz="4" w:space="0"/>
              <w:bottom w:val="single" w:color="auto" w:sz="4" w:space="0"/>
              <w:right w:val="single" w:color="auto" w:sz="4" w:space="0"/>
            </w:tcBorders>
            <w:vAlign w:val="center"/>
          </w:tcPr>
          <w:p>
            <w:pPr>
              <w:pStyle w:val="32"/>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分值</w:t>
            </w:r>
          </w:p>
        </w:tc>
        <w:tc>
          <w:tcPr>
            <w:tcW w:w="5626" w:type="dxa"/>
            <w:tcBorders>
              <w:top w:val="single" w:color="auto" w:sz="4" w:space="0"/>
              <w:left w:val="single" w:color="auto" w:sz="4" w:space="0"/>
              <w:bottom w:val="single" w:color="auto" w:sz="4" w:space="0"/>
              <w:right w:val="single" w:color="auto" w:sz="4" w:space="0"/>
            </w:tcBorders>
            <w:vAlign w:val="center"/>
          </w:tcPr>
          <w:p>
            <w:pPr>
              <w:pStyle w:val="32"/>
              <w:ind w:firstLine="1440" w:firstLineChars="800"/>
              <w:jc w:val="both"/>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blHeader/>
        </w:trPr>
        <w:tc>
          <w:tcPr>
            <w:tcW w:w="1211" w:type="dxa"/>
            <w:vMerge w:val="restart"/>
            <w:tcBorders>
              <w:top w:val="single" w:color="auto" w:sz="4" w:space="0"/>
              <w:left w:val="single" w:color="auto" w:sz="4" w:space="0"/>
              <w:right w:val="single" w:color="auto" w:sz="4" w:space="0"/>
            </w:tcBorders>
            <w:vAlign w:val="center"/>
          </w:tcPr>
          <w:p>
            <w:pPr>
              <w:pStyle w:val="32"/>
              <w:snapToGrid w:val="0"/>
              <w:spacing w:line="240" w:lineRule="auto"/>
              <w:ind w:firstLine="0" w:firstLineChars="0"/>
              <w:jc w:val="both"/>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技术部分</w:t>
            </w: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b w:val="0"/>
                <w:color w:val="000000" w:themeColor="text1"/>
                <w:kern w:val="0"/>
                <w:sz w:val="18"/>
                <w:szCs w:val="18"/>
                <w:highlight w:val="none"/>
                <w14:textFill>
                  <w14:solidFill>
                    <w14:schemeClr w14:val="tx1"/>
                  </w14:solidFill>
                </w14:textFill>
              </w:rPr>
              <w:t>0分</w:t>
            </w:r>
          </w:p>
        </w:tc>
        <w:tc>
          <w:tcPr>
            <w:tcW w:w="2633" w:type="dxa"/>
            <w:tcBorders>
              <w:top w:val="single" w:color="auto" w:sz="4" w:space="0"/>
              <w:left w:val="single" w:color="auto" w:sz="4" w:space="0"/>
              <w:bottom w:val="single" w:color="auto" w:sz="4" w:space="0"/>
              <w:right w:val="single" w:color="auto" w:sz="4" w:space="0"/>
            </w:tcBorders>
            <w:vAlign w:val="center"/>
          </w:tcPr>
          <w:p>
            <w:pPr>
              <w:pStyle w:val="32"/>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14:textFill>
                  <w14:solidFill>
                    <w14:schemeClr w14:val="tx1"/>
                  </w14:solidFill>
                </w14:textFill>
              </w:rPr>
              <w:t>技术参数响应</w:t>
            </w:r>
          </w:p>
        </w:tc>
        <w:tc>
          <w:tcPr>
            <w:tcW w:w="1008" w:type="dxa"/>
            <w:tcBorders>
              <w:top w:val="single" w:color="auto" w:sz="4" w:space="0"/>
              <w:left w:val="single" w:color="auto" w:sz="4" w:space="0"/>
              <w:bottom w:val="single" w:color="auto" w:sz="4" w:space="0"/>
              <w:right w:val="single" w:color="auto" w:sz="4" w:space="0"/>
            </w:tcBorders>
            <w:vAlign w:val="center"/>
          </w:tcPr>
          <w:p>
            <w:pPr>
              <w:pStyle w:val="32"/>
              <w:ind w:firstLine="0" w:firstLineChars="0"/>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20</w:t>
            </w:r>
            <w:r>
              <w:rPr>
                <w:rFonts w:hint="eastAsia" w:ascii="宋体" w:hAnsi="宋体" w:eastAsia="宋体" w:cs="宋体"/>
                <w:b w:val="0"/>
                <w:color w:val="000000" w:themeColor="text1"/>
                <w:kern w:val="0"/>
                <w:sz w:val="18"/>
                <w:szCs w:val="18"/>
                <w:highlight w:val="none"/>
                <w14:textFill>
                  <w14:solidFill>
                    <w14:schemeClr w14:val="tx1"/>
                  </w14:solidFill>
                </w14:textFill>
              </w:rPr>
              <w:t>分</w:t>
            </w:r>
          </w:p>
        </w:tc>
        <w:tc>
          <w:tcPr>
            <w:tcW w:w="5626"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依据投标人对项目需求的逐点响应进行综合评分：</w:t>
            </w:r>
          </w:p>
          <w:p>
            <w:pPr>
              <w:widowControl/>
              <w:snapToGrid w:val="0"/>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带“</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”部分,每负偏离一项扣2分，非“</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”每负偏离一项扣1分；本项扣至0分为止。</w:t>
            </w:r>
          </w:p>
          <w:p>
            <w:pPr>
              <w:widowControl/>
              <w:snapToGrid w:val="0"/>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注：招标文件中标注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”的参数均为重要技术、商务参数，投标文件中须按照招标文件要求提供相关证明文件或界面截图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blHeader/>
        </w:trPr>
        <w:tc>
          <w:tcPr>
            <w:tcW w:w="1211" w:type="dxa"/>
            <w:vMerge w:val="continue"/>
            <w:tcBorders>
              <w:left w:val="single" w:color="auto" w:sz="4" w:space="0"/>
              <w:right w:val="single" w:color="auto" w:sz="4" w:space="0"/>
            </w:tcBorders>
            <w:vAlign w:val="center"/>
          </w:tcPr>
          <w:p>
            <w:pPr>
              <w:pStyle w:val="32"/>
              <w:snapToGrid w:val="0"/>
              <w:spacing w:line="240" w:lineRule="auto"/>
              <w:ind w:firstLine="480"/>
              <w:rPr>
                <w:rFonts w:hint="eastAsia" w:ascii="宋体" w:hAnsi="宋体" w:eastAsia="宋体" w:cs="宋体"/>
                <w:b w:val="0"/>
                <w:color w:val="000000" w:themeColor="text1"/>
                <w:kern w:val="0"/>
                <w:sz w:val="18"/>
                <w:szCs w:val="18"/>
                <w:highlight w:val="none"/>
                <w14:textFill>
                  <w14:solidFill>
                    <w14:schemeClr w14:val="tx1"/>
                  </w14:solidFill>
                </w14:textFill>
              </w:rPr>
            </w:pPr>
          </w:p>
        </w:tc>
        <w:tc>
          <w:tcPr>
            <w:tcW w:w="2633" w:type="dxa"/>
            <w:vMerge w:val="restart"/>
            <w:tcBorders>
              <w:top w:val="single" w:color="auto" w:sz="4" w:space="0"/>
              <w:left w:val="single" w:color="auto" w:sz="4" w:space="0"/>
              <w:right w:val="single" w:color="auto" w:sz="4" w:space="0"/>
            </w:tcBorders>
            <w:vAlign w:val="center"/>
          </w:tcPr>
          <w:p>
            <w:pPr>
              <w:widowControl/>
              <w:snapToGrid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产品及方案要求</w:t>
            </w:r>
          </w:p>
        </w:tc>
        <w:tc>
          <w:tcPr>
            <w:tcW w:w="1008" w:type="dxa"/>
            <w:tcBorders>
              <w:top w:val="single" w:color="auto" w:sz="4" w:space="0"/>
              <w:left w:val="single" w:color="auto" w:sz="4" w:space="0"/>
              <w:right w:val="single" w:color="auto" w:sz="4" w:space="0"/>
            </w:tcBorders>
            <w:vAlign w:val="center"/>
          </w:tcPr>
          <w:p>
            <w:pPr>
              <w:widowControl/>
              <w:snapToGrid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18分</w:t>
            </w:r>
          </w:p>
        </w:tc>
        <w:tc>
          <w:tcPr>
            <w:tcW w:w="5626" w:type="dxa"/>
            <w:tcBorders>
              <w:top w:val="single" w:color="auto" w:sz="4" w:space="0"/>
              <w:left w:val="single" w:color="auto" w:sz="4" w:space="0"/>
              <w:right w:val="single" w:color="auto" w:sz="4" w:space="0"/>
            </w:tcBorders>
            <w:vAlign w:val="center"/>
          </w:tcPr>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对采购人系统现状和业务需求理解与分析的内容进行综合评审，好的得18分，较好的得14分，一般的得8分，差的或不提供的不得分。</w:t>
            </w:r>
          </w:p>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具体包括：对系统现状、应用环境、体系结构需求、功能需求、性能要求和实施要求等内容。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blHeader/>
        </w:trPr>
        <w:tc>
          <w:tcPr>
            <w:tcW w:w="1211" w:type="dxa"/>
            <w:vMerge w:val="continue"/>
            <w:tcBorders>
              <w:left w:val="single" w:color="auto" w:sz="4" w:space="0"/>
              <w:right w:val="single" w:color="auto" w:sz="4" w:space="0"/>
            </w:tcBorders>
            <w:vAlign w:val="center"/>
          </w:tcPr>
          <w:p>
            <w:pPr>
              <w:widowControl/>
              <w:snapToGrid w:val="0"/>
              <w:rPr>
                <w:color w:val="000000" w:themeColor="text1"/>
                <w:highlight w:val="none"/>
                <w14:textFill>
                  <w14:solidFill>
                    <w14:schemeClr w14:val="tx1"/>
                  </w14:solidFill>
                </w14:textFill>
              </w:rPr>
            </w:pPr>
          </w:p>
        </w:tc>
        <w:tc>
          <w:tcPr>
            <w:tcW w:w="2633" w:type="dxa"/>
            <w:vMerge w:val="continue"/>
            <w:tcBorders>
              <w:left w:val="single" w:color="auto" w:sz="4" w:space="0"/>
              <w:right w:val="single" w:color="auto" w:sz="4" w:space="0"/>
            </w:tcBorders>
            <w:vAlign w:val="center"/>
          </w:tcPr>
          <w:p>
            <w:pPr>
              <w:widowControl/>
              <w:snapToGrid w:val="0"/>
              <w:rPr>
                <w:color w:val="000000" w:themeColor="text1"/>
                <w:highlight w:val="none"/>
                <w14:textFill>
                  <w14:solidFill>
                    <w14:schemeClr w14:val="tx1"/>
                  </w14:solidFill>
                </w14:textFill>
              </w:rPr>
            </w:pPr>
          </w:p>
        </w:tc>
        <w:tc>
          <w:tcPr>
            <w:tcW w:w="1008" w:type="dxa"/>
            <w:tcBorders>
              <w:left w:val="single" w:color="auto" w:sz="4" w:space="0"/>
              <w:right w:val="single" w:color="auto" w:sz="4" w:space="0"/>
            </w:tcBorders>
            <w:vAlign w:val="center"/>
          </w:tcPr>
          <w:p>
            <w:pPr>
              <w:widowControl/>
              <w:snapToGrid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12分</w:t>
            </w:r>
          </w:p>
        </w:tc>
        <w:tc>
          <w:tcPr>
            <w:tcW w:w="5626" w:type="dxa"/>
            <w:tcBorders>
              <w:left w:val="single" w:color="auto" w:sz="4" w:space="0"/>
              <w:right w:val="single" w:color="auto" w:sz="4" w:space="0"/>
            </w:tcBorders>
            <w:vAlign w:val="center"/>
          </w:tcPr>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结合招标文件业务需求对各系统进行阐述，并提供相关系统功能点描述，好的得10分，较好的得5分，一般的得2分，差的或不提供的不得分。</w:t>
            </w:r>
          </w:p>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项目培训方案完整，包括培训计划、培训内容。好的得2分，一般的得1分，差的或不提供的得0分。（2分）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blHeader/>
        </w:trPr>
        <w:tc>
          <w:tcPr>
            <w:tcW w:w="1211" w:type="dxa"/>
            <w:vMerge w:val="continue"/>
            <w:tcBorders>
              <w:left w:val="single" w:color="auto" w:sz="4" w:space="0"/>
              <w:right w:val="single" w:color="auto" w:sz="4" w:space="0"/>
            </w:tcBorders>
            <w:vAlign w:val="center"/>
          </w:tcPr>
          <w:p>
            <w:pPr>
              <w:widowControl/>
              <w:snapToGrid w:val="0"/>
              <w:rPr>
                <w:rFonts w:hint="eastAsia" w:ascii="宋体" w:hAnsi="宋体" w:eastAsia="宋体" w:cs="宋体"/>
                <w:color w:val="000000" w:themeColor="text1"/>
                <w:kern w:val="0"/>
                <w:sz w:val="18"/>
                <w:szCs w:val="18"/>
                <w:highlight w:val="none"/>
                <w14:textFill>
                  <w14:solidFill>
                    <w14:schemeClr w14:val="tx1"/>
                  </w14:solidFill>
                </w14:textFill>
              </w:rPr>
            </w:pPr>
          </w:p>
        </w:tc>
        <w:tc>
          <w:tcPr>
            <w:tcW w:w="2633" w:type="dxa"/>
            <w:tcBorders>
              <w:top w:val="single" w:color="auto" w:sz="4" w:space="0"/>
              <w:left w:val="single" w:color="auto" w:sz="4" w:space="0"/>
              <w:right w:val="single" w:color="auto" w:sz="4" w:space="0"/>
            </w:tcBorders>
            <w:vAlign w:val="center"/>
          </w:tcPr>
          <w:p>
            <w:pPr>
              <w:widowControl/>
              <w:snapToGrid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组织实施保障</w:t>
            </w:r>
          </w:p>
        </w:tc>
        <w:tc>
          <w:tcPr>
            <w:tcW w:w="1008" w:type="dxa"/>
            <w:tcBorders>
              <w:left w:val="single" w:color="auto" w:sz="4" w:space="0"/>
              <w:right w:val="single" w:color="auto" w:sz="4" w:space="0"/>
            </w:tcBorders>
            <w:vAlign w:val="center"/>
          </w:tcPr>
          <w:p>
            <w:pPr>
              <w:pStyle w:val="32"/>
              <w:ind w:firstLine="0" w:firstLineChars="0"/>
              <w:jc w:val="center"/>
              <w:rPr>
                <w:rFonts w:hint="eastAsia" w:ascii="宋体" w:hAnsi="宋体" w:eastAsia="宋体" w:cs="宋体"/>
                <w:b w:val="0"/>
                <w:color w:val="000000" w:themeColor="text1"/>
                <w:kern w:val="0"/>
                <w:sz w:val="18"/>
                <w:szCs w:val="18"/>
                <w:highlight w:val="none"/>
                <w14:textFill>
                  <w14:solidFill>
                    <w14:schemeClr w14:val="tx1"/>
                  </w14:solidFill>
                </w14:textFill>
              </w:rPr>
            </w:pPr>
            <w:r>
              <w:rPr>
                <w:rFonts w:hint="eastAsia" w:ascii="宋体" w:hAnsi="宋体" w:eastAsia="宋体" w:cs="宋体"/>
                <w:b w:val="0"/>
                <w:color w:val="000000" w:themeColor="text1"/>
                <w:kern w:val="0"/>
                <w:sz w:val="18"/>
                <w:szCs w:val="18"/>
                <w:highlight w:val="none"/>
                <w:lang w:val="en-US" w:eastAsia="zh-CN"/>
                <w14:textFill>
                  <w14:solidFill>
                    <w14:schemeClr w14:val="tx1"/>
                  </w14:solidFill>
                </w14:textFill>
              </w:rPr>
              <w:t>10</w:t>
            </w:r>
            <w:r>
              <w:rPr>
                <w:rFonts w:hint="eastAsia" w:ascii="宋体" w:hAnsi="宋体" w:eastAsia="宋体" w:cs="宋体"/>
                <w:b w:val="0"/>
                <w:color w:val="000000" w:themeColor="text1"/>
                <w:kern w:val="0"/>
                <w:sz w:val="18"/>
                <w:szCs w:val="18"/>
                <w:highlight w:val="none"/>
                <w14:textFill>
                  <w14:solidFill>
                    <w14:schemeClr w14:val="tx1"/>
                  </w14:solidFill>
                </w14:textFill>
              </w:rPr>
              <w:t>分</w:t>
            </w:r>
          </w:p>
        </w:tc>
        <w:tc>
          <w:tcPr>
            <w:tcW w:w="5626" w:type="dxa"/>
            <w:tcBorders>
              <w:left w:val="single" w:color="auto" w:sz="4" w:space="0"/>
              <w:bottom w:val="single" w:color="auto" w:sz="4" w:space="0"/>
              <w:right w:val="single" w:color="auto" w:sz="4" w:space="0"/>
            </w:tcBorders>
            <w:vAlign w:val="center"/>
          </w:tcPr>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1．项目总体实施计划进度安排合理、措施可行、针对性强，能较好保证项目按时完成的得4分，否则得0-2分。（4分）</w:t>
            </w:r>
          </w:p>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2．项目质量管理全面到位，能较好满足本文件提出的各项需求的得2分，否则得0-1分。（2分）</w:t>
            </w:r>
          </w:p>
          <w:p>
            <w:pPr>
              <w:pStyle w:val="45"/>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3．项目配置管理阐述完整，措施可行、针对性强的得2分，否则得0-1分。（2分）</w:t>
            </w:r>
          </w:p>
          <w:p>
            <w:pPr>
              <w:pStyle w:val="45"/>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4．项目风险控制方案完整，并提出本项目实施的主要风险以及降低风险的策略与措施的得2分，否则得0-1分。（2分）</w:t>
            </w:r>
          </w:p>
        </w:tc>
      </w:tr>
    </w:tbl>
    <w:p>
      <w:pPr>
        <w:autoSpaceDE w:val="0"/>
        <w:autoSpaceDN w:val="0"/>
        <w:snapToGrid w:val="0"/>
        <w:spacing w:line="360" w:lineRule="auto"/>
        <w:rPr>
          <w:rFonts w:hint="eastAsia" w:ascii="宋体" w:hAnsi="宋体" w:cs="宋体"/>
          <w:b/>
          <w:bCs/>
          <w:color w:val="000000" w:themeColor="text1"/>
          <w:szCs w:val="21"/>
          <w:highlight w:val="none"/>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snapToGrid w:val="0"/>
        <w:spacing w:line="240" w:lineRule="auto"/>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注：评标委员会根据汇总各投标企业的综合得分，按照得分高低进行排序，取前三名作为中标候选人推荐给招标人。如果投标人的得分相同，取投标报价低的排在前；如报价也相同，则由评标委员会抽签确定。</w:t>
      </w:r>
    </w:p>
    <w:p>
      <w:pPr>
        <w:shd w:val="clear" w:color="auto" w:fill="FFFFFF"/>
        <w:snapToGrid w:val="0"/>
        <w:spacing w:line="360" w:lineRule="auto"/>
        <w:jc w:val="center"/>
        <w:outlineLvl w:val="3"/>
        <w:rPr>
          <w:rFonts w:ascii="Tahoma" w:hAnsi="Tahoma" w:cs="Tahoma"/>
          <w:b/>
          <w:bCs/>
          <w:color w:val="000000" w:themeColor="text1"/>
          <w:kern w:val="0"/>
          <w:szCs w:val="21"/>
          <w:highlight w:val="none"/>
          <w14:textFill>
            <w14:solidFill>
              <w14:schemeClr w14:val="tx1"/>
            </w14:solidFill>
          </w14:textFill>
        </w:rPr>
        <w:sectPr>
          <w:headerReference r:id="rId6" w:type="default"/>
          <w:footerReference r:id="rId7" w:type="default"/>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p>
    <w:p>
      <w:pPr>
        <w:shd w:val="clear" w:color="auto" w:fill="FFFFFF"/>
        <w:snapToGrid w:val="0"/>
        <w:spacing w:line="340" w:lineRule="exact"/>
        <w:jc w:val="center"/>
        <w:outlineLvl w:val="3"/>
        <w:rPr>
          <w:rFonts w:ascii="Tahoma" w:hAnsi="Tahoma" w:cs="Tahoma"/>
          <w:b/>
          <w:bCs/>
          <w:color w:val="000000" w:themeColor="text1"/>
          <w:kern w:val="0"/>
          <w:sz w:val="24"/>
          <w:highlight w:val="none"/>
          <w14:textFill>
            <w14:solidFill>
              <w14:schemeClr w14:val="tx1"/>
            </w14:solidFill>
          </w14:textFill>
        </w:rPr>
      </w:pPr>
      <w:r>
        <w:rPr>
          <w:rFonts w:ascii="Tahoma" w:hAnsi="Tahoma" w:cs="Tahoma"/>
          <w:b/>
          <w:bCs/>
          <w:color w:val="000000" w:themeColor="text1"/>
          <w:kern w:val="0"/>
          <w:sz w:val="24"/>
          <w:highlight w:val="none"/>
          <w14:textFill>
            <w14:solidFill>
              <w14:schemeClr w14:val="tx1"/>
            </w14:solidFill>
          </w14:textFill>
        </w:rPr>
        <w:t>3、</w:t>
      </w:r>
      <w:r>
        <w:rPr>
          <w:rFonts w:ascii="Tahoma" w:hAnsi="Tahoma" w:eastAsia="黑体" w:cs="Tahoma"/>
          <w:b/>
          <w:bCs/>
          <w:color w:val="000000" w:themeColor="text1"/>
          <w:kern w:val="0"/>
          <w:sz w:val="24"/>
          <w:highlight w:val="none"/>
          <w14:textFill>
            <w14:solidFill>
              <w14:schemeClr w14:val="tx1"/>
            </w14:solidFill>
          </w14:textFill>
        </w:rPr>
        <w:t>评标程序</w:t>
      </w:r>
    </w:p>
    <w:p>
      <w:pPr>
        <w:spacing w:line="34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3.1 初步评审</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3.1.1 </w:t>
      </w:r>
      <w:r>
        <w:rPr>
          <w:rFonts w:ascii="Tahoma" w:hAnsi="Tahoma" w:cs="Tahoma"/>
          <w:color w:val="000000" w:themeColor="text1"/>
          <w:kern w:val="0"/>
          <w:szCs w:val="21"/>
          <w:highlight w:val="none"/>
          <w14:textFill>
            <w14:solidFill>
              <w14:schemeClr w14:val="tx1"/>
            </w14:solidFill>
          </w14:textFill>
        </w:rPr>
        <w:t>评标委员会依据本章第2.1 款规定的标准对投标文件进行初步评审。有一项不符合评审标准的，按无效标处理。</w:t>
      </w:r>
    </w:p>
    <w:p>
      <w:pPr>
        <w:shd w:val="clear" w:color="auto" w:fill="FFFFFF"/>
        <w:snapToGrid w:val="0"/>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3.1.2 投标人有以下情形之一的，其投标作</w:t>
      </w:r>
      <w:r>
        <w:rPr>
          <w:rFonts w:hint="eastAsia" w:ascii="Tahoma" w:hAnsi="Tahoma" w:cs="Tahoma"/>
          <w:color w:val="000000" w:themeColor="text1"/>
          <w:kern w:val="0"/>
          <w:szCs w:val="21"/>
          <w:highlight w:val="none"/>
          <w14:textFill>
            <w14:solidFill>
              <w14:schemeClr w14:val="tx1"/>
            </w14:solidFill>
          </w14:textFill>
        </w:rPr>
        <w:t>无效</w:t>
      </w:r>
      <w:r>
        <w:rPr>
          <w:rFonts w:ascii="Tahoma" w:hAnsi="Tahoma" w:cs="Tahoma"/>
          <w:color w:val="000000" w:themeColor="text1"/>
          <w:kern w:val="0"/>
          <w:szCs w:val="21"/>
          <w:highlight w:val="none"/>
          <w14:textFill>
            <w14:solidFill>
              <w14:schemeClr w14:val="tx1"/>
            </w14:solidFill>
          </w14:textFill>
        </w:rPr>
        <w:t>标处理：</w:t>
      </w:r>
    </w:p>
    <w:p>
      <w:pPr>
        <w:shd w:val="clear" w:color="auto" w:fill="FFFFFF"/>
        <w:snapToGrid w:val="0"/>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（1）</w:t>
      </w:r>
      <w:r>
        <w:rPr>
          <w:rFonts w:ascii="Tahoma" w:hAnsi="Tahoma" w:cs="Tahoma"/>
          <w:color w:val="000000" w:themeColor="text1"/>
          <w:kern w:val="0"/>
          <w:szCs w:val="21"/>
          <w:highlight w:val="none"/>
          <w14:textFill>
            <w14:solidFill>
              <w14:schemeClr w14:val="tx1"/>
            </w14:solidFill>
          </w14:textFill>
        </w:rPr>
        <w:t>第二章</w:t>
      </w:r>
      <w:r>
        <w:rPr>
          <w:rFonts w:hint="eastAsia" w:ascii="宋体" w:hAnsi="宋体" w:cs="Tahoma"/>
          <w:color w:val="000000" w:themeColor="text1"/>
          <w:kern w:val="0"/>
          <w:szCs w:val="21"/>
          <w:highlight w:val="none"/>
          <w14:textFill>
            <w14:solidFill>
              <w14:schemeClr w14:val="tx1"/>
            </w14:solidFill>
          </w14:textFill>
        </w:rPr>
        <w:t>“投标人须知”</w:t>
      </w:r>
      <w:r>
        <w:rPr>
          <w:rFonts w:ascii="Tahoma" w:hAnsi="Tahoma" w:cs="Tahoma"/>
          <w:color w:val="000000" w:themeColor="text1"/>
          <w:kern w:val="0"/>
          <w:szCs w:val="21"/>
          <w:highlight w:val="none"/>
          <w14:textFill>
            <w14:solidFill>
              <w14:schemeClr w14:val="tx1"/>
            </w14:solidFill>
          </w14:textFill>
        </w:rPr>
        <w:t>第</w:t>
      </w:r>
      <w:r>
        <w:rPr>
          <w:rFonts w:ascii="Tahoma" w:hAnsi="Tahoma" w:cs="Tahoma"/>
          <w:b/>
          <w:bCs/>
          <w:color w:val="000000" w:themeColor="text1"/>
          <w:kern w:val="0"/>
          <w:szCs w:val="21"/>
          <w:highlight w:val="none"/>
          <w14:textFill>
            <w14:solidFill>
              <w14:schemeClr w14:val="tx1"/>
            </w14:solidFill>
          </w14:textFill>
        </w:rPr>
        <w:t>1.</w:t>
      </w:r>
      <w:r>
        <w:rPr>
          <w:rFonts w:hint="eastAsia" w:ascii="Tahoma" w:hAnsi="Tahoma" w:cs="Tahoma"/>
          <w:b/>
          <w:bCs/>
          <w:color w:val="000000" w:themeColor="text1"/>
          <w:kern w:val="0"/>
          <w:szCs w:val="21"/>
          <w:highlight w:val="none"/>
          <w14:textFill>
            <w14:solidFill>
              <w14:schemeClr w14:val="tx1"/>
            </w14:solidFill>
          </w14:textFill>
        </w:rPr>
        <w:t>3</w:t>
      </w:r>
      <w:r>
        <w:rPr>
          <w:rFonts w:ascii="Tahoma" w:hAnsi="Tahoma" w:cs="Tahoma"/>
          <w:color w:val="000000" w:themeColor="text1"/>
          <w:kern w:val="0"/>
          <w:szCs w:val="21"/>
          <w:highlight w:val="none"/>
          <w14:textFill>
            <w14:solidFill>
              <w14:schemeClr w14:val="tx1"/>
            </w14:solidFill>
          </w14:textFill>
        </w:rPr>
        <w:t>项规定的任何一种情形的：</w:t>
      </w:r>
    </w:p>
    <w:p>
      <w:pPr>
        <w:shd w:val="clear" w:color="auto" w:fill="FFFFFF"/>
        <w:snapToGrid w:val="0"/>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（2）</w:t>
      </w:r>
      <w:r>
        <w:rPr>
          <w:rFonts w:ascii="Tahoma" w:hAnsi="Tahoma" w:cs="Tahoma"/>
          <w:color w:val="000000" w:themeColor="text1"/>
          <w:kern w:val="0"/>
          <w:szCs w:val="21"/>
          <w:highlight w:val="none"/>
          <w14:textFill>
            <w14:solidFill>
              <w14:schemeClr w14:val="tx1"/>
            </w14:solidFill>
          </w14:textFill>
        </w:rPr>
        <w:t>串通投标或弄虚作假或有其他违法行为的；</w:t>
      </w:r>
    </w:p>
    <w:p>
      <w:pPr>
        <w:shd w:val="clear" w:color="auto" w:fill="FFFFFF"/>
        <w:snapToGrid w:val="0"/>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（3）</w:t>
      </w:r>
      <w:r>
        <w:rPr>
          <w:rFonts w:ascii="Tahoma" w:hAnsi="Tahoma" w:cs="Tahoma"/>
          <w:color w:val="000000" w:themeColor="text1"/>
          <w:kern w:val="0"/>
          <w:szCs w:val="21"/>
          <w:highlight w:val="none"/>
          <w14:textFill>
            <w14:solidFill>
              <w14:schemeClr w14:val="tx1"/>
            </w14:solidFill>
          </w14:textFill>
        </w:rPr>
        <w:t>不按评标委员会要求澄清、说明或补正的。</w:t>
      </w:r>
    </w:p>
    <w:p>
      <w:pPr>
        <w:spacing w:line="340" w:lineRule="exact"/>
        <w:rPr>
          <w:rFonts w:ascii="Arial" w:hAnsi="Arial" w:cs="Arial"/>
          <w:b/>
          <w:bCs/>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3</w:t>
      </w:r>
      <w:r>
        <w:rPr>
          <w:rFonts w:ascii="Tahoma" w:hAnsi="Tahoma" w:cs="Tahoma"/>
          <w:color w:val="000000" w:themeColor="text1"/>
          <w:szCs w:val="21"/>
          <w:highlight w:val="none"/>
          <w14:textFill>
            <w14:solidFill>
              <w14:schemeClr w14:val="tx1"/>
            </w14:solidFill>
          </w14:textFill>
        </w:rPr>
        <w:t>.1.</w:t>
      </w:r>
      <w:r>
        <w:rPr>
          <w:rFonts w:hint="eastAsia" w:ascii="Tahoma" w:hAnsi="Tahoma" w:cs="Tahoma"/>
          <w:color w:val="000000" w:themeColor="text1"/>
          <w:szCs w:val="21"/>
          <w:highlight w:val="none"/>
          <w14:textFill>
            <w14:solidFill>
              <w14:schemeClr w14:val="tx1"/>
            </w14:solidFill>
          </w14:textFill>
        </w:rPr>
        <w:t>3</w:t>
      </w:r>
      <w:r>
        <w:rPr>
          <w:rFonts w:ascii="Tahoma" w:hAnsi="Tahoma" w:cs="Tahoma"/>
          <w:color w:val="000000" w:themeColor="text1"/>
          <w:szCs w:val="21"/>
          <w:highlight w:val="none"/>
          <w14:textFill>
            <w14:solidFill>
              <w14:schemeClr w14:val="tx1"/>
            </w14:solidFill>
          </w14:textFill>
        </w:rPr>
        <w:t>评标委员会应根据招标文件的规定，对投标文件进行系统地评审和比较，在进行详细评审前，按下列规定对投标文件进行初步评审，</w:t>
      </w:r>
      <w:r>
        <w:rPr>
          <w:rFonts w:ascii="Arial" w:hAnsi="Arial" w:cs="Arial"/>
          <w:b/>
          <w:bCs/>
          <w:color w:val="000000" w:themeColor="text1"/>
          <w:kern w:val="0"/>
          <w:szCs w:val="21"/>
          <w:highlight w:val="none"/>
          <w14:textFill>
            <w14:solidFill>
              <w14:schemeClr w14:val="tx1"/>
            </w14:solidFill>
          </w14:textFill>
        </w:rPr>
        <w:t>投标文件属下列情况之一的，应当在资格性、符合性检查时按照无效标处理：</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w:t>
      </w:r>
      <w:r>
        <w:rPr>
          <w:rFonts w:hint="eastAsia" w:ascii="Tahoma" w:cs="Tahoma"/>
          <w:color w:val="000000" w:themeColor="text1"/>
          <w:highlight w:val="none"/>
          <w14:textFill>
            <w14:solidFill>
              <w14:schemeClr w14:val="tx1"/>
            </w14:solidFill>
          </w14:textFill>
        </w:rPr>
        <w:t>）不具备招标文件中规定的资格要求的，或投标文件中提供的资格证明文件与原件不一致的；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2</w:t>
      </w:r>
      <w:r>
        <w:rPr>
          <w:rFonts w:hint="eastAsia" w:ascii="Tahoma" w:cs="Tahoma"/>
          <w:color w:val="000000" w:themeColor="text1"/>
          <w:highlight w:val="none"/>
          <w14:textFill>
            <w14:solidFill>
              <w14:schemeClr w14:val="tx1"/>
            </w14:solidFill>
          </w14:textFill>
        </w:rPr>
        <w:t>）投标文件未按招标文件规定进行装订、密封、标记的；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3</w:t>
      </w:r>
      <w:r>
        <w:rPr>
          <w:rFonts w:hint="eastAsia" w:ascii="Tahoma" w:cs="Tahoma"/>
          <w:color w:val="000000" w:themeColor="text1"/>
          <w:highlight w:val="none"/>
          <w14:textFill>
            <w14:solidFill>
              <w14:schemeClr w14:val="tx1"/>
            </w14:solidFill>
          </w14:textFill>
        </w:rPr>
        <w:t>）投标文件未按招标文件要求签署、盖章的；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4</w:t>
      </w:r>
      <w:r>
        <w:rPr>
          <w:rFonts w:hint="eastAsia" w:ascii="Tahoma" w:cs="Tahoma"/>
          <w:color w:val="000000" w:themeColor="text1"/>
          <w:highlight w:val="none"/>
          <w14:textFill>
            <w14:solidFill>
              <w14:schemeClr w14:val="tx1"/>
            </w14:solidFill>
          </w14:textFill>
        </w:rPr>
        <w:t>）未按照招标文件的规定提交投标保证金的；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5</w:t>
      </w:r>
      <w:r>
        <w:rPr>
          <w:rFonts w:hint="eastAsia" w:ascii="Tahoma" w:cs="Tahoma"/>
          <w:color w:val="000000" w:themeColor="text1"/>
          <w:highlight w:val="none"/>
          <w14:textFill>
            <w14:solidFill>
              <w14:schemeClr w14:val="tx1"/>
            </w14:solidFill>
          </w14:textFill>
        </w:rPr>
        <w:t>）投标文件含有采购人不能接受的附加条件的；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6</w:t>
      </w:r>
      <w:r>
        <w:rPr>
          <w:rFonts w:hint="eastAsia" w:ascii="Tahoma" w:cs="Tahoma"/>
          <w:color w:val="000000" w:themeColor="text1"/>
          <w:highlight w:val="none"/>
          <w14:textFill>
            <w14:solidFill>
              <w14:schemeClr w14:val="tx1"/>
            </w14:solidFill>
          </w14:textFill>
        </w:rPr>
        <w:t>）投标有效期不满足招标文件要求的；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7</w:t>
      </w:r>
      <w:r>
        <w:rPr>
          <w:rFonts w:hint="eastAsia" w:ascii="Tahoma" w:cs="Tahoma"/>
          <w:color w:val="000000" w:themeColor="text1"/>
          <w:highlight w:val="none"/>
          <w14:textFill>
            <w14:solidFill>
              <w14:schemeClr w14:val="tx1"/>
            </w14:solidFill>
          </w14:textFill>
        </w:rPr>
        <w:t>）报价超过招标文件中规定的预算金额或者最高限价的；或提供的报价是可供选择的（不是唯一报价）；</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8</w:t>
      </w:r>
      <w:r>
        <w:rPr>
          <w:rFonts w:hint="eastAsia" w:ascii="Tahoma" w:cs="Tahoma"/>
          <w:color w:val="000000" w:themeColor="text1"/>
          <w:highlight w:val="none"/>
          <w14:textFill>
            <w14:solidFill>
              <w14:schemeClr w14:val="tx1"/>
            </w14:solidFill>
          </w14:textFill>
        </w:rPr>
        <w:t>）供应商未进行分项报价或分项报价的构成未能准确全部反映产品价格组成或有所隐含，有可能致使在合同履行过程中引起纠纷（非正常的追加或索赔等）或不能诚信履约的；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9</w:t>
      </w:r>
      <w:r>
        <w:rPr>
          <w:rFonts w:hint="eastAsia" w:ascii="Tahoma" w:cs="Tahoma"/>
          <w:color w:val="000000" w:themeColor="text1"/>
          <w:highlight w:val="none"/>
          <w14:textFill>
            <w14:solidFill>
              <w14:schemeClr w14:val="tx1"/>
            </w14:solidFill>
          </w14:textFill>
        </w:rPr>
        <w:t>）投标文件的内容与采购内容（质量要求、交货期、付款方式等）及要求有重大偏离或保留的；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10</w:t>
      </w:r>
      <w:r>
        <w:rPr>
          <w:rFonts w:hint="eastAsia" w:ascii="Tahoma" w:cs="Tahoma"/>
          <w:color w:val="000000" w:themeColor="text1"/>
          <w:highlight w:val="none"/>
          <w14:textFill>
            <w14:solidFill>
              <w14:schemeClr w14:val="tx1"/>
            </w14:solidFill>
          </w14:textFill>
        </w:rPr>
        <w:t>）存在财政部令第</w:t>
      </w:r>
      <w:r>
        <w:rPr>
          <w:rFonts w:ascii="Tahoma" w:cs="Tahoma"/>
          <w:color w:val="000000" w:themeColor="text1"/>
          <w:highlight w:val="none"/>
          <w14:textFill>
            <w14:solidFill>
              <w14:schemeClr w14:val="tx1"/>
            </w14:solidFill>
          </w14:textFill>
        </w:rPr>
        <w:t>87</w:t>
      </w:r>
      <w:r>
        <w:rPr>
          <w:rFonts w:hint="eastAsia" w:ascii="Tahoma" w:cs="Tahoma"/>
          <w:color w:val="000000" w:themeColor="text1"/>
          <w:highlight w:val="none"/>
          <w14:textFill>
            <w14:solidFill>
              <w14:schemeClr w14:val="tx1"/>
            </w14:solidFill>
          </w14:textFill>
        </w:rPr>
        <w:t>号文第三十七条规定串通投标的情形之一的；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11</w:t>
      </w:r>
      <w:r>
        <w:rPr>
          <w:rFonts w:hint="eastAsia" w:ascii="Tahoma" w:cs="Tahoma"/>
          <w:color w:val="000000" w:themeColor="text1"/>
          <w:highlight w:val="none"/>
          <w14:textFill>
            <w14:solidFill>
              <w14:schemeClr w14:val="tx1"/>
            </w14:solidFill>
          </w14:textFill>
        </w:rPr>
        <w:t>）投标文件的内容组成不符合招标文件要求的；</w:t>
      </w:r>
    </w:p>
    <w:p>
      <w:pPr>
        <w:spacing w:line="340" w:lineRule="exact"/>
        <w:ind w:firstLine="420" w:firstLineChars="200"/>
        <w:rPr>
          <w:rFonts w:asci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12</w:t>
      </w:r>
      <w:r>
        <w:rPr>
          <w:rFonts w:hint="eastAsia" w:ascii="Tahoma" w:cs="Tahoma"/>
          <w:color w:val="000000" w:themeColor="text1"/>
          <w:highlight w:val="none"/>
          <w14:textFill>
            <w14:solidFill>
              <w14:schemeClr w14:val="tx1"/>
            </w14:solidFill>
          </w14:textFill>
        </w:rPr>
        <w:t>）投标文件中提供虚假或失实资料的；</w:t>
      </w:r>
    </w:p>
    <w:p>
      <w:pPr>
        <w:spacing w:line="340" w:lineRule="exact"/>
        <w:ind w:firstLine="420" w:firstLineChars="200"/>
        <w:rPr>
          <w:rFonts w:ascii="Tahoma" w:hAnsi="Tahoma" w:cs="Tahoma"/>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w:t>
      </w:r>
      <w:r>
        <w:rPr>
          <w:rFonts w:ascii="Tahoma" w:cs="Tahoma"/>
          <w:color w:val="000000" w:themeColor="text1"/>
          <w:highlight w:val="none"/>
          <w14:textFill>
            <w14:solidFill>
              <w14:schemeClr w14:val="tx1"/>
            </w14:solidFill>
          </w14:textFill>
        </w:rPr>
        <w:t>13</w:t>
      </w:r>
      <w:r>
        <w:rPr>
          <w:rFonts w:hint="eastAsia" w:ascii="Tahoma" w:cs="Tahoma"/>
          <w:color w:val="000000" w:themeColor="text1"/>
          <w:highlight w:val="none"/>
          <w14:textFill>
            <w14:solidFill>
              <w14:schemeClr w14:val="tx1"/>
            </w14:solidFill>
          </w14:textFill>
        </w:rPr>
        <w:t>）法律、法规和招标文件规定的其他无效情形。</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3.1.4评标委员会判断投标文件的响应性仅基于投标文件本身而不靠外部证据。</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3.1.5评标委员会将拒绝被确定为非实质性响应的投标，投标人不能通过修正或撤销不符之处而使其投标成为实质性响应的投标。</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3.2 投标文件的</w:t>
      </w:r>
      <w:r>
        <w:rPr>
          <w:rFonts w:ascii="Tahoma" w:hAnsi="Tahoma" w:cs="Tahoma"/>
          <w:b/>
          <w:bCs/>
          <w:color w:val="000000" w:themeColor="text1"/>
          <w:kern w:val="0"/>
          <w:szCs w:val="21"/>
          <w:highlight w:val="none"/>
          <w14:textFill>
            <w14:solidFill>
              <w14:schemeClr w14:val="tx1"/>
            </w14:solidFill>
          </w14:textFill>
        </w:rPr>
        <w:t>澄清</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3.2.1</w:t>
      </w:r>
      <w:r>
        <w:rPr>
          <w:rFonts w:hint="eastAsia" w:ascii="Tahoma" w:hAnsi="Tahoma" w:cs="Tahoma"/>
          <w:color w:val="000000" w:themeColor="text1"/>
          <w:kern w:val="0"/>
          <w:szCs w:val="21"/>
          <w:highlight w:val="none"/>
          <w14:textFill>
            <w14:solidFill>
              <w14:schemeClr w14:val="tx1"/>
            </w14:solidFill>
          </w14:textFill>
        </w:rPr>
        <w:t>评标委员会将允许投标人修改投标文件中不构成重大偏离的微小的、非正规、不一致或不规则地方，但这种允许不能损害或影响任何投标人的相对排序。</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3.2.2</w:t>
      </w:r>
      <w:r>
        <w:rPr>
          <w:rFonts w:hint="eastAsia" w:ascii="Tahoma" w:hAnsi="Tahoma" w:cs="Tahoma"/>
          <w:color w:val="000000" w:themeColor="text1"/>
          <w:kern w:val="0"/>
          <w:szCs w:val="21"/>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340" w:lineRule="exact"/>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pPr>
        <w:spacing w:line="340" w:lineRule="exact"/>
        <w:rPr>
          <w:rFonts w:ascii="Tahoma" w:hAnsi="Tahoma" w:cs="Tahoma"/>
          <w:color w:val="000000" w:themeColor="text1"/>
          <w:kern w:val="0"/>
          <w:szCs w:val="21"/>
          <w:highlight w:val="none"/>
          <w14:textFill>
            <w14:solidFill>
              <w14:schemeClr w14:val="tx1"/>
            </w14:solidFill>
          </w14:textFill>
        </w:rPr>
      </w:pPr>
      <w:r>
        <w:rPr>
          <w:rFonts w:ascii="Tahoma" w:hAnsi="Tahoma" w:cs="Tahoma"/>
          <w:color w:val="000000" w:themeColor="text1"/>
          <w:kern w:val="0"/>
          <w:szCs w:val="21"/>
          <w:highlight w:val="none"/>
          <w14:textFill>
            <w14:solidFill>
              <w14:schemeClr w14:val="tx1"/>
            </w14:solidFill>
          </w14:textFill>
        </w:rPr>
        <w:t>3.2.3</w:t>
      </w:r>
      <w:r>
        <w:rPr>
          <w:rFonts w:hint="eastAsia" w:ascii="Tahoma" w:hAnsi="Tahoma" w:cs="Tahoma"/>
          <w:color w:val="000000" w:themeColor="text1"/>
          <w:kern w:val="0"/>
          <w:szCs w:val="21"/>
          <w:highlight w:val="none"/>
          <w14:textFill>
            <w14:solidFill>
              <w14:schemeClr w14:val="tx1"/>
            </w14:solidFill>
          </w14:textFill>
        </w:rPr>
        <w:t>投标文件报价出现前后不一致的，除招标文件另有规定外，按照下列规定修正：</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（一）投标文件中开标一览表（报价表）内容与投标文件中相应内容不一致的，以开标一览表（报价表）为准；</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（二）大写金额和小写金额不一致的，以大写金额为准；</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（三）单价金额小数点或者百分比有明显错位的，以开标一览表的总价为准，并修改单价；</w:t>
      </w:r>
    </w:p>
    <w:p>
      <w:pPr>
        <w:spacing w:line="340" w:lineRule="exact"/>
        <w:ind w:firstLine="210" w:firstLineChars="100"/>
        <w:rPr>
          <w:rFonts w:ascii="Tahoma" w:hAnsi="Tahoma" w:cs="Tahoma"/>
          <w:color w:val="000000" w:themeColor="text1"/>
          <w:kern w:val="0"/>
          <w:szCs w:val="2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（四）总价金额与按单价汇总金额不一致的，以单价金额计算结果为准。</w:t>
      </w:r>
    </w:p>
    <w:p>
      <w:pPr>
        <w:spacing w:line="340" w:lineRule="exact"/>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kern w:val="0"/>
          <w:szCs w:val="21"/>
          <w:highlight w:val="none"/>
          <w14:textFill>
            <w14:solidFill>
              <w14:schemeClr w14:val="tx1"/>
            </w14:solidFill>
          </w14:textFill>
        </w:rPr>
        <w:t>同时出现两种以上不一致的，按照前款规定的顺序修正。修正后的报价按照投标人须知第</w:t>
      </w:r>
      <w:r>
        <w:rPr>
          <w:rFonts w:ascii="Tahoma" w:hAnsi="Tahoma" w:cs="Tahoma"/>
          <w:color w:val="000000" w:themeColor="text1"/>
          <w:kern w:val="0"/>
          <w:szCs w:val="21"/>
          <w:highlight w:val="none"/>
          <w14:textFill>
            <w14:solidFill>
              <w14:schemeClr w14:val="tx1"/>
            </w14:solidFill>
          </w14:textFill>
        </w:rPr>
        <w:t>6.5.2</w:t>
      </w:r>
      <w:r>
        <w:rPr>
          <w:rFonts w:hint="eastAsia" w:ascii="Tahoma" w:hAnsi="Tahoma" w:cs="Tahoma"/>
          <w:color w:val="000000" w:themeColor="text1"/>
          <w:kern w:val="0"/>
          <w:szCs w:val="21"/>
          <w:highlight w:val="none"/>
          <w14:textFill>
            <w14:solidFill>
              <w14:schemeClr w14:val="tx1"/>
            </w14:solidFill>
          </w14:textFill>
        </w:rPr>
        <w:t>条第二款的规定经投标人确认后产生约束力，</w:t>
      </w:r>
      <w:r>
        <w:rPr>
          <w:rFonts w:hint="eastAsia" w:ascii="Tahoma" w:hAnsi="Tahoma" w:cs="Tahoma"/>
          <w:b/>
          <w:color w:val="000000" w:themeColor="text1"/>
          <w:kern w:val="0"/>
          <w:szCs w:val="21"/>
          <w:highlight w:val="none"/>
          <w14:textFill>
            <w14:solidFill>
              <w14:schemeClr w14:val="tx1"/>
            </w14:solidFill>
          </w14:textFill>
        </w:rPr>
        <w:t>投标人不确认的，其投标无效。</w:t>
      </w:r>
    </w:p>
    <w:p>
      <w:pPr>
        <w:spacing w:line="340" w:lineRule="exact"/>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3.3 比较与评价</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3.3.1评标委员会按照招标文件中规定的评标方法和标准，对符合性审查合格的投标文件进行商务和技术评估，综合比较与评价。评价投标文件是否符合招标文件的商务、技术等实质性要求。</w:t>
      </w:r>
    </w:p>
    <w:p>
      <w:pPr>
        <w:spacing w:line="340" w:lineRule="exact"/>
        <w:rPr>
          <w:rFonts w:asci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3.3</w:t>
      </w:r>
      <w:r>
        <w:rPr>
          <w:rFonts w:ascii="Tahoma" w:hAnsi="Tahoma" w:cs="Tahoma"/>
          <w:color w:val="000000" w:themeColor="text1"/>
          <w:highlight w:val="none"/>
          <w14:textFill>
            <w14:solidFill>
              <w14:schemeClr w14:val="tx1"/>
            </w14:solidFill>
          </w14:textFill>
        </w:rPr>
        <w:t>.2</w:t>
      </w:r>
      <w:r>
        <w:rPr>
          <w:rFonts w:hint="eastAsia" w:ascii="Tahoma" w:cs="Tahoma"/>
          <w:color w:val="000000" w:themeColor="text1"/>
          <w:highlight w:val="none"/>
          <w14:textFill>
            <w14:solidFill>
              <w14:schemeClr w14:val="tx1"/>
            </w14:solidFill>
          </w14:textFill>
        </w:rPr>
        <w:t>评标委员会按招标文件规定的评审因素和量化指标由评标委员会采用综合评分法对投标文件进行综合评分。评审时，各成员应当独立对每个全部实质性响应的投标文件进行评价、打分，然后汇总每个供应商每项评分因素的得分。</w:t>
      </w:r>
    </w:p>
    <w:p>
      <w:pPr>
        <w:spacing w:line="340" w:lineRule="exact"/>
        <w:rPr>
          <w:rFonts w:ascii="Tahoma" w:hAns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3.3.3对于非专门面向中小企业的项目，对小型和微型企业产品的价格扣除，按“投标须知前附表”中的第10.3.2款的规定，用扣除后的价格参与评审。</w:t>
      </w:r>
    </w:p>
    <w:p>
      <w:pPr>
        <w:spacing w:line="340" w:lineRule="exact"/>
        <w:rPr>
          <w:rFonts w:ascii="Tahoma" w:cs="Tahoma"/>
          <w:color w:val="000000" w:themeColor="text1"/>
          <w:highlight w:val="none"/>
          <w14:textFill>
            <w14:solidFill>
              <w14:schemeClr w14:val="tx1"/>
            </w14:solidFill>
          </w14:textFill>
        </w:rPr>
      </w:pPr>
      <w:r>
        <w:rPr>
          <w:rFonts w:hint="eastAsia" w:ascii="Tahoma" w:hAnsi="Tahoma" w:cs="Tahoma"/>
          <w:color w:val="000000" w:themeColor="text1"/>
          <w:highlight w:val="none"/>
          <w14:textFill>
            <w14:solidFill>
              <w14:schemeClr w14:val="tx1"/>
            </w14:solidFill>
          </w14:textFill>
        </w:rPr>
        <w:t>3.3.4对于非专门面向中小企业的项目，采用联合体投标的，符合“投标人须知”正文第1.4.4条规定的投标人产品的价格扣除按1.4.4条的规定，用扣除后的价格参与评审。</w:t>
      </w:r>
    </w:p>
    <w:p>
      <w:pPr>
        <w:spacing w:line="34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3.3.5</w:t>
      </w:r>
      <w:r>
        <w:rPr>
          <w:b/>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Tahoma" w:hAnsi="Tahoma" w:cs="Tahoma"/>
          <w:color w:val="000000" w:themeColor="text1"/>
          <w:szCs w:val="21"/>
          <w:highlight w:val="none"/>
          <w14:textFill>
            <w14:solidFill>
              <w14:schemeClr w14:val="tx1"/>
            </w14:solidFill>
          </w14:textFill>
        </w:rPr>
        <w:t>。</w:t>
      </w:r>
    </w:p>
    <w:p>
      <w:pPr>
        <w:spacing w:line="340" w:lineRule="exact"/>
        <w:rPr>
          <w:color w:val="000000" w:themeColor="text1"/>
          <w:highlight w:val="none"/>
          <w14:textFill>
            <w14:solidFill>
              <w14:schemeClr w14:val="tx1"/>
            </w14:solidFill>
          </w14:textFill>
        </w:rPr>
      </w:pPr>
      <w:r>
        <w:rPr>
          <w:rFonts w:hint="eastAsia" w:ascii="Tahoma" w:cs="Tahoma"/>
          <w:color w:val="000000" w:themeColor="text1"/>
          <w:highlight w:val="none"/>
          <w14:textFill>
            <w14:solidFill>
              <w14:schemeClr w14:val="tx1"/>
            </w14:solidFill>
          </w14:textFill>
        </w:rPr>
        <w:t>3.3.6</w:t>
      </w:r>
      <w:r>
        <w:rPr>
          <w:rFonts w:hint="eastAsia"/>
          <w:color w:val="000000" w:themeColor="text1"/>
          <w:highlight w:val="none"/>
          <w14:textFill>
            <w14:solidFill>
              <w14:schemeClr w14:val="tx1"/>
            </w14:solidFill>
          </w14:textFill>
        </w:rPr>
        <w:t>在</w:t>
      </w:r>
      <w:r>
        <w:rPr>
          <w:color w:val="000000" w:themeColor="text1"/>
          <w:highlight w:val="none"/>
          <w14:textFill>
            <w14:solidFill>
              <w14:schemeClr w14:val="tx1"/>
            </w14:solidFill>
          </w14:textFill>
        </w:rPr>
        <w:t>评审过程中出现投标人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40" w:lineRule="exact"/>
        <w:ind w:firstLine="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pPr>
        <w:spacing w:line="340" w:lineRule="exact"/>
        <w:rPr>
          <w:color w:val="000000" w:themeColor="text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3.3</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7经评审后</w:t>
      </w:r>
      <w:r>
        <w:rPr>
          <w:rFonts w:ascii="Tahoma" w:hAnsi="Tahoma" w:cs="Tahoma"/>
          <w:color w:val="000000" w:themeColor="text1"/>
          <w:szCs w:val="21"/>
          <w:highlight w:val="none"/>
          <w14:textFill>
            <w14:solidFill>
              <w14:schemeClr w14:val="tx1"/>
            </w14:solidFill>
          </w14:textFill>
        </w:rPr>
        <w:t>，若出现符合本须知规定的所有投标条件的投标人不足三家情形的，本次招标终止，除采购任务取消情形外，招标单位将依法重新组织招标或者采取其他方式采购。</w:t>
      </w:r>
    </w:p>
    <w:p>
      <w:pPr>
        <w:spacing w:line="34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3.4</w:t>
      </w:r>
      <w:r>
        <w:rPr>
          <w:rFonts w:ascii="Arial" w:hAnsi="Arial" w:cs="Arial"/>
          <w:b/>
          <w:color w:val="000000" w:themeColor="text1"/>
          <w:kern w:val="0"/>
          <w:szCs w:val="21"/>
          <w:highlight w:val="none"/>
          <w14:textFill>
            <w14:solidFill>
              <w14:schemeClr w14:val="tx1"/>
            </w14:solidFill>
          </w14:textFill>
        </w:rPr>
        <w:t>推荐中标候选</w:t>
      </w:r>
      <w:r>
        <w:rPr>
          <w:rFonts w:hint="eastAsia" w:ascii="Arial" w:hAnsi="Arial" w:cs="Arial"/>
          <w:b/>
          <w:color w:val="000000" w:themeColor="text1"/>
          <w:kern w:val="0"/>
          <w:szCs w:val="21"/>
          <w:highlight w:val="none"/>
          <w14:textFill>
            <w14:solidFill>
              <w14:schemeClr w14:val="tx1"/>
            </w14:solidFill>
          </w14:textFill>
        </w:rPr>
        <w:t>人</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3.4.1</w:t>
      </w:r>
      <w:r>
        <w:rPr>
          <w:rFonts w:ascii="Tahoma" w:cs="Tahoma"/>
          <w:color w:val="000000" w:themeColor="text1"/>
          <w:szCs w:val="21"/>
          <w:highlight w:val="none"/>
          <w14:textFill>
            <w14:solidFill>
              <w14:schemeClr w14:val="tx1"/>
            </w14:solidFill>
          </w14:textFill>
        </w:rPr>
        <w:t>中标候选供应商数量</w:t>
      </w:r>
      <w:r>
        <w:rPr>
          <w:rFonts w:hint="eastAsia" w:ascii="Tahoma" w:cs="Tahoma"/>
          <w:color w:val="000000" w:themeColor="text1"/>
          <w:szCs w:val="21"/>
          <w:highlight w:val="none"/>
          <w14:textFill>
            <w14:solidFill>
              <w14:schemeClr w14:val="tx1"/>
            </w14:solidFill>
          </w14:textFill>
        </w:rPr>
        <w:t>为3人</w:t>
      </w:r>
      <w:r>
        <w:rPr>
          <w:rFonts w:ascii="Tahoma" w:cs="Tahoma"/>
          <w:color w:val="000000" w:themeColor="text1"/>
          <w:szCs w:val="21"/>
          <w:highlight w:val="none"/>
          <w14:textFill>
            <w14:solidFill>
              <w14:schemeClr w14:val="tx1"/>
            </w14:solidFill>
          </w14:textFill>
        </w:rPr>
        <w:t>，但必须按顺序排列中标候选供应商。</w:t>
      </w:r>
      <w:r>
        <w:rPr>
          <w:rFonts w:ascii="Tahoma" w:hAnsi="Tahoma" w:cs="Tahoma"/>
          <w:color w:val="000000" w:themeColor="text1"/>
          <w:szCs w:val="21"/>
          <w:highlight w:val="none"/>
          <w14:textFill>
            <w14:solidFill>
              <w14:schemeClr w14:val="tx1"/>
            </w14:solidFill>
          </w14:textFill>
        </w:rPr>
        <w:t xml:space="preserve"> </w:t>
      </w:r>
    </w:p>
    <w:p>
      <w:pPr>
        <w:spacing w:line="340" w:lineRule="exact"/>
        <w:rPr>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3.4.2</w:t>
      </w:r>
      <w:r>
        <w:rPr>
          <w:color w:val="000000" w:themeColor="text1"/>
          <w:highlight w:val="none"/>
          <w14:textFill>
            <w14:solidFill>
              <w14:schemeClr w14:val="tx1"/>
            </w14:solidFill>
          </w14:textFill>
        </w:rPr>
        <w:t>评标委员会对</w:t>
      </w:r>
      <w:r>
        <w:rPr>
          <w:rFonts w:hint="eastAsia"/>
          <w:color w:val="000000" w:themeColor="text1"/>
          <w:highlight w:val="none"/>
          <w14:textFill>
            <w14:solidFill>
              <w14:schemeClr w14:val="tx1"/>
            </w14:solidFill>
          </w14:textFill>
        </w:rPr>
        <w:t>全部</w:t>
      </w:r>
      <w:r>
        <w:rPr>
          <w:color w:val="000000" w:themeColor="text1"/>
          <w:highlight w:val="none"/>
          <w14:textFill>
            <w14:solidFill>
              <w14:schemeClr w14:val="tx1"/>
            </w14:solidFill>
          </w14:textFill>
        </w:rPr>
        <w:t>满足招标文件实质性要求前提下，按照招标文件中规定的各项因素进行综合评审后，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40" w:lineRule="exact"/>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3.5</w:t>
      </w:r>
      <w:r>
        <w:rPr>
          <w:rFonts w:ascii="Tahoma" w:cs="Tahoma"/>
          <w:b/>
          <w:color w:val="000000" w:themeColor="text1"/>
          <w:highlight w:val="none"/>
          <w14:textFill>
            <w14:solidFill>
              <w14:schemeClr w14:val="tx1"/>
            </w14:solidFill>
          </w14:textFill>
        </w:rPr>
        <w:t>编写评标报告</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3.5.1</w:t>
      </w:r>
      <w:r>
        <w:rPr>
          <w:rFonts w:ascii="Tahoma" w:cs="Tahoma"/>
          <w:color w:val="000000" w:themeColor="text1"/>
          <w:highlight w:val="none"/>
          <w14:textFill>
            <w14:solidFill>
              <w14:schemeClr w14:val="tx1"/>
            </w14:solidFill>
          </w14:textFill>
        </w:rPr>
        <w:t>评标委员会完成评标后，根据全体评标成员签字的原始评标记录和评标结果编写评标报告。评标报告应当包括以下内容：</w:t>
      </w:r>
      <w:r>
        <w:rPr>
          <w:rFonts w:ascii="Tahoma" w:hAnsi="Tahoma" w:cs="Tahoma"/>
          <w:color w:val="000000" w:themeColor="text1"/>
          <w:highlight w:val="none"/>
          <w14:textFill>
            <w14:solidFill>
              <w14:schemeClr w14:val="tx1"/>
            </w14:solidFill>
          </w14:textFill>
        </w:rPr>
        <w:t xml:space="preserve"> </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（一）招标公告刊登的媒体名称、开标日期和地点；</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（二）投标人名单和评标委员会成员名单；</w:t>
      </w:r>
      <w:r>
        <w:rPr>
          <w:rFonts w:ascii="Tahoma" w:hAnsi="Tahoma" w:cs="Tahoma"/>
          <w:color w:val="000000" w:themeColor="text1"/>
          <w:highlight w:val="none"/>
          <w14:textFill>
            <w14:solidFill>
              <w14:schemeClr w14:val="tx1"/>
            </w14:solidFill>
          </w14:textFill>
        </w:rPr>
        <w:t xml:space="preserve"> </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（三）评标方法和标准；</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（四）开标记录和评标情况及说明，包括无效投标人名单及原因；</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（五）评标结果，确定的中标候选人名单或者经采购人委托直接确定的中标人；</w:t>
      </w:r>
    </w:p>
    <w:p>
      <w:pPr>
        <w:spacing w:line="340" w:lineRule="exact"/>
        <w:ind w:firstLine="210" w:firstLineChars="100"/>
        <w:rPr>
          <w:rFonts w:ascii="Tahoma" w:hAnsi="Tahoma" w:cs="Tahoma"/>
          <w:color w:val="000000" w:themeColor="text1"/>
          <w:highlight w:val="none"/>
          <w14:textFill>
            <w14:solidFill>
              <w14:schemeClr w14:val="tx1"/>
            </w14:solidFill>
          </w14:textFill>
        </w:rPr>
      </w:pPr>
      <w:r>
        <w:rPr>
          <w:rFonts w:ascii="Tahoma" w:cs="Tahoma"/>
          <w:color w:val="000000" w:themeColor="text1"/>
          <w:highlight w:val="none"/>
          <w14:textFill>
            <w14:solidFill>
              <w14:schemeClr w14:val="tx1"/>
            </w14:solidFill>
          </w14:textFill>
        </w:rPr>
        <w:t>（六）其他需要说明的情况，包括评标过程中投标人根据评标委员会要求进行的澄清、说明或者补正，评标委员会成员的更换等。</w:t>
      </w:r>
      <w:r>
        <w:rPr>
          <w:rFonts w:ascii="Tahoma" w:hAnsi="Tahoma" w:cs="Tahoma"/>
          <w:color w:val="000000" w:themeColor="text1"/>
          <w:highlight w:val="none"/>
          <w14:textFill>
            <w14:solidFill>
              <w14:schemeClr w14:val="tx1"/>
            </w14:solidFill>
          </w14:textFill>
        </w:rPr>
        <w:t xml:space="preserve"> </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3.5.2</w:t>
      </w:r>
      <w:r>
        <w:rPr>
          <w:color w:val="000000" w:themeColor="text1"/>
          <w:highlight w:val="none"/>
          <w14:textFill>
            <w14:solidFill>
              <w14:schemeClr w14:val="tx1"/>
            </w14:solidFill>
          </w14:textFill>
        </w:rPr>
        <w:t>采购代理机构在评标结束后</w:t>
      </w:r>
      <w:r>
        <w:rPr>
          <w:rFonts w:ascii="Tahoma" w:hAnsi="Tahoma" w:cs="Tahom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个工作日内将评标报告送采购人</w:t>
      </w:r>
      <w:r>
        <w:rPr>
          <w:rFonts w:ascii="Tahoma" w:cs="Tahoma"/>
          <w:color w:val="000000" w:themeColor="text1"/>
          <w:highlight w:val="none"/>
          <w14:textFill>
            <w14:solidFill>
              <w14:schemeClr w14:val="tx1"/>
            </w14:solidFill>
          </w14:textFill>
        </w:rPr>
        <w:t>。</w:t>
      </w:r>
    </w:p>
    <w:p>
      <w:pPr>
        <w:spacing w:line="340" w:lineRule="exact"/>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3.</w:t>
      </w:r>
      <w:r>
        <w:rPr>
          <w:rFonts w:hint="eastAsia" w:ascii="Tahoma" w:hAnsi="Tahoma" w:cs="Tahoma"/>
          <w:b/>
          <w:color w:val="000000" w:themeColor="text1"/>
          <w:highlight w:val="none"/>
          <w14:textFill>
            <w14:solidFill>
              <w14:schemeClr w14:val="tx1"/>
            </w14:solidFill>
          </w14:textFill>
        </w:rPr>
        <w:t>6</w:t>
      </w:r>
      <w:r>
        <w:rPr>
          <w:rFonts w:ascii="Tahoma" w:cs="Tahoma"/>
          <w:b/>
          <w:color w:val="000000" w:themeColor="text1"/>
          <w:highlight w:val="none"/>
          <w14:textFill>
            <w14:solidFill>
              <w14:schemeClr w14:val="tx1"/>
            </w14:solidFill>
          </w14:textFill>
        </w:rPr>
        <w:t>确定中标人</w:t>
      </w:r>
    </w:p>
    <w:p>
      <w:pPr>
        <w:spacing w:line="340" w:lineRule="exact"/>
        <w:rPr>
          <w:rFonts w:asci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3.6.1</w:t>
      </w:r>
      <w:r>
        <w:rPr>
          <w:rFonts w:ascii="Tahoma" w:cs="Tahoma"/>
          <w:color w:val="000000" w:themeColor="text1"/>
          <w:highlight w:val="none"/>
          <w14:textFill>
            <w14:solidFill>
              <w14:schemeClr w14:val="tx1"/>
            </w14:solidFill>
          </w14:textFill>
        </w:rPr>
        <w:t>采购人应当自收到评标报告之日起</w:t>
      </w:r>
      <w:r>
        <w:rPr>
          <w:rFonts w:hint="eastAsia" w:ascii="Tahoma" w:cs="Tahoma"/>
          <w:color w:val="000000" w:themeColor="text1"/>
          <w:highlight w:val="none"/>
          <w14:textFill>
            <w14:solidFill>
              <w14:schemeClr w14:val="tx1"/>
            </w14:solidFill>
          </w14:textFill>
        </w:rPr>
        <w:t>5</w:t>
      </w:r>
      <w:r>
        <w:rPr>
          <w:rFonts w:ascii="Tahoma" w:cs="Tahoma"/>
          <w:color w:val="000000" w:themeColor="text1"/>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3.6.</w:t>
      </w:r>
      <w:r>
        <w:rPr>
          <w:rFonts w:hint="eastAsia" w:ascii="Tahoma" w:hAnsi="Tahoma" w:cs="Tahoma"/>
          <w:color w:val="000000" w:themeColor="text1"/>
          <w:highlight w:val="none"/>
          <w14:textFill>
            <w14:solidFill>
              <w14:schemeClr w14:val="tx1"/>
            </w14:solidFill>
          </w14:textFill>
        </w:rPr>
        <w:t>2</w:t>
      </w:r>
      <w:r>
        <w:rPr>
          <w:rFonts w:ascii="Tahoma" w:cs="Tahoma"/>
          <w:color w:val="000000" w:themeColor="text1"/>
          <w:highlight w:val="none"/>
          <w14:textFill>
            <w14:solidFill>
              <w14:schemeClr w14:val="tx1"/>
            </w14:solidFill>
          </w14:textFill>
        </w:rPr>
        <w:t>采购人在收到评标报告</w:t>
      </w:r>
      <w:r>
        <w:rPr>
          <w:rFonts w:ascii="Tahoma" w:hAnsi="Tahoma" w:cs="Tahoma"/>
          <w:color w:val="000000" w:themeColor="text1"/>
          <w:highlight w:val="none"/>
          <w14:textFill>
            <w14:solidFill>
              <w14:schemeClr w14:val="tx1"/>
            </w14:solidFill>
          </w14:textFill>
        </w:rPr>
        <w:t>5</w:t>
      </w:r>
      <w:r>
        <w:rPr>
          <w:rFonts w:ascii="Tahoma" w:cs="Tahoma"/>
          <w:color w:val="000000" w:themeColor="text1"/>
          <w:highlight w:val="none"/>
          <w14:textFill>
            <w14:solidFill>
              <w14:schemeClr w14:val="tx1"/>
            </w14:solidFill>
          </w14:textFill>
        </w:rPr>
        <w:t>个工作日内未按评标报告推荐的中标候选人顺序确定中标人，又不能说明合法理由的，视同按评标报告推荐的顺序确定排名第一的中标候选人为中标人。</w:t>
      </w:r>
    </w:p>
    <w:p>
      <w:pPr>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r>
        <w:rPr>
          <w:rFonts w:hint="eastAsia" w:ascii="Tahoma" w:hAnsi="Tahoma" w:cs="Tahoma"/>
          <w:color w:val="000000" w:themeColor="text1"/>
          <w:szCs w:val="21"/>
          <w:highlight w:val="none"/>
          <w14:textFill>
            <w14:solidFill>
              <w14:schemeClr w14:val="tx1"/>
            </w14:solidFill>
          </w14:textFill>
        </w:rPr>
        <w:t>6</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3</w:t>
      </w:r>
      <w:r>
        <w:rPr>
          <w:rFonts w:ascii="Tahoma" w:hAnsi="Tahoma" w:cs="Tahoma"/>
          <w:color w:val="000000" w:themeColor="text1"/>
          <w:szCs w:val="21"/>
          <w:highlight w:val="none"/>
          <w14:textFill>
            <w14:solidFill>
              <w14:schemeClr w14:val="tx1"/>
            </w14:solidFill>
          </w14:textFill>
        </w:rPr>
        <w:t>如果排名第一的成交候选供应商，因不可抗力或自身原因放弃成交结果，可根据项目所需确定排名第二的成交候选供应商为成交供应商，以此类推。</w:t>
      </w:r>
    </w:p>
    <w:p>
      <w:pPr>
        <w:spacing w:line="340" w:lineRule="exact"/>
        <w:jc w:val="center"/>
        <w:rPr>
          <w:rFonts w:ascii="Tahoma" w:hAnsi="Tahoma" w:cs="Tahoma"/>
          <w:color w:val="000000" w:themeColor="text1"/>
          <w:kern w:val="0"/>
          <w:szCs w:val="2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sectPr>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p>
    <w:p>
      <w:pPr>
        <w:rPr>
          <w:rFonts w:ascii="Tahoma" w:hAnsi="Tahoma" w:cs="Tahoma"/>
          <w:b/>
          <w:bCs/>
          <w:color w:val="000000" w:themeColor="text1"/>
          <w:highlight w:val="none"/>
          <w14:textFill>
            <w14:solidFill>
              <w14:schemeClr w14:val="tx1"/>
            </w14:solidFill>
          </w14:textFill>
        </w:rPr>
      </w:pPr>
      <w:r>
        <w:rPr>
          <w:rFonts w:hint="eastAsia" w:ascii="Tahoma" w:hAnsi="Tahoma" w:cs="Tahoma"/>
          <w:b/>
          <w:bCs/>
          <w:color w:val="000000" w:themeColor="text1"/>
          <w:highlight w:val="none"/>
          <w14:textFill>
            <w14:solidFill>
              <w14:schemeClr w14:val="tx1"/>
            </w14:solidFill>
          </w14:textFill>
        </w:rPr>
        <w:t>附件</w:t>
      </w:r>
    </w:p>
    <w:p>
      <w:pPr>
        <w:jc w:val="center"/>
        <w:rPr>
          <w:rFonts w:ascii="黑体" w:hAnsi="黑体" w:eastAsia="黑体"/>
          <w:b/>
          <w:bCs/>
          <w:color w:val="000000" w:themeColor="text1"/>
          <w:sz w:val="36"/>
          <w:szCs w:val="36"/>
          <w:highlight w:val="none"/>
          <w14:textFill>
            <w14:solidFill>
              <w14:schemeClr w14:val="tx1"/>
            </w14:solidFill>
          </w14:textFill>
        </w:rPr>
      </w:pPr>
      <w:r>
        <w:rPr>
          <w:rFonts w:hint="eastAsia" w:ascii="黑体" w:hAnsi="黑体" w:eastAsia="黑体"/>
          <w:b/>
          <w:bCs/>
          <w:color w:val="000000" w:themeColor="text1"/>
          <w:sz w:val="36"/>
          <w:szCs w:val="36"/>
          <w:highlight w:val="none"/>
          <w14:textFill>
            <w14:solidFill>
              <w14:schemeClr w14:val="tx1"/>
            </w14:solidFill>
          </w14:textFill>
        </w:rPr>
        <w:t>投标人资格现场监督检查结果表</w:t>
      </w:r>
    </w:p>
    <w:p>
      <w:pPr>
        <w:spacing w:line="32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项目名称：</w:t>
      </w:r>
      <w:r>
        <w:rPr>
          <w:rFonts w:hint="eastAsia" w:ascii="宋体" w:hAnsi="宋体"/>
          <w:b/>
          <w:bCs/>
          <w:color w:val="000000" w:themeColor="text1"/>
          <w:sz w:val="24"/>
          <w:highlight w:val="none"/>
          <w:lang w:eastAsia="zh-CN"/>
          <w14:textFill>
            <w14:solidFill>
              <w14:schemeClr w14:val="tx1"/>
            </w14:solidFill>
          </w14:textFill>
        </w:rPr>
        <w:t>和田地区和田县人民医院综合能力提升及信息化建设项目</w:t>
      </w:r>
    </w:p>
    <w:p>
      <w:pPr>
        <w:spacing w:line="240" w:lineRule="atLeast"/>
        <w:rPr>
          <w:rFonts w:ascii="Tahoma" w:hAnsi="Tahoma" w:cs="Tahoma"/>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项目编号：</w:t>
      </w:r>
      <w:r>
        <w:rPr>
          <w:rFonts w:hint="eastAsia" w:ascii="宋体" w:hAnsi="宋体"/>
          <w:b/>
          <w:bCs/>
          <w:color w:val="000000" w:themeColor="text1"/>
          <w:sz w:val="24"/>
          <w:highlight w:val="none"/>
          <w:lang w:eastAsia="zh-CN"/>
          <w14:textFill>
            <w14:solidFill>
              <w14:schemeClr w14:val="tx1"/>
            </w14:solidFill>
          </w14:textFill>
        </w:rPr>
        <w:t>HTXZFCG（2022FS）039号</w:t>
      </w:r>
      <w:r>
        <w:rPr>
          <w:rFonts w:hint="eastAsia" w:ascii="Trebuchet MS" w:hAnsi="宋体" w:cs="宋体"/>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日期： 20</w:t>
      </w:r>
      <w:r>
        <w:rPr>
          <w:rFonts w:hint="eastAsia" w:ascii="宋体" w:hAnsi="宋体"/>
          <w:b/>
          <w:bCs/>
          <w:color w:val="000000" w:themeColor="text1"/>
          <w:sz w:val="24"/>
          <w:highlight w:val="none"/>
          <w:lang w:val="en-US" w:eastAsia="zh-CN"/>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年</w:t>
      </w:r>
      <w:r>
        <w:rPr>
          <w:rFonts w:hint="eastAsia" w:ascii="宋体" w:hAnsi="宋体"/>
          <w:b/>
          <w:bCs/>
          <w:color w:val="000000" w:themeColor="text1"/>
          <w:sz w:val="24"/>
          <w:highlight w:val="none"/>
          <w:lang w:val="en-US" w:eastAsia="zh-CN"/>
          <w14:textFill>
            <w14:solidFill>
              <w14:schemeClr w14:val="tx1"/>
            </w14:solidFill>
          </w14:textFill>
        </w:rPr>
        <w:t>6</w:t>
      </w:r>
      <w:r>
        <w:rPr>
          <w:rFonts w:hint="eastAsia" w:ascii="宋体" w:hAnsi="宋体"/>
          <w:b/>
          <w:bCs/>
          <w:color w:val="000000" w:themeColor="text1"/>
          <w:sz w:val="24"/>
          <w:highlight w:val="none"/>
          <w14:textFill>
            <w14:solidFill>
              <w14:schemeClr w14:val="tx1"/>
            </w14:solidFill>
          </w14:textFill>
        </w:rPr>
        <w:t>月</w:t>
      </w:r>
      <w:r>
        <w:rPr>
          <w:rFonts w:hint="eastAsia" w:ascii="宋体" w:hAnsi="宋体"/>
          <w:b/>
          <w:bCs/>
          <w:color w:val="000000" w:themeColor="text1"/>
          <w:sz w:val="24"/>
          <w:highlight w:val="none"/>
          <w:lang w:val="en-US" w:eastAsia="zh-CN"/>
          <w14:textFill>
            <w14:solidFill>
              <w14:schemeClr w14:val="tx1"/>
            </w14:solidFill>
          </w14:textFill>
        </w:rPr>
        <w:t>14</w:t>
      </w:r>
      <w:r>
        <w:rPr>
          <w:rFonts w:hint="eastAsia" w:ascii="宋体" w:hAnsi="宋体"/>
          <w:b/>
          <w:bCs/>
          <w:color w:val="000000" w:themeColor="text1"/>
          <w:sz w:val="24"/>
          <w:highlight w:val="none"/>
          <w14:textFill>
            <w14:solidFill>
              <w14:schemeClr w14:val="tx1"/>
            </w14:solidFill>
          </w14:textFill>
        </w:rPr>
        <w:t>日</w:t>
      </w:r>
    </w:p>
    <w:tbl>
      <w:tblPr>
        <w:tblStyle w:val="20"/>
        <w:tblW w:w="15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3399"/>
        <w:gridCol w:w="1636"/>
        <w:gridCol w:w="2760"/>
        <w:gridCol w:w="1577"/>
        <w:gridCol w:w="2452"/>
        <w:gridCol w:w="164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494" w:type="dxa"/>
            <w:vAlign w:val="center"/>
          </w:tcPr>
          <w:p>
            <w:pPr>
              <w:spacing w:line="240" w:lineRule="atLeast"/>
              <w:jc w:val="center"/>
              <w:rPr>
                <w:rFonts w:ascii="Trebuchet MS" w:hAnsi="Trebuchet MS" w:cs="宋体"/>
                <w:b/>
                <w:bCs/>
                <w:color w:val="000000" w:themeColor="text1"/>
                <w:szCs w:val="21"/>
                <w:highlight w:val="none"/>
                <w14:textFill>
                  <w14:solidFill>
                    <w14:schemeClr w14:val="tx1"/>
                  </w14:solidFill>
                </w14:textFill>
              </w:rPr>
            </w:pPr>
            <w:r>
              <w:rPr>
                <w:rFonts w:hint="eastAsia" w:ascii="Trebuchet MS" w:hAnsi="Trebuchet MS" w:cs="宋体"/>
                <w:b/>
                <w:bCs/>
                <w:color w:val="000000" w:themeColor="text1"/>
                <w:szCs w:val="21"/>
                <w:highlight w:val="none"/>
                <w14:textFill>
                  <w14:solidFill>
                    <w14:schemeClr w14:val="tx1"/>
                  </w14:solidFill>
                </w14:textFill>
              </w:rPr>
              <w:t>序号</w:t>
            </w:r>
          </w:p>
        </w:tc>
        <w:tc>
          <w:tcPr>
            <w:tcW w:w="3399" w:type="dxa"/>
            <w:tcBorders>
              <w:tl2br w:val="single" w:color="auto" w:sz="4" w:space="0"/>
            </w:tcBorders>
          </w:tcPr>
          <w:p>
            <w:pPr>
              <w:spacing w:line="240" w:lineRule="atLeast"/>
              <w:ind w:firstLine="2319" w:firstLineChars="1100"/>
              <w:rPr>
                <w:rFonts w:ascii="Trebuchet MS" w:hAnsi="Trebuchet MS" w:cs="宋体"/>
                <w:b/>
                <w:bCs/>
                <w:color w:val="000000" w:themeColor="text1"/>
                <w:szCs w:val="21"/>
                <w:highlight w:val="none"/>
                <w14:textFill>
                  <w14:solidFill>
                    <w14:schemeClr w14:val="tx1"/>
                  </w14:solidFill>
                </w14:textFill>
              </w:rPr>
            </w:pPr>
            <w:r>
              <w:rPr>
                <w:rFonts w:hint="eastAsia" w:ascii="Trebuchet MS" w:hAnsi="Trebuchet MS" w:cs="宋体"/>
                <w:b/>
                <w:bCs/>
                <w:color w:val="000000" w:themeColor="text1"/>
                <w:szCs w:val="21"/>
                <w:highlight w:val="none"/>
                <w14:textFill>
                  <w14:solidFill>
                    <w14:schemeClr w14:val="tx1"/>
                  </w14:solidFill>
                </w14:textFill>
              </w:rPr>
              <w:t>审查项目</w:t>
            </w:r>
          </w:p>
          <w:p>
            <w:pPr>
              <w:spacing w:line="240" w:lineRule="atLeast"/>
              <w:rPr>
                <w:rFonts w:ascii="Trebuchet MS" w:hAnsi="Trebuchet MS" w:cs="宋体"/>
                <w:b/>
                <w:bCs/>
                <w:color w:val="000000" w:themeColor="text1"/>
                <w:szCs w:val="21"/>
                <w:highlight w:val="none"/>
                <w14:textFill>
                  <w14:solidFill>
                    <w14:schemeClr w14:val="tx1"/>
                  </w14:solidFill>
                </w14:textFill>
              </w:rPr>
            </w:pPr>
          </w:p>
          <w:p>
            <w:pPr>
              <w:spacing w:line="240" w:lineRule="atLeast"/>
              <w:rPr>
                <w:rFonts w:ascii="Trebuchet MS" w:hAnsi="Trebuchet MS" w:cs="宋体"/>
                <w:b/>
                <w:bCs/>
                <w:color w:val="000000" w:themeColor="text1"/>
                <w:szCs w:val="21"/>
                <w:highlight w:val="none"/>
                <w14:textFill>
                  <w14:solidFill>
                    <w14:schemeClr w14:val="tx1"/>
                  </w14:solidFill>
                </w14:textFill>
              </w:rPr>
            </w:pPr>
          </w:p>
          <w:p>
            <w:pPr>
              <w:spacing w:line="240" w:lineRule="atLeast"/>
              <w:rPr>
                <w:rFonts w:ascii="Trebuchet MS" w:hAnsi="Trebuchet MS" w:cs="宋体"/>
                <w:b/>
                <w:bCs/>
                <w:color w:val="000000" w:themeColor="text1"/>
                <w:szCs w:val="21"/>
                <w:highlight w:val="none"/>
                <w14:textFill>
                  <w14:solidFill>
                    <w14:schemeClr w14:val="tx1"/>
                  </w14:solidFill>
                </w14:textFill>
              </w:rPr>
            </w:pPr>
          </w:p>
          <w:p>
            <w:pPr>
              <w:spacing w:line="240" w:lineRule="atLeast"/>
              <w:rPr>
                <w:rFonts w:ascii="Trebuchet MS" w:hAnsi="Trebuchet MS" w:cs="宋体"/>
                <w:b/>
                <w:bCs/>
                <w:color w:val="000000" w:themeColor="text1"/>
                <w:szCs w:val="21"/>
                <w:highlight w:val="none"/>
                <w14:textFill>
                  <w14:solidFill>
                    <w14:schemeClr w14:val="tx1"/>
                  </w14:solidFill>
                </w14:textFill>
              </w:rPr>
            </w:pPr>
          </w:p>
          <w:p>
            <w:pPr>
              <w:spacing w:line="240" w:lineRule="atLeast"/>
              <w:rPr>
                <w:rFonts w:ascii="Trebuchet MS" w:hAnsi="Trebuchet MS" w:cs="宋体"/>
                <w:b/>
                <w:bCs/>
                <w:color w:val="000000" w:themeColor="text1"/>
                <w:szCs w:val="21"/>
                <w:highlight w:val="none"/>
                <w14:textFill>
                  <w14:solidFill>
                    <w14:schemeClr w14:val="tx1"/>
                  </w14:solidFill>
                </w14:textFill>
              </w:rPr>
            </w:pPr>
            <w:r>
              <w:rPr>
                <w:rFonts w:hint="eastAsia" w:ascii="Trebuchet MS" w:hAnsi="Trebuchet MS" w:cs="宋体"/>
                <w:b/>
                <w:bCs/>
                <w:color w:val="000000" w:themeColor="text1"/>
                <w:szCs w:val="21"/>
                <w:highlight w:val="none"/>
                <w14:textFill>
                  <w14:solidFill>
                    <w14:schemeClr w14:val="tx1"/>
                  </w14:solidFill>
                </w14:textFill>
              </w:rPr>
              <w:t>投标人</w:t>
            </w:r>
          </w:p>
        </w:tc>
        <w:tc>
          <w:tcPr>
            <w:tcW w:w="1636" w:type="dxa"/>
            <w:vAlign w:val="center"/>
          </w:tcPr>
          <w:p>
            <w:pPr>
              <w:spacing w:line="240" w:lineRule="atLeas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（营业执照、税务登记证、组织机构代码证）或三证合一</w:t>
            </w:r>
          </w:p>
        </w:tc>
        <w:tc>
          <w:tcPr>
            <w:tcW w:w="2760" w:type="dxa"/>
            <w:vAlign w:val="center"/>
          </w:tcPr>
          <w:p>
            <w:pPr>
              <w:spacing w:line="240" w:lineRule="atLeas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法人提供法人身份证明文件及身份证、法人委托人须提供法人代表授权书（授权书需附法人身份证及委托人身份证复印件）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委托人身份证</w:t>
            </w:r>
            <w:r>
              <w:rPr>
                <w:rFonts w:hint="eastAsia" w:ascii="Tahoma" w:hAnsi="Tahoma" w:cs="Tahoma"/>
                <w:color w:val="000000" w:themeColor="text1"/>
                <w:highlight w:val="none"/>
                <w:lang w:val="en-US" w:eastAsia="zh-CN"/>
                <w14:textFill>
                  <w14:solidFill>
                    <w14:schemeClr w14:val="tx1"/>
                  </w14:solidFill>
                </w14:textFill>
              </w:rPr>
              <w:t>及委托人2022年2月至5月社保缴纳凭证</w:t>
            </w:r>
            <w:r>
              <w:rPr>
                <w:rFonts w:hint="eastAsia" w:ascii="宋体" w:hAnsi="宋体" w:cs="宋体"/>
                <w:color w:val="000000" w:themeColor="text1"/>
                <w:szCs w:val="21"/>
                <w:highlight w:val="none"/>
                <w14:textFill>
                  <w14:solidFill>
                    <w14:schemeClr w14:val="tx1"/>
                  </w14:solidFill>
                </w14:textFill>
              </w:rPr>
              <w:t>；</w:t>
            </w:r>
          </w:p>
        </w:tc>
        <w:tc>
          <w:tcPr>
            <w:tcW w:w="1577" w:type="dxa"/>
            <w:vAlign w:val="center"/>
          </w:tcPr>
          <w:p>
            <w:pPr>
              <w:spacing w:line="240" w:lineRule="atLeas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lang w:val="en-US" w:eastAsia="zh-CN"/>
                <w14:textFill>
                  <w14:solidFill>
                    <w14:schemeClr w14:val="tx1"/>
                  </w14:solidFill>
                </w14:textFill>
              </w:rPr>
              <w:t>提供2021年度财务审计报告（2021年新成立公司提供银行出具资信证明）</w:t>
            </w:r>
            <w:r>
              <w:rPr>
                <w:rFonts w:hint="eastAsia" w:ascii="宋体" w:hAnsi="宋体" w:cs="宋体"/>
                <w:color w:val="000000" w:themeColor="text1"/>
                <w:szCs w:val="21"/>
                <w:highlight w:val="none"/>
                <w14:textFill>
                  <w14:solidFill>
                    <w14:schemeClr w14:val="tx1"/>
                  </w14:solidFill>
                </w14:textFill>
              </w:rPr>
              <w:t>及近三个月完税证明；</w:t>
            </w:r>
          </w:p>
        </w:tc>
        <w:tc>
          <w:tcPr>
            <w:tcW w:w="2452" w:type="dxa"/>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Tahoma" w:hAnsi="Tahoma" w:cs="Tahoma"/>
                <w:color w:val="000000" w:themeColor="text1"/>
                <w:highlight w:val="none"/>
                <w:lang w:val="en-US" w:eastAsia="zh-CN"/>
                <w14:textFill>
                  <w14:solidFill>
                    <w14:schemeClr w14:val="tx1"/>
                  </w14:solidFill>
                </w14:textFill>
              </w:rPr>
              <w:t>提供数字化医院信息平台软件、医院信息集成平台软件、电子病历管理软件原始著作权登记证书（著作权必须在本招标文件发布之前取得，所登记注册的软件名称可以与上述名称略有不同，但必须是功能相同的产品）；</w:t>
            </w:r>
          </w:p>
        </w:tc>
        <w:tc>
          <w:tcPr>
            <w:tcW w:w="1645" w:type="dxa"/>
            <w:vAlign w:val="center"/>
          </w:tcPr>
          <w:p>
            <w:pPr>
              <w:spacing w:line="240" w:lineRule="atLeast"/>
              <w:jc w:val="center"/>
              <w:rPr>
                <w:rFonts w:ascii="宋体" w:hAnsi="宋体" w:cs="宋体"/>
                <w:color w:val="000000" w:themeColor="text1"/>
                <w:szCs w:val="21"/>
                <w:highlight w:val="none"/>
                <w14:textFill>
                  <w14:solidFill>
                    <w14:schemeClr w14:val="tx1"/>
                  </w14:solidFill>
                </w14:textFill>
              </w:rPr>
            </w:pPr>
            <w:r>
              <w:rPr>
                <w:rFonts w:hint="eastAsia" w:ascii="Tahoma" w:hAnsi="Tahoma" w:cs="Tahoma"/>
                <w:color w:val="000000" w:themeColor="text1"/>
                <w:kern w:val="2"/>
                <w:sz w:val="21"/>
                <w:szCs w:val="24"/>
                <w:highlight w:val="none"/>
                <w:lang w:val="en-US" w:eastAsia="zh-CN" w:bidi="ar-SA"/>
                <w14:textFill>
                  <w14:solidFill>
                    <w14:schemeClr w14:val="tx1"/>
                  </w14:solidFill>
                </w14:textFill>
              </w:rPr>
              <w:t>提供医院桌面云系统及超融合部分原厂家售后服务承诺书</w:t>
            </w:r>
          </w:p>
        </w:tc>
        <w:tc>
          <w:tcPr>
            <w:tcW w:w="1435" w:type="dxa"/>
            <w:vAlign w:val="center"/>
          </w:tcPr>
          <w:p>
            <w:pPr>
              <w:spacing w:line="240" w:lineRule="atLeas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p>
        </w:tc>
        <w:tc>
          <w:tcPr>
            <w:tcW w:w="3399" w:type="dxa"/>
            <w:vAlign w:val="center"/>
          </w:tcPr>
          <w:p>
            <w:pPr>
              <w:rPr>
                <w:rFonts w:ascii="Tahoma" w:hAnsi="Tahoma" w:cs="Tahoma"/>
                <w:color w:val="000000" w:themeColor="text1"/>
                <w:highlight w:val="none"/>
                <w14:textFill>
                  <w14:solidFill>
                    <w14:schemeClr w14:val="tx1"/>
                  </w14:solidFill>
                </w14:textFill>
              </w:rPr>
            </w:pPr>
          </w:p>
        </w:tc>
        <w:tc>
          <w:tcPr>
            <w:tcW w:w="1636"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760"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577"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452"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64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43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w:t>
            </w:r>
          </w:p>
        </w:tc>
        <w:tc>
          <w:tcPr>
            <w:tcW w:w="3399" w:type="dxa"/>
            <w:vAlign w:val="center"/>
          </w:tcPr>
          <w:p>
            <w:pPr>
              <w:spacing w:line="360" w:lineRule="exact"/>
              <w:rPr>
                <w:rFonts w:ascii="Tahoma" w:hAnsi="Tahoma" w:cs="Tahoma"/>
                <w:color w:val="000000" w:themeColor="text1"/>
                <w:highlight w:val="none"/>
                <w14:textFill>
                  <w14:solidFill>
                    <w14:schemeClr w14:val="tx1"/>
                  </w14:solidFill>
                </w14:textFill>
              </w:rPr>
            </w:pPr>
          </w:p>
        </w:tc>
        <w:tc>
          <w:tcPr>
            <w:tcW w:w="1636"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760"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577"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452"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64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43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p>
        </w:tc>
        <w:tc>
          <w:tcPr>
            <w:tcW w:w="3399" w:type="dxa"/>
            <w:vAlign w:val="center"/>
          </w:tcPr>
          <w:p>
            <w:pPr>
              <w:rPr>
                <w:color w:val="000000" w:themeColor="text1"/>
                <w:highlight w:val="none"/>
                <w14:textFill>
                  <w14:solidFill>
                    <w14:schemeClr w14:val="tx1"/>
                  </w14:solidFill>
                </w14:textFill>
              </w:rPr>
            </w:pPr>
          </w:p>
        </w:tc>
        <w:tc>
          <w:tcPr>
            <w:tcW w:w="1636"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760"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577"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452"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64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43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94" w:type="dxa"/>
            <w:vAlign w:val="center"/>
          </w:tcPr>
          <w:p>
            <w:pPr>
              <w:spacing w:line="280" w:lineRule="exact"/>
              <w:jc w:val="center"/>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4</w:t>
            </w:r>
          </w:p>
        </w:tc>
        <w:tc>
          <w:tcPr>
            <w:tcW w:w="3399" w:type="dxa"/>
            <w:vAlign w:val="center"/>
          </w:tcPr>
          <w:p>
            <w:pPr>
              <w:rPr>
                <w:color w:val="000000" w:themeColor="text1"/>
                <w:highlight w:val="none"/>
                <w14:textFill>
                  <w14:solidFill>
                    <w14:schemeClr w14:val="tx1"/>
                  </w14:solidFill>
                </w14:textFill>
              </w:rPr>
            </w:pPr>
          </w:p>
        </w:tc>
        <w:tc>
          <w:tcPr>
            <w:tcW w:w="1636"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760" w:type="dxa"/>
            <w:vAlign w:val="center"/>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577"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2452"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64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c>
          <w:tcPr>
            <w:tcW w:w="1435" w:type="dxa"/>
          </w:tcPr>
          <w:p>
            <w:pPr>
              <w:spacing w:line="280" w:lineRule="exact"/>
              <w:jc w:val="center"/>
              <w:rPr>
                <w:rFonts w:ascii="Trebuchet MS" w:hAnsi="Trebuchet MS"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4" w:type="dxa"/>
            <w:vAlign w:val="center"/>
          </w:tcPr>
          <w:p>
            <w:pPr>
              <w:spacing w:line="280" w:lineRule="exact"/>
              <w:jc w:val="center"/>
              <w:rPr>
                <w:rFonts w:ascii="Tahoma" w:hAnsi="Tahoma" w:cs="Tahoma"/>
                <w:bCs/>
                <w:color w:val="000000" w:themeColor="text1"/>
                <w:szCs w:val="21"/>
                <w:highlight w:val="none"/>
                <w14:textFill>
                  <w14:solidFill>
                    <w14:schemeClr w14:val="tx1"/>
                  </w14:solidFill>
                </w14:textFill>
              </w:rPr>
            </w:pPr>
            <w:r>
              <w:rPr>
                <w:rFonts w:hint="eastAsia" w:ascii="Tahoma" w:hAnsi="Tahoma" w:cs="Tahoma"/>
                <w:bCs/>
                <w:color w:val="000000" w:themeColor="text1"/>
                <w:szCs w:val="21"/>
                <w:highlight w:val="none"/>
                <w14:textFill>
                  <w14:solidFill>
                    <w14:schemeClr w14:val="tx1"/>
                  </w14:solidFill>
                </w14:textFill>
              </w:rPr>
              <w:t>备注</w:t>
            </w:r>
          </w:p>
        </w:tc>
        <w:tc>
          <w:tcPr>
            <w:tcW w:w="14904" w:type="dxa"/>
            <w:gridSpan w:val="7"/>
            <w:vAlign w:val="center"/>
          </w:tcPr>
          <w:p>
            <w:pPr>
              <w:spacing w:line="280" w:lineRule="exact"/>
              <w:jc w:val="center"/>
              <w:rPr>
                <w:rFonts w:ascii="Trebuchet MS" w:hAnsi="宋体" w:cs="宋体"/>
                <w:color w:val="000000" w:themeColor="text1"/>
                <w:kern w:val="0"/>
                <w:szCs w:val="21"/>
                <w:highlight w:val="none"/>
                <w14:textFill>
                  <w14:solidFill>
                    <w14:schemeClr w14:val="tx1"/>
                  </w14:solidFill>
                </w14:textFill>
              </w:rPr>
            </w:pPr>
            <w:r>
              <w:rPr>
                <w:rFonts w:ascii="Trebuchet MS" w:hAnsi="宋体" w:cs="宋体"/>
                <w:color w:val="000000" w:themeColor="text1"/>
                <w:kern w:val="0"/>
                <w:szCs w:val="21"/>
                <w:highlight w:val="none"/>
                <w14:textFill>
                  <w14:solidFill>
                    <w14:schemeClr w14:val="tx1"/>
                  </w14:solidFill>
                </w14:textFill>
              </w:rPr>
              <w:t>若</w:t>
            </w:r>
            <w:r>
              <w:rPr>
                <w:rFonts w:hint="eastAsia" w:ascii="宋体" w:hAnsi="宋体" w:cs="宋体"/>
                <w:color w:val="000000" w:themeColor="text1"/>
                <w:kern w:val="0"/>
                <w:szCs w:val="21"/>
                <w:highlight w:val="none"/>
                <w14:textFill>
                  <w14:solidFill>
                    <w14:schemeClr w14:val="tx1"/>
                  </w14:solidFill>
                </w14:textFill>
              </w:rPr>
              <w:t>“有”</w:t>
            </w:r>
            <w:r>
              <w:rPr>
                <w:rFonts w:ascii="Trebuchet MS" w:hAnsi="宋体" w:cs="宋体"/>
                <w:color w:val="000000" w:themeColor="text1"/>
                <w:kern w:val="0"/>
                <w:szCs w:val="21"/>
                <w:highlight w:val="none"/>
                <w14:textFill>
                  <w14:solidFill>
                    <w14:schemeClr w14:val="tx1"/>
                  </w14:solidFill>
                </w14:textFill>
              </w:rPr>
              <w:t>请在该投标人格内打</w:t>
            </w:r>
            <w:r>
              <w:rPr>
                <w:rFonts w:ascii="Trebuchet MS" w:hAnsi="Trebuchet MS" w:cs="宋体"/>
                <w:color w:val="000000" w:themeColor="text1"/>
                <w:kern w:val="0"/>
                <w:szCs w:val="21"/>
                <w:highlight w:val="none"/>
                <w14:textFill>
                  <w14:solidFill>
                    <w14:schemeClr w14:val="tx1"/>
                  </w14:solidFill>
                </w14:textFill>
              </w:rPr>
              <w:t>“√”</w:t>
            </w:r>
            <w:r>
              <w:rPr>
                <w:rFonts w:ascii="Trebuchet MS" w:hAnsi="宋体" w:cs="宋体"/>
                <w:color w:val="000000" w:themeColor="text1"/>
                <w:kern w:val="0"/>
                <w:szCs w:val="21"/>
                <w:highlight w:val="none"/>
                <w14:textFill>
                  <w14:solidFill>
                    <w14:schemeClr w14:val="tx1"/>
                  </w14:solidFill>
                </w14:textFill>
              </w:rPr>
              <w:t>，若</w:t>
            </w:r>
            <w:r>
              <w:rPr>
                <w:rFonts w:hint="eastAsia" w:ascii="宋体" w:hAnsi="宋体" w:cs="宋体"/>
                <w:color w:val="000000" w:themeColor="text1"/>
                <w:kern w:val="0"/>
                <w:szCs w:val="21"/>
                <w:highlight w:val="none"/>
                <w14:textFill>
                  <w14:solidFill>
                    <w14:schemeClr w14:val="tx1"/>
                  </w14:solidFill>
                </w14:textFill>
              </w:rPr>
              <w:t>“无”</w:t>
            </w:r>
            <w:r>
              <w:rPr>
                <w:rFonts w:ascii="Trebuchet MS" w:hAnsi="宋体" w:cs="宋体"/>
                <w:color w:val="000000" w:themeColor="text1"/>
                <w:kern w:val="0"/>
                <w:szCs w:val="21"/>
                <w:highlight w:val="none"/>
                <w14:textFill>
                  <w14:solidFill>
                    <w14:schemeClr w14:val="tx1"/>
                  </w14:solidFill>
                </w14:textFill>
              </w:rPr>
              <w:t>则打</w:t>
            </w:r>
            <w:r>
              <w:rPr>
                <w:rFonts w:ascii="Trebuchet MS" w:hAnsi="Trebuchet MS" w:cs="宋体"/>
                <w:color w:val="000000" w:themeColor="text1"/>
                <w:kern w:val="0"/>
                <w:szCs w:val="21"/>
                <w:highlight w:val="none"/>
                <w14:textFill>
                  <w14:solidFill>
                    <w14:schemeClr w14:val="tx1"/>
                  </w14:solidFill>
                </w14:textFill>
              </w:rPr>
              <w:t>“×”</w:t>
            </w:r>
            <w:r>
              <w:rPr>
                <w:rFonts w:ascii="Trebuchet MS" w:hAnsi="宋体" w:cs="宋体"/>
                <w:color w:val="000000" w:themeColor="text1"/>
                <w:kern w:val="0"/>
                <w:szCs w:val="21"/>
                <w:highlight w:val="none"/>
                <w14:textFill>
                  <w14:solidFill>
                    <w14:schemeClr w14:val="tx1"/>
                  </w14:solidFill>
                </w14:textFill>
              </w:rPr>
              <w:t>，其他情况请另附文说明。</w:t>
            </w:r>
          </w:p>
        </w:tc>
      </w:tr>
    </w:tbl>
    <w:p>
      <w:pPr>
        <w:spacing w:line="320" w:lineRule="exact"/>
        <w:rPr>
          <w:rFonts w:ascii="Trebuchet MS" w:hAnsi="宋体" w:cs="宋体"/>
          <w:b/>
          <w:bCs/>
          <w:color w:val="000000" w:themeColor="text1"/>
          <w:sz w:val="24"/>
          <w:highlight w:val="none"/>
          <w14:textFill>
            <w14:solidFill>
              <w14:schemeClr w14:val="tx1"/>
            </w14:solidFill>
          </w14:textFill>
        </w:rPr>
      </w:pPr>
      <w:r>
        <w:rPr>
          <w:rFonts w:hint="eastAsia" w:ascii="Tahoma" w:hAnsi="Tahoma" w:cs="Tahoma"/>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Tahoma" w:hAnsi="Tahoma" w:cs="Tahoma"/>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黑体" w:eastAsia="黑体"/>
          <w:bCs/>
          <w:color w:val="000000" w:themeColor="text1"/>
          <w:sz w:val="28"/>
          <w:szCs w:val="28"/>
          <w:highlight w:val="none"/>
          <w14:textFill>
            <w14:solidFill>
              <w14:schemeClr w14:val="tx1"/>
            </w14:solidFill>
          </w14:textFill>
        </w:rPr>
        <w:t xml:space="preserve">                                           </w:t>
      </w:r>
    </w:p>
    <w:p>
      <w:pPr>
        <w:ind w:firstLine="480" w:firstLineChars="200"/>
        <w:rPr>
          <w:color w:val="000000" w:themeColor="text1"/>
          <w:highlight w:val="none"/>
          <w14:textFill>
            <w14:solidFill>
              <w14:schemeClr w14:val="tx1"/>
            </w14:solidFill>
          </w14:textFill>
        </w:rPr>
        <w:sectPr>
          <w:headerReference r:id="rId8" w:type="default"/>
          <w:pgSz w:w="16838" w:h="11906" w:orient="landscape"/>
          <w:pgMar w:top="1417" w:right="1247" w:bottom="1417"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rebuchet MS" w:hAnsi="宋体" w:cs="宋体"/>
          <w:color w:val="000000" w:themeColor="text1"/>
          <w:sz w:val="24"/>
          <w:highlight w:val="none"/>
          <w14:textFill>
            <w14:solidFill>
              <w14:schemeClr w14:val="tx1"/>
            </w14:solidFill>
          </w14:textFill>
        </w:rPr>
        <w:t>现场监标人签名：</w:t>
      </w:r>
      <w:r>
        <w:rPr>
          <w:rFonts w:hint="eastAsia" w:ascii="Trebuchet MS"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 xml:space="preserve">                                                                                              </w:t>
      </w:r>
    </w:p>
    <w:p>
      <w:pPr>
        <w:spacing w:before="120" w:beforeLines="50" w:line="440" w:lineRule="exact"/>
        <w:jc w:val="center"/>
        <w:rPr>
          <w:rFonts w:ascii="黑体" w:hAnsi="黑体" w:eastAsia="黑体"/>
          <w:b/>
          <w:bCs/>
          <w:color w:val="000000" w:themeColor="text1"/>
          <w:sz w:val="32"/>
          <w:szCs w:val="32"/>
          <w:highlight w:val="none"/>
          <w14:textFill>
            <w14:solidFill>
              <w14:schemeClr w14:val="tx1"/>
            </w14:solidFill>
          </w14:textFill>
        </w:rPr>
      </w:pPr>
      <w:r>
        <w:rPr>
          <w:rFonts w:hint="eastAsia" w:ascii="黑体" w:hAnsi="黑体" w:eastAsia="黑体" w:cs="Tahoma"/>
          <w:b/>
          <w:bCs/>
          <w:color w:val="000000" w:themeColor="text1"/>
          <w:sz w:val="32"/>
          <w:szCs w:val="32"/>
          <w:highlight w:val="none"/>
          <w14:textFill>
            <w14:solidFill>
              <w14:schemeClr w14:val="tx1"/>
            </w14:solidFill>
          </w14:textFill>
        </w:rPr>
        <w:t>资格性检查</w:t>
      </w:r>
      <w:r>
        <w:rPr>
          <w:rFonts w:hint="eastAsia" w:ascii="黑体" w:hAnsi="黑体" w:eastAsia="黑体"/>
          <w:b/>
          <w:bCs/>
          <w:color w:val="000000" w:themeColor="text1"/>
          <w:sz w:val="32"/>
          <w:szCs w:val="32"/>
          <w:highlight w:val="none"/>
          <w14:textFill>
            <w14:solidFill>
              <w14:schemeClr w14:val="tx1"/>
            </w14:solidFill>
          </w14:textFill>
        </w:rPr>
        <w:t>评审记录表（1）</w:t>
      </w:r>
    </w:p>
    <w:p>
      <w:pPr>
        <w:pStyle w:val="16"/>
        <w:rPr>
          <w:color w:val="000000" w:themeColor="text1"/>
          <w:highlight w:val="none"/>
          <w14:textFill>
            <w14:solidFill>
              <w14:schemeClr w14:val="tx1"/>
            </w14:solidFill>
          </w14:textFill>
        </w:rPr>
      </w:pPr>
    </w:p>
    <w:p>
      <w:pPr>
        <w:spacing w:line="32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项目名称：</w:t>
      </w:r>
      <w:r>
        <w:rPr>
          <w:rFonts w:hint="eastAsia" w:ascii="宋体" w:hAnsi="宋体"/>
          <w:b/>
          <w:bCs/>
          <w:color w:val="000000" w:themeColor="text1"/>
          <w:sz w:val="24"/>
          <w:highlight w:val="none"/>
          <w:lang w:eastAsia="zh-CN"/>
          <w14:textFill>
            <w14:solidFill>
              <w14:schemeClr w14:val="tx1"/>
            </w14:solidFill>
          </w14:textFill>
        </w:rPr>
        <w:t>和田地区和田县人民医院综合能力提升及信息化建设项目</w:t>
      </w:r>
    </w:p>
    <w:p>
      <w:pPr>
        <w:spacing w:line="32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项目编号：</w:t>
      </w:r>
      <w:r>
        <w:rPr>
          <w:rFonts w:hint="eastAsia" w:ascii="宋体" w:hAnsi="宋体"/>
          <w:b/>
          <w:bCs/>
          <w:color w:val="000000" w:themeColor="text1"/>
          <w:sz w:val="24"/>
          <w:highlight w:val="none"/>
          <w:lang w:eastAsia="zh-CN"/>
          <w14:textFill>
            <w14:solidFill>
              <w14:schemeClr w14:val="tx1"/>
            </w14:solidFill>
          </w14:textFill>
        </w:rPr>
        <w:t>HTXZFCG（2022FS）039号</w:t>
      </w:r>
      <w:r>
        <w:rPr>
          <w:rFonts w:hint="eastAsia" w:ascii="宋体" w:hAnsi="宋体"/>
          <w:b/>
          <w:bCs/>
          <w:color w:val="000000" w:themeColor="text1"/>
          <w:sz w:val="24"/>
          <w:highlight w:val="none"/>
          <w14:textFill>
            <w14:solidFill>
              <w14:schemeClr w14:val="tx1"/>
            </w14:solidFill>
          </w14:textFill>
        </w:rPr>
        <w:t xml:space="preserve">                                                    日期： 2</w:t>
      </w:r>
      <w:r>
        <w:rPr>
          <w:rFonts w:hint="eastAsia" w:ascii="宋体" w:hAnsi="宋体"/>
          <w:b/>
          <w:bCs/>
          <w:color w:val="000000" w:themeColor="text1"/>
          <w:sz w:val="24"/>
          <w:highlight w:val="none"/>
          <w:lang w:val="en-US" w:eastAsia="zh-CN"/>
          <w14:textFill>
            <w14:solidFill>
              <w14:schemeClr w14:val="tx1"/>
            </w14:solidFill>
          </w14:textFill>
        </w:rPr>
        <w:t xml:space="preserve">022 </w:t>
      </w:r>
      <w:r>
        <w:rPr>
          <w:rFonts w:hint="eastAsia" w:ascii="宋体" w:hAnsi="宋体"/>
          <w:b/>
          <w:bCs/>
          <w:color w:val="000000" w:themeColor="text1"/>
          <w:sz w:val="24"/>
          <w:highlight w:val="none"/>
          <w14:textFill>
            <w14:solidFill>
              <w14:schemeClr w14:val="tx1"/>
            </w14:solidFill>
          </w14:textFill>
        </w:rPr>
        <w:t>年</w:t>
      </w:r>
      <w:r>
        <w:rPr>
          <w:rFonts w:hint="eastAsia" w:ascii="宋体" w:hAnsi="宋体"/>
          <w:b/>
          <w:bCs/>
          <w:color w:val="000000" w:themeColor="text1"/>
          <w:sz w:val="24"/>
          <w:highlight w:val="none"/>
          <w:lang w:val="en-US" w:eastAsia="zh-CN"/>
          <w14:textFill>
            <w14:solidFill>
              <w14:schemeClr w14:val="tx1"/>
            </w14:solidFill>
          </w14:textFill>
        </w:rPr>
        <w:t>6</w:t>
      </w:r>
      <w:r>
        <w:rPr>
          <w:rFonts w:hint="eastAsia" w:ascii="宋体" w:hAnsi="宋体"/>
          <w:b/>
          <w:bCs/>
          <w:color w:val="000000" w:themeColor="text1"/>
          <w:sz w:val="24"/>
          <w:highlight w:val="none"/>
          <w14:textFill>
            <w14:solidFill>
              <w14:schemeClr w14:val="tx1"/>
            </w14:solidFill>
          </w14:textFill>
        </w:rPr>
        <w:t>月</w:t>
      </w:r>
      <w:r>
        <w:rPr>
          <w:rFonts w:hint="eastAsia" w:ascii="宋体" w:hAnsi="宋体"/>
          <w:b/>
          <w:bCs/>
          <w:color w:val="000000" w:themeColor="text1"/>
          <w:sz w:val="24"/>
          <w:highlight w:val="none"/>
          <w:lang w:val="en-US" w:eastAsia="zh-CN"/>
          <w14:textFill>
            <w14:solidFill>
              <w14:schemeClr w14:val="tx1"/>
            </w14:solidFill>
          </w14:textFill>
        </w:rPr>
        <w:t>14</w:t>
      </w:r>
      <w:r>
        <w:rPr>
          <w:rFonts w:hint="eastAsia" w:ascii="宋体" w:hAnsi="宋体"/>
          <w:b/>
          <w:bCs/>
          <w:color w:val="000000" w:themeColor="text1"/>
          <w:sz w:val="24"/>
          <w:highlight w:val="none"/>
          <w14:textFill>
            <w14:solidFill>
              <w14:schemeClr w14:val="tx1"/>
            </w14:solidFill>
          </w14:textFill>
        </w:rPr>
        <w:t xml:space="preserve"> 日</w:t>
      </w:r>
    </w:p>
    <w:tbl>
      <w:tblPr>
        <w:tblStyle w:val="20"/>
        <w:tblW w:w="14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509"/>
        <w:gridCol w:w="2540"/>
        <w:gridCol w:w="254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59" w:type="dxa"/>
            <w:vMerge w:val="restart"/>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5509" w:type="dxa"/>
            <w:vMerge w:val="restart"/>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评审因素</w:t>
            </w:r>
          </w:p>
        </w:tc>
        <w:tc>
          <w:tcPr>
            <w:tcW w:w="7631" w:type="dxa"/>
            <w:gridSpan w:val="3"/>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59" w:type="dxa"/>
            <w:vMerge w:val="continue"/>
            <w:vAlign w:val="center"/>
          </w:tcPr>
          <w:p>
            <w:pPr>
              <w:spacing w:line="440" w:lineRule="exact"/>
              <w:jc w:val="center"/>
              <w:rPr>
                <w:rFonts w:ascii="Trebuchet MS" w:hAnsi="Trebuchet MS" w:eastAsia="黑体"/>
                <w:color w:val="000000" w:themeColor="text1"/>
                <w:sz w:val="24"/>
                <w:highlight w:val="none"/>
                <w14:textFill>
                  <w14:solidFill>
                    <w14:schemeClr w14:val="tx1"/>
                  </w14:solidFill>
                </w14:textFill>
              </w:rPr>
            </w:pPr>
            <w:bookmarkStart w:id="23" w:name="OLE_LINK7" w:colFirst="2" w:colLast="8"/>
          </w:p>
        </w:tc>
        <w:tc>
          <w:tcPr>
            <w:tcW w:w="5509" w:type="dxa"/>
            <w:vMerge w:val="continue"/>
            <w:vAlign w:val="center"/>
          </w:tcPr>
          <w:p>
            <w:pPr>
              <w:spacing w:line="440" w:lineRule="exact"/>
              <w:jc w:val="center"/>
              <w:rPr>
                <w:rFonts w:ascii="Trebuchet MS" w:hAnsi="Trebuchet MS"/>
                <w:color w:val="000000" w:themeColor="text1"/>
                <w:sz w:val="24"/>
                <w:highlight w:val="none"/>
                <w14:textFill>
                  <w14:solidFill>
                    <w14:schemeClr w14:val="tx1"/>
                  </w14:solidFill>
                </w14:textFill>
              </w:rPr>
            </w:pPr>
          </w:p>
        </w:tc>
        <w:tc>
          <w:tcPr>
            <w:tcW w:w="2540" w:type="dxa"/>
            <w:vAlign w:val="center"/>
          </w:tcPr>
          <w:p>
            <w:pPr>
              <w:jc w:val="center"/>
              <w:rPr>
                <w:rFonts w:ascii="宋体" w:hAnsi="宋体" w:cs="宋体"/>
                <w:color w:val="000000" w:themeColor="text1"/>
                <w:sz w:val="24"/>
                <w:highlight w:val="none"/>
                <w14:textFill>
                  <w14:solidFill>
                    <w14:schemeClr w14:val="tx1"/>
                  </w14:solidFill>
                </w14:textFill>
              </w:rPr>
            </w:pPr>
          </w:p>
        </w:tc>
        <w:tc>
          <w:tcPr>
            <w:tcW w:w="2540" w:type="dxa"/>
            <w:vAlign w:val="center"/>
          </w:tcPr>
          <w:p>
            <w:pPr>
              <w:jc w:val="cente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jc w:val="center"/>
              <w:rPr>
                <w:rFonts w:ascii="宋体" w:hAnsi="宋体" w:cs="宋体"/>
                <w:color w:val="000000" w:themeColor="text1"/>
                <w:kern w:val="0"/>
                <w:szCs w:val="21"/>
                <w:highlight w:val="none"/>
                <w14:textFill>
                  <w14:solidFill>
                    <w14:schemeClr w14:val="tx1"/>
                  </w14:solidFill>
                </w14:textFill>
              </w:rPr>
            </w:pPr>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9"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1</w:t>
            </w:r>
          </w:p>
        </w:tc>
        <w:tc>
          <w:tcPr>
            <w:tcW w:w="5509" w:type="dxa"/>
            <w:vAlign w:val="center"/>
          </w:tcPr>
          <w:p>
            <w:pPr>
              <w:spacing w:line="280" w:lineRule="exact"/>
              <w:rPr>
                <w:rFonts w:ascii="宋体"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营业执照</w:t>
            </w:r>
            <w:r>
              <w:rPr>
                <w:rFonts w:hint="eastAsia" w:hAnsi="宋体"/>
                <w:color w:val="000000" w:themeColor="text1"/>
                <w:sz w:val="24"/>
                <w:highlight w:val="none"/>
                <w14:textFill>
                  <w14:solidFill>
                    <w14:schemeClr w14:val="tx1"/>
                  </w14:solidFill>
                </w14:textFill>
              </w:rPr>
              <w:t>、税务登记</w:t>
            </w:r>
            <w:r>
              <w:rPr>
                <w:rFonts w:hAnsi="宋体"/>
                <w:color w:val="000000" w:themeColor="text1"/>
                <w:sz w:val="24"/>
                <w:highlight w:val="none"/>
                <w14:textFill>
                  <w14:solidFill>
                    <w14:schemeClr w14:val="tx1"/>
                  </w14:solidFill>
                </w14:textFill>
              </w:rPr>
              <w:t>证</w:t>
            </w:r>
            <w:r>
              <w:rPr>
                <w:rFonts w:hint="eastAsia" w:hAnsi="宋体"/>
                <w:color w:val="000000" w:themeColor="text1"/>
                <w:sz w:val="24"/>
                <w:highlight w:val="none"/>
                <w14:textFill>
                  <w14:solidFill>
                    <w14:schemeClr w14:val="tx1"/>
                  </w14:solidFill>
                </w14:textFill>
              </w:rPr>
              <w:t>、组织机构代码证（或三证合一）</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959"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2</w:t>
            </w:r>
          </w:p>
        </w:tc>
        <w:tc>
          <w:tcPr>
            <w:tcW w:w="5509" w:type="dxa"/>
            <w:vAlign w:val="center"/>
          </w:tcPr>
          <w:p>
            <w:pPr>
              <w:spacing w:line="280" w:lineRule="exac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法人提供法人身份证明文件及身份证、法人委托人须提供法人代表授权书（授权书需附法人身份证及委托人身份证复印件）</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委托人身份证及委托人2022年</w:t>
            </w:r>
            <w:r>
              <w:rPr>
                <w:rFonts w:hint="eastAsia" w:hAnsi="宋体"/>
                <w:color w:val="000000" w:themeColor="text1"/>
                <w:sz w:val="24"/>
                <w:highlight w:val="none"/>
                <w:lang w:val="en-US" w:eastAsia="zh-CN"/>
                <w14:textFill>
                  <w14:solidFill>
                    <w14:schemeClr w14:val="tx1"/>
                  </w14:solidFill>
                </w14:textFill>
              </w:rPr>
              <w:t>2</w:t>
            </w:r>
            <w:r>
              <w:rPr>
                <w:rFonts w:hint="eastAsia" w:hAnsi="宋体"/>
                <w:color w:val="000000" w:themeColor="text1"/>
                <w:sz w:val="24"/>
                <w:highlight w:val="none"/>
                <w14:textFill>
                  <w14:solidFill>
                    <w14:schemeClr w14:val="tx1"/>
                  </w14:solidFill>
                </w14:textFill>
              </w:rPr>
              <w:t>月至</w:t>
            </w:r>
            <w:r>
              <w:rPr>
                <w:rFonts w:hint="eastAsia" w:hAnsi="宋体"/>
                <w:color w:val="000000" w:themeColor="text1"/>
                <w:sz w:val="24"/>
                <w:highlight w:val="none"/>
                <w:lang w:val="en-US" w:eastAsia="zh-CN"/>
                <w14:textFill>
                  <w14:solidFill>
                    <w14:schemeClr w14:val="tx1"/>
                  </w14:solidFill>
                </w14:textFill>
              </w:rPr>
              <w:t>5</w:t>
            </w:r>
            <w:r>
              <w:rPr>
                <w:rFonts w:hint="eastAsia" w:hAnsi="宋体"/>
                <w:color w:val="000000" w:themeColor="text1"/>
                <w:sz w:val="24"/>
                <w:highlight w:val="none"/>
                <w14:textFill>
                  <w14:solidFill>
                    <w14:schemeClr w14:val="tx1"/>
                  </w14:solidFill>
                </w14:textFill>
              </w:rPr>
              <w:t>月社保缴纳凭证；</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vAlign w:val="center"/>
          </w:tcPr>
          <w:p>
            <w:pPr>
              <w:spacing w:line="280" w:lineRule="exact"/>
              <w:jc w:val="center"/>
              <w:rPr>
                <w:rFonts w:hint="eastAsia" w:ascii="Tahoma" w:hAnsi="Tahoma" w:eastAsia="黑体" w:cs="Tahoma"/>
                <w:color w:val="000000" w:themeColor="text1"/>
                <w:szCs w:val="21"/>
                <w:highlight w:val="none"/>
                <w:lang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3</w:t>
            </w:r>
          </w:p>
        </w:tc>
        <w:tc>
          <w:tcPr>
            <w:tcW w:w="5509" w:type="dxa"/>
            <w:vAlign w:val="center"/>
          </w:tcPr>
          <w:p>
            <w:pPr>
              <w:spacing w:line="280" w:lineRule="exact"/>
              <w:rPr>
                <w:rFonts w:ascii="Tahoma" w:hAnsi="Tahoma" w:cs="Tahoma"/>
                <w:color w:val="000000" w:themeColor="text1"/>
                <w:sz w:val="24"/>
                <w:highlight w:val="none"/>
                <w14:textFill>
                  <w14:solidFill>
                    <w14:schemeClr w14:val="tx1"/>
                  </w14:solidFill>
                </w14:textFill>
              </w:rPr>
            </w:pPr>
            <w:r>
              <w:rPr>
                <w:rFonts w:hint="eastAsia" w:ascii="Tahoma" w:hAnsi="Tahoma" w:cs="Tahoma"/>
                <w:color w:val="000000" w:themeColor="text1"/>
                <w:sz w:val="24"/>
                <w:highlight w:val="none"/>
                <w14:textFill>
                  <w14:solidFill>
                    <w14:schemeClr w14:val="tx1"/>
                  </w14:solidFill>
                </w14:textFill>
              </w:rPr>
              <w:t>供应商</w:t>
            </w:r>
            <w:r>
              <w:rPr>
                <w:rFonts w:hint="eastAsia" w:ascii="Tahoma" w:hAnsi="Tahoma" w:cs="Tahoma"/>
                <w:color w:val="000000" w:themeColor="text1"/>
                <w:sz w:val="24"/>
                <w:highlight w:val="none"/>
                <w:lang w:val="en-US" w:eastAsia="zh-CN"/>
                <w14:textFill>
                  <w14:solidFill>
                    <w14:schemeClr w14:val="tx1"/>
                  </w14:solidFill>
                </w14:textFill>
              </w:rPr>
              <w:t>提供2021年度财务审计报告（2021年新成立公司提供银行出具资信证明）</w:t>
            </w:r>
            <w:r>
              <w:rPr>
                <w:rFonts w:hint="eastAsia" w:ascii="Tahoma" w:hAnsi="Tahoma" w:cs="Tahoma"/>
                <w:color w:val="000000" w:themeColor="text1"/>
                <w:sz w:val="24"/>
                <w:highlight w:val="none"/>
                <w14:textFill>
                  <w14:solidFill>
                    <w14:schemeClr w14:val="tx1"/>
                  </w14:solidFill>
                </w14:textFill>
              </w:rPr>
              <w:t>及近三个月完税证明；</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59" w:type="dxa"/>
            <w:vAlign w:val="center"/>
          </w:tcPr>
          <w:p>
            <w:pPr>
              <w:spacing w:line="280" w:lineRule="exact"/>
              <w:jc w:val="center"/>
              <w:rPr>
                <w:rFonts w:hint="default" w:ascii="Tahoma" w:hAnsi="Tahoma" w:eastAsia="黑体" w:cs="Tahoma"/>
                <w:color w:val="000000" w:themeColor="text1"/>
                <w:szCs w:val="21"/>
                <w:highlight w:val="none"/>
                <w:lang w:val="en-US"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4</w:t>
            </w:r>
          </w:p>
        </w:tc>
        <w:tc>
          <w:tcPr>
            <w:tcW w:w="5509" w:type="dxa"/>
            <w:vAlign w:val="center"/>
          </w:tcPr>
          <w:p>
            <w:pPr>
              <w:spacing w:line="280" w:lineRule="exac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提供数字化医院信息平台软件、医院信息集成平台软件、电子病历管理软件原始著作权登记证书（著作权必须在本招标文件发布之前取得，所登记注册的软件名称可以与上述名称略有不同，但必须是功能相同的产品）</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9" w:type="dxa"/>
            <w:vAlign w:val="center"/>
          </w:tcPr>
          <w:p>
            <w:pPr>
              <w:spacing w:line="280" w:lineRule="exact"/>
              <w:jc w:val="center"/>
              <w:rPr>
                <w:rFonts w:hint="default" w:ascii="Tahoma" w:hAnsi="Tahoma" w:eastAsia="黑体" w:cs="Tahoma"/>
                <w:color w:val="000000" w:themeColor="text1"/>
                <w:szCs w:val="21"/>
                <w:highlight w:val="none"/>
                <w:lang w:val="en-US"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5</w:t>
            </w:r>
          </w:p>
        </w:tc>
        <w:tc>
          <w:tcPr>
            <w:tcW w:w="5509" w:type="dxa"/>
            <w:vAlign w:val="center"/>
          </w:tcPr>
          <w:p>
            <w:pPr>
              <w:spacing w:line="280" w:lineRule="exac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提供医院桌面云系统及超融合部分原厂家售后服务承诺书</w:t>
            </w: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40" w:type="dxa"/>
            <w:vAlign w:val="center"/>
          </w:tcPr>
          <w:p>
            <w:pPr>
              <w:textAlignment w:val="center"/>
              <w:rPr>
                <w:rFonts w:ascii="Tahoma" w:hAnsi="Tahoma" w:cs="Tahoma"/>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9" w:type="dxa"/>
            <w:vAlign w:val="center"/>
          </w:tcPr>
          <w:p>
            <w:pPr>
              <w:spacing w:line="280" w:lineRule="exact"/>
              <w:jc w:val="center"/>
              <w:rPr>
                <w:rFonts w:hint="eastAsia" w:ascii="Tahoma" w:hAnsi="Tahoma" w:eastAsia="黑体" w:cs="Tahoma"/>
                <w:color w:val="000000" w:themeColor="text1"/>
                <w:szCs w:val="21"/>
                <w:highlight w:val="none"/>
                <w:lang w:val="en-US"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6</w:t>
            </w:r>
          </w:p>
        </w:tc>
        <w:tc>
          <w:tcPr>
            <w:tcW w:w="5509" w:type="dxa"/>
            <w:vAlign w:val="center"/>
          </w:tcPr>
          <w:p>
            <w:pPr>
              <w:spacing w:line="280" w:lineRule="exac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投标保证金收据；</w:t>
            </w:r>
          </w:p>
        </w:tc>
        <w:tc>
          <w:tcPr>
            <w:tcW w:w="2540" w:type="dxa"/>
            <w:vAlign w:val="center"/>
          </w:tcPr>
          <w:p>
            <w:pPr>
              <w:textAlignment w:val="center"/>
              <w:rPr>
                <w:rFonts w:ascii="Trebuchet MS" w:hAnsi="Trebuchet MS"/>
                <w:color w:val="000000" w:themeColor="text1"/>
                <w:sz w:val="24"/>
                <w:highlight w:val="none"/>
                <w14:textFill>
                  <w14:solidFill>
                    <w14:schemeClr w14:val="tx1"/>
                  </w14:solidFill>
                </w14:textFill>
              </w:rPr>
            </w:pPr>
          </w:p>
        </w:tc>
        <w:tc>
          <w:tcPr>
            <w:tcW w:w="2540" w:type="dxa"/>
            <w:vAlign w:val="center"/>
          </w:tcPr>
          <w:p>
            <w:pPr>
              <w:textAlignment w:val="center"/>
              <w:rPr>
                <w:rFonts w:ascii="Trebuchet MS" w:hAnsi="Trebuchet MS"/>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9" w:type="dxa"/>
            <w:vAlign w:val="center"/>
          </w:tcPr>
          <w:p>
            <w:pPr>
              <w:spacing w:line="280" w:lineRule="exact"/>
              <w:jc w:val="center"/>
              <w:rPr>
                <w:rFonts w:hint="eastAsia" w:ascii="Tahoma" w:hAnsi="Tahoma" w:eastAsia="黑体" w:cs="Tahoma"/>
                <w:color w:val="000000" w:themeColor="text1"/>
                <w:szCs w:val="21"/>
                <w:highlight w:val="none"/>
                <w:lang w:eastAsia="zh-CN"/>
                <w14:textFill>
                  <w14:solidFill>
                    <w14:schemeClr w14:val="tx1"/>
                  </w14:solidFill>
                </w14:textFill>
              </w:rPr>
            </w:pPr>
            <w:r>
              <w:rPr>
                <w:rFonts w:hint="eastAsia" w:ascii="Tahoma" w:hAnsi="Tahoma" w:eastAsia="黑体" w:cs="Tahoma"/>
                <w:color w:val="000000" w:themeColor="text1"/>
                <w:szCs w:val="21"/>
                <w:highlight w:val="none"/>
                <w:lang w:val="en-US" w:eastAsia="zh-CN"/>
                <w14:textFill>
                  <w14:solidFill>
                    <w14:schemeClr w14:val="tx1"/>
                  </w14:solidFill>
                </w14:textFill>
              </w:rPr>
              <w:t>7</w:t>
            </w:r>
          </w:p>
        </w:tc>
        <w:tc>
          <w:tcPr>
            <w:tcW w:w="5509" w:type="dxa"/>
            <w:vAlign w:val="center"/>
          </w:tcPr>
          <w:p>
            <w:pPr>
              <w:spacing w:line="280" w:lineRule="exact"/>
              <w:rPr>
                <w:rFonts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有无</w:t>
            </w:r>
            <w:r>
              <w:rPr>
                <w:color w:val="000000" w:themeColor="text1"/>
                <w:sz w:val="24"/>
                <w:highlight w:val="none"/>
                <w14:textFill>
                  <w14:solidFill>
                    <w14:schemeClr w14:val="tx1"/>
                  </w14:solidFill>
                </w14:textFill>
              </w:rPr>
              <w:t>重大违法记录</w:t>
            </w:r>
          </w:p>
        </w:tc>
        <w:tc>
          <w:tcPr>
            <w:tcW w:w="2540" w:type="dxa"/>
            <w:vAlign w:val="center"/>
          </w:tcPr>
          <w:p>
            <w:pPr>
              <w:textAlignment w:val="center"/>
              <w:rPr>
                <w:rFonts w:ascii="Trebuchet MS" w:hAnsi="Trebuchet MS"/>
                <w:color w:val="000000" w:themeColor="text1"/>
                <w:sz w:val="24"/>
                <w:highlight w:val="none"/>
                <w14:textFill>
                  <w14:solidFill>
                    <w14:schemeClr w14:val="tx1"/>
                  </w14:solidFill>
                </w14:textFill>
              </w:rPr>
            </w:pPr>
          </w:p>
        </w:tc>
        <w:tc>
          <w:tcPr>
            <w:tcW w:w="2540" w:type="dxa"/>
            <w:vAlign w:val="center"/>
          </w:tcPr>
          <w:p>
            <w:pPr>
              <w:textAlignment w:val="center"/>
              <w:rPr>
                <w:rFonts w:ascii="Trebuchet MS" w:hAnsi="Trebuchet MS"/>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68" w:type="dxa"/>
            <w:gridSpan w:val="2"/>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r>
              <w:rPr>
                <w:rFonts w:ascii="Trebuchet MS"/>
                <w:color w:val="000000" w:themeColor="text1"/>
                <w:sz w:val="24"/>
                <w:highlight w:val="none"/>
                <w14:textFill>
                  <w14:solidFill>
                    <w14:schemeClr w14:val="tx1"/>
                  </w14:solidFill>
                </w14:textFill>
              </w:rPr>
              <w:t>是否通过</w:t>
            </w:r>
          </w:p>
        </w:tc>
        <w:tc>
          <w:tcPr>
            <w:tcW w:w="2540"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c>
          <w:tcPr>
            <w:tcW w:w="2540"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c>
          <w:tcPr>
            <w:tcW w:w="2551"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bl>
    <w:p>
      <w:pPr>
        <w:spacing w:line="320" w:lineRule="exact"/>
        <w:rPr>
          <w:rFonts w:hint="eastAsia" w:ascii="黑体" w:eastAsia="黑体"/>
          <w:b/>
          <w:color w:val="000000" w:themeColor="text1"/>
          <w:szCs w:val="21"/>
          <w:highlight w:val="none"/>
          <w14:textFill>
            <w14:solidFill>
              <w14:schemeClr w14:val="tx1"/>
            </w14:solidFill>
          </w14:textFill>
        </w:rPr>
      </w:pPr>
    </w:p>
    <w:p>
      <w:pPr>
        <w:spacing w:line="320" w:lineRule="exact"/>
        <w:rPr>
          <w:rFonts w:ascii="黑体" w:hAnsi="Trebuchet MS" w:eastAsia="黑体"/>
          <w:b/>
          <w:color w:val="000000" w:themeColor="text1"/>
          <w:szCs w:val="21"/>
          <w:highlight w:val="none"/>
          <w14:textFill>
            <w14:solidFill>
              <w14:schemeClr w14:val="tx1"/>
            </w14:solidFill>
          </w14:textFill>
        </w:rPr>
      </w:pPr>
      <w:r>
        <w:rPr>
          <w:rFonts w:hint="eastAsia" w:ascii="黑体" w:eastAsia="黑体"/>
          <w:b/>
          <w:color w:val="000000" w:themeColor="text1"/>
          <w:szCs w:val="21"/>
          <w:highlight w:val="none"/>
          <w14:textFill>
            <w14:solidFill>
              <w14:schemeClr w14:val="tx1"/>
            </w14:solidFill>
          </w14:textFill>
        </w:rPr>
        <w:t>注：评标委员会</w:t>
      </w:r>
      <w:r>
        <w:rPr>
          <w:rFonts w:hint="eastAsia" w:ascii="黑体" w:hAnsi="新宋体" w:eastAsia="黑体"/>
          <w:b/>
          <w:color w:val="000000" w:themeColor="text1"/>
          <w:szCs w:val="21"/>
          <w:highlight w:val="none"/>
          <w14:textFill>
            <w14:solidFill>
              <w14:schemeClr w14:val="tx1"/>
            </w14:solidFill>
          </w14:textFill>
        </w:rPr>
        <w:t>对投标资格类文件按评审标准对上述内容评审，满足要求的在对应的框内打</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，不满足要求的在对应的框内打</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对可以进入详评的投标人，在该投标人所对应的</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是否通过评审“栏中打</w:t>
      </w:r>
      <w:r>
        <w:rPr>
          <w:rFonts w:hint="eastAsia" w:ascii="黑体" w:hAnsi="Trebuchet MS" w:eastAsia="黑体"/>
          <w:b/>
          <w:color w:val="000000" w:themeColor="text1"/>
          <w:szCs w:val="21"/>
          <w:highlight w:val="none"/>
          <w14:textFill>
            <w14:solidFill>
              <w14:schemeClr w14:val="tx1"/>
            </w14:solidFill>
          </w14:textFill>
        </w:rPr>
        <w:t>“√”。</w:t>
      </w:r>
    </w:p>
    <w:p>
      <w:pPr>
        <w:spacing w:line="320" w:lineRule="exact"/>
        <w:rPr>
          <w:color w:val="000000" w:themeColor="text1"/>
          <w:sz w:val="24"/>
          <w:highlight w:val="none"/>
          <w14:textFill>
            <w14:solidFill>
              <w14:schemeClr w14:val="tx1"/>
            </w14:solidFill>
          </w14:textFill>
        </w:rPr>
      </w:pPr>
    </w:p>
    <w:p>
      <w:pPr>
        <w:spacing w:line="320" w:lineRule="exact"/>
        <w:rPr>
          <w:rFonts w:ascii="黑体" w:hAnsi="黑体" w:eastAsia="黑体" w:cs="Tahoma"/>
          <w:b/>
          <w:bCs/>
          <w:color w:val="000000" w:themeColor="text1"/>
          <w:sz w:val="36"/>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评标委员会全体成员签名：</w:t>
      </w:r>
    </w:p>
    <w:p>
      <w:pPr>
        <w:spacing w:before="120" w:beforeLines="50" w:after="120" w:afterLines="50" w:line="440" w:lineRule="exact"/>
        <w:jc w:val="center"/>
        <w:rPr>
          <w:rFonts w:ascii="黑体" w:hAnsi="黑体" w:eastAsia="黑体"/>
          <w:b/>
          <w:bCs/>
          <w:color w:val="000000" w:themeColor="text1"/>
          <w:sz w:val="36"/>
          <w:szCs w:val="28"/>
          <w:highlight w:val="none"/>
          <w14:textFill>
            <w14:solidFill>
              <w14:schemeClr w14:val="tx1"/>
            </w14:solidFill>
          </w14:textFill>
        </w:rPr>
      </w:pPr>
      <w:r>
        <w:rPr>
          <w:rFonts w:hint="eastAsia" w:ascii="黑体" w:hAnsi="黑体" w:eastAsia="黑体" w:cs="Tahoma"/>
          <w:b/>
          <w:bCs/>
          <w:color w:val="000000" w:themeColor="text1"/>
          <w:sz w:val="36"/>
          <w:highlight w:val="none"/>
          <w14:textFill>
            <w14:solidFill>
              <w14:schemeClr w14:val="tx1"/>
            </w14:solidFill>
          </w14:textFill>
        </w:rPr>
        <w:t>符合性检查</w:t>
      </w:r>
      <w:r>
        <w:rPr>
          <w:rFonts w:hint="eastAsia" w:ascii="黑体" w:hAnsi="黑体" w:eastAsia="黑体"/>
          <w:b/>
          <w:bCs/>
          <w:color w:val="000000" w:themeColor="text1"/>
          <w:sz w:val="36"/>
          <w:szCs w:val="28"/>
          <w:highlight w:val="none"/>
          <w14:textFill>
            <w14:solidFill>
              <w14:schemeClr w14:val="tx1"/>
            </w14:solidFill>
          </w14:textFill>
        </w:rPr>
        <w:t>评审记录表（2）</w:t>
      </w:r>
    </w:p>
    <w:p>
      <w:pPr>
        <w:spacing w:line="320" w:lineRule="exact"/>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项目名称：</w:t>
      </w:r>
      <w:r>
        <w:rPr>
          <w:rFonts w:hint="eastAsia" w:ascii="宋体" w:hAnsi="宋体"/>
          <w:b/>
          <w:bCs/>
          <w:color w:val="000000" w:themeColor="text1"/>
          <w:sz w:val="24"/>
          <w:highlight w:val="none"/>
          <w:lang w:eastAsia="zh-CN"/>
          <w14:textFill>
            <w14:solidFill>
              <w14:schemeClr w14:val="tx1"/>
            </w14:solidFill>
          </w14:textFill>
        </w:rPr>
        <w:t>和田地区和田县人民医院综合能力提升及信息化建设项目</w:t>
      </w:r>
    </w:p>
    <w:p>
      <w:pPr>
        <w:spacing w:line="320" w:lineRule="exact"/>
        <w:rPr>
          <w:rFonts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项目编号：</w:t>
      </w:r>
      <w:r>
        <w:rPr>
          <w:rFonts w:hint="eastAsia" w:ascii="Tahoma" w:hAnsi="Tahoma" w:cs="Tahoma"/>
          <w:b/>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lang w:eastAsia="zh-CN"/>
          <w14:textFill>
            <w14:solidFill>
              <w14:schemeClr w14:val="tx1"/>
            </w14:solidFill>
          </w14:textFill>
        </w:rPr>
        <w:t>HTXZFCG（2022FS）039号</w:t>
      </w:r>
      <w:r>
        <w:rPr>
          <w:rFonts w:hint="eastAsia" w:ascii="Tahoma" w:hAnsi="Tahoma" w:cs="Tahoma"/>
          <w:color w:val="000000" w:themeColor="text1"/>
          <w:sz w:val="24"/>
          <w:highlight w:val="none"/>
          <w14:textFill>
            <w14:solidFill>
              <w14:schemeClr w14:val="tx1"/>
            </w14:solidFill>
          </w14:textFill>
        </w:rPr>
        <w:t xml:space="preserve">                                          </w:t>
      </w:r>
      <w:r>
        <w:rPr>
          <w:rFonts w:ascii="Tahoma" w:hAnsi="Tahoma" w:cs="Tahoma"/>
          <w:color w:val="000000" w:themeColor="text1"/>
          <w:sz w:val="24"/>
          <w:highlight w:val="none"/>
          <w14:textFill>
            <w14:solidFill>
              <w14:schemeClr w14:val="tx1"/>
            </w14:solidFill>
          </w14:textFill>
        </w:rPr>
        <w:t xml:space="preserve"> </w:t>
      </w:r>
      <w:r>
        <w:rPr>
          <w:rFonts w:hint="eastAsia" w:ascii="Tahoma" w:hAnsi="Tahoma" w:cs="Tahoma"/>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日期： 20</w:t>
      </w:r>
      <w:r>
        <w:rPr>
          <w:rFonts w:hint="eastAsia" w:ascii="宋体" w:hAnsi="宋体"/>
          <w:b/>
          <w:bCs/>
          <w:color w:val="000000" w:themeColor="text1"/>
          <w:sz w:val="24"/>
          <w:highlight w:val="none"/>
          <w:lang w:val="en-US" w:eastAsia="zh-CN"/>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 xml:space="preserve"> 年</w:t>
      </w:r>
      <w:r>
        <w:rPr>
          <w:rFonts w:hint="eastAsia" w:ascii="宋体" w:hAnsi="宋体"/>
          <w:b/>
          <w:bCs/>
          <w:color w:val="000000" w:themeColor="text1"/>
          <w:sz w:val="24"/>
          <w:highlight w:val="none"/>
          <w:lang w:val="en-US" w:eastAsia="zh-CN"/>
          <w14:textFill>
            <w14:solidFill>
              <w14:schemeClr w14:val="tx1"/>
            </w14:solidFill>
          </w14:textFill>
        </w:rPr>
        <w:t>6</w:t>
      </w:r>
      <w:r>
        <w:rPr>
          <w:rFonts w:hint="eastAsia" w:ascii="宋体" w:hAnsi="宋体"/>
          <w:b/>
          <w:bCs/>
          <w:color w:val="000000" w:themeColor="text1"/>
          <w:sz w:val="24"/>
          <w:highlight w:val="none"/>
          <w14:textFill>
            <w14:solidFill>
              <w14:schemeClr w14:val="tx1"/>
            </w14:solidFill>
          </w14:textFill>
        </w:rPr>
        <w:t>月</w:t>
      </w:r>
      <w:r>
        <w:rPr>
          <w:rFonts w:hint="eastAsia" w:ascii="宋体" w:hAnsi="宋体"/>
          <w:b/>
          <w:bCs/>
          <w:color w:val="000000" w:themeColor="text1"/>
          <w:sz w:val="24"/>
          <w:highlight w:val="none"/>
          <w:lang w:val="en-US" w:eastAsia="zh-CN"/>
          <w14:textFill>
            <w14:solidFill>
              <w14:schemeClr w14:val="tx1"/>
            </w14:solidFill>
          </w14:textFill>
        </w:rPr>
        <w:t>14</w:t>
      </w:r>
      <w:r>
        <w:rPr>
          <w:rFonts w:hint="eastAsia" w:ascii="宋体" w:hAnsi="宋体"/>
          <w:b/>
          <w:bCs/>
          <w:color w:val="000000" w:themeColor="text1"/>
          <w:sz w:val="24"/>
          <w:highlight w:val="none"/>
          <w14:textFill>
            <w14:solidFill>
              <w14:schemeClr w14:val="tx1"/>
            </w14:solidFill>
          </w14:textFill>
        </w:rPr>
        <w:t>日</w:t>
      </w:r>
    </w:p>
    <w:tbl>
      <w:tblPr>
        <w:tblStyle w:val="20"/>
        <w:tblW w:w="13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972"/>
        <w:gridCol w:w="2639"/>
        <w:gridCol w:w="2696"/>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65" w:type="dxa"/>
            <w:vMerge w:val="restart"/>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4972" w:type="dxa"/>
            <w:vMerge w:val="restart"/>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评审因素</w:t>
            </w:r>
          </w:p>
        </w:tc>
        <w:tc>
          <w:tcPr>
            <w:tcW w:w="8083" w:type="dxa"/>
            <w:gridSpan w:val="3"/>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5" w:type="dxa"/>
            <w:vMerge w:val="continue"/>
            <w:vAlign w:val="center"/>
          </w:tcPr>
          <w:p>
            <w:pPr>
              <w:spacing w:line="440" w:lineRule="exact"/>
              <w:jc w:val="center"/>
              <w:rPr>
                <w:rFonts w:ascii="Trebuchet MS" w:hAnsi="Trebuchet MS" w:eastAsia="黑体"/>
                <w:color w:val="000000" w:themeColor="text1"/>
                <w:sz w:val="24"/>
                <w:highlight w:val="none"/>
                <w14:textFill>
                  <w14:solidFill>
                    <w14:schemeClr w14:val="tx1"/>
                  </w14:solidFill>
                </w14:textFill>
              </w:rPr>
            </w:pPr>
          </w:p>
        </w:tc>
        <w:tc>
          <w:tcPr>
            <w:tcW w:w="4972" w:type="dxa"/>
            <w:vMerge w:val="continue"/>
            <w:vAlign w:val="center"/>
          </w:tcPr>
          <w:p>
            <w:pPr>
              <w:spacing w:line="440" w:lineRule="exact"/>
              <w:jc w:val="center"/>
              <w:rPr>
                <w:rFonts w:ascii="Trebuchet MS" w:hAnsi="Trebuchet MS"/>
                <w:color w:val="000000" w:themeColor="text1"/>
                <w:sz w:val="24"/>
                <w:highlight w:val="none"/>
                <w14:textFill>
                  <w14:solidFill>
                    <w14:schemeClr w14:val="tx1"/>
                  </w14:solidFill>
                </w14:textFill>
              </w:rPr>
            </w:pPr>
          </w:p>
        </w:tc>
        <w:tc>
          <w:tcPr>
            <w:tcW w:w="2639" w:type="dxa"/>
            <w:vAlign w:val="center"/>
          </w:tcPr>
          <w:p>
            <w:pPr>
              <w:jc w:val="center"/>
              <w:rPr>
                <w:rFonts w:ascii="宋体" w:hAnsi="宋体" w:cs="宋体"/>
                <w:color w:val="000000" w:themeColor="text1"/>
                <w:sz w:val="24"/>
                <w:highlight w:val="none"/>
                <w14:textFill>
                  <w14:solidFill>
                    <w14:schemeClr w14:val="tx1"/>
                  </w14:solidFill>
                </w14:textFill>
              </w:rPr>
            </w:pPr>
          </w:p>
        </w:tc>
        <w:tc>
          <w:tcPr>
            <w:tcW w:w="2696" w:type="dxa"/>
            <w:vAlign w:val="center"/>
          </w:tcPr>
          <w:p>
            <w:pPr>
              <w:widowControl/>
              <w:jc w:val="center"/>
              <w:textAlignment w:val="center"/>
              <w:rPr>
                <w:rFonts w:ascii="Tahoma" w:hAnsi="Tahoma" w:cs="Tahoma"/>
                <w:color w:val="000000" w:themeColor="text1"/>
                <w:sz w:val="24"/>
                <w:highlight w:val="none"/>
                <w14:textFill>
                  <w14:solidFill>
                    <w14:schemeClr w14:val="tx1"/>
                  </w14:solidFill>
                </w14:textFill>
              </w:rPr>
            </w:pPr>
          </w:p>
        </w:tc>
        <w:tc>
          <w:tcPr>
            <w:tcW w:w="2748" w:type="dxa"/>
            <w:vAlign w:val="center"/>
          </w:tcPr>
          <w:p>
            <w:pPr>
              <w:jc w:val="center"/>
              <w:rPr>
                <w:rFonts w:ascii="宋体" w:hAnsi="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1</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不具备招标文件中规定的资格要求的，或投标文件中提供的资格证明文件与原件不一致的</w:t>
            </w:r>
          </w:p>
        </w:tc>
        <w:tc>
          <w:tcPr>
            <w:tcW w:w="2639" w:type="dxa"/>
            <w:vAlign w:val="center"/>
          </w:tcPr>
          <w:p>
            <w:pPr>
              <w:widowControl/>
              <w:jc w:val="left"/>
              <w:textAlignment w:val="center"/>
              <w:rPr>
                <w:rFonts w:ascii="Trebuchet MS" w:hAnsi="Trebuchet MS"/>
                <w:color w:val="000000" w:themeColor="text1"/>
                <w:sz w:val="24"/>
                <w:highlight w:val="none"/>
                <w14:textFill>
                  <w14:solidFill>
                    <w14:schemeClr w14:val="tx1"/>
                  </w14:solidFill>
                </w14:textFill>
              </w:rPr>
            </w:pPr>
          </w:p>
        </w:tc>
        <w:tc>
          <w:tcPr>
            <w:tcW w:w="2696" w:type="dxa"/>
            <w:vAlign w:val="center"/>
          </w:tcPr>
          <w:p>
            <w:pPr>
              <w:widowControl/>
              <w:jc w:val="left"/>
              <w:textAlignment w:val="center"/>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2</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投标文件未按招标文件规定进行装订、密封、标记的</w:t>
            </w:r>
          </w:p>
        </w:tc>
        <w:tc>
          <w:tcPr>
            <w:tcW w:w="2639" w:type="dxa"/>
            <w:vAlign w:val="center"/>
          </w:tcPr>
          <w:p>
            <w:pPr>
              <w:widowControl/>
              <w:jc w:val="left"/>
              <w:textAlignment w:val="center"/>
              <w:rPr>
                <w:rFonts w:ascii="Trebuchet MS" w:hAnsi="Trebuchet MS"/>
                <w:color w:val="000000" w:themeColor="text1"/>
                <w:sz w:val="24"/>
                <w:highlight w:val="none"/>
                <w14:textFill>
                  <w14:solidFill>
                    <w14:schemeClr w14:val="tx1"/>
                  </w14:solidFill>
                </w14:textFill>
              </w:rPr>
            </w:pPr>
          </w:p>
        </w:tc>
        <w:tc>
          <w:tcPr>
            <w:tcW w:w="2696" w:type="dxa"/>
            <w:vAlign w:val="center"/>
          </w:tcPr>
          <w:p>
            <w:pPr>
              <w:widowControl/>
              <w:jc w:val="left"/>
              <w:textAlignment w:val="center"/>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3</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投标文件未按招标文件要求签署、盖章的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4</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未按照招标文件的规定提交投标保证金的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5</w:t>
            </w:r>
          </w:p>
        </w:tc>
        <w:tc>
          <w:tcPr>
            <w:tcW w:w="4972" w:type="dxa"/>
            <w:vAlign w:val="center"/>
          </w:tcPr>
          <w:p>
            <w:pPr>
              <w:snapToGrid w:val="0"/>
              <w:spacing w:line="240" w:lineRule="exact"/>
              <w:rPr>
                <w:rFonts w:hAnsi="宋体"/>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投标文件含有采购人不能接受的附加条件的</w:t>
            </w:r>
          </w:p>
        </w:tc>
        <w:tc>
          <w:tcPr>
            <w:tcW w:w="2639" w:type="dxa"/>
            <w:vAlign w:val="center"/>
          </w:tcPr>
          <w:p>
            <w:pPr>
              <w:spacing w:line="280" w:lineRule="exact"/>
              <w:jc w:val="left"/>
              <w:rPr>
                <w:rFonts w:hAnsi="宋体"/>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hAnsi="宋体"/>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6</w:t>
            </w:r>
          </w:p>
        </w:tc>
        <w:tc>
          <w:tcPr>
            <w:tcW w:w="4972" w:type="dxa"/>
            <w:vAlign w:val="center"/>
          </w:tcPr>
          <w:p>
            <w:pPr>
              <w:snapToGrid w:val="0"/>
              <w:spacing w:line="24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投标有效期不满足招标文件要求的</w:t>
            </w:r>
          </w:p>
        </w:tc>
        <w:tc>
          <w:tcPr>
            <w:tcW w:w="2639" w:type="dxa"/>
            <w:vAlign w:val="center"/>
          </w:tcPr>
          <w:p>
            <w:pPr>
              <w:spacing w:line="280" w:lineRule="exact"/>
              <w:jc w:val="left"/>
              <w:rPr>
                <w:rFonts w:ascii="Tahoma" w:hAnsi="Tahoma" w:cs="Tahoma"/>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ahoma" w:hAnsi="Tahoma" w:cs="Tahoma"/>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7</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报价超过招标文件中规定的预算金额或者最高限价的；或提供的报价是可供选择的（不是唯一报价）</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8</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供应商未进行分项报价或分项报价的构成未能准确全部反映产品价格组成或有所隐含，有可能致使在合同履行过程中引起纠纷（非正常的追加或索赔等）或不能诚信履约的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9</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投标文件的内容与采购内容及要求有重大偏离或保留的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10</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投标文件互相混装的，或其他窜通的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11</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投标文件的内容组成不符合招标文件要求的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12</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投标文件中提供虚假或失实资料的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13</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不同供应商所提交的投标文件的内容（或其单价等）存在异常一致或其报价呈规律性差异的</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5" w:type="dxa"/>
            <w:vAlign w:val="center"/>
          </w:tcPr>
          <w:p>
            <w:pPr>
              <w:spacing w:line="280" w:lineRule="exact"/>
              <w:jc w:val="center"/>
              <w:rPr>
                <w:rFonts w:ascii="Tahoma" w:hAnsi="Tahoma" w:eastAsia="黑体" w:cs="Tahoma"/>
                <w:color w:val="000000" w:themeColor="text1"/>
                <w:szCs w:val="21"/>
                <w:highlight w:val="none"/>
                <w14:textFill>
                  <w14:solidFill>
                    <w14:schemeClr w14:val="tx1"/>
                  </w14:solidFill>
                </w14:textFill>
              </w:rPr>
            </w:pPr>
            <w:r>
              <w:rPr>
                <w:rFonts w:hint="eastAsia" w:ascii="Tahoma" w:hAnsi="Tahoma" w:eastAsia="黑体" w:cs="Tahoma"/>
                <w:color w:val="000000" w:themeColor="text1"/>
                <w:szCs w:val="21"/>
                <w:highlight w:val="none"/>
                <w14:textFill>
                  <w14:solidFill>
                    <w14:schemeClr w14:val="tx1"/>
                  </w14:solidFill>
                </w14:textFill>
              </w:rPr>
              <w:t>14</w:t>
            </w:r>
          </w:p>
        </w:tc>
        <w:tc>
          <w:tcPr>
            <w:tcW w:w="4972" w:type="dxa"/>
            <w:vAlign w:val="center"/>
          </w:tcPr>
          <w:p>
            <w:pPr>
              <w:snapToGrid w:val="0"/>
              <w:spacing w:line="240" w:lineRule="exact"/>
              <w:rPr>
                <w:rFonts w:ascii="Trebuchet MS" w:hAnsi="Trebuchet MS"/>
                <w:color w:val="000000" w:themeColor="text1"/>
                <w:sz w:val="24"/>
                <w:highlight w:val="none"/>
                <w14:textFill>
                  <w14:solidFill>
                    <w14:schemeClr w14:val="tx1"/>
                  </w14:solidFill>
                </w14:textFill>
              </w:rPr>
            </w:pPr>
            <w:r>
              <w:rPr>
                <w:rFonts w:ascii="Tahoma" w:hAnsi="Tahoma" w:cs="Tahoma"/>
                <w:color w:val="000000" w:themeColor="text1"/>
                <w:sz w:val="20"/>
                <w:highlight w:val="none"/>
                <w14:textFill>
                  <w14:solidFill>
                    <w14:schemeClr w14:val="tx1"/>
                  </w14:solidFill>
                </w14:textFill>
              </w:rPr>
              <w:t>法律、法规和招标文件规定的其他无效情形</w:t>
            </w:r>
          </w:p>
        </w:tc>
        <w:tc>
          <w:tcPr>
            <w:tcW w:w="2639"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left"/>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737" w:type="dxa"/>
            <w:gridSpan w:val="2"/>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r>
              <w:rPr>
                <w:rFonts w:ascii="Trebuchet MS"/>
                <w:color w:val="000000" w:themeColor="text1"/>
                <w:sz w:val="24"/>
                <w:highlight w:val="none"/>
                <w14:textFill>
                  <w14:solidFill>
                    <w14:schemeClr w14:val="tx1"/>
                  </w14:solidFill>
                </w14:textFill>
              </w:rPr>
              <w:t>是否通过</w:t>
            </w:r>
          </w:p>
        </w:tc>
        <w:tc>
          <w:tcPr>
            <w:tcW w:w="2639"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c>
          <w:tcPr>
            <w:tcW w:w="2696"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c>
          <w:tcPr>
            <w:tcW w:w="2748" w:type="dxa"/>
            <w:vAlign w:val="center"/>
          </w:tcPr>
          <w:p>
            <w:pPr>
              <w:spacing w:line="280" w:lineRule="exact"/>
              <w:jc w:val="center"/>
              <w:rPr>
                <w:rFonts w:ascii="Trebuchet MS" w:hAnsi="Trebuchet MS"/>
                <w:color w:val="000000" w:themeColor="text1"/>
                <w:sz w:val="24"/>
                <w:highlight w:val="none"/>
                <w14:textFill>
                  <w14:solidFill>
                    <w14:schemeClr w14:val="tx1"/>
                  </w14:solidFill>
                </w14:textFill>
              </w:rPr>
            </w:pPr>
          </w:p>
        </w:tc>
      </w:tr>
    </w:tbl>
    <w:p>
      <w:pPr>
        <w:spacing w:line="320" w:lineRule="exact"/>
        <w:rPr>
          <w:rFonts w:ascii="黑体" w:hAnsi="Trebuchet MS" w:eastAsia="黑体"/>
          <w:b/>
          <w:color w:val="000000" w:themeColor="text1"/>
          <w:szCs w:val="21"/>
          <w:highlight w:val="none"/>
          <w14:textFill>
            <w14:solidFill>
              <w14:schemeClr w14:val="tx1"/>
            </w14:solidFill>
          </w14:textFill>
        </w:rPr>
      </w:pPr>
      <w:r>
        <w:rPr>
          <w:rFonts w:hint="eastAsia" w:ascii="黑体" w:eastAsia="黑体"/>
          <w:b/>
          <w:color w:val="000000" w:themeColor="text1"/>
          <w:szCs w:val="21"/>
          <w:highlight w:val="none"/>
          <w14:textFill>
            <w14:solidFill>
              <w14:schemeClr w14:val="tx1"/>
            </w14:solidFill>
          </w14:textFill>
        </w:rPr>
        <w:t xml:space="preserve"> 注：评标委员会</w:t>
      </w:r>
      <w:r>
        <w:rPr>
          <w:rFonts w:hint="eastAsia" w:ascii="黑体" w:hAnsi="新宋体" w:eastAsia="黑体"/>
          <w:b/>
          <w:color w:val="000000" w:themeColor="text1"/>
          <w:szCs w:val="21"/>
          <w:highlight w:val="none"/>
          <w14:textFill>
            <w14:solidFill>
              <w14:schemeClr w14:val="tx1"/>
            </w14:solidFill>
          </w14:textFill>
        </w:rPr>
        <w:t>对投标资格类文件按评审标准对上述内容评审，满足要求的在对应的框内打</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，不满足要求的在对应的框内打</w:t>
      </w:r>
      <w:r>
        <w:rPr>
          <w:rFonts w:hint="eastAsia" w:ascii="黑体" w:hAnsi="Trebuchet MS" w:eastAsia="黑体"/>
          <w:b/>
          <w:color w:val="000000" w:themeColor="text1"/>
          <w:szCs w:val="21"/>
          <w:highlight w:val="none"/>
          <w14:textFill>
            <w14:solidFill>
              <w14:schemeClr w14:val="tx1"/>
            </w14:solidFill>
          </w14:textFill>
        </w:rPr>
        <w:t>“×”。</w:t>
      </w:r>
    </w:p>
    <w:p>
      <w:pPr>
        <w:spacing w:line="320" w:lineRule="exact"/>
        <w:rPr>
          <w:color w:val="000000" w:themeColor="text1"/>
          <w:sz w:val="24"/>
          <w:highlight w:val="none"/>
          <w14:textFill>
            <w14:solidFill>
              <w14:schemeClr w14:val="tx1"/>
            </w14:solidFill>
          </w14:textFill>
        </w:rPr>
      </w:pPr>
      <w:r>
        <w:rPr>
          <w:rFonts w:hint="eastAsia" w:ascii="黑体" w:hAnsi="Trebuchet MS" w:eastAsia="黑体"/>
          <w:b/>
          <w:color w:val="000000" w:themeColor="text1"/>
          <w:szCs w:val="21"/>
          <w:highlight w:val="none"/>
          <w14:textFill>
            <w14:solidFill>
              <w14:schemeClr w14:val="tx1"/>
            </w14:solidFill>
          </w14:textFill>
        </w:rPr>
        <w:t xml:space="preserve">     </w:t>
      </w:r>
      <w:r>
        <w:rPr>
          <w:rFonts w:hint="eastAsia" w:ascii="黑体" w:hAnsi="新宋体" w:eastAsia="黑体"/>
          <w:b/>
          <w:color w:val="000000" w:themeColor="text1"/>
          <w:szCs w:val="21"/>
          <w:highlight w:val="none"/>
          <w14:textFill>
            <w14:solidFill>
              <w14:schemeClr w14:val="tx1"/>
            </w14:solidFill>
          </w14:textFill>
        </w:rPr>
        <w:t>对可以进入详评的投标人，在该投标人所对应的</w:t>
      </w:r>
      <w:r>
        <w:rPr>
          <w:rFonts w:hint="eastAsia" w:ascii="黑体" w:hAnsi="Trebuchet MS" w:eastAsia="黑体"/>
          <w:b/>
          <w:color w:val="000000" w:themeColor="text1"/>
          <w:szCs w:val="21"/>
          <w:highlight w:val="none"/>
          <w14:textFill>
            <w14:solidFill>
              <w14:schemeClr w14:val="tx1"/>
            </w14:solidFill>
          </w14:textFill>
        </w:rPr>
        <w:t>“</w:t>
      </w:r>
      <w:r>
        <w:rPr>
          <w:rFonts w:hint="eastAsia" w:ascii="黑体" w:hAnsi="新宋体" w:eastAsia="黑体"/>
          <w:b/>
          <w:color w:val="000000" w:themeColor="text1"/>
          <w:szCs w:val="21"/>
          <w:highlight w:val="none"/>
          <w14:textFill>
            <w14:solidFill>
              <w14:schemeClr w14:val="tx1"/>
            </w14:solidFill>
          </w14:textFill>
        </w:rPr>
        <w:t>是否通过评审“栏中打</w:t>
      </w:r>
      <w:r>
        <w:rPr>
          <w:rFonts w:hint="eastAsia" w:ascii="黑体" w:hAnsi="Trebuchet MS" w:eastAsia="黑体"/>
          <w:b/>
          <w:color w:val="000000" w:themeColor="text1"/>
          <w:szCs w:val="21"/>
          <w:highlight w:val="none"/>
          <w14:textFill>
            <w14:solidFill>
              <w14:schemeClr w14:val="tx1"/>
            </w14:solidFill>
          </w14:textFill>
        </w:rPr>
        <w:t>“√”。</w:t>
      </w:r>
    </w:p>
    <w:p>
      <w:pPr>
        <w:rPr>
          <w:color w:val="000000" w:themeColor="text1"/>
          <w:sz w:val="24"/>
          <w:highlight w:val="none"/>
          <w14:textFill>
            <w14:solidFill>
              <w14:schemeClr w14:val="tx1"/>
            </w14:solidFill>
          </w14:textFill>
        </w:rPr>
        <w:sectPr>
          <w:pgSz w:w="15840" w:h="12240" w:orient="landscape"/>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r>
        <w:rPr>
          <w:rFonts w:hint="eastAsia"/>
          <w:color w:val="000000" w:themeColor="text1"/>
          <w:sz w:val="24"/>
          <w:highlight w:val="none"/>
          <w14:textFill>
            <w14:solidFill>
              <w14:schemeClr w14:val="tx1"/>
            </w14:solidFill>
          </w14:textFill>
        </w:rPr>
        <w:t>评标委员会全体成员签名：</w:t>
      </w: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jc w:val="both"/>
        <w:outlineLvl w:val="0"/>
        <w:rPr>
          <w:rFonts w:ascii="Tahoma" w:hAnsi="Tahoma" w:eastAsia="黑体" w:cs="Tahoma"/>
          <w:b/>
          <w:color w:val="000000" w:themeColor="text1"/>
          <w:sz w:val="44"/>
          <w:highlight w:val="none"/>
          <w14:textFill>
            <w14:solidFill>
              <w14:schemeClr w14:val="tx1"/>
            </w14:solidFill>
          </w14:textFill>
        </w:rPr>
      </w:pPr>
    </w:p>
    <w:p>
      <w:pPr>
        <w:numPr>
          <w:ilvl w:val="0"/>
          <w:numId w:val="3"/>
        </w:numPr>
        <w:jc w:val="center"/>
        <w:outlineLvl w:val="0"/>
        <w:rPr>
          <w:rFonts w:ascii="Tahoma" w:hAnsi="Tahoma" w:eastAsia="黑体" w:cs="Tahoma"/>
          <w:b/>
          <w:bCs/>
          <w:color w:val="000000" w:themeColor="text1"/>
          <w:kern w:val="36"/>
          <w:sz w:val="44"/>
          <w:szCs w:val="44"/>
          <w:highlight w:val="none"/>
          <w14:textFill>
            <w14:solidFill>
              <w14:schemeClr w14:val="tx1"/>
            </w14:solidFill>
          </w14:textFill>
        </w:rPr>
      </w:pPr>
      <w:r>
        <w:rPr>
          <w:rFonts w:ascii="Tahoma" w:hAnsi="Tahoma" w:eastAsia="黑体" w:cs="Tahoma"/>
          <w:b/>
          <w:bCs/>
          <w:color w:val="000000" w:themeColor="text1"/>
          <w:kern w:val="36"/>
          <w:sz w:val="44"/>
          <w:szCs w:val="44"/>
          <w:highlight w:val="none"/>
          <w14:textFill>
            <w14:solidFill>
              <w14:schemeClr w14:val="tx1"/>
            </w14:solidFill>
          </w14:textFill>
        </w:rPr>
        <w:t>合同附件格式及条款</w:t>
      </w:r>
      <w:bookmarkEnd w:id="21"/>
      <w:bookmarkEnd w:id="22"/>
    </w:p>
    <w:p>
      <w:pPr>
        <w:pStyle w:val="5"/>
        <w:numPr>
          <w:ilvl w:val="0"/>
          <w:numId w:val="0"/>
        </w:numPr>
        <w:ind w:firstLine="2168" w:firstLineChars="600"/>
        <w:rPr>
          <w:rFonts w:ascii="Tahoma" w:hAnsi="Tahoma" w:cs="Tahoma"/>
          <w:color w:val="000000" w:themeColor="text1"/>
          <w:highlight w:val="none"/>
          <w14:textFill>
            <w14:solidFill>
              <w14:schemeClr w14:val="tx1"/>
            </w14:solidFill>
          </w14:textFill>
        </w:rPr>
      </w:pPr>
      <w:r>
        <w:rPr>
          <w:rFonts w:hint="eastAsia" w:ascii="Tahoma" w:hAnsi="Tahoma" w:cs="Tahoma"/>
          <w:b/>
          <w:color w:val="000000" w:themeColor="text1"/>
          <w:sz w:val="36"/>
          <w:highlight w:val="none"/>
          <w:lang w:eastAsia="zh-CN"/>
          <w14:textFill>
            <w14:solidFill>
              <w14:schemeClr w14:val="tx1"/>
            </w14:solidFill>
          </w14:textFill>
        </w:rPr>
        <w:t>（</w:t>
      </w:r>
      <w:r>
        <w:rPr>
          <w:rFonts w:hint="eastAsia" w:ascii="Tahoma" w:hAnsi="Tahoma" w:cs="Tahoma"/>
          <w:b/>
          <w:color w:val="000000" w:themeColor="text1"/>
          <w:sz w:val="36"/>
          <w:highlight w:val="none"/>
          <w:lang w:val="en-US" w:eastAsia="zh-CN"/>
          <w14:textFill>
            <w14:solidFill>
              <w14:schemeClr w14:val="tx1"/>
            </w14:solidFill>
          </w14:textFill>
        </w:rPr>
        <w:t>以实际签订的合同文本为准</w:t>
      </w:r>
      <w:r>
        <w:rPr>
          <w:rFonts w:hint="eastAsia" w:ascii="Tahoma" w:hAnsi="Tahoma" w:cs="Tahoma"/>
          <w:b/>
          <w:color w:val="000000" w:themeColor="text1"/>
          <w:sz w:val="36"/>
          <w:highlight w:val="none"/>
          <w:lang w:eastAsia="zh-CN"/>
          <w14:textFill>
            <w14:solidFill>
              <w14:schemeClr w14:val="tx1"/>
            </w14:solidFill>
          </w14:textFill>
        </w:rPr>
        <w:t>）</w:t>
      </w:r>
      <w:r>
        <w:rPr>
          <w:rFonts w:ascii="Tahoma" w:hAnsi="Tahoma" w:cs="Tahoma"/>
          <w:b/>
          <w:color w:val="000000" w:themeColor="text1"/>
          <w:sz w:val="36"/>
          <w:highlight w:val="none"/>
          <w14:textFill>
            <w14:solidFill>
              <w14:schemeClr w14:val="tx1"/>
            </w14:solidFill>
          </w14:textFill>
        </w:rPr>
        <w:t xml:space="preserve">                 </w:t>
      </w:r>
      <w:r>
        <w:rPr>
          <w:rFonts w:ascii="Tahoma" w:hAnsi="Tahoma" w:cs="Tahoma"/>
          <w:b/>
          <w:bCs/>
          <w:color w:val="000000" w:themeColor="text1"/>
          <w:sz w:val="36"/>
          <w:highlight w:val="none"/>
          <w14:textFill>
            <w14:solidFill>
              <w14:schemeClr w14:val="tx1"/>
            </w14:solidFill>
          </w14:textFill>
        </w:rPr>
        <w:t xml:space="preserve">              </w:t>
      </w:r>
      <w:r>
        <w:rPr>
          <w:rFonts w:ascii="Tahoma" w:hAnsi="Tahoma" w:cs="Tahoma"/>
          <w:color w:val="000000" w:themeColor="text1"/>
          <w:sz w:val="24"/>
          <w:highlight w:val="non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 xml:space="preserve">                                           </w:t>
      </w: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ind w:left="-284"/>
        <w:rPr>
          <w:rFonts w:ascii="Tahoma" w:hAnsi="Tahoma" w:cs="Tahoma"/>
          <w:color w:val="000000" w:themeColor="text1"/>
          <w:highlight w:val="none"/>
          <w14:textFill>
            <w14:solidFill>
              <w14:schemeClr w14:val="tx1"/>
            </w14:solidFill>
          </w14:textFill>
        </w:rPr>
      </w:pPr>
    </w:p>
    <w:p>
      <w:pPr>
        <w:spacing w:line="420" w:lineRule="exact"/>
        <w:jc w:val="center"/>
        <w:rPr>
          <w:rFonts w:ascii="Tahoma" w:hAnsi="Tahoma" w:eastAsia="黑体" w:cs="Tahoma"/>
          <w:b/>
          <w:bCs/>
          <w:color w:val="000000" w:themeColor="text1"/>
          <w:kern w:val="0"/>
          <w:sz w:val="30"/>
          <w:szCs w:val="30"/>
          <w:highlight w:val="none"/>
          <w14:textFill>
            <w14:solidFill>
              <w14:schemeClr w14:val="tx1"/>
            </w14:solidFill>
          </w14:textFill>
        </w:rPr>
      </w:pPr>
    </w:p>
    <w:p>
      <w:pPr>
        <w:spacing w:line="420" w:lineRule="exact"/>
        <w:jc w:val="center"/>
        <w:rPr>
          <w:rFonts w:ascii="Tahoma" w:hAnsi="Tahoma" w:eastAsia="黑体" w:cs="Tahoma"/>
          <w:b/>
          <w:bCs/>
          <w:color w:val="000000" w:themeColor="text1"/>
          <w:kern w:val="0"/>
          <w:sz w:val="30"/>
          <w:szCs w:val="30"/>
          <w:highlight w:val="none"/>
          <w14:textFill>
            <w14:solidFill>
              <w14:schemeClr w14:val="tx1"/>
            </w14:solidFill>
          </w14:textFill>
        </w:rPr>
      </w:pPr>
    </w:p>
    <w:p>
      <w:pPr>
        <w:spacing w:line="420" w:lineRule="exact"/>
        <w:jc w:val="center"/>
        <w:rPr>
          <w:rFonts w:ascii="Tahoma" w:hAnsi="Tahoma" w:cs="Tahoma"/>
          <w:b/>
          <w:bCs/>
          <w:color w:val="000000" w:themeColor="text1"/>
          <w:sz w:val="28"/>
          <w:szCs w:val="28"/>
          <w:highlight w:val="none"/>
          <w14:textFill>
            <w14:solidFill>
              <w14:schemeClr w14:val="tx1"/>
            </w14:solidFill>
          </w14:textFill>
        </w:rPr>
      </w:pPr>
      <w:r>
        <w:rPr>
          <w:rFonts w:ascii="Tahoma" w:hAnsi="Tahoma" w:eastAsia="黑体" w:cs="Tahoma"/>
          <w:b/>
          <w:bCs/>
          <w:color w:val="000000" w:themeColor="text1"/>
          <w:kern w:val="0"/>
          <w:sz w:val="28"/>
          <w:szCs w:val="28"/>
          <w:highlight w:val="none"/>
          <w14:textFill>
            <w14:solidFill>
              <w14:schemeClr w14:val="tx1"/>
            </w14:solidFill>
          </w14:textFill>
        </w:rPr>
        <w:t>一、合同协议书（格式）</w:t>
      </w:r>
    </w:p>
    <w:p>
      <w:pPr>
        <w:ind w:firstLine="720" w:firstLineChars="300"/>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20" w:lineRule="exact"/>
        <w:ind w:firstLine="315" w:firstLineChars="150"/>
        <w:rPr>
          <w:rFonts w:ascii="Tahoma" w:hAnsi="Tahoma" w:cs="Tahoma"/>
          <w:b/>
          <w:color w:val="000000" w:themeColor="text1"/>
          <w:spacing w:val="2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（本合同格式条款仅作为双方签订合同的参考，为阐明各方的权利和义务，经协商可增加或修改条款，但不得与招标文件、投标文件的实质性内容相背离。）</w:t>
      </w:r>
    </w:p>
    <w:p>
      <w:pPr>
        <w:tabs>
          <w:tab w:val="left" w:pos="850"/>
        </w:tabs>
        <w:autoSpaceDE w:val="0"/>
        <w:autoSpaceDN w:val="0"/>
        <w:spacing w:line="320" w:lineRule="exact"/>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w:t>
      </w:r>
    </w:p>
    <w:p>
      <w:pPr>
        <w:tabs>
          <w:tab w:val="left" w:pos="850"/>
        </w:tabs>
        <w:autoSpaceDE w:val="0"/>
        <w:autoSpaceDN w:val="0"/>
        <w:spacing w:line="320" w:lineRule="exact"/>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采购方作为本合同的需方，成交供应商是本合同的供方，按合同相关条款履行其义务。双方宗旨是严格履行合同。根据《中华人民共和国</w:t>
      </w:r>
      <w:r>
        <w:rPr>
          <w:rFonts w:hint="eastAsia" w:ascii="Tahoma" w:hAnsi="Tahoma" w:cs="Tahoma"/>
          <w:color w:val="000000" w:themeColor="text1"/>
          <w:szCs w:val="21"/>
          <w:highlight w:val="none"/>
          <w:lang w:val="en-US" w:eastAsia="zh-CN"/>
          <w14:textFill>
            <w14:solidFill>
              <w14:schemeClr w14:val="tx1"/>
            </w14:solidFill>
          </w14:textFill>
        </w:rPr>
        <w:t>民法典</w:t>
      </w:r>
      <w:r>
        <w:rPr>
          <w:rFonts w:ascii="Tahoma" w:hAnsi="Tahoma" w:cs="Tahoma"/>
          <w:color w:val="000000" w:themeColor="text1"/>
          <w:szCs w:val="21"/>
          <w:highlight w:val="none"/>
          <w14:textFill>
            <w14:solidFill>
              <w14:schemeClr w14:val="tx1"/>
            </w14:solidFill>
          </w14:textFill>
        </w:rPr>
        <w:t>》、招标文件、投标文件及相关文件的有关条款为基础，双方达成如下协议：</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1、合同标的和合同价格</w:t>
      </w:r>
    </w:p>
    <w:tbl>
      <w:tblPr>
        <w:tblStyle w:val="20"/>
        <w:tblW w:w="97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316"/>
        <w:gridCol w:w="1316"/>
        <w:gridCol w:w="1316"/>
        <w:gridCol w:w="1316"/>
        <w:gridCol w:w="131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exact"/>
        </w:trPr>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产品名称</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规格型号</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生产厂家</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数 量</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单价</w:t>
            </w: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总价</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交货期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738" w:type="dxa"/>
            <w:gridSpan w:val="7"/>
            <w:tcBorders>
              <w:top w:val="single" w:color="auto" w:sz="4" w:space="0"/>
              <w:left w:val="single" w:color="auto" w:sz="4" w:space="0"/>
              <w:bottom w:val="single" w:color="auto" w:sz="4" w:space="0"/>
              <w:right w:val="single" w:color="auto" w:sz="4" w:space="0"/>
            </w:tcBorders>
          </w:tcPr>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合同总金额（大写）</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）（合同总金额包含</w:t>
            </w:r>
            <w:r>
              <w:rPr>
                <w:rFonts w:hint="eastAsia" w:ascii="Tahoma" w:hAnsi="Tahoma" w:cs="Tahoma"/>
                <w:color w:val="000000" w:themeColor="text1"/>
                <w:szCs w:val="21"/>
                <w:highlight w:val="none"/>
                <w14:textFill>
                  <w14:solidFill>
                    <w14:schemeClr w14:val="tx1"/>
                  </w14:solidFill>
                </w14:textFill>
              </w:rPr>
              <w:t>产品、运输、装卸、存放</w:t>
            </w:r>
            <w:r>
              <w:rPr>
                <w:rFonts w:ascii="Tahoma" w:hAnsi="Tahoma" w:cs="Tahoma"/>
                <w:color w:val="000000" w:themeColor="text1"/>
                <w:szCs w:val="21"/>
                <w:highlight w:val="none"/>
                <w14:textFill>
                  <w14:solidFill>
                    <w14:schemeClr w14:val="tx1"/>
                  </w14:solidFill>
                </w14:textFill>
              </w:rPr>
              <w:t>、检验、</w:t>
            </w:r>
            <w:r>
              <w:rPr>
                <w:rFonts w:hint="eastAsia" w:ascii="Tahoma" w:hAnsi="Tahoma" w:cs="Tahoma"/>
                <w:color w:val="000000" w:themeColor="text1"/>
                <w:szCs w:val="21"/>
                <w:highlight w:val="none"/>
                <w:lang w:val="en-US" w:eastAsia="zh-CN"/>
                <w14:textFill>
                  <w14:solidFill>
                    <w14:schemeClr w14:val="tx1"/>
                  </w14:solidFill>
                </w14:textFill>
              </w:rPr>
              <w:t>安装、调试、</w:t>
            </w:r>
            <w:r>
              <w:rPr>
                <w:rFonts w:ascii="Tahoma" w:hAnsi="Tahoma" w:cs="Tahoma"/>
                <w:color w:val="000000" w:themeColor="text1"/>
                <w:szCs w:val="21"/>
                <w:highlight w:val="none"/>
                <w14:textFill>
                  <w14:solidFill>
                    <w14:schemeClr w14:val="tx1"/>
                  </w14:solidFill>
                </w14:textFill>
              </w:rPr>
              <w:t>技术培训及技术资料和运输保险等费用）</w:t>
            </w:r>
          </w:p>
        </w:tc>
      </w:tr>
    </w:tbl>
    <w:p>
      <w:pPr>
        <w:spacing w:line="320" w:lineRule="exact"/>
        <w:jc w:val="center"/>
        <w:rPr>
          <w:rFonts w:ascii="Tahoma" w:hAnsi="Tahoma" w:cs="Tahoma"/>
          <w:b/>
          <w:color w:val="000000" w:themeColor="text1"/>
          <w:szCs w:val="21"/>
          <w:highlight w:val="none"/>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2、交货方式和交货地点</w:t>
      </w:r>
    </w:p>
    <w:p>
      <w:pPr>
        <w:spacing w:line="32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2.1交货方式：</w:t>
      </w:r>
      <w:r>
        <w:rPr>
          <w:rFonts w:ascii="Tahoma" w:hAnsi="Tahoma" w:cs="Tahoma"/>
          <w:color w:val="000000" w:themeColor="text1"/>
          <w:szCs w:val="21"/>
          <w:highlight w:val="none"/>
          <w:u w:val="single"/>
          <w14:textFill>
            <w14:solidFill>
              <w14:schemeClr w14:val="tx1"/>
            </w14:solidFill>
          </w14:textFill>
        </w:rPr>
        <w:t xml:space="preserve">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2.2交货地点：</w:t>
      </w:r>
      <w:r>
        <w:rPr>
          <w:rFonts w:ascii="Tahoma" w:hAnsi="Tahoma" w:cs="Tahoma"/>
          <w:color w:val="000000" w:themeColor="text1"/>
          <w:szCs w:val="21"/>
          <w:highlight w:val="none"/>
          <w:u w:val="single"/>
          <w14:textFill>
            <w14:solidFill>
              <w14:schemeClr w14:val="tx1"/>
            </w14:solidFill>
          </w14:textFill>
        </w:rPr>
        <w:t xml:space="preserve">                     </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3、供货清单</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3.1供货清单：</w:t>
      </w:r>
      <w:r>
        <w:rPr>
          <w:rFonts w:hint="eastAsia" w:ascii="Tahoma" w:hAnsi="Tahoma" w:cs="Tahoma"/>
          <w:bCs/>
          <w:color w:val="000000" w:themeColor="text1"/>
          <w:szCs w:val="21"/>
          <w:highlight w:val="none"/>
          <w14:textFill>
            <w14:solidFill>
              <w14:schemeClr w14:val="tx1"/>
            </w14:solidFill>
          </w14:textFill>
        </w:rPr>
        <w:t>包括</w:t>
      </w:r>
      <w:r>
        <w:rPr>
          <w:rFonts w:hint="eastAsia" w:ascii="Tahoma" w:hAnsi="Tahoma" w:cs="Tahoma"/>
          <w:b/>
          <w:color w:val="000000" w:themeColor="text1"/>
          <w:szCs w:val="21"/>
          <w:highlight w:val="none"/>
          <w14:textFill>
            <w14:solidFill>
              <w14:schemeClr w14:val="tx1"/>
            </w14:solidFill>
          </w14:textFill>
        </w:rPr>
        <w:t>产品</w:t>
      </w:r>
      <w:r>
        <w:rPr>
          <w:rFonts w:ascii="Tahoma" w:hAnsi="Tahoma" w:cs="Tahoma"/>
          <w:color w:val="000000" w:themeColor="text1"/>
          <w:szCs w:val="21"/>
          <w:highlight w:val="none"/>
          <w14:textFill>
            <w14:solidFill>
              <w14:schemeClr w14:val="tx1"/>
            </w14:solidFill>
          </w14:textFill>
        </w:rPr>
        <w:t>的名称及数量。（采购人对包装及运输有特别要求的，应作具体约定。）</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4、付款方式与条件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4.1货物交货付款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全部货物交货并经验收合格后，甲方凭收讫货物的验收凭证和货物验收合格文件等材料以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方式向乙方一次性支付</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%的货物价款。（若乙方有支付履约保证金的，可在支付货款时予以扣除。）</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4.2现场交货条件下，乙方要求付款应提交下列单证和文件。</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（1）金额为有关合同货物价格</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%的正式发票。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（2）制造厂家出具的货物质量合格证书。</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（3）甲方已收讫货物的验收凭证。</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（4）甲方签发的验收合格文件。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4.3分期支付货款的，余下的货款应于</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（时间）支付。</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5、质量要求和技术标准</w:t>
      </w:r>
    </w:p>
    <w:p>
      <w:pPr>
        <w:spacing w:line="32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5.1质量条款可细分为产品质量、包装质量、技术资料质量等内容。</w:t>
      </w:r>
      <w:r>
        <w:rPr>
          <w:rFonts w:ascii="Tahoma" w:hAnsi="Tahoma" w:cs="Tahoma"/>
          <w:color w:val="000000" w:themeColor="text1"/>
          <w:szCs w:val="21"/>
          <w:highlight w:val="none"/>
          <w:u w:val="single"/>
          <w14:textFill>
            <w14:solidFill>
              <w14:schemeClr w14:val="tx1"/>
            </w14:solidFill>
          </w14:textFill>
        </w:rPr>
        <w:t>（质量要求和技术标准应按招标文件要求进行填列。）</w:t>
      </w:r>
    </w:p>
    <w:p>
      <w:pPr>
        <w:pStyle w:val="5"/>
        <w:rPr>
          <w:rFonts w:ascii="Tahoma" w:hAnsi="Tahoma" w:eastAsia="宋体" w:cs="Tahoma"/>
          <w:b w:val="0"/>
          <w:bCs w:val="0"/>
          <w:color w:val="000000" w:themeColor="text1"/>
          <w:kern w:val="2"/>
          <w:sz w:val="21"/>
          <w:szCs w:val="21"/>
          <w:highlight w:val="none"/>
          <w:lang w:val="en-US" w:eastAsia="zh-CN" w:bidi="ar-SA"/>
          <w14:textFill>
            <w14:solidFill>
              <w14:schemeClr w14:val="tx1"/>
            </w14:solidFill>
          </w14:textFill>
        </w:rPr>
      </w:pPr>
      <w:r>
        <w:rPr>
          <w:rFonts w:hint="eastAsia" w:ascii="Tahoma" w:hAnsi="Tahoma" w:cs="Tahoma"/>
          <w:b w:val="0"/>
          <w:bCs w:val="0"/>
          <w:color w:val="000000" w:themeColor="text1"/>
          <w:kern w:val="2"/>
          <w:sz w:val="21"/>
          <w:szCs w:val="21"/>
          <w:highlight w:val="none"/>
          <w:lang w:val="en-US" w:eastAsia="zh-CN" w:bidi="ar-SA"/>
          <w14:textFill>
            <w14:solidFill>
              <w14:schemeClr w14:val="tx1"/>
            </w14:solidFill>
          </w14:textFill>
        </w:rPr>
        <w:t>5.2</w:t>
      </w:r>
      <w:r>
        <w:rPr>
          <w:rFonts w:hint="eastAsia" w:ascii="Tahoma" w:hAnsi="Tahoma" w:eastAsia="宋体" w:cs="Tahoma"/>
          <w:b w:val="0"/>
          <w:bCs w:val="0"/>
          <w:color w:val="000000" w:themeColor="text1"/>
          <w:kern w:val="2"/>
          <w:sz w:val="21"/>
          <w:szCs w:val="21"/>
          <w:highlight w:val="none"/>
          <w:lang w:val="en-US" w:eastAsia="zh-CN" w:bidi="ar-SA"/>
          <w14:textFill>
            <w14:solidFill>
              <w14:schemeClr w14:val="tx1"/>
            </w14:solidFill>
          </w14:textFill>
        </w:rPr>
        <w:t>乙方负责本</w:t>
      </w:r>
      <w:r>
        <w:rPr>
          <w:rFonts w:hint="eastAsia" w:ascii="Tahoma" w:hAnsi="Tahoma" w:cs="Tahoma"/>
          <w:b w:val="0"/>
          <w:bCs w:val="0"/>
          <w:color w:val="000000" w:themeColor="text1"/>
          <w:kern w:val="2"/>
          <w:sz w:val="21"/>
          <w:szCs w:val="21"/>
          <w:highlight w:val="none"/>
          <w:lang w:val="en-US" w:eastAsia="zh-CN" w:bidi="ar-SA"/>
          <w14:textFill>
            <w14:solidFill>
              <w14:schemeClr w14:val="tx1"/>
            </w14:solidFill>
          </w14:textFill>
        </w:rPr>
        <w:t>项目参数要求</w:t>
      </w:r>
      <w:r>
        <w:rPr>
          <w:rFonts w:ascii="Tahoma" w:hAnsi="Tahoma" w:eastAsia="宋体" w:cs="Tahoma"/>
          <w:b w:val="0"/>
          <w:bCs w:val="0"/>
          <w:color w:val="000000" w:themeColor="text1"/>
          <w:kern w:val="2"/>
          <w:sz w:val="21"/>
          <w:szCs w:val="21"/>
          <w:highlight w:val="none"/>
          <w:lang w:val="en-US" w:eastAsia="zh-CN" w:bidi="ar-SA"/>
          <w14:textFill>
            <w14:solidFill>
              <w14:schemeClr w14:val="tx1"/>
            </w14:solidFill>
          </w14:textFill>
        </w:rPr>
        <w:t>所有系统软件的现场安装并保证软件的正常运行。</w:t>
      </w:r>
    </w:p>
    <w:p>
      <w:pPr>
        <w:rPr>
          <w:color w:val="000000" w:themeColor="text1"/>
          <w:highlight w:val="none"/>
          <w:lang w:val="en-US" w:eastAsia="zh-CN"/>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6、</w:t>
      </w:r>
      <w:r>
        <w:rPr>
          <w:rFonts w:hint="eastAsia" w:ascii="Tahoma" w:hAnsi="Tahoma" w:eastAsia="黑体" w:cs="Tahoma"/>
          <w:b/>
          <w:color w:val="000000" w:themeColor="text1"/>
          <w:sz w:val="24"/>
          <w:highlight w:val="none"/>
          <w14:textFill>
            <w14:solidFill>
              <w14:schemeClr w14:val="tx1"/>
            </w14:solidFill>
          </w14:textFill>
        </w:rPr>
        <w:t>运输、配送、存放、检验</w:t>
      </w:r>
      <w:r>
        <w:rPr>
          <w:rFonts w:hint="eastAsia" w:ascii="Tahoma" w:hAnsi="Tahoma" w:eastAsia="黑体" w:cs="Tahoma"/>
          <w:b/>
          <w:color w:val="000000" w:themeColor="text1"/>
          <w:sz w:val="24"/>
          <w:highlight w:val="none"/>
          <w:lang w:eastAsia="zh-CN"/>
          <w14:textFill>
            <w14:solidFill>
              <w14:schemeClr w14:val="tx1"/>
            </w14:solidFill>
          </w14:textFill>
        </w:rPr>
        <w:t>、</w:t>
      </w:r>
      <w:r>
        <w:rPr>
          <w:rFonts w:hint="eastAsia" w:ascii="Tahoma" w:hAnsi="Tahoma" w:eastAsia="黑体" w:cs="Tahoma"/>
          <w:b/>
          <w:color w:val="000000" w:themeColor="text1"/>
          <w:sz w:val="24"/>
          <w:highlight w:val="none"/>
          <w14:textFill>
            <w14:solidFill>
              <w14:schemeClr w14:val="tx1"/>
            </w14:solidFill>
          </w14:textFill>
        </w:rPr>
        <w:t>等要求</w:t>
      </w:r>
    </w:p>
    <w:p>
      <w:pPr>
        <w:spacing w:line="32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6.1</w:t>
      </w:r>
      <w:r>
        <w:rPr>
          <w:rFonts w:hint="eastAsia" w:ascii="Tahoma" w:hAnsi="Tahoma" w:cs="Tahoma"/>
          <w:color w:val="000000" w:themeColor="text1"/>
          <w:szCs w:val="21"/>
          <w:highlight w:val="none"/>
          <w14:textFill>
            <w14:solidFill>
              <w14:schemeClr w14:val="tx1"/>
            </w14:solidFill>
          </w14:textFill>
        </w:rPr>
        <w:t>运输、配送、存放、检验等要求</w:t>
      </w:r>
      <w:r>
        <w:rPr>
          <w:rFonts w:ascii="Tahoma" w:hAnsi="Tahoma" w:cs="Tahoma"/>
          <w:color w:val="000000" w:themeColor="text1"/>
          <w:szCs w:val="21"/>
          <w:highlight w:val="none"/>
          <w14:textFill>
            <w14:solidFill>
              <w14:schemeClr w14:val="tx1"/>
            </w14:solidFill>
          </w14:textFill>
        </w:rPr>
        <w:t>内容。</w:t>
      </w:r>
      <w:r>
        <w:rPr>
          <w:rFonts w:ascii="Tahoma" w:hAnsi="Tahoma" w:cs="Tahoma"/>
          <w:color w:val="000000" w:themeColor="text1"/>
          <w:szCs w:val="21"/>
          <w:highlight w:val="none"/>
          <w:u w:val="single"/>
          <w14:textFill>
            <w14:solidFill>
              <w14:schemeClr w14:val="tx1"/>
            </w14:solidFill>
          </w14:textFill>
        </w:rPr>
        <w:t>（</w:t>
      </w:r>
      <w:r>
        <w:rPr>
          <w:rFonts w:hint="eastAsia" w:ascii="Tahoma" w:hAnsi="Tahoma" w:cs="Tahoma"/>
          <w:color w:val="000000" w:themeColor="text1"/>
          <w:szCs w:val="21"/>
          <w:highlight w:val="none"/>
          <w:u w:val="single"/>
          <w14:textFill>
            <w14:solidFill>
              <w14:schemeClr w14:val="tx1"/>
            </w14:solidFill>
          </w14:textFill>
        </w:rPr>
        <w:t>运输、配送、存放、检验等要求</w:t>
      </w:r>
      <w:r>
        <w:rPr>
          <w:rFonts w:ascii="Tahoma" w:hAnsi="Tahoma" w:cs="Tahoma"/>
          <w:color w:val="000000" w:themeColor="text1"/>
          <w:szCs w:val="21"/>
          <w:highlight w:val="none"/>
          <w:u w:val="single"/>
          <w14:textFill>
            <w14:solidFill>
              <w14:schemeClr w14:val="tx1"/>
            </w14:solidFill>
          </w14:textFill>
        </w:rPr>
        <w:t>应按招标文件要求填列。）</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7、验收</w:t>
      </w:r>
    </w:p>
    <w:p>
      <w:pPr>
        <w:spacing w:line="320" w:lineRule="exact"/>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7.1</w:t>
      </w:r>
      <w:r>
        <w:rPr>
          <w:rFonts w:ascii="Tahoma" w:hAnsi="Tahoma" w:cs="Tahoma"/>
          <w:color w:val="000000" w:themeColor="text1"/>
          <w:szCs w:val="21"/>
          <w:highlight w:val="none"/>
          <w14:textFill>
            <w14:solidFill>
              <w14:schemeClr w14:val="tx1"/>
            </w14:solidFill>
          </w14:textFill>
        </w:rPr>
        <w:t>货物验收标准和方法应按招标文件要求填列。</w:t>
      </w:r>
      <w:r>
        <w:rPr>
          <w:rFonts w:ascii="Tahoma" w:hAnsi="Tahoma" w:cs="Tahoma"/>
          <w:color w:val="000000" w:themeColor="text1"/>
          <w:szCs w:val="21"/>
          <w:highlight w:val="none"/>
          <w:u w:val="single"/>
          <w14:textFill>
            <w14:solidFill>
              <w14:schemeClr w14:val="tx1"/>
            </w14:solidFill>
          </w14:textFill>
        </w:rPr>
        <w:t>（货物验收标准和方法应按招标文件要求填列。）</w:t>
      </w:r>
      <w:r>
        <w:rPr>
          <w:rFonts w:ascii="Tahoma" w:hAnsi="Tahoma" w:cs="Tahoma"/>
          <w:color w:val="000000" w:themeColor="text1"/>
          <w:szCs w:val="21"/>
          <w:highlight w:val="none"/>
          <w14:textFill>
            <w14:solidFill>
              <w14:schemeClr w14:val="tx1"/>
            </w14:solidFill>
          </w14:textFill>
        </w:rPr>
        <w:t>验收结果经双方确认后，双方代表必须按规定的验收交接单上的项目对照本合同填好验收结果并签名盖章。</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7.2验收可细分为到货时的外在质量的验收，投产前的质量验收，大型货物可能还存在更多的验收步骤和验收方式，采购人可在合同条款中细化规定。</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7.3、验收标准</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到货验收:货物/软件运抵交货地，甲方通知乙方及时进行验收，货物验收范围包括型号、规格、数量、货物包装、外观质量、软件介质、配件、货物装箱清单、原产地证明及货物质量检验合格证书等方面内容，软件验收范围包括型号、规格、数量、软件包装、外观质量、软件介质、配件、软件装箱清单、原产地证明及软件质量检验合格证书等方面内容。确认无误后甲乙双方签署《到货验收报告》。货物/软件在交货过程中发生意外事故以及其他原因造成的损失和风险由乙方承担。</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安装验收:乙方交付搭建的软件平台及系统正式运行，甲方组织相关人员参与培训、验收。在验收过程中，软件系统以运行稳定、各类数据正确、满足经甲乙双方确认即为验收合格。因交付货物/软件的全部或部分不符合本合同约定的数量、质量标准，外观变形或损坏等情形，乙方应按甲方要求更换、补齐，整改、确保所交付的货物符合合同约定，否则甲方可以拒绝接受该货物或终止本合同，由此给甲方造成的损失由乙方赔偿。乙方向甲方提供货物安装、运行、使用、测试、诊断和维修的技术文档，提供所购货物的安装指南、用户手册等。</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(3）两项验收全部完毕，经双方在验收报告上签字确认生效后，即视为乙方正式将货物交付甲方。</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8、质量保证</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8.1各合同包货物质保期要求均为货物经</w:t>
      </w:r>
      <w:r>
        <w:rPr>
          <w:rFonts w:hint="eastAsia" w:ascii="Tahoma" w:hAnsi="Tahoma" w:cs="Tahoma"/>
          <w:color w:val="000000" w:themeColor="text1"/>
          <w:szCs w:val="21"/>
          <w:highlight w:val="none"/>
          <w:lang w:val="en-US" w:eastAsia="zh-CN"/>
          <w14:textFill>
            <w14:solidFill>
              <w14:schemeClr w14:val="tx1"/>
            </w14:solidFill>
          </w14:textFill>
        </w:rPr>
        <w:t>安装调试</w:t>
      </w:r>
      <w:r>
        <w:rPr>
          <w:rFonts w:ascii="Tahoma" w:hAnsi="Tahoma" w:cs="Tahoma"/>
          <w:color w:val="000000" w:themeColor="text1"/>
          <w:szCs w:val="21"/>
          <w:highlight w:val="none"/>
          <w14:textFill>
            <w14:solidFill>
              <w14:schemeClr w14:val="tx1"/>
            </w14:solidFill>
          </w14:textFill>
        </w:rPr>
        <w:t xml:space="preserve">最终验收合格后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个月，在质量保证期内货物发生</w:t>
      </w:r>
      <w:r>
        <w:rPr>
          <w:rFonts w:hint="eastAsia" w:ascii="Tahoma" w:hAnsi="Tahoma" w:cs="Tahoma"/>
          <w:color w:val="000000" w:themeColor="text1"/>
          <w:szCs w:val="21"/>
          <w:highlight w:val="none"/>
          <w14:textFill>
            <w14:solidFill>
              <w14:schemeClr w14:val="tx1"/>
            </w14:solidFill>
          </w14:textFill>
        </w:rPr>
        <w:t>问题</w:t>
      </w:r>
      <w:r>
        <w:rPr>
          <w:rFonts w:ascii="Tahoma" w:hAnsi="Tahoma" w:cs="Tahoma"/>
          <w:color w:val="000000" w:themeColor="text1"/>
          <w:szCs w:val="21"/>
          <w:highlight w:val="none"/>
          <w14:textFill>
            <w14:solidFill>
              <w14:schemeClr w14:val="tx1"/>
            </w14:solidFill>
          </w14:textFill>
        </w:rPr>
        <w:t>时，乙方在接到甲方通知后</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小时内应委派专业技术人员到现场免费提供咨询和更换零等服务，并及时填写</w:t>
      </w:r>
      <w:r>
        <w:rPr>
          <w:rFonts w:hint="eastAsia" w:ascii="Tahoma" w:hAnsi="Tahoma" w:cs="Tahoma"/>
          <w:color w:val="000000" w:themeColor="text1"/>
          <w:szCs w:val="21"/>
          <w:highlight w:val="none"/>
          <w14:textFill>
            <w14:solidFill>
              <w14:schemeClr w14:val="tx1"/>
            </w14:solidFill>
          </w14:textFill>
        </w:rPr>
        <w:t>更换</w:t>
      </w:r>
      <w:r>
        <w:rPr>
          <w:rFonts w:ascii="Tahoma" w:hAnsi="Tahoma" w:cs="Tahoma"/>
          <w:color w:val="000000" w:themeColor="text1"/>
          <w:szCs w:val="21"/>
          <w:highlight w:val="none"/>
          <w14:textFill>
            <w14:solidFill>
              <w14:schemeClr w14:val="tx1"/>
            </w14:solidFill>
          </w14:textFill>
        </w:rPr>
        <w:t>报告（包括原因、处理情况及甲方意见等）报甲方备案，若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小时内无法</w:t>
      </w:r>
      <w:r>
        <w:rPr>
          <w:rFonts w:hint="eastAsia" w:ascii="Tahoma" w:hAnsi="Tahoma" w:cs="Tahoma"/>
          <w:color w:val="000000" w:themeColor="text1"/>
          <w:szCs w:val="21"/>
          <w:highlight w:val="none"/>
          <w14:textFill>
            <w14:solidFill>
              <w14:schemeClr w14:val="tx1"/>
            </w14:solidFill>
          </w14:textFill>
        </w:rPr>
        <w:t>解决问题</w:t>
      </w:r>
      <w:r>
        <w:rPr>
          <w:rFonts w:ascii="Tahoma" w:hAnsi="Tahoma" w:cs="Tahoma"/>
          <w:color w:val="000000" w:themeColor="text1"/>
          <w:szCs w:val="21"/>
          <w:highlight w:val="none"/>
          <w14:textFill>
            <w14:solidFill>
              <w14:schemeClr w14:val="tx1"/>
            </w14:solidFill>
          </w14:textFill>
        </w:rPr>
        <w:t>，则应先提供同档次备用</w:t>
      </w:r>
      <w:r>
        <w:rPr>
          <w:rFonts w:hint="eastAsia" w:ascii="Tahoma" w:hAnsi="Tahoma" w:cs="Tahoma"/>
          <w:color w:val="000000" w:themeColor="text1"/>
          <w:szCs w:val="21"/>
          <w:highlight w:val="none"/>
          <w14:textFill>
            <w14:solidFill>
              <w14:schemeClr w14:val="tx1"/>
            </w14:solidFill>
          </w14:textFill>
        </w:rPr>
        <w:t>品</w:t>
      </w:r>
      <w:r>
        <w:rPr>
          <w:rFonts w:ascii="Tahoma" w:hAnsi="Tahoma" w:cs="Tahoma"/>
          <w:color w:val="000000" w:themeColor="text1"/>
          <w:szCs w:val="21"/>
          <w:highlight w:val="none"/>
          <w14:textFill>
            <w14:solidFill>
              <w14:schemeClr w14:val="tx1"/>
            </w14:solidFill>
          </w14:textFill>
        </w:rPr>
        <w:t>供甲方使用。其中发生一切费用由乙方承担。质量保证期内乙方有责任对货物进行不定期的</w:t>
      </w:r>
      <w:r>
        <w:rPr>
          <w:rFonts w:hint="eastAsia" w:ascii="Tahoma" w:hAnsi="Tahoma" w:cs="Tahoma"/>
          <w:color w:val="000000" w:themeColor="text1"/>
          <w:szCs w:val="21"/>
          <w:highlight w:val="none"/>
          <w14:textFill>
            <w14:solidFill>
              <w14:schemeClr w14:val="tx1"/>
            </w14:solidFill>
          </w14:textFill>
        </w:rPr>
        <w:t>抽样检查</w:t>
      </w:r>
      <w:r>
        <w:rPr>
          <w:rFonts w:ascii="Tahoma" w:hAnsi="Tahoma" w:cs="Tahoma"/>
          <w:color w:val="000000" w:themeColor="text1"/>
          <w:szCs w:val="21"/>
          <w:highlight w:val="none"/>
          <w14:textFill>
            <w14:solidFill>
              <w14:schemeClr w14:val="tx1"/>
            </w14:solidFill>
          </w14:textFill>
        </w:rPr>
        <w:t>。投标供应商视自身能力在投标文件中提供更优、更合理的服务承诺。</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9、知识产权</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9.1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10、违约责任</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10.1未按期交货的违约责任（在合同中说明）。</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10.1.1如果乙方未能按合同规定的时间内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天，按迟交货物金额的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％。但是，延期交货违约金的支付总额不得超过迟交货物部分合同金额的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10.1.2如果乙方未能按合同规定的时间或双方另行确定的延期交货期内足额交货的（不可抗力除外），每逾期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天，乙方应按迟交货物金额的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％向甲方支付逾期交货的违约金。逾期交货违约金的支付甲方有权从未付的合同货款中予以扣除。若乙方逾期交货达</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天（含30天）以上的，甲方有权单方解除本合同，乙方仍应按上述约定支付延期交货违约金。若因此给甲方造成损失的，还应赔偿甲方所受的损失。</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10.2若乙方不能交货的（逾期</w:t>
      </w:r>
      <w:r>
        <w:rPr>
          <w:rFonts w:ascii="Tahoma" w:hAnsi="Tahoma" w:cs="Tahoma"/>
          <w:color w:val="000000" w:themeColor="text1"/>
          <w:szCs w:val="21"/>
          <w:highlight w:val="none"/>
          <w:u w:val="single"/>
          <w14:textFill>
            <w14:solidFill>
              <w14:schemeClr w14:val="tx1"/>
            </w14:solidFill>
          </w14:textFill>
        </w:rPr>
        <w:t>15</w:t>
      </w:r>
      <w:r>
        <w:rPr>
          <w:rFonts w:ascii="Tahoma" w:hAnsi="Tahoma" w:cs="Tahoma"/>
          <w:color w:val="000000" w:themeColor="text1"/>
          <w:szCs w:val="21"/>
          <w:highlight w:val="none"/>
          <w14:textFill>
            <w14:solidFill>
              <w14:schemeClr w14:val="tx1"/>
            </w14:solidFill>
          </w14:textFill>
        </w:rPr>
        <w:t>个工作日视为不能交货，因不可抗拒的因素除外）或交货不合格从而影响甲方正常使用的，乙方应向甲方偿付不能交货部分货款的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％的违约金。违约金不足以补偿损失的，甲方有权要求乙方赔偿损失。</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10.3如果乙方未能按照合同约定的时间内提供服务的，每逾期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天的，乙方应向甲方支付</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元违约金，若因此给甲方造成损失的，乙方还应赔偿甲方所受的损失。</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10.4甲方逾期付款的（有正当拒付理由的除外）应按照逾期金额的每日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％支付逾期付款违约金。</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10.5</w:t>
      </w:r>
      <w:r>
        <w:rPr>
          <w:rFonts w:hint="eastAsia" w:ascii="Tahoma" w:hAnsi="Tahoma" w:cs="Tahoma"/>
          <w:color w:val="000000" w:themeColor="text1"/>
          <w:szCs w:val="21"/>
          <w:highlight w:val="none"/>
          <w14:textFill>
            <w14:solidFill>
              <w14:schemeClr w14:val="tx1"/>
            </w14:solidFill>
          </w14:textFill>
        </w:rPr>
        <w:t>乙方应保证所提供的货物系其具有完全处分权的合法财产，乙方对该物资享有的权利无任何负担或瑕疵。乙方应采取相应的管理、物理和技术措施保护系统中甲方数据的安全性、私密性和完整性；如因乙方软件存在瑕疵或乙方管理不善等其他原因造成甲方数据遗失或泄露，给甲方造成损失的，乙方承担相应的责任。</w:t>
      </w:r>
    </w:p>
    <w:p>
      <w:pPr>
        <w:spacing w:line="320" w:lineRule="exact"/>
        <w:rPr>
          <w:rFonts w:hint="eastAsia"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10.6</w:t>
      </w:r>
      <w:r>
        <w:rPr>
          <w:rFonts w:hint="eastAsia" w:ascii="Tahoma" w:hAnsi="Tahoma" w:cs="Tahoma"/>
          <w:color w:val="000000" w:themeColor="text1"/>
          <w:szCs w:val="21"/>
          <w:highlight w:val="none"/>
          <w14:textFill>
            <w14:solidFill>
              <w14:schemeClr w14:val="tx1"/>
            </w14:solidFill>
          </w14:textFill>
        </w:rPr>
        <w:t>乙方保证在本协议生效之日,乙方提供的许可软件和服务等不侵犯任何第三方的专利权、著作权、商标专用权、商业秘密及其他权属权利。否则给甲方造成的损失，乙方承担赔偿责任。本合同乙方提供的软件产品服务，若发生侵犯第三方知识产权或其他权益的行为，甲方对此不负任何法律和经济责任，乙方应负责与第三方进行交涉，并承担由此而产生的责任后果。</w:t>
      </w:r>
    </w:p>
    <w:p>
      <w:pPr>
        <w:spacing w:line="32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10.7</w:t>
      </w:r>
      <w:r>
        <w:rPr>
          <w:rFonts w:hint="eastAsia" w:ascii="Tahoma" w:hAnsi="Tahoma" w:cs="Tahoma"/>
          <w:color w:val="000000" w:themeColor="text1"/>
          <w:szCs w:val="21"/>
          <w:highlight w:val="none"/>
          <w14:textFill>
            <w14:solidFill>
              <w14:schemeClr w14:val="tx1"/>
            </w14:solidFill>
          </w14:textFill>
        </w:rPr>
        <w:t>乙方所提供软件产品、服务等不符合合同约定的，由乙方负责继续整改或继续完善，并承担因此而支付的实际费用。乙方不能整改或完善的，按合同总额的20%承担违约金，该违约金不足以弥补甲方实际损失的，以甲方实际损失为准。</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11、违约终止合同</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11.1在补救违约而采取的任何其他措施未能实现的情况下，即在甲方发出的违约通知后</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 xml:space="preserve">天内（或经甲方书面确认的更长时间内）仍未纠正其下述任何一种违约行为，甲方有权向乙方发出书面违约通知，甲方终止本合同：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11.1.1如果乙方未能在合同规定的期限内或双方另行确定的延期交货时间内交付合同约定的货物。</w:t>
      </w:r>
    </w:p>
    <w:p>
      <w:pPr>
        <w:spacing w:line="320" w:lineRule="exact"/>
        <w:rPr>
          <w:color w:val="000000" w:themeColor="text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11.1.2乙方未能履行合同项下的任何其它义务。</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12、不可抗力</w:t>
      </w:r>
    </w:p>
    <w:p>
      <w:pPr>
        <w:spacing w:line="32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因不可抗力造成违约的，遭受不可抗力一方应及时向对方通报不能履行或不能完全履行的理由，并在随后取得有关主管机关证明后的</w:t>
      </w:r>
      <w:r>
        <w:rPr>
          <w:rFonts w:ascii="Tahoma" w:hAnsi="Tahoma" w:cs="Tahoma"/>
          <w:color w:val="000000" w:themeColor="text1"/>
          <w:szCs w:val="21"/>
          <w:highlight w:val="none"/>
          <w:u w:val="single"/>
          <w14:textFill>
            <w14:solidFill>
              <w14:schemeClr w14:val="tx1"/>
            </w14:solidFill>
          </w14:textFill>
        </w:rPr>
        <w:t>15</w:t>
      </w:r>
      <w:r>
        <w:rPr>
          <w:rFonts w:ascii="Tahoma" w:hAnsi="Tahoma" w:cs="Tahoma"/>
          <w:color w:val="000000" w:themeColor="text1"/>
          <w:szCs w:val="21"/>
          <w:highlight w:val="none"/>
          <w14:textFill>
            <w14:solidFill>
              <w14:schemeClr w14:val="tx1"/>
            </w14:solidFill>
          </w14:textFill>
        </w:rPr>
        <w:t>日内向另一方提供不可抗力发生以及持续期间的充分证据。基本于以上行为，允许遭受不可抗力一方延期履行、部分履行或者不履行合同，并根据情况可部分或全部免于承担违约责任。</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本合同中的不可抗力指人为不能预见、不能避免并不能克服的客观情况。包括（但不限于）：自然灾害如地震、台风、洪水、火灾；政府行为、法律规定或其适用的变化或者其他任何无法预见、避免或者控制的事件。</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13、争议的解决</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13.1因本合同或与本合同有关的一切事项发生争议，由双方友好协商解决。协商不成的，任何一方均可选择以下任一方式解决：</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（1）向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仲裁委员会申请仲裁；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（2）向有</w:t>
      </w:r>
      <w:r>
        <w:rPr>
          <w:rFonts w:hint="eastAsia" w:ascii="Tahoma" w:hAnsi="Tahoma" w:cs="Tahoma"/>
          <w:color w:val="000000" w:themeColor="text1"/>
          <w:szCs w:val="21"/>
          <w:highlight w:val="none"/>
          <w:lang w:val="en-US" w:eastAsia="zh-CN"/>
          <w14:textFill>
            <w14:solidFill>
              <w14:schemeClr w14:val="tx1"/>
            </w14:solidFill>
          </w14:textFill>
        </w:rPr>
        <w:t>甲方</w:t>
      </w:r>
      <w:r>
        <w:rPr>
          <w:rFonts w:ascii="Tahoma" w:hAnsi="Tahoma" w:cs="Tahoma"/>
          <w:color w:val="000000" w:themeColor="text1"/>
          <w:szCs w:val="21"/>
          <w:highlight w:val="none"/>
          <w14:textFill>
            <w14:solidFill>
              <w14:schemeClr w14:val="tx1"/>
            </w14:solidFill>
          </w14:textFill>
        </w:rPr>
        <w:t>管辖权的人民法院提起诉讼。</w:t>
      </w:r>
    </w:p>
    <w:p>
      <w:pPr>
        <w:spacing w:line="320" w:lineRule="exact"/>
        <w:ind w:firstLine="120" w:firstLineChars="50"/>
        <w:jc w:val="center"/>
        <w:rPr>
          <w:rFonts w:ascii="Tahoma" w:hAnsi="Tahoma" w:eastAsia="黑体" w:cs="Tahoma"/>
          <w:b/>
          <w:color w:val="000000" w:themeColor="text1"/>
          <w:sz w:val="24"/>
          <w:highlight w:val="none"/>
          <w14:textFill>
            <w14:solidFill>
              <w14:schemeClr w14:val="tx1"/>
            </w14:solidFill>
          </w14:textFill>
        </w:rPr>
      </w:pPr>
    </w:p>
    <w:p>
      <w:pPr>
        <w:spacing w:line="320" w:lineRule="exact"/>
        <w:ind w:firstLine="120" w:firstLineChars="50"/>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14、其他约定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14.1本采购项目的招标文件、成交供应商的投标文件以及相关的澄清确认函（如果有的话）均为本合同不可分割的一部分，与本合同具有同等法律效力。</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14.2本合同未尽事宜，双方另行补充。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14.3本合同一式</w:t>
      </w:r>
      <w:r>
        <w:rPr>
          <w:rFonts w:ascii="Tahoma" w:hAnsi="Tahoma" w:cs="Tahoma"/>
          <w:color w:val="000000" w:themeColor="text1"/>
          <w:szCs w:val="21"/>
          <w:highlight w:val="none"/>
          <w:u w:val="single"/>
          <w14:textFill>
            <w14:solidFill>
              <w14:schemeClr w14:val="tx1"/>
            </w14:solidFill>
          </w14:textFill>
        </w:rPr>
        <w:t xml:space="preserve"> 肆 </w:t>
      </w:r>
      <w:r>
        <w:rPr>
          <w:rFonts w:ascii="Tahoma" w:hAnsi="Tahoma" w:cs="Tahoma"/>
          <w:color w:val="000000" w:themeColor="text1"/>
          <w:szCs w:val="21"/>
          <w:highlight w:val="none"/>
          <w14:textFill>
            <w14:solidFill>
              <w14:schemeClr w14:val="tx1"/>
            </w14:solidFill>
          </w14:textFill>
        </w:rPr>
        <w:t>份，经双方授权代表签字并盖章后生效。甲方、乙方各执贰份，具有同等效力。</w:t>
      </w:r>
    </w:p>
    <w:p>
      <w:pPr>
        <w:spacing w:line="400" w:lineRule="exact"/>
        <w:rPr>
          <w:rFonts w:ascii="Tahoma" w:hAnsi="Tahoma" w:cs="Tahoma"/>
          <w:color w:val="000000" w:themeColor="text1"/>
          <w:szCs w:val="21"/>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甲    方：</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乙    方：</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单位地址：</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单位地址：</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法定代表人：</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委托代理人：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委托代理人：</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电    话：</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电    话：</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开户银行：</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开户银行：</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帐    号：</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帐    号：</w:t>
      </w:r>
      <w:r>
        <w:rPr>
          <w:rFonts w:ascii="Tahoma" w:hAnsi="Tahoma" w:cs="Tahoma"/>
          <w:color w:val="000000" w:themeColor="text1"/>
          <w:szCs w:val="21"/>
          <w:highlight w:val="none"/>
          <w:u w:val="single"/>
          <w14:textFill>
            <w14:solidFill>
              <w14:schemeClr w14:val="tx1"/>
            </w14:solidFill>
          </w14:textFill>
        </w:rPr>
        <w:t xml:space="preserve">                         </w:t>
      </w:r>
    </w:p>
    <w:p>
      <w:pPr>
        <w:spacing w:line="400" w:lineRule="exact"/>
        <w:ind w:left="-284"/>
        <w:rPr>
          <w:rFonts w:ascii="Tahoma" w:hAnsi="Tahoma" w:cs="Tahoma"/>
          <w:color w:val="000000" w:themeColor="text1"/>
          <w:szCs w:val="21"/>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p>
    <w:p>
      <w:pPr>
        <w:spacing w:line="400" w:lineRule="exact"/>
        <w:ind w:right="-99" w:rightChars="-47"/>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签订地点：</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签订日期：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p>
    <w:p>
      <w:pPr>
        <w:spacing w:line="440" w:lineRule="exact"/>
        <w:rPr>
          <w:rFonts w:ascii="Tahoma" w:hAnsi="Tahoma" w:eastAsia="黑体"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440" w:lineRule="exact"/>
        <w:rPr>
          <w:rFonts w:ascii="Tahoma" w:hAnsi="Tahoma" w:cs="Tahoma"/>
          <w:color w:val="000000" w:themeColor="text1"/>
          <w:sz w:val="24"/>
          <w:highlight w:val="none"/>
          <w14:textFill>
            <w14:solidFill>
              <w14:schemeClr w14:val="tx1"/>
            </w14:solidFill>
          </w14:textFill>
        </w:rPr>
        <w:sectPr>
          <w:headerReference r:id="rId9" w:type="default"/>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p>
    <w:p>
      <w:pPr>
        <w:tabs>
          <w:tab w:val="left" w:pos="850"/>
          <w:tab w:val="center" w:pos="4525"/>
          <w:tab w:val="left" w:pos="6345"/>
        </w:tabs>
        <w:autoSpaceDE w:val="0"/>
        <w:autoSpaceDN w:val="0"/>
        <w:spacing w:line="400" w:lineRule="exact"/>
        <w:jc w:val="center"/>
        <w:textAlignment w:val="bottom"/>
        <w:rPr>
          <w:rFonts w:ascii="Tahoma" w:hAnsi="Tahoma" w:eastAsia="黑体" w:cs="Tahoma"/>
          <w:b/>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二、通用合同条款</w:t>
      </w:r>
    </w:p>
    <w:p>
      <w:pPr>
        <w:spacing w:line="320" w:lineRule="exact"/>
        <w:ind w:firstLine="315" w:firstLineChars="150"/>
        <w:rPr>
          <w:rFonts w:ascii="Tahoma" w:hAnsi="Tahoma" w:cs="Tahoma"/>
          <w:b/>
          <w:color w:val="000000" w:themeColor="text1"/>
          <w:spacing w:val="20"/>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（本合同条款仅作为双方签订合同的参考，为阐明各方的权利和义务，经协商可增加或修改条款，但不得与招标文件、投标文件的实质性内容相背离。）</w:t>
      </w:r>
    </w:p>
    <w:p>
      <w:pPr>
        <w:tabs>
          <w:tab w:val="left" w:pos="850"/>
          <w:tab w:val="center" w:pos="4525"/>
          <w:tab w:val="left" w:pos="6345"/>
        </w:tabs>
        <w:autoSpaceDE w:val="0"/>
        <w:autoSpaceDN w:val="0"/>
        <w:spacing w:line="400" w:lineRule="exact"/>
        <w:jc w:val="center"/>
        <w:textAlignment w:val="bottom"/>
        <w:rPr>
          <w:rFonts w:ascii="Tahoma" w:hAnsi="Tahoma" w:cs="Tahoma"/>
          <w:b/>
          <w:color w:val="000000" w:themeColor="text1"/>
          <w:sz w:val="24"/>
          <w:szCs w:val="28"/>
          <w:highlight w:val="none"/>
          <w14:textFill>
            <w14:solidFill>
              <w14:schemeClr w14:val="tx1"/>
            </w14:solidFill>
          </w14:textFill>
        </w:rPr>
      </w:pPr>
      <w:r>
        <w:rPr>
          <w:rFonts w:ascii="Tahoma" w:hAnsi="Tahoma" w:cs="Tahoma"/>
          <w:b/>
          <w:color w:val="000000" w:themeColor="text1"/>
          <w:sz w:val="24"/>
          <w:szCs w:val="28"/>
          <w:highlight w:val="none"/>
          <w14:textFill>
            <w14:solidFill>
              <w14:schemeClr w14:val="tx1"/>
            </w14:solidFill>
          </w14:textFill>
        </w:rPr>
        <w:t>1、</w:t>
      </w:r>
      <w:r>
        <w:rPr>
          <w:rFonts w:ascii="Tahoma" w:hAnsi="Tahoma" w:eastAsia="黑体" w:cs="Tahoma"/>
          <w:b/>
          <w:color w:val="000000" w:themeColor="text1"/>
          <w:sz w:val="24"/>
          <w:szCs w:val="28"/>
          <w:highlight w:val="none"/>
          <w14:textFill>
            <w14:solidFill>
              <w14:schemeClr w14:val="tx1"/>
            </w14:solidFill>
          </w14:textFill>
        </w:rPr>
        <w:t>定义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1.1合同：</w:t>
      </w:r>
      <w:r>
        <w:rPr>
          <w:rFonts w:ascii="Tahoma" w:hAnsi="Tahoma" w:cs="Tahoma"/>
          <w:color w:val="000000" w:themeColor="text1"/>
          <w:szCs w:val="21"/>
          <w:highlight w:val="none"/>
          <w14:textFill>
            <w14:solidFill>
              <w14:schemeClr w14:val="tx1"/>
            </w14:solidFill>
          </w14:textFill>
        </w:rPr>
        <w:t>系指供方（供应商）与需方（采购人）双方签署的、合同格式中载明的供需双方所达成的协议，包括附件、附录和上述所提到的构成合同的所有文件。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1.2合同价：</w:t>
      </w:r>
      <w:r>
        <w:rPr>
          <w:rFonts w:ascii="Tahoma" w:hAnsi="Tahoma" w:cs="Tahoma"/>
          <w:color w:val="000000" w:themeColor="text1"/>
          <w:szCs w:val="21"/>
          <w:highlight w:val="none"/>
          <w14:textFill>
            <w14:solidFill>
              <w14:schemeClr w14:val="tx1"/>
            </w14:solidFill>
          </w14:textFill>
        </w:rPr>
        <w:t>指根据合同写明的（成交价）、由供货人正确地、完全履行合同义务后需方应支付给供应商的款额。</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1.3合同货物：</w:t>
      </w:r>
      <w:r>
        <w:rPr>
          <w:rFonts w:ascii="Tahoma" w:hAnsi="Tahoma" w:cs="Tahoma"/>
          <w:color w:val="000000" w:themeColor="text1"/>
          <w:szCs w:val="21"/>
          <w:highlight w:val="none"/>
          <w14:textFill>
            <w14:solidFill>
              <w14:schemeClr w14:val="tx1"/>
            </w14:solidFill>
          </w14:textFill>
        </w:rPr>
        <w:t>合同范围内规定的供货人提供给采购人的所有货物、备品备件、工具、材料，以及所有合同货物的设计、装配、检验、工厂和现场检验、组装、安装调试指导、试运行、维修等有关技术文件。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1.4技术文件：</w:t>
      </w:r>
      <w:r>
        <w:rPr>
          <w:rFonts w:ascii="Tahoma" w:hAnsi="Tahoma" w:cs="Tahoma"/>
          <w:color w:val="000000" w:themeColor="text1"/>
          <w:szCs w:val="21"/>
          <w:highlight w:val="none"/>
          <w14:textFill>
            <w14:solidFill>
              <w14:schemeClr w14:val="tx1"/>
            </w14:solidFill>
          </w14:textFill>
        </w:rPr>
        <w:t>根据合同，由供需双方确认的用来解释所有货物或货物的某一部分的一切材料清单、说明书、手册、程序、报告、详细说明、目录和其他递交的资料。</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1.5服务：</w:t>
      </w:r>
      <w:r>
        <w:rPr>
          <w:rFonts w:ascii="Tahoma" w:hAnsi="Tahoma" w:cs="Tahoma"/>
          <w:color w:val="000000" w:themeColor="text1"/>
          <w:szCs w:val="21"/>
          <w:highlight w:val="none"/>
          <w14:textFill>
            <w14:solidFill>
              <w14:schemeClr w14:val="tx1"/>
            </w14:solidFill>
          </w14:textFill>
        </w:rPr>
        <w:t>根据合同规定供方应承担的所有合同货物的</w:t>
      </w:r>
      <w:r>
        <w:rPr>
          <w:rFonts w:hint="eastAsia" w:ascii="Tahoma" w:hAnsi="Tahoma" w:cs="Tahoma"/>
          <w:color w:val="000000" w:themeColor="text1"/>
          <w:szCs w:val="21"/>
          <w:highlight w:val="none"/>
          <w14:textFill>
            <w14:solidFill>
              <w14:schemeClr w14:val="tx1"/>
            </w14:solidFill>
          </w14:textFill>
        </w:rPr>
        <w:t>供应、运输、装卸、配送等相关服务及售后服务</w:t>
      </w:r>
      <w:r>
        <w:rPr>
          <w:rFonts w:ascii="Tahoma" w:hAnsi="Tahoma" w:cs="Tahoma"/>
          <w:color w:val="000000" w:themeColor="text1"/>
          <w:szCs w:val="21"/>
          <w:highlight w:val="none"/>
          <w14:textFill>
            <w14:solidFill>
              <w14:schemeClr w14:val="tx1"/>
            </w14:solidFill>
          </w14:textFill>
        </w:rPr>
        <w:t>和合同中规定供方应承担的其他责任和义务。</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1.6通用条款：</w:t>
      </w:r>
      <w:r>
        <w:rPr>
          <w:rFonts w:ascii="Tahoma" w:hAnsi="Tahoma" w:cs="Tahoma"/>
          <w:color w:val="000000" w:themeColor="text1"/>
          <w:szCs w:val="21"/>
          <w:highlight w:val="none"/>
          <w14:textFill>
            <w14:solidFill>
              <w14:schemeClr w14:val="tx1"/>
            </w14:solidFill>
          </w14:textFill>
        </w:rPr>
        <w:t>指本合同条款。</w:t>
      </w:r>
    </w:p>
    <w:p>
      <w:pPr>
        <w:shd w:val="clear" w:color="auto" w:fill="FFFFFF"/>
        <w:snapToGrid w:val="0"/>
        <w:spacing w:line="320" w:lineRule="exact"/>
        <w:rPr>
          <w:rFonts w:ascii="Tahoma" w:hAnsi="Tahoma" w:cs="Tahoma"/>
          <w:b/>
          <w:color w:val="000000" w:themeColor="text1"/>
          <w:kern w:val="0"/>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1.7专用条款：</w:t>
      </w:r>
      <w:r>
        <w:rPr>
          <w:rFonts w:ascii="Tahoma" w:hAnsi="Tahoma" w:cs="Tahoma"/>
          <w:color w:val="000000" w:themeColor="text1"/>
          <w:szCs w:val="21"/>
          <w:highlight w:val="none"/>
          <w14:textFill>
            <w14:solidFill>
              <w14:schemeClr w14:val="tx1"/>
            </w14:solidFill>
          </w14:textFill>
        </w:rPr>
        <w:t>指</w:t>
      </w:r>
      <w:r>
        <w:rPr>
          <w:rFonts w:ascii="Tahoma" w:hAnsi="Tahoma" w:cs="Tahoma"/>
          <w:bCs/>
          <w:color w:val="000000" w:themeColor="text1"/>
          <w:kern w:val="0"/>
          <w:szCs w:val="21"/>
          <w:highlight w:val="none"/>
          <w14:textFill>
            <w14:solidFill>
              <w14:schemeClr w14:val="tx1"/>
            </w14:solidFill>
          </w14:textFill>
        </w:rPr>
        <w:t>第二节</w:t>
      </w:r>
      <w:r>
        <w:rPr>
          <w:rFonts w:ascii="Tahoma" w:hAnsi="Tahoma" w:cs="Tahoma"/>
          <w:color w:val="000000" w:themeColor="text1"/>
          <w:szCs w:val="21"/>
          <w:highlight w:val="none"/>
          <w14:textFill>
            <w14:solidFill>
              <w14:schemeClr w14:val="tx1"/>
            </w14:solidFill>
          </w14:textFill>
        </w:rPr>
        <w:t>专用合同条款。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1.8项目现场：</w:t>
      </w:r>
      <w:r>
        <w:rPr>
          <w:rFonts w:ascii="Tahoma" w:hAnsi="Tahoma" w:cs="Tahoma"/>
          <w:color w:val="000000" w:themeColor="text1"/>
          <w:szCs w:val="21"/>
          <w:highlight w:val="none"/>
          <w14:textFill>
            <w14:solidFill>
              <w14:schemeClr w14:val="tx1"/>
            </w14:solidFill>
          </w14:textFill>
        </w:rPr>
        <w:t>合同货物最终交货的地点。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1.9日：</w:t>
      </w:r>
      <w:r>
        <w:rPr>
          <w:rFonts w:ascii="Tahoma" w:hAnsi="Tahoma" w:cs="Tahoma"/>
          <w:color w:val="000000" w:themeColor="text1"/>
          <w:szCs w:val="21"/>
          <w:highlight w:val="none"/>
          <w14:textFill>
            <w14:solidFill>
              <w14:schemeClr w14:val="tx1"/>
            </w14:solidFill>
          </w14:textFill>
        </w:rPr>
        <w:t>指日历天数。</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1.10来源地：</w:t>
      </w:r>
      <w:r>
        <w:rPr>
          <w:rFonts w:ascii="Tahoma" w:hAnsi="Tahoma" w:cs="Tahoma"/>
          <w:color w:val="000000" w:themeColor="text1"/>
          <w:szCs w:val="21"/>
          <w:highlight w:val="none"/>
          <w14:textFill>
            <w14:solidFill>
              <w14:schemeClr w14:val="tx1"/>
            </w14:solidFill>
          </w14:textFill>
        </w:rPr>
        <w:t>指货物生产地或提供服务的来源地。</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1.11货物：</w:t>
      </w:r>
      <w:r>
        <w:rPr>
          <w:rFonts w:ascii="Tahoma" w:hAnsi="Tahoma" w:cs="Tahoma"/>
          <w:color w:val="000000" w:themeColor="text1"/>
          <w:szCs w:val="21"/>
          <w:highlight w:val="none"/>
          <w14:textFill>
            <w14:solidFill>
              <w14:schemeClr w14:val="tx1"/>
            </w14:solidFill>
          </w14:textFill>
        </w:rPr>
        <w:t>指经过制造、加工的产品或经过实质上组装主要元件而形成的产品。</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2、合同适用性</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2.1</w:t>
      </w:r>
      <w:r>
        <w:rPr>
          <w:rFonts w:ascii="Tahoma" w:hAnsi="Tahoma" w:cs="Tahoma"/>
          <w:b/>
          <w:bCs/>
          <w:color w:val="000000" w:themeColor="text1"/>
          <w:szCs w:val="21"/>
          <w:highlight w:val="none"/>
          <w14:textFill>
            <w14:solidFill>
              <w14:schemeClr w14:val="tx1"/>
            </w14:solidFill>
          </w14:textFill>
        </w:rPr>
        <w:t>本通用合同条款适用于没有被本合同其他部分的条款所取代的范围，已被合同所取代或覆盖部分按合同约定的条款执行。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3、标准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3.1</w:t>
      </w:r>
      <w:r>
        <w:rPr>
          <w:rFonts w:ascii="Tahoma" w:hAnsi="Tahoma" w:cs="Tahoma"/>
          <w:color w:val="000000" w:themeColor="text1"/>
          <w:szCs w:val="21"/>
          <w:highlight w:val="none"/>
          <w14:textFill>
            <w14:solidFill>
              <w14:schemeClr w14:val="tx1"/>
            </w14:solidFill>
          </w14:textFill>
        </w:rPr>
        <w:t>合同项下交付货物的技术规格标准见招标文件技术条款。如果没有提及适用标准，则应符合货物适用的官方标准。这些标准必须是有关机构发布的最新版本的标准。或货物能满足设计要求的技术性能和质量标准和货物投入正常运行后发挥预期的作用。</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4、知识产权</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4.1</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保证，需方在项目现场使用该货物或货物的任何一部分时，免受第三方提出的侵犯其专利权、商标权或工业设计权等侵权的起诉。当任何第三方提出侵权索赔时，供方应向第三方提出其处理答复，并承担由此引起的一切法律上的和经济上的责任。</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5、履约保证金</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5.1</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如需方要求供方提供履约保证金的，应在合同中约定（如需方有要求执行以下条款）。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5.2</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履约保证金应用本合同货币为：人民币。</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5.3</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除非专用条款另有规定，在供方完成规定的质保期后</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日内，采购人将履约保证金退还承包人。</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6、安装、调试及检验、验收</w:t>
      </w:r>
    </w:p>
    <w:p>
      <w:pPr>
        <w:spacing w:line="320" w:lineRule="exact"/>
        <w:rPr>
          <w:rFonts w:ascii="Tahoma" w:hAnsi="Tahoma" w:cs="Tahoma"/>
          <w:color w:val="000000" w:themeColor="text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6.1</w:t>
      </w:r>
      <w:r>
        <w:rPr>
          <w:rFonts w:ascii="Tahoma" w:hAnsi="Tahoma" w:cs="Tahoma"/>
          <w:color w:val="000000" w:themeColor="text1"/>
          <w:highlight w:val="none"/>
          <w14:textFill>
            <w14:solidFill>
              <w14:schemeClr w14:val="tx1"/>
            </w14:solidFill>
          </w14:textFill>
        </w:rPr>
        <w:t>供方应按设计图纸或安装方案负责合同设备或货物安装、调试、试运行、质量的检测、检验和验收等工作，以及提供为完成上述所需的全部人工、材料、专用工具、交通运输、和一切辅助作业及辅助设施等。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6.2</w:t>
      </w:r>
      <w:r>
        <w:rPr>
          <w:rFonts w:ascii="Tahoma" w:hAnsi="Tahoma" w:cs="Tahoma"/>
          <w:color w:val="000000" w:themeColor="text1"/>
          <w:szCs w:val="21"/>
          <w:highlight w:val="none"/>
          <w14:textFill>
            <w14:solidFill>
              <w14:schemeClr w14:val="tx1"/>
            </w14:solidFill>
          </w14:textFill>
        </w:rPr>
        <w:t>需方或其代表有权要求检验和测试货物，以确认货物能符合合同的要求，且并不承担额外的费用。需方要求进行的检验和测试的内容和地点应在合同中说明。</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6.3</w:t>
      </w:r>
      <w:r>
        <w:rPr>
          <w:rFonts w:ascii="Tahoma" w:hAnsi="Tahoma" w:cs="Tahoma"/>
          <w:color w:val="000000" w:themeColor="text1"/>
          <w:szCs w:val="21"/>
          <w:highlight w:val="none"/>
          <w14:textFill>
            <w14:solidFill>
              <w14:schemeClr w14:val="tx1"/>
            </w14:solidFill>
          </w14:textFill>
        </w:rPr>
        <w:t>检验和测试应在供方交货地点、或货物的最终目的地进行。如果在供方的工厂进行，需方检测人员应能得到必要的检测设施和手段，需方不承担任何费用。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6.4</w:t>
      </w:r>
      <w:r>
        <w:rPr>
          <w:rFonts w:ascii="Tahoma" w:hAnsi="Tahoma" w:cs="Tahoma"/>
          <w:color w:val="000000" w:themeColor="text1"/>
          <w:szCs w:val="21"/>
          <w:highlight w:val="none"/>
          <w14:textFill>
            <w14:solidFill>
              <w14:schemeClr w14:val="tx1"/>
            </w14:solidFill>
          </w14:textFill>
        </w:rPr>
        <w:t>供方有责任对合同货物按合同要求自行进行检验、测试等工作，检验、测试合格报告由供方提交给采购人，这些文件将被视为合同货物的质量保证资料。</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6.5</w:t>
      </w:r>
      <w:r>
        <w:rPr>
          <w:rFonts w:ascii="Tahoma" w:hAnsi="Tahoma" w:cs="Tahoma"/>
          <w:color w:val="000000" w:themeColor="text1"/>
          <w:szCs w:val="21"/>
          <w:highlight w:val="none"/>
          <w14:textFill>
            <w14:solidFill>
              <w14:schemeClr w14:val="tx1"/>
            </w14:solidFill>
          </w14:textFill>
        </w:rPr>
        <w:t>如果所检验的货物不能满足合同的要求，需方可以拒绝接受该货物，供方应更换被拒绝的货物，或者免费进行必要的修改以满足规定的要求。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6.6</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供方应在进行检验和测试前</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日通知需方检验和测试货物的相关内容，以便需方能安排人员参加。需方将及时以书面形式把参加检验和测试的代表身份情况通知供方。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6.7</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供方有义务提供有关资料和必要的协助，包括合理地中止工作以便需方或其代表在加工过程中对货物的某一部分或元件进行检测。</w:t>
      </w:r>
    </w:p>
    <w:p>
      <w:pPr>
        <w:spacing w:line="320" w:lineRule="exact"/>
        <w:rPr>
          <w:color w:val="000000" w:themeColor="text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6.8</w:t>
      </w:r>
      <w:r>
        <w:rPr>
          <w:rFonts w:ascii="Tahoma" w:hAnsi="Tahoma" w:cs="Tahoma"/>
          <w:color w:val="000000" w:themeColor="text1"/>
          <w:szCs w:val="21"/>
          <w:highlight w:val="none"/>
          <w14:textFill>
            <w14:solidFill>
              <w14:schemeClr w14:val="tx1"/>
            </w14:solidFill>
          </w14:textFill>
        </w:rPr>
        <w:t>本章规定在任何情况下都不能免除供方在本合同项下的保证义务或其他义务。</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7、包装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7.1</w:t>
      </w:r>
      <w:r>
        <w:rPr>
          <w:rFonts w:ascii="Tahoma" w:hAnsi="Tahoma" w:cs="Tahoma"/>
          <w:color w:val="000000" w:themeColor="text1"/>
          <w:szCs w:val="21"/>
          <w:highlight w:val="none"/>
          <w14:textFill>
            <w14:solidFill>
              <w14:schemeClr w14:val="tx1"/>
            </w14:solidFill>
          </w14:textFill>
        </w:rPr>
        <w:t>供方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7.2</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包装、标记和包装箱内外的单据应严格符合合同的特殊要求，包括专用条款规定的要求以及采购人后来发出的指示。</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8、交货（发运）和单据</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8.1</w:t>
      </w:r>
      <w:r>
        <w:rPr>
          <w:rFonts w:ascii="Tahoma" w:hAnsi="Tahoma" w:cs="Tahoma"/>
          <w:color w:val="000000" w:themeColor="text1"/>
          <w:szCs w:val="21"/>
          <w:highlight w:val="none"/>
          <w14:textFill>
            <w14:solidFill>
              <w14:schemeClr w14:val="tx1"/>
            </w14:solidFill>
          </w14:textFill>
        </w:rPr>
        <w:t>供方负责在本合同及附件所规定的交货期内，完成全部合同货物及技术文件发运任务。供方应提供的装运细节和单据在专用条款中有具体规定。</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9、保险</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9.1</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本合同下提供的货物应对其在制造、购置、运输、存放及交货过程中丢失或损坏按专用条款规定的方式，对货物进行全面保险。</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10、备品、备件</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10.1</w:t>
      </w:r>
      <w:r>
        <w:rPr>
          <w:rFonts w:ascii="Tahoma" w:hAnsi="Tahoma" w:cs="Tahoma"/>
          <w:color w:val="000000" w:themeColor="text1"/>
          <w:szCs w:val="21"/>
          <w:highlight w:val="none"/>
          <w14:textFill>
            <w14:solidFill>
              <w14:schemeClr w14:val="tx1"/>
            </w14:solidFill>
          </w14:textFill>
        </w:rPr>
        <w:t>在合同货物供货后</w:t>
      </w:r>
      <w:r>
        <w:rPr>
          <w:rFonts w:ascii="Tahoma" w:hAnsi="Tahoma" w:cs="Tahoma"/>
          <w:color w:val="000000" w:themeColor="text1"/>
          <w:szCs w:val="21"/>
          <w:highlight w:val="none"/>
          <w:u w:val="single"/>
          <w14:textFill>
            <w14:solidFill>
              <w14:schemeClr w14:val="tx1"/>
            </w14:solidFill>
          </w14:textFill>
        </w:rPr>
        <w:t>5</w:t>
      </w:r>
      <w:r>
        <w:rPr>
          <w:rFonts w:ascii="Tahoma" w:hAnsi="Tahoma" w:cs="Tahoma"/>
          <w:color w:val="000000" w:themeColor="text1"/>
          <w:szCs w:val="21"/>
          <w:highlight w:val="none"/>
          <w14:textFill>
            <w14:solidFill>
              <w14:schemeClr w14:val="tx1"/>
            </w14:solidFill>
          </w14:textFill>
        </w:rPr>
        <w:t>年内，供方应以优惠价格向采购人提供合同货物维修和维护所需要的备品、备件。如果承包人在上述期限前停止生产合同货物，则应事先通知需方，以便需方采购足够的备品、备件。在停止生产后，如果需方要求，供方应免费向需方提供备品、备件的图纸和规格。</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11、保证</w:t>
      </w:r>
    </w:p>
    <w:p>
      <w:pPr>
        <w:pStyle w:val="13"/>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11.1</w:t>
      </w:r>
      <w:r>
        <w:rPr>
          <w:rFonts w:ascii="Tahoma" w:hAnsi="Tahoma" w:cs="Tahoma"/>
          <w:color w:val="000000" w:themeColor="text1"/>
          <w:szCs w:val="21"/>
          <w:highlight w:val="none"/>
          <w14:textFill>
            <w14:solidFill>
              <w14:schemeClr w14:val="tx1"/>
            </w14:solidFill>
          </w14:textFill>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11.2</w:t>
      </w:r>
      <w:r>
        <w:rPr>
          <w:rFonts w:ascii="Tahoma" w:hAnsi="Tahoma" w:cs="Tahoma"/>
          <w:color w:val="000000" w:themeColor="text1"/>
          <w:szCs w:val="21"/>
          <w:highlight w:val="none"/>
          <w14:textFill>
            <w14:solidFill>
              <w14:schemeClr w14:val="tx1"/>
            </w14:solidFill>
          </w14:textFill>
        </w:rPr>
        <w:t>供方应保证提交的技术文件、图纸的完整、清楚和正确，达到合同货物设计、安装、运行和维护要求。技术文件如有不准确或不完整，供方应在接到需方通知后15日内进行更改或重新提供。</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11.3</w:t>
      </w:r>
      <w:r>
        <w:rPr>
          <w:rFonts w:ascii="Tahoma" w:hAnsi="Tahoma" w:cs="Tahoma"/>
          <w:color w:val="000000" w:themeColor="text1"/>
          <w:szCs w:val="21"/>
          <w:highlight w:val="none"/>
          <w14:textFill>
            <w14:solidFill>
              <w14:schemeClr w14:val="tx1"/>
            </w14:solidFill>
          </w14:textFill>
        </w:rPr>
        <w:t>供方应保证合同货物在接收试运时各项技术参数满足合同要求。如在合同货物安装、调试、接收、试运期间，如发现因供方原因造成的合同货物的缺陷或损坏，供方应尽快免费更换和修复并补偿由此给需方带来的一切直接损失。供方应承担此项更换和修复工作的一切风险和费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11.4</w:t>
      </w:r>
      <w:r>
        <w:rPr>
          <w:rFonts w:ascii="Tahoma" w:hAnsi="Tahoma" w:cs="Tahoma"/>
          <w:color w:val="000000" w:themeColor="text1"/>
          <w:szCs w:val="21"/>
          <w:highlight w:val="none"/>
          <w14:textFill>
            <w14:solidFill>
              <w14:schemeClr w14:val="tx1"/>
            </w14:solidFill>
          </w14:textFill>
        </w:rPr>
        <w:t>质量保证期（简称质保期）为：业主签发接收通知书之日起计算。</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11.5</w:t>
      </w:r>
      <w:r>
        <w:rPr>
          <w:rFonts w:ascii="Tahoma" w:hAnsi="Tahoma" w:cs="Tahoma"/>
          <w:color w:val="000000" w:themeColor="text1"/>
          <w:szCs w:val="21"/>
          <w:highlight w:val="none"/>
          <w14:textFill>
            <w14:solidFill>
              <w14:schemeClr w14:val="tx1"/>
            </w14:solidFill>
          </w14:textFill>
        </w:rPr>
        <w:t>在质保期间，如果因供方原因造成合同货物有缺陷或不能满足合同规定，需方有权提出索赔。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11.6</w:t>
      </w:r>
      <w:r>
        <w:rPr>
          <w:rFonts w:ascii="Tahoma" w:hAnsi="Tahoma" w:cs="Tahoma"/>
          <w:color w:val="000000" w:themeColor="text1"/>
          <w:szCs w:val="21"/>
          <w:highlight w:val="none"/>
          <w14:textFill>
            <w14:solidFill>
              <w14:schemeClr w14:val="tx1"/>
            </w14:solidFill>
          </w14:textFill>
        </w:rPr>
        <w:t>在需方提出索赔之后，供方应尽快对合同货物进行修复并承担全部费用。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11.7</w:t>
      </w:r>
      <w:r>
        <w:rPr>
          <w:rFonts w:ascii="Tahoma" w:hAnsi="Tahoma" w:cs="Tahoma"/>
          <w:color w:val="000000" w:themeColor="text1"/>
          <w:szCs w:val="21"/>
          <w:highlight w:val="none"/>
          <w14:textFill>
            <w14:solidFill>
              <w14:schemeClr w14:val="tx1"/>
            </w14:solidFill>
          </w14:textFill>
        </w:rPr>
        <w:t>如果供方对索赔有异议，应在收到需方索赔</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日之内提出，双方进行协商。如供方在此期限之前没有答复则被视为接受索赔要求。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11.8</w:t>
      </w:r>
      <w:r>
        <w:rPr>
          <w:rFonts w:ascii="Tahoma" w:hAnsi="Tahoma" w:cs="Tahoma"/>
          <w:color w:val="000000" w:themeColor="text1"/>
          <w:szCs w:val="21"/>
          <w:highlight w:val="none"/>
          <w14:textFill>
            <w14:solidFill>
              <w14:schemeClr w14:val="tx1"/>
            </w14:solidFill>
          </w14:textFill>
        </w:rPr>
        <w:t>供方应在接到索赔要求后</w:t>
      </w:r>
      <w:r>
        <w:rPr>
          <w:rFonts w:ascii="Tahoma" w:hAnsi="Tahoma" w:cs="Tahoma"/>
          <w:color w:val="000000" w:themeColor="text1"/>
          <w:szCs w:val="21"/>
          <w:highlight w:val="none"/>
          <w:u w:val="single"/>
          <w14:textFill>
            <w14:solidFill>
              <w14:schemeClr w14:val="tx1"/>
            </w14:solidFill>
          </w14:textFill>
        </w:rPr>
        <w:t xml:space="preserve"> 10</w:t>
      </w:r>
      <w:r>
        <w:rPr>
          <w:rFonts w:ascii="Tahoma" w:hAnsi="Tahoma" w:cs="Tahoma"/>
          <w:color w:val="000000" w:themeColor="text1"/>
          <w:szCs w:val="21"/>
          <w:highlight w:val="none"/>
          <w14:textFill>
            <w14:solidFill>
              <w14:schemeClr w14:val="tx1"/>
            </w14:solidFill>
          </w14:textFill>
        </w:rPr>
        <w:t>日内对合同货物进行修复或替换。替换和修复工作的期限，除采购人同意的期限外，不得超过</w:t>
      </w:r>
      <w:r>
        <w:rPr>
          <w:rFonts w:ascii="Tahoma" w:hAnsi="Tahoma" w:cs="Tahoma"/>
          <w:color w:val="000000" w:themeColor="text1"/>
          <w:szCs w:val="21"/>
          <w:highlight w:val="none"/>
          <w:u w:val="single"/>
          <w14:textFill>
            <w14:solidFill>
              <w14:schemeClr w14:val="tx1"/>
            </w14:solidFill>
          </w14:textFill>
        </w:rPr>
        <w:t xml:space="preserve"> 1</w:t>
      </w:r>
      <w:r>
        <w:rPr>
          <w:rFonts w:ascii="Tahoma" w:hAnsi="Tahoma" w:cs="Tahoma"/>
          <w:color w:val="000000" w:themeColor="text1"/>
          <w:szCs w:val="21"/>
          <w:highlight w:val="none"/>
          <w14:textFill>
            <w14:solidFill>
              <w14:schemeClr w14:val="tx1"/>
            </w14:solidFill>
          </w14:textFill>
        </w:rPr>
        <w:t>个月，对于小的缺陷，在供方同意的情况下，可以由需方有关技术人员进行修复，费用由供方承担。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11.9</w:t>
      </w:r>
      <w:r>
        <w:rPr>
          <w:rFonts w:ascii="Tahoma" w:hAnsi="Tahoma" w:cs="Tahoma"/>
          <w:color w:val="000000" w:themeColor="text1"/>
          <w:szCs w:val="21"/>
          <w:highlight w:val="none"/>
          <w14:textFill>
            <w14:solidFill>
              <w14:schemeClr w14:val="tx1"/>
            </w14:solidFill>
          </w14:textFill>
        </w:rPr>
        <w:t>如因供方原因在质保期内因合同货物维修而停止使用，则相应合同货物质保期应根据货物停运时间延长。对于维修量大或重新更换的合同货物，质保期应重新计算，为需方验收接受维修或更换合同货物后原质量保证期。</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12、环境、职业健康和安全</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12.1</w:t>
      </w:r>
      <w:r>
        <w:rPr>
          <w:rFonts w:ascii="Tahoma" w:hAnsi="Tahoma" w:cs="Tahoma"/>
          <w:color w:val="000000" w:themeColor="text1"/>
          <w:szCs w:val="21"/>
          <w:highlight w:val="none"/>
          <w14:textFill>
            <w14:solidFill>
              <w14:schemeClr w14:val="tx1"/>
            </w14:solidFill>
          </w14:textFill>
        </w:rPr>
        <w:t>供方应当确保在产品制造过程中使用的材料和制作工艺符合国家标准，保证安装现场环境、职业健康和安全符合国家法律政策要求。所提供的货物应保证符合国家法律政策对</w:t>
      </w:r>
    </w:p>
    <w:p>
      <w:pPr>
        <w:spacing w:line="320" w:lineRule="exact"/>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使用人员在使用过程中关于</w:t>
      </w:r>
      <w:r>
        <w:rPr>
          <w:rFonts w:ascii="Tahoma" w:hAnsi="Tahoma" w:cs="Tahoma"/>
          <w:color w:val="000000" w:themeColor="text1"/>
          <w:szCs w:val="21"/>
          <w:highlight w:val="none"/>
          <w14:textFill>
            <w14:solidFill>
              <w14:schemeClr w14:val="tx1"/>
            </w14:solidFill>
          </w14:textFill>
        </w:rPr>
        <w:t>职业健康的要求。</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12.2</w:t>
      </w:r>
      <w:r>
        <w:rPr>
          <w:rFonts w:ascii="Tahoma" w:hAnsi="Tahoma" w:cs="Tahoma"/>
          <w:color w:val="000000" w:themeColor="text1"/>
          <w:szCs w:val="21"/>
          <w:highlight w:val="none"/>
          <w14:textFill>
            <w14:solidFill>
              <w14:schemeClr w14:val="tx1"/>
            </w14:solidFill>
          </w14:textFill>
        </w:rPr>
        <w:t>需方检验员在供方制造场所进行检验时，供方有责任提供给需方检验员一个安全的工作环境，并且告知其潜在的危险。如果检验员认为工作环境不安全，检验员可以不履行其工作。</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12.3</w:t>
      </w:r>
      <w:r>
        <w:rPr>
          <w:rFonts w:ascii="Tahoma" w:hAnsi="Tahoma" w:cs="Tahoma"/>
          <w:color w:val="000000" w:themeColor="text1"/>
          <w:szCs w:val="21"/>
          <w:highlight w:val="none"/>
          <w14:textFill>
            <w14:solidFill>
              <w14:schemeClr w14:val="tx1"/>
            </w14:solidFill>
          </w14:textFill>
        </w:rPr>
        <w:t>供方工作人员在需方安装现场进行服务时，应该遵守需方安装现场的“安全/环境管理规定”，服从需方安装现场安全人员的指挥。</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12.4</w:t>
      </w:r>
      <w:r>
        <w:rPr>
          <w:rFonts w:ascii="Tahoma" w:hAnsi="Tahoma" w:cs="Tahoma"/>
          <w:color w:val="000000" w:themeColor="text1"/>
          <w:szCs w:val="21"/>
          <w:highlight w:val="none"/>
          <w14:textFill>
            <w14:solidFill>
              <w14:schemeClr w14:val="tx1"/>
            </w14:solidFill>
          </w14:textFill>
        </w:rPr>
        <w:t>供方用于包装货物的包装材料应是符合环境要求的包装材料。</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13、索赔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13.1</w:t>
      </w:r>
      <w:r>
        <w:rPr>
          <w:rFonts w:ascii="Tahoma" w:hAnsi="Tahoma" w:cs="Tahoma"/>
          <w:color w:val="000000" w:themeColor="text1"/>
          <w:szCs w:val="21"/>
          <w:highlight w:val="none"/>
          <w14:textFill>
            <w14:solidFill>
              <w14:schemeClr w14:val="tx1"/>
            </w14:solidFill>
          </w14:textFill>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（1）同意退货并赔偿需方相应损失，供方赔偿额为相应合同货物价格和已发生的银行利息、手续费用、运输费用、保险费、现场存放费、装卸费、验收费用、已发生的合同货物保管等费用。</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（2）根据合同货物缺陷程度、损坏程度和损失金额，经双方同意对货物进行折价。</w:t>
      </w:r>
    </w:p>
    <w:p>
      <w:pPr>
        <w:spacing w:line="320" w:lineRule="exact"/>
        <w:ind w:firstLine="105" w:firstLineChars="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13.2</w:t>
      </w:r>
      <w:r>
        <w:rPr>
          <w:rFonts w:ascii="Tahoma" w:hAnsi="Tahoma" w:cs="Tahoma"/>
          <w:color w:val="000000" w:themeColor="text1"/>
          <w:szCs w:val="21"/>
          <w:highlight w:val="none"/>
          <w14:textFill>
            <w14:solidFill>
              <w14:schemeClr w14:val="tx1"/>
            </w14:solidFill>
          </w14:textFill>
        </w:rPr>
        <w:t>如果供方在接到需方索赔通知单后</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日内没有答复，则视为承包人接受索赔。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13.3</w:t>
      </w:r>
      <w:r>
        <w:rPr>
          <w:rFonts w:ascii="Tahoma" w:hAnsi="Tahoma" w:cs="Tahoma"/>
          <w:color w:val="000000" w:themeColor="text1"/>
          <w:szCs w:val="21"/>
          <w:highlight w:val="none"/>
          <w14:textFill>
            <w14:solidFill>
              <w14:schemeClr w14:val="tx1"/>
            </w14:solidFill>
          </w14:textFill>
        </w:rPr>
        <w:t>如果供方不能按13.1（3）款完成合同货物的更换、修复或补充发货，供方应按合同有关条款的规定负担迟交货罚款。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13.4</w:t>
      </w:r>
      <w:r>
        <w:rPr>
          <w:rFonts w:ascii="Tahoma" w:hAnsi="Tahoma" w:cs="Tahoma"/>
          <w:color w:val="000000" w:themeColor="text1"/>
          <w:szCs w:val="21"/>
          <w:highlight w:val="none"/>
          <w14:textFill>
            <w14:solidFill>
              <w14:schemeClr w14:val="tx1"/>
            </w14:solidFill>
          </w14:textFill>
        </w:rPr>
        <w:t>因供方原因而更换急需的合同货物，供方应在需方要求的时间内尽快运到目的现场，费用由供方负担。</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14、付款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14.1</w:t>
      </w:r>
      <w:r>
        <w:rPr>
          <w:rFonts w:ascii="Tahoma" w:hAnsi="Tahoma" w:cs="Tahoma"/>
          <w:color w:val="000000" w:themeColor="text1"/>
          <w:szCs w:val="21"/>
          <w:highlight w:val="none"/>
          <w14:textFill>
            <w14:solidFill>
              <w14:schemeClr w14:val="tx1"/>
            </w14:solidFill>
          </w14:textFill>
        </w:rPr>
        <w:t>本合同付款条件在专用条款中规定。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14.2</w:t>
      </w:r>
      <w:r>
        <w:rPr>
          <w:rFonts w:ascii="Tahoma" w:hAnsi="Tahoma" w:cs="Tahoma"/>
          <w:color w:val="000000" w:themeColor="text1"/>
          <w:szCs w:val="21"/>
          <w:highlight w:val="none"/>
          <w14:textFill>
            <w14:solidFill>
              <w14:schemeClr w14:val="tx1"/>
            </w14:solidFill>
          </w14:textFill>
        </w:rPr>
        <w:t>供方应书面向需方提出付款要求，并附上对已递交货物和已履行服务的发票和通用条款第8条规定的单据，以及合同规定的其他义务已经履行的证明。</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14.3</w:t>
      </w:r>
      <w:r>
        <w:rPr>
          <w:rFonts w:ascii="Tahoma" w:hAnsi="Tahoma" w:cs="Tahoma"/>
          <w:color w:val="000000" w:themeColor="text1"/>
          <w:szCs w:val="21"/>
          <w:highlight w:val="none"/>
          <w14:textFill>
            <w14:solidFill>
              <w14:schemeClr w14:val="tx1"/>
            </w14:solidFill>
          </w14:textFill>
        </w:rPr>
        <w:t>付款方式：在专用条款中规定。</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14.4</w:t>
      </w:r>
      <w:r>
        <w:rPr>
          <w:rFonts w:ascii="Tahoma" w:hAnsi="Tahoma" w:cs="Tahoma"/>
          <w:color w:val="000000" w:themeColor="text1"/>
          <w:szCs w:val="21"/>
          <w:highlight w:val="none"/>
          <w14:textFill>
            <w14:solidFill>
              <w14:schemeClr w14:val="tx1"/>
            </w14:solidFill>
          </w14:textFill>
        </w:rPr>
        <w:t>付款比例：在专用条款中规定。</w:t>
      </w:r>
    </w:p>
    <w:p>
      <w:pPr>
        <w:pStyle w:val="10"/>
        <w:spacing w:line="320" w:lineRule="exact"/>
        <w:jc w:val="center"/>
        <w:rPr>
          <w:rFonts w:ascii="Tahoma" w:hAnsi="Tahoma" w:eastAsia="黑体" w:cs="Tahoma"/>
          <w:b/>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15、价格</w:t>
      </w:r>
    </w:p>
    <w:p>
      <w:pPr>
        <w:pStyle w:val="10"/>
        <w:spacing w:line="320" w:lineRule="exact"/>
        <w:rPr>
          <w:rFonts w:ascii="Tahoma" w:hAnsi="Tahoma" w:cs="Tahoma"/>
          <w:color w:val="000000" w:themeColor="text1"/>
          <w:sz w:val="21"/>
          <w:szCs w:val="21"/>
          <w:highlight w:val="none"/>
          <w14:textFill>
            <w14:solidFill>
              <w14:schemeClr w14:val="tx1"/>
            </w14:solidFill>
          </w14:textFill>
        </w:rPr>
      </w:pPr>
      <w:r>
        <w:rPr>
          <w:rFonts w:ascii="Tahoma" w:hAnsi="Tahoma" w:cs="Tahoma"/>
          <w:b/>
          <w:color w:val="000000" w:themeColor="text1"/>
          <w:sz w:val="21"/>
          <w:szCs w:val="21"/>
          <w:highlight w:val="none"/>
          <w14:textFill>
            <w14:solidFill>
              <w14:schemeClr w14:val="tx1"/>
            </w14:solidFill>
          </w14:textFill>
        </w:rPr>
        <w:t>15.1</w:t>
      </w:r>
      <w:r>
        <w:rPr>
          <w:rFonts w:ascii="Tahoma" w:hAnsi="Tahoma" w:cs="Tahoma"/>
          <w:color w:val="000000" w:themeColor="text1"/>
          <w:sz w:val="21"/>
          <w:szCs w:val="21"/>
          <w:highlight w:val="none"/>
          <w14:textFill>
            <w14:solidFill>
              <w14:schemeClr w14:val="tx1"/>
            </w14:solidFill>
          </w14:textFill>
        </w:rPr>
        <w:t>供方在合同项下提交货物和履行服务收取的价格是招标文件中列明的各货物由供方在报价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实施过程中也不会考虑给予供方无论因物价波动、货物按规定运送至需方指定目的地不变但实际运距与供方自行测定的运距发生变化等调整价格的任何因素。</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16、变更指令和合同修改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16.1</w:t>
      </w:r>
      <w:r>
        <w:rPr>
          <w:rFonts w:ascii="Tahoma" w:hAnsi="Tahoma" w:cs="Tahoma"/>
          <w:color w:val="000000" w:themeColor="text1"/>
          <w:szCs w:val="21"/>
          <w:highlight w:val="none"/>
          <w14:textFill>
            <w14:solidFill>
              <w14:schemeClr w14:val="tx1"/>
            </w14:solidFill>
          </w14:textFill>
        </w:rPr>
        <w:t>采购人可以在任何时候书面向承包人发出指令，在本合同的一般范围内变更下述一项或几项：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（1）运输或包装的方法、货物数量；（2）交货地点和/或；（3）承包人提供的服务。其条件是：</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16.2</w:t>
      </w:r>
      <w:r>
        <w:rPr>
          <w:rFonts w:ascii="Tahoma" w:hAnsi="Tahoma" w:cs="Tahoma"/>
          <w:color w:val="000000" w:themeColor="text1"/>
          <w:szCs w:val="21"/>
          <w:highlight w:val="none"/>
          <w14:textFill>
            <w14:solidFill>
              <w14:schemeClr w14:val="tx1"/>
            </w14:solidFill>
          </w14:textFill>
        </w:rPr>
        <w:t>任何对合同条件的变更或修改均需双方同意并签订书面的修改书。</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17、转让或分包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17.1</w:t>
      </w:r>
      <w:r>
        <w:rPr>
          <w:rFonts w:ascii="Tahoma" w:hAnsi="Tahoma" w:cs="Tahoma"/>
          <w:color w:val="000000" w:themeColor="text1"/>
          <w:szCs w:val="21"/>
          <w:highlight w:val="none"/>
          <w14:textFill>
            <w14:solidFill>
              <w14:schemeClr w14:val="tx1"/>
            </w14:solidFill>
          </w14:textFill>
        </w:rPr>
        <w:t>本合同范围的货物，应由供方直接供应，不得转让他人供应。</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17.2</w:t>
      </w:r>
      <w:r>
        <w:rPr>
          <w:rFonts w:ascii="Tahoma" w:hAnsi="Tahoma" w:cs="Tahoma"/>
          <w:color w:val="000000" w:themeColor="text1"/>
          <w:szCs w:val="21"/>
          <w:highlight w:val="none"/>
          <w14:textFill>
            <w14:solidFill>
              <w14:schemeClr w14:val="tx1"/>
            </w14:solidFill>
          </w14:textFill>
        </w:rPr>
        <w:t>除需方事先书面同意外，供方不得部分转让或全部转让其应履行的义务。</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17.3</w:t>
      </w:r>
      <w:r>
        <w:rPr>
          <w:rFonts w:ascii="Tahoma" w:hAnsi="Tahoma" w:cs="Tahoma"/>
          <w:color w:val="000000" w:themeColor="text1"/>
          <w:szCs w:val="21"/>
          <w:highlight w:val="none"/>
          <w14:textFill>
            <w14:solidFill>
              <w14:schemeClr w14:val="tx1"/>
            </w14:solidFill>
          </w14:textFill>
        </w:rPr>
        <w:t>供方如有转让和未经甲方同意的分包行为，甲方有权解除合同，没收履约保证金并追究乙方的违约责任。</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18、履约延误和罚款</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18.1</w:t>
      </w:r>
      <w:r>
        <w:rPr>
          <w:rFonts w:ascii="Tahoma" w:hAnsi="Tahoma" w:cs="Tahoma"/>
          <w:color w:val="000000" w:themeColor="text1"/>
          <w:szCs w:val="21"/>
          <w:highlight w:val="none"/>
          <w14:textFill>
            <w14:solidFill>
              <w14:schemeClr w14:val="tx1"/>
            </w14:solidFill>
          </w14:textFill>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18.2</w:t>
      </w:r>
      <w:r>
        <w:rPr>
          <w:rFonts w:ascii="Tahoma" w:hAnsi="Tahoma" w:cs="Tahoma"/>
          <w:color w:val="000000" w:themeColor="text1"/>
          <w:szCs w:val="21"/>
          <w:highlight w:val="none"/>
          <w14:textFill>
            <w14:solidFill>
              <w14:schemeClr w14:val="tx1"/>
            </w14:solidFill>
          </w14:textFill>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19、终止合同</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19.1</w:t>
      </w:r>
      <w:r>
        <w:rPr>
          <w:rFonts w:ascii="Tahoma" w:hAnsi="Tahoma" w:cs="Tahoma"/>
          <w:color w:val="000000" w:themeColor="text1"/>
          <w:szCs w:val="21"/>
          <w:highlight w:val="none"/>
          <w14:textFill>
            <w14:solidFill>
              <w14:schemeClr w14:val="tx1"/>
            </w14:solidFill>
          </w14:textFill>
        </w:rPr>
        <w:t>供方违约终止合同：在供方违约的情况下，需方可向供方发出书面违约的通知书，提出终止部分或全部合同。供方应承担购买类似货物所超出的那部分费用。同时，供方应继续执行合同中未终止的部分。</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19.2</w:t>
      </w:r>
      <w:r>
        <w:rPr>
          <w:rFonts w:ascii="Tahoma" w:hAnsi="Tahoma" w:cs="Tahoma"/>
          <w:color w:val="000000" w:themeColor="text1"/>
          <w:szCs w:val="21"/>
          <w:highlight w:val="none"/>
          <w14:textFill>
            <w14:solidFill>
              <w14:schemeClr w14:val="tx1"/>
            </w14:solidFill>
          </w14:textFill>
        </w:rPr>
        <w:t>供方破产终止合同：如果供方因破产或无清偿能力，需方可在任何时候以书面方式通知供方，提出终止合同而不给需方补偿。该终止合同将不损害或影响需方已采取或将要采取的任何行动或补救措施的权利。</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19.3</w:t>
      </w:r>
      <w:r>
        <w:rPr>
          <w:rFonts w:ascii="Tahoma" w:hAnsi="Tahoma" w:cs="Tahoma"/>
          <w:color w:val="000000" w:themeColor="text1"/>
          <w:szCs w:val="21"/>
          <w:highlight w:val="none"/>
          <w14:textFill>
            <w14:solidFill>
              <w14:schemeClr w14:val="tx1"/>
            </w14:solidFill>
          </w14:textFill>
        </w:rPr>
        <w:t>不可抗力终止合同：如果第20条所述的不可抗力事故发生时间超过</w:t>
      </w:r>
      <w:r>
        <w:rPr>
          <w:rFonts w:ascii="Tahoma" w:hAnsi="Tahoma" w:cs="Tahoma"/>
          <w:color w:val="000000" w:themeColor="text1"/>
          <w:szCs w:val="21"/>
          <w:highlight w:val="none"/>
          <w:u w:val="single"/>
          <w14:textFill>
            <w14:solidFill>
              <w14:schemeClr w14:val="tx1"/>
            </w14:solidFill>
          </w14:textFill>
        </w:rPr>
        <w:t xml:space="preserve"> 120</w:t>
      </w:r>
      <w:r>
        <w:rPr>
          <w:rFonts w:ascii="Tahoma" w:hAnsi="Tahoma" w:cs="Tahoma"/>
          <w:color w:val="000000" w:themeColor="text1"/>
          <w:szCs w:val="21"/>
          <w:highlight w:val="none"/>
          <w14:textFill>
            <w14:solidFill>
              <w14:schemeClr w14:val="tx1"/>
            </w14:solidFill>
          </w14:textFill>
        </w:rPr>
        <w:t>日，供方仍不能履行合同的，采购人有权终止合同。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20、不可抗力</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20.1</w:t>
      </w:r>
      <w:r>
        <w:rPr>
          <w:rFonts w:ascii="Tahoma" w:hAnsi="Tahoma" w:cs="Tahoma"/>
          <w:color w:val="000000" w:themeColor="text1"/>
          <w:szCs w:val="21"/>
          <w:highlight w:val="none"/>
          <w14:textFill>
            <w14:solidFill>
              <w14:schemeClr w14:val="tx1"/>
            </w14:solidFill>
          </w14:textFill>
        </w:rPr>
        <w:t>双方由于不可抗力因素，如战争、严重的火灾、水灾、台风、地震等事件或双方同意的任何一方都无法控制事件以及其它双方同意的不可抗力事故而影响合同执行时，则合同履行时间可以延迟，延迟履行合同的期限应相当于事故影响的时间。</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20.2</w:t>
      </w:r>
      <w:r>
        <w:rPr>
          <w:rFonts w:ascii="Tahoma" w:hAnsi="Tahoma" w:cs="Tahoma"/>
          <w:color w:val="000000" w:themeColor="text1"/>
          <w:szCs w:val="21"/>
          <w:highlight w:val="none"/>
          <w14:textFill>
            <w14:solidFill>
              <w14:schemeClr w14:val="tx1"/>
            </w14:solidFill>
          </w14:textFill>
        </w:rPr>
        <w:t>受不可抗力影响的一方应尽快将所发生的不可抗力事故情况以书面方式通知另一方，并在</w:t>
      </w:r>
      <w:r>
        <w:rPr>
          <w:rFonts w:ascii="Tahoma" w:hAnsi="Tahoma" w:cs="Tahoma"/>
          <w:color w:val="000000" w:themeColor="text1"/>
          <w:szCs w:val="21"/>
          <w:highlight w:val="none"/>
          <w:u w:val="single"/>
          <w14:textFill>
            <w14:solidFill>
              <w14:schemeClr w14:val="tx1"/>
            </w14:solidFill>
          </w14:textFill>
        </w:rPr>
        <w:t>15</w:t>
      </w:r>
      <w:r>
        <w:rPr>
          <w:rFonts w:ascii="Tahoma" w:hAnsi="Tahoma" w:cs="Tahoma"/>
          <w:color w:val="000000" w:themeColor="text1"/>
          <w:szCs w:val="21"/>
          <w:highlight w:val="none"/>
          <w14:textFill>
            <w14:solidFill>
              <w14:schemeClr w14:val="tx1"/>
            </w14:solidFill>
          </w14:textFill>
        </w:rPr>
        <w:t>日内以最快的专递方式将有关部门出具的证明文件提交给另一方审阅确认。如果不可抗力事故影响本合同执行超过</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日，双方应尽快通过友好协商来解决合同执行问题并达成协议，超过</w:t>
      </w:r>
      <w:r>
        <w:rPr>
          <w:rFonts w:ascii="Tahoma" w:hAnsi="Tahoma" w:cs="Tahoma"/>
          <w:color w:val="000000" w:themeColor="text1"/>
          <w:szCs w:val="21"/>
          <w:highlight w:val="none"/>
          <w:u w:val="single"/>
          <w14:textFill>
            <w14:solidFill>
              <w14:schemeClr w14:val="tx1"/>
            </w14:solidFill>
          </w14:textFill>
        </w:rPr>
        <w:t>120</w:t>
      </w:r>
      <w:r>
        <w:rPr>
          <w:rFonts w:ascii="Tahoma" w:hAnsi="Tahoma" w:cs="Tahoma"/>
          <w:color w:val="000000" w:themeColor="text1"/>
          <w:szCs w:val="21"/>
          <w:highlight w:val="none"/>
          <w14:textFill>
            <w14:solidFill>
              <w14:schemeClr w14:val="tx1"/>
            </w14:solidFill>
          </w14:textFill>
        </w:rPr>
        <w:t>日，应按上述第19.3款的规定执行。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21、争议的解决</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21.1</w:t>
      </w:r>
      <w:r>
        <w:rPr>
          <w:rFonts w:ascii="Tahoma" w:hAnsi="Tahoma" w:cs="Tahoma"/>
          <w:color w:val="000000" w:themeColor="text1"/>
          <w:szCs w:val="21"/>
          <w:highlight w:val="none"/>
          <w14:textFill>
            <w14:solidFill>
              <w14:schemeClr w14:val="tx1"/>
            </w14:solidFill>
          </w14:textFill>
        </w:rPr>
        <w:t>双方应通过直接的友好协商解决本合同中所发生的或与本合同有关的一切争议。如从该协商开始后</w:t>
      </w:r>
      <w:r>
        <w:rPr>
          <w:rFonts w:ascii="Tahoma" w:hAnsi="Tahoma" w:cs="Tahoma"/>
          <w:color w:val="000000" w:themeColor="text1"/>
          <w:szCs w:val="21"/>
          <w:highlight w:val="none"/>
          <w:u w:val="single"/>
          <w14:textFill>
            <w14:solidFill>
              <w14:schemeClr w14:val="tx1"/>
            </w14:solidFill>
          </w14:textFill>
        </w:rPr>
        <w:t>30</w:t>
      </w:r>
      <w:r>
        <w:rPr>
          <w:rFonts w:ascii="Tahoma" w:hAnsi="Tahoma" w:cs="Tahoma"/>
          <w:color w:val="000000" w:themeColor="text1"/>
          <w:szCs w:val="21"/>
          <w:highlight w:val="none"/>
          <w14:textFill>
            <w14:solidFill>
              <w14:schemeClr w14:val="tx1"/>
            </w14:solidFill>
          </w14:textFill>
        </w:rPr>
        <w:t>日内供方和需方仍不能友好解决合同争端，合同双方中的任何一方可向需方所在地法院起诉。</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21.2</w:t>
      </w:r>
      <w:r>
        <w:rPr>
          <w:rFonts w:ascii="Tahoma" w:hAnsi="Tahoma" w:cs="Tahoma"/>
          <w:color w:val="000000" w:themeColor="text1"/>
          <w:szCs w:val="21"/>
          <w:highlight w:val="none"/>
          <w14:textFill>
            <w14:solidFill>
              <w14:schemeClr w14:val="tx1"/>
            </w14:solidFill>
          </w14:textFill>
        </w:rPr>
        <w:t>在诉讼期间，除争议部分外，其他合同部分应继续执行。</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22、税费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22.1</w:t>
      </w:r>
      <w:r>
        <w:rPr>
          <w:rFonts w:ascii="Tahoma" w:hAnsi="Tahoma" w:cs="Tahoma"/>
          <w:color w:val="000000" w:themeColor="text1"/>
          <w:szCs w:val="21"/>
          <w:highlight w:val="none"/>
          <w14:textFill>
            <w14:solidFill>
              <w14:schemeClr w14:val="tx1"/>
            </w14:solidFill>
          </w14:textFill>
        </w:rPr>
        <w:t>根据国家有关税务的法律、法规和规定，供方应该交纳的与本合同有关的税费，其费用由供方承担。</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22.2</w:t>
      </w:r>
      <w:r>
        <w:rPr>
          <w:rFonts w:ascii="Tahoma" w:hAnsi="Tahoma" w:cs="Tahoma"/>
          <w:color w:val="000000" w:themeColor="text1"/>
          <w:szCs w:val="21"/>
          <w:highlight w:val="none"/>
          <w14:textFill>
            <w14:solidFill>
              <w14:schemeClr w14:val="tx1"/>
            </w14:solidFill>
          </w14:textFill>
        </w:rPr>
        <w:t xml:space="preserve">.本合同价格为含税价。供方提供的货物、技术资料、服务（包括运输）等所有税费（包括保险费）已全部包含在合同价格内，由供方承担。 </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23、适用法律</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23.1</w:t>
      </w:r>
      <w:r>
        <w:rPr>
          <w:rFonts w:ascii="Tahoma" w:hAnsi="Tahoma" w:cs="Tahoma"/>
          <w:color w:val="000000" w:themeColor="text1"/>
          <w:szCs w:val="21"/>
          <w:highlight w:val="none"/>
          <w14:textFill>
            <w14:solidFill>
              <w14:schemeClr w14:val="tx1"/>
            </w14:solidFill>
          </w14:textFill>
        </w:rPr>
        <w:t>本合同适用中华人民共和国法律。</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24、通知</w:t>
      </w:r>
    </w:p>
    <w:p>
      <w:pPr>
        <w:spacing w:line="400" w:lineRule="exact"/>
        <w:rPr>
          <w:rFonts w:ascii="Tahoma" w:hAnsi="Tahoma" w:cs="Tahoma"/>
          <w:color w:val="000000" w:themeColor="text1"/>
          <w:sz w:val="24"/>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24.1</w:t>
      </w:r>
      <w:r>
        <w:rPr>
          <w:rFonts w:ascii="Tahoma" w:hAnsi="Tahoma" w:cs="Tahoma"/>
          <w:color w:val="000000" w:themeColor="text1"/>
          <w:szCs w:val="21"/>
          <w:highlight w:val="none"/>
          <w14:textFill>
            <w14:solidFill>
              <w14:schemeClr w14:val="tx1"/>
            </w14:solidFill>
          </w14:textFill>
        </w:rPr>
        <w:t>本合同一方给对方的通知应用书面形式送达到合同规定的对方的地址。</w:t>
      </w:r>
    </w:p>
    <w:p>
      <w:pPr>
        <w:shd w:val="clear" w:color="auto" w:fill="FFFFFF"/>
        <w:snapToGrid w:val="0"/>
        <w:spacing w:line="400" w:lineRule="exact"/>
        <w:jc w:val="center"/>
        <w:rPr>
          <w:rFonts w:ascii="Tahoma" w:hAnsi="Tahoma" w:cs="Tahoma"/>
          <w:b/>
          <w:bCs/>
          <w:color w:val="000000" w:themeColor="text1"/>
          <w:kern w:val="0"/>
          <w:sz w:val="24"/>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bCs/>
          <w:color w:val="000000" w:themeColor="text1"/>
          <w:kern w:val="0"/>
          <w:sz w:val="32"/>
          <w:szCs w:val="30"/>
          <w:highlight w:val="none"/>
          <w14:textFill>
            <w14:solidFill>
              <w14:schemeClr w14:val="tx1"/>
            </w14:solidFill>
          </w14:textFill>
        </w:rPr>
      </w:pPr>
    </w:p>
    <w:p>
      <w:pPr>
        <w:shd w:val="clear" w:color="auto" w:fill="FFFFFF"/>
        <w:snapToGrid w:val="0"/>
        <w:spacing w:line="400" w:lineRule="exact"/>
        <w:jc w:val="center"/>
        <w:rPr>
          <w:rFonts w:ascii="Tahoma" w:hAnsi="Tahoma" w:eastAsia="黑体" w:cs="Tahoma"/>
          <w:b/>
          <w:color w:val="000000" w:themeColor="text1"/>
          <w:kern w:val="0"/>
          <w:sz w:val="28"/>
          <w:szCs w:val="28"/>
          <w:highlight w:val="none"/>
          <w14:textFill>
            <w14:solidFill>
              <w14:schemeClr w14:val="tx1"/>
            </w14:solidFill>
          </w14:textFill>
        </w:rPr>
      </w:pPr>
      <w:r>
        <w:rPr>
          <w:rFonts w:ascii="Tahoma" w:hAnsi="Tahoma" w:eastAsia="黑体" w:cs="Tahoma"/>
          <w:b/>
          <w:bCs/>
          <w:color w:val="000000" w:themeColor="text1"/>
          <w:kern w:val="0"/>
          <w:sz w:val="28"/>
          <w:szCs w:val="28"/>
          <w:highlight w:val="none"/>
          <w14:textFill>
            <w14:solidFill>
              <w14:schemeClr w14:val="tx1"/>
            </w14:solidFill>
          </w14:textFill>
        </w:rPr>
        <w:t>三、专用合同条款</w:t>
      </w:r>
    </w:p>
    <w:p>
      <w:pPr>
        <w:spacing w:line="320" w:lineRule="exact"/>
        <w:ind w:firstLine="315" w:firstLineChars="1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专用合同条款是对通用合同条款的补充和解释，应互为使用。本合同条款仅作为双方签订合同的参考，为阐明各方的权利和义务，经协商可增加或修改条款，但不得与招标文件、投标文件的实质性内容相背离。）</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1、定义</w:t>
      </w:r>
    </w:p>
    <w:p>
      <w:pPr>
        <w:spacing w:line="340" w:lineRule="atLeas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1.1、</w:t>
      </w:r>
      <w:r>
        <w:rPr>
          <w:rFonts w:ascii="Tahoma" w:hAnsi="Tahoma" w:cs="Tahoma"/>
          <w:color w:val="000000" w:themeColor="text1"/>
          <w:szCs w:val="21"/>
          <w:highlight w:val="none"/>
          <w14:textFill>
            <w14:solidFill>
              <w14:schemeClr w14:val="tx1"/>
            </w14:solidFill>
          </w14:textFill>
        </w:rPr>
        <w:t>补充以下条款</w:t>
      </w:r>
      <w:r>
        <w:rPr>
          <w:rFonts w:ascii="Tahoma" w:hAnsi="Tahoma" w:cs="Tahoma"/>
          <w:b/>
          <w:color w:val="000000" w:themeColor="text1"/>
          <w:szCs w:val="21"/>
          <w:highlight w:val="none"/>
          <w14:textFill>
            <w14:solidFill>
              <w14:schemeClr w14:val="tx1"/>
            </w14:solidFill>
          </w14:textFill>
        </w:rPr>
        <w:t>：</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（1）使用范围：仅适用于本招标文件中所叙述项目的货物采购及服务。  </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（2）定义：招标文件中下列术语应解释为： </w:t>
      </w:r>
    </w:p>
    <w:p>
      <w:pPr>
        <w:spacing w:line="340" w:lineRule="atLeast"/>
        <w:rPr>
          <w:rFonts w:ascii="宋体" w:hAnsi="宋体" w:cs="Tahoma"/>
          <w:color w:val="000000" w:themeColor="text1"/>
          <w:szCs w:val="21"/>
          <w:highlight w:val="none"/>
          <w14:textFill>
            <w14:solidFill>
              <w14:schemeClr w14:val="tx1"/>
            </w14:solidFill>
          </w14:textFill>
        </w:rPr>
      </w:pPr>
      <w:r>
        <w:rPr>
          <w:rFonts w:ascii="Tahoma" w:hAnsi="Tahoma" w:eastAsia="新宋体" w:cs="Tahoma"/>
          <w:color w:val="000000" w:themeColor="text1"/>
          <w:szCs w:val="21"/>
          <w:highlight w:val="none"/>
          <w14:textFill>
            <w14:solidFill>
              <w14:schemeClr w14:val="tx1"/>
            </w14:solidFill>
          </w14:textFill>
        </w:rPr>
        <w:t xml:space="preserve">    </w:t>
      </w:r>
      <w:r>
        <w:rPr>
          <w:rFonts w:ascii="宋体" w:hAnsi="宋体" w:cs="Tahoma"/>
          <w:color w:val="000000" w:themeColor="text1"/>
          <w:szCs w:val="21"/>
          <w:highlight w:val="none"/>
          <w14:textFill>
            <w14:solidFill>
              <w14:schemeClr w14:val="tx1"/>
            </w14:solidFill>
          </w14:textFill>
        </w:rPr>
        <w:t>“采购方”系指</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b/>
          <w:bCs/>
          <w:color w:val="000000" w:themeColor="text1"/>
          <w:szCs w:val="21"/>
          <w:highlight w:val="none"/>
          <w14:textFill>
            <w14:solidFill>
              <w14:schemeClr w14:val="tx1"/>
            </w14:solidFill>
          </w14:textFill>
        </w:rPr>
        <w:t>和田县人民医院</w:t>
      </w:r>
      <w:r>
        <w:rPr>
          <w:rFonts w:ascii="宋体" w:hAnsi="宋体" w:cs="Tahoma"/>
          <w:color w:val="000000" w:themeColor="text1"/>
          <w:szCs w:val="21"/>
          <w:highlight w:val="none"/>
          <w14:textFill>
            <w14:solidFill>
              <w14:schemeClr w14:val="tx1"/>
            </w14:solidFill>
          </w14:textFill>
        </w:rPr>
        <w:t>。</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“投标供应商”系指向采购方提交投标文件的制造商或供货商。  </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“货物”系指供方按合同要求，须向采购人提供的货物、材料、备品备件、工具、成套技术资料及手册等。   </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“服务”系指合同规定供方必须承担的货物</w:t>
      </w:r>
      <w:r>
        <w:rPr>
          <w:rFonts w:hint="eastAsia" w:ascii="宋体" w:hAnsi="宋体" w:cs="Tahoma"/>
          <w:color w:val="000000" w:themeColor="text1"/>
          <w:szCs w:val="21"/>
          <w:highlight w:val="none"/>
          <w14:textFill>
            <w14:solidFill>
              <w14:schemeClr w14:val="tx1"/>
            </w14:solidFill>
          </w14:textFill>
        </w:rPr>
        <w:t>运输配送</w:t>
      </w:r>
      <w:r>
        <w:rPr>
          <w:rFonts w:ascii="宋体" w:hAnsi="宋体" w:cs="Tahoma"/>
          <w:color w:val="000000" w:themeColor="text1"/>
          <w:szCs w:val="21"/>
          <w:highlight w:val="none"/>
          <w14:textFill>
            <w14:solidFill>
              <w14:schemeClr w14:val="tx1"/>
            </w14:solidFill>
          </w14:textFill>
        </w:rPr>
        <w:t xml:space="preserve">、安装、调试、技术指导及培训、售后服务以及其他类似的承诺义务。    </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“需方”系指在合同的采购人（甲方）项下签字的法人单位，即：采购方。  </w:t>
      </w:r>
    </w:p>
    <w:p>
      <w:pPr>
        <w:spacing w:line="340" w:lineRule="atLeast"/>
        <w:rPr>
          <w:rFonts w:ascii="宋体" w:hAnsi="宋体" w:cs="Tahoma"/>
          <w:color w:val="000000" w:themeColor="text1"/>
          <w:szCs w:val="21"/>
          <w:highlight w:val="none"/>
          <w14:textFill>
            <w14:solidFill>
              <w14:schemeClr w14:val="tx1"/>
            </w14:solidFill>
          </w14:textFill>
        </w:rPr>
      </w:pPr>
      <w:r>
        <w:rPr>
          <w:rFonts w:ascii="宋体" w:hAnsi="宋体" w:cs="Tahoma"/>
          <w:color w:val="000000" w:themeColor="text1"/>
          <w:szCs w:val="21"/>
          <w:highlight w:val="none"/>
          <w14:textFill>
            <w14:solidFill>
              <w14:schemeClr w14:val="tx1"/>
            </w14:solidFill>
          </w14:textFill>
        </w:rPr>
        <w:t xml:space="preserve">    “供方”系指被采购方确定为成交供应商并提供合同货物及服务的投标供应商。</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5、履约保证金</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5.4</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如需方与供方在合同中约定要求供方提供履约担保的，履约保证金的金额为人民币合同额的</w:t>
      </w:r>
      <w:r>
        <w:rPr>
          <w:rFonts w:ascii="Tahoma" w:hAnsi="Tahoma" w:cs="Tahoma"/>
          <w:color w:val="000000" w:themeColor="text1"/>
          <w:szCs w:val="21"/>
          <w:highlight w:val="none"/>
          <w:u w:val="single"/>
          <w14:textFill>
            <w14:solidFill>
              <w14:schemeClr w14:val="tx1"/>
            </w14:solidFill>
          </w14:textFill>
        </w:rPr>
        <w:t>10</w:t>
      </w:r>
      <w:r>
        <w:rPr>
          <w:rFonts w:ascii="Tahoma" w:hAnsi="Tahoma" w:cs="Tahoma"/>
          <w:color w:val="000000" w:themeColor="text1"/>
          <w:szCs w:val="21"/>
          <w:highlight w:val="none"/>
          <w14:textFill>
            <w14:solidFill>
              <w14:schemeClr w14:val="tx1"/>
            </w14:solidFill>
          </w14:textFill>
        </w:rPr>
        <w:t xml:space="preserve"> %。如合同另有约定的，则，从其约定。</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5.5</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履约保证金将以现金、银行（现金汇票/支票）的方式提交。</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6、</w:t>
      </w:r>
      <w:r>
        <w:rPr>
          <w:rFonts w:hint="eastAsia" w:ascii="Tahoma" w:hAnsi="Tahoma" w:eastAsia="黑体" w:cs="Tahoma"/>
          <w:b/>
          <w:color w:val="000000" w:themeColor="text1"/>
          <w:sz w:val="24"/>
          <w:highlight w:val="none"/>
          <w14:textFill>
            <w14:solidFill>
              <w14:schemeClr w14:val="tx1"/>
            </w14:solidFill>
          </w14:textFill>
        </w:rPr>
        <w:t>运输</w:t>
      </w:r>
      <w:r>
        <w:rPr>
          <w:rFonts w:ascii="Tahoma" w:hAnsi="Tahoma" w:eastAsia="黑体" w:cs="Tahoma"/>
          <w:b/>
          <w:color w:val="000000" w:themeColor="text1"/>
          <w:sz w:val="24"/>
          <w:highlight w:val="none"/>
          <w14:textFill>
            <w14:solidFill>
              <w14:schemeClr w14:val="tx1"/>
            </w14:solidFill>
          </w14:textFill>
        </w:rPr>
        <w:t>、</w:t>
      </w:r>
      <w:r>
        <w:rPr>
          <w:rFonts w:hint="eastAsia" w:ascii="Tahoma" w:hAnsi="Tahoma" w:eastAsia="黑体" w:cs="Tahoma"/>
          <w:b/>
          <w:color w:val="000000" w:themeColor="text1"/>
          <w:sz w:val="24"/>
          <w:highlight w:val="none"/>
          <w14:textFill>
            <w14:solidFill>
              <w14:schemeClr w14:val="tx1"/>
            </w14:solidFill>
          </w14:textFill>
        </w:rPr>
        <w:t>配送</w:t>
      </w:r>
      <w:r>
        <w:rPr>
          <w:rFonts w:ascii="Tahoma" w:hAnsi="Tahoma" w:eastAsia="黑体" w:cs="Tahoma"/>
          <w:b/>
          <w:color w:val="000000" w:themeColor="text1"/>
          <w:sz w:val="24"/>
          <w:highlight w:val="none"/>
          <w14:textFill>
            <w14:solidFill>
              <w14:schemeClr w14:val="tx1"/>
            </w14:solidFill>
          </w14:textFill>
        </w:rPr>
        <w:t>及检验、验收</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6.1</w:t>
      </w:r>
      <w:r>
        <w:rPr>
          <w:rFonts w:ascii="Tahoma" w:hAnsi="Tahoma" w:cs="Tahoma"/>
          <w:color w:val="000000" w:themeColor="text1"/>
          <w:szCs w:val="21"/>
          <w:highlight w:val="none"/>
          <w14:textFill>
            <w14:solidFill>
              <w14:schemeClr w14:val="tx1"/>
            </w14:solidFill>
          </w14:textFill>
        </w:rPr>
        <w:t>本款增加：</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需方对供方提交的货物依据招标文件上的技术规格要求和国家有关质量标准进行现场初步验收，数量、型号或规格、外观、说明书等符合招标文件技术要求的，给予签收，初步验收不合格的不予签收。货到后，需方在五个工作日内验收。</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（2）供方交货前应对产品作出全面检查和对验收文件进行整理，并列出清单，作为需方收货验收和使用的技术条件依据，检验的结果应随货物交供方。</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必须经国家认可的专业检测机构或质量检验、检测机构参与初步验收或最终验收的，应由需方、供方会同专业检测机构或质量检验、检测机构鉴定验收，验收合格后，并由其出具检测验收合格报告，其验收费用由乙方负责。</w:t>
      </w:r>
    </w:p>
    <w:p>
      <w:pPr>
        <w:spacing w:line="320" w:lineRule="exact"/>
        <w:rPr>
          <w:color w:val="000000" w:themeColor="text1"/>
          <w:highlight w:val="none"/>
          <w14:textFill>
            <w14:solidFill>
              <w14:schemeClr w14:val="tx1"/>
            </w14:solidFill>
          </w14:textFill>
        </w:rPr>
      </w:pPr>
      <w:r>
        <w:rPr>
          <w:rFonts w:hint="eastAsia" w:ascii="Tahoma" w:hAnsi="Tahoma" w:cs="Tahoma"/>
          <w:b w:val="0"/>
          <w:bCs/>
          <w:color w:val="000000" w:themeColor="text1"/>
          <w:szCs w:val="21"/>
          <w:highlight w:val="none"/>
          <w:lang w:val="en-US" w:eastAsia="zh-CN"/>
          <w14:textFill>
            <w14:solidFill>
              <w14:schemeClr w14:val="tx1"/>
            </w14:solidFill>
          </w14:textFill>
        </w:rPr>
        <w:t>6.2、</w:t>
      </w:r>
      <w:r>
        <w:rPr>
          <w:rFonts w:hint="eastAsia" w:ascii="Tahoma" w:hAnsi="Tahoma" w:cs="Tahoma"/>
          <w:b w:val="0"/>
          <w:bCs/>
          <w:color w:val="000000" w:themeColor="text1"/>
          <w:szCs w:val="21"/>
          <w:highlight w:val="none"/>
          <w14:textFill>
            <w14:solidFill>
              <w14:schemeClr w14:val="tx1"/>
            </w14:solidFill>
          </w14:textFill>
        </w:rPr>
        <w:t>验收</w:t>
      </w:r>
      <w:r>
        <w:rPr>
          <w:rFonts w:hint="eastAsia" w:ascii="Tahoma" w:hAnsi="Tahoma" w:cs="Tahoma"/>
          <w:b w:val="0"/>
          <w:bCs/>
          <w:color w:val="000000" w:themeColor="text1"/>
          <w:szCs w:val="21"/>
          <w:highlight w:val="none"/>
          <w:lang w:val="en-US" w:eastAsia="zh-CN"/>
          <w14:textFill>
            <w14:solidFill>
              <w14:schemeClr w14:val="tx1"/>
            </w14:solidFill>
          </w14:textFill>
        </w:rPr>
        <w:t>标准</w:t>
      </w:r>
      <w:r>
        <w:rPr>
          <w:rFonts w:hint="eastAsia" w:ascii="Tahoma" w:hAnsi="Tahoma" w:cs="Tahoma"/>
          <w:b w:val="0"/>
          <w:bCs/>
          <w:color w:val="000000" w:themeColor="text1"/>
          <w:szCs w:val="21"/>
          <w:highlight w:val="none"/>
          <w14:textFill>
            <w14:solidFill>
              <w14:schemeClr w14:val="tx1"/>
            </w14:solidFill>
          </w14:textFill>
        </w:rPr>
        <w:t>：</w:t>
      </w:r>
      <w:r>
        <w:rPr>
          <w:rFonts w:hint="eastAsia" w:ascii="Tahoma" w:hAnsi="Tahoma" w:cs="Tahoma"/>
          <w:b w:val="0"/>
          <w:bCs/>
          <w:color w:val="000000" w:themeColor="text1"/>
          <w:szCs w:val="21"/>
          <w:highlight w:val="none"/>
          <w:lang w:val="en-US" w:eastAsia="zh-CN"/>
          <w14:textFill>
            <w14:solidFill>
              <w14:schemeClr w14:val="tx1"/>
            </w14:solidFill>
          </w14:textFill>
        </w:rPr>
        <w:t>乙方交付搭软件平台及系统正式运行      日内，甲方组织相关人员参与培训、验收。</w:t>
      </w:r>
      <w:r>
        <w:rPr>
          <w:rFonts w:hint="eastAsia" w:ascii="Tahoma" w:hAnsi="Tahoma" w:cs="Tahoma"/>
          <w:b w:val="0"/>
          <w:bCs/>
          <w:color w:val="000000" w:themeColor="text1"/>
          <w:szCs w:val="21"/>
          <w:highlight w:val="none"/>
          <w14:textFill>
            <w14:solidFill>
              <w14:schemeClr w14:val="tx1"/>
            </w14:solidFill>
          </w14:textFill>
        </w:rPr>
        <w:t>在验收过程中，</w:t>
      </w:r>
      <w:r>
        <w:rPr>
          <w:rFonts w:hint="eastAsia" w:ascii="Tahoma" w:hAnsi="Tahoma" w:cs="Tahoma"/>
          <w:b w:val="0"/>
          <w:bCs/>
          <w:color w:val="000000" w:themeColor="text1"/>
          <w:szCs w:val="21"/>
          <w:highlight w:val="none"/>
          <w:lang w:val="en-US" w:eastAsia="zh-CN"/>
          <w14:textFill>
            <w14:solidFill>
              <w14:schemeClr w14:val="tx1"/>
            </w14:solidFill>
          </w14:textFill>
        </w:rPr>
        <w:t>软件系统以运行稳定、各类数据正确、满足经甲乙双方确认即为验收合格。</w:t>
      </w:r>
      <w:r>
        <w:rPr>
          <w:rFonts w:hint="eastAsia" w:ascii="Tahoma" w:hAnsi="Tahoma" w:cs="Tahoma"/>
          <w:b w:val="0"/>
          <w:bCs/>
          <w:color w:val="000000" w:themeColor="text1"/>
          <w:szCs w:val="21"/>
          <w:highlight w:val="none"/>
          <w14:textFill>
            <w14:solidFill>
              <w14:schemeClr w14:val="tx1"/>
            </w14:solidFill>
          </w14:textFill>
        </w:rPr>
        <w:t>因交付软件</w:t>
      </w:r>
      <w:r>
        <w:rPr>
          <w:rFonts w:hint="eastAsia" w:ascii="Tahoma" w:hAnsi="Tahoma" w:cs="Tahoma"/>
          <w:b w:val="0"/>
          <w:bCs/>
          <w:color w:val="000000" w:themeColor="text1"/>
          <w:szCs w:val="21"/>
          <w:highlight w:val="none"/>
          <w:lang w:val="en-US" w:eastAsia="zh-CN"/>
          <w14:textFill>
            <w14:solidFill>
              <w14:schemeClr w14:val="tx1"/>
            </w14:solidFill>
          </w14:textFill>
        </w:rPr>
        <w:t>平台</w:t>
      </w:r>
      <w:r>
        <w:rPr>
          <w:rFonts w:hint="eastAsia" w:ascii="Tahoma" w:hAnsi="Tahoma" w:cs="Tahoma"/>
          <w:b w:val="0"/>
          <w:bCs/>
          <w:color w:val="000000" w:themeColor="text1"/>
          <w:szCs w:val="21"/>
          <w:highlight w:val="none"/>
          <w14:textFill>
            <w14:solidFill>
              <w14:schemeClr w14:val="tx1"/>
            </w14:solidFill>
          </w14:textFill>
        </w:rPr>
        <w:t>的全部或部分不符合本合同约定等情形，乙方</w:t>
      </w:r>
      <w:r>
        <w:rPr>
          <w:rFonts w:hint="eastAsia" w:ascii="Tahoma" w:hAnsi="Tahoma" w:cs="Tahoma"/>
          <w:b w:val="0"/>
          <w:bCs/>
          <w:color w:val="000000" w:themeColor="text1"/>
          <w:szCs w:val="21"/>
          <w:highlight w:val="none"/>
          <w:lang w:val="en-US" w:eastAsia="zh-CN"/>
          <w14:textFill>
            <w14:solidFill>
              <w14:schemeClr w14:val="tx1"/>
            </w14:solidFill>
          </w14:textFill>
        </w:rPr>
        <w:t>应</w:t>
      </w:r>
      <w:r>
        <w:rPr>
          <w:rFonts w:hint="eastAsia" w:ascii="Tahoma" w:hAnsi="Tahoma" w:cs="Tahoma"/>
          <w:b w:val="0"/>
          <w:bCs/>
          <w:color w:val="000000" w:themeColor="text1"/>
          <w:szCs w:val="21"/>
          <w:highlight w:val="none"/>
          <w14:textFill>
            <w14:solidFill>
              <w14:schemeClr w14:val="tx1"/>
            </w14:solidFill>
          </w14:textFill>
        </w:rPr>
        <w:t>按甲方要求更换、补齐，</w:t>
      </w:r>
      <w:r>
        <w:rPr>
          <w:rFonts w:hint="eastAsia" w:ascii="Tahoma" w:hAnsi="Tahoma" w:cs="Tahoma"/>
          <w:b w:val="0"/>
          <w:bCs/>
          <w:color w:val="000000" w:themeColor="text1"/>
          <w:szCs w:val="21"/>
          <w:highlight w:val="none"/>
          <w:lang w:val="en-US" w:eastAsia="zh-CN"/>
          <w14:textFill>
            <w14:solidFill>
              <w14:schemeClr w14:val="tx1"/>
            </w14:solidFill>
          </w14:textFill>
        </w:rPr>
        <w:t>整改、</w:t>
      </w:r>
      <w:r>
        <w:rPr>
          <w:rFonts w:hint="eastAsia" w:ascii="Tahoma" w:hAnsi="Tahoma" w:cs="Tahoma"/>
          <w:b w:val="0"/>
          <w:bCs/>
          <w:color w:val="000000" w:themeColor="text1"/>
          <w:szCs w:val="21"/>
          <w:highlight w:val="none"/>
          <w14:textFill>
            <w14:solidFill>
              <w14:schemeClr w14:val="tx1"/>
            </w14:solidFill>
          </w14:textFill>
        </w:rPr>
        <w:t>确保所交付的货物符合合同约定，否则甲方可以拒绝接受该货物或终止本合同，由此给甲方造成的损失由乙方赔偿。乙方向甲方提供货物安装、运行、使用、测试、诊断和维修的技术文档，提供所购货物的用户手册等。</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7、包装</w:t>
      </w:r>
    </w:p>
    <w:p>
      <w:pPr>
        <w:spacing w:line="340" w:lineRule="atLeas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7.3</w:t>
      </w:r>
      <w:r>
        <w:rPr>
          <w:rFonts w:ascii="Tahoma" w:hAnsi="Tahoma" w:cs="Tahoma"/>
          <w:color w:val="000000" w:themeColor="text1"/>
          <w:szCs w:val="21"/>
          <w:highlight w:val="none"/>
          <w14:textFill>
            <w14:solidFill>
              <w14:schemeClr w14:val="tx1"/>
            </w14:solidFill>
          </w14:textFill>
        </w:rPr>
        <w:t xml:space="preserve"> 供方交付运输的所有合同货物应具有适合长途运输、多次搬运、装卸的坚固包装，并按合同货物的特点和需要，具有防潮、防雨、防锈、防震、防腐蚀、暴露于高温、高盐和降雨等恶劣环境以及露天存放等保护措施，以保证合同货物不受损坏。因包装不良引起合同货物损坏或丢失，供方应负全部责任。</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7.5</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对松散的附件，包装或捆装时供方应注明合同号、主货物名称、附件名称。对备品、备件和工具除上述内容外还应注明备品、备件或工具。</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7.6</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以上提到内容对裸装合同货物供方应用金属标签注明。如有大件，应提供足够的支柱和垫木，并应满足国家或行业对运输大件物品的要求。</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7.7</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供方应将下列文件随同合同货物在包装箱内一起交付：</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（1）详细货物清单</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（2）质量合格证书</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7.8</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供方每箱中应附有一份技术文件清单，注明技术文件名称和页数。交运的技术文件应</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具有适合长途运输、多次搬运、装卸的坚固包装，并具有防潮、防雨、防腐蚀等保护措施，保证技术文件完好完整的提供需方。</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7.9</w:t>
      </w:r>
      <w:r>
        <w:rPr>
          <w:rFonts w:ascii="Tahoma" w:hAnsi="Tahoma" w:cs="Tahoma"/>
          <w:color w:val="000000" w:themeColor="text1"/>
          <w:szCs w:val="21"/>
          <w:highlight w:val="none"/>
          <w14:textFill>
            <w14:solidFill>
              <w14:schemeClr w14:val="tx1"/>
            </w14:solidFill>
          </w14:textFill>
        </w:rPr>
        <w:t xml:space="preserve"> 包装、标记和包装箱内外的单据应严格符合合同的特殊要求，包括专用条款规定的要求以及与需方签约后发出的指示。</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8、交货（发运）和单据</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8.1</w:t>
      </w:r>
      <w:r>
        <w:rPr>
          <w:rFonts w:ascii="Tahoma" w:hAnsi="Tahoma" w:cs="Tahoma"/>
          <w:color w:val="000000" w:themeColor="text1"/>
          <w:szCs w:val="21"/>
          <w:highlight w:val="none"/>
          <w14:textFill>
            <w14:solidFill>
              <w14:schemeClr w14:val="tx1"/>
            </w14:solidFill>
          </w14:textFill>
        </w:rPr>
        <w:t>供方负责在本合同及附件所规定的交货期内，完成全部合同货物及技术文件发运、装卸任务，到达的日期以需方签收的日期为准。</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8.2</w:t>
      </w:r>
      <w:r>
        <w:rPr>
          <w:rFonts w:ascii="Tahoma" w:hAnsi="Tahoma" w:cs="Tahoma"/>
          <w:color w:val="000000" w:themeColor="text1"/>
          <w:szCs w:val="21"/>
          <w:highlight w:val="none"/>
          <w14:textFill>
            <w14:solidFill>
              <w14:schemeClr w14:val="tx1"/>
            </w14:solidFill>
          </w14:textFill>
        </w:rPr>
        <w:t>供方提供的技术文件应是中文，单位为公制。如技术文件有缺少、丢失或损坏，供方接需方通知后</w:t>
      </w:r>
      <w:r>
        <w:rPr>
          <w:rFonts w:ascii="Tahoma" w:hAnsi="Tahoma" w:cs="Tahoma"/>
          <w:color w:val="000000" w:themeColor="text1"/>
          <w:szCs w:val="21"/>
          <w:highlight w:val="none"/>
          <w:u w:val="single"/>
          <w14:textFill>
            <w14:solidFill>
              <w14:schemeClr w14:val="tx1"/>
            </w14:solidFill>
          </w14:textFill>
        </w:rPr>
        <w:t>7</w:t>
      </w:r>
      <w:r>
        <w:rPr>
          <w:rFonts w:ascii="Tahoma" w:hAnsi="Tahoma" w:cs="Tahoma"/>
          <w:color w:val="000000" w:themeColor="text1"/>
          <w:szCs w:val="21"/>
          <w:highlight w:val="none"/>
          <w14:textFill>
            <w14:solidFill>
              <w14:schemeClr w14:val="tx1"/>
            </w14:solidFill>
          </w14:textFill>
        </w:rPr>
        <w:t>日内补发，费用由供方负担。</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8.3</w:t>
      </w:r>
      <w:r>
        <w:rPr>
          <w:rFonts w:ascii="Tahoma" w:hAnsi="Tahoma" w:cs="Tahoma"/>
          <w:color w:val="000000" w:themeColor="text1"/>
          <w:szCs w:val="21"/>
          <w:highlight w:val="none"/>
          <w14:textFill>
            <w14:solidFill>
              <w14:schemeClr w14:val="tx1"/>
            </w14:solidFill>
          </w14:textFill>
        </w:rPr>
        <w:t>供方负责安排合同货物从供方厂家至目的地的运输工作、包括特殊安装工具、安装材料、和随货物备品配件等。</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8.4</w:t>
      </w:r>
      <w:r>
        <w:rPr>
          <w:rFonts w:ascii="Tahoma" w:hAnsi="Tahoma" w:cs="Tahoma"/>
          <w:color w:val="000000" w:themeColor="text1"/>
          <w:szCs w:val="21"/>
          <w:highlight w:val="none"/>
          <w14:textFill>
            <w14:solidFill>
              <w14:schemeClr w14:val="tx1"/>
            </w14:solidFill>
          </w14:textFill>
        </w:rPr>
        <w:t>供方应根据本合同规定的交货日期，提前</w:t>
      </w:r>
      <w:r>
        <w:rPr>
          <w:rFonts w:ascii="Tahoma" w:hAnsi="Tahoma" w:cs="Tahoma"/>
          <w:color w:val="000000" w:themeColor="text1"/>
          <w:szCs w:val="21"/>
          <w:highlight w:val="none"/>
          <w:u w:val="single"/>
          <w14:textFill>
            <w14:solidFill>
              <w14:schemeClr w14:val="tx1"/>
            </w14:solidFill>
          </w14:textFill>
        </w:rPr>
        <w:t>10</w:t>
      </w:r>
      <w:r>
        <w:rPr>
          <w:rFonts w:ascii="Tahoma" w:hAnsi="Tahoma" w:cs="Tahoma"/>
          <w:color w:val="000000" w:themeColor="text1"/>
          <w:szCs w:val="21"/>
          <w:highlight w:val="none"/>
          <w14:textFill>
            <w14:solidFill>
              <w14:schemeClr w14:val="tx1"/>
            </w14:solidFill>
          </w14:textFill>
        </w:rPr>
        <w:t>日通过传真方式或电子邮件通知供方计划发运日期、计划到达日期、目的地、货物名称、数量和其它事项。</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8.5</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如果包装箱重量超过</w:t>
      </w:r>
      <w:r>
        <w:rPr>
          <w:rFonts w:ascii="Tahoma" w:hAnsi="Tahoma" w:cs="Tahoma"/>
          <w:color w:val="000000" w:themeColor="text1"/>
          <w:szCs w:val="21"/>
          <w:highlight w:val="none"/>
          <w:u w:val="single"/>
          <w14:textFill>
            <w14:solidFill>
              <w14:schemeClr w14:val="tx1"/>
            </w14:solidFill>
          </w14:textFill>
        </w:rPr>
        <w:t xml:space="preserve"> （交通运管部门的规定）   </w:t>
      </w:r>
      <w:r>
        <w:rPr>
          <w:rFonts w:ascii="Tahoma" w:hAnsi="Tahoma" w:cs="Tahoma"/>
          <w:color w:val="000000" w:themeColor="text1"/>
          <w:szCs w:val="21"/>
          <w:highlight w:val="none"/>
          <w14:textFill>
            <w14:solidFill>
              <w14:schemeClr w14:val="tx1"/>
            </w14:solidFill>
          </w14:textFill>
        </w:rPr>
        <w:t>吨、或长度超过</w:t>
      </w:r>
      <w:r>
        <w:rPr>
          <w:rFonts w:ascii="Tahoma" w:hAnsi="Tahoma" w:cs="Tahoma"/>
          <w:color w:val="000000" w:themeColor="text1"/>
          <w:szCs w:val="21"/>
          <w:highlight w:val="none"/>
          <w:u w:val="single"/>
          <w14:textFill>
            <w14:solidFill>
              <w14:schemeClr w14:val="tx1"/>
            </w14:solidFill>
          </w14:textFill>
        </w:rPr>
        <w:t xml:space="preserve"> （交通运管部门的规定）   </w:t>
      </w:r>
      <w:r>
        <w:rPr>
          <w:rFonts w:ascii="Tahoma" w:hAnsi="Tahoma" w:cs="Tahoma"/>
          <w:color w:val="000000" w:themeColor="text1"/>
          <w:szCs w:val="21"/>
          <w:highlight w:val="none"/>
          <w14:textFill>
            <w14:solidFill>
              <w14:schemeClr w14:val="tx1"/>
            </w14:solidFill>
          </w14:textFill>
        </w:rPr>
        <w:t>米，或宽度超过</w:t>
      </w:r>
      <w:r>
        <w:rPr>
          <w:rFonts w:ascii="Tahoma" w:hAnsi="Tahoma" w:cs="Tahoma"/>
          <w:color w:val="000000" w:themeColor="text1"/>
          <w:szCs w:val="21"/>
          <w:highlight w:val="none"/>
          <w:u w:val="single"/>
          <w14:textFill>
            <w14:solidFill>
              <w14:schemeClr w14:val="tx1"/>
            </w14:solidFill>
          </w14:textFill>
        </w:rPr>
        <w:t xml:space="preserve"> （交通运管部门的规定）   </w:t>
      </w:r>
      <w:r>
        <w:rPr>
          <w:rFonts w:ascii="Tahoma" w:hAnsi="Tahoma" w:cs="Tahoma"/>
          <w:color w:val="000000" w:themeColor="text1"/>
          <w:szCs w:val="21"/>
          <w:highlight w:val="none"/>
          <w14:textFill>
            <w14:solidFill>
              <w14:schemeClr w14:val="tx1"/>
            </w14:solidFill>
          </w14:textFill>
        </w:rPr>
        <w:t>米， 或高度超过</w:t>
      </w:r>
      <w:r>
        <w:rPr>
          <w:rFonts w:ascii="Tahoma" w:hAnsi="Tahoma" w:cs="Tahoma"/>
          <w:color w:val="000000" w:themeColor="text1"/>
          <w:szCs w:val="21"/>
          <w:highlight w:val="none"/>
          <w:u w:val="single"/>
          <w14:textFill>
            <w14:solidFill>
              <w14:schemeClr w14:val="tx1"/>
            </w14:solidFill>
          </w14:textFill>
        </w:rPr>
        <w:t xml:space="preserve"> （交通运管部门的规定）   </w:t>
      </w:r>
      <w:r>
        <w:rPr>
          <w:rFonts w:ascii="Tahoma" w:hAnsi="Tahoma" w:cs="Tahoma"/>
          <w:color w:val="000000" w:themeColor="text1"/>
          <w:szCs w:val="21"/>
          <w:highlight w:val="none"/>
          <w14:textFill>
            <w14:solidFill>
              <w14:schemeClr w14:val="tx1"/>
            </w14:solidFill>
          </w14:textFill>
        </w:rPr>
        <w:t>米，或特殊形状的包装，承包人有责任提前</w:t>
      </w:r>
      <w:r>
        <w:rPr>
          <w:rFonts w:ascii="Tahoma" w:hAnsi="Tahoma" w:cs="Tahoma"/>
          <w:color w:val="000000" w:themeColor="text1"/>
          <w:szCs w:val="21"/>
          <w:highlight w:val="none"/>
          <w:u w:val="single"/>
          <w14:textFill>
            <w14:solidFill>
              <w14:schemeClr w14:val="tx1"/>
            </w14:solidFill>
          </w14:textFill>
        </w:rPr>
        <w:t>10</w:t>
      </w:r>
      <w:r>
        <w:rPr>
          <w:rFonts w:ascii="Tahoma" w:hAnsi="Tahoma" w:cs="Tahoma"/>
          <w:color w:val="000000" w:themeColor="text1"/>
          <w:szCs w:val="21"/>
          <w:highlight w:val="none"/>
          <w14:textFill>
            <w14:solidFill>
              <w14:schemeClr w14:val="tx1"/>
            </w14:solidFill>
          </w14:textFill>
        </w:rPr>
        <w:t>日给需方及随车提供一份该货物包装的详细尺寸图，注明重心和起吊点，以便在合同货物到达后安排货物的卸车和存放，其费用由供方承担。</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8.6</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如果合同货物中有易燃品或危险品，承包人应提前</w:t>
      </w:r>
      <w:r>
        <w:rPr>
          <w:rFonts w:ascii="Tahoma" w:hAnsi="Tahoma" w:cs="Tahoma"/>
          <w:color w:val="000000" w:themeColor="text1"/>
          <w:szCs w:val="21"/>
          <w:highlight w:val="none"/>
          <w:u w:val="single"/>
          <w14:textFill>
            <w14:solidFill>
              <w14:schemeClr w14:val="tx1"/>
            </w14:solidFill>
          </w14:textFill>
        </w:rPr>
        <w:t xml:space="preserve"> 5</w:t>
      </w:r>
      <w:r>
        <w:rPr>
          <w:rFonts w:ascii="Tahoma" w:hAnsi="Tahoma" w:cs="Tahoma"/>
          <w:color w:val="000000" w:themeColor="text1"/>
          <w:szCs w:val="21"/>
          <w:highlight w:val="none"/>
          <w14:textFill>
            <w14:solidFill>
              <w14:schemeClr w14:val="tx1"/>
            </w14:solidFill>
          </w14:textFill>
        </w:rPr>
        <w:t>日通知需方，说明货物名称、特征、防止事故发生的办法和事故发生后的处理方法。</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8.7</w:t>
      </w:r>
      <w:r>
        <w:rPr>
          <w:rFonts w:ascii="Tahoma" w:hAnsi="Tahoma"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供方有责任发运全部生效合同货物，包括特殊安装工具、安装材料和随机备品配件。</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8.8</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如因供方原因，合同货物需要补充或更换，供方有责任将所需货物发运至项目现场，并承担一切风险和费用。</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8.9</w:t>
      </w:r>
      <w:r>
        <w:rPr>
          <w:rFonts w:ascii="Tahoma" w:hAnsi="Tahoma" w:eastAsia="黑体" w:cs="Tahoma"/>
          <w:b/>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在合同货物运输过程中，由于供方原因引起合同货物丢失或损坏，由供方向有关保险部门要求保险赔偿。供方有责任尽快重新供应或修理丢失或损坏的合同货物，因此发生的费用由承包人负担。</w:t>
      </w:r>
      <w:bookmarkStart w:id="24" w:name="_Toc184635104"/>
    </w:p>
    <w:bookmarkEnd w:id="24"/>
    <w:p>
      <w:pPr>
        <w:spacing w:line="340" w:lineRule="atLeas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8.10</w:t>
      </w:r>
      <w:r>
        <w:rPr>
          <w:rFonts w:ascii="Tahoma" w:hAnsi="Tahoma" w:eastAsia="新宋体" w:cs="Tahoma"/>
          <w:color w:val="000000" w:themeColor="text1"/>
          <w:szCs w:val="21"/>
          <w:highlight w:val="none"/>
          <w14:textFill>
            <w14:solidFill>
              <w14:schemeClr w14:val="tx1"/>
            </w14:solidFill>
          </w14:textFill>
        </w:rPr>
        <w:t>需方应根据合同项目的需要，负责办理取得出入目的场地的专用或临时道路的通行权，</w:t>
      </w:r>
      <w:r>
        <w:rPr>
          <w:rFonts w:ascii="Tahoma" w:hAnsi="Tahoma" w:cs="Tahoma"/>
          <w:color w:val="000000" w:themeColor="text1"/>
          <w:szCs w:val="21"/>
          <w:highlight w:val="none"/>
          <w14:textFill>
            <w14:solidFill>
              <w14:schemeClr w14:val="tx1"/>
            </w14:solidFill>
          </w14:textFill>
        </w:rPr>
        <w:t>供方</w:t>
      </w:r>
      <w:r>
        <w:rPr>
          <w:rFonts w:ascii="Tahoma" w:hAnsi="Tahoma" w:eastAsia="新宋体" w:cs="Tahoma"/>
          <w:color w:val="000000" w:themeColor="text1"/>
          <w:szCs w:val="21"/>
          <w:highlight w:val="none"/>
          <w14:textFill>
            <w14:solidFill>
              <w14:schemeClr w14:val="tx1"/>
            </w14:solidFill>
          </w14:textFill>
        </w:rPr>
        <w:t>应协助采购人办理上述手续。</w:t>
      </w:r>
    </w:p>
    <w:p>
      <w:pPr>
        <w:spacing w:line="340" w:lineRule="atLeast"/>
        <w:rPr>
          <w:rFonts w:ascii="Tahoma" w:hAnsi="Tahoma" w:eastAsia="新宋体" w:cs="Tahoma"/>
          <w:b/>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 xml:space="preserve">8.11 </w:t>
      </w:r>
      <w:r>
        <w:rPr>
          <w:rFonts w:ascii="Tahoma" w:hAnsi="Tahoma" w:eastAsia="新宋体" w:cs="Tahoma"/>
          <w:color w:val="000000" w:themeColor="text1"/>
          <w:szCs w:val="21"/>
          <w:highlight w:val="none"/>
          <w14:textFill>
            <w14:solidFill>
              <w14:schemeClr w14:val="tx1"/>
            </w14:solidFill>
          </w14:textFill>
        </w:rPr>
        <w:t>供方运输车辆行驶所需的场外公共道路的通行费、过路费和税款等由承包人承担。</w:t>
      </w:r>
    </w:p>
    <w:p>
      <w:pPr>
        <w:spacing w:line="340" w:lineRule="atLeast"/>
        <w:rPr>
          <w:rFonts w:ascii="Tahoma" w:hAnsi="Tahoma" w:eastAsia="新宋体" w:cs="Tahoma"/>
          <w:color w:val="000000" w:themeColor="text1"/>
          <w:szCs w:val="21"/>
          <w:highlight w:val="none"/>
          <w14:textFill>
            <w14:solidFill>
              <w14:schemeClr w14:val="tx1"/>
            </w14:solidFill>
          </w14:textFill>
        </w:rPr>
      </w:pPr>
      <w:r>
        <w:rPr>
          <w:rFonts w:ascii="Tahoma" w:hAnsi="Tahoma" w:eastAsia="新宋体" w:cs="Tahoma"/>
          <w:b/>
          <w:color w:val="000000" w:themeColor="text1"/>
          <w:szCs w:val="21"/>
          <w:highlight w:val="none"/>
          <w14:textFill>
            <w14:solidFill>
              <w14:schemeClr w14:val="tx1"/>
            </w14:solidFill>
          </w14:textFill>
        </w:rPr>
        <w:t>8.12</w:t>
      </w:r>
      <w:r>
        <w:rPr>
          <w:rFonts w:ascii="Tahoma" w:hAnsi="Tahoma" w:eastAsia="新宋体" w:cs="Tahoma"/>
          <w:color w:val="000000" w:themeColor="text1"/>
          <w:szCs w:val="21"/>
          <w:highlight w:val="none"/>
          <w14:textFill>
            <w14:solidFill>
              <w14:schemeClr w14:val="tx1"/>
            </w14:solidFill>
          </w14:textFill>
        </w:rPr>
        <w:t xml:space="preserve"> 供方运输车辆和人员应遵守有关交通法规，严格按照道路和桥梁的限制荷重安全行驶，并服从交通管理部门的检查和监督。由供方负责运输的超大件或超重件，应由供方负责向交通管理部门办理有关手续。运输超大件或超重件所需的道路和桥梁临时加固改造费用和其他有关费用，由供方承担。因供方运输造成施工场地内外公共道路和桥梁损坏的，由供方承担修复损坏的全部费用和可能引起的赔偿。</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8.13</w:t>
      </w:r>
      <w:r>
        <w:rPr>
          <w:rFonts w:ascii="Tahoma" w:hAnsi="Tahoma" w:cs="Tahoma"/>
          <w:color w:val="000000" w:themeColor="text1"/>
          <w:szCs w:val="21"/>
          <w:highlight w:val="none"/>
          <w14:textFill>
            <w14:solidFill>
              <w14:schemeClr w14:val="tx1"/>
            </w14:solidFill>
          </w14:textFill>
        </w:rPr>
        <w:t>货物在交付需方前发生的风险均由供方负责。</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11、保证</w:t>
      </w:r>
    </w:p>
    <w:p>
      <w:pPr>
        <w:pStyle w:val="13"/>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11.1</w:t>
      </w:r>
      <w:r>
        <w:rPr>
          <w:rFonts w:ascii="Tahoma" w:hAnsi="Tahoma" w:cs="Tahoma"/>
          <w:color w:val="000000" w:themeColor="text1"/>
          <w:szCs w:val="21"/>
          <w:highlight w:val="none"/>
          <w14:textFill>
            <w14:solidFill>
              <w14:schemeClr w14:val="tx1"/>
            </w14:solidFill>
          </w14:textFill>
        </w:rPr>
        <w:t>供方应保证提供的货物：</w:t>
      </w:r>
    </w:p>
    <w:p>
      <w:pPr>
        <w:pStyle w:val="13"/>
        <w:numPr>
          <w:ilvl w:val="0"/>
          <w:numId w:val="4"/>
        </w:num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符合国家有关部门颁发的产品正常使用条件（环境温度、相对湿度、材料的物理力学性能）等。</w:t>
      </w:r>
    </w:p>
    <w:p>
      <w:pPr>
        <w:pStyle w:val="13"/>
        <w:numPr>
          <w:ilvl w:val="0"/>
          <w:numId w:val="4"/>
        </w:numPr>
        <w:spacing w:line="340" w:lineRule="atLeas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乙方应保证，甲方在中华人民共和国使用本合同约定的软件或软件的一部分时，免于遭受第三方就知识产权（包括但不限于专利权、商标权、著作权及非专利技术）提起的诉讼、仲裁或任何请求。</w:t>
      </w:r>
    </w:p>
    <w:p>
      <w:pPr>
        <w:pStyle w:val="13"/>
        <w:numPr>
          <w:ilvl w:val="0"/>
          <w:numId w:val="4"/>
        </w:numPr>
        <w:spacing w:line="340" w:lineRule="atLeas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lang w:val="en-US" w:eastAsia="zh-CN"/>
          <w14:textFill>
            <w14:solidFill>
              <w14:schemeClr w14:val="tx1"/>
            </w14:solidFill>
          </w14:textFill>
        </w:rPr>
        <w:t>乙方保证</w:t>
      </w:r>
      <w:r>
        <w:rPr>
          <w:rFonts w:hint="eastAsia" w:ascii="Tahoma" w:hAnsi="Tahoma" w:cs="Tahoma"/>
          <w:color w:val="000000" w:themeColor="text1"/>
          <w:szCs w:val="21"/>
          <w:highlight w:val="none"/>
          <w14:textFill>
            <w14:solidFill>
              <w14:schemeClr w14:val="tx1"/>
            </w14:solidFill>
          </w14:textFill>
        </w:rPr>
        <w:t>非经甲方事先书面同意，乙方不得将甲方在本合同签署及履行过程中</w:t>
      </w:r>
      <w:r>
        <w:rPr>
          <w:rFonts w:hint="eastAsia" w:ascii="Tahoma" w:hAnsi="Tahoma" w:cs="Tahoma"/>
          <w:color w:val="000000" w:themeColor="text1"/>
          <w:szCs w:val="21"/>
          <w:highlight w:val="none"/>
          <w:lang w:val="en-US" w:eastAsia="zh-CN"/>
          <w14:textFill>
            <w14:solidFill>
              <w14:schemeClr w14:val="tx1"/>
            </w14:solidFill>
          </w14:textFill>
        </w:rPr>
        <w:t>获得的甲方信息</w:t>
      </w:r>
      <w:r>
        <w:rPr>
          <w:rFonts w:hint="eastAsia" w:ascii="Tahoma" w:hAnsi="Tahoma" w:cs="Tahoma"/>
          <w:color w:val="000000" w:themeColor="text1"/>
          <w:szCs w:val="21"/>
          <w:highlight w:val="none"/>
          <w14:textFill>
            <w14:solidFill>
              <w14:schemeClr w14:val="tx1"/>
            </w14:solidFill>
          </w14:textFill>
        </w:rPr>
        <w:t>披露给任何第三人；乙方向与执行本合同的有关人员提供上述文件时，应保证有关人员遵守保密义务；由于乙方原因或人员引起泄密而造成甲方损失的，由乙方赔偿全部损失。</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14、付款</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14.3</w:t>
      </w:r>
      <w:r>
        <w:rPr>
          <w:rFonts w:ascii="Tahoma" w:hAnsi="Tahoma" w:cs="Tahoma"/>
          <w:color w:val="000000" w:themeColor="text1"/>
          <w:szCs w:val="21"/>
          <w:highlight w:val="none"/>
          <w14:textFill>
            <w14:solidFill>
              <w14:schemeClr w14:val="tx1"/>
            </w14:solidFill>
          </w14:textFill>
        </w:rPr>
        <w:t>本款增加：需方负责根据14.4项付款比例和条件将合同价款项通过银行电汇或需方与供方在合同中约定的方式支付供方</w:t>
      </w:r>
    </w:p>
    <w:p>
      <w:pPr>
        <w:tabs>
          <w:tab w:val="left" w:pos="900"/>
        </w:tabs>
        <w:snapToGrid w:val="0"/>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14.4</w:t>
      </w:r>
      <w:r>
        <w:rPr>
          <w:rFonts w:ascii="Tahoma" w:hAnsi="Tahoma" w:cs="Tahoma"/>
          <w:color w:val="000000" w:themeColor="text1"/>
          <w:szCs w:val="21"/>
          <w:highlight w:val="none"/>
          <w14:textFill>
            <w14:solidFill>
              <w14:schemeClr w14:val="tx1"/>
            </w14:solidFill>
          </w14:textFill>
        </w:rPr>
        <w:t>本款增加：</w:t>
      </w:r>
      <w:r>
        <w:rPr>
          <w:rFonts w:ascii="Tahoma" w:hAnsi="Tahoma" w:cs="Tahoma"/>
          <w:bCs/>
          <w:color w:val="000000" w:themeColor="text1"/>
          <w:szCs w:val="21"/>
          <w:highlight w:val="none"/>
          <w14:textFill>
            <w14:solidFill>
              <w14:schemeClr w14:val="tx1"/>
            </w14:solidFill>
          </w14:textFill>
        </w:rPr>
        <w:t>供方</w:t>
      </w:r>
      <w:r>
        <w:rPr>
          <w:rFonts w:ascii="Tahoma" w:hAnsi="Tahoma" w:cs="Tahoma"/>
          <w:color w:val="000000" w:themeColor="text1"/>
          <w:szCs w:val="21"/>
          <w:highlight w:val="none"/>
          <w14:textFill>
            <w14:solidFill>
              <w14:schemeClr w14:val="tx1"/>
            </w14:solidFill>
          </w14:textFill>
        </w:rPr>
        <w:t>与供应商签订合同，合同生效后，在供方向需方提出支付申请后的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个工作日内支付，本采购项目合同价款的支付方式为：</w:t>
      </w:r>
      <w:r>
        <w:rPr>
          <w:rFonts w:ascii="Tahoma" w:hAnsi="Tahoma" w:cs="Tahoma"/>
          <w:bCs/>
          <w:color w:val="000000" w:themeColor="text1"/>
          <w:szCs w:val="21"/>
          <w:highlight w:val="none"/>
          <w14:textFill>
            <w14:solidFill>
              <w14:schemeClr w14:val="tx1"/>
            </w14:solidFill>
          </w14:textFill>
        </w:rPr>
        <w:t>供方</w:t>
      </w:r>
      <w:r>
        <w:rPr>
          <w:rFonts w:ascii="Tahoma" w:hAnsi="Tahoma" w:cs="Tahoma"/>
          <w:color w:val="000000" w:themeColor="text1"/>
          <w:szCs w:val="21"/>
          <w:highlight w:val="none"/>
          <w14:textFill>
            <w14:solidFill>
              <w14:schemeClr w14:val="tx1"/>
            </w14:solidFill>
          </w14:textFill>
        </w:rPr>
        <w:t>与中标单位签订合同，经批准合同生效后，按合同约定的支付方式进行支付，可能存在延期支付，供方需承担延期支付的风险，敬请各供应商注意！</w:t>
      </w:r>
    </w:p>
    <w:p>
      <w:pPr>
        <w:tabs>
          <w:tab w:val="left" w:pos="900"/>
        </w:tabs>
        <w:snapToGrid w:val="0"/>
        <w:spacing w:line="3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如合同另有约定的，则从其约定。</w:t>
      </w:r>
    </w:p>
    <w:p>
      <w:pPr>
        <w:spacing w:line="340" w:lineRule="atLeas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若资金未到位有可能由供方垫资的</w:t>
      </w:r>
      <w:r>
        <w:rPr>
          <w:rFonts w:ascii="Tahoma" w:hAnsi="Tahoma" w:cs="Tahoma"/>
          <w:color w:val="000000" w:themeColor="text1"/>
          <w:szCs w:val="21"/>
          <w:highlight w:val="none"/>
          <w14:textFill>
            <w14:solidFill>
              <w14:schemeClr w14:val="tx1"/>
            </w14:solidFill>
          </w14:textFill>
        </w:rPr>
        <w:t>需方与供方在合同中另行约定。</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14.5</w:t>
      </w:r>
      <w:r>
        <w:rPr>
          <w:rFonts w:ascii="Tahoma" w:hAnsi="Tahoma" w:cs="Tahoma"/>
          <w:color w:val="000000" w:themeColor="text1"/>
          <w:szCs w:val="21"/>
          <w:highlight w:val="none"/>
          <w14:textFill>
            <w14:solidFill>
              <w14:schemeClr w14:val="tx1"/>
            </w14:solidFill>
          </w14:textFill>
        </w:rPr>
        <w:t>由于供方原因发生的银行费用全部由供方承担，由于需方发生的银行费用全部由需方承担。</w:t>
      </w:r>
    </w:p>
    <w:p>
      <w:pPr>
        <w:spacing w:line="340" w:lineRule="atLeast"/>
        <w:rPr>
          <w:color w:val="000000" w:themeColor="text1"/>
          <w:highlight w:val="none"/>
          <w14:textFill>
            <w14:solidFill>
              <w14:schemeClr w14:val="tx1"/>
            </w14:solidFill>
          </w14:textFill>
        </w:rPr>
      </w:pPr>
      <w:r>
        <w:rPr>
          <w:rFonts w:hint="eastAsia" w:ascii="Tahoma" w:hAnsi="Tahoma" w:cs="Tahoma"/>
          <w:b w:val="0"/>
          <w:bCs/>
          <w:color w:val="000000" w:themeColor="text1"/>
          <w:szCs w:val="21"/>
          <w:highlight w:val="none"/>
          <w:lang w:val="en-US" w:eastAsia="zh-CN"/>
          <w14:textFill>
            <w14:solidFill>
              <w14:schemeClr w14:val="tx1"/>
            </w14:solidFill>
          </w14:textFill>
        </w:rPr>
        <w:t>14.6</w:t>
      </w:r>
      <w:r>
        <w:rPr>
          <w:rFonts w:hint="eastAsia" w:ascii="Tahoma" w:hAnsi="Tahoma" w:cs="Tahoma"/>
          <w:b w:val="0"/>
          <w:bCs/>
          <w:color w:val="000000" w:themeColor="text1"/>
          <w:szCs w:val="21"/>
          <w:highlight w:val="none"/>
          <w:lang w:eastAsia="zh-CN"/>
          <w14:textFill>
            <w14:solidFill>
              <w14:schemeClr w14:val="tx1"/>
            </w14:solidFill>
          </w14:textFill>
        </w:rPr>
        <w:t xml:space="preserve">甲方支付上述任何一笔款项前，乙方应提供符合甲方财务做账要求的正规发票，否则，甲方有权拒付款项且不承担违约责任。    </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16、变更指令和合同修改</w:t>
      </w:r>
    </w:p>
    <w:p>
      <w:pPr>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16.1</w:t>
      </w:r>
      <w:r>
        <w:rPr>
          <w:rFonts w:ascii="Tahoma" w:hAnsi="Tahoma" w:cs="Tahoma"/>
          <w:color w:val="000000" w:themeColor="text1"/>
          <w:szCs w:val="21"/>
          <w:highlight w:val="none"/>
          <w14:textFill>
            <w14:solidFill>
              <w14:schemeClr w14:val="tx1"/>
            </w14:solidFill>
          </w14:textFill>
        </w:rPr>
        <w:t>本款增加：</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采购人可以在任何时候可以根据项目实施的具体情况，就采购设备（或产品）数量的减少书面向供应商发出指令，但前提条件是：应在不改变合同其他条款的前提下，并在采购人要求供应商提供采购设备（或产品）供货的7天前书面通知供应商，以免对供应商造成不必要的损失。</w:t>
      </w:r>
    </w:p>
    <w:p>
      <w:pPr>
        <w:spacing w:line="33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在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2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18、履约延误和罚款</w:t>
      </w:r>
    </w:p>
    <w:p>
      <w:pPr>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 xml:space="preserve">18.2 </w:t>
      </w:r>
      <w:r>
        <w:rPr>
          <w:rFonts w:ascii="Tahoma" w:hAnsi="Tahoma" w:cs="Tahoma"/>
          <w:color w:val="000000" w:themeColor="text1"/>
          <w:szCs w:val="21"/>
          <w:highlight w:val="none"/>
          <w14:textFill>
            <w14:solidFill>
              <w14:schemeClr w14:val="tx1"/>
            </w14:solidFill>
          </w14:textFill>
        </w:rPr>
        <w:t>供方有责任并保证按合同规定的货物交货期如期交货，如果因为供方原因使合同货物不能按期交货，承包人应按下列比例和数额支付采购人违约金。</w:t>
      </w:r>
    </w:p>
    <w:p>
      <w:pPr>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（1）每延期</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天，违约金额为应发运合同货物价格的</w:t>
      </w:r>
      <w:r>
        <w:rPr>
          <w:rFonts w:ascii="Tahoma" w:hAnsi="Tahoma" w:cs="Tahoma"/>
          <w:color w:val="000000" w:themeColor="text1"/>
          <w:szCs w:val="21"/>
          <w:highlight w:val="none"/>
          <w:u w:val="single"/>
          <w14:textFill>
            <w14:solidFill>
              <w14:schemeClr w14:val="tx1"/>
            </w14:solidFill>
          </w14:textFill>
        </w:rPr>
        <w:t xml:space="preserve"> 1.0 </w:t>
      </w:r>
      <w:r>
        <w:rPr>
          <w:rFonts w:ascii="Tahoma" w:hAnsi="Tahoma" w:cs="Tahoma"/>
          <w:color w:val="000000" w:themeColor="text1"/>
          <w:szCs w:val="21"/>
          <w:highlight w:val="none"/>
          <w14:textFill>
            <w14:solidFill>
              <w14:schemeClr w14:val="tx1"/>
            </w14:solidFill>
          </w14:textFill>
        </w:rPr>
        <w:t>%。</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（2）从第</w:t>
      </w:r>
      <w:r>
        <w:rPr>
          <w:rFonts w:ascii="Tahoma" w:hAnsi="Tahoma" w:cs="Tahoma"/>
          <w:color w:val="000000" w:themeColor="text1"/>
          <w:szCs w:val="21"/>
          <w:highlight w:val="none"/>
          <w:u w:val="single"/>
          <w14:textFill>
            <w14:solidFill>
              <w14:schemeClr w14:val="tx1"/>
            </w14:solidFill>
          </w14:textFill>
        </w:rPr>
        <w:t xml:space="preserve"> 21</w:t>
      </w:r>
      <w:r>
        <w:rPr>
          <w:rFonts w:ascii="Tahoma" w:hAnsi="Tahoma" w:cs="Tahoma"/>
          <w:color w:val="000000" w:themeColor="text1"/>
          <w:szCs w:val="21"/>
          <w:highlight w:val="none"/>
          <w14:textFill>
            <w14:solidFill>
              <w14:schemeClr w14:val="tx1"/>
            </w14:solidFill>
          </w14:textFill>
        </w:rPr>
        <w:t>天起算，每延期</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天违约金额为应发运合同货物价格的</w:t>
      </w:r>
      <w:r>
        <w:rPr>
          <w:rFonts w:ascii="Tahoma" w:hAnsi="Tahoma" w:cs="Tahoma"/>
          <w:color w:val="000000" w:themeColor="text1"/>
          <w:szCs w:val="21"/>
          <w:highlight w:val="none"/>
          <w:u w:val="single"/>
          <w14:textFill>
            <w14:solidFill>
              <w14:schemeClr w14:val="tx1"/>
            </w14:solidFill>
          </w14:textFill>
        </w:rPr>
        <w:t xml:space="preserve"> 1.5 </w:t>
      </w:r>
      <w:r>
        <w:rPr>
          <w:rFonts w:ascii="Tahoma" w:hAnsi="Tahoma" w:cs="Tahoma"/>
          <w:color w:val="000000" w:themeColor="text1"/>
          <w:szCs w:val="21"/>
          <w:highlight w:val="none"/>
          <w14:textFill>
            <w14:solidFill>
              <w14:schemeClr w14:val="tx1"/>
            </w14:solidFill>
          </w14:textFill>
        </w:rPr>
        <w:t>%。</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（3）从第</w:t>
      </w:r>
      <w:r>
        <w:rPr>
          <w:rFonts w:ascii="Tahoma" w:hAnsi="Tahoma" w:cs="Tahoma"/>
          <w:color w:val="000000" w:themeColor="text1"/>
          <w:szCs w:val="21"/>
          <w:highlight w:val="none"/>
          <w:u w:val="single"/>
          <w14:textFill>
            <w14:solidFill>
              <w14:schemeClr w14:val="tx1"/>
            </w14:solidFill>
          </w14:textFill>
        </w:rPr>
        <w:t xml:space="preserve"> 28</w:t>
      </w:r>
      <w:r>
        <w:rPr>
          <w:rFonts w:ascii="Tahoma" w:hAnsi="Tahoma" w:cs="Tahoma"/>
          <w:color w:val="000000" w:themeColor="text1"/>
          <w:szCs w:val="21"/>
          <w:highlight w:val="none"/>
          <w14:textFill>
            <w14:solidFill>
              <w14:schemeClr w14:val="tx1"/>
            </w14:solidFill>
          </w14:textFill>
        </w:rPr>
        <w:t>天起算，每延期</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天违约金额为应发运合同货物价格的</w:t>
      </w:r>
      <w:r>
        <w:rPr>
          <w:rFonts w:ascii="Tahoma" w:hAnsi="Tahoma" w:cs="Tahoma"/>
          <w:color w:val="000000" w:themeColor="text1"/>
          <w:szCs w:val="21"/>
          <w:highlight w:val="none"/>
          <w:u w:val="single"/>
          <w14:textFill>
            <w14:solidFill>
              <w14:schemeClr w14:val="tx1"/>
            </w14:solidFill>
          </w14:textFill>
        </w:rPr>
        <w:t xml:space="preserve"> 2.0 </w:t>
      </w:r>
      <w:r>
        <w:rPr>
          <w:rFonts w:ascii="Tahoma" w:hAnsi="Tahoma" w:cs="Tahoma"/>
          <w:color w:val="000000" w:themeColor="text1"/>
          <w:szCs w:val="21"/>
          <w:highlight w:val="none"/>
          <w14:textFill>
            <w14:solidFill>
              <w14:schemeClr w14:val="tx1"/>
            </w14:solidFill>
          </w14:textFill>
        </w:rPr>
        <w:t>%。</w:t>
      </w:r>
    </w:p>
    <w:p>
      <w:pPr>
        <w:spacing w:line="340" w:lineRule="atLeas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（4）根据以上计算方法，如不足七日按</w:t>
      </w:r>
      <w:r>
        <w:rPr>
          <w:rFonts w:ascii="Tahoma" w:hAnsi="Tahoma" w:cs="Tahoma"/>
          <w:color w:val="000000" w:themeColor="text1"/>
          <w:szCs w:val="21"/>
          <w:highlight w:val="none"/>
          <w:u w:val="single"/>
          <w14:textFill>
            <w14:solidFill>
              <w14:schemeClr w14:val="tx1"/>
            </w14:solidFill>
          </w14:textFill>
        </w:rPr>
        <w:t xml:space="preserve"> 7</w:t>
      </w:r>
      <w:r>
        <w:rPr>
          <w:rFonts w:ascii="Tahoma" w:hAnsi="Tahoma" w:cs="Tahoma"/>
          <w:color w:val="000000" w:themeColor="text1"/>
          <w:szCs w:val="21"/>
          <w:highlight w:val="none"/>
          <w14:textFill>
            <w14:solidFill>
              <w14:schemeClr w14:val="tx1"/>
            </w14:solidFill>
          </w14:textFill>
        </w:rPr>
        <w:t>天计。</w:t>
      </w:r>
    </w:p>
    <w:p>
      <w:pPr>
        <w:pStyle w:val="13"/>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18.3</w:t>
      </w:r>
      <w:r>
        <w:rPr>
          <w:rFonts w:ascii="Tahoma" w:hAnsi="Tahoma" w:cs="Tahoma"/>
          <w:color w:val="000000" w:themeColor="text1"/>
          <w:szCs w:val="21"/>
          <w:highlight w:val="none"/>
          <w14:textFill>
            <w14:solidFill>
              <w14:schemeClr w14:val="tx1"/>
            </w14:solidFill>
          </w14:textFill>
        </w:rPr>
        <w:t>供方支付违约金并不排除供方继续供货的责任。如果合同货物延期超过</w:t>
      </w:r>
      <w:r>
        <w:rPr>
          <w:rFonts w:ascii="Tahoma" w:hAnsi="Tahoma" w:cs="Tahoma"/>
          <w:color w:val="000000" w:themeColor="text1"/>
          <w:szCs w:val="21"/>
          <w:highlight w:val="none"/>
          <w:u w:val="single"/>
          <w14:textFill>
            <w14:solidFill>
              <w14:schemeClr w14:val="tx1"/>
            </w14:solidFill>
          </w14:textFill>
        </w:rPr>
        <w:t xml:space="preserve"> 30 </w:t>
      </w:r>
      <w:r>
        <w:rPr>
          <w:rFonts w:ascii="Tahoma" w:hAnsi="Tahoma" w:cs="Tahoma"/>
          <w:color w:val="000000" w:themeColor="text1"/>
          <w:szCs w:val="21"/>
          <w:highlight w:val="none"/>
          <w14:textFill>
            <w14:solidFill>
              <w14:schemeClr w14:val="tx1"/>
            </w14:solidFill>
          </w14:textFill>
        </w:rPr>
        <w:t>天的，采购人可以根据自己认为合适的方式另行采购相同的货物或零部件。因此发生的费用和责任由供方承担，同时供方应继续执行没有终止的合同部分。</w:t>
      </w:r>
    </w:p>
    <w:p>
      <w:pPr>
        <w:pStyle w:val="13"/>
        <w:spacing w:line="340" w:lineRule="atLeas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18.4</w:t>
      </w:r>
      <w:r>
        <w:rPr>
          <w:rFonts w:ascii="Tahoma" w:hAnsi="Tahoma" w:cs="Tahoma"/>
          <w:color w:val="000000" w:themeColor="text1"/>
          <w:szCs w:val="21"/>
          <w:highlight w:val="none"/>
          <w14:textFill>
            <w14:solidFill>
              <w14:schemeClr w14:val="tx1"/>
            </w14:solidFill>
          </w14:textFill>
        </w:rPr>
        <w:t>供需双方对履约延误的赔偿和罚款在合同中另行约定的，则从其约定。</w:t>
      </w:r>
    </w:p>
    <w:p>
      <w:pPr>
        <w:pStyle w:val="13"/>
        <w:spacing w:line="400" w:lineRule="exact"/>
        <w:rPr>
          <w:rFonts w:ascii="Tahoma" w:hAnsi="Tahoma" w:cs="Tahoma"/>
          <w:color w:val="000000" w:themeColor="text1"/>
          <w:sz w:val="24"/>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18.5</w:t>
      </w:r>
      <w:r>
        <w:rPr>
          <w:rFonts w:ascii="Tahoma" w:hAnsi="Tahoma" w:cs="Tahoma"/>
          <w:color w:val="000000" w:themeColor="text1"/>
          <w:szCs w:val="21"/>
          <w:highlight w:val="none"/>
          <w14:textFill>
            <w14:solidFill>
              <w14:schemeClr w14:val="tx1"/>
            </w14:solidFill>
          </w14:textFill>
        </w:rPr>
        <w:t>供方根据以上条款承担的合同违约金总额不论单项或多项累计不得超过合同总价的</w:t>
      </w:r>
      <w:r>
        <w:rPr>
          <w:rFonts w:ascii="Tahoma" w:hAnsi="Tahoma" w:cs="Tahoma"/>
          <w:color w:val="000000" w:themeColor="text1"/>
          <w:szCs w:val="21"/>
          <w:highlight w:val="none"/>
          <w:u w:val="single"/>
          <w14:textFill>
            <w14:solidFill>
              <w14:schemeClr w14:val="tx1"/>
            </w14:solidFill>
          </w14:textFill>
        </w:rPr>
        <w:t xml:space="preserve"> 10 </w:t>
      </w:r>
      <w:r>
        <w:rPr>
          <w:rFonts w:ascii="Tahoma" w:hAnsi="Tahoma" w:cs="Tahoma"/>
          <w:color w:val="000000" w:themeColor="text1"/>
          <w:szCs w:val="21"/>
          <w:highlight w:val="none"/>
          <w14:textFill>
            <w14:solidFill>
              <w14:schemeClr w14:val="tx1"/>
            </w14:solidFill>
          </w14:textFill>
        </w:rPr>
        <w:t>%。</w:t>
      </w:r>
    </w:p>
    <w:p>
      <w:pPr>
        <w:spacing w:line="420" w:lineRule="exact"/>
        <w:jc w:val="center"/>
        <w:rPr>
          <w:rFonts w:ascii="Tahoma" w:hAnsi="Tahoma" w:eastAsia="黑体" w:cs="Tahoma"/>
          <w:b/>
          <w:bCs/>
          <w:color w:val="000000" w:themeColor="text1"/>
          <w:kern w:val="0"/>
          <w:sz w:val="36"/>
          <w:szCs w:val="30"/>
          <w:highlight w:val="none"/>
          <w14:textFill>
            <w14:solidFill>
              <w14:schemeClr w14:val="tx1"/>
            </w14:solidFill>
          </w14:textFill>
        </w:rPr>
      </w:pPr>
    </w:p>
    <w:p>
      <w:pPr>
        <w:spacing w:line="420" w:lineRule="exact"/>
        <w:jc w:val="center"/>
        <w:rPr>
          <w:rFonts w:ascii="Tahoma" w:hAnsi="Tahoma" w:eastAsia="黑体" w:cs="Tahoma"/>
          <w:b/>
          <w:bCs/>
          <w:color w:val="000000" w:themeColor="text1"/>
          <w:kern w:val="0"/>
          <w:sz w:val="36"/>
          <w:szCs w:val="30"/>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bookmarkStart w:id="25" w:name="_Toc11713"/>
      <w:bookmarkStart w:id="26" w:name="_Toc16453"/>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44"/>
          <w:highlight w:val="none"/>
          <w14:textFill>
            <w14:solidFill>
              <w14:schemeClr w14:val="tx1"/>
            </w14:solidFill>
          </w14:textFill>
        </w:rPr>
      </w:pPr>
    </w:p>
    <w:p>
      <w:pPr>
        <w:spacing w:line="300" w:lineRule="auto"/>
        <w:jc w:val="center"/>
        <w:outlineLvl w:val="0"/>
        <w:rPr>
          <w:rFonts w:ascii="Tahoma" w:hAnsi="Tahoma" w:eastAsia="黑体" w:cs="Tahoma"/>
          <w:b/>
          <w:bCs/>
          <w:color w:val="000000" w:themeColor="text1"/>
          <w:sz w:val="32"/>
          <w:szCs w:val="32"/>
          <w:highlight w:val="none"/>
          <w14:textFill>
            <w14:solidFill>
              <w14:schemeClr w14:val="tx1"/>
            </w14:solidFill>
          </w14:textFill>
        </w:rPr>
      </w:pPr>
      <w:r>
        <w:rPr>
          <w:rFonts w:ascii="Tahoma" w:hAnsi="Tahoma" w:eastAsia="黑体" w:cs="Tahoma"/>
          <w:b/>
          <w:bCs/>
          <w:color w:val="000000" w:themeColor="text1"/>
          <w:sz w:val="44"/>
          <w:highlight w:val="none"/>
          <w14:textFill>
            <w14:solidFill>
              <w14:schemeClr w14:val="tx1"/>
            </w14:solidFill>
          </w14:textFill>
        </w:rPr>
        <w:t xml:space="preserve">第五章 </w:t>
      </w:r>
      <w:r>
        <w:rPr>
          <w:rFonts w:hint="eastAsia" w:ascii="Tahoma" w:hAnsi="Tahoma" w:eastAsia="黑体" w:cs="Tahoma"/>
          <w:b/>
          <w:bCs/>
          <w:color w:val="000000" w:themeColor="text1"/>
          <w:sz w:val="44"/>
          <w:highlight w:val="none"/>
          <w14:textFill>
            <w14:solidFill>
              <w14:schemeClr w14:val="tx1"/>
            </w14:solidFill>
          </w14:textFill>
        </w:rPr>
        <w:t>货物（产品）</w:t>
      </w:r>
      <w:r>
        <w:rPr>
          <w:rFonts w:ascii="Tahoma" w:hAnsi="Tahoma" w:eastAsia="黑体" w:cs="Tahoma"/>
          <w:b/>
          <w:bCs/>
          <w:color w:val="000000" w:themeColor="text1"/>
          <w:sz w:val="44"/>
          <w:highlight w:val="none"/>
          <w14:textFill>
            <w14:solidFill>
              <w14:schemeClr w14:val="tx1"/>
            </w14:solidFill>
          </w14:textFill>
        </w:rPr>
        <w:t>采购清单</w:t>
      </w:r>
      <w:bookmarkEnd w:id="25"/>
      <w:bookmarkEnd w:id="26"/>
    </w:p>
    <w:p>
      <w:pPr>
        <w:tabs>
          <w:tab w:val="left" w:pos="900"/>
        </w:tabs>
        <w:snapToGrid w:val="0"/>
        <w:spacing w:line="264" w:lineRule="auto"/>
        <w:jc w:val="both"/>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pStyle w:val="5"/>
        <w:rPr>
          <w:rFonts w:ascii="Tahoma" w:hAnsi="Tahoma" w:eastAsia="黑体" w:cs="Tahoma"/>
          <w:b/>
          <w:bCs/>
          <w:color w:val="000000" w:themeColor="text1"/>
          <w:sz w:val="32"/>
          <w:szCs w:val="32"/>
          <w:highlight w:val="none"/>
          <w14:textFill>
            <w14:solidFill>
              <w14:schemeClr w14:val="tx1"/>
            </w14:solidFill>
          </w14:textFill>
        </w:rPr>
      </w:pPr>
    </w:p>
    <w:p>
      <w:pPr>
        <w:rPr>
          <w:rFonts w:ascii="Tahoma" w:hAnsi="Tahoma" w:eastAsia="黑体" w:cs="Tahoma"/>
          <w:b/>
          <w:bCs/>
          <w:color w:val="000000" w:themeColor="text1"/>
          <w:sz w:val="32"/>
          <w:szCs w:val="32"/>
          <w:highlight w:val="none"/>
          <w14:textFill>
            <w14:solidFill>
              <w14:schemeClr w14:val="tx1"/>
            </w14:solidFill>
          </w14:textFill>
        </w:rPr>
      </w:pPr>
    </w:p>
    <w:p>
      <w:pPr>
        <w:numPr>
          <w:ilvl w:val="0"/>
          <w:numId w:val="0"/>
        </w:numPr>
        <w:tabs>
          <w:tab w:val="left" w:pos="900"/>
        </w:tabs>
        <w:snapToGrid w:val="0"/>
        <w:spacing w:line="264" w:lineRule="auto"/>
        <w:jc w:val="left"/>
        <w:rPr>
          <w:rFonts w:ascii="Tahoma" w:hAnsi="黑体" w:eastAsia="黑体" w:cs="Tahoma"/>
          <w:b/>
          <w:bCs/>
          <w:color w:val="000000" w:themeColor="text1"/>
          <w:sz w:val="21"/>
          <w:szCs w:val="21"/>
          <w:highlight w:val="none"/>
          <w14:textFill>
            <w14:solidFill>
              <w14:schemeClr w14:val="tx1"/>
            </w14:solidFill>
          </w14:textFill>
        </w:rPr>
      </w:pPr>
      <w:r>
        <w:rPr>
          <w:rFonts w:hint="eastAsia" w:ascii="Tahoma" w:hAnsi="黑体" w:eastAsia="黑体" w:cs="Tahoma"/>
          <w:b/>
          <w:color w:val="000000" w:themeColor="text1"/>
          <w:sz w:val="21"/>
          <w:szCs w:val="21"/>
          <w:highlight w:val="none"/>
          <w:lang w:val="en-US" w:eastAsia="zh-CN"/>
          <w14:textFill>
            <w14:solidFill>
              <w14:schemeClr w14:val="tx1"/>
            </w14:solidFill>
          </w14:textFill>
        </w:rPr>
        <w:t>一、硬件</w:t>
      </w:r>
      <w:r>
        <w:rPr>
          <w:rFonts w:hint="eastAsia" w:ascii="Tahoma" w:hAnsi="黑体" w:eastAsia="黑体" w:cs="Tahoma"/>
          <w:b/>
          <w:color w:val="000000" w:themeColor="text1"/>
          <w:sz w:val="21"/>
          <w:szCs w:val="21"/>
          <w:highlight w:val="none"/>
          <w14:textFill>
            <w14:solidFill>
              <w14:schemeClr w14:val="tx1"/>
            </w14:solidFill>
          </w14:textFill>
        </w:rPr>
        <w:t>采购</w:t>
      </w:r>
      <w:r>
        <w:rPr>
          <w:rFonts w:ascii="Tahoma" w:hAnsi="黑体" w:eastAsia="黑体" w:cs="Tahoma"/>
          <w:b/>
          <w:bCs/>
          <w:color w:val="000000" w:themeColor="text1"/>
          <w:sz w:val="21"/>
          <w:szCs w:val="21"/>
          <w:highlight w:val="none"/>
          <w14:textFill>
            <w14:solidFill>
              <w14:schemeClr w14:val="tx1"/>
            </w14:solidFill>
          </w14:textFill>
        </w:rPr>
        <w:t>需求一览表</w:t>
      </w:r>
    </w:p>
    <w:p>
      <w:pPr>
        <w:pStyle w:val="5"/>
        <w:rPr>
          <w:rFonts w:hint="default"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1、医院桌面云系统</w:t>
      </w:r>
    </w:p>
    <w:tbl>
      <w:tblPr>
        <w:tblStyle w:val="20"/>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8"/>
        <w:gridCol w:w="4018"/>
        <w:gridCol w:w="1876"/>
        <w:gridCol w:w="127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425" w:leftChars="0" w:hanging="425" w:firstLine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18" w:type="dxa"/>
            <w:shd w:val="clear" w:color="auto" w:fill="auto"/>
            <w:tcMar>
              <w:top w:w="12" w:type="dxa"/>
              <w:left w:w="12" w:type="dxa"/>
              <w:right w:w="12" w:type="dxa"/>
            </w:tcMar>
            <w:vAlign w:val="center"/>
          </w:tcPr>
          <w:p>
            <w:pPr>
              <w:snapToGrid w:val="0"/>
              <w:ind w:left="425" w:leftChars="0" w:hanging="425" w:firstLine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76" w:type="dxa"/>
            <w:shd w:val="clear" w:color="auto" w:fill="auto"/>
            <w:tcMar>
              <w:top w:w="12" w:type="dxa"/>
              <w:left w:w="12" w:type="dxa"/>
              <w:right w:w="12" w:type="dxa"/>
            </w:tcMar>
            <w:vAlign w:val="center"/>
          </w:tcPr>
          <w:p>
            <w:pPr>
              <w:snapToGrid w:val="0"/>
              <w:ind w:left="0" w:left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6" w:type="dxa"/>
            <w:shd w:val="clear" w:color="auto" w:fill="auto"/>
            <w:tcMar>
              <w:top w:w="12" w:type="dxa"/>
              <w:left w:w="12" w:type="dxa"/>
              <w:right w:w="12" w:type="dxa"/>
            </w:tcMar>
            <w:vAlign w:val="center"/>
          </w:tcPr>
          <w:p>
            <w:pPr>
              <w:snapToGrid w:val="0"/>
              <w:ind w:left="0" w:left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0" w:type="dxa"/>
            <w:shd w:val="clear" w:color="auto" w:fill="auto"/>
            <w:tcMar>
              <w:top w:w="12" w:type="dxa"/>
              <w:left w:w="12" w:type="dxa"/>
              <w:right w:w="12" w:type="dxa"/>
            </w:tcMar>
            <w:vAlign w:val="center"/>
          </w:tcPr>
          <w:p>
            <w:pPr>
              <w:snapToGrid w:val="0"/>
              <w:ind w:left="0" w:leftChars="0"/>
              <w:jc w:val="center"/>
              <w:rPr>
                <w:rFonts w:hint="default" w:ascii="微软雅黑" w:hAnsi="微软雅黑"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桌面云资源池一体机</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时钟系统</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桌面云控制器及软件</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云终端</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300</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业务存储交换机</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3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18"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显示器、键鼠套装</w:t>
            </w:r>
          </w:p>
        </w:tc>
        <w:tc>
          <w:tcPr>
            <w:tcW w:w="18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300</w:t>
            </w:r>
          </w:p>
        </w:tc>
        <w:tc>
          <w:tcPr>
            <w:tcW w:w="105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5"/>
        <w:rPr>
          <w:color w:val="000000" w:themeColor="text1"/>
          <w:highlight w:val="none"/>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2、无线网络覆盖</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4"/>
        <w:gridCol w:w="4033"/>
        <w:gridCol w:w="1884"/>
        <w:gridCol w:w="128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33"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4"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82"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4"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移动护理专用中心单元</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60</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医院专用吸顶AP</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400</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48口接入交换机</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100</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楼宇汇聚交换机</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25</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全院核心交换机</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5"/>
        <w:rPr>
          <w:color w:val="000000" w:themeColor="text1"/>
          <w:highlight w:val="none"/>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3、无线网络控制器</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4"/>
        <w:gridCol w:w="4033"/>
        <w:gridCol w:w="1884"/>
        <w:gridCol w:w="128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33"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4"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82" w:type="dxa"/>
            <w:shd w:val="clear" w:color="auto" w:fill="auto"/>
            <w:tcMar>
              <w:top w:w="12" w:type="dxa"/>
              <w:left w:w="12" w:type="dxa"/>
              <w:right w:w="12" w:type="dxa"/>
            </w:tcMar>
            <w:vAlign w:val="center"/>
          </w:tcPr>
          <w:p>
            <w:pPr>
              <w:snapToGrid w:val="0"/>
              <w:ind w:left="0" w:leftChars="0"/>
              <w:jc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4"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33"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医院网络管理平台</w:t>
            </w:r>
          </w:p>
        </w:tc>
        <w:tc>
          <w:tcPr>
            <w:tcW w:w="188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82"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4"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4、超融合</w:t>
      </w:r>
    </w:p>
    <w:p>
      <w:pPr>
        <w:rPr>
          <w:rFonts w:hint="default"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4.1业务承载超融合</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超融合资源池平台服务器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超融合虚拟化软件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数据库管理平台</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业务存储交换机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前置机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4.2 等保三级</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互联网出口区下一代防火墙</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互联网出口上网行为管理</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外联区下一代防火墙</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统一远程访问平台VPN</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安全感知平台</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 xml:space="preserve"> APT流量检测探针</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 xml:space="preserve"> WEB应用防火墙</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内网准入系统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数据库审计</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等保一体机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终端检测响应系统</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安全隔离与信息交换系统</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4.3 灾备业务承载平台资源池</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超融合资源池平台服务器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超融合虚拟化软件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容灾备份软件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 xml:space="preserve"> 业务存储交换机</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8"/>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5、排队叫号系统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门诊排队导诊软件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分诊台话筒</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医生叫号对讲软件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诊室话筒</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语音播报软件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信息交互服务器软件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机架式服务器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门诊排队管理软件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医技排队管理软件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抽血排队管理软件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取药排队管理软件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自助签到机</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液晶一体机（15.6英寸高清液晶显示屏）</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多媒体控制盒</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功放</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16</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吸顶式喇叭</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6、模块化机房建设</w:t>
      </w:r>
    </w:p>
    <w:p>
      <w:pPr>
        <w:pStyle w:val="10"/>
        <w:numPr>
          <w:ilvl w:val="0"/>
          <w:numId w:val="0"/>
        </w:numPr>
        <w:spacing w:line="340" w:lineRule="exact"/>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6.1 机房装修</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吊顶丝杆</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主骨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吊顶防火吸音板</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照明</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18</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玻璃隔墙</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玻璃隔墙门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防盗门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隔墙龙骨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隔墙隔音棉铺设</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机房防静电墙面</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地面防尘漆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210</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封堵</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电线敷设</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80</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接地</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10"/>
        <w:numPr>
          <w:ilvl w:val="0"/>
          <w:numId w:val="0"/>
        </w:numPr>
        <w:spacing w:line="340" w:lineRule="exact"/>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6.2 备用机房机柜</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服务器机柜(核心备份</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固定承重板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件</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气流遏制盲板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条</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t>240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6.3 消防系统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点型光电感烟火灾探测器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点型感温火灾探测器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底座</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输入输出模块</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手/自动转换模块</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火灾声光警报器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紧急启停按钮</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气体喷洒释放灯</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Merge w:val="restart"/>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vMerge w:val="restart"/>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七氟丙烷自动灭火装置</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Merge w:val="continue"/>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c>
          <w:tcPr>
            <w:tcW w:w="4026" w:type="dxa"/>
            <w:vMerge w:val="continue"/>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KG</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192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气体灭火控制器</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消防报警线缆</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米</w:t>
            </w:r>
          </w:p>
        </w:tc>
        <w:tc>
          <w:tcPr>
            <w:tcW w:w="1279"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 xml:space="preserve">500 </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消防报警线管</w:t>
            </w:r>
          </w:p>
        </w:tc>
        <w:tc>
          <w:tcPr>
            <w:tcW w:w="1880"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米</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6.4 模块化机柜系统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服务器机柜</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固定层板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48</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L型支架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对</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48</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盲板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480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PDU</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6.5 封闭冷通道</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自动动双开滑动门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600宽天窗</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天窗控制盒</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LED照明灯</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机柜配套侧门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机柜配套侧门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围板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顶部线槽</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走线梯</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机柜灯带</w:t>
            </w:r>
          </w:p>
        </w:tc>
        <w:tc>
          <w:tcPr>
            <w:tcW w:w="1880"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灯带控制器（机柜双色</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灯带用）</w:t>
            </w:r>
          </w:p>
        </w:tc>
        <w:tc>
          <w:tcPr>
            <w:tcW w:w="1880" w:type="dxa"/>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6.6 行级空调系统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精密空调（恒温恒湿）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低温组件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4</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6.7 UPS配电</w:t>
      </w:r>
    </w:p>
    <w:tbl>
      <w:tblPr>
        <w:tblStyle w:val="20"/>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4"/>
        <w:gridCol w:w="4084"/>
        <w:gridCol w:w="1907"/>
        <w:gridCol w:w="129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84"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907"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96"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66"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输入输出配电柜</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精密列头柜</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UPS主机柜</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1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UPS模块</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3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蓄电池</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只</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128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电池架</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套</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2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4"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84"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电池连接铜排</w:t>
            </w:r>
          </w:p>
        </w:tc>
        <w:tc>
          <w:tcPr>
            <w:tcW w:w="1907"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根</w:t>
            </w:r>
          </w:p>
        </w:tc>
        <w:tc>
          <w:tcPr>
            <w:tcW w:w="129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 xml:space="preserve">128 </w:t>
            </w:r>
          </w:p>
        </w:tc>
        <w:tc>
          <w:tcPr>
            <w:tcW w:w="106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numPr>
          <w:ilvl w:val="0"/>
          <w:numId w:val="0"/>
        </w:num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6.8 机房视频系统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4路网络硬盘录像机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红外半球式网络摄像机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4TB监控级硬盘</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6.9 机房动环检测设施管理系统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监控系统主机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4G全网通短信报警模块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电容触摸屏（21.5寸）</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声光告警模块</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设备接入软件模块</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5</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温湿度传感器 （大LCD屏）</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烟雾传感器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非定位线式漏水检测报警器</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非定位线式漏水感应线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条</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12V/3A 直流电源</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双门禁控制器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台</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指纹门禁刷卡器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块</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配套用触摸开关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应急开关附件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ID卡 </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交换机</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pStyle w:val="5"/>
        <w:numPr>
          <w:ilvl w:val="0"/>
          <w:numId w:val="0"/>
        </w:num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7、综合布线</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光缆</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米</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6000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4口终端盒</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SC/SC3米尾纤</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根</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50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超六类网线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箱</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300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电源线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批</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六类网络配线架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理线架</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86底盒</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600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4026"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双口面板</w:t>
            </w:r>
          </w:p>
        </w:tc>
        <w:tc>
          <w:tcPr>
            <w:tcW w:w="1880"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600</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402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六类模块</w:t>
            </w:r>
          </w:p>
        </w:tc>
        <w:tc>
          <w:tcPr>
            <w:tcW w:w="188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1200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双口面板</w:t>
            </w:r>
          </w:p>
        </w:tc>
        <w:tc>
          <w:tcPr>
            <w:tcW w:w="188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个</w:t>
            </w:r>
          </w:p>
        </w:tc>
        <w:tc>
          <w:tcPr>
            <w:tcW w:w="1279"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600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PVC线管B型</w:t>
            </w:r>
          </w:p>
        </w:tc>
        <w:tc>
          <w:tcPr>
            <w:tcW w:w="188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米</w:t>
            </w:r>
          </w:p>
        </w:tc>
        <w:tc>
          <w:tcPr>
            <w:tcW w:w="1279"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2000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墙面开槽带恢复</w:t>
            </w:r>
          </w:p>
        </w:tc>
        <w:tc>
          <w:tcPr>
            <w:tcW w:w="188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米</w:t>
            </w:r>
          </w:p>
        </w:tc>
        <w:tc>
          <w:tcPr>
            <w:tcW w:w="127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0"/>
                <w:szCs w:val="20"/>
                <w:highlight w:val="none"/>
                <w:u w:val="none"/>
                <w:lang w:val="en-US" w:eastAsia="zh-CN" w:bidi="ar"/>
                <w14:textFill>
                  <w14:solidFill>
                    <w14:schemeClr w14:val="tx1"/>
                  </w14:solidFill>
                </w14:textFill>
              </w:rPr>
              <w:t>1800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pStyle w:val="5"/>
        <w:numPr>
          <w:ilvl w:val="0"/>
          <w:numId w:val="0"/>
        </w:numP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8、网络安全等级保护测评</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8237" w:type="dxa"/>
            <w:gridSpan w:val="4"/>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安全物理环境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物理位置选择</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物理访问控制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防盗窃和防破坏</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防雷击</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防火</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1.6</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防水和防潮</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1.7</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防静电</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1.8</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温湿度控制</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电力供应</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电磁防护</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t>安全通信网络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网络架构</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通信传输</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可信验证</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安全区域边界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边界防护</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访问控制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入侵防范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恶意代码和垃圾邮件防范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安全审计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可信验证</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安全计算环境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身份鉴别</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访问控制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安全审计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入侵防范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恶意代码防范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可信验证</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数据完整性</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数据保密性</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数据备份恢复</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剩余信息保护</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个人信息保护</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系统管理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审计管理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5.4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集中管控</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安全策略</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管理制度</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制定和发布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6.4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评审和修订</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岗位设置</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人员配备</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授权和审批</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沟通和合作</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审核和检查</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人员录用</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人员离岗</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安全意识教育和培训</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外部人员访问管理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安全建设管理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定级和备案</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安全方案设计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产品采购和使用</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自行软件开发</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外包软件开发</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工程实施</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测试验收</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系统交付</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等级测评</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服务供应商选择</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8237" w:type="dxa"/>
            <w:gridSpan w:val="4"/>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环境管理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资产管理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介质管理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设备维护管理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漏洞和风险管理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网络和系统安全管理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恶意代码防范管理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配置管理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密码管理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变更管理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备份与恢复管理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安全事件处置</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应急预案管理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10.14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外包运维管理</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5"/>
        <w:numPr>
          <w:ilvl w:val="0"/>
          <w:numId w:val="0"/>
        </w:numPr>
        <w:rPr>
          <w:rFonts w:hint="default" w:ascii="Tahoma" w:hAnsi="黑体" w:eastAsia="黑体" w:cs="Tahoma"/>
          <w:b/>
          <w:bCs w:val="0"/>
          <w:color w:val="000000" w:themeColor="text1"/>
          <w:kern w:val="2"/>
          <w:sz w:val="21"/>
          <w:szCs w:val="21"/>
          <w:highlight w:val="none"/>
          <w:lang w:val="en-US" w:eastAsia="zh-CN" w:bidi="ar-SA"/>
          <w14:textFill>
            <w14:solidFill>
              <w14:schemeClr w14:val="tx1"/>
            </w14:solidFill>
          </w14:textFill>
        </w:rPr>
      </w:pPr>
      <w:r>
        <w:rPr>
          <w:rFonts w:hint="eastAsia" w:ascii="Tahoma" w:hAnsi="黑体" w:eastAsia="黑体" w:cs="Tahoma"/>
          <w:b/>
          <w:bCs w:val="0"/>
          <w:color w:val="000000" w:themeColor="text1"/>
          <w:kern w:val="2"/>
          <w:sz w:val="21"/>
          <w:szCs w:val="21"/>
          <w:highlight w:val="none"/>
          <w:lang w:val="en-US" w:eastAsia="zh-CN" w:bidi="ar-SA"/>
          <w14:textFill>
            <w14:solidFill>
              <w14:schemeClr w14:val="tx1"/>
            </w14:solidFill>
          </w14:textFill>
        </w:rPr>
        <w:t>9、120急救中心</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液晶拼接屏</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LED字幕屏</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中心概览屏</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4</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机顶盒</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5</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音箱</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6</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拼接屏管理电脑</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7</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座席位显示器</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8</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座席位主机</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IP电话</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模拟线路网关</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交换机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交换机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一体机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激光打印机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声光报警器</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流量卡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平板电脑</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采集设备</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19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车载GPS</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车辆改造费</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车载录像机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车载硬盘2T</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车载摄像头</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40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车载对讲终端</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个</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车载监控平台</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平台硬件服务器</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嵌入式高清解码器整机</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车载专用线</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29</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车载专用线</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20</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eastAsia="宋体"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30</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装修服务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项</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31</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桌椅</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3</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32</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空调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33</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空调</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台</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34</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配电箱</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35</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机柜</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36</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备用电源</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2</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37</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技术服务</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keepNext w:val="0"/>
              <w:keepLines w:val="0"/>
              <w:widowControl/>
              <w:suppressLineNumbers w:val="0"/>
              <w:jc w:val="center"/>
              <w:textAlignment w:val="center"/>
              <w:rPr>
                <w:rFonts w:hint="default" w:ascii="Tahoma" w:hAnsi="Tahoma" w:cs="Tahoma"/>
                <w:color w:val="000000" w:themeColor="text1"/>
                <w:kern w:val="2"/>
                <w:sz w:val="21"/>
                <w:szCs w:val="21"/>
                <w:highlight w:val="none"/>
                <w:lang w:val="en-US" w:eastAsia="zh-CN" w:bidi="ar-SA"/>
                <w14:textFill>
                  <w14:solidFill>
                    <w14:schemeClr w14:val="tx1"/>
                  </w14:solidFill>
                </w14:textFill>
              </w:rPr>
            </w:pPr>
            <w:r>
              <w:rPr>
                <w:rFonts w:hint="default" w:ascii="Tahoma" w:hAnsi="Tahoma" w:eastAsia="宋体" w:cs="Tahoma"/>
                <w:i w:val="0"/>
                <w:iCs w:val="0"/>
                <w:color w:val="000000" w:themeColor="text1"/>
                <w:kern w:val="0"/>
                <w:sz w:val="22"/>
                <w:szCs w:val="22"/>
                <w:highlight w:val="none"/>
                <w:u w:val="none"/>
                <w:lang w:val="en-US" w:eastAsia="zh-CN" w:bidi="ar"/>
                <w14:textFill>
                  <w14:solidFill>
                    <w14:schemeClr w14:val="tx1"/>
                  </w14:solidFill>
                </w14:textFill>
              </w:rPr>
              <w:t>38</w:t>
            </w:r>
          </w:p>
        </w:tc>
        <w:tc>
          <w:tcPr>
            <w:tcW w:w="4026"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消防设备</w:t>
            </w:r>
          </w:p>
        </w:tc>
        <w:tc>
          <w:tcPr>
            <w:tcW w:w="1880"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p>
        </w:tc>
      </w:tr>
    </w:tbl>
    <w:p>
      <w:pPr>
        <w:pStyle w:val="10"/>
        <w:spacing w:line="340" w:lineRule="exact"/>
        <w:ind w:firstLine="310" w:firstLineChars="147"/>
        <w:rPr>
          <w:rFonts w:hint="eastAsia" w:ascii="黑体" w:hAnsi="黑体" w:eastAsia="黑体"/>
          <w:b/>
          <w:bCs/>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color w:val="000000" w:themeColor="text1"/>
          <w:highlight w:val="none"/>
          <w14:textFill>
            <w14:solidFill>
              <w14:schemeClr w14:val="tx1"/>
            </w14:solidFill>
          </w14:textFill>
        </w:rPr>
      </w:pPr>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bookmarkStart w:id="27" w:name="_Toc12201"/>
      <w:bookmarkStart w:id="28" w:name="_Toc32713"/>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numPr>
          <w:ilvl w:val="0"/>
          <w:numId w:val="0"/>
        </w:numPr>
        <w:tabs>
          <w:tab w:val="left" w:pos="900"/>
        </w:tabs>
        <w:snapToGrid w:val="0"/>
        <w:spacing w:line="264" w:lineRule="auto"/>
        <w:jc w:val="left"/>
        <w:rPr>
          <w:rFonts w:hint="eastAsia" w:ascii="Tahoma" w:hAnsi="黑体" w:eastAsia="黑体" w:cs="Tahoma"/>
          <w:b/>
          <w:color w:val="000000" w:themeColor="text1"/>
          <w:sz w:val="21"/>
          <w:szCs w:val="21"/>
          <w:highlight w:val="none"/>
          <w:lang w:val="en-US" w:eastAsia="zh-CN"/>
          <w14:textFill>
            <w14:solidFill>
              <w14:schemeClr w14:val="tx1"/>
            </w14:solidFill>
          </w14:textFill>
        </w:rPr>
      </w:pPr>
    </w:p>
    <w:p>
      <w:pPr>
        <w:numPr>
          <w:ilvl w:val="0"/>
          <w:numId w:val="0"/>
        </w:numPr>
        <w:tabs>
          <w:tab w:val="left" w:pos="900"/>
        </w:tabs>
        <w:snapToGrid w:val="0"/>
        <w:spacing w:line="264" w:lineRule="auto"/>
        <w:jc w:val="left"/>
        <w:rPr>
          <w:rFonts w:ascii="Tahoma" w:hAnsi="黑体" w:eastAsia="黑体" w:cs="Tahoma"/>
          <w:b/>
          <w:bCs/>
          <w:color w:val="000000" w:themeColor="text1"/>
          <w:sz w:val="21"/>
          <w:szCs w:val="21"/>
          <w:highlight w:val="none"/>
          <w14:textFill>
            <w14:solidFill>
              <w14:schemeClr w14:val="tx1"/>
            </w14:solidFill>
          </w14:textFill>
        </w:rPr>
      </w:pPr>
      <w:r>
        <w:rPr>
          <w:rFonts w:hint="eastAsia" w:ascii="Tahoma" w:hAnsi="黑体" w:eastAsia="黑体" w:cs="Tahoma"/>
          <w:b/>
          <w:color w:val="000000" w:themeColor="text1"/>
          <w:sz w:val="21"/>
          <w:szCs w:val="21"/>
          <w:highlight w:val="none"/>
          <w:lang w:val="en-US" w:eastAsia="zh-CN"/>
          <w14:textFill>
            <w14:solidFill>
              <w14:schemeClr w14:val="tx1"/>
            </w14:solidFill>
          </w14:textFill>
        </w:rPr>
        <w:t>二、软件</w:t>
      </w:r>
      <w:r>
        <w:rPr>
          <w:rFonts w:hint="eastAsia" w:ascii="Tahoma" w:hAnsi="黑体" w:eastAsia="黑体" w:cs="Tahoma"/>
          <w:b/>
          <w:color w:val="000000" w:themeColor="text1"/>
          <w:sz w:val="21"/>
          <w:szCs w:val="21"/>
          <w:highlight w:val="none"/>
          <w14:textFill>
            <w14:solidFill>
              <w14:schemeClr w14:val="tx1"/>
            </w14:solidFill>
          </w14:textFill>
        </w:rPr>
        <w:t>采购</w:t>
      </w:r>
      <w:r>
        <w:rPr>
          <w:rFonts w:ascii="Tahoma" w:hAnsi="黑体" w:eastAsia="黑体" w:cs="Tahoma"/>
          <w:b/>
          <w:bCs/>
          <w:color w:val="000000" w:themeColor="text1"/>
          <w:sz w:val="21"/>
          <w:szCs w:val="21"/>
          <w:highlight w:val="none"/>
          <w14:textFill>
            <w14:solidFill>
              <w14:schemeClr w14:val="tx1"/>
            </w14:solidFill>
          </w14:textFill>
        </w:rPr>
        <w:t>需求一览表</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4026"/>
        <w:gridCol w:w="1880"/>
        <w:gridCol w:w="12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425" w:leftChars="0" w:hanging="425" w:firstLineChars="0"/>
              <w:jc w:val="cente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序号</w:t>
            </w:r>
          </w:p>
        </w:tc>
        <w:tc>
          <w:tcPr>
            <w:tcW w:w="4026" w:type="dxa"/>
            <w:shd w:val="clear" w:color="auto" w:fill="auto"/>
            <w:tcMar>
              <w:top w:w="12" w:type="dxa"/>
              <w:left w:w="12" w:type="dxa"/>
              <w:right w:w="12" w:type="dxa"/>
            </w:tcMar>
            <w:vAlign w:val="center"/>
          </w:tcPr>
          <w:p>
            <w:pPr>
              <w:snapToGrid w:val="0"/>
              <w:ind w:left="425" w:leftChars="0" w:hanging="425"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商品名称</w:t>
            </w:r>
          </w:p>
        </w:tc>
        <w:tc>
          <w:tcPr>
            <w:tcW w:w="1880"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计量单位</w:t>
            </w:r>
          </w:p>
        </w:tc>
        <w:tc>
          <w:tcPr>
            <w:tcW w:w="1279" w:type="dxa"/>
            <w:shd w:val="clear" w:color="auto" w:fill="auto"/>
            <w:tcMar>
              <w:top w:w="12" w:type="dxa"/>
              <w:left w:w="12" w:type="dxa"/>
              <w:right w:w="12" w:type="dxa"/>
            </w:tcMar>
            <w:vAlign w:val="center"/>
          </w:tcPr>
          <w:p>
            <w:pPr>
              <w:snapToGrid w:val="0"/>
              <w:ind w:left="0" w:left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数量</w:t>
            </w:r>
          </w:p>
        </w:tc>
        <w:tc>
          <w:tcPr>
            <w:tcW w:w="1052" w:type="dxa"/>
            <w:shd w:val="clear" w:color="auto" w:fill="auto"/>
            <w:tcMar>
              <w:top w:w="12" w:type="dxa"/>
              <w:left w:w="12" w:type="dxa"/>
              <w:right w:w="12" w:type="dxa"/>
            </w:tcMar>
            <w:vAlign w:val="center"/>
          </w:tcPr>
          <w:p>
            <w:pPr>
              <w:snapToGrid w:val="0"/>
              <w:ind w:left="0" w:left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8237" w:type="dxa"/>
            <w:gridSpan w:val="4"/>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患者服务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门诊分诊管理系统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医技收费管理系统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床旁结算系统</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1.3.1</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床旁腕带扫码支付</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1.3.2</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催款单床旁结算</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1.3.3</w:t>
            </w:r>
          </w:p>
        </w:tc>
        <w:tc>
          <w:tcPr>
            <w:tcW w:w="4026"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对账平台</w:t>
            </w:r>
          </w:p>
        </w:tc>
        <w:tc>
          <w:tcPr>
            <w:tcW w:w="1880"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shd w:val="clear" w:color="auto" w:fill="auto"/>
            <w:tcMar>
              <w:top w:w="12" w:type="dxa"/>
              <w:left w:w="12" w:type="dxa"/>
              <w:right w:w="12" w:type="dxa"/>
            </w:tcMar>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shd w:val="clear" w:color="auto" w:fill="auto"/>
            <w:tcMar>
              <w:top w:w="12" w:type="dxa"/>
              <w:left w:w="12" w:type="dxa"/>
              <w:right w:w="12" w:type="dxa"/>
            </w:tcMar>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临床诊疗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2.1</w:t>
            </w:r>
          </w:p>
        </w:tc>
        <w:tc>
          <w:tcPr>
            <w:tcW w:w="4026"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护理管理系统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护理病历信息系统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护理计划管理系统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2.4</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移动护理系统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2.5</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临床辅助决策支持信息系统（CDSS）</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2.6</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康复信息管理系统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全院输血流程管理系统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放射报告管理信息系统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手术管理软件</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3.4</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手术麻醉管理系统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3.5</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重症监护信息系统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3.6</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血液透析中心智能管理系统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3.7</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微生物检验</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4</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药耗管理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4.1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住院输液配置中心</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5.1</w:t>
            </w:r>
          </w:p>
        </w:tc>
        <w:tc>
          <w:tcPr>
            <w:tcW w:w="4026"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实时审方系统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不良事件管理软件</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疾病监测报告管理系统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5.4</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DRGS医保精细化管理系统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5.5</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危急值流转系统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5.6</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电子签名系统（CA）</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6</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急诊信息系统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6.1</w:t>
            </w:r>
          </w:p>
        </w:tc>
        <w:tc>
          <w:tcPr>
            <w:tcW w:w="4026"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急诊信息系统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智慧护理大屏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begin"/>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instrText xml:space="preserve"> HYPERLINK \l _Toc13553 </w:instrText>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separate"/>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功能框架</w:t>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end"/>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7.2</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产品功能</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7.3</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系统功能（列表）</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8.1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医生资质授权</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数字化病案管理系统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9.1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数字化病案管理系统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医院信息集成平台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begin"/>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instrText xml:space="preserve"> HYPERLINK \l _Toc28241 </w:instrText>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separate"/>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信息资源中心</w:t>
            </w:r>
            <w:r>
              <w:rPr>
                <w:rFonts w:hint="eastAsia" w:ascii="微软雅黑" w:hAnsi="微软雅黑" w:eastAsia="宋体" w:cs="Times New Roman"/>
                <w:color w:val="000000" w:themeColor="text1"/>
                <w:kern w:val="2"/>
                <w:sz w:val="21"/>
                <w:szCs w:val="21"/>
                <w:highlight w:val="none"/>
                <w:lang w:val="zh-CN" w:eastAsia="zh-CN" w:bidi="ar-SA"/>
                <w14:textFill>
                  <w14:solidFill>
                    <w14:schemeClr w14:val="tx1"/>
                  </w14:solidFill>
                </w14:textFill>
              </w:rPr>
              <w:fldChar w:fldCharType="end"/>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信息集成平台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业务数据中心（ODR）</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10</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临床</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数据中心（</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C</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DR）</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互联网医院平台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11</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互联网医院平台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慢病管理平台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慢病管理平台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120急救智慧中心平台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13.1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120急救智慧中心平台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院内卒中急救管理平台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14</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院内卒中急救管理平台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p>
        </w:tc>
        <w:tc>
          <w:tcPr>
            <w:tcW w:w="8237" w:type="dxa"/>
            <w:gridSpan w:val="4"/>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院内胸痛急救管理平台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15</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院内胸痛急救管理平台</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16</w:t>
            </w:r>
          </w:p>
        </w:tc>
        <w:tc>
          <w:tcPr>
            <w:tcW w:w="8237" w:type="dxa"/>
            <w:gridSpan w:val="4"/>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医保智能检测系统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641" w:type="dxa"/>
            <w:vAlign w:val="center"/>
          </w:tcPr>
          <w:p>
            <w:pPr>
              <w:snapToGrid w:val="0"/>
              <w:ind w:left="567" w:leftChars="0" w:hanging="567" w:firstLineChars="0"/>
              <w:jc w:val="center"/>
              <w:rPr>
                <w:rFonts w:hint="default"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16</w:t>
            </w: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1</w:t>
            </w:r>
          </w:p>
        </w:tc>
        <w:tc>
          <w:tcPr>
            <w:tcW w:w="4026"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cs="Times New Roman"/>
                <w:color w:val="000000" w:themeColor="text1"/>
                <w:kern w:val="2"/>
                <w:sz w:val="21"/>
                <w:szCs w:val="21"/>
                <w:highlight w:val="none"/>
                <w:lang w:val="en-US" w:eastAsia="zh-CN" w:bidi="ar-SA"/>
                <w14:textFill>
                  <w14:solidFill>
                    <w14:schemeClr w14:val="tx1"/>
                  </w14:solidFill>
                </w14:textFill>
              </w:rPr>
              <w:t>医保智能检测系统</w:t>
            </w:r>
          </w:p>
        </w:tc>
        <w:tc>
          <w:tcPr>
            <w:tcW w:w="1880"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套</w:t>
            </w:r>
          </w:p>
        </w:tc>
        <w:tc>
          <w:tcPr>
            <w:tcW w:w="1279"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t>1</w:t>
            </w:r>
          </w:p>
        </w:tc>
        <w:tc>
          <w:tcPr>
            <w:tcW w:w="1052" w:type="dxa"/>
            <w:vAlign w:val="center"/>
          </w:tcPr>
          <w:p>
            <w:pPr>
              <w:snapToGrid w:val="0"/>
              <w:ind w:left="567" w:leftChars="0" w:hanging="567" w:firstLineChars="0"/>
              <w:jc w:val="center"/>
              <w:rPr>
                <w:rFonts w:hint="eastAsia" w:ascii="微软雅黑" w:hAnsi="微软雅黑" w:eastAsia="宋体" w:cs="Times New Roman"/>
                <w:color w:val="000000" w:themeColor="text1"/>
                <w:kern w:val="2"/>
                <w:sz w:val="21"/>
                <w:szCs w:val="21"/>
                <w:highlight w:val="none"/>
                <w:lang w:val="en-US" w:eastAsia="zh-CN" w:bidi="ar-SA"/>
                <w14:textFill>
                  <w14:solidFill>
                    <w14:schemeClr w14:val="tx1"/>
                  </w14:solidFill>
                </w14:textFill>
              </w:rPr>
            </w:pPr>
          </w:p>
        </w:tc>
      </w:tr>
    </w:tbl>
    <w:p>
      <w:pPr>
        <w:pStyle w:val="10"/>
        <w:spacing w:line="340" w:lineRule="exact"/>
        <w:ind w:firstLine="310" w:firstLineChars="147"/>
        <w:rPr>
          <w:rFonts w:hint="eastAsia" w:ascii="黑体" w:hAnsi="黑体" w:eastAsia="黑体"/>
          <w:b/>
          <w:bCs/>
          <w:color w:val="000000" w:themeColor="text1"/>
          <w:sz w:val="21"/>
          <w:szCs w:val="21"/>
          <w:highlight w:val="none"/>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00" w:lineRule="exact"/>
        <w:ind w:firstLine="310" w:firstLineChars="147"/>
        <w:textAlignment w:val="auto"/>
        <w:rPr>
          <w:rFonts w:hint="eastAsia" w:ascii="黑体" w:hAnsi="黑体" w:eastAsia="黑体"/>
          <w:b/>
          <w:bCs/>
          <w:color w:val="000000" w:themeColor="text1"/>
          <w:sz w:val="21"/>
          <w:szCs w:val="21"/>
          <w:highlight w:val="none"/>
          <w14:textFill>
            <w14:solidFill>
              <w14:schemeClr w14:val="tx1"/>
            </w14:solidFill>
          </w14:textFill>
        </w:rPr>
      </w:pPr>
      <w:r>
        <w:rPr>
          <w:rFonts w:hint="eastAsia" w:ascii="黑体" w:hAnsi="黑体" w:eastAsia="黑体"/>
          <w:b/>
          <w:bCs/>
          <w:color w:val="000000" w:themeColor="text1"/>
          <w:sz w:val="21"/>
          <w:szCs w:val="21"/>
          <w:highlight w:val="none"/>
          <w14:textFill>
            <w14:solidFill>
              <w14:schemeClr w14:val="tx1"/>
            </w14:solidFill>
          </w14:textFill>
        </w:rPr>
        <w:t>说明：</w:t>
      </w:r>
    </w:p>
    <w:p>
      <w:pPr>
        <w:pStyle w:val="10"/>
        <w:keepNext w:val="0"/>
        <w:keepLines w:val="0"/>
        <w:pageBreakBefore w:val="0"/>
        <w:widowControl/>
        <w:kinsoku/>
        <w:wordWrap/>
        <w:overflowPunct/>
        <w:topLinePunct w:val="0"/>
        <w:autoSpaceDE/>
        <w:autoSpaceDN/>
        <w:bidi w:val="0"/>
        <w:adjustRightInd/>
        <w:snapToGrid/>
        <w:spacing w:line="300" w:lineRule="exact"/>
        <w:ind w:firstLine="310" w:firstLineChars="147"/>
        <w:textAlignment w:val="auto"/>
        <w:rPr>
          <w:rFonts w:ascii="Tahoma" w:hAnsi="Tahoma" w:eastAsia="黑体" w:cs="Tahoma"/>
          <w:b/>
          <w:bCs/>
          <w:color w:val="000000" w:themeColor="text1"/>
          <w:sz w:val="21"/>
          <w:szCs w:val="21"/>
          <w:highlight w:val="none"/>
          <w14:textFill>
            <w14:solidFill>
              <w14:schemeClr w14:val="tx1"/>
            </w14:solidFill>
          </w14:textFill>
        </w:rPr>
      </w:pPr>
      <w:r>
        <w:rPr>
          <w:rFonts w:ascii="Tahoma" w:hAnsi="Tahoma" w:eastAsia="黑体" w:cs="Tahoma"/>
          <w:b/>
          <w:bCs/>
          <w:color w:val="000000" w:themeColor="text1"/>
          <w:sz w:val="21"/>
          <w:szCs w:val="21"/>
          <w:highlight w:val="none"/>
          <w14:textFill>
            <w14:solidFill>
              <w14:schemeClr w14:val="tx1"/>
            </w14:solidFill>
          </w14:textFill>
        </w:rPr>
        <w:t>1、上述除设备或产品费用外，应包括设备或产品的运输费、各种保险费用、包装费用、装卸（包括达到目的地后的卸车，短途运输）、保管费用、</w:t>
      </w:r>
      <w:r>
        <w:rPr>
          <w:rFonts w:hint="eastAsia" w:ascii="Tahoma" w:hAnsi="Tahoma" w:eastAsia="黑体" w:cs="Tahoma"/>
          <w:b/>
          <w:bCs/>
          <w:color w:val="000000" w:themeColor="text1"/>
          <w:sz w:val="21"/>
          <w:szCs w:val="21"/>
          <w:highlight w:val="none"/>
          <w:lang w:val="en-US" w:eastAsia="zh-CN"/>
          <w14:textFill>
            <w14:solidFill>
              <w14:schemeClr w14:val="tx1"/>
            </w14:solidFill>
          </w14:textFill>
        </w:rPr>
        <w:t>培训费、改装费、</w:t>
      </w:r>
      <w:r>
        <w:rPr>
          <w:rFonts w:ascii="Tahoma" w:hAnsi="Tahoma" w:eastAsia="黑体" w:cs="Tahoma"/>
          <w:b/>
          <w:bCs/>
          <w:color w:val="000000" w:themeColor="text1"/>
          <w:sz w:val="21"/>
          <w:szCs w:val="21"/>
          <w:highlight w:val="none"/>
          <w14:textFill>
            <w14:solidFill>
              <w14:schemeClr w14:val="tx1"/>
            </w14:solidFill>
          </w14:textFill>
        </w:rPr>
        <w:t>安装</w:t>
      </w:r>
      <w:r>
        <w:rPr>
          <w:rFonts w:hint="eastAsia" w:ascii="Tahoma" w:hAnsi="Tahoma" w:eastAsia="黑体" w:cs="Tahoma"/>
          <w:b/>
          <w:bCs/>
          <w:color w:val="000000" w:themeColor="text1"/>
          <w:sz w:val="21"/>
          <w:szCs w:val="21"/>
          <w:highlight w:val="none"/>
          <w14:textFill>
            <w14:solidFill>
              <w14:schemeClr w14:val="tx1"/>
            </w14:solidFill>
          </w14:textFill>
        </w:rPr>
        <w:t>（按参数要求中的图纸进行安装）</w:t>
      </w:r>
      <w:r>
        <w:rPr>
          <w:rFonts w:ascii="Tahoma" w:hAnsi="Tahoma" w:eastAsia="黑体" w:cs="Tahoma"/>
          <w:b/>
          <w:bCs/>
          <w:color w:val="000000" w:themeColor="text1"/>
          <w:sz w:val="21"/>
          <w:szCs w:val="21"/>
          <w:highlight w:val="none"/>
          <w14:textFill>
            <w14:solidFill>
              <w14:schemeClr w14:val="tx1"/>
            </w14:solidFill>
          </w14:textFill>
        </w:rPr>
        <w:t>、调试、试验或检验及验收费用、移交前的维护、移交等及各种税费等一切</w:t>
      </w:r>
      <w:r>
        <w:rPr>
          <w:rFonts w:hint="eastAsia" w:ascii="Tahoma" w:hAnsi="Tahoma" w:eastAsia="黑体" w:cs="Tahoma"/>
          <w:b/>
          <w:bCs/>
          <w:color w:val="000000" w:themeColor="text1"/>
          <w:sz w:val="21"/>
          <w:szCs w:val="21"/>
          <w:highlight w:val="none"/>
          <w:lang w:val="en-US" w:eastAsia="zh-CN"/>
          <w14:textFill>
            <w14:solidFill>
              <w14:schemeClr w14:val="tx1"/>
            </w14:solidFill>
          </w14:textFill>
        </w:rPr>
        <w:t>与本项目相关</w:t>
      </w:r>
      <w:r>
        <w:rPr>
          <w:rFonts w:ascii="Tahoma" w:hAnsi="Tahoma" w:eastAsia="黑体" w:cs="Tahoma"/>
          <w:b/>
          <w:bCs/>
          <w:color w:val="000000" w:themeColor="text1"/>
          <w:sz w:val="21"/>
          <w:szCs w:val="21"/>
          <w:highlight w:val="none"/>
          <w14:textFill>
            <w14:solidFill>
              <w14:schemeClr w14:val="tx1"/>
            </w14:solidFill>
          </w14:textFill>
        </w:rPr>
        <w:t>费用。</w:t>
      </w:r>
    </w:p>
    <w:p>
      <w:pPr>
        <w:keepNext w:val="0"/>
        <w:keepLines w:val="0"/>
        <w:pageBreakBefore w:val="0"/>
        <w:widowControl/>
        <w:kinsoku/>
        <w:wordWrap/>
        <w:overflowPunct/>
        <w:topLinePunct w:val="0"/>
        <w:autoSpaceDE/>
        <w:autoSpaceDN/>
        <w:bidi w:val="0"/>
        <w:adjustRightInd/>
        <w:snapToGrid/>
        <w:spacing w:line="300" w:lineRule="exact"/>
        <w:ind w:firstLine="310" w:firstLineChars="147"/>
        <w:jc w:val="left"/>
        <w:textAlignment w:val="auto"/>
        <w:rPr>
          <w:rFonts w:hint="eastAsia" w:ascii="Tahoma" w:hAnsi="Tahoma" w:eastAsia="黑体" w:cs="Tahoma"/>
          <w:b/>
          <w:bCs/>
          <w:color w:val="000000" w:themeColor="text1"/>
          <w:szCs w:val="21"/>
          <w:highlight w:val="none"/>
          <w:lang w:val="en-US" w:eastAsia="zh-CN"/>
          <w14:textFill>
            <w14:solidFill>
              <w14:schemeClr w14:val="tx1"/>
            </w14:solidFill>
          </w14:textFill>
        </w:rPr>
      </w:pPr>
      <w:r>
        <w:rPr>
          <w:rFonts w:ascii="Tahoma" w:hAnsi="Tahoma" w:eastAsia="黑体" w:cs="Tahoma"/>
          <w:b/>
          <w:bCs/>
          <w:color w:val="000000" w:themeColor="text1"/>
          <w:szCs w:val="21"/>
          <w:highlight w:val="none"/>
          <w14:textFill>
            <w14:solidFill>
              <w14:schemeClr w14:val="tx1"/>
            </w14:solidFill>
          </w14:textFill>
        </w:rPr>
        <w:t>2、供应商所提供的设备或产品的费用除主体外，包括其全部配套附件、附属设备、配套设备等，需进行组装或拼装的设备应是完整、成套、满足功能要求的产品，其价格除主体外还应包括其足够安装母体和连接、紧固相关设备的零部件等全部配套设备和附件的费用</w:t>
      </w:r>
      <w:r>
        <w:rPr>
          <w:rFonts w:hint="eastAsia" w:ascii="Tahoma" w:hAnsi="Tahoma" w:eastAsia="黑体" w:cs="Tahoma"/>
          <w:b/>
          <w:bCs/>
          <w:color w:val="000000" w:themeColor="text1"/>
          <w:szCs w:val="21"/>
          <w:highlight w:val="none"/>
          <w:lang w:eastAsia="zh-CN"/>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napToGrid/>
        <w:spacing w:line="300" w:lineRule="exact"/>
        <w:ind w:firstLine="310" w:firstLineChars="147"/>
        <w:textAlignment w:val="auto"/>
        <w:rPr>
          <w:rFonts w:hint="default" w:ascii="黑体" w:hAnsi="黑体" w:eastAsia="黑体"/>
          <w:b/>
          <w:bCs/>
          <w:color w:val="000000" w:themeColor="text1"/>
          <w:sz w:val="21"/>
          <w:szCs w:val="21"/>
          <w:highlight w:val="none"/>
          <w:lang w:val="en-US"/>
          <w14:textFill>
            <w14:solidFill>
              <w14:schemeClr w14:val="tx1"/>
            </w14:solidFill>
          </w14:textFill>
        </w:rPr>
      </w:pPr>
      <w:r>
        <w:rPr>
          <w:rFonts w:hint="eastAsia" w:ascii="黑体" w:hAnsi="黑体" w:eastAsia="黑体"/>
          <w:b/>
          <w:bCs/>
          <w:color w:val="000000" w:themeColor="text1"/>
          <w:sz w:val="21"/>
          <w:szCs w:val="21"/>
          <w:highlight w:val="none"/>
          <w:lang w:val="en-US" w:eastAsia="zh-CN"/>
          <w14:textFill>
            <w14:solidFill>
              <w14:schemeClr w14:val="tx1"/>
            </w14:solidFill>
          </w14:textFill>
        </w:rPr>
        <w:t>3、中标人在实施本院软、硬件部分要与招标人原系统无缝衔接，如发生与原软、硬件部分实施不畅通或技术指标对接出现重大问题，可与招标人沟通重新按照（不低于原要求）开发系统，招标人不再承担任何费用。</w:t>
      </w: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cs="Tahoma"/>
          <w:color w:val="000000" w:themeColor="text1"/>
          <w:highlight w:val="none"/>
          <w14:textFill>
            <w14:solidFill>
              <w14:schemeClr w14:val="tx1"/>
            </w14:solidFill>
          </w14:textFill>
        </w:rPr>
      </w:pPr>
      <w:r>
        <w:rPr>
          <w:rFonts w:ascii="Tahoma" w:hAnsi="Tahoma" w:eastAsia="黑体" w:cs="Tahoma"/>
          <w:b/>
          <w:bCs/>
          <w:color w:val="000000" w:themeColor="text1"/>
          <w:sz w:val="44"/>
          <w:highlight w:val="none"/>
          <w14:textFill>
            <w14:solidFill>
              <w14:schemeClr w14:val="tx1"/>
            </w14:solidFill>
          </w14:textFill>
        </w:rPr>
        <w:t>第六章  技术标准及要求</w:t>
      </w:r>
      <w:bookmarkEnd w:id="27"/>
      <w:bookmarkEnd w:id="28"/>
    </w:p>
    <w:p>
      <w:pPr>
        <w:pStyle w:val="16"/>
        <w:rPr>
          <w:rFonts w:ascii="Tahoma" w:hAnsi="Tahoma" w:cs="Tahoma"/>
          <w:color w:val="000000" w:themeColor="text1"/>
          <w:highlight w:val="none"/>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bookmarkStart w:id="29" w:name="_Toc61318613"/>
      <w:bookmarkStart w:id="30" w:name="_Toc71087056"/>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pStyle w:val="2"/>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pStyle w:val="2"/>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ascii="Tahoma" w:hAnsi="Tahoma" w:eastAsia="黑体" w:cs="Tahoma"/>
          <w:b/>
          <w:color w:val="000000" w:themeColor="text1"/>
          <w:sz w:val="28"/>
          <w:szCs w:val="28"/>
          <w:highlight w:val="none"/>
          <w14:textFill>
            <w14:solidFill>
              <w14:schemeClr w14:val="tx1"/>
            </w14:solidFill>
          </w14:textFill>
        </w:rPr>
      </w:pPr>
      <w:r>
        <w:rPr>
          <w:rFonts w:hint="eastAsia" w:ascii="Tahoma" w:hAnsi="Tahoma" w:eastAsia="黑体" w:cs="Tahoma"/>
          <w:b/>
          <w:color w:val="000000" w:themeColor="text1"/>
          <w:sz w:val="28"/>
          <w:szCs w:val="28"/>
          <w:highlight w:val="none"/>
          <w:lang w:val="en-US" w:eastAsia="zh-CN"/>
          <w14:textFill>
            <w14:solidFill>
              <w14:schemeClr w14:val="tx1"/>
            </w14:solidFill>
          </w14:textFill>
        </w:rPr>
        <w:t>1</w:t>
      </w:r>
      <w:r>
        <w:rPr>
          <w:rFonts w:ascii="Tahoma" w:hAnsi="Tahoma" w:eastAsia="黑体" w:cs="Tahoma"/>
          <w:b/>
          <w:color w:val="000000" w:themeColor="text1"/>
          <w:sz w:val="28"/>
          <w:szCs w:val="28"/>
          <w:highlight w:val="none"/>
          <w14:textFill>
            <w14:solidFill>
              <w14:schemeClr w14:val="tx1"/>
            </w14:solidFill>
          </w14:textFill>
        </w:rPr>
        <w:t>、一般规定</w:t>
      </w:r>
    </w:p>
    <w:p>
      <w:pPr>
        <w:keepNext w:val="0"/>
        <w:keepLines w:val="0"/>
        <w:pageBreakBefore w:val="0"/>
        <w:widowControl/>
        <w:tabs>
          <w:tab w:val="left" w:pos="502"/>
          <w:tab w:val="left" w:pos="753"/>
        </w:tabs>
        <w:kinsoku/>
        <w:wordWrap/>
        <w:overflowPunct/>
        <w:topLinePunct w:val="0"/>
        <w:autoSpaceDE w:val="0"/>
        <w:autoSpaceDN w:val="0"/>
        <w:bidi w:val="0"/>
        <w:adjustRightInd/>
        <w:spacing w:line="320" w:lineRule="exact"/>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1.1、供方责任</w:t>
      </w:r>
    </w:p>
    <w:p>
      <w:pPr>
        <w:keepNext w:val="0"/>
        <w:keepLines w:val="0"/>
        <w:pageBreakBefore w:val="0"/>
        <w:widowControl/>
        <w:tabs>
          <w:tab w:val="left" w:pos="502"/>
          <w:tab w:val="left" w:pos="753"/>
        </w:tabs>
        <w:kinsoku/>
        <w:wordWrap/>
        <w:overflowPunct/>
        <w:topLinePunct w:val="0"/>
        <w:autoSpaceDE w:val="0"/>
        <w:autoSpaceDN w:val="0"/>
        <w:bidi w:val="0"/>
        <w:adjustRightInd/>
        <w:spacing w:line="320" w:lineRule="exact"/>
        <w:ind w:firstLine="210" w:firstLineChars="100"/>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（1）供方负责所供设备制造、供应、质量的检测、检验、</w:t>
      </w:r>
      <w:r>
        <w:rPr>
          <w:rFonts w:hint="eastAsia" w:ascii="Tahoma" w:hAnsi="Tahoma" w:cs="Tahoma"/>
          <w:color w:val="000000" w:themeColor="text1"/>
          <w:szCs w:val="21"/>
          <w:highlight w:val="none"/>
          <w14:textFill>
            <w14:solidFill>
              <w14:schemeClr w14:val="tx1"/>
            </w14:solidFill>
          </w14:textFill>
        </w:rPr>
        <w:t>运输配送、售后服务</w:t>
      </w:r>
      <w:r>
        <w:rPr>
          <w:rFonts w:ascii="Tahoma" w:hAnsi="Tahoma" w:cs="Tahoma"/>
          <w:color w:val="000000" w:themeColor="text1"/>
          <w:szCs w:val="21"/>
          <w:highlight w:val="none"/>
          <w14:textFill>
            <w14:solidFill>
              <w14:schemeClr w14:val="tx1"/>
            </w14:solidFill>
          </w14:textFill>
        </w:rPr>
        <w:t>等工作，以及提供为完成上述所需的全部人工、材料、专用工具、交通运输、和一切辅助作业及辅助设施等。</w:t>
      </w:r>
    </w:p>
    <w:p>
      <w:pPr>
        <w:keepNext w:val="0"/>
        <w:keepLines w:val="0"/>
        <w:pageBreakBefore w:val="0"/>
        <w:widowControl/>
        <w:tabs>
          <w:tab w:val="left" w:pos="502"/>
          <w:tab w:val="left" w:pos="753"/>
        </w:tabs>
        <w:kinsoku/>
        <w:wordWrap/>
        <w:overflowPunct/>
        <w:topLinePunct w:val="0"/>
        <w:autoSpaceDE w:val="0"/>
        <w:autoSpaceDN w:val="0"/>
        <w:bidi w:val="0"/>
        <w:adjustRightInd/>
        <w:spacing w:line="320" w:lineRule="exact"/>
        <w:ind w:firstLine="210" w:firstLineChars="100"/>
        <w:textAlignment w:val="bottom"/>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（2）供方应负责设备达到要求的各项功能、技术性能、指标和参数。</w:t>
      </w:r>
    </w:p>
    <w:p>
      <w:pPr>
        <w:pStyle w:val="10"/>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 w:val="21"/>
          <w:szCs w:val="21"/>
          <w:highlight w:val="none"/>
          <w14:textFill>
            <w14:solidFill>
              <w14:schemeClr w14:val="tx1"/>
            </w14:solidFill>
          </w14:textFill>
        </w:rPr>
      </w:pPr>
      <w:r>
        <w:rPr>
          <w:rFonts w:ascii="Tahoma" w:hAnsi="Tahoma" w:cs="Tahoma"/>
          <w:color w:val="000000" w:themeColor="text1"/>
          <w:sz w:val="21"/>
          <w:szCs w:val="21"/>
          <w:highlight w:val="none"/>
          <w14:textFill>
            <w14:solidFill>
              <w14:schemeClr w14:val="tx1"/>
            </w14:solidFill>
          </w14:textFill>
        </w:rPr>
        <w:t>（3）供方提供的设备、配套附属设备必须符合国家、或行业的相关的规范规定的技术要求、质量标准，并承担缺陷责任与保修责任。</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（4）设备应取得国家有关的强制性认证、质量体系认证、具备有关部门批准的生产（经验、销售）许可证书、质量合格证书等。</w:t>
      </w:r>
    </w:p>
    <w:p>
      <w:pPr>
        <w:pStyle w:val="26"/>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5）所供产品的各项功能指标和参数应符合验收标准，需方有权委托中国境内有资格的单位或机构（权威专家）对设备的性能、指标进行检测或校核。以确定是否符合国家或行业的有关质量标准及要求，其检测费用由供应商承担。</w:t>
      </w:r>
    </w:p>
    <w:p>
      <w:pPr>
        <w:pStyle w:val="26"/>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（6）设备如需要特殊工作条件（如：电源、特殊环境温度、湿度等），应在相关的技术文件中加以说明。</w:t>
      </w:r>
    </w:p>
    <w:p>
      <w:pPr>
        <w:pStyle w:val="26"/>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（7）投标人提供的设备（包括各项配置）必须采用的是最成熟、最先进和可靠的技术，一旦发现采用的技术（或配置）已被淘汰或即将被淘汰，由此而引起的一切法律、经济责任将由供方承担。</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1.2、交货（安装调试、验收、移交）期</w:t>
      </w:r>
    </w:p>
    <w:p>
      <w:pPr>
        <w:keepNext w:val="0"/>
        <w:keepLines w:val="0"/>
        <w:pageBreakBefore w:val="0"/>
        <w:widowControl/>
        <w:tabs>
          <w:tab w:val="left" w:pos="900"/>
        </w:tabs>
        <w:kinsoku/>
        <w:wordWrap/>
        <w:overflowPunct/>
        <w:topLinePunct w:val="0"/>
        <w:bidi w:val="0"/>
        <w:adjustRightInd/>
        <w:snapToGrid w:val="0"/>
        <w:spacing w:line="320" w:lineRule="exact"/>
        <w:ind w:firstLine="205" w:firstLineChars="98"/>
        <w:rPr>
          <w:rFonts w:ascii="Tahoma" w:hAnsi="Tahoma" w:cs="Tahoma"/>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w:t>
      </w:r>
      <w:r>
        <w:rPr>
          <w:rFonts w:ascii="Tahoma" w:hAnsi="Tahoma" w:cs="Tahoma"/>
          <w:color w:val="000000" w:themeColor="text1"/>
          <w:szCs w:val="21"/>
          <w:highlight w:val="none"/>
          <w14:textFill>
            <w14:solidFill>
              <w14:schemeClr w14:val="tx1"/>
            </w14:solidFill>
          </w14:textFill>
        </w:rPr>
        <w:t>供应商必须于</w:t>
      </w:r>
      <w:r>
        <w:rPr>
          <w:rFonts w:hint="eastAsia" w:ascii="Tahoma" w:hAnsi="Tahoma" w:cs="Tahoma"/>
          <w:color w:val="000000" w:themeColor="text1"/>
          <w:szCs w:val="21"/>
          <w:highlight w:val="none"/>
          <w14:textFill>
            <w14:solidFill>
              <w14:schemeClr w14:val="tx1"/>
            </w14:solidFill>
          </w14:textFill>
        </w:rPr>
        <w:t>合同签订后</w:t>
      </w:r>
      <w:r>
        <w:rPr>
          <w:rFonts w:hint="eastAsia" w:ascii="Tahoma" w:hAnsi="Tahoma" w:cs="Tahoma"/>
          <w:color w:val="000000" w:themeColor="text1"/>
          <w:szCs w:val="21"/>
          <w:highlight w:val="none"/>
          <w:lang w:val="en-US" w:eastAsia="zh-CN"/>
          <w14:textFill>
            <w14:solidFill>
              <w14:schemeClr w14:val="tx1"/>
            </w14:solidFill>
          </w14:textFill>
        </w:rPr>
        <w:t>2个月内</w:t>
      </w:r>
      <w:r>
        <w:rPr>
          <w:rFonts w:ascii="Tahoma" w:hAnsi="Tahoma" w:cs="Tahoma"/>
          <w:color w:val="000000" w:themeColor="text1"/>
          <w:szCs w:val="21"/>
          <w:highlight w:val="none"/>
          <w14:textFill>
            <w14:solidFill>
              <w14:schemeClr w14:val="tx1"/>
            </w14:solidFill>
          </w14:textFill>
        </w:rPr>
        <w:t>完成全部采购设备或产品的到场，并完成设备或产品的安装、调试、试运行，验收、移交前维护、</w:t>
      </w:r>
      <w:r>
        <w:rPr>
          <w:rFonts w:hint="eastAsia" w:ascii="Tahoma" w:hAnsi="Tahoma" w:cs="Tahoma"/>
          <w:color w:val="000000" w:themeColor="text1"/>
          <w:szCs w:val="21"/>
          <w:highlight w:val="none"/>
          <w:lang w:val="en-US" w:eastAsia="zh-CN"/>
          <w14:textFill>
            <w14:solidFill>
              <w14:schemeClr w14:val="tx1"/>
            </w14:solidFill>
          </w14:textFill>
        </w:rPr>
        <w:t>培训、</w:t>
      </w:r>
      <w:r>
        <w:rPr>
          <w:rFonts w:ascii="Tahoma" w:hAnsi="Tahoma" w:cs="Tahoma"/>
          <w:color w:val="000000" w:themeColor="text1"/>
          <w:szCs w:val="21"/>
          <w:highlight w:val="none"/>
          <w14:textFill>
            <w14:solidFill>
              <w14:schemeClr w14:val="tx1"/>
            </w14:solidFill>
          </w14:textFill>
        </w:rPr>
        <w:t>移交使设备或产品按期投入运行</w:t>
      </w:r>
      <w:r>
        <w:rPr>
          <w:rFonts w:hint="eastAsia" w:ascii="Tahoma" w:hAnsi="Tahoma" w:cs="Tahoma"/>
          <w:color w:val="000000" w:themeColor="text1"/>
          <w:szCs w:val="21"/>
          <w:highlight w:val="none"/>
          <w14:textFill>
            <w14:solidFill>
              <w14:schemeClr w14:val="tx1"/>
            </w14:solidFill>
          </w14:textFill>
        </w:rPr>
        <w:t>，逾期未交付使用招标人有权取消其中标资格并扣取全部履约保证金。</w:t>
      </w:r>
    </w:p>
    <w:p>
      <w:pPr>
        <w:keepNext w:val="0"/>
        <w:keepLines w:val="0"/>
        <w:pageBreakBefore w:val="0"/>
        <w:widowControl/>
        <w:kinsoku/>
        <w:wordWrap/>
        <w:overflowPunct/>
        <w:topLinePunct w:val="0"/>
        <w:bidi w:val="0"/>
        <w:adjustRightInd/>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1.3、实施地点：</w:t>
      </w:r>
      <w:r>
        <w:rPr>
          <w:rFonts w:ascii="Tahoma" w:hAnsi="Tahoma" w:cs="Tahoma"/>
          <w:bCs/>
          <w:color w:val="000000" w:themeColor="text1"/>
          <w:szCs w:val="21"/>
          <w:highlight w:val="none"/>
          <w14:textFill>
            <w14:solidFill>
              <w14:schemeClr w14:val="tx1"/>
            </w14:solidFill>
          </w14:textFill>
        </w:rPr>
        <w:t>由</w:t>
      </w:r>
      <w:r>
        <w:rPr>
          <w:rFonts w:hint="eastAsia" w:ascii="Tahoma" w:hAnsi="Tahoma" w:cs="Tahoma"/>
          <w:color w:val="000000" w:themeColor="text1"/>
          <w:szCs w:val="21"/>
          <w:highlight w:val="none"/>
          <w14:textFill>
            <w14:solidFill>
              <w14:schemeClr w14:val="tx1"/>
            </w14:solidFill>
          </w14:textFill>
        </w:rPr>
        <w:t>和田县人民医院</w:t>
      </w:r>
      <w:r>
        <w:rPr>
          <w:rFonts w:ascii="Tahoma" w:hAnsi="Tahoma" w:cs="Tahoma"/>
          <w:color w:val="000000" w:themeColor="text1"/>
          <w:szCs w:val="21"/>
          <w:highlight w:val="none"/>
          <w14:textFill>
            <w14:solidFill>
              <w14:schemeClr w14:val="tx1"/>
            </w14:solidFill>
          </w14:textFill>
        </w:rPr>
        <w:t>指定（项目现场）。</w:t>
      </w:r>
    </w:p>
    <w:p>
      <w:pPr>
        <w:keepNext w:val="0"/>
        <w:keepLines w:val="0"/>
        <w:pageBreakBefore w:val="0"/>
        <w:widowControl/>
        <w:kinsoku/>
        <w:wordWrap/>
        <w:overflowPunct/>
        <w:topLinePunct w:val="0"/>
        <w:bidi w:val="0"/>
        <w:adjustRightInd/>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1.4采购标的的验收标准：</w:t>
      </w:r>
      <w:r>
        <w:rPr>
          <w:rFonts w:ascii="Tahoma" w:hAnsi="Tahoma" w:cs="Tahoma"/>
          <w:color w:val="000000" w:themeColor="text1"/>
          <w:highlight w:val="none"/>
          <w14:textFill>
            <w14:solidFill>
              <w14:schemeClr w14:val="tx1"/>
            </w14:solidFill>
          </w14:textFill>
        </w:rPr>
        <w:t>根据不同货物（设备或产品）按国家或行业颁布的最新有关标准及招标文件规定的技术参数、质量要求、性能指标等进行验收。</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eastAsia="黑体"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1.5、</w:t>
      </w:r>
      <w:r>
        <w:rPr>
          <w:rFonts w:ascii="Tahoma" w:hAnsi="Tahoma" w:eastAsia="黑体" w:cs="Tahoma"/>
          <w:b/>
          <w:color w:val="000000" w:themeColor="text1"/>
          <w:szCs w:val="21"/>
          <w:highlight w:val="none"/>
          <w14:textFill>
            <w14:solidFill>
              <w14:schemeClr w14:val="tx1"/>
            </w14:solidFill>
          </w14:textFill>
        </w:rPr>
        <w:t>设备的安装、调试</w:t>
      </w:r>
    </w:p>
    <w:p>
      <w:pPr>
        <w:keepNext w:val="0"/>
        <w:keepLines w:val="0"/>
        <w:pageBreakBefore w:val="0"/>
        <w:widowControl/>
        <w:tabs>
          <w:tab w:val="left" w:pos="900"/>
        </w:tabs>
        <w:kinsoku/>
        <w:wordWrap/>
        <w:overflowPunct/>
        <w:topLinePunct w:val="0"/>
        <w:bidi w:val="0"/>
        <w:adjustRightInd/>
        <w:snapToGrid w:val="0"/>
        <w:spacing w:line="320" w:lineRule="exact"/>
        <w:ind w:firstLine="207" w:firstLineChars="99"/>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（1）供应商负责供应设备的安装、调试、试运行执行《通用合同条款》、《专用合同条款》的第6条的有关规定，并按有关规定完成检测、验收并交付使用。</w:t>
      </w:r>
    </w:p>
    <w:p>
      <w:pPr>
        <w:keepNext w:val="0"/>
        <w:keepLines w:val="0"/>
        <w:pageBreakBefore w:val="0"/>
        <w:widowControl/>
        <w:tabs>
          <w:tab w:val="left" w:pos="900"/>
        </w:tabs>
        <w:kinsoku/>
        <w:wordWrap/>
        <w:overflowPunct/>
        <w:topLinePunct w:val="0"/>
        <w:bidi w:val="0"/>
        <w:adjustRightInd/>
        <w:snapToGrid w:val="0"/>
        <w:spacing w:line="320" w:lineRule="exact"/>
        <w:ind w:firstLine="207" w:firstLineChars="99"/>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采购人有权免费获取有关采购设备的详细技术资料，供应商所供设备必须严格按厂家提供的安装详图进行安装、调试等，并最终符合验收合格要求。供应商应自行至项目现场进行踏勘和对设备或产品的安装环境进行测定，因所供设备的安装尺寸不相匹配或与所安装地的尺寸不相匹配的，由此造成的需要对安装环境或设备改造（或更换设备等）等一切费用由供应商自行承担，采购人不再另行支付。</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1.6、报价</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（1）在技术要求不低于招标文件中要求的条件下，按</w:t>
      </w:r>
      <w:r>
        <w:rPr>
          <w:rFonts w:ascii="Tahoma" w:hAnsi="Tahoma" w:cs="Tahoma"/>
          <w:color w:val="000000" w:themeColor="text1"/>
          <w:szCs w:val="21"/>
          <w:highlight w:val="none"/>
          <w14:textFill>
            <w14:solidFill>
              <w14:schemeClr w14:val="tx1"/>
            </w14:solidFill>
          </w14:textFill>
        </w:rPr>
        <w:t>《设备（产品）采购清单》</w:t>
      </w:r>
      <w:r>
        <w:rPr>
          <w:rFonts w:ascii="Tahoma" w:hAnsi="Tahoma" w:cs="Tahoma"/>
          <w:bCs/>
          <w:color w:val="000000" w:themeColor="text1"/>
          <w:szCs w:val="21"/>
          <w:highlight w:val="none"/>
          <w14:textFill>
            <w14:solidFill>
              <w14:schemeClr w14:val="tx1"/>
            </w14:solidFill>
          </w14:textFill>
        </w:rPr>
        <w:t>中提供的设备（产品）清单进行报价，报价均采用：人民币报价。</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（2）其他费用的处理：招标文件中未列明而供应商认为必须列入的费用（如：安装费、配套附件等）由供应商列入报价中。</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bCs/>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（3）报价范围应包括《通用合同条款》、《专用合同条款》第15条</w:t>
      </w:r>
      <w:r>
        <w:rPr>
          <w:rFonts w:ascii="Tahoma" w:hAnsi="Tahoma" w:cs="Tahoma"/>
          <w:color w:val="000000" w:themeColor="text1"/>
          <w:szCs w:val="21"/>
          <w:highlight w:val="none"/>
          <w14:textFill>
            <w14:solidFill>
              <w14:schemeClr w14:val="tx1"/>
            </w14:solidFill>
          </w14:textFill>
        </w:rPr>
        <w:t>的规定。</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b/>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（4）报价方式：分项报价。</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cs="Tahoma"/>
          <w:b/>
          <w:bCs/>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1.7、</w:t>
      </w:r>
      <w:r>
        <w:rPr>
          <w:rFonts w:ascii="Tahoma" w:hAnsi="Tahoma" w:cs="Tahoma"/>
          <w:b/>
          <w:bCs/>
          <w:color w:val="000000" w:themeColor="text1"/>
          <w:szCs w:val="21"/>
          <w:highlight w:val="none"/>
          <w14:textFill>
            <w14:solidFill>
              <w14:schemeClr w14:val="tx1"/>
            </w14:solidFill>
          </w14:textFill>
        </w:rPr>
        <w:t>付款方式及比例</w:t>
      </w:r>
    </w:p>
    <w:p>
      <w:pPr>
        <w:keepNext w:val="0"/>
        <w:keepLines w:val="0"/>
        <w:pageBreakBefore w:val="0"/>
        <w:widowControl/>
        <w:tabs>
          <w:tab w:val="left" w:pos="900"/>
        </w:tabs>
        <w:kinsoku/>
        <w:wordWrap/>
        <w:overflowPunct/>
        <w:topLinePunct w:val="0"/>
        <w:bidi w:val="0"/>
        <w:adjustRightInd/>
        <w:snapToGrid w:val="0"/>
        <w:spacing w:line="32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本采购项目合同价款的支付方式为：</w:t>
      </w:r>
      <w:r>
        <w:rPr>
          <w:rFonts w:ascii="Tahoma" w:hAnsi="Tahoma" w:cs="Tahoma"/>
          <w:bCs/>
          <w:color w:val="000000" w:themeColor="text1"/>
          <w:szCs w:val="21"/>
          <w:highlight w:val="none"/>
          <w14:textFill>
            <w14:solidFill>
              <w14:schemeClr w14:val="tx1"/>
            </w14:solidFill>
          </w14:textFill>
        </w:rPr>
        <w:t>供方</w:t>
      </w:r>
      <w:r>
        <w:rPr>
          <w:rFonts w:ascii="Tahoma" w:hAnsi="Tahoma" w:cs="Tahoma"/>
          <w:color w:val="000000" w:themeColor="text1"/>
          <w:szCs w:val="21"/>
          <w:highlight w:val="none"/>
          <w14:textFill>
            <w14:solidFill>
              <w14:schemeClr w14:val="tx1"/>
            </w14:solidFill>
          </w14:textFill>
        </w:rPr>
        <w:t>与中标单位签订合同，经批准合同生效后，</w:t>
      </w:r>
      <w:r>
        <w:rPr>
          <w:rFonts w:hint="eastAsia" w:ascii="Tahoma" w:hAnsi="Tahoma" w:cs="Tahoma"/>
          <w:color w:val="000000" w:themeColor="text1"/>
          <w:szCs w:val="21"/>
          <w:highlight w:val="none"/>
          <w14:textFill>
            <w14:solidFill>
              <w14:schemeClr w14:val="tx1"/>
            </w14:solidFill>
          </w14:textFill>
        </w:rPr>
        <w:t>按合同约定的支付方式进行支付，可能存在延期支付，供方需承担延期支付的风险，敬请各供应商注意！</w:t>
      </w:r>
    </w:p>
    <w:p>
      <w:pPr>
        <w:keepNext w:val="0"/>
        <w:keepLines w:val="0"/>
        <w:pageBreakBefore w:val="0"/>
        <w:widowControl/>
        <w:kinsoku/>
        <w:wordWrap/>
        <w:overflowPunct/>
        <w:topLinePunct w:val="0"/>
        <w:bidi w:val="0"/>
        <w:adjustRightInd/>
        <w:spacing w:line="32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r>
        <w:rPr>
          <w:rFonts w:hint="eastAsia" w:ascii="Tahoma" w:hAnsi="Tahoma" w:cs="Tahoma"/>
          <w:color w:val="000000" w:themeColor="text1"/>
          <w:szCs w:val="21"/>
          <w:highlight w:val="none"/>
          <w14:textFill>
            <w14:solidFill>
              <w14:schemeClr w14:val="tx1"/>
            </w14:solidFill>
          </w14:textFill>
        </w:rPr>
        <w:t>如合同另有约定的，则从其约定。</w:t>
      </w:r>
    </w:p>
    <w:p>
      <w:pPr>
        <w:keepNext w:val="0"/>
        <w:keepLines w:val="0"/>
        <w:pageBreakBefore w:val="0"/>
        <w:widowControl/>
        <w:tabs>
          <w:tab w:val="left" w:pos="900"/>
        </w:tabs>
        <w:kinsoku/>
        <w:wordWrap/>
        <w:overflowPunct/>
        <w:topLinePunct w:val="0"/>
        <w:bidi w:val="0"/>
        <w:adjustRightInd/>
        <w:snapToGrid w:val="0"/>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1.8、技术文件</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为确保供货设备的验收、安装、运行及维护，供应商按《通用合同条款》、《专用合同条款》的有关规定，向用户提供完整的使用说明手册、维护保养（各类图纸、光盘，如有密码，则密码开放）等技术文件，并对所提供的全部技术资料的准确性和适用性负责。</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（2）供方提供的文件和资料能保证满足购方进行设备操作、维护的需要。在合同签订后我方将按购方要求提供所有技术文件和有关技术资料。</w:t>
      </w:r>
    </w:p>
    <w:p>
      <w:pPr>
        <w:keepNext w:val="0"/>
        <w:keepLines w:val="0"/>
        <w:pageBreakBefore w:val="0"/>
        <w:widowControl/>
        <w:kinsoku/>
        <w:wordWrap/>
        <w:overflowPunct/>
        <w:topLinePunct w:val="0"/>
        <w:bidi w:val="0"/>
        <w:adjustRightInd/>
        <w:spacing w:line="320" w:lineRule="exact"/>
        <w:rPr>
          <w:rFonts w:ascii="Tahoma" w:hAnsi="Tahoma" w:cs="Tahoma"/>
          <w:b/>
          <w:color w:val="000000" w:themeColor="text1"/>
          <w:szCs w:val="21"/>
          <w:highlight w:val="none"/>
          <w14:textFill>
            <w14:solidFill>
              <w14:schemeClr w14:val="tx1"/>
            </w14:solidFill>
          </w14:textFill>
        </w:rPr>
      </w:pPr>
      <w:bookmarkStart w:id="31" w:name="_Toc71087055"/>
      <w:r>
        <w:rPr>
          <w:rFonts w:ascii="Tahoma" w:hAnsi="Tahoma" w:cs="Tahoma"/>
          <w:b/>
          <w:color w:val="000000" w:themeColor="text1"/>
          <w:szCs w:val="21"/>
          <w:highlight w:val="none"/>
          <w14:textFill>
            <w14:solidFill>
              <w14:schemeClr w14:val="tx1"/>
            </w14:solidFill>
          </w14:textFill>
        </w:rPr>
        <w:t>1.</w:t>
      </w:r>
      <w:r>
        <w:rPr>
          <w:rFonts w:hint="eastAsia" w:ascii="Tahoma" w:hAnsi="Tahoma" w:cs="Tahoma"/>
          <w:b/>
          <w:color w:val="000000" w:themeColor="text1"/>
          <w:szCs w:val="21"/>
          <w:highlight w:val="none"/>
          <w14:textFill>
            <w14:solidFill>
              <w14:schemeClr w14:val="tx1"/>
            </w14:solidFill>
          </w14:textFill>
        </w:rPr>
        <w:t>9</w:t>
      </w:r>
      <w:r>
        <w:rPr>
          <w:rFonts w:ascii="Tahoma" w:hAnsi="Tahoma" w:cs="Tahoma"/>
          <w:b/>
          <w:color w:val="000000" w:themeColor="text1"/>
          <w:szCs w:val="21"/>
          <w:highlight w:val="none"/>
          <w14:textFill>
            <w14:solidFill>
              <w14:schemeClr w14:val="tx1"/>
            </w14:solidFill>
          </w14:textFill>
        </w:rPr>
        <w:t>、售后服务</w:t>
      </w:r>
      <w:bookmarkEnd w:id="31"/>
    </w:p>
    <w:p>
      <w:pPr>
        <w:keepNext w:val="0"/>
        <w:keepLines w:val="0"/>
        <w:pageBreakBefore w:val="0"/>
        <w:widowControl/>
        <w:tabs>
          <w:tab w:val="left" w:pos="900"/>
        </w:tabs>
        <w:kinsoku/>
        <w:wordWrap/>
        <w:overflowPunct/>
        <w:topLinePunct w:val="0"/>
        <w:bidi w:val="0"/>
        <w:adjustRightInd/>
        <w:snapToGrid w:val="0"/>
        <w:spacing w:line="320" w:lineRule="exact"/>
        <w:ind w:firstLine="411" w:firstLineChars="196"/>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供方必须严格遵守《通用合同条款》、《专用合同条款》和投标文件中的承诺的有关规定为用户提供售后服务及其他类似服务，包括：</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（1）保证为购方提供优质、快捷的技术服务。</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（2）为了确保系统的正常使用及时解答采购方提出的疑问，帮助解决问题，负责对系统的使用提供技术咨询服务。</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（3）供应商应有专业的售后服务机构及技术人员，在满足紧急服务要求范围内，。</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（4）保证在接到请求技术服务</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lang w:val="en-US" w:eastAsia="zh-CN"/>
          <w14:textFill>
            <w14:solidFill>
              <w14:schemeClr w14:val="tx1"/>
            </w14:solidFill>
          </w14:textFill>
        </w:rPr>
        <w:t>2</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小时内予以响应，在</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lang w:val="en-US" w:eastAsia="zh-CN"/>
          <w14:textFill>
            <w14:solidFill>
              <w14:schemeClr w14:val="tx1"/>
            </w14:solidFill>
          </w14:textFill>
        </w:rPr>
        <w:t>4</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小时内（如遇不可抗力因素除外）派出技术人员赶赴现场解决问题。</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（5）设备维修所需常规零备件在三个工作日内到达最终用户，非常规零备件在最长不超过七个工作日内到达最终用户。</w:t>
      </w:r>
    </w:p>
    <w:p>
      <w:pPr>
        <w:keepNext w:val="0"/>
        <w:keepLines w:val="0"/>
        <w:pageBreakBefore w:val="0"/>
        <w:widowControl/>
        <w:tabs>
          <w:tab w:val="left" w:pos="900"/>
        </w:tabs>
        <w:kinsoku/>
        <w:wordWrap/>
        <w:overflowPunct/>
        <w:topLinePunct w:val="0"/>
        <w:bidi w:val="0"/>
        <w:adjustRightInd/>
        <w:snapToGrid w:val="0"/>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（6）保证维修中所更换的备件为原厂生产或原装进口（如原件为原装进口）。</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7</w:t>
      </w:r>
      <w:r>
        <w:rPr>
          <w:rFonts w:ascii="Tahoma" w:hAnsi="Tahoma" w:cs="Tahoma"/>
          <w:color w:val="000000" w:themeColor="text1"/>
          <w:szCs w:val="21"/>
          <w:highlight w:val="none"/>
          <w14:textFill>
            <w14:solidFill>
              <w14:schemeClr w14:val="tx1"/>
            </w14:solidFill>
          </w14:textFill>
        </w:rPr>
        <w:t>）及时准确地予以满足采购人对设备进行长期维护（维修）的需要，在保修期内对出现任何质量问题，随时由我公司免费进行处理，包括配件的维修、更换等。</w:t>
      </w:r>
    </w:p>
    <w:p>
      <w:pPr>
        <w:keepNext w:val="0"/>
        <w:keepLines w:val="0"/>
        <w:pageBreakBefore w:val="0"/>
        <w:widowControl/>
        <w:kinsoku/>
        <w:wordWrap/>
        <w:overflowPunct/>
        <w:topLinePunct w:val="0"/>
        <w:bidi w:val="0"/>
        <w:adjustRightInd/>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1.</w:t>
      </w:r>
      <w:r>
        <w:rPr>
          <w:rFonts w:hint="eastAsia" w:ascii="Tahoma" w:hAnsi="Tahoma" w:cs="Tahoma"/>
          <w:b/>
          <w:color w:val="000000" w:themeColor="text1"/>
          <w:szCs w:val="21"/>
          <w:highlight w:val="none"/>
          <w14:textFill>
            <w14:solidFill>
              <w14:schemeClr w14:val="tx1"/>
            </w14:solidFill>
          </w14:textFill>
        </w:rPr>
        <w:t>10</w:t>
      </w:r>
      <w:r>
        <w:rPr>
          <w:rFonts w:ascii="Tahoma" w:hAnsi="Tahoma" w:cs="Tahoma"/>
          <w:b/>
          <w:color w:val="000000" w:themeColor="text1"/>
          <w:szCs w:val="21"/>
          <w:highlight w:val="none"/>
          <w14:textFill>
            <w14:solidFill>
              <w14:schemeClr w14:val="tx1"/>
            </w14:solidFill>
          </w14:textFill>
        </w:rPr>
        <w:t>、产品质量保证</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（1）供方应严格控制采购、检验、生产、包装、运输、移交和售后服务的质量过程，严格遵循企业标准和相关的行业和国家标准的要求。</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（2）严格按ISO9001：2008质量保证体系标准和国家、行业的有关规范提供制造产品。</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（3）严格按照合同要求，确保产品符合需方要求。</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（4）严格控制原材料的进厂质量，保证材料加工工艺完善，检测手段完备，产品绝不带缺陷出厂。</w:t>
      </w:r>
    </w:p>
    <w:p>
      <w:pPr>
        <w:keepNext w:val="0"/>
        <w:keepLines w:val="0"/>
        <w:pageBreakBefore w:val="0"/>
        <w:widowControl/>
        <w:kinsoku/>
        <w:wordWrap/>
        <w:overflowPunct/>
        <w:topLinePunct w:val="0"/>
        <w:bidi w:val="0"/>
        <w:adjustRightInd/>
        <w:spacing w:line="32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（5）为所供的材料制造、运输、装卸等进行投保，一旦发生意外，我方将按需方要求对所供进行免费更换、补偿等直到满意为止。</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（7）在交验过程中如发现缺件及其他原因引起的丢失，我方负责尽快免费补齐。在产品的使用过程中发现的质量问题，如属供方原因，由供方承担责任。</w:t>
      </w:r>
    </w:p>
    <w:p>
      <w:pPr>
        <w:keepNext w:val="0"/>
        <w:keepLines w:val="0"/>
        <w:pageBreakBefore w:val="0"/>
        <w:widowControl/>
        <w:kinsoku/>
        <w:wordWrap/>
        <w:overflowPunct/>
        <w:topLinePunct w:val="0"/>
        <w:autoSpaceDE/>
        <w:autoSpaceDN/>
        <w:bidi w:val="0"/>
        <w:adjustRightInd w:val="0"/>
        <w:snapToGrid w:val="0"/>
        <w:spacing w:line="360" w:lineRule="auto"/>
        <w:ind w:firstLine="211" w:firstLineChars="100"/>
        <w:textAlignment w:val="auto"/>
        <w:rPr>
          <w:rFonts w:ascii="Tahoma" w:hAnsi="Tahoma" w:cs="Tahoma"/>
          <w:b/>
          <w:bCs/>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（8）质量保证期为</w:t>
      </w:r>
      <w:r>
        <w:rPr>
          <w:rFonts w:hint="eastAsia" w:ascii="Tahoma" w:hAnsi="Tahoma" w:cs="Tahoma"/>
          <w:b/>
          <w:bCs/>
          <w:color w:val="000000" w:themeColor="text1"/>
          <w:szCs w:val="21"/>
          <w:highlight w:val="none"/>
          <w:lang w:val="en-US" w:eastAsia="zh-CN"/>
          <w14:textFill>
            <w14:solidFill>
              <w14:schemeClr w14:val="tx1"/>
            </w14:solidFill>
          </w14:textFill>
        </w:rPr>
        <w:t>3</w:t>
      </w:r>
      <w:r>
        <w:rPr>
          <w:rFonts w:ascii="Tahoma" w:hAnsi="Tahoma" w:cs="Tahoma"/>
          <w:b/>
          <w:bCs/>
          <w:color w:val="000000" w:themeColor="text1"/>
          <w:szCs w:val="21"/>
          <w:highlight w:val="none"/>
          <w14:textFill>
            <w14:solidFill>
              <w14:schemeClr w14:val="tx1"/>
            </w14:solidFill>
          </w14:textFill>
        </w:rPr>
        <w:t>年</w:t>
      </w:r>
      <w:r>
        <w:rPr>
          <w:rFonts w:hint="eastAsia" w:ascii="Tahoma" w:hAnsi="Tahoma" w:cs="Tahoma"/>
          <w:b/>
          <w:bCs/>
          <w:color w:val="000000" w:themeColor="text1"/>
          <w:szCs w:val="21"/>
          <w:highlight w:val="none"/>
          <w:lang w:eastAsia="zh-CN"/>
          <w14:textFill>
            <w14:solidFill>
              <w14:schemeClr w14:val="tx1"/>
            </w14:solidFill>
          </w14:textFill>
        </w:rPr>
        <w:t>，</w:t>
      </w:r>
      <w:r>
        <w:rPr>
          <w:rFonts w:hint="eastAsia" w:ascii="Tahoma" w:hAnsi="Tahoma" w:cs="Tahoma"/>
          <w:b/>
          <w:bCs/>
          <w:color w:val="000000" w:themeColor="text1"/>
          <w:szCs w:val="21"/>
          <w:highlight w:val="none"/>
          <w:lang w:val="en-US" w:eastAsia="zh-CN"/>
          <w14:textFill>
            <w14:solidFill>
              <w14:schemeClr w14:val="tx1"/>
            </w14:solidFill>
          </w14:textFill>
        </w:rPr>
        <w:t>质保期内软件同版本免费升级等相关服务并提供专业技术工程师驻场。质保期后服务费不得高于中标金额的5%</w:t>
      </w:r>
      <w:r>
        <w:rPr>
          <w:rFonts w:ascii="Tahoma" w:hAnsi="Tahoma" w:cs="Tahoma"/>
          <w:b/>
          <w:bCs/>
          <w:color w:val="000000" w:themeColor="text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textAlignment w:val="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（9）上述规定是合同不可分割的部分，与合同具有同等法律效力。在本合同实施过程中，按有关规范、规程、标准严格质量控制，确保提供合格产品及服务。</w:t>
      </w:r>
    </w:p>
    <w:p>
      <w:pPr>
        <w:pStyle w:val="8"/>
        <w:pageBreakBefore w:val="0"/>
        <w:widowControl/>
        <w:kinsoku/>
        <w:wordWrap/>
        <w:overflowPunct/>
        <w:topLinePunct w:val="0"/>
        <w:autoSpaceDE/>
        <w:autoSpaceDN/>
        <w:bidi w:val="0"/>
        <w:adjustRightInd w:val="0"/>
        <w:snapToGrid w:val="0"/>
        <w:spacing w:line="360" w:lineRule="auto"/>
        <w:textAlignment w:val="auto"/>
        <w:rPr>
          <w:rFonts w:hint="eastAsia" w:ascii="Tahoma" w:hAnsi="Tahoma" w:eastAsia="宋体" w:cs="Tahoma"/>
          <w:b/>
          <w:color w:val="000000" w:themeColor="text1"/>
          <w:kern w:val="2"/>
          <w:sz w:val="21"/>
          <w:szCs w:val="21"/>
          <w:highlight w:val="none"/>
          <w:lang w:val="en-US" w:eastAsia="zh-CN" w:bidi="ar-SA"/>
          <w14:textFill>
            <w14:solidFill>
              <w14:schemeClr w14:val="tx1"/>
            </w14:solidFill>
          </w14:textFill>
        </w:rPr>
      </w:pPr>
      <w:r>
        <w:rPr>
          <w:rFonts w:hint="eastAsia" w:ascii="Tahoma" w:hAnsi="Tahoma" w:eastAsia="宋体" w:cs="Tahoma"/>
          <w:b/>
          <w:color w:val="000000" w:themeColor="text1"/>
          <w:kern w:val="2"/>
          <w:sz w:val="21"/>
          <w:szCs w:val="21"/>
          <w:highlight w:val="none"/>
          <w:lang w:val="en-US" w:eastAsia="zh-CN" w:bidi="ar-SA"/>
          <w14:textFill>
            <w14:solidFill>
              <w14:schemeClr w14:val="tx1"/>
            </w14:solidFill>
          </w14:textFill>
        </w:rPr>
        <w:t>1.11、验收标准</w:t>
      </w:r>
    </w:p>
    <w:p>
      <w:pPr>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1.11.1 供应商交付的货物（产品）（以招标文件</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第五章货物（产品）采购清单</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为准）应符合本项目招标文件</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第六章技术标准及要求</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规定的技术标准及国家标准相应技术规范的要求，且应达到下列技术标准水平（包括但不限于）</w:t>
      </w:r>
      <w:r>
        <w:rPr>
          <w:rFonts w:hint="eastAsia" w:cs="Times New Roman"/>
          <w:color w:val="000000" w:themeColor="text1"/>
          <w:highlight w:val="none"/>
          <w:lang w:val="en-US" w:eastAsia="zh-CN"/>
          <w14:textFill>
            <w14:solidFill>
              <w14:schemeClr w14:val="tx1"/>
            </w14:solidFill>
          </w14:textFill>
        </w:rPr>
        <w:t>，未达标部分由中标人负责补齐完成达标验收，招标人不承担任何费用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《电子病历系统功能应用水平分级评价方法及标准（试行）》四级</w:t>
      </w:r>
    </w:p>
    <w:p>
      <w:pPr>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《医院信息互联互通标准化成熟度测评》四级</w:t>
      </w:r>
    </w:p>
    <w:p>
      <w:pPr>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《三级医院评审标准（2020年版）》三级</w:t>
      </w:r>
    </w:p>
    <w:p>
      <w:pPr>
        <w:pageBreakBefore w:val="0"/>
        <w:widowControl/>
        <w:kinsoku/>
        <w:wordWrap/>
        <w:overflowPunct/>
        <w:topLinePunct w:val="0"/>
        <w:autoSpaceDE/>
        <w:autoSpaceDN/>
        <w:bidi w:val="0"/>
        <w:adjustRightInd w:val="0"/>
        <w:snapToGrid w:val="0"/>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1.11.2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供应商应配合甲方完成获取</w:t>
      </w:r>
      <w:r>
        <w:rPr>
          <w:rFonts w:hint="default"/>
          <w:color w:val="000000" w:themeColor="text1"/>
          <w:highlight w:val="none"/>
          <w:lang w:val="en-US" w:eastAsia="zh-CN"/>
          <w14:textFill>
            <w14:solidFill>
              <w14:schemeClr w14:val="tx1"/>
            </w14:solidFill>
          </w14:textFill>
        </w:rPr>
        <w:t>互联网医院牌照</w:t>
      </w:r>
      <w:r>
        <w:rPr>
          <w:rFonts w:hint="eastAsia"/>
          <w:color w:val="000000" w:themeColor="text1"/>
          <w:highlight w:val="none"/>
          <w:lang w:val="en-US" w:eastAsia="zh-CN"/>
          <w14:textFill>
            <w14:solidFill>
              <w14:schemeClr w14:val="tx1"/>
            </w14:solidFill>
          </w14:textFill>
        </w:rPr>
        <w:t>的审批工作；</w:t>
      </w:r>
      <w:r>
        <w:rPr>
          <w:rFonts w:hint="default"/>
          <w:color w:val="000000" w:themeColor="text1"/>
          <w:highlight w:val="none"/>
          <w:lang w:val="en-US" w:eastAsia="zh-CN"/>
          <w14:textFill>
            <w14:solidFill>
              <w14:schemeClr w14:val="tx1"/>
            </w14:solidFill>
          </w14:textFill>
        </w:rPr>
        <w:t>互联网医院</w:t>
      </w:r>
      <w:r>
        <w:rPr>
          <w:rFonts w:hint="eastAsia"/>
          <w:color w:val="000000" w:themeColor="text1"/>
          <w:highlight w:val="none"/>
          <w:lang w:val="en-US" w:eastAsia="zh-CN"/>
          <w14:textFill>
            <w14:solidFill>
              <w14:schemeClr w14:val="tx1"/>
            </w14:solidFill>
          </w14:textFill>
        </w:rPr>
        <w:t>：系统</w:t>
      </w:r>
      <w:r>
        <w:rPr>
          <w:rFonts w:hint="default"/>
          <w:color w:val="000000" w:themeColor="text1"/>
          <w:highlight w:val="none"/>
          <w:lang w:val="en-US" w:eastAsia="zh-CN"/>
          <w14:textFill>
            <w14:solidFill>
              <w14:schemeClr w14:val="tx1"/>
            </w14:solidFill>
          </w14:textFill>
        </w:rPr>
        <w:t>通过自治区三级等保评测，由地州卫健委审核材料并与自治区卫健委监管平台进行相关工作对接，由自治区卫健委审批验收通过后，发放互联网医院牌照。</w:t>
      </w:r>
    </w:p>
    <w:p>
      <w:pPr>
        <w:keepNext w:val="0"/>
        <w:keepLines w:val="0"/>
        <w:pageBreakBefore w:val="0"/>
        <w:widowControl/>
        <w:kinsoku/>
        <w:wordWrap/>
        <w:overflowPunct/>
        <w:topLinePunct w:val="0"/>
        <w:autoSpaceDE/>
        <w:autoSpaceDN/>
        <w:bidi w:val="0"/>
        <w:adjustRightInd w:val="0"/>
        <w:snapToGrid w:val="0"/>
        <w:spacing w:line="360" w:lineRule="auto"/>
        <w:ind w:firstLine="211" w:firstLineChars="100"/>
        <w:textAlignment w:val="auto"/>
        <w:rPr>
          <w:rFonts w:ascii="Tahoma" w:hAnsi="Tahoma" w:eastAsia="黑体" w:cs="Tahoma"/>
          <w:b/>
          <w:color w:val="000000" w:themeColor="text1"/>
          <w:highlight w:val="none"/>
          <w14:textFill>
            <w14:solidFill>
              <w14:schemeClr w14:val="tx1"/>
            </w14:solidFill>
          </w14:textFill>
        </w:rPr>
      </w:pPr>
      <w:r>
        <w:rPr>
          <w:rFonts w:ascii="Tahoma" w:hAnsi="Tahoma" w:eastAsia="黑体" w:cs="Tahoma"/>
          <w:b/>
          <w:color w:val="000000" w:themeColor="text1"/>
          <w:highlight w:val="none"/>
          <w14:textFill>
            <w14:solidFill>
              <w14:schemeClr w14:val="tx1"/>
            </w14:solidFill>
          </w14:textFill>
        </w:rPr>
        <w:t>说明：属于供应商承诺部分的内容由各供应商可根据实际需要可以减少或不予采纳（但由此给供应商造成的不利，甚至其投标被拒绝由供应商自行承担），也可以提出更有利于竞争的承诺。</w:t>
      </w:r>
      <w:bookmarkEnd w:id="29"/>
      <w:bookmarkEnd w:id="30"/>
    </w:p>
    <w:p>
      <w:pPr>
        <w:pStyle w:val="19"/>
        <w:ind w:left="0" w:leftChars="0" w:firstLine="0" w:firstLineChars="0"/>
        <w:rPr>
          <w:rFonts w:ascii="Tahoma" w:hAnsi="Tahoma" w:eastAsia="黑体" w:cs="Tahoma"/>
          <w:b/>
          <w:color w:val="000000" w:themeColor="text1"/>
          <w:highlight w:val="none"/>
          <w14:textFill>
            <w14:solidFill>
              <w14:schemeClr w14:val="tx1"/>
            </w14:solidFill>
          </w14:textFill>
        </w:rPr>
      </w:pP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p>
    <w:p>
      <w:pPr>
        <w:rPr>
          <w:rFonts w:hint="eastAsia" w:ascii="Tahoma" w:hAnsi="Tahoma" w:eastAsia="黑体" w:cs="Tahoma"/>
          <w:b/>
          <w:color w:val="000000" w:themeColor="text1"/>
          <w:sz w:val="28"/>
          <w:szCs w:val="28"/>
          <w:highlight w:val="none"/>
          <w:lang w:val="en-US" w:eastAsia="zh-CN"/>
          <w14:textFill>
            <w14:solidFill>
              <w14:schemeClr w14:val="tx1"/>
            </w14:solidFill>
          </w14:textFill>
        </w:rPr>
      </w:pPr>
      <w:r>
        <w:rPr>
          <w:rFonts w:hint="eastAsia" w:ascii="Tahoma" w:hAnsi="Tahoma" w:eastAsia="黑体" w:cs="Tahoma"/>
          <w:b/>
          <w:color w:val="000000" w:themeColor="text1"/>
          <w:sz w:val="28"/>
          <w:szCs w:val="28"/>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spacing w:line="320" w:lineRule="exact"/>
        <w:jc w:val="center"/>
        <w:rPr>
          <w:rFonts w:hint="eastAsia" w:ascii="Tahoma" w:hAnsi="Tahoma" w:eastAsia="黑体" w:cs="Tahoma"/>
          <w:b/>
          <w:color w:val="000000" w:themeColor="text1"/>
          <w:sz w:val="28"/>
          <w:szCs w:val="28"/>
          <w:highlight w:val="none"/>
          <w:lang w:val="en-US" w:eastAsia="zh-CN"/>
          <w14:textFill>
            <w14:solidFill>
              <w14:schemeClr w14:val="tx1"/>
            </w14:solidFill>
          </w14:textFill>
        </w:rPr>
      </w:pPr>
      <w:r>
        <w:rPr>
          <w:rFonts w:hint="eastAsia" w:ascii="Tahoma" w:hAnsi="Tahoma" w:eastAsia="黑体" w:cs="Tahoma"/>
          <w:b/>
          <w:color w:val="000000" w:themeColor="text1"/>
          <w:sz w:val="28"/>
          <w:szCs w:val="28"/>
          <w:highlight w:val="none"/>
          <w:lang w:val="en-US" w:eastAsia="zh-CN"/>
          <w14:textFill>
            <w14:solidFill>
              <w14:schemeClr w14:val="tx1"/>
            </w14:solidFill>
          </w14:textFill>
        </w:rPr>
        <w:t>2、技术规格要求</w:t>
      </w:r>
    </w:p>
    <w:p>
      <w:pPr>
        <w:widowControl/>
        <w:numPr>
          <w:ilvl w:val="0"/>
          <w:numId w:val="0"/>
        </w:numPr>
        <w:spacing w:line="340" w:lineRule="exact"/>
        <w:ind w:leftChars="0"/>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2.1、设备（产品）的功能技术要求（参数）</w:t>
      </w:r>
    </w:p>
    <w:p>
      <w:pPr>
        <w:pStyle w:val="9"/>
        <w:snapToGrid w:val="0"/>
        <w:spacing w:line="340" w:lineRule="exact"/>
        <w:ind w:firstLine="411" w:firstLineChars="196"/>
        <w:rPr>
          <w:rFonts w:ascii="Tahoma" w:hAnsi="Tahoma" w:cs="Tahoma"/>
          <w:bCs/>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凡招标文件采购需求清单或技术参数或要求等中涉及到</w:t>
      </w:r>
      <w:r>
        <w:rPr>
          <w:rFonts w:ascii="Tahoma" w:hAnsi="Tahoma" w:cs="Tahoma"/>
          <w:bCs/>
          <w:color w:val="000000" w:themeColor="text1"/>
          <w:szCs w:val="21"/>
          <w:highlight w:val="none"/>
          <w14:textFill>
            <w14:solidFill>
              <w14:schemeClr w14:val="tx1"/>
            </w14:solidFill>
          </w14:textFill>
        </w:rPr>
        <w:t>品牌</w:t>
      </w:r>
      <w:r>
        <w:rPr>
          <w:rFonts w:ascii="Tahoma" w:hAnsi="Tahoma" w:cs="Tahoma"/>
          <w:color w:val="000000" w:themeColor="text1"/>
          <w:szCs w:val="21"/>
          <w:highlight w:val="none"/>
          <w14:textFill>
            <w14:solidFill>
              <w14:schemeClr w14:val="tx1"/>
            </w14:solidFill>
          </w14:textFill>
        </w:rPr>
        <w:t>或</w:t>
      </w:r>
      <w:r>
        <w:rPr>
          <w:rFonts w:ascii="Tahoma" w:hAnsi="Tahoma" w:cs="Tahoma"/>
          <w:bCs/>
          <w:color w:val="000000" w:themeColor="text1"/>
          <w:szCs w:val="21"/>
          <w:highlight w:val="none"/>
          <w14:textFill>
            <w14:solidFill>
              <w14:schemeClr w14:val="tx1"/>
            </w14:solidFill>
          </w14:textFill>
        </w:rPr>
        <w:t>型号的，或</w:t>
      </w:r>
      <w:r>
        <w:rPr>
          <w:rFonts w:ascii="Tahoma" w:hAnsi="Tahoma" w:cs="Tahoma"/>
          <w:color w:val="000000" w:themeColor="text1"/>
          <w:szCs w:val="21"/>
          <w:highlight w:val="none"/>
          <w14:textFill>
            <w14:solidFill>
              <w14:schemeClr w14:val="tx1"/>
            </w14:solidFill>
          </w14:textFill>
        </w:rPr>
        <w:t>采购需求清单或技术参数或要求等中</w:t>
      </w:r>
      <w:r>
        <w:rPr>
          <w:rFonts w:ascii="Tahoma" w:hAnsi="Tahoma" w:cs="Tahoma"/>
          <w:bCs/>
          <w:color w:val="000000" w:themeColor="text1"/>
          <w:szCs w:val="21"/>
          <w:highlight w:val="none"/>
          <w14:textFill>
            <w14:solidFill>
              <w14:schemeClr w14:val="tx1"/>
            </w14:solidFill>
          </w14:textFill>
        </w:rPr>
        <w:t>恰巧与某一品牌的型号发生雷同的均</w:t>
      </w:r>
      <w:r>
        <w:rPr>
          <w:rFonts w:ascii="Tahoma" w:hAnsi="Tahoma" w:cs="Tahoma"/>
          <w:color w:val="000000" w:themeColor="text1"/>
          <w:szCs w:val="21"/>
          <w:highlight w:val="none"/>
          <w14:textFill>
            <w14:solidFill>
              <w14:schemeClr w14:val="tx1"/>
            </w14:solidFill>
          </w14:textFill>
        </w:rPr>
        <w:t>不具有指定或唯一意思的表示，也可以是类似品牌或型号，但技术参数或指标等要求必须满足或优于对采购设备或产品技术参数或指标等要求的规定</w:t>
      </w:r>
      <w:r>
        <w:rPr>
          <w:rFonts w:ascii="Tahoma" w:hAnsi="Tahoma" w:cs="Tahoma"/>
          <w:bCs/>
          <w:color w:val="000000" w:themeColor="text1"/>
          <w:szCs w:val="21"/>
          <w:highlight w:val="none"/>
          <w14:textFill>
            <w14:solidFill>
              <w14:schemeClr w14:val="tx1"/>
            </w14:solidFill>
          </w14:textFill>
        </w:rPr>
        <w:t>，</w:t>
      </w:r>
      <w:r>
        <w:rPr>
          <w:rFonts w:ascii="Tahoma" w:hAnsi="Tahoma" w:eastAsia="黑体" w:cs="Tahoma"/>
          <w:b/>
          <w:bCs/>
          <w:color w:val="000000" w:themeColor="text1"/>
          <w:szCs w:val="21"/>
          <w:highlight w:val="none"/>
          <w14:textFill>
            <w14:solidFill>
              <w14:schemeClr w14:val="tx1"/>
            </w14:solidFill>
          </w14:textFill>
        </w:rPr>
        <w:t>对招标文件中</w:t>
      </w:r>
      <w:r>
        <w:rPr>
          <w:rFonts w:hint="eastAsia" w:ascii="Tahoma" w:hAnsi="Tahoma" w:eastAsia="黑体" w:cs="Tahoma"/>
          <w:b/>
          <w:bCs/>
          <w:color w:val="000000" w:themeColor="text1"/>
          <w:szCs w:val="21"/>
          <w:highlight w:val="none"/>
          <w14:textFill>
            <w14:solidFill>
              <w14:schemeClr w14:val="tx1"/>
            </w14:solidFill>
          </w14:textFill>
        </w:rPr>
        <w:t>技术规格书中标注“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Tahoma" w:hAnsi="Tahoma" w:eastAsia="黑体" w:cs="Tahoma"/>
          <w:b/>
          <w:bCs/>
          <w:color w:val="000000" w:themeColor="text1"/>
          <w:szCs w:val="21"/>
          <w:highlight w:val="none"/>
          <w14:textFill>
            <w14:solidFill>
              <w14:schemeClr w14:val="tx1"/>
            </w14:solidFill>
          </w14:textFill>
        </w:rPr>
        <w:t>”号的为关键参数，关键参数每项负偏离扣</w:t>
      </w:r>
      <w:r>
        <w:rPr>
          <w:rFonts w:hint="eastAsia" w:ascii="Tahoma" w:hAnsi="Tahoma" w:eastAsia="黑体" w:cs="Tahoma"/>
          <w:b/>
          <w:bCs/>
          <w:color w:val="000000" w:themeColor="text1"/>
          <w:szCs w:val="21"/>
          <w:highlight w:val="none"/>
          <w:lang w:val="en-US" w:eastAsia="zh-CN"/>
          <w14:textFill>
            <w14:solidFill>
              <w14:schemeClr w14:val="tx1"/>
            </w14:solidFill>
          </w14:textFill>
        </w:rPr>
        <w:t>2</w:t>
      </w:r>
      <w:r>
        <w:rPr>
          <w:rFonts w:hint="eastAsia" w:ascii="Tahoma" w:hAnsi="Tahoma" w:eastAsia="黑体" w:cs="Tahoma"/>
          <w:b/>
          <w:bCs/>
          <w:color w:val="000000" w:themeColor="text1"/>
          <w:szCs w:val="21"/>
          <w:highlight w:val="none"/>
          <w14:textFill>
            <w14:solidFill>
              <w14:schemeClr w14:val="tx1"/>
            </w14:solidFill>
          </w14:textFill>
        </w:rPr>
        <w:t>分，其它参数为一般性参数，一般性参数每项负偏离扣</w:t>
      </w:r>
      <w:r>
        <w:rPr>
          <w:rFonts w:hint="eastAsia" w:ascii="Tahoma" w:hAnsi="Tahoma" w:eastAsia="黑体" w:cs="Tahoma"/>
          <w:b/>
          <w:bCs/>
          <w:color w:val="000000" w:themeColor="text1"/>
          <w:szCs w:val="21"/>
          <w:highlight w:val="none"/>
          <w:lang w:val="en-US" w:eastAsia="zh-CN"/>
          <w14:textFill>
            <w14:solidFill>
              <w14:schemeClr w14:val="tx1"/>
            </w14:solidFill>
          </w14:textFill>
        </w:rPr>
        <w:t>1</w:t>
      </w:r>
      <w:r>
        <w:rPr>
          <w:rFonts w:hint="eastAsia" w:ascii="Tahoma" w:hAnsi="Tahoma" w:eastAsia="黑体" w:cs="Tahoma"/>
          <w:b/>
          <w:bCs/>
          <w:color w:val="000000" w:themeColor="text1"/>
          <w:szCs w:val="21"/>
          <w:highlight w:val="none"/>
          <w14:textFill>
            <w14:solidFill>
              <w14:schemeClr w14:val="tx1"/>
            </w14:solidFill>
          </w14:textFill>
        </w:rPr>
        <w:t>分，扣完为止</w:t>
      </w:r>
      <w:r>
        <w:rPr>
          <w:rFonts w:hint="eastAsia" w:ascii="Tahoma" w:hAnsi="Tahoma" w:eastAsia="黑体" w:cs="Tahoma"/>
          <w:b/>
          <w:bCs/>
          <w:color w:val="000000" w:themeColor="text1"/>
          <w:szCs w:val="21"/>
          <w:highlight w:val="none"/>
          <w:lang w:eastAsia="zh-CN"/>
          <w14:textFill>
            <w14:solidFill>
              <w14:schemeClr w14:val="tx1"/>
            </w14:solidFill>
          </w14:textFill>
        </w:rPr>
        <w:t>。</w:t>
      </w:r>
      <w:r>
        <w:rPr>
          <w:rFonts w:ascii="Tahoma" w:hAnsi="Tahoma" w:cs="Tahoma"/>
          <w:bCs/>
          <w:color w:val="000000" w:themeColor="text1"/>
          <w:szCs w:val="21"/>
          <w:highlight w:val="none"/>
          <w14:textFill>
            <w14:solidFill>
              <w14:schemeClr w14:val="tx1"/>
            </w14:solidFill>
          </w14:textFill>
        </w:rPr>
        <w:t>供应商提供设备或产品及其他配套设备应部分或全部满足以下技术要求或标准（但不限于），在使用下列标准时，使用各方应探讨下列标准及文件最新版本的可能性，一旦已颁布了最新标准或文件应使用最新标准或文件（或替代标准）：</w:t>
      </w:r>
    </w:p>
    <w:p>
      <w:pPr>
        <w:spacing w:line="340" w:lineRule="exact"/>
        <w:rPr>
          <w:rFonts w:ascii="Tahoma" w:hAnsi="Tahoma" w:eastAsia="黑体" w:cs="Tahoma"/>
          <w:b/>
          <w:color w:val="000000" w:themeColor="text1"/>
          <w:sz w:val="24"/>
          <w:highlight w:val="none"/>
          <w:shd w:val="clear" w:color="auto" w:fill="FFFFFF"/>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2.2</w:t>
      </w:r>
      <w:r>
        <w:rPr>
          <w:rFonts w:ascii="Tahoma" w:hAnsi="Tahoma" w:eastAsia="黑体" w:cs="Tahoma"/>
          <w:b/>
          <w:color w:val="000000" w:themeColor="text1"/>
          <w:sz w:val="24"/>
          <w:highlight w:val="none"/>
          <w:shd w:val="clear" w:color="auto" w:fill="FFFFFF"/>
          <w14:textFill>
            <w14:solidFill>
              <w14:schemeClr w14:val="tx1"/>
            </w14:solidFill>
          </w14:textFill>
        </w:rPr>
        <w:t>技术参数及标准的一般要求</w:t>
      </w:r>
    </w:p>
    <w:p>
      <w:pPr>
        <w:spacing w:line="340" w:lineRule="exact"/>
        <w:rPr>
          <w:rFonts w:ascii="Tahoma" w:hAnsi="Tahoma" w:eastAsia="黑体" w:cs="Tahoma"/>
          <w:b/>
          <w:color w:val="000000" w:themeColor="text1"/>
          <w:szCs w:val="21"/>
          <w:highlight w:val="none"/>
          <w:shd w:val="clear" w:color="auto" w:fill="FFFFFF"/>
          <w14:textFill>
            <w14:solidFill>
              <w14:schemeClr w14:val="tx1"/>
            </w14:solidFill>
          </w14:textFill>
        </w:rPr>
      </w:pPr>
      <w:r>
        <w:rPr>
          <w:rFonts w:ascii="Tahoma" w:hAnsi="Tahoma" w:eastAsia="黑体" w:cs="Tahoma"/>
          <w:b/>
          <w:color w:val="000000" w:themeColor="text1"/>
          <w:szCs w:val="21"/>
          <w:highlight w:val="none"/>
          <w:shd w:val="clear" w:color="auto" w:fill="FFFFFF"/>
          <w14:textFill>
            <w14:solidFill>
              <w14:schemeClr w14:val="tx1"/>
            </w14:solidFill>
          </w14:textFill>
        </w:rPr>
        <w:t>2.2.1采购设备</w:t>
      </w:r>
      <w:r>
        <w:rPr>
          <w:rFonts w:hint="eastAsia" w:ascii="Tahoma" w:hAnsi="Tahoma" w:eastAsia="黑体" w:cs="Tahoma"/>
          <w:b/>
          <w:color w:val="000000" w:themeColor="text1"/>
          <w:szCs w:val="21"/>
          <w:highlight w:val="none"/>
          <w:shd w:val="clear" w:color="auto" w:fill="FFFFFF"/>
          <w14:textFill>
            <w14:solidFill>
              <w14:schemeClr w14:val="tx1"/>
            </w14:solidFill>
          </w14:textFill>
        </w:rPr>
        <w:t>或产品（货物）</w:t>
      </w:r>
      <w:r>
        <w:rPr>
          <w:rFonts w:ascii="Tahoma" w:hAnsi="Tahoma" w:eastAsia="黑体" w:cs="Tahoma"/>
          <w:b/>
          <w:color w:val="000000" w:themeColor="text1"/>
          <w:szCs w:val="21"/>
          <w:highlight w:val="none"/>
          <w:shd w:val="clear" w:color="auto" w:fill="FFFFFF"/>
          <w14:textFill>
            <w14:solidFill>
              <w14:schemeClr w14:val="tx1"/>
            </w14:solidFill>
          </w14:textFill>
        </w:rPr>
        <w:t>总的技术参数及要求</w:t>
      </w:r>
    </w:p>
    <w:p>
      <w:pPr>
        <w:numPr>
          <w:ilvl w:val="0"/>
          <w:numId w:val="0"/>
        </w:numPr>
        <w:tabs>
          <w:tab w:val="left" w:pos="900"/>
        </w:tabs>
        <w:snapToGrid w:val="0"/>
        <w:spacing w:line="264" w:lineRule="auto"/>
        <w:jc w:val="left"/>
        <w:rPr>
          <w:rFonts w:hint="eastAsia" w:ascii="Tahoma" w:hAnsi="黑体" w:eastAsia="黑体" w:cs="Tahoma"/>
          <w:b/>
          <w:bCs/>
          <w:color w:val="000000" w:themeColor="text1"/>
          <w:sz w:val="21"/>
          <w:szCs w:val="21"/>
          <w:highlight w:val="none"/>
          <w:lang w:eastAsia="zh-CN"/>
          <w14:textFill>
            <w14:solidFill>
              <w14:schemeClr w14:val="tx1"/>
            </w14:solidFill>
          </w14:textFill>
        </w:rPr>
      </w:pPr>
      <w:r>
        <w:rPr>
          <w:rFonts w:hint="eastAsia" w:ascii="Tahoma" w:hAnsi="黑体" w:eastAsia="黑体" w:cs="Tahoma"/>
          <w:b/>
          <w:color w:val="000000" w:themeColor="text1"/>
          <w:sz w:val="21"/>
          <w:szCs w:val="21"/>
          <w:highlight w:val="none"/>
          <w:lang w:val="en-US" w:eastAsia="zh-CN"/>
          <w14:textFill>
            <w14:solidFill>
              <w14:schemeClr w14:val="tx1"/>
            </w14:solidFill>
          </w14:textFill>
        </w:rPr>
        <w:t>一、硬件</w:t>
      </w:r>
      <w:r>
        <w:rPr>
          <w:rFonts w:hint="eastAsia" w:ascii="Tahoma" w:hAnsi="黑体" w:eastAsia="黑体" w:cs="Tahoma"/>
          <w:b/>
          <w:color w:val="000000" w:themeColor="text1"/>
          <w:sz w:val="21"/>
          <w:szCs w:val="21"/>
          <w:highlight w:val="none"/>
          <w14:textFill>
            <w14:solidFill>
              <w14:schemeClr w14:val="tx1"/>
            </w14:solidFill>
          </w14:textFill>
        </w:rPr>
        <w:t>采购</w:t>
      </w:r>
      <w:r>
        <w:rPr>
          <w:rFonts w:ascii="Tahoma" w:hAnsi="黑体" w:eastAsia="黑体" w:cs="Tahoma"/>
          <w:b/>
          <w:bCs/>
          <w:color w:val="000000" w:themeColor="text1"/>
          <w:sz w:val="21"/>
          <w:szCs w:val="21"/>
          <w:highlight w:val="none"/>
          <w14:textFill>
            <w14:solidFill>
              <w14:schemeClr w14:val="tx1"/>
            </w14:solidFill>
          </w14:textFill>
        </w:rPr>
        <w:t>需求</w:t>
      </w:r>
      <w:r>
        <w:rPr>
          <w:rFonts w:hint="eastAsia" w:ascii="Tahoma" w:hAnsi="黑体" w:eastAsia="黑体" w:cs="Tahoma"/>
          <w:b/>
          <w:bCs/>
          <w:color w:val="000000" w:themeColor="text1"/>
          <w:sz w:val="21"/>
          <w:szCs w:val="21"/>
          <w:highlight w:val="none"/>
          <w:lang w:val="en-US" w:eastAsia="zh-CN"/>
          <w14:textFill>
            <w14:solidFill>
              <w14:schemeClr w14:val="tx1"/>
            </w14:solidFill>
          </w14:textFill>
        </w:rPr>
        <w:t>参数</w:t>
      </w:r>
    </w:p>
    <w:p>
      <w:pPr>
        <w:keepNext/>
        <w:keepLines/>
        <w:spacing w:after="200"/>
        <w:outlineLvl w:val="2"/>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1、医院桌面云系统</w:t>
      </w:r>
    </w:p>
    <w:tbl>
      <w:tblPr>
        <w:tblStyle w:val="20"/>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2184"/>
        <w:gridCol w:w="6433"/>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425" w:hanging="425"/>
              <w:jc w:val="center"/>
              <w:rPr>
                <w:rFonts w:ascii="微软雅黑" w:hAnsi="微软雅黑"/>
                <w:b/>
                <w:bCs/>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84" w:type="dxa"/>
            <w:shd w:val="clear" w:color="auto" w:fill="auto"/>
            <w:tcMar>
              <w:top w:w="12" w:type="dxa"/>
              <w:left w:w="12" w:type="dxa"/>
              <w:right w:w="12" w:type="dxa"/>
            </w:tcMar>
            <w:vAlign w:val="center"/>
          </w:tcPr>
          <w:p>
            <w:pPr>
              <w:snapToGrid w:val="0"/>
              <w:ind w:left="425" w:hanging="425"/>
              <w:jc w:val="center"/>
              <w:rPr>
                <w:rFonts w:ascii="微软雅黑" w:hAnsi="微软雅黑"/>
                <w:b/>
                <w:bCs/>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33" w:type="dxa"/>
            <w:shd w:val="clear" w:color="auto" w:fill="auto"/>
            <w:tcMar>
              <w:top w:w="12" w:type="dxa"/>
              <w:left w:w="12" w:type="dxa"/>
              <w:right w:w="12" w:type="dxa"/>
            </w:tcMar>
            <w:vAlign w:val="center"/>
          </w:tcPr>
          <w:p>
            <w:pPr>
              <w:snapToGrid w:val="0"/>
              <w:jc w:val="center"/>
              <w:rPr>
                <w:rFonts w:ascii="微软雅黑" w:hAnsi="微软雅黑"/>
                <w:b/>
                <w:bCs/>
                <w:color w:val="000000" w:themeColor="text1"/>
                <w:szCs w:val="21"/>
                <w:highlight w:val="none"/>
                <w14:textFill>
                  <w14:solidFill>
                    <w14:schemeClr w14:val="tx1"/>
                  </w14:solidFill>
                </w14:textFill>
              </w:rPr>
            </w:pPr>
            <w:r>
              <w:rPr>
                <w:rFonts w:ascii="微软雅黑" w:hAnsi="微软雅黑"/>
                <w:b/>
                <w:bCs/>
                <w:color w:val="000000" w:themeColor="text1"/>
                <w:szCs w:val="21"/>
                <w:highlight w:val="none"/>
                <w14:textFill>
                  <w14:solidFill>
                    <w14:schemeClr w14:val="tx1"/>
                  </w14:solidFill>
                </w14:textFill>
              </w:rPr>
              <w:t>技术规格</w:t>
            </w:r>
          </w:p>
        </w:tc>
        <w:tc>
          <w:tcPr>
            <w:tcW w:w="604" w:type="dxa"/>
            <w:shd w:val="clear" w:color="auto" w:fill="auto"/>
            <w:tcMar>
              <w:top w:w="12" w:type="dxa"/>
              <w:left w:w="12" w:type="dxa"/>
              <w:right w:w="12" w:type="dxa"/>
            </w:tcMar>
            <w:vAlign w:val="center"/>
          </w:tcPr>
          <w:p>
            <w:pPr>
              <w:snapToGrid w:val="0"/>
              <w:jc w:val="center"/>
              <w:rPr>
                <w:rFonts w:ascii="微软雅黑" w:hAnsi="微软雅黑"/>
                <w:b/>
                <w:bCs/>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桌面云资源池一体机</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本项目要求服务器与终端、桌面云软件同一品牌，出厂时必须预装各类桌面云软件（含服务器虚拟化、存储虚拟化等），不允许提供祼机设备。</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要求服务器必须配备存储虚拟化软件模块，提供低成本、高可靠的存储方案。</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双CPU核数≥24（主频不低于3.0Ghz）（测算峰值）、内存≥448G、千兆网口≥4个，万兆光口≥4个、冗余双电源。</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本项目要求至少配备2块128G SSD硬盘做系统盘、2块1.92T SSD硬盘和6块8T的SATA硬盘。</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提供服务器虚拟化和存储虚拟化授权，服务器虚拟化授权要求满足本项目性能需求，存储虚拟化授权要求无容量限制，便于后续存储扩容。</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为了保证能够快速平滑扩容，本项目要求集群中服务器的添加支持热添加，在添加过程中不影响运行中的虚拟机。</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支持集群冗余技术，集群中各主机互为监控，一旦发现某个主机故障，HA机制就会自动触发虚机迁移动作，在另一正常服务器快速拉起、确保VM继续可用。</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单集群管理时无需部署集中管理平台，通过Web方式接入集群主服务器，实现对服务器、虚拟机、网络、存储虚拟化等进行统一管理。</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虚拟机损坏无法启动时，支持将虚拟机磁盘挂载到新虚拟机上，用户可登录新虚拟机将磁盘内容备份出来。</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支持数据冗余副本技术，每份数据同时写入多台服务器，每次数据变化时自动实时同步，确保磁盘或服务器故障，数据不丢失。</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支持SSD缓存加速，采用SSD+HDD混合模式，SSD用于缓存热点数据，HDD用于存储个人数据，SSD缓存命中率不低于60%，确保最优用户体验。</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支持故障自动切换，硬盘故障，存储则会被重新指向另外一台服务器上可用的数据副本，实现毫秒级切换，对用户来讲基本是无感知的；主机或者网络故障，虚拟桌面可以快速切换到另一台服务器拉起。</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要求具备ISO9001质量管理体系认证证书，以确保整套桌面云方案的成熟稳定，投标时需提供资质复印件。</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通过CCC产品质量管理认证。</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时钟系统</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高稳晶振+北斗+GPS+NTP+1*1路IPPS+RS422/485×5+光口×4+1GbE×8）/1U通用款，该板卡配置推荐前端接入规模40000路以内（板卡接口可见SPS或规格书后视图）</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【晶振款】</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产品特点：</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精密的校时精度；超高守时能力；支持GPS、北斗、上级NTP、CDMA校时（默认北斗）；支持多网域校时</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高稳定性、可靠性设计</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支持双机热备、级联方案</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1U标准机架式产品</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处理器：ARM处理器</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同步精度：卫星同步精度纳秒级；NTP同步精度毫秒级；</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存储：256M</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守时精度：≤28us</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 xml:space="preserve">跟踪通道数：32；捕获通道数：128；授时容量： 10000次/每秒（单端口）；授时精度：≤5us；授时频段：GPS: 1575.42±1.023MHz ，北斗: 1561.098±2.046MHz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接口：</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网络管理端口（RJ45）：管理口；NTP输入端口（RJ45）:NTP INP;；PPS授时端口（SMA）：1PPS   ；10M授时端口（SMA）：10MHZ；串行管理端口（RS232）：串口</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1路GPS/BD天线接口 （支持选配2路）</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4槽位输出位：</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NTP输出卡（RJ45）：NTP1~NTP4，支持端口、双卡绑定;</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光输出卡（ST）：1-4路</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RS422输出卡（凤凰端子）：1-5路，支持子钟管理</w:t>
            </w:r>
          </w:p>
          <w:p>
            <w:pPr>
              <w:snapToGrid w:val="0"/>
              <w:rPr>
                <w:rFonts w:ascii="微软雅黑" w:hAnsi="微软雅黑"/>
                <w:color w:val="000000" w:themeColor="text1"/>
                <w:szCs w:val="21"/>
                <w:highlight w:val="none"/>
                <w14:textFill>
                  <w14:solidFill>
                    <w14:schemeClr w14:val="tx1"/>
                  </w14:solidFill>
                </w14:textFill>
              </w:rPr>
            </w:pP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软件功能：</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设备上电或重启后，系统自启校时服务</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可通过NTP模式或BD/GPS模式对待授时设备进行授时；可通过固定时间间隔方式对待授时设备进行授时</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支持对监控设备（DVR、NVR、网络摄像机）、终端设备进行授时；支持对服务器进行授时</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支持同时对多个网段的待授时设备进行授时，单端口授时容量≥10000次/秒；可通过WEB管理对NTP时钟进行配置管理</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桌面云控制器及软件</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为提升桌面云接入性能及稳定性，</w:t>
            </w:r>
            <w:r>
              <w:rPr>
                <w:rFonts w:ascii="微软雅黑" w:hAnsi="微软雅黑"/>
                <w:b/>
                <w:bCs/>
                <w:color w:val="000000" w:themeColor="text1"/>
                <w:szCs w:val="21"/>
                <w:highlight w:val="none"/>
                <w14:textFill>
                  <w14:solidFill>
                    <w14:schemeClr w14:val="tx1"/>
                  </w14:solidFill>
                </w14:textFill>
              </w:rPr>
              <w:t>本项目要求配备2台硬件控制器</w:t>
            </w:r>
            <w:r>
              <w:rPr>
                <w:rFonts w:ascii="微软雅黑" w:hAnsi="微软雅黑"/>
                <w:color w:val="000000" w:themeColor="text1"/>
                <w:szCs w:val="21"/>
                <w:highlight w:val="none"/>
                <w14:textFill>
                  <w14:solidFill>
                    <w14:schemeClr w14:val="tx1"/>
                  </w14:solidFill>
                </w14:textFill>
              </w:rPr>
              <w:t>。</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本项目要求提供300个用户授权，支持发布专有桌面、还原桌面（包括池化桌面）、共享桌面、远程应用至少5种桌面资源，满足不同场景的应用需求。</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为了提高上线效率，本项目要求桌面云控制器所有组件完全集成化，即不需要过多的安装调试步骤，后台导入一个镜像就可以完成部署。</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在多分支场景的部署中，支持分布式部署、集中管理模式，即桌面云服务器部署在各个分支本地数据中心，总部通过一套集中管理平台实现对分支桌面云的统一管理，包括统一授权、统一监控等，本项目要求免费提供集中管理平台所需软件。</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为了简化维护，桌面控制器需支持DHCP功能，无需额外搭建DHCP服务器，可实现终端和虚拟机IP的动态分配。</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为了保证高可靠，桌面云控制器需支持集群模式，在不增加第三方负载均衡的情况下，可实现桌面云控制器宕机切换会话不中断。</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支持将桌面云控制器直接映射到互联网，要求自带SSL加密功能，不要借助第三方设备，并且能够用于固定IP线路和动态IP线路2种方式，其中动态IP不依赖第三方插件，降低部署复杂度。</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接入终端硬件类型：支持PC、笔记本（含Windows操作系统和MAC笔记本）、云终端（含ARM和X86）、iPad、iPhone、Android移动终端等设备接入访问虚拟桌面。</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接入终端操作系统类型：支持Windows XP/7/10、iOS、MAC OS、Android、Linux、鸿蒙OS等客户端操作系统。</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虚拟机操作系统类型：支持Windows XP/7/10、Windows Server，支持三种以上的Linux虚拟桌面操作系统，其中要包含国产Linux操作系统</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在多应用办公场景下，可针对当下使用频率较高的软件做进程加速，管理员也可自定义需做进程加速应用，以保障应用使用体验。</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快速满足用户对桌面资源的诉求，所投产品需支持用户可自助申请虚拟机配置变更，由管理员审核，管理员可以选择审批通过、修改申请配置后申请通过、驳回操作，审核通过资源自动加到用户虚拟机上。并且用户申请虚拟机配置变更可以直接指定给部门资产管理员审批，既符合规定又提高效率。</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为了提高资源利用率，需支持设置用户闲置超过一定期限、超过一段时间无会话或一定时间没有对虚拟机操作后桌面自动注销，同时释放资源。</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所投产品需支持桌面还原模式下重启、专有模式下模板更新都不会修丢失打印机配置，无需重复配置打印机，提高用户工作效率和满意度。</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在PC利用旧场景中，为了方便使用，需要支持PC本地硬盘可直接映射到虚拟桌面上使用，考虑到数据安全，需支持可根据策略进行文件读写权限设置和文件导出审计。</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考虑到用户的数据存储及数据共享需求，所投方案需自带云盘存储方案，通过分配个人盘保护用户个人数据存储需求及隐私保护需求，而共用盘允许所有人访问，实现数据共享需求。</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降低使用难度，所投产品使用方式需与PC使用习惯一致，需支持显示虚拟机开关机画面、需支持分辨率自适应和更改分辨率、需支持与本地操作系统、AD域等实现单点登录。</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为了保障带宽不会被某个用户抢占，所投产品需支持设置终端流量，可设置外设、磁盘映射及剪切板的上下行带宽，以避免带宽被抢占。</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为了提高维护效率，所投产品需支持在无需安装其他软件的情况下，管理员可以远程协助维护虚拟机，即管理员在桌面云控制端中可以直接向需要协助的用户发起远程协助。</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支持自助快照恢复，当用户自己误操作导致云桌面卡慢、蓝屏、死机或者中病毒的时候，用户通过导航条按钮，可以自助进行系统盘快照还原操作，支持安卓瘦终端、PC客户端。</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为了满足日常维护需求，需支持虚拟机热迁移技术，可在桌面业务不中断的情况将虚拟机运行位置更改至其他虚拟机节点。</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需支持模板链接克隆及完整复制虚拟机。链接克隆可以提高上线维护效率，完整复制虚拟机可以让虚拟机保持独立，不受模版单点故障影响。克隆时可指定虚拟机数量、运行位置、存储位置、网口信息、磁盘大小，并需支持链接克隆虚拟机转为完整复制虚拟机，本项目要求100个虚拟机派生时间不超过5分钟。</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需支持平滑扩容，支持在原磁盘上扩容或添加新的同规格磁盘，扩大磁盘容量。</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所投产品需支持模板升级，可以统一安装所需要升级的软件/补丁，一键更新到指定的虚拟机，满足标准化场景的软件和补丁更新需求，并不影响非c盘目录下个人数据。</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支持开机状态下编辑虚拟机配置，重启生效。</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支持设置虚拟机开关机计划，一方面可避免并发开机IO风暴问题，另一方面可释放服务器资源。</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支持短信和邮件告警，在管理平台可以设置邮件服务器和短信服务器。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支持管理员给在线用户推送消息和通知，管理员可以根据需求发给指定用户或者发给所有用户。</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支持管理记录所有用户的登录记录，包括登录账号、终端IP地址、MAC地址、终端型号、登录登出时间等，并支持信息导出。</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支持桌面云控制器的分权分域，可创建不同管理员角色，并支持对管理员角色的操作权限进行自定义编辑。</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所投产品需支持桌面还原模式下重启、专有模式下模板更新都不会修丢失打印机配置，无需重复配置打印机，提高用户工作效率和满意度。</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提高打印机配置及维护效率，所投产品需支持通过打印机配置上传、复用等功能，解决打印机快速部署的问题，减少部署工作量。并且在打印机出现问题可以一键替换打印机配置、或清空配置快速添加，提高打印机故障恢复效率。</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支持客户端准入检测，可根据用户接入的终端类型、操作系统版本、接入IP和时间、软件安装情况等条件设置接入访问策略，如客户端不满足安全检测要求则不允许接入。</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支持USB黑白名单技术，能够精准识别每一款不同类型的外设（包括高拍仪、摄像头、USB光驱、认证key等），并设置放通或者限制策略，提高管控粒度和安全性。</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为了满足用户安全性的需求，所投产品需满足，在不使用第三方产品的情况下，在虚拟化管理平台可配置基于ip、虚拟机、用户的ACL策略访问控制，以解决网络隔离配置的复杂性以及实现虚拟机直接的隔离安全。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支持在管理组件中内置应用管控技术，实现全方位云桌面管控，在禁止名单中可以通过配置规则禁止指定应用或进程在云桌面中运行；在允许名单中通过配置规则只允许规则中的应用或进程在云桌面中运行。</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支持多种认证方式随需组合，包括本地账号密码、usb-key认证、短信认证、硬件特征绑定、动态口令、ldap认证、raduis认证、AD域认证、瘦终端客户机认证、802.1x等多种方式，满足不同级别用户的安全接入需求。</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支持U盘、PC本地桌面到虚拟桌面这2种情况的双向拷贝管控，可控制U盘的只读和读写权限，可控制本地桌面和虚拟桌面双向拷贝、单向拷贝。</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支持录屏审计，提供用户的所有桌面操作行为审计（录像），帮助管理人员查看内部操作人员是否符合操作规范性，以及既定的规则要求，适用于对敏感岗位进行责任认定和授权管理。</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支持个人盘加密技术，对云桌面个人数据进行加密保存，保障个人隐私安全。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支持虚拟机快照技术，当数据误删或系统故障时可实现回滚，快照只保存增量数据，节省存储空间</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支持虚拟机回收站功能，避免误操作导致虚拟机数据丢失，当虚拟机删除后，会自动进入回收站，支持恢复到原位置，可设置回收站自动清理时长。</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桌面云控制器内置防火墙，包括设置过滤规则、NAT设置、访问监控、防DOS攻击。</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兼容国内外多款轻代理防病毒软件，防止虚拟机中毒。</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支持PC防截屏，在PC利旧场景下，支持设置PC客户端桌面不能窗口化，且无法截屏，若通过快捷键切换窗口，不显示受保护的桌面画面，以保护桌面数据安全。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支持满屏水印，水印内容颜色和边框颜色反色调设置，防止背景颜色与水印颜色一致，覆盖水印，支持水印内容、透明度、水印字体大小、倾斜度调整。</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支持临时权限，管理员为部分用户临时在某个时间段内放通usb和pc剪切板等权限，并在到期后自动回收该权限，保证数据安全。</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云终端</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本项目要求配备300台云终端。</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 xml:space="preserve">ARM架构，CPU≥双核1.6Ghz、内存≥1G、存储≥4G、USB≥4个、1个VGA或HDMI、1个以太网口、1对音频口。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采用嵌入式操作系统，若使用windows操作系统作为云终端底层操作系统，则需提供正版授权。</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为了方便管理，管理方式为虚拟机和瘦终端统一管理，降低管理难度。</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在瘦终端的管理方面，需支持分组管理、批量移动、删除、关闭瘦终端，支持配置定时开关机计划及加电自启动功能，支持自定义开机画面、配置自动登录和保存密码。</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为了简化管理，要求瘦终端支持远程唤醒，管理员可以使用桌面云控制器或者第三方教学软件，例如极域等，远程开机瘦终端。</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在PC利旧场景，支持配置是否允许显示本地桌面。</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考虑到接入安全，需支持修改云终端配置和登录信息时需要密码，可限制未接入过环境的瘦终端的接入或者接入桌面环境需要输入密码。</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通过CCC产品质量管理认证、节能环保认证。</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业务存储交换机</w:t>
            </w:r>
          </w:p>
        </w:tc>
        <w:tc>
          <w:tcPr>
            <w:tcW w:w="6433"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端口配置不低于：12个万兆光口，12个千兆电口</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交换性能不低于：1.28Tbps；</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包转发率不低于：480Mpps。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提供3年硬件质保；</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为实现智能化管理，要求交换机可根据需要支持智能交换机和普通交换机两种工作模式，两种模式可在控制器平台灵活的进行切换。</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支持基于交换机单端口、聚合口的ACL策略；</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支持通过控制器平台查看交换机端口负载情况；</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流量整形：支持基于换机端口出方向和入方向进行报文转发速率设置；</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支持流量端口镜像及重定向功能；</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3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8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显示器、键鼠套装</w:t>
            </w:r>
          </w:p>
        </w:tc>
        <w:tc>
          <w:tcPr>
            <w:tcW w:w="6433" w:type="dxa"/>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27寸液晶显示屏，有线键盘</w:t>
            </w:r>
            <w:r>
              <w:rPr>
                <w:rFonts w:hint="eastAsia" w:ascii="微软雅黑" w:hAnsi="微软雅黑"/>
                <w:color w:val="000000" w:themeColor="text1"/>
                <w:szCs w:val="21"/>
                <w:highlight w:val="none"/>
                <w14:textFill>
                  <w14:solidFill>
                    <w14:schemeClr w14:val="tx1"/>
                  </w14:solidFill>
                </w14:textFill>
              </w:rPr>
              <w:t>鼠标</w:t>
            </w:r>
            <w:r>
              <w:rPr>
                <w:rFonts w:ascii="微软雅黑" w:hAnsi="微软雅黑"/>
                <w:color w:val="000000" w:themeColor="text1"/>
                <w:szCs w:val="21"/>
                <w:highlight w:val="none"/>
                <w14:textFill>
                  <w14:solidFill>
                    <w14:schemeClr w14:val="tx1"/>
                  </w14:solidFill>
                </w14:textFill>
              </w:rPr>
              <w:t>套。</w:t>
            </w:r>
          </w:p>
        </w:tc>
        <w:tc>
          <w:tcPr>
            <w:tcW w:w="60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keepNext/>
        <w:keepLines/>
        <w:spacing w:after="200"/>
        <w:outlineLvl w:val="2"/>
        <w:rPr>
          <w:b/>
          <w:bCs/>
          <w:color w:val="000000" w:themeColor="text1"/>
          <w:sz w:val="32"/>
          <w:szCs w:val="32"/>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2、无线网络覆盖</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2150"/>
        <w:gridCol w:w="6467"/>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5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6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ascii="微软雅黑" w:hAnsi="微软雅黑"/>
                <w:b/>
                <w:bCs/>
                <w:color w:val="000000" w:themeColor="text1"/>
                <w:szCs w:val="21"/>
                <w:highlight w:val="none"/>
                <w14:textFill>
                  <w14:solidFill>
                    <w14:schemeClr w14:val="tx1"/>
                  </w14:solidFill>
                </w14:textFill>
              </w:rPr>
              <w:t>技术规格</w:t>
            </w:r>
          </w:p>
        </w:tc>
        <w:tc>
          <w:tcPr>
            <w:tcW w:w="623"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5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移动护理专用中心单元</w:t>
            </w:r>
          </w:p>
        </w:tc>
        <w:tc>
          <w:tcPr>
            <w:tcW w:w="6467"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1、固定端口：千兆POE电口≥24个，10G SFP+万兆光口≥4个；</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2、POE功能：支持IEEE 802.3af/at供电标准，单端口最大输出功率30W，整机最大输出功率≥370W</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3、交换性能：交换性能≥336Gbps/3.36Tbps；包转发率≥108Mpps/126Mpps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4、零配置上线方式：二层广播自动发现控制器平台、配置静态IP地址三层发现控制器平台、DHCP Option43方式发现控制器平台、DNS域名发现控制器平台；</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5.可视化管理：支持通过在控制器平台的Web页面对中心单元进行可视化管理查看，包括中心单元的端口状态及配置、vlan信息，提供功能截图证明；</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6.部署与运维：支持在控制器平台上自动生成网络拓扑图，显示网络拓扑和中心单元下联AP状态，可以显示为在线、离线、待激活、待修复等状态，方便网络运维，提供功能截图证明；</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7、为保证产品软件成熟度，设备生产厂商需具备CMMI</w:t>
            </w:r>
            <w:r>
              <w:rPr>
                <w:rFonts w:hint="eastAsia" w:ascii="微软雅黑" w:hAnsi="微软雅黑"/>
                <w:color w:val="000000" w:themeColor="text1"/>
                <w:szCs w:val="21"/>
                <w:highlight w:val="none"/>
                <w14:textFill>
                  <w14:solidFill>
                    <w14:schemeClr w14:val="tx1"/>
                  </w14:solidFill>
                </w14:textFill>
              </w:rPr>
              <w:t>4</w:t>
            </w:r>
            <w:r>
              <w:rPr>
                <w:rFonts w:ascii="微软雅黑" w:hAnsi="微软雅黑"/>
                <w:color w:val="000000" w:themeColor="text1"/>
                <w:szCs w:val="21"/>
                <w:highlight w:val="none"/>
                <w14:textFill>
                  <w14:solidFill>
                    <w14:schemeClr w14:val="tx1"/>
                  </w14:solidFill>
                </w14:textFill>
              </w:rPr>
              <w:t>级</w:t>
            </w:r>
            <w:r>
              <w:rPr>
                <w:rFonts w:hint="eastAsia" w:ascii="微软雅黑" w:hAnsi="微软雅黑"/>
                <w:color w:val="000000" w:themeColor="text1"/>
                <w:szCs w:val="21"/>
                <w:highlight w:val="none"/>
                <w14:textFill>
                  <w14:solidFill>
                    <w14:schemeClr w14:val="tx1"/>
                  </w14:solidFill>
                </w14:textFill>
              </w:rPr>
              <w:t>以上</w:t>
            </w:r>
            <w:r>
              <w:rPr>
                <w:rFonts w:ascii="微软雅黑" w:hAnsi="微软雅黑"/>
                <w:color w:val="000000" w:themeColor="text1"/>
                <w:szCs w:val="21"/>
                <w:highlight w:val="none"/>
                <w14:textFill>
                  <w14:solidFill>
                    <w14:schemeClr w14:val="tx1"/>
                  </w14:solidFill>
                </w14:textFill>
              </w:rPr>
              <w:t>证书，提供证书复印件证明；</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8、提供原厂三年质保。</w:t>
            </w:r>
          </w:p>
        </w:tc>
        <w:tc>
          <w:tcPr>
            <w:tcW w:w="6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5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医院专用吸顶AP</w:t>
            </w:r>
          </w:p>
        </w:tc>
        <w:tc>
          <w:tcPr>
            <w:tcW w:w="6467"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1、802.11ax 协议，兼容802.11a/b/g/n/ac协议，支持2.4G和5G同时工作，为保障无线网络体验，要求2.4G和5G射频最高支持802.11ax协议；</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2、USB接口≥1个，可拓展物联网模块使用，可外接U盘；</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3、整机采用三射频设计，2.4G最大传输速率≥500Mbps，5G最大传输速率≥2000Mbps，整机最大传输速率≥2.5Gbps；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4、支持零配置，所有配置绑定在中心单元端口上，不受下联的设备影响，实现即插即用</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5、支持对无线网络提供的服务进行检测，包括网络接入、DHCP、网关、DNS、网络地址等阶段的时延和质量检测，并以时光轴的方式进行展示具体时间点的检测情况；</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6、支持对无线网络环境指标进行检测，包括信道总利用率、Wi-Fi信道利用率、非Wi-Fi信道利用率、同频射频单元数量等，以方便对网络质量进行排查；</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7、射频单元支持联动安全策略，通过安全策略可以实现对疑似感染病毒或已感染病毒的无线客户端进行识别、监控与隔离等多种方式的处理；</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8、支持无线带宽平均分配，让不同协商速率的终端占用相等的无线信道时间，防止低速终端拉低网络整体速；</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9、提供原厂三年质保。</w:t>
            </w:r>
          </w:p>
        </w:tc>
        <w:tc>
          <w:tcPr>
            <w:tcW w:w="6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5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48口接入交换机</w:t>
            </w:r>
          </w:p>
        </w:tc>
        <w:tc>
          <w:tcPr>
            <w:tcW w:w="6467"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1、端口状态：千兆电口≥48个，千兆 SFP光口≥4个；Console口≥1个，Manage口≥1个；</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2、性能：交换容量≥336Gbps/3.36Tbps；转发率≥96Mpps/126Mpps；；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3、支持4K个VLAN，支持MAC地址≥16K；</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4、虚拟化：支持M-LAG技术，跨设备链路聚合（非堆叠技术实现），要求配对的设备有独立的控制平面；</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5、工作模式：支持胖瘦一体化，支持智能交换机和普通交换机两种工作模式，可以根据不同的组网需要，随时在控制器平台灵活的进行切换；</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6、配置模式：支持零配置上线，支持二层广播自动发现控制器平台；支持配置静态IP地址三层发现控制器平台；支持DHCP Option43方式发现控制器平台；支持DNS域名发现控制器平台；</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7、安全特性：支持终端类型库，基于指纹自动识别PC、路由器、摄像头设备等；</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8、兼容性：需支持联动第三方安全设备或平台，通过联动实现从系统及接入层交换机对风险终端MAC地址进行封堵；</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9、提供原厂三年质保。</w:t>
            </w:r>
          </w:p>
        </w:tc>
        <w:tc>
          <w:tcPr>
            <w:tcW w:w="6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5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楼宇汇聚交换机</w:t>
            </w:r>
          </w:p>
        </w:tc>
        <w:tc>
          <w:tcPr>
            <w:tcW w:w="6467"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1、千兆光口≥24个，千兆combo电口≥4个，万兆SFP+光口≥4个，Console口≥1个、Manage口≥1个；                                                             </w:t>
            </w:r>
          </w:p>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2、交换容量≥432Gbps/4.32Tbps，包转发≥156Mpps/168Mpps；</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 xml:space="preserve">3、支持M-LAG技术，跨设备链路聚合（非堆叠技术实现），要求配对的设备有独立的控制平面，                                       </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 xml:space="preserve">4、支持零配置上线，支持二层广播自动发现交换机；支持配置静态IP地址三层发现控交换机；支持通过控制器平台一键替换“按钮”即可完成故障设备替换； </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 xml:space="preserve">5、支持在交换机上创建东西向安全策略，实现全网安全风险拦截；                                                                 </w:t>
            </w:r>
          </w:p>
          <w:p>
            <w:pPr>
              <w:snapToGrid w:val="0"/>
              <w:rPr>
                <w:rFonts w:ascii="微软雅黑" w:hAnsi="微软雅黑"/>
                <w:b/>
                <w:bCs/>
                <w:color w:val="000000" w:themeColor="text1"/>
                <w:szCs w:val="21"/>
                <w:highlight w:val="none"/>
                <w14:textFill>
                  <w14:solidFill>
                    <w14:schemeClr w14:val="tx1"/>
                  </w14:solidFill>
                </w14:textFill>
              </w:rPr>
            </w:pPr>
            <w:r>
              <w:rPr>
                <w:rFonts w:ascii="微软雅黑" w:hAnsi="微软雅黑"/>
                <w:b/>
                <w:bCs/>
                <w:color w:val="000000" w:themeColor="text1"/>
                <w:szCs w:val="21"/>
                <w:highlight w:val="none"/>
                <w14:textFill>
                  <w14:solidFill>
                    <w14:schemeClr w14:val="tx1"/>
                  </w14:solidFill>
                </w14:textFill>
              </w:rPr>
              <w:t>6、为满足网络安全建设需求，交换机需满足《信息安全技术 交换机安全技术要求 GA/T 684-2007》,符合安全交换机标准</w:t>
            </w:r>
            <w:r>
              <w:rPr>
                <w:rFonts w:hint="eastAsia" w:ascii="微软雅黑" w:hAnsi="微软雅黑"/>
                <w:b/>
                <w:bCs/>
                <w:color w:val="000000" w:themeColor="text1"/>
                <w:szCs w:val="21"/>
                <w:highlight w:val="none"/>
                <w14:textFill>
                  <w14:solidFill>
                    <w14:schemeClr w14:val="tx1"/>
                  </w14:solidFill>
                </w14:textFill>
              </w:rPr>
              <w:t>；</w:t>
            </w:r>
            <w:r>
              <w:rPr>
                <w:rFonts w:ascii="微软雅黑" w:hAnsi="微软雅黑"/>
                <w:b/>
                <w:bCs/>
                <w:color w:val="000000" w:themeColor="text1"/>
                <w:szCs w:val="21"/>
                <w:highlight w:val="none"/>
                <w14:textFill>
                  <w14:solidFill>
                    <w14:schemeClr w14:val="tx1"/>
                  </w14:solidFill>
                </w14:textFill>
              </w:rPr>
              <w:t xml:space="preserve">                                                                                            </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 xml:space="preserve">7、为保障产品后期服务质量，设备生产制造商需具备GB/T27922-2011售后服务认证证书，且达到“五星级”。                                                     </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w:t>
            </w:r>
            <w:r>
              <w:rPr>
                <w:rFonts w:hint="eastAsia" w:ascii="微软雅黑" w:hAnsi="微软雅黑"/>
                <w:color w:val="000000" w:themeColor="text1"/>
                <w:szCs w:val="21"/>
                <w:highlight w:val="none"/>
                <w14:textFill>
                  <w14:solidFill>
                    <w14:schemeClr w14:val="tx1"/>
                  </w14:solidFill>
                </w14:textFill>
              </w:rPr>
              <w:t>提供</w:t>
            </w:r>
            <w:r>
              <w:rPr>
                <w:rFonts w:ascii="微软雅黑" w:hAnsi="微软雅黑"/>
                <w:color w:val="000000" w:themeColor="text1"/>
                <w:szCs w:val="21"/>
                <w:highlight w:val="none"/>
                <w14:textFill>
                  <w14:solidFill>
                    <w14:schemeClr w14:val="tx1"/>
                  </w14:solidFill>
                </w14:textFill>
              </w:rPr>
              <w:t>三年原厂质保。</w:t>
            </w:r>
          </w:p>
        </w:tc>
        <w:tc>
          <w:tcPr>
            <w:tcW w:w="6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5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全院核心交换机</w:t>
            </w:r>
          </w:p>
        </w:tc>
        <w:tc>
          <w:tcPr>
            <w:tcW w:w="6467"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微软雅黑" w:hAnsi="微软雅黑"/>
                <w:color w:val="000000" w:themeColor="text1"/>
                <w:szCs w:val="21"/>
                <w:highlight w:val="none"/>
                <w14:textFill>
                  <w14:solidFill>
                    <w14:schemeClr w14:val="tx1"/>
                  </w14:solidFill>
                </w14:textFill>
              </w:rPr>
              <w:t>1、交换容量≥133.6Tbps/502.5Tbps、包转发率≥18210Mpps/155550Mpps；</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2、支持横向N:1虚拟化（N≥2）；支持静态路由、RIP v1/v2、OSPF、BGP、策略路由4、支持IPv6静态路由、RIPng、OSPFv3、BGP4+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3、支持EAPS环网保护技术、VRRP冗余技术 ；</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4、电源槽位≥3，支持电源M+N备份；</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5、支持横向N:1虚拟化（N≥2），可以将多台物理设备虚拟化为逻辑上的一台设备，支持业务卡堆叠，可灵活配置堆叠方式；支持将虚拟集群系统的距离延伸至80KM，灵活方便，打破了传统集群技术的地域限制性；</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6、支持ICMPv6、DHCPv6、ACLv6、IPv6 Telnet,支持IPv6邻居发现、支持MLD 、MLD Snooping、支持IPv6静态路由、RIPng、OSPFv3、BGP4+；</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7、以下为单套最低配置：主控板2块，交流电源模块2块，满配风扇框；万兆光口16个，千兆光口24个，千兆电口24个；实配IPv6授权；双链路VLAN。核心交换负载均衡。</w:t>
            </w:r>
          </w:p>
          <w:p>
            <w:pPr>
              <w:snapToGrid w:val="0"/>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8、提供原厂三年质保。</w:t>
            </w:r>
          </w:p>
        </w:tc>
        <w:tc>
          <w:tcPr>
            <w:tcW w:w="6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keepNext/>
        <w:keepLines/>
        <w:spacing w:after="200"/>
        <w:outlineLvl w:val="2"/>
        <w:rPr>
          <w:b/>
          <w:bCs/>
          <w:color w:val="000000" w:themeColor="text1"/>
          <w:sz w:val="32"/>
          <w:szCs w:val="32"/>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3、无线网络控制器</w:t>
      </w:r>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2134"/>
        <w:gridCol w:w="64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34"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50"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ascii="微软雅黑" w:hAnsi="微软雅黑"/>
                <w:b/>
                <w:bCs/>
                <w:color w:val="000000" w:themeColor="text1"/>
                <w:szCs w:val="21"/>
                <w:highlight w:val="none"/>
                <w14:textFill>
                  <w14:solidFill>
                    <w14:schemeClr w14:val="tx1"/>
                  </w14:solidFill>
                </w14:textFill>
              </w:rPr>
              <w:t>技术规格</w:t>
            </w:r>
          </w:p>
        </w:tc>
        <w:tc>
          <w:tcPr>
            <w:tcW w:w="656"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3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医院网络管理平台</w:t>
            </w:r>
          </w:p>
        </w:tc>
        <w:tc>
          <w:tcPr>
            <w:tcW w:w="6450" w:type="dxa"/>
            <w:shd w:val="clear" w:color="auto" w:fill="auto"/>
            <w:tcMar>
              <w:top w:w="12" w:type="dxa"/>
              <w:left w:w="12" w:type="dxa"/>
              <w:right w:w="12" w:type="dxa"/>
            </w:tcMar>
            <w:vAlign w:val="center"/>
          </w:tcPr>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1.端口状态：千兆电口数≥6个，千兆SFP光口数≥4个；拓展插槽≥1个；并需提供1个RJ45 Console管理口，最大支持管理AP≥1500；</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2.设备授权数：此次配备AP数量授权≥1100，交换机管理授权≥400；</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3.系统支持自动发现交换机和AP，并实现拓扑自动生成，用户可以通过浏览拓扑视图了解交换机和AP的层次结构和运行状态；</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4.支持基于地址池进行用户终端IP地址画像管理，并可查看相关信息，如发生冲突的IP地址、获取IP地址失败的终端、地址池利用率、IP分配次数分布等；</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5.支持以下企业级身份认证功能：802.1x认证、Portal认证、二维码审核认证、MAC地址认证等认证方式；</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6.支持基于用户/用户组进行授权，可实现用户通过有线、无线接入具有相同的认证账号和上网权限；</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7.为提高系统兼容性对接，需支持联动第三方安全设备或平台，通过联动实现从系统及接入层交换机对风险终端MAC地址进行封堵；</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8.支持通过自定义交换机设备及端口告警，实现交换机离线、MAC地址表利用率超阀值、单网口防环、接口状态变化、接口协商速率下降、接口泛洪报文超阀值等多种告警事件；并支持手机APP（可自定义推送内容）、短信等告警方式；</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9.所投设备需具备公安部颁发的访问控制（网络-增强级）产品销售许可证</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10.为提高网络稳定性和兼容性，网络管理平台与本次所有无线AP为同一品牌。</w:t>
            </w:r>
          </w:p>
          <w:p>
            <w:pPr>
              <w:snapToGrid w:val="0"/>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11. 提供原厂三年质保。</w:t>
            </w:r>
          </w:p>
        </w:tc>
        <w:tc>
          <w:tcPr>
            <w:tcW w:w="65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4、超融合</w:t>
      </w:r>
    </w:p>
    <w:p>
      <w:pPr>
        <w:spacing w:line="340" w:lineRule="exact"/>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4.1、业务承载超融合</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2116"/>
        <w:gridCol w:w="640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16"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8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16"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 xml:space="preserve"> 超融合资源池平台服务器</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处理器：不低于2颗16核CPU，主频不低于2.9 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内存：不低于256GB DDR4 2666 内存，≥24条扩展插槽；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硬盘：2块后置热插拔2.5寸系统盘位，12个3.5寸热插拔盘位扩展，可定制支持PCIe SSD硬盘；本次单台配置≥2*240G SSD系统盘，≥2*1.92T SSD缓存盘，≥6*6T SATA数据盘（7200转）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RAID功能：RAID卡(LSI-3008-8I）,支持0,1,10,等RAID级别；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接口: 千兆以太网电口≥4个,万兆光口≥4个，VGA口1个，USB2.0接口≥2个， USB3.0接口≥2个，PCI-E插槽总数≥5个；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电源：电源输出功率800W电源，支持交直流兼容(AC 100-240V /DC 240V）；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冷却系统：支持1+1冗余热插拔系统风扇；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故障定位：标配BMC诊断模块，可实现对CPU/内存/硬盘/网卡/风扇/温度/电源等关键部件的故障诊断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为保障售后服务的及时性，所投设备的稳定性、可靠性，必须提供设备生产厂家售后服务承诺保证文件以及投标授权书。</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超融合虚拟化软件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虚拟化平台至少满足18颗物理CPU的虚拟化授权，包含服务器虚拟化、存储虚拟化，数据持续保护系统，为方便统一管理和后期扩容方便，授权可通过虚拟化平台统一管理和授权。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所有虚拟化平台软件，提供不低于3年的软件升级服务；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提供云管平台，能够同时管理新建超融合集群和原有超融合业务集群，实现虚拟化业务的统一管理，便于管理人员运维。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 xml:space="preserve">支持大屏展示便于客户直观查看虚拟化资源池的使用情况和健康状态，包括集群资源情况，各主机资源使用情况，存储资源池的IO次数、IO速率、IO时延、存储命中率、主机命中率，以及集群故障与告警，支持Top 5主机CPU和内存利用率、Top 5虚拟机CPU和内存利用率信息大屏展示等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虚拟化的管理平台、可以支持扩展同一品牌的存储虚拟化、网络功能虚拟化、虚拟应用防火墙、虚拟应用交付、SSL VPN软件、数据库审计软件等功能组件的，并支持统一管理，以保障平台的扩展性和兼容性；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计算虚拟化要求：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虚拟化软件非OEM或贴牌产品，禁止借用第三方软件的整合，以保证功能的可靠性和安全性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虚拟机可以实现物理机的全部功能，如具有自己的资源（内存、CPU、网卡、存储），可以指定单独的MAC地址等。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支持虚拟机的HA功能。当物理服务器发生故障时，该物理服务器上的所有虚拟机，可以在集群之内的其它物理服务器上重新启动，保障业务连续性。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虚拟机之间可以做到隔离保护，其中每一个虚拟机发生故障都不会影响同一个物理机上的其它虚拟机运行，以保障系统平台的安全性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支持配置动态资源扩展功能，系统支持自动评估虚拟机的性能，当虚拟机性能不足时自动为虚拟机添加CPU和内存资源，确保业务持续高效运行。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提供虚拟机回收站功能，防止因虚拟机误删除导致数据丢失，超期的文件将被自动删除。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保证云平台具备良好的虚拟安全拓展能力，虚拟化的管理平台，可以支持扩展虚拟安全组件的拓展能力，支持虚拟应用防火墙、虚拟应用负载均衡、虚拟SSLVPN、虚拟数据库审计、虚拟上网行为管理等功能组件的，并支持统一管理，以保障平台安全能力的扩展性和兼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持无代理跨物理主机的虚拟机USB映射，单位部分系统需要使用USB KEY时，无需在虚拟机上安装客户端插件，且虚拟机迁移到其它物理主机后，仍能正常使用迁移前所在物理主机上的USB资源，对于业务的自适应能力、使用便捷性更佳；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支持平台中的集群资源环境一键检测，对硬件健康、平台底层的虚拟化的运行状态和配置，进行多个维度进行检查，提供快速定位问题功能，确保系统最佳状态；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支持设置告警类型、告警内容，针对告警信息平台可自动给出告警处理建议，同时支持将告警信息以短信和邮件方式发送给管理员；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通过License激活的方式，实现网络虚拟化功能（分布式虚拟交换机、虚拟路由器、虚拟应用防火墙、虚拟应用负载均衡），支持Vxlan网络和现有的Vlan网络对接，实现虚拟化平台与原有网络的兼容性；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在管理平台上可以通过拖拽虚拟设备图标和连线就能完成网络拓扑的构建，快速的实现整个业务逻辑，并且可以连接、开启、关闭虚拟网络设备，支持对整个平台虚拟设备实现统一的管理，提升运维管理的工作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在管理平台上可以通过拖拽虚拟设备图标和连线就能完成网络拓扑的构建，快速的实现整个业务逻辑，并且可以连接、开启、关闭虚拟网络设备，支持对整个平台虚拟设备实现统一的管理，提升运维管理的工作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支持ACL功能，通过ACL来控制虚拟机之间的网络访问能力，进而保障部署在虚拟机上的业务资源的安全性；支持根据报文的源和目的IP地址信息、源和目的IP地址及源和目的端口制定匹配规则；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支持存储虚拟化功能，无需安装额外的软件，在一个统一的管理平台上使用License激活的方式即可开通使用，存储虚拟化与计算虚拟化为紧耦合架构，减少底层开销，提升性能。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采用分布式的软件定义存储架构，在通用x86服务器部署，把所有服务器硬盘组织成一个虚拟存储资源池，提供分布式存储服务，无需独立的元数据及控制器节点。通过新增物理服务器可以实现存储容量和性能的横向扩展（Scale-Out架构），扩容过程保证业务零中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支持条带化功能，实现分布式raid0的性能提升效果，并且支持以虚拟磁盘为单位设置不同的条带数。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支持数据重建智能保护业务性能，可以对数据重建速度进行智能限速，避免数据重建过程中IO性能占用导致对业务的性能造成影响。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支持数据重建优先级调整，在故障数据重新恢复时，可由用户指定优先重建的虚拟机，保证重要的业务优先恢复数据的安全性。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支持存储分卷功能，支持以磁盘为单位，根据业务需求划分为不同的存储卷，如高性能卷，大容量卷，全闪存卷等，可使对存储性能和容量要求不同的业务运行在不同的存储卷上。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为了便于部署oracle等关键业务系统，虚拟存储可支持Oracle RAC，支持共享盘，及共享块设备，支持向导式安装，降低部署复杂度。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提供数据持续保护模块，为保证数据持续保护与超融合平台的统一管理和兼容性（如果所投超融合平台没有以上数据持续保护模块可使用第三软件来完成如下功能，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要求数据持续保护系统满足以下技术要求：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1、支持在CDP数据正式恢复之前，可快速查看灾备的文件目录信息，确定恢复时间点后，再正式进行CDP数据恢复。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2、持续数据保护CDP软件模块，能够动态的开启和关闭，比如能够提供对正在运行的虚拟机，在不需要重启或中断业务的情况下，就可以开启CDP。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3、CDP提供与虚拟机故障隔离能力，支持CDP模块故障时，虚拟机仍然能够正常实现数据读写。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4、本项目提供不少于20个虚拟机的持续数据保护CDP授权。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超融合软件厂商软件开发必须通过CMMI5级认证，要求提供证书；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云平台厂商需连续两年入围Gartner《超融合基础设施软件魔力象限》</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数据库管理平台</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部署模式：支持在超融合系统中部署，不需要额外硬件设备，提供不少于6个数据库实例授权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MySQL：支持开源数据库MySQL的自动化部署，实现开箱即用的RDS能力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支持MySQL 5.7 版本，单机架构和一主一从架构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支持数据库的参数配置变更，提供默认的最佳实践配置模板（需提供产品功能截图）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提供数据库资源的生命周期管理，包括启用、停用、重启的基本操作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支持数据库的账号管理，可以创建、编辑数据库的账号，并进行库、表、列细粒度的权限控制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支持开启维护模式，暂停故障自愈，对数据库进行特定维护管理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支持对数据库进行资源回收，在开发测试场景可以有效回收资源，作为管理的手段，实现资源使用率的最大化</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支持对数据库实例进行CPU、内存、磁盘的弹性热扩容，适应业务发展诉求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支持MySQL数据库负载组件的创建、统一管理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支持自定义编辑MySQL访问IP和端口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支持DMC数据库控制台，提供可视化方式登录MySQL数据库，执行SQL操作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支持MySQL超融合场景（经典网络）、私有云/托管云场景（VPC网络）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支持MySQL主从模式，实现集群化的高可用模式，避免单点故障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主从架构下，数据库集群的运行位置支持互斥，默认分布在不同的物理主机上，以避免单主机故障导致的数据库集群故障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主从架构下，主数据库故障可以自动进行主从切换和故障自愈，实现自动化运维能力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单机和主从故障情况下，提供数据库故障自愈能力，将故障节点拉起；主从架构还可自动修复故障节点并加回集群中实现节点冗余度不变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支持对数据库进行备份保护，包括自动备份和手动备份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提供统一的界面对全部数据库和备份文件进行管理，降低运维难度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支持自定义自动备份策略，可指定时段按天、周设定备份时间，支持按双周、月设定全量备份频率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主从集群备份优先对从库进行备份以降低对性能影响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支持从备份文件恢复某个时间点的数据，支持备份文件直接恢复为数据库。恢复完成验证可用性验证后可以替换原有业务作为生产业务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支持做备份演练，通过备份文件拉起新数据库，验证备份文件的有效性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支持数据库的拓扑监控，实时可视化查看数据库集群各个节点的健康情况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支持对数据库实例进行监控，并根据监控展示趋势图，提供30+监控指标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支持查看数据库的历史监控数据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支持提供数据库监控大屏功能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支持手动巡检与自动巡检，并生成巡检报告，巡检报告可提供健康评分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Oracle：支持Oracle 11g的Oracle和RAC架构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支持Oracle单机和RAC的自动化部署，实现开箱即用的RDS能力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提供数据库资源的生命周期管理，包括启用、停用、重启的基本操作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支持Oracle数据库的账号管理，为账号配置角色权限，支持添加细粒度对象权限控制（包括表、视图、存储过程）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支持开启维护模式，暂停故障自愈，对数据库进行特定维护管理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支持对数据库进行资源回收，在开发测试场景可以有效回收资源，作为管理的手段，实现资源使用率的最大化</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支持对数据库实例进行CPU、内存、磁盘数量的弹性扩容，适应业务发展诉求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支持自定义编辑Oracle访问IP，包括RAC的SCAN IP，单机的VIP、Public IP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支持DMC数据库控制台，提供可视化方式登录Oracle数据库，执行SQL操作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支持Oracle超融合场景（经典网络）、私有云/托管云场景（VPC网络）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 RAC模式，实现数据库集群化的高可用模式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RAC的节点分布在不同的主机上，避免单点故障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单机和RAC集群故障情况下，提供数据库故障自愈能力，将故障节点拉起；RAC可自动修复故障节点并加回集群中实现节点冗余度不变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DMP经典网络模式下，支持针对Oracle单机、RAC向导式自动化创建DG备库来搭建数据库主备容灾系统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DG支持配置最大性能模式、最大保护模式、最大可用模式，主备库同架构（单机-&gt;单机，RAC-&gt;RAC），支持跨资源池创建DG备库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支持页面一键进行主备切换，适用于容灾演练场景；支持一键式故障转移，应对真实的故障场景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支持对主备库的网络链路、数据同步状态进行监控，方便进行统一管理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支持对Oracle 11g数据库纳管做备份、监控、巡检的管理（包括VMware、物理机等场景的Oracle数据库）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 CDP功能，备份粒度做到分钟级，可以任意一秒恢复，提高数据保护能力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支持Oracle数据库备份细化到15分钟的RPO粒度，提高数据保护能力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支持Oracle单机的快照能力，可创建快照，并基于快照进行克隆和CDP恢复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支持网络存储NFS作为存储介质，扩大备份存储的选择性和适用性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支持对数据库进行备份保护，包括自动备份和手动备份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提供统一的界面对全部数据库和备份文件进行管理，降低运维难度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支持自定义自动备份策略，可指定时段按天、周设定备份时间，支持按双周、月设定全量备份频率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支持从备份文件恢复某个时间点的数据，支持备份文件直接恢复为数据库。恢复完成验证可用性验证后可以替换原有业务作为生产业务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支持做备份演练，通过备份文件拉起新数据库，验证备份文件的有效性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支持数据库的拓扑监控，实时可视化查看数据库集群各个节点的健康情况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支持对数据库实例进行监控，并根据监控展示趋势图，提供10+监控指标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支持查看数据库的历史监控数据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支持提供数据库监控大屏功能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支持数据库一键诊断，可覆盖资源、会话、锁、性能分析，方便一键掌握数据库基本状况，发现异常问题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支持数据库会话分析，可以针对会话进行统计分析，包括终止会话，对会话SQL进行分析等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支持针对进行数据库锁分析，可以直观查看锁阻塞情况，并进行会话处置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支持通过DB time进行数据库性能分析，包含对SQL执行计划查询，可以进行慢SQL优化</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16"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业务存储交换机</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端口配置不低于：24个万兆光口，2个40GEQSFP+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交换性能不低于：2.56Tbps；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包转发率不低于：720Mpps。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提供3年硬件质保；</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为实现智能化管理，要求交换机可根据需要支持智能交换机和普通交换机两种工作模式，两种模式可在控制器平台灵活的进行切换。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支持基于交换机单端口、聚合口的ACL策略；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流量整形：支持基于换机端口出方向和入方向进行报文转发速率设置；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支持流量端口镜像及重定向功能；</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16"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前置机</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信息交换系统和影像交换系统前置服务器，配置 10核20线程   16G内存 2*2T企业级 H330 495W,全国联保。; 可选内置光驱(通过光驱扩展笼，24 SFF 时不可选）; 2U 高度;3 年7*24,4 小时响应提供原厂商3 年7*24 质保与服务，提供原厂现场安装服务，质保期内含所有硬件配件免费维修、更换。</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spacing w:line="340" w:lineRule="exact"/>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4.2、等保三级</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2083"/>
        <w:gridCol w:w="645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3"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5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64"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互联网出口区下一代防火墙</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配置要求</w:t>
            </w:r>
            <w:r>
              <w:rPr>
                <w:rFonts w:hint="eastAsia" w:ascii="宋体" w:hAnsi="宋体" w:cs="宋体"/>
                <w:color w:val="000000" w:themeColor="text1"/>
                <w:kern w:val="0"/>
                <w:szCs w:val="21"/>
                <w:highlight w:val="none"/>
                <w:lang w:bidi="ar"/>
                <w14:textFill>
                  <w14:solidFill>
                    <w14:schemeClr w14:val="tx1"/>
                  </w14:solidFill>
                </w14:textFill>
              </w:rPr>
              <w:t xml:space="preserve"> ：三层吞吐量≥4Gbps，并发连接数≥100W，新建连接数≥2W；硬件指标：1U；单电源；不少于6个千兆电口+2个千兆光口1，1个串口（RJ45），2个USB 2.0；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部署方式 ：</w:t>
            </w:r>
            <w:r>
              <w:rPr>
                <w:rFonts w:hint="eastAsia" w:ascii="宋体" w:hAnsi="宋体" w:cs="宋体"/>
                <w:color w:val="000000" w:themeColor="text1"/>
                <w:kern w:val="0"/>
                <w:szCs w:val="21"/>
                <w:highlight w:val="none"/>
                <w:lang w:bidi="ar"/>
                <w14:textFill>
                  <w14:solidFill>
                    <w14:schemeClr w14:val="tx1"/>
                  </w14:solidFill>
                </w14:textFill>
              </w:rPr>
              <w:t>产品支持路由模式、透明模式、虚拟网线模式、旁路镜像模式等多种部署方式。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路由支持：</w:t>
            </w:r>
            <w:r>
              <w:rPr>
                <w:rFonts w:hint="eastAsia" w:ascii="宋体" w:hAnsi="宋体" w:cs="宋体"/>
                <w:color w:val="000000" w:themeColor="text1"/>
                <w:kern w:val="0"/>
                <w:szCs w:val="21"/>
                <w:highlight w:val="none"/>
                <w:lang w:bidi="ar"/>
                <w14:textFill>
                  <w14:solidFill>
                    <w14:schemeClr w14:val="tx1"/>
                  </w14:solidFill>
                </w14:textFill>
              </w:rPr>
              <w:t xml:space="preserve"> 产品支持静态路由、策略路由和多播路由协议，并支持BGP、RIP、OSPF等动态路由协议。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产品支持策略路由负载，支持基于服务、ISP地址、应用、地域等维度进行智能选路，保证关键业务流量通过优质链路转发，支持加权流量、带宽比例、线路优先等负载均衡调度算法。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基础功能：</w:t>
            </w:r>
            <w:r>
              <w:rPr>
                <w:rFonts w:hint="eastAsia" w:ascii="宋体" w:hAnsi="宋体" w:cs="宋体"/>
                <w:color w:val="000000" w:themeColor="text1"/>
                <w:kern w:val="0"/>
                <w:szCs w:val="21"/>
                <w:highlight w:val="none"/>
                <w:lang w:bidi="ar"/>
                <w14:textFill>
                  <w14:solidFill>
                    <w14:schemeClr w14:val="tx1"/>
                  </w14:solidFill>
                </w14:textFill>
              </w:rPr>
              <w:t xml:space="preserve"> 产品支持支持源地址转换SNAT，目的地址转换DNAT和双向NAT等功能， 支持一对一、一对多、多对一等形式的NAT。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产品支持NAT64和NAT46 地址转换方式，产品支持IPv4/IPv6双栈工作模式，以适应IPv6发展趋势。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产品支持对不少于9000种应用的识别和控制，并且支持应用划分类型进行检测与控制。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DoS/DDoS攻击防护：</w:t>
            </w:r>
            <w:r>
              <w:rPr>
                <w:rFonts w:hint="eastAsia" w:ascii="宋体" w:hAnsi="宋体" w:cs="宋体"/>
                <w:color w:val="000000" w:themeColor="text1"/>
                <w:kern w:val="0"/>
                <w:szCs w:val="21"/>
                <w:highlight w:val="none"/>
                <w:lang w:bidi="ar"/>
                <w14:textFill>
                  <w14:solidFill>
                    <w14:schemeClr w14:val="tx1"/>
                  </w14:solidFill>
                </w14:textFill>
              </w:rPr>
              <w:t xml:space="preserve"> 产品支持对ICMP、UDP、DNS、SYN等协议进行DDOS防护。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产品支持异常包攻击防御，异常包攻击类型至少包括Ping of Death、Teardrop、Smurf、Land、WinNuke等攻击类型。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入侵防护：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产品预定义漏洞特征数量超过7800种，支持在产品漏洞特征库中以漏洞名称、漏洞ID、漏洞CVE标识、危险等级和漏洞描述等条件快速查询特定漏洞特征信息，支持用户自定义IPS规则。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产品支持基于IMAP、FTP、RDP、VNC、SSH、TELNET、ORACLE、MYSQL、MSSQL等应用协议进行深度检测与防护。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产品支持僵尸主机检测功能，产品预定义特征库超过110万种，可识别主机的异常外联行为。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基于勒索病毒的攻击链提供勒索病毒防护配置向导，包含防护对象、勒索病毒常用端口、漏洞、弱口令的自定义定时识别及自动生成包含WEB应用防护、漏洞防护、内容安全、僵尸网络检测、慢速爆破防御等勒索病毒防护策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账号安全：</w:t>
            </w:r>
            <w:r>
              <w:rPr>
                <w:rFonts w:hint="eastAsia" w:ascii="宋体" w:hAnsi="宋体" w:cs="宋体"/>
                <w:color w:val="000000" w:themeColor="text1"/>
                <w:kern w:val="0"/>
                <w:szCs w:val="21"/>
                <w:highlight w:val="none"/>
                <w:lang w:bidi="ar"/>
                <w14:textFill>
                  <w14:solidFill>
                    <w14:schemeClr w14:val="tx1"/>
                  </w14:solidFill>
                </w14:textFill>
              </w:rPr>
              <w:t xml:space="preserve"> 产品支持用户账号全生命周期保护功能，包括用户账号多余入口检测、弱口令检测、暴力破解检测、失陷账号检测，防止因账号被暴力破解导致的非法提权情况发生。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产品支持文件目录防护功能，通过对用户账号进行认证，对网站内容的修改行为进行合法性控制。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联动响应：</w:t>
            </w:r>
            <w:r>
              <w:rPr>
                <w:rFonts w:hint="eastAsia" w:ascii="宋体" w:hAnsi="宋体" w:cs="宋体"/>
                <w:color w:val="000000" w:themeColor="text1"/>
                <w:kern w:val="0"/>
                <w:szCs w:val="21"/>
                <w:highlight w:val="none"/>
                <w:lang w:bidi="ar"/>
                <w14:textFill>
                  <w14:solidFill>
                    <w14:schemeClr w14:val="tx1"/>
                  </w14:solidFill>
                </w14:textFill>
              </w:rPr>
              <w:t>产品支持与终端安全软件联动管理，在防火墙产品完成终端安全策略设置和内网终端安全软件的统一管理。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产品支持主动诱捕功能，通过伪装业务诱捕内外网的攻击行为，并联合云蜜罐获取黑客指纹信息，并自动封锁高危IP。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安全策略管理</w:t>
            </w:r>
            <w:r>
              <w:rPr>
                <w:rFonts w:hint="eastAsia" w:ascii="宋体" w:hAnsi="宋体" w:cs="宋体"/>
                <w:color w:val="000000" w:themeColor="text1"/>
                <w:kern w:val="0"/>
                <w:szCs w:val="21"/>
                <w:highlight w:val="none"/>
                <w:lang w:bidi="ar"/>
                <w14:textFill>
                  <w14:solidFill>
                    <w14:schemeClr w14:val="tx1"/>
                  </w14:solidFill>
                </w14:textFill>
              </w:rPr>
              <w:t xml:space="preserve"> ：产品支持安全策略有效性分析功能，分析内容至少包括策略冗余分析、策略匹配分析、风险端口风险等内容，提供安全策略优化建议。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产品支持策略生命周期管理功能，支持对安全策略修改的时间、原因、变更类型进行统一管理，便于策略的运维与管理。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所投产品的生产厂商应是国家互联网应急响应中心网络安全应急服务国家级支撑单位。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具备公安部颁发的销售许可证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产品具有IPv6 Ready Phase-2认证证书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互联网出口上网行为管理</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性能配置</w:t>
            </w:r>
            <w:r>
              <w:rPr>
                <w:rFonts w:hint="eastAsia" w:ascii="宋体" w:hAnsi="宋体" w:cs="宋体"/>
                <w:color w:val="000000" w:themeColor="text1"/>
                <w:kern w:val="0"/>
                <w:szCs w:val="21"/>
                <w:highlight w:val="none"/>
                <w:lang w:bidi="ar"/>
                <w14:textFill>
                  <w14:solidFill>
                    <w14:schemeClr w14:val="tx1"/>
                  </w14:solidFill>
                </w14:textFill>
              </w:rPr>
              <w:t xml:space="preserve"> ：吞吐量≥3Gb；并发会话数≥120,000；支持用户数≥1000人；设备接口≥6个千兆电口,2个千兆光口；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部署方式：</w:t>
            </w:r>
            <w:r>
              <w:rPr>
                <w:rFonts w:hint="eastAsia" w:ascii="宋体" w:hAnsi="宋体" w:cs="宋体"/>
                <w:color w:val="000000" w:themeColor="text1"/>
                <w:kern w:val="0"/>
                <w:szCs w:val="21"/>
                <w:highlight w:val="none"/>
                <w:lang w:bidi="ar"/>
                <w14:textFill>
                  <w14:solidFill>
                    <w14:schemeClr w14:val="tx1"/>
                  </w14:solidFill>
                </w14:textFill>
              </w:rPr>
              <w:t xml:space="preserve"> 必须支持两台及两台以上设备同时做主机的部署模式；旁路支持主主、主备模式部署。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支持部署在IPv6环境中，设备接口及部署模式均支持ipv6配置；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所有核心功能（上网认证、应用控制、流量控制、内容审计、日志报表等）都支持IPv6；</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 xml:space="preserve">网关管理： </w:t>
            </w:r>
            <w:r>
              <w:rPr>
                <w:rFonts w:hint="eastAsia" w:ascii="宋体" w:hAnsi="宋体" w:cs="宋体"/>
                <w:color w:val="000000" w:themeColor="text1"/>
                <w:kern w:val="0"/>
                <w:szCs w:val="21"/>
                <w:highlight w:val="none"/>
                <w:lang w:bidi="ar"/>
                <w14:textFill>
                  <w14:solidFill>
                    <w14:schemeClr w14:val="tx1"/>
                  </w14:solidFill>
                </w14:textFill>
              </w:rPr>
              <w:t>必须具有IPSec VPN远程加密访问和连接的模块，并能提供IPSec VPN客户端授权远程接入访问。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提供图形化排障工具，便于管理员排查策略错误等故障;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Web访问质量检测：</w:t>
            </w:r>
            <w:r>
              <w:rPr>
                <w:rFonts w:hint="eastAsia" w:ascii="宋体" w:hAnsi="宋体" w:cs="宋体"/>
                <w:color w:val="000000" w:themeColor="text1"/>
                <w:kern w:val="0"/>
                <w:szCs w:val="21"/>
                <w:highlight w:val="none"/>
                <w:lang w:bidi="ar"/>
                <w14:textFill>
                  <w14:solidFill>
                    <w14:schemeClr w14:val="tx1"/>
                  </w14:solidFill>
                </w14:textFill>
              </w:rPr>
              <w:t xml:space="preserve"> 针对内网用户的web访问质量进行检测，对整体网络提供清晰的整体网络质量评级；支持对单用户进行定向web访问质量检测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支持PPS异常、丢包异常、ARP异常、内网DOS攻击等异常情况实时监测，显示每日异常事件个数及情况；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支持针对用户认证的故障进行分析，给出错误详情以及处置建议；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用户认证：</w:t>
            </w:r>
            <w:r>
              <w:rPr>
                <w:rFonts w:hint="eastAsia" w:ascii="宋体" w:hAnsi="宋体" w:cs="宋体"/>
                <w:color w:val="000000" w:themeColor="text1"/>
                <w:kern w:val="0"/>
                <w:szCs w:val="21"/>
                <w:highlight w:val="none"/>
                <w:lang w:bidi="ar"/>
                <w14:textFill>
                  <w14:solidFill>
                    <w14:schemeClr w14:val="tx1"/>
                  </w14:solidFill>
                </w14:textFill>
              </w:rPr>
              <w:t xml:space="preserve"> 支持多种认证方式，包括本地用户名密码、第三方服务器等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支持在终端用户的账号存在微信绑定关系的情况下，PC端的终端用户可以直接使用微信扫码二维码完成密码认证过程，移动端的终端用户，可以直接打开微信扫码完成密码认证过程;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支持绑定IP认证、绑定MAC认证，及IP/MAC绑定认证等，支持通过SNMP服务器跨三层获取MAC地址；</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支持通过OAuth认证协议对接，支持阿里钉钉，口袋助理，企业微信第三方账号授权认证，支持二维码认证，担保人扫描访客的二维码后对其网络访问授权；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支持802.1x认证，支持对接本地和AD域用户源，支持在旁路模式部署下准入生效；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设备能够发现私接路由（或者共享软件等）共享网络的行为：支持自定义配置终端数量和冻结时间，和添加信任列表。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应用管理 支持根据标签选择应用，标签分类至少包含安全风险、高带宽消耗、发送电子邮件、降低工作效率、外发文件泄密风险、主流论坛和微博发帖等。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设备内置应用识别规则库，支持超过10000条应用规则数，支持超过6500种以上的应用，1000种以上移动应用，并保持每两个星期更新一次，保证应用识别的准确率。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针对SSL加密的网站、论坛发帖、web邮箱的内容进行关键字过滤和内容审计。审计SSL网页时，支持加密证书自动分发功能，用户点击网页上的工具即可一次性安装完成。解决管理员给每台PC单独安装证书的问题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能够对新浪微博、腾讯微博、网易微博等进行细分控制，如：登录、浏览、发微博、上传附件等。能够对teamview、QQ远程桌面等远程控制应用做细分控制，如：接受对方远程控制；能够对Github、百度网盘、百度文库等网络应用的上传动作进行细分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支持telnet协议，可对登陆的账号、执行的命令进行审计;支持SSH/RDP协议，可对连接开始时间，连接结束时间，传输的流量大小进行审计;支持运维类应用的外发附件审计，包括Xshell，Pshell，MobaXterm，SecureCRT；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流量管理 必须支持流量父子；通道技术，且至少支持三级父子通道。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能够实时看到各级流控通道的状态：包括所属线路、瞬时速率、通道占用比例、用户数、保证带宽、最大带宽、优先级，启用状态等。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支持在设置流量策略后，根据整体线路或者某流量通道内的空闲情况，自动启用和停止使用流量控制策略，以提升带宽的高使用率。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支持通过抑制P2P的上行流量，来减缓P2P的下行流量，从而解决网络出口在做流控后仍然压力较大的问题。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日志分析 支持日志高性能模式处理，精简冗余日志。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管理员登录数据中心只能审计指定用户组的上网行为日志。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联动响应 能够与同品牌终端检测响应产品实现联动，当检测到终端未安装终端检测响应产品产品时，禁止上网并提示需要安装终端检测响应产品软件；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厂商资质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厂商应是国家互联网应急响应中心网络安全应急服务国家级支撑单位产品具有IPv6 Ready Phase-2认证证书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外联区下一代防火墙</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 xml:space="preserve">配置要求: </w:t>
            </w:r>
            <w:r>
              <w:rPr>
                <w:rFonts w:hint="eastAsia" w:ascii="宋体" w:hAnsi="宋体" w:cs="宋体"/>
                <w:color w:val="000000" w:themeColor="text1"/>
                <w:kern w:val="0"/>
                <w:szCs w:val="21"/>
                <w:highlight w:val="none"/>
                <w:lang w:bidi="ar"/>
                <w14:textFill>
                  <w14:solidFill>
                    <w14:schemeClr w14:val="tx1"/>
                  </w14:solidFill>
                </w14:textFill>
              </w:rPr>
              <w:t>三层吞吐量≥20Gbps，并发连接数≥220W，新建连接数≥15W；硬件指标：1U；单电源；不少于10个千兆电口+6个千兆光口1，1个串口（RJ45），2个USB 2.0；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部署方式:</w:t>
            </w:r>
            <w:r>
              <w:rPr>
                <w:rFonts w:hint="eastAsia" w:ascii="宋体" w:hAnsi="宋体" w:cs="宋体"/>
                <w:color w:val="000000" w:themeColor="text1"/>
                <w:kern w:val="0"/>
                <w:szCs w:val="21"/>
                <w:highlight w:val="none"/>
                <w:lang w:bidi="ar"/>
                <w14:textFill>
                  <w14:solidFill>
                    <w14:schemeClr w14:val="tx1"/>
                  </w14:solidFill>
                </w14:textFill>
              </w:rPr>
              <w:t xml:space="preserve"> 产品支持路由模式、透明模式、虚拟网线模式、旁路镜像模式等多种部署方式。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路由支持</w:t>
            </w:r>
            <w:r>
              <w:rPr>
                <w:rFonts w:hint="eastAsia" w:ascii="宋体" w:hAnsi="宋体" w:cs="宋体"/>
                <w:color w:val="000000" w:themeColor="text1"/>
                <w:kern w:val="0"/>
                <w:szCs w:val="21"/>
                <w:highlight w:val="none"/>
                <w:lang w:bidi="ar"/>
                <w14:textFill>
                  <w14:solidFill>
                    <w14:schemeClr w14:val="tx1"/>
                  </w14:solidFill>
                </w14:textFill>
              </w:rPr>
              <w:t>:产品支持静态路由、策略路由和多播路由协议，并支持BGP、RIP、OSPF等动态路由协议。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产品支持策略路由负载，支持基于服务、ISP地址、应用、地域等维度进行智能选路，保证关键业务流量通过优质链路转发，支持加权流量、带宽比例、线路优先等负载均衡调度算法。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基础功能:</w:t>
            </w:r>
            <w:r>
              <w:rPr>
                <w:rFonts w:hint="eastAsia" w:ascii="宋体" w:hAnsi="宋体" w:cs="宋体"/>
                <w:color w:val="000000" w:themeColor="text1"/>
                <w:kern w:val="0"/>
                <w:szCs w:val="21"/>
                <w:highlight w:val="none"/>
                <w:lang w:bidi="ar"/>
                <w14:textFill>
                  <w14:solidFill>
                    <w14:schemeClr w14:val="tx1"/>
                  </w14:solidFill>
                </w14:textFill>
              </w:rPr>
              <w:t xml:space="preserve"> 产品支持支持源地址转换SNAT，目的地址转换DNAT和双向NAT等功能， 支持一对一、一对多、多对一等形式的NAT。</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产品支持NAT64和NAT46 地址转换方式，产品支持IPv4/IPv6双栈工作模式，以适应IPv6发展趋势。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产品支持对不少于9000种应用的识别和控制，并且支持应用划分类型进行检测与控制。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DoS/DDoS攻击防护:</w:t>
            </w:r>
            <w:r>
              <w:rPr>
                <w:rFonts w:hint="eastAsia" w:ascii="宋体" w:hAnsi="宋体" w:cs="宋体"/>
                <w:color w:val="000000" w:themeColor="text1"/>
                <w:kern w:val="0"/>
                <w:szCs w:val="21"/>
                <w:highlight w:val="none"/>
                <w:lang w:bidi="ar"/>
                <w14:textFill>
                  <w14:solidFill>
                    <w14:schemeClr w14:val="tx1"/>
                  </w14:solidFill>
                </w14:textFill>
              </w:rPr>
              <w:t xml:space="preserve"> 产品支持对ICMP、UDP、DNS、SYN等协议进行DDOS防护。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产品支持异常包攻击防御，异常包攻击类型至少包括Ping of Death、Teardrop、Smurf、Land、WinNuke等攻击类型。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入侵防护: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产品预定义漏洞特征数量超过7800种，支持在产品漏洞特征库中以漏洞名称、漏洞ID、漏洞CVE标识、危险等级和漏洞描述等条件快速查询特定漏洞特征信息，支持用户自定义IPS规则。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产品支持基于IMAP、FTP、RDP、VNC、SSH、TELNET、ORACLE、MYSQL、MSSQL等应用协议进行深度检测与防护。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产品支持僵尸主机检测功能，产品预定义特征库超过110万种，可识别主机的异常外联行为。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基于勒索病毒的攻击链提供勒索病毒防护配置向导，包含防护对象、勒索病毒常用端口、漏洞、弱口令的自定义定时识别及自动生成包含WEB应用防护、漏洞防护、内容安全、僵尸网络检测、慢速爆破防御等勒索病毒防护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账号安全:</w:t>
            </w:r>
            <w:r>
              <w:rPr>
                <w:rFonts w:hint="eastAsia" w:ascii="宋体" w:hAnsi="宋体" w:cs="宋体"/>
                <w:color w:val="000000" w:themeColor="text1"/>
                <w:kern w:val="0"/>
                <w:szCs w:val="21"/>
                <w:highlight w:val="none"/>
                <w:lang w:bidi="ar"/>
                <w14:textFill>
                  <w14:solidFill>
                    <w14:schemeClr w14:val="tx1"/>
                  </w14:solidFill>
                </w14:textFill>
              </w:rPr>
              <w:t xml:space="preserve"> 产品支持用户账号全生命周期保护功能，包括用户账号多余入口检测、弱口令检测、暴力破解检测、失陷账号检测，防止因账号被暴力破解导致的非法提权情况发生。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产品支持文件目录防护功能，通过对用户账号进行认证，对网站内容的修改行为进行合法性控制。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联动响应:</w:t>
            </w:r>
            <w:r>
              <w:rPr>
                <w:rFonts w:hint="eastAsia" w:ascii="宋体" w:hAnsi="宋体" w:cs="宋体"/>
                <w:color w:val="000000" w:themeColor="text1"/>
                <w:kern w:val="0"/>
                <w:szCs w:val="21"/>
                <w:highlight w:val="none"/>
                <w:lang w:bidi="ar"/>
                <w14:textFill>
                  <w14:solidFill>
                    <w14:schemeClr w14:val="tx1"/>
                  </w14:solidFill>
                </w14:textFill>
              </w:rPr>
              <w:t xml:space="preserve"> 产品支持与终端安全软件联动管理，在防火墙产品完成终端安全策略设置和内网终端安全软件的统一管理。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产品支持主动诱捕功能，通过伪装业务诱捕内外网的攻击行为，并联合云蜜罐获取黑客指纹信息，并自动封锁高危IP。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安全策略管理</w:t>
            </w:r>
            <w:r>
              <w:rPr>
                <w:rFonts w:hint="eastAsia" w:ascii="宋体" w:hAnsi="宋体" w:cs="宋体"/>
                <w:color w:val="000000" w:themeColor="text1"/>
                <w:kern w:val="0"/>
                <w:szCs w:val="21"/>
                <w:highlight w:val="none"/>
                <w:lang w:bidi="ar"/>
                <w14:textFill>
                  <w14:solidFill>
                    <w14:schemeClr w14:val="tx1"/>
                  </w14:solidFill>
                </w14:textFill>
              </w:rPr>
              <w:t xml:space="preserve"> 产品支持安全策略有效性分析功能，分析内容至少包括策略冗余分析、策略匹配分析、风险端口风险等内容，提供安全策略优化建议。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产品支持策略生命周期管理功能，支持对安全策略修改的时间、原因、变更类型进行统一管理，便于策略的运维与管理。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所投产品的生产厂商应是国家互联网应急响应中心网络安全应急服务国家级支撑单位。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具备公安部颁发的销售许可证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产品具有IPv6 Ready Phase-2认证证书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要求所投产品具备国家信息安全漏洞库兼容性资质证书。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统一远程访问平台VPN</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硬件性能</w:t>
            </w:r>
            <w:r>
              <w:rPr>
                <w:rFonts w:hint="eastAsia" w:ascii="宋体" w:hAnsi="宋体" w:cs="宋体"/>
                <w:color w:val="000000" w:themeColor="text1"/>
                <w:kern w:val="0"/>
                <w:szCs w:val="21"/>
                <w:highlight w:val="none"/>
                <w:lang w:bidi="ar"/>
                <w14:textFill>
                  <w14:solidFill>
                    <w14:schemeClr w14:val="tx1"/>
                  </w14:solidFill>
                </w14:textFill>
              </w:rPr>
              <w:t xml:space="preserve"> :设备吞吐量≥500M；SSL加密流量不少于150Mbps;IPSec最大加密流量不少于255Mbps;接口不少于4个千兆电口;提供300个并发接入授权。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部署方式</w:t>
            </w:r>
            <w:r>
              <w:rPr>
                <w:rFonts w:hint="eastAsia" w:ascii="宋体" w:hAnsi="宋体" w:cs="宋体"/>
                <w:color w:val="000000" w:themeColor="text1"/>
                <w:kern w:val="0"/>
                <w:szCs w:val="21"/>
                <w:highlight w:val="none"/>
                <w:lang w:bidi="ar"/>
                <w14:textFill>
                  <w14:solidFill>
                    <w14:schemeClr w14:val="tx1"/>
                  </w14:solidFill>
                </w14:textFill>
              </w:rPr>
              <w:t xml:space="preserve"> :支持IPv6/IPv4协议下的网关模式、单臂模式、主备模式、集群模式、分布式集群模式的部署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基本特性:</w:t>
            </w:r>
            <w:r>
              <w:rPr>
                <w:rFonts w:hint="eastAsia" w:ascii="宋体" w:hAnsi="宋体" w:cs="宋体"/>
                <w:color w:val="000000" w:themeColor="text1"/>
                <w:kern w:val="0"/>
                <w:szCs w:val="21"/>
                <w:highlight w:val="none"/>
                <w:lang w:bidi="ar"/>
                <w14:textFill>
                  <w14:solidFill>
                    <w14:schemeClr w14:val="tx1"/>
                  </w14:solidFill>
                </w14:textFill>
              </w:rPr>
              <w:t xml:space="preserve"> 专业VPN设备，采用标准SSL、TLS 协议，同时支持IPSec VPN、SSLVPN、PPTP VPN、L2TP VPN，非插卡或防火墙带VPN模块设备。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支持PC终端使用包括Windows10、Windows8、Windows7、Windows Vista、Windows xp、Mac OS、Linux等主流操作系统来登录SSLVPN系统，并完整支持该操作系统下的各种IP层以上的B/S和C/S应用；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支持Windows、IOS、Android、塞班等操作系统的智能手机、PDA、平板电脑（PAD）等移动终端的SSL VPN接入；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移动端（Android、IOS）支持通过PPTP、L2TP VPN方式接入；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支持国产化终端使用，包括中标麒麟、银河麒麟、深度OS等操作系统来登录SSLVPN系统，并完整支持该操作系统下的各种IP层以上的B/S和C/S应用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产品应支持的密码算法包括：AES、AES192、AES256、DES、3DES、MD5、SHA1、SHA2-256、SHA2-384、SHA2-512、DH、RSA；支持国家商用密码算法。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易用性:</w:t>
            </w:r>
            <w:r>
              <w:rPr>
                <w:rFonts w:hint="eastAsia" w:ascii="宋体" w:hAnsi="宋体" w:cs="宋体"/>
                <w:color w:val="000000" w:themeColor="text1"/>
                <w:kern w:val="0"/>
                <w:szCs w:val="21"/>
                <w:highlight w:val="none"/>
                <w:lang w:bidi="ar"/>
                <w14:textFill>
                  <w14:solidFill>
                    <w14:schemeClr w14:val="tx1"/>
                  </w14:solidFill>
                </w14:textFill>
              </w:rPr>
              <w:t xml:space="preserve"> 可支持个性化登录策略，在一台设备上配置不同的访问域名、IP地址，以及不同的使用界面，实现一台设备为多个不同用户群体服务的的使用效果；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支持单点登录功能（SSO）,持针对B/S单点登录用户名密码加密传输，保证安全；支持针对不同的访问资源设定不同的SSO用户名和密码，支持用户自行修改SSO账号。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支持断线重连自动技术，防止用户误操作关闭浏览器导致VPN隧道断开；防止用户在无线网络环境下网络正常切换时VPN隧道断开。</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产品应提供环境检测、自动修复工具，支持对Windows的环境兼容性一键检测能力，以及对检测结果进行一键修复的能力，避免由于用户操作系统环境存在问题影响SSL VPN的使用，减轻运维工作。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终端安全:</w:t>
            </w:r>
            <w:r>
              <w:rPr>
                <w:rFonts w:hint="eastAsia" w:ascii="宋体" w:hAnsi="宋体" w:cs="宋体"/>
                <w:color w:val="000000" w:themeColor="text1"/>
                <w:kern w:val="0"/>
                <w:szCs w:val="21"/>
                <w:highlight w:val="none"/>
                <w:lang w:bidi="ar"/>
                <w14:textFill>
                  <w14:solidFill>
                    <w14:schemeClr w14:val="tx1"/>
                  </w14:solidFill>
                </w14:textFill>
              </w:rPr>
              <w:t xml:space="preserve"> 产品必须支持防中间人攻击，产品可在用户登录SSLVPN时智能判断存在中间人攻击行为，断开被攻击的连接，并可提示异常现象。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支持用户终端登录前、登陆后的安全性检测，检测范围包括：用户接入IP、接入时间、接入线路IP、进程、文件、注册表、操作系统、使用终端，可以检测出客户端是否安装指定的防火墙或杀毒软件。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支持客户端注销后自动清除所有缓存、Cookies、浏览器历史记录、保存的表单信息，实现零痕迹访问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支持VPN专线功能，可配置用户在接入SSL VPN的同时，断开与Internet其他连接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产品应提供HTTPS驱动病毒查杀工具，支持对Windows环境下的针对HTTPS拦截监听的驱动病毒进行扫描查杀，避免因为HTTPS驱动病毒导致无法正常接入和使用SSL VPN。</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设备自身安全</w:t>
            </w:r>
            <w:r>
              <w:rPr>
                <w:rFonts w:hint="eastAsia" w:ascii="宋体" w:hAnsi="宋体" w:cs="宋体"/>
                <w:color w:val="000000" w:themeColor="text1"/>
                <w:kern w:val="0"/>
                <w:szCs w:val="21"/>
                <w:highlight w:val="none"/>
                <w:lang w:bidi="ar"/>
                <w14:textFill>
                  <w14:solidFill>
                    <w14:schemeClr w14:val="tx1"/>
                  </w14:solidFill>
                </w14:textFill>
              </w:rPr>
              <w:t xml:space="preserve"> :支持设备自身的抗攻击防护，支持防Host头部攻击设置，用于防止Host头部攻击, 设备只允许通过符合设置规则的地址进行访问；支持防SWEET32攻击设置，用于防止SWEET32攻击。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身份认证</w:t>
            </w:r>
            <w:r>
              <w:rPr>
                <w:rFonts w:hint="eastAsia" w:ascii="宋体" w:hAnsi="宋体" w:cs="宋体"/>
                <w:color w:val="000000" w:themeColor="text1"/>
                <w:kern w:val="0"/>
                <w:szCs w:val="21"/>
                <w:highlight w:val="none"/>
                <w:lang w:bidi="ar"/>
                <w14:textFill>
                  <w14:solidFill>
                    <w14:schemeClr w14:val="tx1"/>
                  </w14:solidFill>
                </w14:textFill>
              </w:rPr>
              <w:t>:产品必须支持Local DB 、USB KEY、短信认证、硬件特征码、动态令牌、数字证书认证、LDAP、RADIUS、等认证方式。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设备内部必须支持自建CA中心，便于数字证书认证平台搭建；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支持与基于PKI体系的第三方CA进行结合认证 ，可根据CA某字段将通过CA认证的用户自动映射到指定用户组，方便进行权限授权配置；支持CRL证书撤销列表。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支持与阿里钉钉、企业微信APP认证对接，移动端访问企业自建应用时可自动拉起VPN，实现其内置应用的安全接入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:产品具有IPv6 Ready Phase-2认证证书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安全感知平台</w:t>
            </w:r>
          </w:p>
        </w:tc>
        <w:tc>
          <w:tcPr>
            <w:tcW w:w="6450" w:type="dxa"/>
            <w:shd w:val="clear" w:color="auto" w:fill="auto"/>
            <w:tcMar>
              <w:top w:w="12" w:type="dxa"/>
              <w:left w:w="12" w:type="dxa"/>
              <w:right w:w="12" w:type="dxa"/>
            </w:tcMar>
            <w:vAlign w:val="center"/>
          </w:tcPr>
          <w:p>
            <w:pPr>
              <w:spacing w:after="18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性能指标:</w:t>
            </w:r>
            <w:r>
              <w:rPr>
                <w:rFonts w:hint="eastAsia" w:ascii="宋体" w:hAnsi="宋体" w:cs="宋体"/>
                <w:color w:val="000000" w:themeColor="text1"/>
                <w:kern w:val="0"/>
                <w:szCs w:val="21"/>
                <w:highlight w:val="none"/>
                <w:lang w:bidi="ar"/>
                <w14:textFill>
                  <w14:solidFill>
                    <w14:schemeClr w14:val="tx1"/>
                  </w14:solidFill>
                </w14:textFill>
              </w:rPr>
              <w:t xml:space="preserve"> 2U架构。21TB存储空间。96G内存。4个千兆电口、1个串口、4个USB口。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全网安全态势大屏可视:</w:t>
            </w:r>
            <w:r>
              <w:rPr>
                <w:rFonts w:hint="eastAsia" w:ascii="宋体" w:hAnsi="宋体" w:cs="宋体"/>
                <w:color w:val="000000" w:themeColor="text1"/>
                <w:kern w:val="0"/>
                <w:szCs w:val="21"/>
                <w:highlight w:val="none"/>
                <w:lang w:bidi="ar"/>
                <w14:textFill>
                  <w14:solidFill>
                    <w14:schemeClr w14:val="tx1"/>
                  </w14:solidFill>
                </w14:textFill>
              </w:rPr>
              <w:t xml:space="preserve"> 支持不同安全视角展示不少于12个独立的大屏展示功能，包括全网安全态势感知大屏、分支安全态势、安全事件态势、通报预警态势、资产态势大屏等，同时能满足多种场景的监控，比如日常运维、护网场景。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支持大屏轮播，所有大屏可自定义播放顺序。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资产管理:</w:t>
            </w:r>
            <w:r>
              <w:rPr>
                <w:rFonts w:hint="eastAsia" w:ascii="宋体" w:hAnsi="宋体" w:cs="宋体"/>
                <w:color w:val="000000" w:themeColor="text1"/>
                <w:kern w:val="0"/>
                <w:szCs w:val="21"/>
                <w:highlight w:val="none"/>
                <w:lang w:bidi="ar"/>
                <w14:textFill>
                  <w14:solidFill>
                    <w14:schemeClr w14:val="tx1"/>
                  </w14:solidFill>
                </w14:textFill>
              </w:rPr>
              <w:t xml:space="preserve"> 基于资产视角实现分支分权管理，支持总部管理员查看全局的安全信息，支持页面跳转到每个分支机构单独的管理页面。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支持资产多级分支管理，支持资产全生命周期自动管理，包括资产自动发现、多级资产、资产入库审核、资产离线风险识别、资产退库、资产数据更新，责任人管理机制等。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支持通过主动发送微量包的扫描方式探测潜在的服务器（影子资产）以及学习服务器的基础信息，资产指纹信息包括资产类型、端口、操作系统、MAC地址、主机名等。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支持资产属性重新识别，当发现资产数据不准确时，可清空该资产属性，重新发起识别后，平台会自动补齐资产属性，可批量操作。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支持跨三层取MAC地址，识别资产MAC地址，并能够解决不同资产IP冲突问题，以及DHCP场景IP变更的问题。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通报预警</w:t>
            </w:r>
            <w:r>
              <w:rPr>
                <w:rFonts w:hint="eastAsia" w:ascii="宋体" w:hAnsi="宋体" w:cs="宋体"/>
                <w:color w:val="000000" w:themeColor="text1"/>
                <w:kern w:val="0"/>
                <w:szCs w:val="21"/>
                <w:highlight w:val="none"/>
                <w:lang w:bidi="ar"/>
                <w14:textFill>
                  <w14:solidFill>
                    <w14:schemeClr w14:val="tx1"/>
                  </w14:solidFill>
                </w14:textFill>
              </w:rPr>
              <w:t xml:space="preserve"> :支持通报预警，支持新增加签功能（短信或邮件通知），可邀请指定管理员研判评论，双方评论回复均可视。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脆弱性管理 :</w:t>
            </w:r>
            <w:r>
              <w:rPr>
                <w:rFonts w:hint="eastAsia" w:ascii="宋体" w:hAnsi="宋体" w:cs="宋体"/>
                <w:color w:val="000000" w:themeColor="text1"/>
                <w:kern w:val="0"/>
                <w:szCs w:val="21"/>
                <w:highlight w:val="none"/>
                <w:lang w:bidi="ar"/>
                <w14:textFill>
                  <w14:solidFill>
                    <w14:schemeClr w14:val="tx1"/>
                  </w14:solidFill>
                </w14:textFill>
              </w:rPr>
              <w:t>弱密码检测技术基于UEBA学习技术（无监督自我学习）提取登陆成功的特征，通过UEBA技术对响应体内容和登录跳转路径进行持续学习训练登录成功特征，包括响应体内容Json、响应体关键字Keyword、响应体MD5值、响应体长度Length、登录跳转路径Location，可实时自动生成学习到的登陆成功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弱密码识别支持主动扫描，支持加密协议的弱口令登录检测，支持SMB、MySQL、Oracle、RDP、SSH、Redis、MongoDB、ElasticSearch、MSSQL等协议。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流量实时识别漏洞分析，漏洞分析类型包含配置错误漏洞、OpenSSH漏洞、OpenLDAP等操作系统、数据库、Web应用等，页面上支持展示业务脆弱性风险分布、漏洞类型分析、漏洞态势与危害和处置建议，并支持导出脆弱性感知报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威胁检测:</w:t>
            </w:r>
            <w:r>
              <w:rPr>
                <w:rFonts w:hint="eastAsia" w:ascii="宋体" w:hAnsi="宋体" w:cs="宋体"/>
                <w:color w:val="000000" w:themeColor="text1"/>
                <w:kern w:val="0"/>
                <w:szCs w:val="21"/>
                <w:highlight w:val="none"/>
                <w:lang w:bidi="ar"/>
                <w14:textFill>
                  <w14:solidFill>
                    <w14:schemeClr w14:val="tx1"/>
                  </w14:solidFill>
                </w14:textFill>
              </w:rPr>
              <w:t xml:space="preserve"> 具备基于AI的webshell通信流量检测，可检出加密（如冰蝎）的通信流量。，具备650+webshell规则检测，且覆盖webshell整个攻击阶段检测，包括webshell上传点探测、webshell上传下载、webshell通信。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具备元数据行为分析引擎：httpflow、dnsflow、adflow、icmpflow、maillflow等, 通过异常行为分析，结合各类机器学习算法完成未知威胁检测。包括：内网穿透、代理、远控、隧道、反弹shell等事后检测场景。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支持挖矿专项检测页面，具备挖矿攻击事前、事中和事后全链路的检测分析能力，对挖矿早期的准备动作即告警。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文件威胁分析支持平台内置的静态文件检测引擎、AI智能引擎、webshellkiller引擎，利用LSA, AutoEncoder, LogicRegression, SVM, 随机森林，XGBoost等多种机器学习算法组合进行综合研判。支持采用AI技术针对无文件落地的恶意脚本进行检测。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支持针对政企邮件混淆宏病毒威胁检测。支持对smtp、imap、pop3、webmail等邮件协议审计，识别出钓鱼邮件、病毒邮件、垃圾邮件、鱼叉式钓鱼等恶意邮件。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SIEM日志关联分析结果的可视化展示。包括数据分布、安全事件趋势图、关联规则告警趋势图、接入设备概况等，可提供每一台设备专项分析的页面。如防火墙外部攻击场景分析、VPN账号异常场景分析、Windows服务器主机异常场景分析等，通过设备专项页面对每一台设备安全情况深度专业化分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安全检测日志、审计日志、第三方日志存储；日志类型包括漏洞利用攻击、网站攻击、僵尸网络、业务弱点、DOS攻击、邮件安全、文件安全、网络流量、DNS、HTTP、用户、数据库、文件审计、POP3、SMTP、IMAP、LDAP、FTP、Telnet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处置中心</w:t>
            </w:r>
            <w:r>
              <w:rPr>
                <w:rFonts w:hint="eastAsia" w:ascii="宋体" w:hAnsi="宋体" w:cs="宋体"/>
                <w:color w:val="000000" w:themeColor="text1"/>
                <w:kern w:val="0"/>
                <w:szCs w:val="21"/>
                <w:highlight w:val="none"/>
                <w:lang w:bidi="ar"/>
                <w14:textFill>
                  <w14:solidFill>
                    <w14:schemeClr w14:val="tx1"/>
                  </w14:solidFill>
                </w14:textFill>
              </w:rPr>
              <w:t xml:space="preserve"> :安全事件支持与同品牌防火墙、终端安全响应系统、超融合、负载均衡联动封锁、访问控制，安全事件支持与终端安全响应系统联动一键查杀、进程取证，支持关闭超融合上的中毒虚拟主机，支持对超融合上中毒的虚拟主机进行快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报表中心:</w:t>
            </w:r>
            <w:r>
              <w:rPr>
                <w:rFonts w:hint="eastAsia" w:ascii="宋体" w:hAnsi="宋体" w:cs="宋体"/>
                <w:color w:val="000000" w:themeColor="text1"/>
                <w:kern w:val="0"/>
                <w:szCs w:val="21"/>
                <w:highlight w:val="none"/>
                <w:lang w:bidi="ar"/>
                <w14:textFill>
                  <w14:solidFill>
                    <w14:schemeClr w14:val="tx1"/>
                  </w14:solidFill>
                </w14:textFill>
              </w:rPr>
              <w:t xml:space="preserve"> 可快速生成月度、季度、年度PPT报表，包含网络安全整体解读、网络安全风险详情、告警及事件响应盘点等，帮助用户高效汇报，体现安全工作价值。</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告警方式支持邮件告警、短信、微信告警方式。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应用中心</w:t>
            </w:r>
            <w:r>
              <w:rPr>
                <w:rFonts w:hint="eastAsia" w:ascii="宋体" w:hAnsi="宋体" w:cs="宋体"/>
                <w:color w:val="000000" w:themeColor="text1"/>
                <w:kern w:val="0"/>
                <w:szCs w:val="21"/>
                <w:highlight w:val="none"/>
                <w:lang w:bidi="ar"/>
                <w14:textFill>
                  <w14:solidFill>
                    <w14:schemeClr w14:val="tx1"/>
                  </w14:solidFill>
                </w14:textFill>
              </w:rPr>
              <w:t xml:space="preserve"> :支持同品牌防火墙、终端安全响应系统、上网行为管理等设备的配置核查并上报结果，提供自动化监测和配置引导。</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支持已合规基线管控业务安全，实时监测等保差距项和高风险项，避免策略变更导致不合规，有效应对网监不定期抽查和复测场景。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:要求具备公安颁发的安全管理平台销售许可证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要求具备ISCCC  IT产品信息安全认证证书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要求具备国家版权局颁发的软件著作权登记证书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厂商应是国家互联网应急响应中心网络安全应急服务国家级支撑单位；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APT流量检测探针</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性能配置</w:t>
            </w:r>
            <w:r>
              <w:rPr>
                <w:rFonts w:hint="eastAsia" w:ascii="宋体" w:hAnsi="宋体" w:cs="宋体"/>
                <w:color w:val="000000" w:themeColor="text1"/>
                <w:kern w:val="0"/>
                <w:szCs w:val="21"/>
                <w:highlight w:val="none"/>
                <w:lang w:bidi="ar"/>
                <w14:textFill>
                  <w14:solidFill>
                    <w14:schemeClr w14:val="tx1"/>
                  </w14:solidFill>
                </w14:textFill>
              </w:rPr>
              <w:t xml:space="preserve"> :不少于6个千兆电口、2个千兆光口。吞吐量不少于1.5Gbps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部署模式:</w:t>
            </w:r>
            <w:r>
              <w:rPr>
                <w:rFonts w:hint="eastAsia" w:ascii="宋体" w:hAnsi="宋体" w:cs="宋体"/>
                <w:color w:val="000000" w:themeColor="text1"/>
                <w:kern w:val="0"/>
                <w:szCs w:val="21"/>
                <w:highlight w:val="none"/>
                <w:lang w:bidi="ar"/>
                <w14:textFill>
                  <w14:solidFill>
                    <w14:schemeClr w14:val="tx1"/>
                  </w14:solidFill>
                </w14:textFill>
              </w:rPr>
              <w:t xml:space="preserve"> 旁路部署，支持探针同时接入多个镜像口，每个口相互独立不影响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资产发现:</w:t>
            </w:r>
            <w:r>
              <w:rPr>
                <w:rFonts w:hint="eastAsia" w:ascii="宋体" w:hAnsi="宋体" w:cs="宋体"/>
                <w:color w:val="000000" w:themeColor="text1"/>
                <w:kern w:val="0"/>
                <w:szCs w:val="21"/>
                <w:highlight w:val="none"/>
                <w:lang w:bidi="ar"/>
                <w14:textFill>
                  <w14:solidFill>
                    <w14:schemeClr w14:val="tx1"/>
                  </w14:solidFill>
                </w14:textFill>
              </w:rPr>
              <w:t xml:space="preserve"> 具备主动发送少量探测报文，发现潜在的服务器（影子资产）以及学习服务器的基础信息，如：操作系统、开放的端口号等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基础检测功能</w:t>
            </w:r>
            <w:r>
              <w:rPr>
                <w:rFonts w:hint="eastAsia" w:ascii="宋体" w:hAnsi="宋体" w:cs="宋体"/>
                <w:color w:val="000000" w:themeColor="text1"/>
                <w:kern w:val="0"/>
                <w:szCs w:val="21"/>
                <w:highlight w:val="none"/>
                <w:lang w:bidi="ar"/>
                <w14:textFill>
                  <w14:solidFill>
                    <w14:schemeClr w14:val="tx1"/>
                  </w14:solidFill>
                </w14:textFill>
              </w:rPr>
              <w:t xml:space="preserve"> :具备报文检测引擎,可实现IP碎片重组、TCP流重组、应用层协议识别与解析等, 具备多种的入侵攻击模式或恶意URL监测模式,可完成模式匹配并生成事件,可提取URL记录和 域名记录,在特征事件触发时可以基于五元组和二元组(IP对）进行原始报文的录制。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监测识别规则库:</w:t>
            </w:r>
            <w:r>
              <w:rPr>
                <w:rFonts w:hint="eastAsia" w:ascii="宋体" w:hAnsi="宋体" w:cs="宋体"/>
                <w:color w:val="000000" w:themeColor="text1"/>
                <w:kern w:val="0"/>
                <w:szCs w:val="21"/>
                <w:highlight w:val="none"/>
                <w:lang w:bidi="ar"/>
                <w14:textFill>
                  <w14:solidFill>
                    <w14:schemeClr w14:val="tx1"/>
                  </w14:solidFill>
                </w14:textFill>
              </w:rPr>
              <w:t xml:space="preserve"> 内置URL库、IPS漏洞特征识别库、应用识别库、WEB应用防护识别库、僵尸网络识别库、实时漏洞分析识别库、恶意链接库、白名单库。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网站攻击检测:</w:t>
            </w:r>
            <w:r>
              <w:rPr>
                <w:rFonts w:hint="eastAsia" w:ascii="宋体" w:hAnsi="宋体" w:cs="宋体"/>
                <w:color w:val="000000" w:themeColor="text1"/>
                <w:kern w:val="0"/>
                <w:szCs w:val="21"/>
                <w:highlight w:val="none"/>
                <w:lang w:bidi="ar"/>
                <w14:textFill>
                  <w14:solidFill>
                    <w14:schemeClr w14:val="tx1"/>
                  </w14:solidFill>
                </w14:textFill>
              </w:rPr>
              <w:t xml:space="preserve"> 支持SQL注入、XSS攻击、网页木马、网站扫描、WEBSHELL、跨站请求伪造、系统命令注入、文件包含攻击、目录遍历攻击、信息泄露攻击、Web整站系统漏洞等网站攻击检测。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敏感信息检测:</w:t>
            </w:r>
            <w:r>
              <w:rPr>
                <w:rFonts w:hint="eastAsia" w:ascii="宋体" w:hAnsi="宋体" w:cs="宋体"/>
                <w:color w:val="000000" w:themeColor="text1"/>
                <w:kern w:val="0"/>
                <w:szCs w:val="21"/>
                <w:highlight w:val="none"/>
                <w:lang w:bidi="ar"/>
                <w14:textFill>
                  <w14:solidFill>
                    <w14:schemeClr w14:val="tx1"/>
                  </w14:solidFill>
                </w14:textFill>
              </w:rPr>
              <w:t xml:space="preserve"> 支持敏感数据泄密功能检测能力，可自定义敏感信息，支持根据文件类型和敏感关键字进行信息过滤。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漏洞利用攻击检测:</w:t>
            </w:r>
            <w:r>
              <w:rPr>
                <w:rFonts w:hint="eastAsia" w:ascii="宋体" w:hAnsi="宋体" w:cs="宋体"/>
                <w:color w:val="000000" w:themeColor="text1"/>
                <w:kern w:val="0"/>
                <w:szCs w:val="21"/>
                <w:highlight w:val="none"/>
                <w:lang w:bidi="ar"/>
                <w14:textFill>
                  <w14:solidFill>
                    <w14:schemeClr w14:val="tx1"/>
                  </w14:solidFill>
                </w14:textFill>
              </w:rPr>
              <w:t xml:space="preserve"> 支持Database漏洞攻击、DNS漏洞攻击、FTP漏洞攻击、Mail漏洞攻击、Network Device、Scan漏洞攻击、System漏洞攻击、Telnet漏洞攻击、Tftp漏洞攻击、Web漏洞攻击等服务漏洞攻击检测；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支持Application漏洞攻击、File漏洞攻击、Scan漏洞攻击、Shellcode漏洞攻击、System漏洞利用攻击、Web Activex等客户端漏洞攻击检测。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支持FTP、IMAP、MS Sql、Mysql、Oracle、POP3、RDP、SMTP、SSH、Telnet、VNC等协议暴力破解检测。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异常流量检测:</w:t>
            </w:r>
            <w:r>
              <w:rPr>
                <w:rFonts w:hint="eastAsia" w:ascii="宋体" w:hAnsi="宋体" w:cs="宋体"/>
                <w:color w:val="000000" w:themeColor="text1"/>
                <w:kern w:val="0"/>
                <w:szCs w:val="21"/>
                <w:highlight w:val="none"/>
                <w:lang w:bidi="ar"/>
                <w14:textFill>
                  <w14:solidFill>
                    <w14:schemeClr w14:val="tx1"/>
                  </w14:solidFill>
                </w14:textFill>
              </w:rPr>
              <w:t xml:space="preserve"> 支持标准端口运行非标准协议，非标准端口运行标准协议的异常流量检测，端口类型包括3389、53、80/8080、21、69、443、25、110、143、22等。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支持ICMP、UDP、SYN、DNS等协议外发异常流量检测，支持自定义阀值。</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 xml:space="preserve">僵尸网络行为检测: </w:t>
            </w:r>
            <w:r>
              <w:rPr>
                <w:rFonts w:hint="eastAsia" w:ascii="宋体" w:hAnsi="宋体" w:cs="宋体"/>
                <w:color w:val="000000" w:themeColor="text1"/>
                <w:kern w:val="0"/>
                <w:szCs w:val="21"/>
                <w:highlight w:val="none"/>
                <w:lang w:bidi="ar"/>
                <w14:textFill>
                  <w14:solidFill>
                    <w14:schemeClr w14:val="tx1"/>
                  </w14:solidFill>
                </w14:textFill>
              </w:rPr>
              <w:t>支持HTTP未知站点下载可执行文件、浏览最近30天注册域名、浏览恶意动态域名、访问随机算法生成域名、暴力破解攻击、反弹连接、IRC通信等僵尸网络行为检测。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高级检测:</w:t>
            </w:r>
            <w:r>
              <w:rPr>
                <w:rFonts w:hint="eastAsia" w:ascii="宋体" w:hAnsi="宋体" w:cs="宋体"/>
                <w:color w:val="000000" w:themeColor="text1"/>
                <w:kern w:val="0"/>
                <w:szCs w:val="21"/>
                <w:highlight w:val="none"/>
                <w:lang w:bidi="ar"/>
                <w14:textFill>
                  <w14:solidFill>
                    <w14:schemeClr w14:val="tx1"/>
                  </w14:solidFill>
                </w14:textFill>
              </w:rPr>
              <w:t xml:space="preserve"> 支持5种类型日志传输模式,包含标准模式、精简模式、高级模式、局域网模式、自定义模式，适应不同应用场景需求。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支持传输安全检测日志，包括网络攻击检测日志、漏洞利用攻击检测日志、僵尸网络检测日志、业务弱点发现日志。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支持传输访问检测日志，包括正常访问、风险访问、违规访问。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违规访问检测</w:t>
            </w:r>
            <w:r>
              <w:rPr>
                <w:rFonts w:hint="eastAsia" w:ascii="宋体" w:hAnsi="宋体" w:cs="宋体"/>
                <w:color w:val="000000" w:themeColor="text1"/>
                <w:kern w:val="0"/>
                <w:szCs w:val="21"/>
                <w:highlight w:val="none"/>
                <w:lang w:bidi="ar"/>
                <w14:textFill>
                  <w14:solidFill>
                    <w14:schemeClr w14:val="tx1"/>
                  </w14:solidFill>
                </w14:textFill>
              </w:rPr>
              <w:t xml:space="preserve"> :支持IP，IP组，服务，端口，访问时间等定义访问策略，主动建立针对性的业务和应用访问逻辑规则，包括白名单和黑名单方式。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沙盒对接:</w:t>
            </w:r>
            <w:r>
              <w:rPr>
                <w:rFonts w:hint="eastAsia" w:ascii="宋体" w:hAnsi="宋体" w:cs="宋体"/>
                <w:color w:val="000000" w:themeColor="text1"/>
                <w:kern w:val="0"/>
                <w:szCs w:val="21"/>
                <w:highlight w:val="none"/>
                <w:lang w:bidi="ar"/>
                <w14:textFill>
                  <w14:solidFill>
                    <w14:schemeClr w14:val="tx1"/>
                  </w14:solidFill>
                </w14:textFill>
              </w:rPr>
              <w:t xml:space="preserve"> 支持将流量还原的文件发送至沙盒分析；可支持第三方沙盒对接。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抓包分析:</w:t>
            </w:r>
            <w:r>
              <w:rPr>
                <w:rFonts w:hint="eastAsia" w:ascii="宋体" w:hAnsi="宋体" w:cs="宋体"/>
                <w:color w:val="000000" w:themeColor="text1"/>
                <w:kern w:val="0"/>
                <w:szCs w:val="21"/>
                <w:highlight w:val="none"/>
                <w:lang w:bidi="ar"/>
                <w14:textFill>
                  <w14:solidFill>
                    <w14:schemeClr w14:val="tx1"/>
                  </w14:solidFill>
                </w14:textFill>
              </w:rPr>
              <w:t xml:space="preserve"> 支持流量抓包分析，可定义抓包数量、接口、IP地址、端口或自定义过滤表达式。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具备公安部颁发的销售许可证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具备版权局颁发的软件著作权证书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WEB应用防火墙</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整机吞吐量≥50Gbps；应用层吞吐量≥2</w:t>
            </w:r>
            <w:r>
              <w:rPr>
                <w:rFonts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5Gbps；http并发连结数不少于410W，http新建连接数不少于300000；标准2U机架设备,不少于6个千兆电口，2个万兆光口，并含2个高速USB2.0接口，1个RJ45串口；配置冗余电源；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支持虚拟网线部署、透明部署、路由部署、旁路镜像等多种部署方式，适应复杂使用环境的接入要求。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支持HTTP、HTTPS协议流量检测。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支持XML、JSON格式解析，支持伪静态解析。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支持通过X-Forwarded-For、Cdn-Src-Ip、Clientip三种方式识别访问的源IP、并用于日志记录和联动封锁。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识别HTTP异常，包含HTTP方法过滤、HTTP头部字段Referer、User-Agent等注入检测、Host检测、URL溢出检测、POST实体溢出检测、HTTP头部溢出检测、range字段防护、multipart头部字段异常检测、Content-Type头部字段异常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支持超过6200种防护规则。其中Web应用防护规则超过4900种，Web应用漏洞攻击防护规则超过1300种。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支持防护SQL注入、XSS攻击、网页木马、网站扫描、Webshell、跨站请求伪造（CSRF）、系统命令注入、文件包含攻击、目录遍历攻击、信息泄露攻击、Web漏洞攻击等。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支持自定义Web应用防护规则，通过基于正则表达式自定义规则匹配方向、动作、字符串、危险等级、动作、攻击影响、描述等。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支持语义引擎用于检测Web攻击，能针对不同类型的Web攻击如命令注入攻击防护等，单独选择开启或关闭语义引擎检测。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支持业务模型学习监督功能，通过智能分析引擎对业务流量进行分析学习，建立用户业务特征模型，解决因WEB应用中因代码不规范和安全检测功能冲突导致的业务误判问题。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支持HTTP应用隐藏，支持过滤如Server、X-powered-by类型的HTTP响应报文头，支持替换服务器出错页面（5XX）和替换服务器出错页面（4XX）。</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漏洞防扫描，包括404页面检测、WAF规则拦截频率检测、目录访问频率检测、使用不常见的HTTP请求方法、匹配强弱规则扫描、敏感文件扫描等扫描行为特征，支持自定义封锁扫描IP封锁时间、支持隐藏服务器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支持数据泄密防护；支持检测到敏感数据泄露时短信告警，支持自定义数据泄密规则库。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支持WEB弱口令检测、WEB登录明文传输检测、WEB口令爆破防护。支持识别和拦截中低频、分布式等高级WEB口令爆破攻击方式。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支持通过被动扫描功能，业务系统进行黑链检测、Webshell检测、漏洞风险检测、配置风险检测、弱口令账户检测。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支持Web权限控制，支持自定义文件上传类型过滤，防止通过修改文件后缀名绕过检测。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支持用户登录权限防护，支持Web登录和非Web登录方式防护，支持短信验证登入。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支持针对业务风险汇总，支持展示业务安全状态分布，支持对业务详情进行展示，包括业务存在关键的风险，可以提供具体的攻击链过程并对攻击进行举证。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支持与安全态势感知产品实现联动，Web应用防火墙支持以专属方式对接同品牌态势感知系统，供态势感知系统进行深度关联分析。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要求所投产品具备“Web应用防护系统”计算机信息系统安全专用产品销售许可证。</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内网准入系统</w:t>
            </w:r>
          </w:p>
        </w:tc>
        <w:tc>
          <w:tcPr>
            <w:tcW w:w="6450" w:type="dxa"/>
            <w:shd w:val="clear" w:color="auto" w:fill="auto"/>
            <w:tcMar>
              <w:top w:w="12" w:type="dxa"/>
              <w:left w:w="12" w:type="dxa"/>
              <w:right w:w="12" w:type="dxa"/>
            </w:tcMar>
            <w:vAlign w:val="center"/>
          </w:tcPr>
          <w:p>
            <w:pPr>
              <w:spacing w:after="18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性能配置：</w:t>
            </w:r>
            <w:r>
              <w:rPr>
                <w:rFonts w:hint="eastAsia" w:ascii="宋体" w:hAnsi="宋体" w:cs="宋体"/>
                <w:color w:val="000000" w:themeColor="text1"/>
                <w:kern w:val="0"/>
                <w:szCs w:val="21"/>
                <w:highlight w:val="none"/>
                <w:lang w:bidi="ar"/>
                <w14:textFill>
                  <w14:solidFill>
                    <w14:schemeClr w14:val="tx1"/>
                  </w14:solidFill>
                </w14:textFill>
              </w:rPr>
              <w:t xml:space="preserve"> 吞吐量≥5.8Gb；并发会话数≥500,000；支持用户数≥4000人；设备接口≥6个千兆电口,2个千兆光口；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实时监控</w:t>
            </w:r>
            <w:r>
              <w:rPr>
                <w:rFonts w:hint="eastAsia" w:ascii="宋体" w:hAnsi="宋体" w:cs="宋体"/>
                <w:color w:val="000000" w:themeColor="text1"/>
                <w:kern w:val="0"/>
                <w:szCs w:val="21"/>
                <w:highlight w:val="none"/>
                <w:lang w:bidi="ar"/>
                <w14:textFill>
                  <w14:solidFill>
                    <w14:schemeClr w14:val="tx1"/>
                  </w14:solidFill>
                </w14:textFill>
              </w:rPr>
              <w:t xml:space="preserve"> ：提供设备实时CPU、内存、磁盘占有率、在线用户数、系统时间、网络接口等信息；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首页分析显示接入用户人数、终端类型、认证方式；资产类型分布、新设备发现趋势、终端违规检查项排行、终端违规用户排行；带宽质量分析、实时流量排名；泄密风险、违规访问、共享上网等行为风险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支持多人使用同一帐号登录，且支持重复登陆检测机制，限制公共账号的使用人数；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认证方式：</w:t>
            </w:r>
            <w:r>
              <w:rPr>
                <w:rFonts w:hint="eastAsia" w:ascii="宋体" w:hAnsi="宋体" w:cs="宋体"/>
                <w:color w:val="000000" w:themeColor="text1"/>
                <w:kern w:val="0"/>
                <w:szCs w:val="21"/>
                <w:highlight w:val="none"/>
                <w:lang w:bidi="ar"/>
                <w14:textFill>
                  <w14:solidFill>
                    <w14:schemeClr w14:val="tx1"/>
                  </w14:solidFill>
                </w14:textFill>
              </w:rPr>
              <w:t xml:space="preserve"> 支持radius、AD、POP3、Proxy、PPPOE、 H3C IMC/CAMS、锐捷 SAM、城市热点等系统进行认证单点登录，简化用户操作，可强制指定用户、指定IP段的用户必须使用单点登录；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支持在终端用户的账号存在微信绑定关系的情况下，PC端的终端用户可以直接使用微信扫码二维码完成密码认证过程，移动端的终端用户，可以直接打开微信扫码完成密码认证过程;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支持绑定IP认证、绑定MAC认证，及IP/MAC绑定认证等，支持通过SNMP服务器跨三层获取MAC地址；</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密码登录支持用户自注册，通过Web页面申请注册新账号，管理员审批后新账号可用，自注册同时支持portal认证和802.1x认证；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支持通过OAuth认证协议对接，支持阿里钉钉，口袋助理，企业微信第三方账号授权认证；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支持二维码认证，担保人扫描访客的二维码后对其网络访问授权；支持访客填写信息、担保人填写信息、免填写信息三种模式;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终端资产管理：</w:t>
            </w:r>
            <w:r>
              <w:rPr>
                <w:rFonts w:hint="eastAsia" w:ascii="宋体" w:hAnsi="宋体" w:cs="宋体"/>
                <w:color w:val="000000" w:themeColor="text1"/>
                <w:kern w:val="0"/>
                <w:szCs w:val="21"/>
                <w:highlight w:val="none"/>
                <w:lang w:bidi="ar"/>
                <w14:textFill>
                  <w14:solidFill>
                    <w14:schemeClr w14:val="tx1"/>
                  </w14:solidFill>
                </w14:textFill>
              </w:rPr>
              <w:t xml:space="preserve"> 支持图形化查看当前内网IP使用情况，帮助管理员减少人工维护IP表的工作量；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自动发现网络里面的终端，并获取IP、Mac、厂商、操作系统、开放服务、开放端口等信息，设备必须支持PC、移动设备、哑终端、专用设备的发现和型号识别，并且进行可视化展示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设备必须支持能自动发现网络中通过无线上网的热点和移动终端的IP和终端类型，支持移动终端型号识别，至少识别不少于10种移动终端型号；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支持以图表方式显示移动终端接入趋势；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共享接入管理</w:t>
            </w:r>
            <w:r>
              <w:rPr>
                <w:rFonts w:hint="eastAsia" w:ascii="宋体" w:hAnsi="宋体" w:cs="宋体"/>
                <w:color w:val="000000" w:themeColor="text1"/>
                <w:kern w:val="0"/>
                <w:szCs w:val="21"/>
                <w:highlight w:val="none"/>
                <w:lang w:bidi="ar"/>
                <w14:textFill>
                  <w14:solidFill>
                    <w14:schemeClr w14:val="tx1"/>
                  </w14:solidFill>
                </w14:textFill>
              </w:rPr>
              <w:t xml:space="preserve"> ：设备能够发现私接路由（或者共享软件等）共享网络的行为：支持自定义配置终端数量和冻结时间，和添加信任列表。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终端安全检查</w:t>
            </w:r>
            <w:r>
              <w:rPr>
                <w:rFonts w:hint="eastAsia" w:ascii="宋体" w:hAnsi="宋体" w:cs="宋体"/>
                <w:color w:val="000000" w:themeColor="text1"/>
                <w:kern w:val="0"/>
                <w:szCs w:val="21"/>
                <w:highlight w:val="none"/>
                <w:lang w:bidi="ar"/>
                <w14:textFill>
                  <w14:solidFill>
                    <w14:schemeClr w14:val="tx1"/>
                  </w14:solidFill>
                </w14:textFill>
              </w:rPr>
              <w:t xml:space="preserve"> ：支持主流杀毒软件的运行情况、软件版本、病毒库更新时间检查，对不满足检查要求的终端可重定向页面修复、弹窗提示、限制权限、禁止上网；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检查终端的Windows系统是否属于指定版本范围，检查终端是否运行指定进程，检查终端指定路径是否存在指定文件，检查终端注册表是否存在指定项，对不满足检查要求的终端可弹窗提示、禁止上网，可强制删除指定项；</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支持检查终端是否更新Windows重要补丁、指定补丁，对不满足检查要求的终端可弹窗提示；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支持检查终端是否超级管理员账号上线，对不满足检查要求的终端禁止上网；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外联检查：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终端安全外联检查规则，终端行为包括但不限于拨号行为、双网卡行为、有4G网卡、有无线网卡行为、连接非法wifi行为、使用非法网关行为、连接外网行为、或自定义外联行为。检查到非法外联行为后，支持发送告警邮件、断网的违规处理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支持”只能访问以下地址”和“不能访问以下地址”的配置；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外设管控</w:t>
            </w:r>
            <w:r>
              <w:rPr>
                <w:rFonts w:hint="eastAsia" w:ascii="宋体" w:hAnsi="宋体" w:cs="宋体"/>
                <w:color w:val="000000" w:themeColor="text1"/>
                <w:kern w:val="0"/>
                <w:szCs w:val="21"/>
                <w:highlight w:val="none"/>
                <w:lang w:bidi="ar"/>
                <w14:textFill>
                  <w14:solidFill>
                    <w14:schemeClr w14:val="tx1"/>
                  </w14:solidFill>
                </w14:textFill>
              </w:rPr>
              <w:t xml:space="preserve"> ：支持阻断终端用户使用外设，防止终端用户从内网拷贝信息，必须支持便携设别（手机、相机）、存储设备、网络设备、蓝牙设备、摄像头、打印机的使用管控;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支持对终端上U盘和移动硬盘接入设置可读写、拒绝、可读、告警;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支持允许特定的外设（包括U盘/存储设备）在终端上使用，并提供批量获取硬件ID的工具;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终端审计</w:t>
            </w:r>
            <w:r>
              <w:rPr>
                <w:rFonts w:hint="eastAsia" w:ascii="宋体" w:hAnsi="宋体" w:cs="宋体"/>
                <w:color w:val="000000" w:themeColor="text1"/>
                <w:kern w:val="0"/>
                <w:szCs w:val="21"/>
                <w:highlight w:val="none"/>
                <w:lang w:bidi="ar"/>
                <w14:textFill>
                  <w14:solidFill>
                    <w14:schemeClr w14:val="tx1"/>
                  </w14:solidFill>
                </w14:textFill>
              </w:rPr>
              <w:t xml:space="preserve"> ：支持U盘和移动硬盘拷贝/修改/移动的文件内容以及插入和拔出行为的审计；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t xml:space="preserve">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 ：</w:t>
            </w:r>
            <w:r>
              <w:rPr>
                <w:rFonts w:hint="eastAsia" w:ascii="宋体" w:hAnsi="宋体" w:cs="宋体"/>
                <w:color w:val="000000" w:themeColor="text1"/>
                <w:kern w:val="0"/>
                <w:szCs w:val="21"/>
                <w:highlight w:val="none"/>
                <w:lang w:bidi="ar"/>
                <w14:textFill>
                  <w14:solidFill>
                    <w14:schemeClr w14:val="tx1"/>
                  </w14:solidFill>
                </w14:textFill>
              </w:rPr>
              <w:t>具备国家版权局颁发的《上网行为管理软件》软件著作权证书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产品具有IPv6 Ready Phase-2认证证书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数据库审计</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性能要求：</w:t>
            </w:r>
            <w:r>
              <w:rPr>
                <w:rFonts w:hint="eastAsia" w:ascii="宋体" w:hAnsi="宋体" w:cs="宋体"/>
                <w:color w:val="000000" w:themeColor="text1"/>
                <w:kern w:val="0"/>
                <w:szCs w:val="21"/>
                <w:highlight w:val="none"/>
                <w:lang w:bidi="ar"/>
                <w14:textFill>
                  <w14:solidFill>
                    <w14:schemeClr w14:val="tx1"/>
                  </w14:solidFill>
                </w14:textFill>
              </w:rPr>
              <w:t xml:space="preserve"> 吞吐量不少于4Gbps，SQL处理性能不少于50000条SQL/s，日志检索性能不少于1000000条/秒。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硬盘容量不少于2TB SATA，接口不少于6千兆电口+2万兆光口。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部署模式：</w:t>
            </w:r>
            <w:r>
              <w:rPr>
                <w:rFonts w:hint="eastAsia" w:ascii="宋体" w:hAnsi="宋体" w:cs="宋体"/>
                <w:color w:val="000000" w:themeColor="text1"/>
                <w:kern w:val="0"/>
                <w:szCs w:val="21"/>
                <w:highlight w:val="none"/>
                <w:lang w:bidi="ar"/>
                <w14:textFill>
                  <w14:solidFill>
                    <w14:schemeClr w14:val="tx1"/>
                  </w14:solidFill>
                </w14:textFill>
              </w:rPr>
              <w:t xml:space="preserve"> 工作模式：数据库审计产品可以旁路镜像模式部署，不影响数据库性能和网络架构；支持多点联合部署；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审计功能：</w:t>
            </w:r>
            <w:r>
              <w:rPr>
                <w:rFonts w:hint="eastAsia" w:ascii="宋体" w:hAnsi="宋体" w:cs="宋体"/>
                <w:color w:val="000000" w:themeColor="text1"/>
                <w:kern w:val="0"/>
                <w:szCs w:val="21"/>
                <w:highlight w:val="none"/>
                <w:lang w:bidi="ar"/>
                <w14:textFill>
                  <w14:solidFill>
                    <w14:schemeClr w14:val="tx1"/>
                  </w14:solidFill>
                </w14:textFill>
              </w:rPr>
              <w:t>支持主流数据库Oracle、SQL-Server、DB2、MySQL、Informix、Sybase、Postgresql、Cache、达梦、人大金仓、南大通用；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支持同时审计多种数据库及跨多种数据库平台操作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支持时间段、源IP、客户端程序、业务系统、数据库用户、数据库名、操作类型、表名、返回行数、影响行数、响应时长、响应码等对数据库日志进行精细检索；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支持以时间、源IP、客户端程序、业务系统、数据库用户、数据库名、操作类型、表名、返回行数、影响行数、响应时长、响应码、策略、规则、风险级别、SQL模版为条件的数据库风险查询。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数据库安全：</w:t>
            </w:r>
            <w:r>
              <w:rPr>
                <w:rFonts w:hint="eastAsia" w:ascii="宋体" w:hAnsi="宋体" w:cs="宋体"/>
                <w:color w:val="000000" w:themeColor="text1"/>
                <w:kern w:val="0"/>
                <w:szCs w:val="21"/>
                <w:highlight w:val="none"/>
                <w:lang w:bidi="ar"/>
                <w14:textFill>
                  <w14:solidFill>
                    <w14:schemeClr w14:val="tx1"/>
                  </w14:solidFill>
                </w14:textFill>
              </w:rPr>
              <w:t>内置大量SQL安全规则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支持自定义数据库安全策略，可根据业务需要自定义各种场景的安全规则，对于违规的数据库访问可进行实时警告和阻断；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可以对SQL语句进行安全检测，并识别当前的SQL操作是否有暴库、撞库等严重性安全问题，如果命中了安全风险规则，那么可根据动作进行阻断、告警、记录等操作，可提示管理员作出相应的防御措施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数据库威胁分析：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支持基于SQL命令的webshell检测；支持安全感知平台联动实现数据外发泄密分析；数据库审计系统通过联动下一代防火墙可以准确阻断和防止受攻击的业务数据库泄密。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风险分析：</w:t>
            </w:r>
            <w:r>
              <w:rPr>
                <w:rFonts w:hint="eastAsia" w:ascii="宋体" w:hAnsi="宋体" w:cs="宋体"/>
                <w:color w:val="000000" w:themeColor="text1"/>
                <w:kern w:val="0"/>
                <w:szCs w:val="21"/>
                <w:highlight w:val="none"/>
                <w:lang w:bidi="ar"/>
                <w14:textFill>
                  <w14:solidFill>
                    <w14:schemeClr w14:val="tx1"/>
                  </w14:solidFill>
                </w14:textFill>
              </w:rPr>
              <w:t xml:space="preserve"> 支持以时间、源IP、客户端程序、业务系统、数据库用户、数据库名、操作类型、表名、返回行数、影响行数、响应时长、响应码、策略、规则、风险级别、SQL模版为条件的数据库风险查询；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系统管理：</w:t>
            </w:r>
            <w:r>
              <w:rPr>
                <w:rFonts w:hint="eastAsia" w:ascii="宋体" w:hAnsi="宋体" w:cs="宋体"/>
                <w:color w:val="000000" w:themeColor="text1"/>
                <w:kern w:val="0"/>
                <w:szCs w:val="21"/>
                <w:highlight w:val="none"/>
                <w:lang w:bidi="ar"/>
                <w14:textFill>
                  <w14:solidFill>
                    <w14:schemeClr w14:val="tx1"/>
                  </w14:solidFill>
                </w14:textFill>
              </w:rPr>
              <w:t xml:space="preserve"> 支持审计系统用户（组）管理（添加、修改、删除、停用、启用）；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提供管理员权限设置和分权管理，提供三权分立功能，系统可以对使用人员的操作进行审计记录，可以由审计员进行查询，具有自身安全审计功能。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支持日志备份和日志恢复；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支持系统日志查看，系统升级，重启操作，磁盘空间自动删除系统必备功能；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：公安部《计算机信息系统安全专用产品销售许可证》；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国家版权局《计算机软件著作权登记证书》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中国信息安全认证中心《中国国家信息安全产品认证证书》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厂商具有国家计算机网络应急技术处理协调中心颁发的网络安全应急服务支撑单位证书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等保一体机</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硬件参数：</w:t>
            </w:r>
            <w:r>
              <w:rPr>
                <w:rFonts w:hint="eastAsia" w:ascii="宋体" w:hAnsi="宋体" w:cs="宋体"/>
                <w:color w:val="000000" w:themeColor="text1"/>
                <w:kern w:val="0"/>
                <w:szCs w:val="21"/>
                <w:highlight w:val="none"/>
                <w:lang w:bidi="ar"/>
                <w14:textFill>
                  <w14:solidFill>
                    <w14:schemeClr w14:val="tx1"/>
                  </w14:solidFill>
                </w14:textFill>
              </w:rPr>
              <w:t xml:space="preserve"> CPU≥2颗 12核 2.4Ghz 内存≥128GB 硬盘≥4TB SATA 网口≥千兆电口*6、≥万兆光口*2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产品形态 产品支持软、硬件一体化与软硬件解耦两种部署方式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部署模式 支持网桥、路由、旁路模式部署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基本要求：</w:t>
            </w:r>
            <w:r>
              <w:rPr>
                <w:rFonts w:hint="eastAsia" w:ascii="宋体" w:hAnsi="宋体" w:cs="宋体"/>
                <w:color w:val="000000" w:themeColor="text1"/>
                <w:kern w:val="0"/>
                <w:szCs w:val="21"/>
                <w:highlight w:val="none"/>
                <w:lang w:bidi="ar"/>
                <w14:textFill>
                  <w14:solidFill>
                    <w14:schemeClr w14:val="tx1"/>
                  </w14:solidFill>
                </w14:textFill>
              </w:rPr>
              <w:t xml:space="preserve"> 平台包含下一代防火墙组件、SSL VPN组件、上网行为管理组件、数据库审计组件、运维审计组件、日志审计组件、主机杀毒等安全功能组件，本次提供堡垒机（100接入授权）、日志审计（50接入授权）漏洞扫描（50并发扫描授权）；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平台可根据实际业务环境定义业务安全区域，简化运维管理；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平台首页可以展示详细主机状态、磁盘状态及应用状态，以及业务遭受的入侵风险、僵尸主机风险及外发流量异常等相关安全信息；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平台支持模板化的组件部署模式，至少支持出口边界安全模板、等保合规安全模板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支持内置的安全市场，可根据业务需要灵活选择所需要的安全产品，且安全市场产品至少提供内置的3个月测试授权使用期限；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支持故障迁移功能，当主机发生故障迁移后，可自动将组件迁移到其他主机上运行；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为了提供更好的排障手段，支持在平台内节点抓包分析分析功能，能够设置抓包的网口、过滤条件、文件大小等参数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业务、用户风险界面，支持针对业务、用户的风险事件进行分类，至少包含已经明确失陷的业务以及业务的威胁、脆弱性分析。同时能够针对已经实现、具备威胁与脆弱性不同阶段的安全事件进行等级描述、定位事件从何种安全组件上报，是否处理以及安全事件详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堡垒机功能要求：</w:t>
            </w:r>
            <w:r>
              <w:rPr>
                <w:rFonts w:hint="eastAsia" w:ascii="宋体" w:hAnsi="宋体" w:cs="宋体"/>
                <w:color w:val="000000" w:themeColor="text1"/>
                <w:kern w:val="0"/>
                <w:szCs w:val="21"/>
                <w:highlight w:val="none"/>
                <w:lang w:bidi="ar"/>
                <w14:textFill>
                  <w14:solidFill>
                    <w14:schemeClr w14:val="tx1"/>
                  </w14:solidFill>
                </w14:textFill>
              </w:rPr>
              <w:t xml:space="preserve"> 字符协议：SSHv1、SSHv2、TELNET；图形协议：RDP、VNC；文件传输协议：FTP、SFTP、RDP磁盘映射、RDP剪切板；支持通过协议前置机进行协议扩展，至少支持扩展KVM、Vmware、数据库、http/https、CS应用等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全面支持Windows、linux、国产麒麟系统、Android、IOS、Mac OS等客户端操作系统下的H5页面一站式运维，实现跨终端适应性BYOD（Bring Your Own Device）</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用户登陆认证方式支持静态口令认证、手机动态口令认证、Usbkey（数字证书）认证、AD域认证、Radius认证等认证方式；并支持各种认证方式和静态口令组合认证设定用户有效期。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支持unix资源、windows资源、网络设备资源、数据库资源、C/S资源、B/S资源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支持RDP安全模式（RDP、NLA、TLS、ANY）设置，以适应RDP-Tcp属性中的所有功能配置，包括加密级别为客户端兼容、低、高、符合FIPS标准等加密级别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支持网络设备enable和unix主机su等身份切换的单点登录功能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支持一对一、一对多、多对多授权，如将单个资产授权多个用户，一个用户授予多个资产，用户组向资产组授权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定期变更目标设备真实口令，支持自定义口令变更周期和口令强度。口令变更方式至少支持手动指定固定口令、通过密码表生成口令、依照设备挂载的口令策略生成随机口令、依照密码策略生成同一口令等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支持web页面直接发起运维，无需安装任何控件，并同时支持调用SecureCRT、Xshell、Putty、WinSCP、FileZilla、RDP等客户端工具实现单点登陆，不改变运维人员操作习惯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日志审计功能要求：</w:t>
            </w:r>
            <w:r>
              <w:rPr>
                <w:rFonts w:hint="eastAsia" w:ascii="宋体" w:hAnsi="宋体" w:cs="宋体"/>
                <w:color w:val="000000" w:themeColor="text1"/>
                <w:kern w:val="0"/>
                <w:szCs w:val="21"/>
                <w:highlight w:val="none"/>
                <w:lang w:bidi="ar"/>
                <w14:textFill>
                  <w14:solidFill>
                    <w14:schemeClr w14:val="tx1"/>
                  </w14:solidFill>
                </w14:textFill>
              </w:rPr>
              <w:t xml:space="preserve"> 支持多种输入方式、搜索框模糊搜索、指定语段进行语法搜索；可根据时间、严重等级等进行组合查询；可根据具体设备、来源/目的所属（可具体到外网、内网资产等）、IP地址、特征ID、URL进行具体条件搜索；支持日志进行定时刷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以标准syslog等形式接收第三方设备的日志并存储；支持FTP、Webservice、JDBC的日志数据拉取接入方式；支持通过agent、wmi接口采集windows日志；支持对常见安全设备日志范式解析；支持通过SIEM日志解析引擎对第三方日志接入模块进行统一独立的升级维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在新增设备时，可指定字段设置过滤条件；支持指定字段进行过滤，且可指定多个字段，默认支持AND的关系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可自定义设置日志存储天数，容量告警提示等；满足存储超过6个月以上的合规要求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基于logstash的接入架构，可供多台设备同时接入同步数据，并实时分析展示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通过接入序列号控制接入设备的个数，主要支持网络设备、安全设备、操作系统、中间件、数据库等设备的日志接入，可以获取到设备的传输日志量，设备同步数据状态等信息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不少于40+条审计策略，包括操作系统、数据库；可启用/禁用策略，默认匹配上后都会产生页面告警，支持开启邮件告警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不少于80+条关联规则，包括主机异常、账号异常、权限异常等；支持新增统计类规则，可启用/禁用规则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支持不晒与750+第三方日志采集器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内置主机安全报表（linux）、主机安全报表（windows）、数据库安全报表、网络设备安全报表、应用安全报表五种；支持导出日报、周报、月报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漏洞扫描功能要求 主机类支持：windows、Unix、solaris、HP-Unix、AIX、 Linux等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网络设备支持：华为、H3C、Cisco、Juniper、中兴等，防火墙：华为、天融信、H3C、Fortigate、Cisco、Juniper、迪普防火墙等，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数据库支持：Mysql、DB2、Oracle、Sqlserver、Sybase等，中间件：Tomcat、IIS、Webservices、Apache、Weblogic、Resin、Nginx等，虚拟化平台：VMware ESXi、VMware Center、XenServer</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支持扫描器登录到目标系统中对特定应用进行深入扫描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资质要求：</w:t>
            </w:r>
            <w:r>
              <w:rPr>
                <w:rFonts w:hint="eastAsia" w:ascii="宋体" w:hAnsi="宋体" w:cs="宋体"/>
                <w:color w:val="000000" w:themeColor="text1"/>
                <w:kern w:val="0"/>
                <w:szCs w:val="21"/>
                <w:highlight w:val="none"/>
                <w:lang w:bidi="ar"/>
                <w14:textFill>
                  <w14:solidFill>
                    <w14:schemeClr w14:val="tx1"/>
                  </w14:solidFill>
                </w14:textFill>
              </w:rPr>
              <w:t xml:space="preserve"> 提供《计算机软件著作权》；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提供《计算机信息系统安全专用产品销售许可证》；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所投产品厂商为国家互联网应急中心CNCERT国家级网络安全应急服务支撑单位；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终端检测响应系统</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产品形态:</w:t>
            </w:r>
            <w:r>
              <w:rPr>
                <w:rFonts w:hint="eastAsia" w:ascii="宋体" w:hAnsi="宋体" w:cs="宋体"/>
                <w:color w:val="000000" w:themeColor="text1"/>
                <w:kern w:val="0"/>
                <w:szCs w:val="21"/>
                <w:highlight w:val="none"/>
                <w:lang w:bidi="ar"/>
                <w14:textFill>
                  <w14:solidFill>
                    <w14:schemeClr w14:val="tx1"/>
                  </w14:solidFill>
                </w14:textFill>
              </w:rPr>
              <w:t xml:space="preserve"> 服务器授权40个；普通PC授权300个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产品是软件形态，包含管理平台和终端Agent软件；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Agent软件支持32位和64位的Windows系统、64位的Linux系统、MAC系统。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部署方式:</w:t>
            </w:r>
            <w:r>
              <w:rPr>
                <w:rFonts w:hint="eastAsia" w:ascii="宋体" w:hAnsi="宋体" w:cs="宋体"/>
                <w:color w:val="000000" w:themeColor="text1"/>
                <w:kern w:val="0"/>
                <w:szCs w:val="21"/>
                <w:highlight w:val="none"/>
                <w:lang w:bidi="ar"/>
                <w14:textFill>
                  <w14:solidFill>
                    <w14:schemeClr w14:val="tx1"/>
                  </w14:solidFill>
                </w14:textFill>
              </w:rPr>
              <w:t xml:space="preserve"> 无需安装任何其他软件和专用设备硬件，采用基于X86服务器或虚拟服务器即可完成平台部署；终端Agent软件可以通过软件安装或虚拟机模板的方式进行安装。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全网威胁展示:</w:t>
            </w:r>
            <w:r>
              <w:rPr>
                <w:rFonts w:hint="eastAsia" w:ascii="宋体" w:hAnsi="宋体" w:cs="宋体"/>
                <w:color w:val="000000" w:themeColor="text1"/>
                <w:kern w:val="0"/>
                <w:szCs w:val="21"/>
                <w:highlight w:val="none"/>
                <w:lang w:bidi="ar"/>
                <w14:textFill>
                  <w14:solidFill>
                    <w14:schemeClr w14:val="tx1"/>
                  </w14:solidFill>
                </w14:textFill>
              </w:rPr>
              <w:t xml:space="preserve"> 采用B/S架构的管理控制中心，具备终端安全可视，终端统一管理，统一威胁处置，统一漏洞修复，威胁响应处置，日志记录与查询等功能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支持全网风险展示，包括但不限于未处理的勒索病毒数量、暴力破解数量、WebShell后门数量、高危漏洞及其各自影响的终端数量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支持按“最近7天”、“最近30天”、“最近三个月”不同时间维度展示病毒查杀事件爆发趋势和病毒TOP5排行榜，并展示对应的事件数及终端数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支持跳转链接至云端安全威胁响应系统，针对已发生的病毒的基本信息，影响分析（客户情况、影响行业、区域分布）、威胁分析和处理建议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 xml:space="preserve">终端配置管理: </w:t>
            </w:r>
            <w:r>
              <w:rPr>
                <w:rFonts w:hint="eastAsia" w:ascii="宋体" w:hAnsi="宋体" w:cs="宋体"/>
                <w:color w:val="000000" w:themeColor="text1"/>
                <w:kern w:val="0"/>
                <w:szCs w:val="21"/>
                <w:highlight w:val="none"/>
                <w:lang w:bidi="ar"/>
                <w14:textFill>
                  <w14:solidFill>
                    <w14:schemeClr w14:val="tx1"/>
                  </w14:solidFill>
                </w14:textFill>
              </w:rPr>
              <w:t>支持按照扫描网段、扫描方式、扫描协议、扫描端口对终端进行扫描，及时发现尚未纳入管控的终端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支持安全策略一体化配置；资产统一清点，包括不限于操作系统、应用软件、端口哦、硬件信息（CPU、内存、硬盘等）；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支持对系统高危端口执行一键封堵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支持对在线终端下发实时通知消息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威胁防御:</w:t>
            </w:r>
            <w:r>
              <w:rPr>
                <w:rFonts w:hint="eastAsia" w:ascii="宋体" w:hAnsi="宋体" w:cs="宋体"/>
                <w:color w:val="000000" w:themeColor="text1"/>
                <w:kern w:val="0"/>
                <w:szCs w:val="21"/>
                <w:highlight w:val="none"/>
                <w:lang w:bidi="ar"/>
                <w14:textFill>
                  <w14:solidFill>
                    <w14:schemeClr w14:val="tx1"/>
                  </w14:solidFill>
                </w14:textFill>
              </w:rPr>
              <w:t xml:space="preserve"> 具备基于人工智能的检测引擎，支持无特征检测技术，有效应对恶意代码及其变种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支持agent安装目录的文件保护，可以保护agent目录和文件实时监控驱动文件，可以保护agent的服务/进程/文件不被恶意删除，以免影响正常功能，导致用户的终端受到病毒入侵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支持对zip， rar， jar， cab， 7z等常见压缩文件的扫描检测，支持压缩文件层级进行策略配置，最大可配置检查10层压缩文件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支持禁止黑客工具启动，包含：冰刃、xuetr、ProcessHacker、PCHunter、火绒剑、Mimikatz的自启动，可以防止黑客攻击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支持客户端防卸载，客户端卸载需要输入密码才能卸载，避免非管理员卸载终端，造成终端安全真空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支持对来自Internet、E-mail或是光盘、移动存储、网络等各种入口渠道病毒进行实时检测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支持对服务器重要目录进行权限控制，仅允许配置的可信进程操作该目录并提供配置指引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支持windows服务器RDP远程登录保护，可开启RDP远程登录二次认证，以防止黑客对服务器的入侵。还可开启RDP文件加白功能，避免黑客入侵服务器后使用EDR对文件/目录加白，加密这些文档进行勒索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补丁管理 支持对终端的漏洞情况进行扫描，并查看漏洞具体情况及KB号，并显示具体修复情况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支持流行Windows高危漏洞的轻补丁免疫防御，支持支持Windows补丁批量一键修复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 xml:space="preserve">微隔离: </w:t>
            </w:r>
            <w:r>
              <w:rPr>
                <w:rFonts w:hint="eastAsia" w:ascii="宋体" w:hAnsi="宋体" w:cs="宋体"/>
                <w:color w:val="000000" w:themeColor="text1"/>
                <w:kern w:val="0"/>
                <w:szCs w:val="21"/>
                <w:highlight w:val="none"/>
                <w:lang w:bidi="ar"/>
                <w14:textFill>
                  <w14:solidFill>
                    <w14:schemeClr w14:val="tx1"/>
                  </w14:solidFill>
                </w14:textFill>
              </w:rPr>
              <w:t>支持基于IP（组）、服务和角色维度进行配置项设置，对终端网络访问进行控制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联动响应:</w:t>
            </w:r>
            <w:r>
              <w:rPr>
                <w:rFonts w:hint="eastAsia" w:ascii="宋体" w:hAnsi="宋体" w:cs="宋体"/>
                <w:color w:val="000000" w:themeColor="text1"/>
                <w:kern w:val="0"/>
                <w:szCs w:val="21"/>
                <w:highlight w:val="none"/>
                <w:lang w:bidi="ar"/>
                <w14:textFill>
                  <w14:solidFill>
                    <w14:schemeClr w14:val="tx1"/>
                  </w14:solidFill>
                </w14:textFill>
              </w:rPr>
              <w:t xml:space="preserve"> 支持管理员在同厂商的安全感知平台管理界面下发一键隔离指令，对终端所有连接进行阻断，防止病毒进一步扩散 （需提供产品截图证明）支持与同厂商的网络防火墙进行安全联动，管理员可以在网络防火墙管理界面下发快速查杀任务，并查看任务状态、结果并进行处置，支持在管理平台查询和统计联动信息。支持管理员在同厂商的网络防火墙管理界面下发一键隔离指令，对终端恶意文件进行隔离，防止病毒进一步扩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厂商资质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厂商应是国家互联网应急响应中心网络安全应急服务国家级支撑单位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产品资质 具备公安部颁发的销售许可证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具备版权局颁发的软件著作权证书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083"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安全隔离与信息交换系统</w:t>
            </w:r>
          </w:p>
        </w:tc>
        <w:tc>
          <w:tcPr>
            <w:tcW w:w="64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kern w:val="0"/>
                <w:szCs w:val="21"/>
                <w:highlight w:val="none"/>
                <w:lang w:bidi="ar"/>
                <w14:textFill>
                  <w14:solidFill>
                    <w14:schemeClr w14:val="tx1"/>
                  </w14:solidFill>
                </w14:textFill>
              </w:rPr>
              <w:t>硬件性能 性能参数</w:t>
            </w:r>
            <w:r>
              <w:rPr>
                <w:rFonts w:hint="eastAsia" w:ascii="宋体" w:hAnsi="宋体" w:cs="宋体"/>
                <w:color w:val="000000" w:themeColor="text1"/>
                <w:kern w:val="0"/>
                <w:szCs w:val="21"/>
                <w:highlight w:val="none"/>
                <w:lang w:bidi="ar"/>
                <w14:textFill>
                  <w14:solidFill>
                    <w14:schemeClr w14:val="tx1"/>
                  </w14:solidFill>
                </w14:textFill>
              </w:rPr>
              <w:t>：吞吐量 （网络层流量）不少于1Gbps，最大并发连接数不少于50万。标配提供文件交换、数据库访问和同步、视频交换、组播代理、访问交换等功能模块。2U设备，“双主机+隔离卡”架构，单主机硬件信息：不少于6电4光。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管理接口:</w:t>
            </w:r>
            <w:r>
              <w:rPr>
                <w:rFonts w:hint="eastAsia" w:ascii="宋体" w:hAnsi="宋体" w:cs="宋体"/>
                <w:color w:val="000000" w:themeColor="text1"/>
                <w:kern w:val="0"/>
                <w:szCs w:val="21"/>
                <w:highlight w:val="none"/>
                <w:lang w:bidi="ar"/>
                <w14:textFill>
                  <w14:solidFill>
                    <w14:schemeClr w14:val="tx1"/>
                  </w14:solidFill>
                </w14:textFill>
              </w:rPr>
              <w:t xml:space="preserve"> 外网端不允许配置任何形式的管理接口，所有管理配置操作均通过专用的网闸内网可信端管理接口进行配置。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部署模式</w:t>
            </w:r>
            <w:r>
              <w:rPr>
                <w:rFonts w:hint="eastAsia" w:ascii="宋体" w:hAnsi="宋体" w:cs="宋体"/>
                <w:color w:val="000000" w:themeColor="text1"/>
                <w:kern w:val="0"/>
                <w:szCs w:val="21"/>
                <w:highlight w:val="none"/>
                <w:lang w:bidi="ar"/>
                <w14:textFill>
                  <w14:solidFill>
                    <w14:schemeClr w14:val="tx1"/>
                  </w14:solidFill>
                </w14:textFill>
              </w:rPr>
              <w:t xml:space="preserve"> :设备支持透明、代理及路由三种工作模式，管理员可依据实际网络状况进行相应的部署。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IPV6、IPV4:</w:t>
            </w:r>
            <w:r>
              <w:rPr>
                <w:rFonts w:hint="eastAsia" w:ascii="宋体" w:hAnsi="宋体" w:cs="宋体"/>
                <w:color w:val="000000" w:themeColor="text1"/>
                <w:kern w:val="0"/>
                <w:szCs w:val="21"/>
                <w:highlight w:val="none"/>
                <w:lang w:bidi="ar"/>
                <w14:textFill>
                  <w14:solidFill>
                    <w14:schemeClr w14:val="tx1"/>
                  </w14:solidFill>
                </w14:textFill>
              </w:rPr>
              <w:t xml:space="preserve"> 支持IPV6、IPV4双协议栈接入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内置应用:</w:t>
            </w:r>
            <w:r>
              <w:rPr>
                <w:rFonts w:hint="eastAsia" w:ascii="宋体" w:hAnsi="宋体" w:cs="宋体"/>
                <w:color w:val="000000" w:themeColor="text1"/>
                <w:kern w:val="0"/>
                <w:szCs w:val="21"/>
                <w:highlight w:val="none"/>
                <w:lang w:bidi="ar"/>
                <w14:textFill>
                  <w14:solidFill>
                    <w14:schemeClr w14:val="tx1"/>
                  </w14:solidFill>
                </w14:textFill>
              </w:rPr>
              <w:t xml:space="preserve"> 产品内置各类应用支持模块，无须用户增加投资，功能模块至少包含：邮件模块、安全浏览模块、视频交换模块、数据库访问模块、数据库同步模块、文件交换模块、OPC模块、MODBUS模块、WINCC模块、组播代理模块、用户自定义应用模块等各类应用模块,并可控制相应应用协议的的动作、参数、内容。</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文件交换:</w:t>
            </w:r>
            <w:r>
              <w:rPr>
                <w:rFonts w:hint="eastAsia" w:ascii="宋体" w:hAnsi="宋体" w:cs="宋体"/>
                <w:color w:val="000000" w:themeColor="text1"/>
                <w:kern w:val="0"/>
                <w:szCs w:val="21"/>
                <w:highlight w:val="none"/>
                <w:lang w:bidi="ar"/>
                <w14:textFill>
                  <w14:solidFill>
                    <w14:schemeClr w14:val="tx1"/>
                  </w14:solidFill>
                </w14:textFill>
              </w:rPr>
              <w:t xml:space="preserve"> 支持Samba、FTP等多种文件协议，可以实现内网到外网、外网到内网、双向的文件传送。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支持对文件类型的黑白名单控制，根据文件格式特征进行过滤，并且不依赖于文件扩展名；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支持文件内容深度检测，对包含关键字内容的文件进行过滤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支持增量传输、传输后删除等传输策略；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支持目录内子目录同步，子目录级别不受限制；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支持文件交换容错和告警功能，交换出错能够自动重传，出现异常能够告警提示并记录日志；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可通过专用客户端或共享方式提供安全的文件同步功能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支持平台级联和视频点播功能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支持RTP/RTCP、H.323、H.264等协议。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符合GB/T 28181国家标准，支持相关厂商协议规范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支持SIP信令控制，可控制云台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支持海康、大华、华为、华三、公安一所、天地伟业、天视达、宇视、科达、数码视讯、藏愚、合众、汉邦等视频厂商。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数据库同步:</w:t>
            </w:r>
            <w:r>
              <w:rPr>
                <w:rFonts w:hint="eastAsia" w:ascii="宋体" w:hAnsi="宋体" w:cs="宋体"/>
                <w:color w:val="000000" w:themeColor="text1"/>
                <w:kern w:val="0"/>
                <w:szCs w:val="21"/>
                <w:highlight w:val="none"/>
                <w:lang w:bidi="ar"/>
                <w14:textFill>
                  <w14:solidFill>
                    <w14:schemeClr w14:val="tx1"/>
                  </w14:solidFill>
                </w14:textFill>
              </w:rPr>
              <w:t xml:space="preserve"> 支持Oracle、SQLServer、Mysql、Sybase、DB2、Mariadb、Postgresql等多种主流国外数据库的同步和国产达梦、人大金仓、南大通用、神舟通用、优炫数据库的同步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支持同构、异构数据库之间的同步，如Mysql同步至Oracle。</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支持字段级数据同步，仅同步表中某几个字段。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支持BLOB、CLOB等大字段的同步。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同步功能由网闸主动发起并完成，无需在数据库安装方软件，支持Windows、Linux、Unix 等多种数据库操作系统，且网闸无需开放端口以杜绝安全隐患；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同时支持客户端方式，提供更高性能的数据库同步。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支持数据库同步实时日志记录，提供日志审计、查询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数据库访问</w:t>
            </w:r>
            <w:r>
              <w:rPr>
                <w:rFonts w:hint="eastAsia" w:ascii="宋体" w:hAnsi="宋体" w:cs="宋体"/>
                <w:color w:val="000000" w:themeColor="text1"/>
                <w:kern w:val="0"/>
                <w:szCs w:val="21"/>
                <w:highlight w:val="none"/>
                <w:lang w:bidi="ar"/>
                <w14:textFill>
                  <w14:solidFill>
                    <w14:schemeClr w14:val="tx1"/>
                  </w14:solidFill>
                </w14:textFill>
              </w:rPr>
              <w:t xml:space="preserve"> :支持Oracle、DB2、SyBase、SQL Server、MySql等主流数据库的安全访问，实现内外网之间数据库及表内容安全传输。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支持任务单独启停管理，不影响数据库同步的其他任务运行。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支持对访问源地址、目的地址、本机地址和端口的自定义访问控制。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安全浏览</w:t>
            </w:r>
            <w:r>
              <w:rPr>
                <w:rFonts w:hint="eastAsia" w:ascii="宋体" w:hAnsi="宋体" w:cs="宋体"/>
                <w:color w:val="000000" w:themeColor="text1"/>
                <w:kern w:val="0"/>
                <w:szCs w:val="21"/>
                <w:highlight w:val="none"/>
                <w:lang w:bidi="ar"/>
                <w14:textFill>
                  <w14:solidFill>
                    <w14:schemeClr w14:val="tx1"/>
                  </w14:solidFill>
                </w14:textFill>
              </w:rPr>
              <w:t xml:space="preserve"> :支持应用层指令控制，如GET、POST、PUT、HEAD、CONNECT等。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可限制用户行为，如只允许浏览不允许登陆等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支持代理模式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支持URL地址过滤，并可限制网页中的Script脚本、ActiveX脚本、java applet等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支持关键字网页过滤；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支持对下载文件的大小、类型过滤；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邮件交换:</w:t>
            </w:r>
            <w:r>
              <w:rPr>
                <w:rFonts w:hint="eastAsia" w:ascii="宋体" w:hAnsi="宋体" w:cs="宋体"/>
                <w:color w:val="000000" w:themeColor="text1"/>
                <w:kern w:val="0"/>
                <w:szCs w:val="21"/>
                <w:highlight w:val="none"/>
                <w:lang w:bidi="ar"/>
                <w14:textFill>
                  <w14:solidFill>
                    <w14:schemeClr w14:val="tx1"/>
                  </w14:solidFill>
                </w14:textFill>
              </w:rPr>
              <w:t xml:space="preserve"> 支持SMTP、POP3协议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支持邮件地址、附件、主题、内容等进行过滤。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支持附件大小、附件格式控制；支持发件人、收件人过滤。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TCP应用传输:</w:t>
            </w:r>
            <w:r>
              <w:rPr>
                <w:rFonts w:hint="eastAsia" w:ascii="宋体" w:hAnsi="宋体" w:cs="宋体"/>
                <w:color w:val="000000" w:themeColor="text1"/>
                <w:kern w:val="0"/>
                <w:szCs w:val="21"/>
                <w:highlight w:val="none"/>
                <w:lang w:bidi="ar"/>
                <w14:textFill>
                  <w14:solidFill>
                    <w14:schemeClr w14:val="tx1"/>
                  </w14:solidFill>
                </w14:textFill>
              </w:rPr>
              <w:t xml:space="preserve"> 支持TCP应用层数据单向传输的控制，保证TCP应用数据的0反馈，以满足二次防护对数据传输的安全性需求。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支持MODBUS协议，可按照用户需求控制具体功能代码，比如控制线圈、值域范围等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产品资质</w:t>
            </w:r>
            <w:r>
              <w:rPr>
                <w:rFonts w:hint="eastAsia" w:ascii="宋体" w:hAnsi="宋体" w:cs="宋体"/>
                <w:color w:val="000000" w:themeColor="text1"/>
                <w:kern w:val="0"/>
                <w:szCs w:val="21"/>
                <w:highlight w:val="none"/>
                <w:lang w:bidi="ar"/>
                <w14:textFill>
                  <w14:solidFill>
                    <w14:schemeClr w14:val="tx1"/>
                  </w14:solidFill>
                </w14:textFill>
              </w:rPr>
              <w:t xml:space="preserve"> 公安部《计算机信息系统安全专用产品销售许可证》；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网络关键设备和网络安全专用产品安全认证&amp;中国国家信息安全产品认证证书（ISCCC证书）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b/>
                <w:bCs/>
                <w:color w:val="000000" w:themeColor="text1"/>
                <w:kern w:val="0"/>
                <w:szCs w:val="21"/>
                <w:highlight w:val="none"/>
                <w:lang w:bidi="ar"/>
                <w14:textFill>
                  <w14:solidFill>
                    <w14:schemeClr w14:val="tx1"/>
                  </w14:solidFill>
                </w14:textFill>
              </w:rPr>
              <w:t>厂商资质: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要求 厂商软件研发实力需通过CMMI L5认证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厂商应是国家互联网应急响应中心网络安全应急服务国家级支撑单位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4.3、灾备业务承载平台资源池</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2084"/>
        <w:gridCol w:w="643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4"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3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64"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4"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超融合资源池平台服务器</w:t>
            </w:r>
          </w:p>
        </w:tc>
        <w:tc>
          <w:tcPr>
            <w:tcW w:w="64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处理器：不低于2颗16核CPU，主频不低于2.9 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内存：不低于256GB DDR4 2666 内存，≥24条扩展插槽；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硬盘：2块后置热插拔2.5寸系统盘位，12个3.5寸热插拔盘位扩展，可定制支持PCIe SSD硬盘；本次单台配置≥2*240G SSD系统盘，≥2*1.92T SSD缓存盘，≥6*6T SATA数据盘（7200转）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RAID功能：RAID卡(LSI-3008-8I）,支持0,1,10,等RAID级别；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接口: 千兆以太网电口≥4个,万兆光口≥4个，VGA口1个，USB2.0接口≥2个， USB3.0接口≥2个，PCI-E插槽总数≥5个；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电源：电源输出功率800W电源，支持交直流兼容(AC 100-240V /DC 240V）；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冷却系统：支持1+1冗余热插拔系统风扇；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故障定位：标配BMC诊断模块，可实现对CPU/内存/硬盘/网卡/风扇/温度/电源等关键部件的故障诊断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为保障售后服务的及时性，所投设备的稳定性、可靠性，必须提供设备生产厂家售后服务承诺保证文件以及投标授权书。</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4"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超融合虚拟化软件</w:t>
            </w:r>
          </w:p>
        </w:tc>
        <w:tc>
          <w:tcPr>
            <w:tcW w:w="64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虚拟化平台至少满足12颗物理CPU的虚拟化授权，包含服务器虚拟化、存储虚拟化，数据持续保护系统，为方便统一管理和后期扩容方便，授权可通过虚拟化平台统一管理和授权。所有虚拟化平台软件，提供不低于3年的软件升级服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提供云管平台，能够同时管理新建超融合集群和原有超融合业务集群，实现虚拟化业务的统一管理，便于管理人员运维。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支持大屏展示便于客户直观查看虚拟化资源池的使用情况和健康状态，包括集群资源情况，各主机资源使用情况，存储资源池的IO次数、IO速率、IO时延、存储命中率、主机命中率，以及集群故障与告警，支持Top 5主机CPU和内存利用率、Top 5虚拟机CPU和内存利用率信息大屏展示等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虚拟化的管理平台、可以支持扩展同一品牌的存储虚拟化、网络功能虚拟化、虚拟应用防火墙、虚拟应用交付、SSL VPN软件、数据库审计软件等功能组件的，并支持统一管理，以保障平台的扩展性和兼容性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计算虚拟化要求：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虚拟化软件非OEM或贴牌产品，禁止借用第三方软件的整合，以保证功能的可靠性和安全性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虚拟机可以实现物理机的全部功能，如具有自己的资源（内存、CPU、网卡、存储），可以指定单独的MAC地址等。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支持虚拟机的HA功能。当物理服务器发生故障时，该物理服务器上的所有虚拟机，可以在集群之内的其它物理服务器上重新启动，保障业务连续性。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虚拟机之间可以做到隔离保护，其中每一个虚拟机发生故障都不会影响同一个物理机上的其它虚拟机运行，以保障系统平台的安全性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支持配置动态资源扩展功能，系统支持自动评估虚拟机的性能，当虚拟机性能不足时自动为虚拟机添加CPU和内存资源，确保业务持续高效运行。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提供虚拟机回收站功能，防止因虚拟机误删除导致数据丢失，超期的文件将被自动删除。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保证云平台具备良好的虚拟安全拓展能力，虚拟化的管理平台，可以支持扩展虚拟安全组件的拓展能力，支持虚拟应用防火墙、虚拟应用负载均衡、虚拟SSLVPN、虚拟数据库审计、虚拟上网行为管理等功能组件的，并支持统一管理，以保障平台安全能力的扩展性和兼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持无代理跨物理主机的虚拟机USB映射，单位部分系统需要使用USB KEY时，无需在虚拟机上安装客户端插件，且虚拟机迁移到其它物理主机后，仍能正常使用迁移前所在物理主机上的USB资源，对于业务的自适应能力、使用便捷性更佳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支持平台中的集群资源环境一键检测，对硬件健康、平台底层的虚拟化的运行状态和配置，进行多个维度进行检查，提供快速定位问题功能，确保系统最佳状态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支持设置告警类型、告警内容，针对告警信息平台可自动给出告警处理建议，同时支持将告警信息以短信和邮件方式发送给管理员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通过License激活的方式，实现网络虚拟化功能（分布式虚拟交换机、虚拟路由器、虚拟应用防火墙、虚拟应用负载均衡），支持Vxlan网络和现有的Vlan网络对接，实现虚拟化平台与原有网络的兼容性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在管理平台上可以通过拖拽虚拟设备图标和连线就能完成网络拓扑的构建，快速的实现整个业务逻辑，并且可以连接、开启、关闭虚拟网络设备，支持对整个平台虚拟设备实现统一的管理，提升运维管理的工作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支持ACL功能，通过ACL来控制虚拟机之间的网络访问能力，进而保障部署在虚拟机上的业务资源的安全性；支持根据报文的源和目的IP地址信息、源和目的IP地址及源和目的端口制定匹配规则；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存储虚拟化要求：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支持存储虚拟化功能，无需安装额外的软件，在一个统一的管理平台上使用License激活的方式即可开通使用，存储虚拟化与计算虚拟化为紧耦合架构，减少底层开销，提升性能。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采用分布式的软件定义存储架构，在通用x86服务器部署，把所有服务器硬盘组织成一个虚拟存储资源池，提供分布式存储服务，无需独立的元数据及控制器节点。通过新增物理服务器可以实现存储容量和性能的横向扩展（Scale-Out架构），扩容过程保证业务零中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支持条带化功能，实现分布式raid0的性能提升效果，并且支持以虚拟磁盘为单位设置不同的条带数。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支持数据重建智能保护业务性能，可以对数据重建速度进行智能限速，避免数据重建过程中IO性能占用导致对业务的性能造成影响。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支持数据重建优先级调整，在故障数据重新恢复时，可由用户指定优先重建的虚拟机，保证重要的业务优先恢复数据的安全性。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支持坏道扫描功能，由用户设置扫描的时间段定期对集群的硬盘进行扫描，及时发现潜藏的坏道。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支持存储分卷功能，支持以磁盘为单位，根据业务需求划分为不同的存储卷，如高性能卷，大容量卷，全闪存卷等，可使对存储性能和容量要求不同的业务运行在不同的存储卷上。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为了便于部署oracle等关键业务系统，虚拟存储可支持Oracle RAC，支持共享盘，及共享块设备，支持向导式安装，降低部署复杂度。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提供数据持续保护模块，为保证数据持续保护与超融合平台的统一管理和兼容性（如果所投超融合平台没有以上数据持续保护模块可使用第三软件来完成，要求数据持续保护系统满足以下技术要求：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1、支持在CDP数据正式恢复之前，可快速查看灾备的文件目录信息，确定恢复时间点后，再正式进行CDP数据恢复。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2、持续数据保护CDP软件模块，能够动态的开启和关闭，比如能够提供对正在运行的虚拟机，在不需要重启或中断业务的情况下，就可以开启CDP。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3、CDP提供与虚拟机故障隔离能力，支持CDP模块故障时，虚拟机仍然能够正常实现数据读写。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4、本项目提供不少于20个虚拟机的持续数据保护CDP授权。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厂商软件开发必须通过CMMI5级认证；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云平台厂商需连续两年入围Gartner《超融合基础设施软件魔力象限》</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4"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容灾备份软件</w:t>
            </w:r>
          </w:p>
        </w:tc>
        <w:tc>
          <w:tcPr>
            <w:tcW w:w="64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容灾模块 15台服务器实现9+6容灾，即9台服务器组建主平台，6台服务器组建灾备平台。开通容灾主模块后，默认送20台虚拟机的容灾授权。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容灾软件模块需采用无代理的方案，以简化部署和运维，并避免虚拟机安装代理软件后对稳定性和性能产生影响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支持提供RPO可配置的虚拟机级容灾，RPO值范围从1秒到2秒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为提高数据传输效率、减少对带宽的消耗，灾备软件需要支持压缩传输功能，对同步到备站点的数据先压缩再进行传输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当主站点恢复正常后，容灾软件支持一键回迁功能，并可根据业务需求回迁全量数据或增量数据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支持容灾状态可视化和状态监控，提供容灾大屏进行容灾计划的实时状态监控，并支持根据中断时长和重试次数设置链路告警策略，保障容灾计划的正常进行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支持对异地容灾的备份文件设置自动清理策略，按照不同时间周期保留备份文件，满足容灾需求的同时最大化降低存储空间，当资源紧张情况下减少资源开销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种子文件功能，用户可以在主站点使用种子文件功能将需要容灾的云主机备份制作成种子文件存放到外置存储（U盘，移动硬盘）中，使用物理方式将存储介质运输到灾备数据中心，然后导入主站点云主机的种子文件，以此来提到容灾首次数据同步的速度，降低对带宽的要求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本次配置同品牌原生延伸集群存储双活软件，配置xx个虚拟机授权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支持通过延伸集群的方式实现跨数据中心的数据双活，每个数据中心均保存完整的数据副本，数据同时写入到两个数据中心，任何一个数据中心故障，数据零丢失，业务分钟级别恢复，实现RPO=0、RTO分钟级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支持对Oracle RAC实现跨数据中心的业务双活，RAC节点在数据中心互斥运行，其中一个数据中心故障后，数据零丢失，业务零中断或短暂中断，实现RPO=0，RTO接近于0</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4"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业务存储交换机</w:t>
            </w:r>
          </w:p>
        </w:tc>
        <w:tc>
          <w:tcPr>
            <w:tcW w:w="64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端口配置不低于：12个万兆光口，12个千兆电口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交换性能不低于：1.28Tbps；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包转发率不低于：480Mpps。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提供3年硬件质保；</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为实现智能化管理，要求交换机可根据需要支持智能交换机和普通交换机两种工作模式，两种模式可在控制器平台灵活的进行切换。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支持基于交换机单端口、聚合口的ACL策略；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流量整形：支持基于换机端口出方向和入方向进行报文转发速率设置；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支持流量端口镜像及重定向功能；</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5、排队叫号系统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1"/>
        <w:gridCol w:w="2083"/>
        <w:gridCol w:w="640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3"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4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64"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门诊排队导诊软件</w:t>
            </w:r>
          </w:p>
        </w:tc>
        <w:tc>
          <w:tcPr>
            <w:tcW w:w="6400" w:type="dxa"/>
            <w:shd w:val="clear" w:color="auto" w:fill="auto"/>
            <w:tcMar>
              <w:top w:w="12" w:type="dxa"/>
              <w:left w:w="12" w:type="dxa"/>
              <w:right w:w="12" w:type="dxa"/>
            </w:tcMar>
            <w:vAlign w:val="center"/>
          </w:tcPr>
          <w:p>
            <w:pPr>
              <w:jc w:val="both"/>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◾软件安装电脑（电脑自备），含一个对讲器；</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◾用于管理本诊区的患者队列，可与诊室互通，可语音广播，签到排队，患者转诊等；</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分诊台话筒</w:t>
            </w:r>
          </w:p>
        </w:tc>
        <w:tc>
          <w:tcPr>
            <w:tcW w:w="6400" w:type="dxa"/>
            <w:shd w:val="clear" w:color="auto" w:fill="auto"/>
            <w:tcMar>
              <w:top w:w="12" w:type="dxa"/>
              <w:left w:w="12" w:type="dxa"/>
              <w:right w:w="12" w:type="dxa"/>
            </w:tcMar>
            <w:vAlign w:val="center"/>
          </w:tcPr>
          <w:p>
            <w:pPr>
              <w:jc w:val="both"/>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◾配合门诊排队导诊软件V5.0.0使用；</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◾可与诊室叫号软件相互呼叫并通话；</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医生叫号对讲软件</w:t>
            </w:r>
          </w:p>
        </w:tc>
        <w:tc>
          <w:tcPr>
            <w:tcW w:w="6400" w:type="dxa"/>
            <w:shd w:val="clear" w:color="auto" w:fill="auto"/>
            <w:tcMar>
              <w:top w:w="12" w:type="dxa"/>
              <w:left w:w="12" w:type="dxa"/>
              <w:right w:w="12" w:type="dxa"/>
            </w:tcMar>
            <w:vAlign w:val="center"/>
          </w:tcPr>
          <w:p>
            <w:pPr>
              <w:jc w:val="both"/>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◾由客户端软件和对讲器组成；</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◾可呼叫对讲，可按顺序呼叫和指定患者呼叫等；</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诊室话筒</w:t>
            </w:r>
          </w:p>
        </w:tc>
        <w:tc>
          <w:tcPr>
            <w:tcW w:w="6400" w:type="dxa"/>
            <w:shd w:val="clear" w:color="auto" w:fill="auto"/>
            <w:tcMar>
              <w:top w:w="12" w:type="dxa"/>
              <w:left w:w="12" w:type="dxa"/>
              <w:right w:w="12" w:type="dxa"/>
            </w:tcMar>
            <w:vAlign w:val="center"/>
          </w:tcPr>
          <w:p>
            <w:pPr>
              <w:jc w:val="both"/>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◾配合医生叫号对讲软件V5.0.0使用，用于叫号；</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语音播报软件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◾软件安装在信息交互服务器软件中中；</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◾可语音合成播报叫号信息；</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信息交互服务器软件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◾设备管理、音视频代理、数据交互等。</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机架式服务器</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总设备数：500台以内</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处理器：至强Xeon 单颗CPU 8核16线程或更高</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内存：16G 及以上</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硬盘：2*1TB以上SAS或SATA企业级硬盘、磁盘阵列</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操作系统：CentOS 7.0及以上 64位</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门诊排队管理软件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◾安装在信息交互服务器软件中，统一管理各诊区的排队信息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◾支持对科室及诊室分区管理，可实现一个诊区可管理多个科室和诊室</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◾支持对不同的诊区设置不同的排队规则，显示屏界面效果、叫号播报内容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◾支持二级分诊叫号模式，候诊区可呼叫多名患者到诊室门口等候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◾支持过号与当日回诊患者签到后自动进入医生队列，实现与初诊患者交替叫号</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◾支持划屏显示或定时切换信息发布、健康宣教等内容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◾支持对不同的诊区设置不同的叫号屏显显示内容，可隐藏患者全名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◾支持对系统内的显示屏设备设置多时段得定时开关机任务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◾支持统计患者大约等待时间、就诊人数增长趋势、患者等候时长、科室患者占比、挂号类别占比、通话及报警次数等信息，可生成图表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医技排队管理软件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◾安装在信息交互服务器软件中，统一管理各检查区的排队信息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◾支持对一级科室及检查室分区管理，可实现一个诊区可管理多个医技科室和检查室</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◾支持对不同的检查区设置不同的排队规则，显示屏界面效果、叫号播报内容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◾支持划屏显示或定时切换信息发布、健康宣教等内容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◾支持对不同的诊区设置不同的叫号屏显显示内容，可隐藏患者全名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◾支持对系统内的显示屏设备设置多时段得定时开关机任务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◾支持统计患者大约等待时间、检查人数增长趋势、患者等候时长、通话及报警次数等信息，可生成图表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抽血排队管理软件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◾安装在信息交互服务器软件中，统一管理各采血区的排队信息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◾支持对不同的抽血设置不同的排队规则，显示屏界面效果、叫号播报内容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◾支持一个抽血区设置多个报到机，患者可在报到机上签到后进入抽血队列；</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◾支持划屏显示或定时切换信息发布、健康宣教等内容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◾支持对不同的诊区设置不同的叫号屏显显示内容，可隐藏患者全名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◾支持对系统内的显示屏设备设置多时段得定时开关机任务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◾支持统计患者大约等待时间、人数增长趋势、患者等候时长，可生成图表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取药排队管理软件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◾安装在信息交互服务器软件中，统一管理个药房的排队信息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◾支持对不同的取药设置显示屏界面效果、叫号播报内容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◾支持免签到取药，患者交费后自动进入队列；</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◾支持划屏显示或定时切换信息发布、健康宣教等内容</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 xml:space="preserve">◾支持对不同的诊区设置不同的叫号屏显显示内容，可隐藏患者全名 </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◾支持对系统内的显示屏设备设置多时段得定时开关机任务</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◾支持统计患者大约等待时间、检查人数增长趋势、患者等候时长，可生成图表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自助签到机</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◾采用22英寸高清液晶显示屏，触摸式操作，金属烤漆机身；</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◾安装在候诊区，用于患者自助签到。可刷卡，扫码或手动录入签到；</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液晶一体机（15.6英寸高清液晶显示屏）</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◾嵌入式安装，采用15.6英寸液晶显示屏，可作为诊室显示屏使用；</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◾有信息显示，语音播报，远程控制等功能，可选购电源箱、POE模块、电源适配器供电；</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多媒体控制盒</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◾含HDMI*1、RJ45网口*1、音频输出口*1；</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◾支持数据交互；</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◾支持远程升级；</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15</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功放</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◾推荐先科、索爱、赛扬等品牌；</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◾功放参数无特殊要求，功率70w左右即可</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16</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吸顶式喇叭</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◾推荐先科、索爱、赛扬等品牌</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◾功率：3W/6W</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17</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CAT5E屏蔽线</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主要用于水平工作区布线，需抵抗电子干扰、信息保密场所，端接模块与配线架，通常用于百兆网络传输。</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18</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三层交换机（24口全千兆）24个10/100/1000Base-T接口，4个千兆SFP</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19</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两芯音频线</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RVV2X1.0,用于连接功放及喇叭</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20</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多媒体医疗导引系统平台软件(需要接口）</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1）具有联网和远程控制功能，支持跨路由控制，对终端可以远程管理和维护。支持局域网，分管理端和播放端，系统采用B/S架构。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2）操作在管理端进行，管理端可以是局域网上的任意多台计算机。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3）支持手动维护医生信息，可上传医生照片、职称、业务擅长以及排班信息的自动同步和管理；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4）系统应能够与HIS、PACS、LIS等信息系统进行数据交互，支持按照序号或签到顺序自动生成排队队列；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5）系统可根据各个科室的就诊流程，灵活配置叫号机制，适应各种队列排序方式、各种呼叫模式、各种显示样式、各种语音效果。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6）系统应支持候诊区一级分诊以及诊室门口二级分诊或特殊科室需要的多级分诊模式，候诊区叫号将多名患者呼叫到诊室门口等候，诊室门口叫号将患者逐一呼叫至诊室就诊；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7）要求候诊区域一级分诊屏、医生所在诊室门口的二级分诊屏显示各自对应的叫号信息，并实现对应的叫号语音同步播报；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要求呼叫信息可通过微信推送给患者，提醒患者做好就诊准备，推送信息应包括患者姓名、候诊科室、专家姓名、诊室位置等；同时患者可通过微信进行查询，查看所排队列进程，等候人数及预计等候时长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9）系统须支持支持全自动形成队列、人工报到形成队列（患者自助报到、护士操作报到）以及自动及人工混合报到三种模式；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10）护士站电脑安装护士工作站管理软件，能够实现在其管控区域内对患者的就诊状态检索、排队队列管理以及预约等操作；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11）医生电脑安装医生工作站管理软件，能够根据需求实现顺序叫号或选择叫号功能；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12）投标人需提供投标产品导医系统平台软件的软件著作权证书复印件。</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21</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多媒体信息发布平台</w:t>
            </w:r>
          </w:p>
        </w:tc>
        <w:tc>
          <w:tcPr>
            <w:tcW w:w="6400" w:type="dxa"/>
            <w:shd w:val="clear" w:color="auto" w:fill="auto"/>
            <w:tcMar>
              <w:top w:w="12" w:type="dxa"/>
              <w:left w:w="12" w:type="dxa"/>
              <w:right w:w="12" w:type="dxa"/>
            </w:tcMar>
            <w:vAlign w:val="center"/>
          </w:tcPr>
          <w:p>
            <w:pPr>
              <w:spacing w:after="22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2.1.系统总体技术需求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1.系统应采用B/S架构，任意在线管理人员均可通过IE登录系统后台，对系统信息管理及维护；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2.系统登录应具有安全设计，三次输入错误密码，该用户名锁定一段时间，不能进一步操作；登录后，一段时间内没有操作，即退出。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3.能够在同一平台下实现信息发布、排队叫号各个功能模块和统一管理，也可以独立运行；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4.系统应能够与HIS、PACS、LIS等信息系统进行数据交互，支持各个系统的数据调用；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5.系统软件可将视/音频图片、文字等多媒体素材发送到各显示屏上，能够实现各种素材的同屏、混合播放；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6.系统支持对有线电视节目、自办节目、网络流媒体等节目源的管理和发布功能；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7.系统设计具备多重安全访问与数据备份机制，保证系统运行的安全与稳定；</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8.系统配套的显示设备须采用液晶显示器与网络播放设备应采用一体化设计，要求安装实施简单，维护方便；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9.系统要求能将LED单、双基色屏、全彩屏等显示设备并入系统平台统一管理。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10.系统软件及硬件属于同一厂家提供，确保系统的兼容性、稳定性。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11.投标人需提供投标产品信息发布系统软件的软件著作权证书复印件。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2.2.系统软件技术要求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播放功能要求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1）系统具备素材管理功能，可播放各种格式的视频、音频、图片、网页、RSS、天气、FLASH，并需要支持WORD、POWERPOINT等OFFICE软件的直接导入。支持同时叠加多个元素同时播放。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2）系统要求可添加文本、时钟、天气预报、网络数据源、电视频道、直播频道、网页等素材进行发布。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3）立体声、双道，支持MP3,AC3,PCM,WMA等格式，系统音频文件播放可以隐藏任务方式编排和播放，不影响可见窗口的媒体播放，即可播放背景音乐。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4）图像明亮清晰，不受显示屏尺寸大小限制可满屏播放，视频播放连续，无动画和马赛克，画面流畅。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5）每个液晶屏幕上可以播放不同的节目，每个液晶屏幕上可以自由分割出多画面同时播放，支持各种高清播放格式文件。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发布和播放要求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1）可以指定空闲时间发布，宽带占用率低，不会影响正常的网络办公。在网络断开或服务器瘫痪的条件下，不影响显示端的正常播放。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2）可通过制定、编辑节目播放列表，网络管理播放顺序。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3）播放列表设定多个媒体内容的播放时间次序。可定时播放、指定时间播放、随时插播，可以对发布时间（开始，持续，结束）、发布顺序等进行编制和定义管理。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显示屏幕划分成多个区域，每个区域可根据我院需求播放不同的多媒体节目，可设置不同大小。我院可以利用系统中提供的固定模版，也可以通过系统的模版制作模块，自己任意拖拉制作新的分割画面模版。可预定所有区域的播放日期和时间，也可对每个区域设定一个独立的播放时间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5）系统提供多种不同的屏幕划分显示模版供选择，同时还可以自己编辑新的布局模版，这些布局可以作为模板，在节目编排时使用。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6）具有紧急信息和临时信息的插入播放功能，紧急信息或临时播放完毕能够自动切换到原播放节目。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7）可以在主控端控制和调节各个显示终端的声音大小。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管理控制软件技术要求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1）系统要求支持一机多用的设置，根据我院要求，随时改变其功能，点播、直播、信息发布功能随意切换，一屏多用，节省资源。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2）支持各种多媒体档案格式，包含： MPEG-2, AVI, RMVB、WMV、DAT、 JPEG、 BMP、TXT、MP3等；支持网络上流行的各类格式，如RMVB、FLV；并能够很好的兼容后续的新的媒体格式；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3）系统支持各类素材的分类管理，格式转换灵活，可对素材进行预览；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4）支持提供常规节目模板库；管理员可自行设计制作模板，或在模板基础上进行定制修改形成新的模板，可以保存、复用；可以导入导出节目模板；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5）备份管理：系统可手动、自动对数据库进行备份，手动还原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6）可以简单而轻松地编辑和自动生成播放列表；一个节目可以排在一个时段、或连续多个时段播出，或全天播出同一节目。节目表一次可设定31天的播放内容；</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将制作好的节目发送到指定的单个播放端或某个播放组，可设定节目下载时间，实现立即传输、定时传输或周期传输，支持大文件素材的断点续传功能；脱机发布方式：服务器端节目制作完成可导出至U盘，通过 U盘自动导入节目到媒体播放机里播放；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多种播出方式：自动播出、定时播出、即时插播、多时段播出等。即时插播，将插播的内容设定完成，立即派送到指定的单个或多个客户端，系统将插播节目规划及多媒体内容下载到各个指定的客户端，并纪录传送结果；客户端成功接收后立即播放插播节目，插播节目结束后恢复执行原来的节目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9）对所有显示终端设备进行有效的管理，需要支持终端名称管理、设备查询、设备分组、设备转组、设备类型管理、业务属性管理等；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系统的操作员均有唯一的操作员ID、操作密码。用户安全策略由用户认证系统统一设置，每个操作员的操作等级及权限设置应至少包括允许操作的单台设备或者设备组、允许操作的功能，用户之间可以相互屏蔽各自的资源和频道等。用户认证系统具备操作员ID号的创建、删除、分配和修改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11）对系统的用户及用户组、发布点及发布组、多级管理等功能进行权限的设置，以方便系统的管理及维护。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12）播出单审核功能：系统具备播出单审核与预览功能，操作员编辑后的播出单，需要通过对应的审核员进行审核，审核后的播出单才能进行发布，审核部通过的进行打回，通过站内消息通知操作员。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媒体发布终端具备一定的存储能力，可支持本地离线的发布，保证遇紧急情况时，所有显示屏都可正常播出本地节目。在正常网络播放过程中，由于意外状况导致网络中断，媒体发布终端会自动切换至本地的默认应急节目程序，待网络恢复正常后，系统会自动切换到网络程序断点续播。对于离线播放终端：终端在工作时间一直处于播放状态，它采取边下载边播放的模式。只有新任务下载成功，才会执行新的播放任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14）实时查看各终端的网络联机状态监控其运行情况，提供播放日志，管理人员可以直接浏览、查询和导出。日志文件的数据包括播放文件的时间信息、文件下载时间、开关机时间等等；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支持远程设置终端的定时播放/音量/重启功能，当终端出现异常情况，系统可远程重启终端播放器，使之恢复正常。支持远程升级，可通过网络进行智能软件升级，无需到现场进行操作；可对所有终端实施分组管理模式，同一组的终端可以进行统一设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16）支持对用户登陆、系统变更、系统出错等重要信息和节目发布时间、接收时间等任务日志进行记录；支持日志信息导出，方便存档。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LED大屏幕管理要求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1）系统要求能将LED单、双基色屏、全彩屏等显示设备并入系统平台统一管理。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2）系统软件要求具有单独的管理模块对LED大屏进行设备的管理、发布模板管理、播出单的管理、监控管理等。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3）系统对设备的管理要求至少包括设备的添加、修改、删除，并可对设备的名称、IP、MAC、分辨率、显示字体、字号进行设置。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4）系统对发布模板的管理要求至少包括模板名称、模板分辨率、宽度、高度、边距等进行设置。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5）系统对播出单的管理要求至少包括播出单名称、播出单描述、屏幕的分类、任务分类、模板选择、播出开始日期、播出结束日期、播出开始时间、播出结束时间、播放规则等。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6）系统对监控管理要求至少包括设备的亮度设置、设备开关机设置，要求可监控到设备IP、MAC、亮度值、终端状态等。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终端设备管理系统软件技术要求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1）要求各个尺寸一体机或其它规格终端设备上具有终端设备管理软件。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2）要求系统具备设备安全能力，可防止病毒攻击、防止内容非法下载、防止网络盗链。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3）要求支持设备自动安全检测，支持自动内核更新等功能。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4）投标人需提供投标产品终端设备管理系统软件的软件著作权证书复印件。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数据调用管理系统软件技术要求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1）可根据实际项目具体需求，对医院HIS系统厂商开放供货方数据库，允许合作方对数据库直接操作。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2）可提供同等规模同类项目系统接口范例；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3）支持数据库视图、中间表、Web service、SOCKET、DLL调用、webapi等多方式实现与HIS系统及其他信息系统的数据交换；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4）投标人需提供投标产品数据调用系统软件的软件著作权证书复印件。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监控要求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1）管理端实时监测各个播放端的系统运行情况和任务播放情况，可以对各个播放端进行接管控制，抓屏查看播放端播放内容；可以根据区域进行设备分组，通过分组进行查看组别内全部设备当时播放画面。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2）远程指令和操作：管理端可通过网络控制播放端及显示设备进行定时和随时的远程开机、关机、重启、开关屏、查看下载情况、开关机时间设置、开关屏时间设置等操作。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3）管理员可按周、按月、按年预设开关机时间规则，适应不同区域的多重规则的问、停诊时间。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网络架构要求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1）具有联网和远程控制功能，支持跨路由控制，对终端可以远程管理和维护。支持局域网，分管理端和播放端，系统采用B/S架构。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2）信息发布操作在管理端进行，管理端可以是局域网上的任意多台计算机。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健康宣教点播系统软件技术要求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1）为弘扬卫生健康科学精神，普及健康科学知识，为营造我院“健康知识科普”氛围，本次招标拟在门诊区域建设健康知识宣教点播系统。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2）要求患者及其家属使用移动设备（例如：手机、PAD）可通过本次招标中的任一终端设备进入健康宣教点播平台，选择收看健教节目。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3）投标人应充分利用集中候诊区候诊屏幕、诊室门口屏、信息发布屏幕等空间，架设视频点播入口，让患者及其配合人员在各个等候区域，均可开启健康宣教点播平台。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4）健康宣教点播平台，须可设置我院名称、院标、形象宣传页等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5）健康宣教点播平台，须按照细分科室进行划分，患者可根据科室进行筛选；须具备搜索功能，患者可通过病症名称进行检索。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6）健康宣教文件播放器应具备全屏/缩小，声音开启/静音，播放进度、播放时间/剩余时间，快进/快退等操控，操作直观易用。</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22</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门诊导医系统模块</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1）系统可根据诊间环境大小及特点设定诊间外等候人数，要求可针对每一个诊位进行等候人数的个性化设定，满足每一个诊室的实际使用情况；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须支持多种类型队列的优先级设定，以及不同类型患者间隔呼叫规则的设定，系统设计应至少满足初诊、优先、过号、回诊、复诊、预约、转诊、预约迟到等多种状态下患者的间隔呼叫的设定，同时也要求具备自定义添加患者类型，设定方式应灵活简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3）系统须支持支持全自动形成队列、人工报到形成队列（患者自助报到、护士操作报到）以及自动及人工混合报到三种模式；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4）支持一对多（单个医生看诊多个队列）和多对一（多个医生看诊同一个队列）叫号模式；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5）支持一诊室一医生、一诊室多医生的排队叫号模式；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6）支持患者刷卡/扫描签到排队模式；支持非签到自动排队模式；支持自助取号排队模式；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7）支持当日挂号与预约患者混合排队模式，预约患者在预约时段内优先就诊。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8）早间高峰期患者突增情况下，分诊台软件须支持自动报到和手动批量报到机制；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9）中午午休时间，系统可自动切换到信息发布显示，叫号屏播放医院自己的宣教片。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10）投标人需提供投标产品门诊导医系统软件的软件著作权证书复印件。</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23</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医技导医系统模块</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1）系统可根据诊间环境大小及特点设定诊间外等候人数，要求可针对每一个诊位进行等候人数的个性化设定，满足每一个诊室的实际使用情况；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须支持多种类型队列的优先级设定，以及不同类型患者间隔呼叫规则的设定，系统设计应至少满足初诊、优先、过号、回诊、复诊、预约、转诊、预约迟到等多种状态下患者的间隔呼叫的设定，同时也要求具备自定义添加患者类型，设定方式应灵活简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3）系统须支持支持全自动形成队列、人工报到形成队列（患者自助报到、护士操作报到）以及自动及人工混合报到三种模式；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4）支持护士操作预约和患者自助预约两种模式，预约平台要求操作简便，易学易用；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5）护士可为患者进行单次、多次预约，修改预约和取消预约等操作；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6）可预约至精确的时间段内，时间跨度可灵活设置，最小时间跨度不大于0.5小时；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7）一天内单一检查项预约人数超出预警人数时，系统应有明显提示；单一检查项下的峰值可预设，也可以根据实际情况临时调整峰值。</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8）预约完成后，患者可获得预约单，预约单上要求有患者姓名、年龄、检查项、预约日期、预约时间段、注意事项等。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9）住院病人、预约患者在预约时段内，需采用优先原则；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10）在患者有多个检查项的情况下，当其被一检查项呼叫到时，其他检查项状态为挂起装状态，待该患者完成当前检查后，其他检查项方可呼叫。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11）在患者不具备检查条件时，护士工作站软件可设置为挂起状态，待具备检查条件时，方可呼叫。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12）部分无医生工作站检查室应支持物理呼叫设备。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13）中午午休时间，系统可自动切换到信息发布显示，叫号屏播放医院自己的宣教片。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14）投标人需提供投标产品医技科室导医系统软件的软件著作权证书复印件。</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24</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检验导医系统模块</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1）系统须支持全自动形成队列、人工报到形成队列（患者自助报到、护士操作报到）以及自动及人工混合报到三种模式；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2）在患者进行报到后，自动进入采血排队队列。采血窗口按照患者报到的顺序进行叫号，窗口屏幕语音呼叫并显示患者信息。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3）检验窗口可按业务划分，例如：静脉血窗口、末梢血窗口，成人采血窗口、儿童采血窗口等。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4）患者排队顺序以报到时间或者取号时间为准，支持过号患者优先机制。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5）支持特殊患者多次采血呼叫，例如第一次采血完毕，在可设定时间后可再次进入队列并优先。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6）部分无医生工作站采血窗口应支持物理呼叫设备。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7）中午午休时间，系统可自动切换到信息发布显示，叫号屏播放医院自己的宣教片。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8）投标人需提供投标产品 检验科室导医系统软件的软件著作权证书复印件。1）系统须支持全自动形成队列、人工报到形成队列（患者自助报到、护士操作报到）以及自动及人工混合报到三种模式；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2）在患者进行报到后，自动进入采血排队队列。采血窗口按照患者报到的顺序进行叫号，窗口屏幕语音呼叫并显示患者信息。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3）检验窗口可按业务划分，例如：静脉血窗口、末梢血窗口，成人采血窗口、儿童采血窗口等。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4）患者排队顺序以报到时间或者取号时间为准，支持过号患者优先机制。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5）支持特殊患者多次采血呼叫，例如第一次采血完毕，在可设定时间后可再次进入队列并优先。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6）部分无医生工作站采血窗口应支持物理呼叫设备。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7）中午午休时间，系统可自动切换到信息发布显示，叫号屏播放医院自己的宣教片。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8）投标人需提供投标产品 检验科室导医系统软件的软件著作权证书复印件。</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25</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药房导医系统模块</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1）支持患者缴费后未分和预分窗口两种模式。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2）支持取药患者报到机制，避免出现配药发药后无人领取的现象。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3）支持取药患者报到后自动分配窗口功能，明确指示患者在分配窗口等候。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4）支持扫描患者药单即呼叫患者取药。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5）支持重复呼叫。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6）取药窗口屏显示全部已呼叫患者信息，提高我院发药效率。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7）要求药房排队叫号系统具有实际的可扩展性，可与药房摆药系统进行无缝连接。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8）投标人需提供投标产品 药房导医系统软件的软件著作权证书复印件。1）支持患者缴费后未分和预分窗口两种模式。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2）支持取药患者报到机制，避免出现配药发药后无人领取的现象。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3）支持取药患者报到后自动分配窗口功能，明确指示患者在分配窗口等候。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4）支持扫描患者药单即呼叫患者取药。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5）支持重复呼叫。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6）取药窗口屏显示全部已呼叫患者信息，提高我院发药效率。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7）要求药房排队叫号系统具有实际的可扩展性，可与药房摆药系统进行无缝连接。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8）投标人需提供投标产品 药房导医系统软件的软件著作权证书复印件。</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26</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自助报到设备软件技术要求</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1）要求支持患者通过自助报到机进行签到，报到机可通过条形码扫描、就诊卡读取、医保卡读取等方式相结合识别患者信息；支持手工输入住院号进行报到。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2）系统要求在患者报到时，能够显示排队信息以及当前等候的总人数、预计等候时长。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3）要求支持回诊患者、隔天复诊患者报到后，系统将其自动分配到原看诊医生的队列中。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4）系统须可自定义设置初诊、回诊、复诊、预约、过号患者之间的优先级。支持回诊、复诊、过号患者再次报到，进入排队队列。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5）要求体检科室自助报到设备可显示未检项目及排队信息。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6）要求可支持患者要排多项队列时，报到机软件具有一次签到或选择签到功能；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7）要求系统支持患者可自主选择当前出诊医生排队签到；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8）系统支持按需求打印排队信息凭条。1）要求支持患者通过自助报到机进行签到，报到机可通过条形码扫描、就诊卡读取、医保卡读取等方式相结合识别患者信息；支持手工输入住院号进行报到。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2）系统要求在患者报到时，能够显示排队信息以及当前等候的总人数、预计等候时长。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3）要求支持回诊患者、隔天复诊患者报到后，系统将其自动分配到原看诊医生的队列中。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4）系统须可自定义设置初诊、回诊、复诊、预约、过号患者之间的优先级。支持回诊、复诊、过号患者再次报到，进入排队队列。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5）要求体检科室自助报到设备可显示未检项目及排队信息。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6）要求可支持患者要排多项队列时，报到机软件具有一次签到或选择签到功能；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7）要求系统支持患者可自主选择当前出诊医生排队签到；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8）系统支持按需求打印排队信息凭条。1）要求支持患者通过自助报到机进行签到，报到机可通过条形码扫描、就诊卡读取、医保卡读取等方式相结合识别患者信息；支持手工输入住院号进行报到。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2）系统要求在患者报到时，能够显示排队信息以及当前等候的总人数、预计等候时长。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3）要求支持回诊患者、隔天复诊患者报到后，系统将其自动分配到原看诊医生的队列中。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4）系统须可自定义设置初诊、回诊、复诊、预约、过号患者之间的优先级。支持回诊、复诊、过号患者再次报到，进入排队队列。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5）要求体检科室自助报到设备可显示未检项目及排队信息。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6）要求可支持患者要排多项队列时，报到机软件具有一次签到或选择签到功能；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7）要求系统支持患者可自主选择当前出诊医生排队签到；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8）系统支持按需求打印排队信息凭条。</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27</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医生工作站虚拟叫号软件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1）支持医生ID号登录；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2）要求医生工作站管理软件样式可由医生自主选择，满足医生对软件字体大小的个性化需求。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3）支持顺序呼叫、选择呼叫、扫描呼叫等三种呼叫方式；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4）支持叫号、重呼、选呼三种呼叫方式；支持过号（呼叫未到）、诊结两种结束状态；支持暂离、停诊等状态切换；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5）支持叫号、重呼、过号、诊结、停诊功能；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6）支持过号（呼叫未到）患者按规则自动重排，并可在后台统一设定诊区过号自动重排的次数；支持可选择呼叫过号患者就诊功能。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7）医生同时出诊多队列时,可自行设定多队列的呼叫策略；例如：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同时出诊心内科、呼吸内科，可自动轮流呼叫；</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同时出诊专科号、普通号，可先呼叫专科号，若专科号无患者时，自动呼叫普通号；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8）支持功能按钮快捷键方式，可自定义设置快捷键；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9）支持无等候患者状态下，新患者签到提醒；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10）支持悬浮窗及自动停靠；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11）同一患者排多个队列，被呼叫时其他队列自动挂起，诊结后自动恢复等候状态。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12）可显示当前呼叫患者检查项目；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13）门诊科室可根据需求设置温馨提示，要求系统可按照时间点设定提示内容，例如：“请您注意休息”、“请休息一分钟”等，并可在医生工作站软件弹出。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14）支持一键报警功能，可在分诊台、警卫室等指定区域响应。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15）要求支持预检叫号功能，支持患者先通过预检叫号后，再可被医生呼叫至诊室就诊。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16）可开放叫号器功能接口，允许第三方系统调用；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17）投标人需提供投标产品医生工作站管理系统软件的软件著作权证书复印件。</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28</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分诊台管理软件</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1）要求系统具有分诊台属性设定功能，可以针对不同科室分诊台设定，例如体检科室、发热门诊、医技科室设定分诊的类型、叫号模式、数据留存时长、隔天复诊天数等，以满足不同诊区的不同使用需求。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3）要求支持查看当前诊区的每个队列叫号情况（如：排队队列名称、候诊人数、已就诊人数、未到过号人数、当前队列最后一次呼叫的患者姓名、排队序号、呼叫医生或诊位、叫号时间等）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4）要求系统支持查看患者状态、不同状态患者列表、通过姓名查找功能。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5）支持同步HIS系统中医生排班数据，并支持临时手动调整功能；支持编辑周期内医生排班功能，并支持对医生每天出诊情况进行手动调整；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预约功能，可按照未来某一天某个时段对患者进行预约，有效分散患者就诊时间；具备预约时段管理，时段跨度可根据我院情况进行调整；具备预约人数管理，要求时段内预约人数峰值可以自由设定；具备预警功能，当时段内预约人数临近或超出设定峰值，系统要有提醒功能，通过警示色或者拒绝预约等方式提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7）可以查看某检查项的排队信息，包含剩余号量、等候人数、过号人数、预约未报到人数，以及患者的排队检查信息。同时可以为患者做“优先”、“暂停”、“调号”等操作。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8）支持刷卡、扫描条码、手工录入等多种方式进行初诊患者签到、回诊患者二次签到、过号患者再报到、隔天复诊患者报到、患者状态查询、患者排序调号、患者预约等；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9）早间高峰期患者突增情况下，分诊台软件须支持自动报到和手动批量报到机制，避免患者拥堵分诊台签到，降低排队护士工作量；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10）在普通号情况下，分诊台系统须支持将患者手动分配至指定医生或诊室下排队候诊；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系统须支持对“特殊”患者进行标识，并对此类患者进行优先就诊操作，例如老、幼、军人、离休等患者可优先就诊，同时叫号屏幕可显示此类患者标识，如“军”、“幼”等，并用其他颜色以示区别，打消其他患者疑虑。</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12）支持同一诊区下转诊功能，可将患者从一个队列转到另一个队列排队；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患者在一个诊区有多个检查项时，系统须支持一次报到操作即进入多个检查项队列的功能，要求具备一个检查项呼叫患者，其他检查项自动暂停对该名患者进行呼叫，当患者其中一个检查项诊结完毕时，其他未检项再对患者进行呼叫，避免过号产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系统须支持延迟呼叫，例如在检查、检验科室，当患者暂时不满足检查、检验条件时，护士可对患者进行延迟就诊操作，延迟时长可自定义，时间截止时，自动取消患者延迟状态，也可以通过护士手动取消患者延迟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15）系统须具备优先分诊、取消分诊、延迟分诊、转诊、挂起等功能。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16）支持回诊患者、隔天复诊患者签到再次进入队列功能，同时可根据需求设置复诊插队策略，例如：优先插队、间隔插队；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17）支持绿色通道（弃号）功能，可不经叫号直接就诊；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18）支持过号患者签到再次进入队列功能，同时可根据需求设置过号患者优先就诊，延后就诊，延后就诊可设置延后位数；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19）要求系统支持广播功能，分诊台可向候诊区广播语音、文本信息，护士可输入广播内容文字，选择对应的播放设备进行广播，要求广播可选择重播及多时段播放。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20）要求系统支持接收消息信息，要求可接收来自医生的求援信息，以及分诊台下自助服务终端设备的缺纸、卡纸信息等。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21）要求系统支持记录护士的每一步操作信息，要求可通过时间、患者进行操作记录的查询，做到分诊台操作详情可追溯；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22）软件支持密码登录功能，防止其他人员误操作。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23）要求护士工作站管理软件支持移动设备，护士可通过移动设备扫描患者挂号凭条，通过移动端对患者进行分诊、过号、复诊处理，并可查询该分诊台下的队列信息、等候人数、过号人数等。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24）投标人需提供投标产品护士工作站管理系统软件的软件著作权证书复印件。</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29</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语音平台</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 系统应具备按照不同诊区播放不同呼叫信息；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 语音播报软件应具备全语音库的语音呼叫功能，支持文本内容(中、英文、数字）自动语音合成与播报，排队叫号信息可自动合成为语音信息播放；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 可设定语音（男、女声）、语速、音调；例如：请王俪（患者姓名）到第五诊室（诊室信息）就诊。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 语音默认要求为女声普通话，且语音清晰、流畅、无噪音、声音感受效果良好。</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40</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显示端授权</w:t>
            </w:r>
          </w:p>
        </w:tc>
        <w:tc>
          <w:tcPr>
            <w:tcW w:w="640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硬件设备授权防止内容篡改盗播、病毒攻击。</w:t>
            </w:r>
          </w:p>
        </w:tc>
        <w:tc>
          <w:tcPr>
            <w:tcW w:w="6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ascii="Tahoma" w:hAnsi="黑体" w:eastAsia="黑体" w:cs="Tahoma"/>
          <w:b/>
          <w:color w:val="000000" w:themeColor="text1"/>
          <w:szCs w:val="21"/>
          <w:highlight w:val="none"/>
          <w14:textFill>
            <w14:solidFill>
              <w14:schemeClr w14:val="tx1"/>
            </w14:solidFill>
          </w14:textFill>
        </w:rPr>
      </w:pPr>
    </w:p>
    <w:p>
      <w:pPr>
        <w:pStyle w:val="2"/>
        <w:rPr>
          <w:rFonts w:ascii="Tahoma" w:hAnsi="黑体" w:eastAsia="黑体" w:cs="Tahoma"/>
          <w:b/>
          <w:color w:val="000000" w:themeColor="text1"/>
          <w:szCs w:val="21"/>
          <w:highlight w:val="none"/>
          <w14:textFill>
            <w14:solidFill>
              <w14:schemeClr w14:val="tx1"/>
            </w14:solidFill>
          </w14:textFill>
        </w:rPr>
      </w:pPr>
    </w:p>
    <w:p>
      <w:pPr>
        <w:pStyle w:val="2"/>
        <w:rPr>
          <w:rFonts w:ascii="Tahoma" w:hAnsi="黑体" w:eastAsia="黑体" w:cs="Tahoma"/>
          <w:b/>
          <w:color w:val="000000" w:themeColor="text1"/>
          <w:szCs w:val="21"/>
          <w:highlight w:val="none"/>
          <w14:textFill>
            <w14:solidFill>
              <w14:schemeClr w14:val="tx1"/>
            </w14:solidFill>
          </w14:textFill>
        </w:rPr>
      </w:pPr>
    </w:p>
    <w:p>
      <w:pPr>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6、模块化机房建设</w:t>
      </w:r>
    </w:p>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6.1机房装修</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2084"/>
        <w:gridCol w:w="6366"/>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4"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366"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8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吊顶丝杆</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 xml:space="preserve"> ￠8全丝吊筋套膨胀管</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主骨</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38轻钢主龙骨排列(间隔1.2米）</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吊顶防火吸音板</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60cm*60cm金属穿孔吸音板(c 材料厚度为1mm）吊顶安装，厚度为，三角龙骨排列，挂钩安装</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照明</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60cm*60cmLED灯具安装（普通照明）不低于48W,色温为6500k</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玻璃隔墙</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离地2米高度为双层钢化玻璃安装，需采用符合相应耐火时间要求的防火玻璃（按照215平米，四个区域实施）</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玻璃隔墙门</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带框玻璃门，安装门禁系统（钢化玻璃为2-4cm厚）。</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防盗门</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7cm厚防盗门及安装。</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隔墙龙骨</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75型轻钢龙骨隔墙</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084"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隔墙隔音棉铺设</w:t>
            </w:r>
          </w:p>
        </w:tc>
        <w:tc>
          <w:tcPr>
            <w:tcW w:w="636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硅酸钙长绒棉填充，防火等级为阻燃</w:t>
            </w:r>
          </w:p>
        </w:tc>
        <w:tc>
          <w:tcPr>
            <w:tcW w:w="6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084"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机房防静电墙面</w:t>
            </w:r>
          </w:p>
        </w:tc>
        <w:tc>
          <w:tcPr>
            <w:tcW w:w="6366"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全钢防静电防火隔音护墙板</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084"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地面防尘漆</w:t>
            </w:r>
          </w:p>
        </w:tc>
        <w:tc>
          <w:tcPr>
            <w:tcW w:w="6366"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地面防尘漆刷涂两遍</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084"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封堵</w:t>
            </w:r>
          </w:p>
        </w:tc>
        <w:tc>
          <w:tcPr>
            <w:tcW w:w="6366"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窗户，门拆除后封堵，使用木质龙骨，密度板基础，石膏板面层封处理，面层做墙面腻子基层处理，刷涂乳胶漆。</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084" w:type="dxa"/>
            <w:vAlign w:val="center"/>
          </w:tcPr>
          <w:p>
            <w:pPr>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电线敷设</w:t>
            </w:r>
          </w:p>
        </w:tc>
        <w:tc>
          <w:tcPr>
            <w:tcW w:w="6366" w:type="dxa"/>
            <w:vAlign w:val="center"/>
          </w:tcPr>
          <w:p>
            <w:pP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原有灯具线路重新布置，安装，开关面板更换，墙面基础插座安装。</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084" w:type="dxa"/>
            <w:vAlign w:val="center"/>
          </w:tcPr>
          <w:p>
            <w:pPr>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接地</w:t>
            </w:r>
          </w:p>
        </w:tc>
        <w:tc>
          <w:tcPr>
            <w:tcW w:w="6366" w:type="dxa"/>
            <w:vAlign w:val="center"/>
          </w:tcPr>
          <w:p>
            <w:pP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接地坑、接地网、接地桩、接地模块、降阻剂、接地线、接地母排、接地母线、机房防静电接地</w:t>
            </w:r>
          </w:p>
        </w:tc>
        <w:tc>
          <w:tcPr>
            <w:tcW w:w="6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6.2 备用机房机柜</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1"/>
        <w:gridCol w:w="2083"/>
        <w:gridCol w:w="631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3"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31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97"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服务器机柜(核心备份）</w:t>
            </w:r>
          </w:p>
        </w:tc>
        <w:tc>
          <w:tcPr>
            <w:tcW w:w="6317" w:type="dxa"/>
            <w:shd w:val="clear" w:color="auto" w:fill="auto"/>
            <w:tcMar>
              <w:top w:w="12" w:type="dxa"/>
              <w:left w:w="12" w:type="dxa"/>
              <w:right w:w="12" w:type="dxa"/>
            </w:tcMar>
            <w:vAlign w:val="center"/>
          </w:tcPr>
          <w:p>
            <w:pP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标准19" 42U服务器机柜 W600xD1200xH2000，前单开网孔弧形门，后双开网孔平门；包含并柜件、PDU安装板、接地连接件、机柜螺丝等</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固定承重板</w:t>
            </w:r>
          </w:p>
        </w:tc>
        <w:tc>
          <w:tcPr>
            <w:tcW w:w="6317" w:type="dxa"/>
            <w:shd w:val="clear" w:color="auto" w:fill="auto"/>
            <w:tcMar>
              <w:top w:w="12" w:type="dxa"/>
              <w:left w:w="12" w:type="dxa"/>
              <w:right w:w="12" w:type="dxa"/>
            </w:tcMar>
            <w:vAlign w:val="center"/>
          </w:tcPr>
          <w:p>
            <w:pP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default" w:ascii="宋体" w:hAnsi="宋体" w:cs="宋体"/>
                <w:color w:val="000000" w:themeColor="text1"/>
                <w:kern w:val="0"/>
                <w:sz w:val="22"/>
                <w:szCs w:val="22"/>
                <w:highlight w:val="none"/>
                <w:lang w:bidi="ar"/>
                <w14:textFill>
                  <w14:solidFill>
                    <w14:schemeClr w14:val="tx1"/>
                  </w14:solidFill>
                </w14:textFill>
              </w:rPr>
              <w:t>固定式安装承重板，最大承重</w:t>
            </w:r>
            <w:r>
              <w:rPr>
                <w:rFonts w:hint="eastAsia" w:ascii="宋体" w:hAnsi="宋体" w:cs="宋体"/>
                <w:color w:val="000000" w:themeColor="text1"/>
                <w:kern w:val="0"/>
                <w:sz w:val="22"/>
                <w:szCs w:val="22"/>
                <w:highlight w:val="none"/>
                <w:lang w:bidi="ar"/>
                <w14:textFill>
                  <w14:solidFill>
                    <w14:schemeClr w14:val="tx1"/>
                  </w14:solidFill>
                </w14:textFill>
              </w:rPr>
              <w:t>60KG</w:t>
            </w:r>
            <w:r>
              <w:rPr>
                <w:rFonts w:hint="default" w:ascii="宋体" w:hAnsi="宋体" w:cs="宋体"/>
                <w:color w:val="000000" w:themeColor="text1"/>
                <w:kern w:val="0"/>
                <w:sz w:val="22"/>
                <w:szCs w:val="22"/>
                <w:highlight w:val="none"/>
                <w:lang w:bidi="ar"/>
                <w14:textFill>
                  <w14:solidFill>
                    <w14:schemeClr w14:val="tx1"/>
                  </w14:solidFill>
                </w14:textFill>
              </w:rPr>
              <w:t>，材质</w:t>
            </w:r>
            <w:r>
              <w:rPr>
                <w:rFonts w:hint="eastAsia" w:ascii="宋体" w:hAnsi="宋体" w:cs="宋体"/>
                <w:color w:val="000000" w:themeColor="text1"/>
                <w:kern w:val="0"/>
                <w:sz w:val="22"/>
                <w:szCs w:val="22"/>
                <w:highlight w:val="none"/>
                <w:lang w:bidi="ar"/>
                <w14:textFill>
                  <w14:solidFill>
                    <w14:schemeClr w14:val="tx1"/>
                  </w14:solidFill>
                </w14:textFill>
              </w:rPr>
              <w:t>spcc1.5</w:t>
            </w:r>
            <w:r>
              <w:rPr>
                <w:rFonts w:hint="default" w:ascii="宋体" w:hAnsi="宋体" w:cs="宋体"/>
                <w:color w:val="000000" w:themeColor="text1"/>
                <w:kern w:val="0"/>
                <w:sz w:val="22"/>
                <w:szCs w:val="22"/>
                <w:highlight w:val="none"/>
                <w:lang w:bidi="ar"/>
                <w14:textFill>
                  <w14:solidFill>
                    <w14:schemeClr w14:val="tx1"/>
                  </w14:solidFill>
                </w14:textFill>
              </w:rPr>
              <w:t>，配</w:t>
            </w:r>
            <w:r>
              <w:rPr>
                <w:rFonts w:hint="eastAsia" w:ascii="宋体" w:hAnsi="宋体" w:cs="宋体"/>
                <w:color w:val="000000" w:themeColor="text1"/>
                <w:kern w:val="0"/>
                <w:sz w:val="22"/>
                <w:szCs w:val="22"/>
                <w:highlight w:val="none"/>
                <w:lang w:bidi="ar"/>
                <w14:textFill>
                  <w14:solidFill>
                    <w14:schemeClr w14:val="tx1"/>
                  </w14:solidFill>
                </w14:textFill>
              </w:rPr>
              <w:t>4</w:t>
            </w:r>
            <w:r>
              <w:rPr>
                <w:rFonts w:hint="default" w:ascii="宋体" w:hAnsi="宋体" w:cs="宋体"/>
                <w:color w:val="000000" w:themeColor="text1"/>
                <w:kern w:val="0"/>
                <w:sz w:val="22"/>
                <w:szCs w:val="22"/>
                <w:highlight w:val="none"/>
                <w:lang w:bidi="ar"/>
                <w14:textFill>
                  <w14:solidFill>
                    <w14:schemeClr w14:val="tx1"/>
                  </w14:solidFill>
                </w14:textFill>
              </w:rPr>
              <w:t>粒</w:t>
            </w:r>
            <w:r>
              <w:rPr>
                <w:rFonts w:hint="eastAsia" w:ascii="宋体" w:hAnsi="宋体" w:cs="宋体"/>
                <w:color w:val="000000" w:themeColor="text1"/>
                <w:kern w:val="0"/>
                <w:sz w:val="22"/>
                <w:szCs w:val="22"/>
                <w:highlight w:val="none"/>
                <w:lang w:bidi="ar"/>
                <w14:textFill>
                  <w14:solidFill>
                    <w14:schemeClr w14:val="tx1"/>
                  </w14:solidFill>
                </w14:textFill>
              </w:rPr>
              <w:t>M6</w:t>
            </w:r>
            <w:r>
              <w:rPr>
                <w:rFonts w:hint="default" w:ascii="宋体" w:hAnsi="宋体" w:cs="宋体"/>
                <w:color w:val="000000" w:themeColor="text1"/>
                <w:kern w:val="0"/>
                <w:sz w:val="22"/>
                <w:szCs w:val="22"/>
                <w:highlight w:val="none"/>
                <w:lang w:bidi="ar"/>
                <w14:textFill>
                  <w14:solidFill>
                    <w14:schemeClr w14:val="tx1"/>
                  </w14:solidFill>
                </w14:textFill>
              </w:rPr>
              <w:t>螺丝，</w:t>
            </w:r>
            <w:r>
              <w:rPr>
                <w:rFonts w:hint="eastAsia" w:ascii="宋体" w:hAnsi="宋体" w:cs="宋体"/>
                <w:color w:val="000000" w:themeColor="text1"/>
                <w:kern w:val="0"/>
                <w:sz w:val="22"/>
                <w:szCs w:val="22"/>
                <w:highlight w:val="none"/>
                <w:lang w:bidi="ar"/>
                <w14:textFill>
                  <w14:solidFill>
                    <w14:schemeClr w14:val="tx1"/>
                  </w14:solidFill>
                </w14:textFill>
              </w:rPr>
              <w:t>4</w:t>
            </w:r>
            <w:r>
              <w:rPr>
                <w:rFonts w:hint="default" w:ascii="宋体" w:hAnsi="宋体" w:cs="宋体"/>
                <w:color w:val="000000" w:themeColor="text1"/>
                <w:kern w:val="0"/>
                <w:sz w:val="22"/>
                <w:szCs w:val="22"/>
                <w:highlight w:val="none"/>
                <w:lang w:bidi="ar"/>
                <w14:textFill>
                  <w14:solidFill>
                    <w14:schemeClr w14:val="tx1"/>
                  </w14:solidFill>
                </w14:textFill>
              </w:rPr>
              <w:t>粒</w:t>
            </w:r>
            <w:r>
              <w:rPr>
                <w:rFonts w:hint="eastAsia" w:ascii="宋体" w:hAnsi="宋体" w:cs="宋体"/>
                <w:color w:val="000000" w:themeColor="text1"/>
                <w:kern w:val="0"/>
                <w:sz w:val="22"/>
                <w:szCs w:val="22"/>
                <w:highlight w:val="none"/>
                <w:lang w:bidi="ar"/>
                <w14:textFill>
                  <w14:solidFill>
                    <w14:schemeClr w14:val="tx1"/>
                  </w14:solidFill>
                </w14:textFill>
              </w:rPr>
              <w:t>M6</w:t>
            </w:r>
            <w:r>
              <w:rPr>
                <w:rFonts w:hint="default" w:ascii="宋体" w:hAnsi="宋体" w:cs="宋体"/>
                <w:color w:val="000000" w:themeColor="text1"/>
                <w:kern w:val="0"/>
                <w:sz w:val="22"/>
                <w:szCs w:val="22"/>
                <w:highlight w:val="none"/>
                <w:lang w:bidi="ar"/>
                <w14:textFill>
                  <w14:solidFill>
                    <w14:schemeClr w14:val="tx1"/>
                  </w14:solidFill>
                </w14:textFill>
              </w:rPr>
              <w:t>卡扣螺母。</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气流遏制盲板</w:t>
            </w:r>
          </w:p>
        </w:tc>
        <w:tc>
          <w:tcPr>
            <w:tcW w:w="6317" w:type="dxa"/>
            <w:shd w:val="clear" w:color="auto" w:fill="auto"/>
            <w:tcMar>
              <w:top w:w="12" w:type="dxa"/>
              <w:left w:w="12" w:type="dxa"/>
              <w:right w:w="12" w:type="dxa"/>
            </w:tcMar>
            <w:vAlign w:val="center"/>
          </w:tcPr>
          <w:p>
            <w:pP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w:t>
            </w:r>
            <w:r>
              <w:rPr>
                <w:rFonts w:hint="default" w:ascii="宋体" w:hAnsi="宋体" w:cs="宋体"/>
                <w:color w:val="000000" w:themeColor="text1"/>
                <w:kern w:val="0"/>
                <w:sz w:val="22"/>
                <w:szCs w:val="22"/>
                <w:highlight w:val="none"/>
                <w:lang w:bidi="ar"/>
                <w14:textFill>
                  <w14:solidFill>
                    <w14:schemeClr w14:val="tx1"/>
                  </w14:solidFill>
                </w14:textFill>
              </w:rPr>
              <w:t>英寸</w:t>
            </w:r>
            <w:r>
              <w:rPr>
                <w:rFonts w:hint="eastAsia" w:ascii="宋体" w:hAnsi="宋体" w:cs="宋体"/>
                <w:color w:val="000000" w:themeColor="text1"/>
                <w:kern w:val="0"/>
                <w:sz w:val="22"/>
                <w:szCs w:val="22"/>
                <w:highlight w:val="none"/>
                <w:lang w:bidi="ar"/>
                <w14:textFill>
                  <w14:solidFill>
                    <w14:schemeClr w14:val="tx1"/>
                  </w14:solidFill>
                </w14:textFill>
              </w:rPr>
              <w:t>1U</w:t>
            </w:r>
            <w:r>
              <w:rPr>
                <w:rFonts w:hint="default" w:ascii="宋体" w:hAnsi="宋体" w:cs="宋体"/>
                <w:color w:val="000000" w:themeColor="text1"/>
                <w:kern w:val="0"/>
                <w:sz w:val="22"/>
                <w:szCs w:val="22"/>
                <w:highlight w:val="none"/>
                <w:lang w:bidi="ar"/>
                <w14:textFill>
                  <w14:solidFill>
                    <w14:schemeClr w14:val="tx1"/>
                  </w14:solidFill>
                </w14:textFill>
              </w:rPr>
              <w:t>标准，卡扣式安装，材质</w:t>
            </w:r>
            <w:r>
              <w:rPr>
                <w:rFonts w:hint="eastAsia" w:ascii="宋体" w:hAnsi="宋体" w:cs="宋体"/>
                <w:color w:val="000000" w:themeColor="text1"/>
                <w:kern w:val="0"/>
                <w:sz w:val="22"/>
                <w:szCs w:val="22"/>
                <w:highlight w:val="none"/>
                <w:lang w:bidi="ar"/>
                <w14:textFill>
                  <w14:solidFill>
                    <w14:schemeClr w14:val="tx1"/>
                  </w14:solidFill>
                </w14:textFill>
              </w:rPr>
              <w:t>spcc1.0</w:t>
            </w:r>
            <w:r>
              <w:rPr>
                <w:rFonts w:hint="default" w:ascii="宋体" w:hAnsi="宋体" w:cs="宋体"/>
                <w:color w:val="000000" w:themeColor="text1"/>
                <w:kern w:val="0"/>
                <w:sz w:val="22"/>
                <w:szCs w:val="22"/>
                <w:highlight w:val="none"/>
                <w:lang w:bidi="ar"/>
                <w14:textFill>
                  <w14:solidFill>
                    <w14:schemeClr w14:val="tx1"/>
                  </w14:solidFill>
                </w14:textFill>
              </w:rPr>
              <w:t>颜色：细沙纹黑</w:t>
            </w:r>
            <w:r>
              <w:rPr>
                <w:rFonts w:hint="eastAsia" w:ascii="宋体" w:hAnsi="宋体" w:cs="宋体"/>
                <w:color w:val="000000" w:themeColor="text1"/>
                <w:kern w:val="0"/>
                <w:sz w:val="22"/>
                <w:szCs w:val="22"/>
                <w:highlight w:val="none"/>
                <w:lang w:bidi="ar"/>
                <w14:textFill>
                  <w14:solidFill>
                    <w14:schemeClr w14:val="tx1"/>
                  </w14:solidFill>
                </w14:textFill>
              </w:rPr>
              <w:t>RAL9005/</w:t>
            </w:r>
            <w:r>
              <w:rPr>
                <w:rFonts w:hint="default" w:ascii="宋体" w:hAnsi="宋体" w:cs="宋体"/>
                <w:color w:val="000000" w:themeColor="text1"/>
                <w:kern w:val="0"/>
                <w:sz w:val="22"/>
                <w:szCs w:val="22"/>
                <w:highlight w:val="none"/>
                <w:lang w:bidi="ar"/>
                <w14:textFill>
                  <w14:solidFill>
                    <w14:schemeClr w14:val="tx1"/>
                  </w14:solidFill>
                </w14:textFill>
              </w:rPr>
              <w:t>细沙纹白</w:t>
            </w:r>
            <w:r>
              <w:rPr>
                <w:rFonts w:hint="eastAsia" w:ascii="宋体" w:hAnsi="宋体" w:cs="宋体"/>
                <w:color w:val="000000" w:themeColor="text1"/>
                <w:kern w:val="0"/>
                <w:sz w:val="22"/>
                <w:szCs w:val="22"/>
                <w:highlight w:val="none"/>
                <w:lang w:bidi="ar"/>
                <w14:textFill>
                  <w14:solidFill>
                    <w14:schemeClr w14:val="tx1"/>
                  </w14:solidFill>
                </w14:textFill>
              </w:rPr>
              <w:t>RAL9003</w:t>
            </w:r>
            <w:r>
              <w:rPr>
                <w:rFonts w:hint="default" w:ascii="宋体" w:hAnsi="宋体" w:cs="宋体"/>
                <w:color w:val="000000" w:themeColor="text1"/>
                <w:kern w:val="0"/>
                <w:sz w:val="22"/>
                <w:szCs w:val="22"/>
                <w:highlight w:val="none"/>
                <w:lang w:bidi="ar"/>
                <w14:textFill>
                  <w14:solidFill>
                    <w14:schemeClr w14:val="tx1"/>
                  </w14:solidFill>
                </w14:textFill>
              </w:rPr>
              <w:t>。</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6.3 消防系统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1"/>
        <w:gridCol w:w="2083"/>
        <w:gridCol w:w="631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083"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317"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97"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点型光电感烟火灾探测器</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16V～28V。线制 无极性二总线。总线静态电流 ≤0.3mA 报警电流 ≤0.8mA。温度 -10℃～+55℃。 相对湿度 ≤95%，不凝露。编码方式 电子编码。 外形尺寸：100.0mm*51mm。执行标准 GB 4715-2005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点型感温火灾探测器</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 。线制 无极性二总线。总线静态电流 ≤0.3mA 报警电流 ≤0.8mA。温度 -10℃～+55℃。 相对湿度 ≤95%，不凝露。编码方式 电子编码。 外形尺寸：100.0mm*50mm。执行标准 GB 4715-2005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底座</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材质：ABS。</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输入输出模块</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 。线制 无极性二总线。监视电流 ≤0.2mA 报警电流 ≤2mA。温度 -10℃～+55℃。 相对湿度 ≤95%，不凝露。编码方式 电子编码。 外形尺寸：86mm*86mm*38mm。执行标准 GB 16806-2006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手/自动转换模块</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二总线，无极性。内置微处理器。以正常，手动/自动，故障三种形式将模块状态传给控制器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插接式模块结构，方便施工安装。温度 -10℃～+55℃。相对湿度 ≤95%，不凝露。编码方式 电子编码。 外形尺寸：86mm*86mm*38mm。</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火灾声光警报器</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 。线制 无极性二总线。监视电流 ≤0.2mA 报警电流 ≤1.5mA。</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闪光频率 1.0Hz～1.6Hz。声压级 75dB～100dB。温度 -10℃～+55℃。 相对湿度 ≤95%，不凝露。编码方式 电子编码。执行标准 GB26851-2011。</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紧急启停按钮</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工作电压 总线 16V～28V 。线制 无极性二总线。壳体材料颜色：ABS,红。温度 -10℃～+55℃。相对湿度 ≤95%，不凝露。编码方式 电子编码。工作电流≤1mA。“紧急启停”按钮。可重复使用型启动按片。</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气体喷洒释放灯</w:t>
            </w:r>
          </w:p>
        </w:tc>
        <w:tc>
          <w:tcPr>
            <w:tcW w:w="6317"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工作电压 DC24V。工作电流≤250mA。壳体颜色：银白色,字体颜色：红。温度 -10℃～+50℃。相对湿度 ≤95%，不凝露。外形尺寸：298mm*30mm*135mm。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083"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七氟丙烷自动灭火装置</w:t>
            </w:r>
          </w:p>
        </w:tc>
        <w:tc>
          <w:tcPr>
            <w:tcW w:w="6317"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灭火剂贮存压力 2.5MPa 。最大工作压力 4.2MPa 。灭火剂充装密度 ≤1000 kg/m³。灭火技术方式 全淹没 。灭火剂喷射时间 ≤10 S 。启动方式 自动、手动启动 。环境温度 0 ℃ ～ 50 ℃  。工作启动电源 DC24V±10% 。瓶组响应时间 2 S。</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083"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气体灭火控制器</w:t>
            </w:r>
          </w:p>
        </w:tc>
        <w:tc>
          <w:tcPr>
            <w:tcW w:w="6317"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双电源 交流 220V （187~242V） 备用电池 12V/12Ah 两节。液晶屏规格4寸彩色液晶屏 480×272。容量 最大容量 4 个气体灭火分区。可自由选择气体灭火分区，255个回路地址点。温度 0℃～+40℃。相对湿度 ≤95%RH，不凝露。外形尺寸 385mm×134mm×510mm。</w:t>
            </w:r>
          </w:p>
        </w:tc>
        <w:tc>
          <w:tcPr>
            <w:tcW w:w="69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083"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消防报警线缆</w:t>
            </w:r>
          </w:p>
        </w:tc>
        <w:tc>
          <w:tcPr>
            <w:tcW w:w="6317"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69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81"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083" w:type="dxa"/>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消防报警线管</w:t>
            </w:r>
          </w:p>
        </w:tc>
        <w:tc>
          <w:tcPr>
            <w:tcW w:w="6317" w:type="dxa"/>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69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6.4 模块化机柜系统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7"/>
        <w:gridCol w:w="2100"/>
        <w:gridCol w:w="625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250"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服务器机柜</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1、拼装机柜，含前后门和机柜底板；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2、机柜框架采用冷轧钢板；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3、不含层板、侧门、PDU及散热单元；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4、黑色外观；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5、含并柜件1套；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6、含垂直绑线板两条，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7、含螺丝、螺母50套；</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固定层板</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472*710mm ，托放设备.承载50kg设备，1200mm深的服务器机柜</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L型支架</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托放设备.承载50kg设备,1200mm深的服务器机柜</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盲板</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19英寸机架式安装，塑料材质，高度1U，卡扣式安装。用于IT机柜空余位置处的挡板，阻止冷气流漏出功能。</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PDU</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每个机柜配1套，包含机柜左安装和右安装各1个。铝合金外壳 KSTAR 单路32A输入/10A国标12口 16A国标4口输出 (带接线盒,带指示灯,机柜后门左和右侧垂直安装</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6.5 封闭冷通道</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7"/>
        <w:gridCol w:w="2100"/>
        <w:gridCol w:w="625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250"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自动动双开滑动门</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适配双排通道宽度1200mm，双开左右滑动门，自动开关门（电机驱动），配套1200mm深拼装机柜使用，含声光告警安装辅件</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600宽天窗</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配600宽机柜，旋转天窗，含安装支架，尺寸600mm（长）*1200mm（宽）*300mm（高）。含LED照明灯，天窗内线缆</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天窗控制盒</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集成控制盒，含翻转天窗控制，含烟感消防接口，可为LED灯，翻转天窗电磁锁以及自动双开门电机供电。</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LED照明灯</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安装在通道的两侧顶部。单排最多支持16根灯管串接。单排的灯管个数N （向下取整）=通道长度L/灯管长度。如果照明灯管不能完全布满通道总</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长，需要在通道两端预留同样的安装距离W： W=（L-600×N）/2。</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机柜配套侧门</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配1200深42U机柜，机柜单侧内嵌式侧门，每块侧门含上下两段式门板，卡扣式安装</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机柜配套侧门</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适用用IDM模块最外侧侧门，带显示屏和读卡器孔位，带通道照明控制开关，配套21.5寸触摸屏使用，配套1200mm深拼装机柜使用</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围板</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适用600宽机柜，机柜后面安装，挡住走线槽，增加整体美观，每个机柜配一个</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顶部线槽</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适用600宽机柜，单通道走线槽，强弱电分离则需要配置2个</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走线梯</w:t>
            </w:r>
          </w:p>
        </w:tc>
        <w:tc>
          <w:tcPr>
            <w:tcW w:w="6250"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列与列走线梯，适用不同行、列机柜间走线</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机柜灯带</w:t>
            </w:r>
          </w:p>
        </w:tc>
        <w:tc>
          <w:tcPr>
            <w:tcW w:w="62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每个机柜配一套，含两条双色灯带</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灯带控制器（机柜双色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灯带用）</w:t>
            </w:r>
          </w:p>
        </w:tc>
        <w:tc>
          <w:tcPr>
            <w:tcW w:w="6250"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20个机柜内选用，最多控制40条灯带</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6.6 行级空调系统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7"/>
        <w:gridCol w:w="2117"/>
        <w:gridCol w:w="626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17"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267"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697"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17"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精密空调（恒温恒湿）</w:t>
            </w:r>
          </w:p>
        </w:tc>
        <w:tc>
          <w:tcPr>
            <w:tcW w:w="6267"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行级精密空调 室内机 制冷量25.5kW 风冷型 水平前送风 含加热加湿 直流变频压缩机 EC风机 电子膨胀阀 七英寸彩色触摸屏 尺寸300*1200*2000mm，风冷室外机 单制冷系统 常温型（-20℃以上） R410A冷媒 变频无极调速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控制 三相供电</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17"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低温组件</w:t>
            </w:r>
          </w:p>
        </w:tc>
        <w:tc>
          <w:tcPr>
            <w:tcW w:w="6267"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室外机低温组件 R410A冷媒 室外环境温度低于-20℃时选用，最低适用-40℃ ；</w:t>
            </w:r>
          </w:p>
        </w:tc>
        <w:tc>
          <w:tcPr>
            <w:tcW w:w="6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spacing w:line="340" w:lineRule="exact"/>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6.7 UPS配电</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1"/>
        <w:gridCol w:w="2100"/>
        <w:gridCol w:w="6216"/>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216"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输入输出配电柜</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配电柜为模块化结构，尺寸：600*1200*2000                                                                                                          1、市电输入320A/3P，输出160A/3P*3，63A/3P*4,32A/2P*4,备用100A/3P*1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2、元件选用一线知名品牌，符合IEC 60947国际标准和GB14048国家标准；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3、具有防雷器，满足配电柜防浪涌、防雷击、过流保护的功能。具有防雷器故障报警功能，并可集成到动环监控系统；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配置智能电量仪≥7寸触摸式显示屏，用于集中监测主开关的电压、电流、频率、功率因素、电量等电参数；可接入动环监控系统。智能电量仪能够传输相关报警信息到动环监控系统统一进行报警。支持主回路电压电流，空开状态，视在功率，有功功率，电能等指标监测；支持主回路过压欠压告警，过流告警，频率异常告警，单路掉电告警，三相不平衡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5、柜体防护等级IP20；6、具有CCC认证</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精密列头柜</w:t>
            </w:r>
          </w:p>
        </w:tc>
        <w:tc>
          <w:tcPr>
            <w:tcW w:w="6216"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配电柜为模块化结构，尺寸：600*1200*2000                                                                                                          1、总输入160A/3P*2，输出32A/2P*40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2、元件选用一线知名品牌，符合IEC 60947国际标准和GB14048国家标准；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3、具有防雷器，满足配电柜防浪涌、防雷击、过流保护的功能。具有防雷器故障报警功能，并可集成到动环监控系统；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配置智能电量仪≥7寸触摸式显示屏，用于集中监测主开关的电压、电流、频率、功率因素、电量等电参数；可接入动环监控系统。智能电量仪能够传输相关报警信息到动环监控系统统一进行报警。支持主回路电压电流，空开状态，视在功率，有功功率，电能等指标监测；支持主回路过压欠压告警，过流告警，频率异常告警，单路掉电告警，三相不平衡告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5、柜体防护等级IP20；6、具有CCC认证</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UPS主机柜</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UPS机柜：两侧内嵌式侧门,拼装柜，带七寸彩屏,深度1200mm，单个UPS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机柜最多可配置4个50KVA UPS模块，集中式旁路；600*1200*2000</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UPS模块</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50KVA功率模块，集中式旁路UPS柜用，输出功率因数1，支持热插拔</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蓄电池</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电池容量：12V，100AH</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电池架</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每套放置64节12V，100AH，含电池组控制开关箱</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电池连接铜排</w:t>
            </w:r>
          </w:p>
        </w:tc>
        <w:tc>
          <w:tcPr>
            <w:tcW w:w="6216"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蓄电池的连接铜排</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spacing w:line="340" w:lineRule="exact"/>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6.8 机房视频系统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2195"/>
        <w:gridCol w:w="6105"/>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4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95"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105"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95"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4路网络硬盘录像机 </w:t>
            </w:r>
          </w:p>
        </w:tc>
        <w:tc>
          <w:tcPr>
            <w:tcW w:w="6105"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网络硬盘录像机，支持1个硬盘，支持POE，支持4个网络摄</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像头</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95"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红外半球式网络摄像机</w:t>
            </w:r>
          </w:p>
        </w:tc>
        <w:tc>
          <w:tcPr>
            <w:tcW w:w="6105"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半球网络摄像头，支持 DC12V/POE 供电方式，200万高清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画质，支持 IP67 防护等级</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95"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4TB监控级硬盘</w:t>
            </w:r>
          </w:p>
        </w:tc>
        <w:tc>
          <w:tcPr>
            <w:tcW w:w="6105"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4T存储空间</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6.9  机房动环检测设施管理系统</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1"/>
        <w:gridCol w:w="2100"/>
        <w:gridCol w:w="618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183"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14"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监控系统主机</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双AC220V输入电源 , Intel®2.0GHZ四核处理器，4G内存，固态 硬盘 120G，，6路DI，2路DO,2个232串口，6个485串口，1路VGA接口，1路 HDMI接口。工作温度-10℃~50℃。</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4G全网通短信报警模块 </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4G全网通短信报警模块，接在主机串口上</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电容触摸屏（21.5寸）</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工业级电容触控屏，1、21.5英寸（16:9）显示屏，分辨率:1920*1080；2、使用寿命：&gt; 50000小时；3、整机功耗：&lt;220W，待机功耗：&lt;3W；4、抗光干扰，确保操作的准确性（强光直射照常使用）</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声光告警模块</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本地声光报警；</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设备接入软件模块</w:t>
            </w:r>
          </w:p>
        </w:tc>
        <w:tc>
          <w:tcPr>
            <w:tcW w:w="6183" w:type="dxa"/>
            <w:shd w:val="clear" w:color="auto" w:fill="auto"/>
            <w:tcMar>
              <w:top w:w="12" w:type="dxa"/>
              <w:left w:w="12" w:type="dxa"/>
              <w:right w:w="12" w:type="dxa"/>
            </w:tcMar>
            <w:vAlign w:val="center"/>
          </w:tcPr>
          <w:p>
            <w:pP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内置于监控主机，每接入一个设备（UPS,空调，配电等智能设备），需要1个软件模块。温湿度，烟感等环境传感器不算在内</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温湿度传感器 （大LCD屏）</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专用于机房环境的高精度数字式温湿度传感器，-20C~+80C的精度在±0.5C， Modbus RTU通讯接口，全双工方式，抗干扰性强，稳定可靠，LCD显示。</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烟雾传感器</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监控机房烟雾状况，每100平方装一个</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非定位线式漏水检测报警器</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检测漏水状态，通过漏水感应线检测到漏水后，通过采集器输出一个继电器报警信号，并可发出蜂鸣器警报；</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非定位线式漏水感应线</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线长10米，用于配合漏水检测报警器检测是否有漏水产生</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12V/3A 直流电源</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辅助电源，AC220V输入，DC12V3A输出</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双门禁控制器 </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门禁控制主机；</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指纹门禁刷卡器 </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支持指纹认证、密码认证和ID卡认证的读卡</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配套用触摸开关 </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触摸感应，造型设计简约美观，防水防尘，耐高温抗冲击</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应急开关附件</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防止门禁失灵，应急出门使用</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15</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ID卡 </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配合门禁使用</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8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16</w:t>
            </w:r>
          </w:p>
        </w:tc>
        <w:tc>
          <w:tcPr>
            <w:tcW w:w="2100" w:type="dxa"/>
            <w:shd w:val="clear" w:color="auto" w:fill="auto"/>
            <w:tcMar>
              <w:top w:w="12" w:type="dxa"/>
              <w:left w:w="12" w:type="dxa"/>
              <w:right w:w="12" w:type="dxa"/>
            </w:tcMar>
            <w:vAlign w:val="center"/>
          </w:tcPr>
          <w:p>
            <w:pPr>
              <w:jc w:val="center"/>
              <w:textAlignment w:val="center"/>
              <w:rPr>
                <w:rFonts w:ascii="微软雅黑" w:hAnsi="微软雅黑"/>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618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19英寸标准机架安装，即插即用，无需管理，提供16个10/100M自适应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RJ45端口，所有端口均可实现线速转发</w:t>
            </w:r>
          </w:p>
        </w:tc>
        <w:tc>
          <w:tcPr>
            <w:tcW w:w="71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rPr>
          <w:rFonts w:ascii="Tahoma" w:hAnsi="黑体" w:eastAsia="黑体" w:cs="Tahoma"/>
          <w:b/>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7.  综合布线</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7"/>
        <w:gridCol w:w="2117"/>
        <w:gridCol w:w="613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17"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133"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31"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光缆</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12芯单模金属加强件皮线光缆(室内）护套材质：LSZH光缆尺寸：3.0*2mm 加强件材质：钢丝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光纤类型：G.657A光纤，衰减：@1310≦0.40dB/km；@1550nm≦0.30dB/km 截止波长：≦16250nm </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4口终端盒</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光纤终端盒尺寸：190*130*40mm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终端盒材质：优质冷轧钢板整体黑色喷塑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钢板厚度：0.7-0.8mm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进线光缆数量：2根</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SC/SC3米尾纤</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单模SC-SC光纤跳线，陶瓷 连接器插入损耗：≤0.3dB/每接口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连接器回波损耗：单模≥50dB，多模≥20dB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重复性：≤0.1dB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互换性：≤0.1dB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拔插次数：≥1000次 </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超六类</w:t>
            </w:r>
            <w:r>
              <w:rPr>
                <w:rFonts w:hint="eastAsia" w:ascii="宋体" w:hAnsi="宋体" w:cs="宋体"/>
                <w:i/>
                <w:iCs/>
                <w:color w:val="000000" w:themeColor="text1"/>
                <w:kern w:val="0"/>
                <w:szCs w:val="21"/>
                <w:highlight w:val="none"/>
                <w:lang w:bidi="ar"/>
                <w14:textFill>
                  <w14:solidFill>
                    <w14:schemeClr w14:val="tx1"/>
                  </w14:solidFill>
                </w14:textFill>
              </w:rPr>
              <w:t>网线</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成品外径：7.6±0.5mm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导体：99.99%纯铜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导体直径：23AWG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导体绝缘外径：1.1±0.1mm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芯数：4*2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特性阻抗：100±15Ω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单根导体最大电阻：≤9.5Ω/100m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导体间介电强度，DC，1min：1Kv/1min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工作电容最大值：≤5.6nF/100m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线对直流电阻不平衡性：≤2.5% 蓝色（多媒体箱至办公桌）</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电源线</w:t>
            </w:r>
          </w:p>
        </w:tc>
        <w:tc>
          <w:tcPr>
            <w:tcW w:w="6133" w:type="dxa"/>
            <w:shd w:val="clear" w:color="auto" w:fill="auto"/>
            <w:tcMar>
              <w:top w:w="12" w:type="dxa"/>
              <w:left w:w="12" w:type="dxa"/>
              <w:right w:w="12" w:type="dxa"/>
            </w:tcMar>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外接电源线</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六类网络配线架</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48口，全钢架结构+黑色喷塑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配线架塑料材质：PBT工程塑料、PC聚碳酸酯、ABS工程塑料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IDC打线端子：磷青铜镀镍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镀金层厚度：50µm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配线架模块类型：6口一体式模块*4组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RJ45端口：可连接1-24根跳线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接线端子类型：IDC与110双用端子，可卡接导体为0.4～0.6mm 外网弱电间机柜用</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理线架</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金属加强</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86底盒</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蓝色，内网用，国标</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双口面板</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材质：优质ABS 工程塑料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标识：含有机玻璃的标签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防尘门：优质ABS 工程塑料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Z字形弹簧材质：钢丝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连接方式：直接卡接信息模块 金色内网用，国标</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六类模块</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模块主体塑料材质：聚碳酸酯（PC）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屏蔽层：锌合金铸件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IDC端子材质：磷青铜镀镍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金针材质：磷青铜镀金50μm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连接方式：RJ45插孔配接跳线，IDC端接水平布线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IDC端子可卡接线径：单股或多股裸铜导体0.4-0.6mm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RJ45端口类型：8P8C 内网用，国标</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双口面板</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材质：优质ABS 工程塑料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标识：含有机玻璃的标签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防尘门：优质ABS 工程塑料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Z字形弹簧材质：钢丝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连接方式：直接卡接信息模块外网</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PVC线管B型</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直径25mm，含配件</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117"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墙面开槽带恢复</w:t>
            </w:r>
          </w:p>
        </w:tc>
        <w:tc>
          <w:tcPr>
            <w:tcW w:w="6133"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墙面开槽预埋 PVC管，砂浆恢复</w:t>
            </w:r>
          </w:p>
        </w:tc>
        <w:tc>
          <w:tcPr>
            <w:tcW w:w="731"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keepNext/>
        <w:keepLines/>
        <w:spacing w:after="200"/>
        <w:outlineLvl w:val="2"/>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8. 网络安全等级保护测评</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2100"/>
        <w:gridCol w:w="4483"/>
        <w:gridCol w:w="1584"/>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00"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067" w:type="dxa"/>
            <w:gridSpan w:val="2"/>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47"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8914" w:type="dxa"/>
            <w:gridSpan w:val="4"/>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安全物理环境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物理位置选择</w:t>
            </w:r>
          </w:p>
        </w:tc>
        <w:tc>
          <w:tcPr>
            <w:tcW w:w="6067" w:type="dxa"/>
            <w:gridSpan w:val="2"/>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a）机房场地应选择在具有防震、防风和防雨等能力的建筑内。</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机房场地应避免设在建筑物的顶层或地下室，否则应加强防水和防潮措施。</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物理访问控制</w:t>
            </w:r>
          </w:p>
        </w:tc>
        <w:tc>
          <w:tcPr>
            <w:tcW w:w="6067" w:type="dxa"/>
            <w:gridSpan w:val="2"/>
            <w:shd w:val="clear" w:color="auto" w:fill="auto"/>
            <w:tcMar>
              <w:top w:w="12" w:type="dxa"/>
              <w:left w:w="12" w:type="dxa"/>
              <w:right w:w="12" w:type="dxa"/>
            </w:tcMar>
            <w:vAlign w:val="center"/>
          </w:tcPr>
          <w:p>
            <w:pP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机房出入口应配置电子门禁系统，控制、鉴别和记录进入的人员。</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防盗窃和防破坏</w:t>
            </w:r>
          </w:p>
        </w:tc>
        <w:tc>
          <w:tcPr>
            <w:tcW w:w="6067" w:type="dxa"/>
            <w:gridSpan w:val="2"/>
            <w:shd w:val="clear" w:color="auto" w:fill="auto"/>
            <w:tcMar>
              <w:top w:w="12" w:type="dxa"/>
              <w:left w:w="12" w:type="dxa"/>
              <w:right w:w="12" w:type="dxa"/>
            </w:tcMar>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应将设备或主要部件进行固定，并设置明显的不易除去的标识。</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b）应将通信线缆铺设在隐蔽安全处。</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c</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应设置机房防盗报警系统或设置有专人值守的视频监控系统。</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防雷击</w:t>
            </w:r>
          </w:p>
        </w:tc>
        <w:tc>
          <w:tcPr>
            <w:tcW w:w="6067" w:type="dxa"/>
            <w:gridSpan w:val="2"/>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应将各类机柜、设施和设备等通过接地系统安全接地。</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应采取措施防止感应雷，例如设置防雷保安器或过压保护装置等。</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1.5</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防火</w:t>
            </w:r>
          </w:p>
        </w:tc>
        <w:tc>
          <w:tcPr>
            <w:tcW w:w="6067" w:type="dxa"/>
            <w:gridSpan w:val="2"/>
            <w:shd w:val="clear" w:color="auto" w:fill="auto"/>
            <w:tcMar>
              <w:top w:w="12" w:type="dxa"/>
              <w:left w:w="12" w:type="dxa"/>
              <w:right w:w="12" w:type="dxa"/>
            </w:tcMar>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机房应设置火灾自动消防系统，能够自动检测火情、自动报警，并自动灭火。</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机房及相关的工作房间和辅助房应采用具有耐火等级的建筑材料。</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c</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应对机房划分区域进行管理，区域和区域之间设置隔离防火措施。</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1.6</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防水和防潮</w:t>
            </w:r>
          </w:p>
        </w:tc>
        <w:tc>
          <w:tcPr>
            <w:tcW w:w="6067" w:type="dxa"/>
            <w:gridSpan w:val="2"/>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应采取措施防止雨水通过机房窗户、屋顶和墙壁渗透。</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应采取措施防止机房内水蒸气结露和地下积水的转移与渗透。</w:t>
            </w:r>
          </w:p>
          <w:p>
            <w:pPr>
              <w:snapToGrid w:val="0"/>
              <w:ind w:firstLine="73"/>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c</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应安装对水敏感的检测仪表或元件，对机房进行防水检测和报警。</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1.7</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防静电</w:t>
            </w:r>
          </w:p>
        </w:tc>
        <w:tc>
          <w:tcPr>
            <w:tcW w:w="6067" w:type="dxa"/>
            <w:gridSpan w:val="2"/>
            <w:shd w:val="clear" w:color="auto" w:fill="auto"/>
            <w:tcMar>
              <w:top w:w="12" w:type="dxa"/>
              <w:left w:w="12" w:type="dxa"/>
              <w:right w:w="12" w:type="dxa"/>
            </w:tcMar>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应采用防静电地板或地面并采用必要的接地防静电措施。</w:t>
            </w:r>
          </w:p>
          <w:p>
            <w:pPr>
              <w:tabs>
                <w:tab w:val="left" w:pos="420"/>
              </w:tabs>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应采取措施防止静电的产生，例如采用静电消除器、佩戴防静电手环等。</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4"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1.8</w:t>
            </w:r>
          </w:p>
        </w:tc>
        <w:tc>
          <w:tcPr>
            <w:tcW w:w="2100"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温湿度控制</w:t>
            </w:r>
          </w:p>
        </w:tc>
        <w:tc>
          <w:tcPr>
            <w:tcW w:w="6067" w:type="dxa"/>
            <w:gridSpan w:val="2"/>
            <w:shd w:val="clear" w:color="auto" w:fill="auto"/>
            <w:tcMar>
              <w:top w:w="12" w:type="dxa"/>
              <w:left w:w="12" w:type="dxa"/>
              <w:right w:w="12" w:type="dxa"/>
            </w:tcMar>
            <w:vAlign w:val="center"/>
          </w:tcPr>
          <w:p>
            <w:pP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a） 应设置温、湿度自动询节设施，使机房温、湿度的变化在设备运行所允许的范围之内。</w:t>
            </w:r>
          </w:p>
        </w:tc>
        <w:tc>
          <w:tcPr>
            <w:tcW w:w="747"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1.9</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电力供应</w:t>
            </w:r>
          </w:p>
        </w:tc>
        <w:tc>
          <w:tcPr>
            <w:tcW w:w="6067" w:type="dxa"/>
            <w:gridSpan w:val="2"/>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应在机房供电线路上配置稳压器和过电压防护设备。</w:t>
            </w:r>
          </w:p>
          <w:p>
            <w:pPr>
              <w:snapToGrid w:val="0"/>
              <w:ind w:left="7" w:hanging="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应提供短期的备用电力供应，至少满足设备在断电情况下的正常运行要求。</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c</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应设置冗余或并行的电力电缆线路为计算机系统供电。</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1.10</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电磁防护</w:t>
            </w:r>
          </w:p>
        </w:tc>
        <w:tc>
          <w:tcPr>
            <w:tcW w:w="6067" w:type="dxa"/>
            <w:gridSpan w:val="2"/>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a</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电源线和通信线缆应隔离铺设，避免互相干扰。</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b</w:t>
            </w:r>
            <w:r>
              <w:rPr>
                <w:rFonts w:hint="eastAsia" w:ascii="微软雅黑" w:hAnsi="微软雅黑"/>
                <w:color w:val="000000" w:themeColor="text1"/>
                <w:szCs w:val="21"/>
                <w:highlight w:val="none"/>
                <w14:textFill>
                  <w14:solidFill>
                    <w14:schemeClr w14:val="tx1"/>
                  </w14:solidFill>
                </w14:textFill>
              </w:rPr>
              <w:t>）</w:t>
            </w:r>
            <w:r>
              <w:rPr>
                <w:rFonts w:ascii="微软雅黑" w:hAnsi="微软雅黑"/>
                <w:color w:val="000000" w:themeColor="text1"/>
                <w:szCs w:val="21"/>
                <w:highlight w:val="none"/>
                <w14:textFill>
                  <w14:solidFill>
                    <w14:schemeClr w14:val="tx1"/>
                  </w14:solidFill>
                </w14:textFill>
              </w:rPr>
              <w:t xml:space="preserve"> 应对关键设备实施电磁屏蔽。</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ascii="微软雅黑" w:hAnsi="微软雅黑"/>
                <w:color w:val="000000" w:themeColor="text1"/>
                <w:szCs w:val="21"/>
                <w:highlight w:val="none"/>
                <w14:textFill>
                  <w14:solidFill>
                    <w14:schemeClr w14:val="tx1"/>
                  </w14:solidFill>
                </w14:textFill>
              </w:rPr>
              <w:t>安全通信网络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网络架构</w:t>
            </w:r>
          </w:p>
        </w:tc>
        <w:tc>
          <w:tcPr>
            <w:tcW w:w="6067" w:type="dxa"/>
            <w:gridSpan w:val="2"/>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 应保证网络设备的业务处理能力满足业务高峰期需要。</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 应保证网络各个部分的带宽满足业务高峰期需要。</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 应划分不同的网络区域，并按照方便管理和控制的原则为各网络区域分配地址。</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 应避免将重要网络区域部署在边界处，重要网络区域与其他网络区域之间应采取可 靠的技术隔离手段。</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e）应提供通信线路板、关健网络设备和关键计算设备的硬件冗余，保证系统的可用性。</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通信传输</w:t>
            </w:r>
          </w:p>
        </w:tc>
        <w:tc>
          <w:tcPr>
            <w:tcW w:w="6067" w:type="dxa"/>
            <w:gridSpan w:val="2"/>
            <w:vAlign w:val="center"/>
          </w:tcPr>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a）应采用校验技术或密码技术保证通信过程中数据的完整性。</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b）应采用密码技术保证通信过程中数据的保密性。</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可信验证</w:t>
            </w:r>
          </w:p>
        </w:tc>
        <w:tc>
          <w:tcPr>
            <w:tcW w:w="6067" w:type="dxa"/>
            <w:gridSpan w:val="2"/>
            <w:vAlign w:val="center"/>
          </w:tcPr>
          <w:p>
            <w:pP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可基于可信根对通信设备的系统引导程序、系统程序、重要配登参数和通信应用程序等进行可信验证，并在应用程序的关键执行环节进行动态可信验证，在检测到其可信性受到 破坏后进行报警，并将验证结果形成审计记录送至安全管理中心。</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安全区域边界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边界防护</w:t>
            </w:r>
          </w:p>
        </w:tc>
        <w:tc>
          <w:tcPr>
            <w:tcW w:w="6067" w:type="dxa"/>
            <w:gridSpan w:val="2"/>
            <w:vAlign w:val="center"/>
          </w:tcPr>
          <w:p>
            <w:pPr>
              <w:snapToGrid w:val="0"/>
              <w:ind w:firstLine="73"/>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 应保证跨越边界的访问和数据流通过边界设备提供的受控接口进行通信。</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 应能够对非授权设备私自联到内部网络的行为进行检查或限制。</w:t>
            </w:r>
          </w:p>
          <w:p>
            <w:pPr>
              <w:snapToGrid w:val="0"/>
              <w:ind w:left="567" w:hanging="56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 应能够对内部用户非授权联到外部网络的行为进行检查或限制。</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 应限制无线网络的使用，保证无线网络通过受控的边界设备接入内部网络。</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访问控制</w:t>
            </w:r>
          </w:p>
        </w:tc>
        <w:tc>
          <w:tcPr>
            <w:tcW w:w="6067" w:type="dxa"/>
            <w:gridSpan w:val="2"/>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a）应在网络边界或区域之间根据访问控制策略设置访问控制规则，默认情况下除允许通信外受控接口拒绝所有通信。</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b）应删除多余或无效的访问控制规则，优化访问控制列表，并保证访问控制规则数量最小化。</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 应对源地址、目的地址、源端口、目的端口和协议等进行检查，以允许／拒绝数据包进出。</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 应能根据会话状态信息为进出数据流提供明确的允许／拒绝访问的能力。</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e） 应对进出网络的数据流实现基于应用协议和应用内容的访问控制。</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入侵防范</w:t>
            </w:r>
          </w:p>
        </w:tc>
        <w:tc>
          <w:tcPr>
            <w:tcW w:w="6067" w:type="dxa"/>
            <w:gridSpan w:val="2"/>
            <w:vAlign w:val="center"/>
          </w:tcPr>
          <w:p>
            <w:pPr>
              <w:tabs>
                <w:tab w:val="left" w:pos="420"/>
              </w:tabs>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a）应在关键网络节点处检测、防止或限制从外部发起的网络攻击行为。</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b）应在关键网络节点处检测、防止或限制从内部发起的网络攻击行为。</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c）应采取技术措施对网络行为进行分析，实现对网络攻击特别是新型网络攻击行为的分析。</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d）当检测到攻击行为时，记录攻击源 IP、攻击类型、攻击目标、攻击时间，在发生严重 入侵事件时应提供报警。</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3.4</w:t>
            </w:r>
          </w:p>
        </w:tc>
        <w:tc>
          <w:tcPr>
            <w:tcW w:w="2100" w:type="dxa"/>
            <w:vAlign w:val="center"/>
          </w:tcPr>
          <w:p>
            <w:pPr>
              <w:snapToGrid w:val="0"/>
              <w:ind w:left="7" w:hanging="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恶意代码和垃圾邮件防范</w:t>
            </w:r>
          </w:p>
        </w:tc>
        <w:tc>
          <w:tcPr>
            <w:tcW w:w="6067" w:type="dxa"/>
            <w:gridSpan w:val="2"/>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a）应在关键网络节点处对恶意代码进行检测和清除，并维护恶意代码防护机制的升级 和更新。</w:t>
            </w:r>
          </w:p>
          <w:p>
            <w:pPr>
              <w:tabs>
                <w:tab w:val="left" w:pos="420"/>
              </w:tabs>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b）应在关键网络节点处对垃圾邮件进行检测和防护，并维护垃圾邮件防护机制的升级 和更新。</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安全审计</w:t>
            </w:r>
          </w:p>
        </w:tc>
        <w:tc>
          <w:tcPr>
            <w:tcW w:w="6067" w:type="dxa"/>
            <w:gridSpan w:val="2"/>
            <w:vAlign w:val="center"/>
          </w:tcPr>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a）应在网络边界、重要网络节点进行安全审计，审计覆盖到每个用户，对重要的用户行 为和重要安全事件进行审计。</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b）审计记录应包括事件的日期和时间、用户、事件类型、事件是否成功及其他与审计相关的信息。</w:t>
            </w:r>
          </w:p>
          <w:p>
            <w:pPr>
              <w:tabs>
                <w:tab w:val="left" w:pos="420"/>
              </w:tabs>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c）应对审计记录进行保护，定期备份，避免受到未预期的删除、修改或覆盖等。</w:t>
            </w:r>
          </w:p>
          <w:p>
            <w:pPr>
              <w:snapToGrid w:val="0"/>
              <w:ind w:left="7" w:hanging="7"/>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d）应能对远程访问的用户行为、访问物联网的用户行为等单独进行行为审计和数据分析。</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3.6</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可信验证</w:t>
            </w:r>
          </w:p>
        </w:tc>
        <w:tc>
          <w:tcPr>
            <w:tcW w:w="6067" w:type="dxa"/>
            <w:gridSpan w:val="2"/>
            <w:vAlign w:val="center"/>
          </w:tcPr>
          <w:p>
            <w:pP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可信验证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 </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安全计算环境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身份鉴别</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访问控制</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安全审计</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入侵防范</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恶意代码防范</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4.6</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可信验证</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4.7</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数据完整性</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4.8</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数据保密性</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4.9</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数据备份恢复</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4.10</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剩余信息保护</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4.11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个人信息保护</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系统管理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审计管理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集中管控</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安全策略</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管理制度</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制定和发布</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评审和修订</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岗位设置</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人员配备</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授权和审批</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沟通和合作</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审核和检查</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人员录用</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人员离岗</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安全意识教育和培训</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外部人员访问管理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安全建设管理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定级和备案</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安全方案设计</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产品采购和使用</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自行软件开发</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外包软件开发</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9.6</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工程实施</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9.7</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测试验收</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9.8</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系统交付</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9.9</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等级测评</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9.10</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服务供应商选择</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8914" w:type="dxa"/>
            <w:gridSpan w:val="4"/>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环境管理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资产管理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介质管理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设备维护管理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10.5</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漏洞和风险管理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10.6</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网络和系统安全管理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10.7</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恶意代码防范管理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10.8</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配置管理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10.9</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密码管理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10.10</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变更管理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10.11</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备份与恢复管理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10.12</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安全事件处置</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10.13</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应急预案管理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6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10.14</w:t>
            </w:r>
          </w:p>
        </w:tc>
        <w:tc>
          <w:tcPr>
            <w:tcW w:w="2100"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外包运维管理</w:t>
            </w:r>
          </w:p>
        </w:tc>
        <w:tc>
          <w:tcPr>
            <w:tcW w:w="4483"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项</w:t>
            </w:r>
          </w:p>
        </w:tc>
        <w:tc>
          <w:tcPr>
            <w:tcW w:w="1584"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747" w:type="dxa"/>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keepNext/>
        <w:keepLines/>
        <w:spacing w:after="200"/>
        <w:outlineLvl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pStyle w:val="2"/>
        <w:rPr>
          <w:rFonts w:hint="eastAsia" w:ascii="Tahoma" w:hAnsi="黑体" w:eastAsia="黑体" w:cs="Tahoma"/>
          <w:b/>
          <w:color w:val="000000" w:themeColor="text1"/>
          <w:szCs w:val="21"/>
          <w:highlight w:val="none"/>
          <w14:textFill>
            <w14:solidFill>
              <w14:schemeClr w14:val="tx1"/>
            </w14:solidFill>
          </w14:textFill>
        </w:rPr>
      </w:pPr>
    </w:p>
    <w:p>
      <w:pPr>
        <w:keepNext/>
        <w:keepLines/>
        <w:spacing w:after="200"/>
        <w:outlineLvl w:val="2"/>
        <w:rPr>
          <w:rFonts w:ascii="Tahoma" w:hAnsi="黑体" w:eastAsia="黑体" w:cs="Tahoma"/>
          <w:b/>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9.  120急救中心</w:t>
      </w:r>
    </w:p>
    <w:tbl>
      <w:tblPr>
        <w:tblStyle w:val="2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
        <w:gridCol w:w="2181"/>
        <w:gridCol w:w="6321"/>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425" w:hanging="425"/>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序号</w:t>
            </w:r>
          </w:p>
        </w:tc>
        <w:tc>
          <w:tcPr>
            <w:tcW w:w="2181" w:type="dxa"/>
            <w:shd w:val="clear" w:color="auto" w:fill="auto"/>
            <w:tcMar>
              <w:top w:w="12" w:type="dxa"/>
              <w:left w:w="12" w:type="dxa"/>
              <w:right w:w="12" w:type="dxa"/>
            </w:tcMar>
            <w:vAlign w:val="center"/>
          </w:tcPr>
          <w:p>
            <w:pPr>
              <w:snapToGrid w:val="0"/>
              <w:ind w:left="425" w:hanging="425"/>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商品名称</w:t>
            </w:r>
          </w:p>
        </w:tc>
        <w:tc>
          <w:tcPr>
            <w:tcW w:w="6321" w:type="dxa"/>
            <w:shd w:val="clear" w:color="auto" w:fill="auto"/>
            <w:tcMar>
              <w:top w:w="12" w:type="dxa"/>
              <w:left w:w="12" w:type="dxa"/>
              <w:right w:w="12" w:type="dxa"/>
            </w:tcMar>
            <w:vAlign w:val="center"/>
          </w:tcPr>
          <w:p>
            <w:pPr>
              <w:snapToGrid w:val="0"/>
              <w:jc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技术规格</w:t>
            </w:r>
          </w:p>
        </w:tc>
        <w:tc>
          <w:tcPr>
            <w:tcW w:w="752" w:type="dxa"/>
            <w:shd w:val="clear" w:color="auto" w:fill="auto"/>
            <w:tcMar>
              <w:top w:w="12" w:type="dxa"/>
              <w:left w:w="12" w:type="dxa"/>
              <w:right w:w="12" w:type="dxa"/>
            </w:tcMar>
            <w:vAlign w:val="center"/>
          </w:tcPr>
          <w:p>
            <w:pPr>
              <w:snapToGrid w:val="0"/>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液晶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拼接屏</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工业级DID超窄边液晶面板3*3</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支持1920*1080P输入高清显示；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单屏尺寸长1213.5*宽684.3mm；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亮度500cd/㎡</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对比度：3000:1；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物理拼缝3.5mm；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观看角度178度；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色彩饱和度97%</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控制信号：RS-232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显示模式：全屏拼接显示，支持M*N多屏组合拼接显示、分屏显示显示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控制方式：中控拼接屏软件。</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LED字幕屏</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约2.08个平方（3.748*0.556）</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中心概览屏</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75寸4K超高清只能互联网液晶电视机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人工智能HDR</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分辨率：（3840×2160）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运行内存：2GB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存储内存：16GB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USB接口2个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HDMI2.2接口3个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全面屏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四级能效</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4</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机顶盒</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产品类别 智能电视盒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CPU：四核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内存 2GB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闪存 8GB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操作系统 Android 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性能参数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输出分辨率 4K（3840*2160）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视频播放 视频解码：H.265 4K2K@60帧/秒；H.264 4K2K@30帧/秒；MPEG1/2/4、VC-1、DivX4/5可至1920*1080P@60帧/秒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视频格式：RM、RMVB、FLV、MOV、AVI、MKV、 TS、M2TS、MP4、3GP、MPEG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支持3D视频输出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音频播放 视频格式：MP4，MKV，FLV，AVI，MOV，RMVB，MPEG，MPG，3GP</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音频格式：MP3、APE、Flac、AAC、Ogg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图片格式 JPG，BMP，GIF，PNG等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无线功能 支持，双频WiFi（2.4GHz/5GHz）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视频接口 HDMI*2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音频接口 AV接口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其它接口 USB2.0*2</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5</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音箱</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调音台、音箱2只；一拖二无线话筒（主机一体）、话筒线、音箱线、机柜</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6</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拼接屏管理电脑</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I5-9500/内存8G/硬盘1T/2G独立显卡/DVD刻录/串口 支持WIN7 操作系统，23.8寸显示器 支持WIN10系统/Linux系统</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7</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座席位显示器</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34英寸，接口：DP，HDMI，USB扩展/充电，音频/耳机输出/接口：3440*1440/对比度：3000:1/3年质保/屏幕刷新率：144Hz</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8</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座席位主机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I5-10400F/16GB/256+1TB/GTX1650  4G/W in10</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9</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IP电话</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IP话机（含耳机接口）；液晶彩屏显示；耳机接口：RJ-9/USB</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10</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模拟线路网关</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专业的语音处理芯片，具有高性能、全并发的呼叫处理能力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支持4个FXO语音接口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支持G.711、G.729、G.723，G.726，iLBC， AMR等编码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支持语音、传真和POS终端接入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网络接口：1* LAN，1* WAN, 10/100Mbps, RJ45</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11</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S5720-28P-SI组合配置(24个10/100/1000Base-T以太网端口,4个复用的千兆Combo SFP,4个千兆SFP,含1个交流电源)</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12</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8个千兆电无管理</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13</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一体机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I5-10210/8G/512G/无光驱/集显/WIFI/23.8寸/W11/黑色</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14</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激光打印机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黑白激光网络打印机，自动双面打印：支持；幅面：A4；耗材类型：一体式硒鼓；连接方式：USB；技术类型：黑白激光</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15</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声光报警器</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含固定支架；基本接口：USB；喇叭响度：280mA；工作温度：-20~60</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16</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流量卡</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1主+2副（30G/月）</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17</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平板电脑</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屏幕尺寸：8英寸以上；内存容量：≥4GB；存储容量≥64GB；网络连接：4G全网通；定位类型：北斗/GPS/带保护套</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18</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采集设备</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内存容量：2GB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存储容量：32GB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网络连接：4G全网通</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19</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车载GPS</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GPS/北斗双模</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20</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车辆改造费</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采集设备安装，车载医疗设备对接</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21</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车载录像机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视频压缩标准： H.265、smart H.265 、H.264、smart H.264</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音频压缩标准： G.711A、G.711U、PCM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存储：1个SATA接口，单硬盘最大支持2T；1个前置SD卡接口：单卡最大支持256G，本机标配1块1T硬盘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陀螺仪：支持侧翻、撞车、急加速、急减速等事件检测并报警提示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GPS：支持内置GPS/北斗双模，可实现定位信息的显示、编码叠加、录像记录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3G/4G：支持内置3G/4G全网通模块，1个前置SIM卡槽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Wi-Fi：支持内置Wi-Fi模块，可连接Wi-Fi网络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视频输出：1路VGA、1路AV OUT、1路HDMI、1路扩展CVBS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报警接口：9路输入(8+1，第9路兼容脉冲测试)，2路输出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语音对讲：1路，支持车载专用话咪、车载全双工对讲终端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USB接口：2个前置USB 2.0接口，1个后置扩展USB 2.0接口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网口：1个前置RJ45，4个后置POE RJ45百兆自适应网口</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22</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车载硬盘2T</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2T 2.5英寸7mm PC盘</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23</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车载摄像头</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传感器类型1/2.8英寸CMOS；像素200万；最大分辨率1920×1080；最低照度0.002Lux(彩色模式);0.0002Lux(黑白模式);0Lux(补光灯开启)；最大补光距离20m（红外）；镜头类型定焦；镜头焦距2.8mm；通用行为分析物品遗留；物品搬移；热度图支持；周界防范绊线入侵；区域入侵；快速移动（三项均支持人车分类及精准检测）；徘徊检测；人员聚集；停车检测；人脸检测支持人脸检测；支持跟踪；支持优选；支持抓拍；支持上报最优的人脸抓图；支持人脸增强，支持人脸曝光；</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24</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车载对讲终端</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支持全双工语音对讲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按键数量4个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功率小于1.5W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自带6米线缆</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25</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车载监控平台</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车载监控平台是一款灵活，易扩展，高可靠，更专业的视频监控软件，通过分布式扩展性能，可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以满足中大型项目需求。除基本视频监控业务之外，车载监控平台支持车载监控、主动安全、电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子围栏等功能，使得该平台可以广泛应用于公交，长运，货运等移动车辆使用场景。</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26</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平台硬件服务器</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车载监控平台是移动监控的专业平台。聚焦切入道路运输、公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交、长运等场景的安全防护，支撑场景内视频监控、电子地图、报警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联控、智能分析及运维分析等一体化安防管控，并且是一个灵活、可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扩展、高度可靠和强大的中心管理系统。车载监控平台采用客户端服务器架构，提供集中管理、便捷连接、多业务合作。它可以提供用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户权限管理、设备管理、报警管理、中央存储、地图等基本功能，是一</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个专业的移动车辆管理平台。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车载监控平台采用客户端-服务器架构，提供集中管理、便捷连</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接、多业务合作。它可以提供用户权限管理、设备管理、报警管理、中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央存储、地图等基本功能，是一个专业的移动车辆管理平台。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视频监控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支持重点区域实时预览、录像回放、视频上墙及语音对讲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等，支持第三方平台对接，支持iPhone、iPad及Android等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多版本客户端。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报警联控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支持区域设备、智能规则报警管理，支持异常报警联动视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频、录像、短信、邮件、上墙、话机及云台预置点定位。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电子地图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高德在线地图、光栅地图及百度地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图等类型，支持地图化视频监控等基础动作，支持车辆历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史轨迹查询、过车查询及定位追踪。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统计运维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支持设备状态、用户状态、系统状态、磁盘状态及网络状态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实时检测、分析，支持用户系统管理、业务操作等日志记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主动安全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集成主动安全设备上报，报警信息、地点地图显示、报警图</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片、报警短录像一体化显示，图形化报警统计展示。</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27</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嵌入式高清解码器整机</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支持4路本地信号采集（2路DVI-I和2路HDMI，HDMI接口最大支持4K）</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支持15路HDMI信号输出接口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支持15路HDMI音频输出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支持MPEG2/MPEG4/H.264/H.265/SVAC/MJPEG标准网络视频流解码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QCIF/CIF/2CIF/HD1/D1/720P/1080P/300W/500W/600W/800W/1200W视频解码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支持通过串口控制屏幕开关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支持15路1200W@25fps，20路800W@30fps，40路500W @30fps，60路300W @25fps，80路1080P @30fps，180路720P@30fps视频解码H264和H265解码能力相同</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支持1/4/9/16画面分割切换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HDMI输出接口支持3840x2160,，1920x1080,1280x1024，1280x720，1024x768五种显示分辨率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HDMI输入接口支持,3840x2160分辨率</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28</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车载专用线</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车载专用线-(装车取电线,3芯6.3间距孔型转3芯裸线)-黑色-4m</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29</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车载专用线</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车载专用线B</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30</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装修服务</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地面：瓷面防静电地板安装，含不锈钢踢脚线，铜箔条等材料；墙面处理，刷防尘漆；顶部吊顶制作；门窗处理；墙面吸声体安装，采用贴面法，做隔音处理，会议灯具及照明灯具，面积50平方米</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31</w:t>
            </w:r>
          </w:p>
        </w:tc>
        <w:tc>
          <w:tcPr>
            <w:tcW w:w="2181" w:type="dxa"/>
            <w:vMerge w:val="restart"/>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桌椅</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3个席位，包含桌椅，定做桌椅</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32</w:t>
            </w:r>
          </w:p>
        </w:tc>
        <w:tc>
          <w:tcPr>
            <w:tcW w:w="2181" w:type="dxa"/>
            <w:vMerge w:val="continue"/>
            <w:shd w:val="clear" w:color="auto" w:fill="auto"/>
            <w:tcMar>
              <w:top w:w="12" w:type="dxa"/>
              <w:left w:w="12" w:type="dxa"/>
              <w:right w:w="12" w:type="dxa"/>
            </w:tcMar>
            <w:vAlign w:val="center"/>
          </w:tcPr>
          <w:p>
            <w:pPr>
              <w:jc w:val="center"/>
              <w:rPr>
                <w:rFonts w:ascii="宋体" w:hAnsi="宋体" w:cs="宋体"/>
                <w:color w:val="000000" w:themeColor="text1"/>
                <w:kern w:val="0"/>
                <w:szCs w:val="21"/>
                <w:highlight w:val="none"/>
                <w:lang w:bidi="ar"/>
                <w14:textFill>
                  <w14:solidFill>
                    <w14:schemeClr w14:val="tx1"/>
                  </w14:solidFill>
                </w14:textFill>
              </w:rPr>
            </w:pP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1长方桌，8把椅子，定做桌椅</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33</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空调</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立柜式变频空调5P,冷暖变频</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34</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空调</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立柜式变频空调3P,冷暖变频</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35</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配电箱</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配电箱、UPS电池柜、阻燃铜芯电缆，含插线板3插口：3个及以上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2插口：3个及以上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长度：1.8米及以上</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36</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42U服务器机柜，外形尺寸:600*1000*2000cm,4只2”重型脚轮、4只M12支脚、1只内六角扳手，带1个8W蓝色节能灯。19"正方向安装，50个螺丝，1个PDU插座，12位国标，16A输入，10A输出，带开关带3米线机柜底座、接地铜牌、PDU供电单元</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37</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备用电源</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1、输入输出制式：制式可调（三进三出、三进单出、单进单出）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2、6K机头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3、额定功率（kW）：10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4、16节12V65AH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5、1个电池柜，可放置16节12V65AH 蓄电池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6、过载能力：110%负载可长期运行；125%负载15min后转旁路；150%负载1min后转旁路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7、整机效率：高达 96%</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8、直流启动：支持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9、尺寸（宽*深*高）（mm）：438×500×130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10、重量（kg）：20</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3"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r>
              <w:rPr>
                <w:rFonts w:hint="eastAsia" w:ascii="微软雅黑" w:hAnsi="微软雅黑"/>
                <w:color w:val="000000" w:themeColor="text1"/>
                <w:szCs w:val="21"/>
                <w:highlight w:val="none"/>
                <w14:textFill>
                  <w14:solidFill>
                    <w14:schemeClr w14:val="tx1"/>
                  </w14:solidFill>
                </w14:textFill>
              </w:rPr>
              <w:t>38</w:t>
            </w:r>
          </w:p>
        </w:tc>
        <w:tc>
          <w:tcPr>
            <w:tcW w:w="2181" w:type="dxa"/>
            <w:shd w:val="clear" w:color="auto" w:fill="auto"/>
            <w:tcMar>
              <w:top w:w="12" w:type="dxa"/>
              <w:left w:w="12" w:type="dxa"/>
              <w:right w:w="12" w:type="dxa"/>
            </w:tcMar>
            <w:vAlign w:val="center"/>
          </w:tcPr>
          <w:p>
            <w:pPr>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技术服务</w:t>
            </w:r>
          </w:p>
        </w:tc>
        <w:tc>
          <w:tcPr>
            <w:tcW w:w="6321" w:type="dxa"/>
            <w:shd w:val="clear" w:color="auto" w:fill="auto"/>
            <w:tcMar>
              <w:top w:w="12" w:type="dxa"/>
              <w:left w:w="12" w:type="dxa"/>
              <w:right w:w="12" w:type="dxa"/>
            </w:tcMar>
            <w:vAlign w:val="center"/>
          </w:tcPr>
          <w:p>
            <w:pP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调度会议室的网络综合布线，所需材料：配线盒、六类网线、光纤配线架、水晶头、跳线、光模块、理线架等，确保调度指挥中心的网络正常。</w:t>
            </w:r>
          </w:p>
        </w:tc>
        <w:tc>
          <w:tcPr>
            <w:tcW w:w="752" w:type="dxa"/>
            <w:shd w:val="clear" w:color="auto" w:fill="auto"/>
            <w:tcMar>
              <w:top w:w="12" w:type="dxa"/>
              <w:left w:w="12" w:type="dxa"/>
              <w:right w:w="12" w:type="dxa"/>
            </w:tcMar>
            <w:vAlign w:val="center"/>
          </w:tcPr>
          <w:p>
            <w:pPr>
              <w:snapToGrid w:val="0"/>
              <w:ind w:left="567" w:hanging="567"/>
              <w:jc w:val="center"/>
              <w:rPr>
                <w:rFonts w:ascii="微软雅黑" w:hAnsi="微软雅黑"/>
                <w:color w:val="000000" w:themeColor="text1"/>
                <w:szCs w:val="21"/>
                <w:highlight w:val="none"/>
                <w14:textFill>
                  <w14:solidFill>
                    <w14:schemeClr w14:val="tx1"/>
                  </w14:solidFill>
                </w14:textFill>
              </w:rPr>
            </w:pPr>
          </w:p>
        </w:tc>
      </w:tr>
    </w:tbl>
    <w:p>
      <w:pPr>
        <w:tabs>
          <w:tab w:val="left" w:pos="900"/>
        </w:tabs>
        <w:snapToGrid w:val="0"/>
        <w:spacing w:line="264" w:lineRule="auto"/>
        <w:rPr>
          <w:rFonts w:ascii="Tahoma" w:hAnsi="黑体" w:eastAsia="黑体" w:cs="Tahoma"/>
          <w:b/>
          <w:color w:val="000000" w:themeColor="text1"/>
          <w:szCs w:val="21"/>
          <w:highlight w:val="none"/>
          <w14:textFill>
            <w14:solidFill>
              <w14:schemeClr w14:val="tx1"/>
            </w14:solidFill>
          </w14:textFill>
        </w:rPr>
      </w:pPr>
    </w:p>
    <w:p>
      <w:pPr>
        <w:tabs>
          <w:tab w:val="left" w:pos="900"/>
        </w:tabs>
        <w:snapToGrid w:val="0"/>
        <w:spacing w:line="264" w:lineRule="auto"/>
        <w:rPr>
          <w:rFonts w:ascii="Tahoma" w:hAnsi="黑体" w:eastAsia="黑体" w:cs="Tahoma"/>
          <w:b/>
          <w:bCs/>
          <w:color w:val="000000" w:themeColor="text1"/>
          <w:szCs w:val="21"/>
          <w:highlight w:val="none"/>
          <w14:textFill>
            <w14:solidFill>
              <w14:schemeClr w14:val="tx1"/>
            </w14:solidFill>
          </w14:textFill>
        </w:rPr>
      </w:pPr>
      <w:r>
        <w:rPr>
          <w:rFonts w:hint="eastAsia" w:ascii="Tahoma" w:hAnsi="黑体" w:eastAsia="黑体" w:cs="Tahoma"/>
          <w:b/>
          <w:color w:val="000000" w:themeColor="text1"/>
          <w:szCs w:val="21"/>
          <w:highlight w:val="none"/>
          <w14:textFill>
            <w14:solidFill>
              <w14:schemeClr w14:val="tx1"/>
            </w14:solidFill>
          </w14:textFill>
        </w:rPr>
        <w:t>二、软件采购</w:t>
      </w:r>
      <w:r>
        <w:rPr>
          <w:rFonts w:ascii="Tahoma" w:hAnsi="黑体" w:eastAsia="黑体" w:cs="Tahoma"/>
          <w:b/>
          <w:bCs/>
          <w:color w:val="000000" w:themeColor="text1"/>
          <w:szCs w:val="21"/>
          <w:highlight w:val="none"/>
          <w14:textFill>
            <w14:solidFill>
              <w14:schemeClr w14:val="tx1"/>
            </w14:solidFill>
          </w14:textFill>
        </w:rPr>
        <w:t>需求</w:t>
      </w:r>
      <w:r>
        <w:rPr>
          <w:rFonts w:hint="eastAsia" w:ascii="Tahoma" w:hAnsi="黑体" w:eastAsia="黑体" w:cs="Tahoma"/>
          <w:b/>
          <w:bCs/>
          <w:color w:val="000000" w:themeColor="text1"/>
          <w:szCs w:val="21"/>
          <w:highlight w:val="none"/>
          <w14:textFill>
            <w14:solidFill>
              <w14:schemeClr w14:val="tx1"/>
            </w14:solidFill>
          </w14:textFill>
        </w:rPr>
        <w:t>参数</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32" w:name="_Toc2381"/>
      <w:r>
        <w:rPr>
          <w:color w:val="000000" w:themeColor="text1"/>
          <w:highlight w:val="none"/>
          <w14:textFill>
            <w14:solidFill>
              <w14:schemeClr w14:val="tx1"/>
            </w14:solidFill>
          </w14:textFill>
        </w:rPr>
        <w:t>患者服务</w:t>
      </w:r>
      <w:bookmarkEnd w:id="32"/>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33" w:name="_Toc10745"/>
      <w:bookmarkStart w:id="34" w:name="_Toc20604"/>
      <w:r>
        <w:rPr>
          <w:color w:val="000000" w:themeColor="text1"/>
          <w:sz w:val="28"/>
          <w:szCs w:val="28"/>
          <w:highlight w:val="none"/>
          <w14:textFill>
            <w14:solidFill>
              <w14:schemeClr w14:val="tx1"/>
            </w14:solidFill>
          </w14:textFill>
        </w:rPr>
        <w:t>1.1.1门诊分诊管理系统</w:t>
      </w:r>
      <w:bookmarkEnd w:id="33"/>
      <w:bookmarkEnd w:id="34"/>
      <w:r>
        <w:rPr>
          <w:color w:val="000000" w:themeColor="text1"/>
          <w:sz w:val="28"/>
          <w:szCs w:val="28"/>
          <w:highlight w:val="none"/>
          <w14:textFill>
            <w14:solidFill>
              <w14:schemeClr w14:val="tx1"/>
            </w14:solidFill>
          </w14:textFill>
        </w:rPr>
        <w:t xml:space="preserve">  </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门诊分诊管理系统是帮助护士实现诊区分诊，让患者有序就医、轻松就医、提升医疗服务水平重要组成部分。门诊分诊管理系统适用于多种分诊场合，如门诊分诊、急诊分诊、专科分诊等，分诊模式分为诊区分诊、诊间分诊。</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功能要求：需实现门诊患者诊区分诊、诊间分诊、危急值提醒、患者体征</w:t>
      </w:r>
      <w:r>
        <w:rPr>
          <w:rFonts w:hint="eastAsia" w:ascii="宋体" w:hAnsi="宋体"/>
          <w:color w:val="000000" w:themeColor="text1"/>
          <w:highlight w:val="none"/>
          <w14:textFill>
            <w14:solidFill>
              <w14:schemeClr w14:val="tx1"/>
            </w14:solidFill>
          </w14:textFill>
        </w:rPr>
        <w:t>采集</w:t>
      </w:r>
      <w:r>
        <w:rPr>
          <w:rFonts w:ascii="宋体" w:hAnsi="宋体"/>
          <w:color w:val="000000" w:themeColor="text1"/>
          <w:highlight w:val="none"/>
          <w14:textFill>
            <w14:solidFill>
              <w14:schemeClr w14:val="tx1"/>
            </w14:solidFill>
          </w14:textFill>
        </w:rPr>
        <w:t>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35" w:name="_Toc10069"/>
      <w:bookmarkStart w:id="36" w:name="_Toc18680"/>
      <w:r>
        <w:rPr>
          <w:color w:val="000000" w:themeColor="text1"/>
          <w:sz w:val="28"/>
          <w:szCs w:val="28"/>
          <w:highlight w:val="none"/>
          <w14:textFill>
            <w14:solidFill>
              <w14:schemeClr w14:val="tx1"/>
            </w14:solidFill>
          </w14:textFill>
        </w:rPr>
        <w:t>1.1.2医技收费管理系统</w:t>
      </w:r>
      <w:bookmarkEnd w:id="35"/>
      <w:bookmarkEnd w:id="36"/>
    </w:p>
    <w:p>
      <w:pPr>
        <w:autoSpaceDE w:val="0"/>
        <w:autoSpaceDN w:val="0"/>
        <w:adjustRightInd w:val="0"/>
        <w:spacing w:line="348" w:lineRule="auto"/>
        <w:ind w:firstLine="420" w:firstLineChars="200"/>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医技收费管理完成门诊、住院医技项目确认和确认查询，实现患者收费、确费信息的即时共享。</w:t>
      </w:r>
    </w:p>
    <w:p>
      <w:pPr>
        <w:autoSpaceDE w:val="0"/>
        <w:autoSpaceDN w:val="0"/>
        <w:adjustRightInd w:val="0"/>
        <w:spacing w:line="348" w:lineRule="auto"/>
        <w:ind w:firstLine="420" w:firstLineChars="200"/>
        <w:rPr>
          <w:rFonts w:ascii="宋体" w:hAnsi="宋体"/>
          <w:color w:val="000000" w:themeColor="text1"/>
          <w:kern w:val="0"/>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t>功能要求：实现医技确认、医技收费、医技退费、补记账、查询统计功能，支持门诊和住院。</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37" w:name="_Toc7513"/>
      <w:bookmarkStart w:id="38" w:name="_Toc10806"/>
      <w:r>
        <w:rPr>
          <w:color w:val="000000" w:themeColor="text1"/>
          <w:sz w:val="28"/>
          <w:szCs w:val="28"/>
          <w:highlight w:val="none"/>
          <w14:textFill>
            <w14:solidFill>
              <w14:schemeClr w14:val="tx1"/>
            </w14:solidFill>
          </w14:textFill>
        </w:rPr>
        <w:t>1.1.3自助服务管理系统</w:t>
      </w:r>
      <w:bookmarkEnd w:id="37"/>
      <w:bookmarkEnd w:id="38"/>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智能自助服务系统致力于解决医院患者就医过程长期存在的“三长一短”中的“三长”问题，努力提高医院就医环境。实现门诊住院自助全业务覆盖，提供给患者易于使用的交互界面，提供给医院管理人员集中管理、运维便捷的后台管理工具。</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实现患者就医时使用自助机能进行门诊自助预约、挂号、缴费、查询、发卡、充值，住院自助入院登记、预交金续缴、出院结算，自助打印发票、检查检验报告、病历报告，初诊患者在自助机上实现智能导诊挂号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39" w:name="_Toc12144"/>
      <w:bookmarkStart w:id="40" w:name="_Toc12010"/>
      <w:r>
        <w:rPr>
          <w:color w:val="000000" w:themeColor="text1"/>
          <w:sz w:val="28"/>
          <w:szCs w:val="28"/>
          <w:highlight w:val="none"/>
          <w14:textFill>
            <w14:solidFill>
              <w14:schemeClr w14:val="tx1"/>
            </w14:solidFill>
          </w14:textFill>
        </w:rPr>
        <w:t>1.1.4床旁结算系统</w:t>
      </w:r>
      <w:bookmarkEnd w:id="39"/>
      <w:bookmarkEnd w:id="40"/>
    </w:p>
    <w:p>
      <w:pPr>
        <w:pStyle w:val="7"/>
        <w:spacing w:after="0" w:line="348" w:lineRule="auto"/>
        <w:ind w:firstLine="562" w:firstLineChars="200"/>
        <w:rPr>
          <w:rFonts w:ascii="宋体" w:hAnsi="宋体"/>
          <w:color w:val="000000" w:themeColor="text1"/>
          <w:highlight w:val="none"/>
          <w14:textFill>
            <w14:solidFill>
              <w14:schemeClr w14:val="tx1"/>
            </w14:solidFill>
          </w14:textFill>
        </w:rPr>
      </w:pPr>
      <w:bookmarkStart w:id="41" w:name="_Toc29348"/>
      <w:bookmarkStart w:id="42" w:name="_Toc10094"/>
      <w:bookmarkStart w:id="43" w:name="_Toc6838"/>
      <w:r>
        <w:rPr>
          <w:rFonts w:hint="eastAsia" w:ascii="宋体" w:hAnsi="宋体"/>
          <w:color w:val="000000" w:themeColor="text1"/>
          <w:highlight w:val="none"/>
          <w14:textFill>
            <w14:solidFill>
              <w14:schemeClr w14:val="tx1"/>
            </w14:solidFill>
          </w14:textFill>
        </w:rPr>
        <w:t>床旁腕带扫码支付</w:t>
      </w:r>
      <w:bookmarkEnd w:id="41"/>
      <w:bookmarkEnd w:id="42"/>
      <w:bookmarkEnd w:id="43"/>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住院患者提供专属腕带住院支付二维码，住院患者只需通过手机“扫一扫”腕带上的二维码，即可自主选择充值住院预交金的金额。免去住院患者排队缴费的繁琐，便于住院患者及其家属随时随地完成住院预交金的缴纳。</w:t>
      </w:r>
    </w:p>
    <w:p>
      <w:pPr>
        <w:pStyle w:val="7"/>
        <w:spacing w:after="0" w:line="348" w:lineRule="auto"/>
        <w:ind w:firstLine="562" w:firstLineChars="200"/>
        <w:rPr>
          <w:rFonts w:ascii="宋体" w:hAnsi="宋体"/>
          <w:color w:val="000000" w:themeColor="text1"/>
          <w:highlight w:val="none"/>
          <w14:textFill>
            <w14:solidFill>
              <w14:schemeClr w14:val="tx1"/>
            </w14:solidFill>
          </w14:textFill>
        </w:rPr>
      </w:pPr>
      <w:bookmarkStart w:id="44" w:name="_Toc14843"/>
      <w:bookmarkStart w:id="45" w:name="_Toc27151"/>
      <w:bookmarkStart w:id="46" w:name="_Toc1383"/>
      <w:r>
        <w:rPr>
          <w:rFonts w:hint="eastAsia" w:ascii="宋体" w:hAnsi="宋体"/>
          <w:color w:val="000000" w:themeColor="text1"/>
          <w:highlight w:val="none"/>
          <w14:textFill>
            <w14:solidFill>
              <w14:schemeClr w14:val="tx1"/>
            </w14:solidFill>
          </w14:textFill>
        </w:rPr>
        <w:t>催款单床旁结算</w:t>
      </w:r>
      <w:bookmarkEnd w:id="44"/>
      <w:bookmarkEnd w:id="45"/>
      <w:bookmarkEnd w:id="46"/>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为住院患者催款单据上生成支付二维码，住院患者只需通过手机扫一扫催款单上的</w:t>
      </w:r>
      <w:r>
        <w:rPr>
          <w:rFonts w:hint="eastAsia" w:ascii="宋体" w:hAnsi="宋体"/>
          <w:color w:val="000000" w:themeColor="text1"/>
          <w:highlight w:val="none"/>
          <w14:textFill>
            <w14:solidFill>
              <w14:schemeClr w14:val="tx1"/>
            </w14:solidFill>
          </w14:textFill>
        </w:rPr>
        <w:t>二维码</w:t>
      </w:r>
      <w:r>
        <w:rPr>
          <w:rFonts w:ascii="宋体" w:hAnsi="宋体"/>
          <w:color w:val="000000" w:themeColor="text1"/>
          <w:highlight w:val="none"/>
          <w14:textFill>
            <w14:solidFill>
              <w14:schemeClr w14:val="tx1"/>
            </w14:solidFill>
          </w14:textFill>
        </w:rPr>
        <w:t>，即可</w:t>
      </w:r>
      <w:r>
        <w:rPr>
          <w:rFonts w:hint="eastAsia" w:ascii="宋体" w:hAnsi="宋体"/>
          <w:color w:val="000000" w:themeColor="text1"/>
          <w:highlight w:val="none"/>
          <w14:textFill>
            <w14:solidFill>
              <w14:schemeClr w14:val="tx1"/>
            </w14:solidFill>
          </w14:textFill>
        </w:rPr>
        <w:t>自主选择充值住院预交金的金额。</w:t>
      </w:r>
      <w:r>
        <w:rPr>
          <w:rFonts w:ascii="宋体" w:hAnsi="宋体"/>
          <w:color w:val="000000" w:themeColor="text1"/>
          <w:highlight w:val="none"/>
          <w14:textFill>
            <w14:solidFill>
              <w14:schemeClr w14:val="tx1"/>
            </w14:solidFill>
          </w14:textFill>
        </w:rPr>
        <w:t>免去住院患者排队缴费的繁琐，便于住院患者及其家属随时随地完成住院费用的缴纳。</w:t>
      </w:r>
    </w:p>
    <w:p>
      <w:pPr>
        <w:pStyle w:val="7"/>
        <w:spacing w:after="0" w:line="348" w:lineRule="auto"/>
        <w:ind w:firstLine="562" w:firstLineChars="200"/>
        <w:rPr>
          <w:rFonts w:ascii="宋体" w:hAnsi="宋体"/>
          <w:color w:val="000000" w:themeColor="text1"/>
          <w:highlight w:val="none"/>
          <w14:textFill>
            <w14:solidFill>
              <w14:schemeClr w14:val="tx1"/>
            </w14:solidFill>
          </w14:textFill>
        </w:rPr>
      </w:pPr>
      <w:bookmarkStart w:id="47" w:name="_Toc21414"/>
      <w:bookmarkStart w:id="48" w:name="_Toc27025"/>
      <w:bookmarkStart w:id="49" w:name="_Toc7345"/>
      <w:r>
        <w:rPr>
          <w:rFonts w:hint="eastAsia" w:ascii="宋体" w:hAnsi="宋体"/>
          <w:color w:val="000000" w:themeColor="text1"/>
          <w:highlight w:val="none"/>
          <w14:textFill>
            <w14:solidFill>
              <w14:schemeClr w14:val="tx1"/>
            </w14:solidFill>
          </w14:textFill>
        </w:rPr>
        <w:t>对账平台</w:t>
      </w:r>
      <w:bookmarkEnd w:id="47"/>
      <w:bookmarkEnd w:id="48"/>
      <w:bookmarkEnd w:id="49"/>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驾驶舱。支持微信、支付宝等支付渠道所占金额、笔数、交易金额、趋势、占比等相关数据指标统计分析。</w:t>
      </w:r>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对账总览。自动展示昨日资金对账情况，并直观显示对账结果，包括单边账、跨日账等。可提供对账数据对比情况以及昨日对账结果展示。</w:t>
      </w:r>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对账平台既可分院区，也可合并进行统计使用，统计数据均可支持导出。</w:t>
      </w:r>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对账历史查询。对历史对账记录进行查询。</w:t>
      </w:r>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交易明细查询。对HIS或第三方账单单笔交易明细详情进行查询。</w:t>
      </w:r>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单边账处理，单边账日期提醒、单边账原因说明以及单边账处理机制。能够记录对账人员最后一次对账时间、登录对账操作员、待处理单边账起始日期。</w:t>
      </w:r>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未处理单边账汇总。提供全周期的未处理单边账汇总，可进行退费、挂账操作。</w:t>
      </w:r>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单边账报表。对段时间单边账订单产生及处理金额进行汇总统计，对单边账明细进行查看导出。</w:t>
      </w:r>
    </w:p>
    <w:p>
      <w:pPr>
        <w:numPr>
          <w:ilvl w:val="0"/>
          <w:numId w:val="5"/>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第三方账单报表核对。支持对HIS账单、HIS报表进行二次核对，以此确认是否存在第三方账单金额差异。</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50" w:name="_Toc13708"/>
      <w:r>
        <w:rPr>
          <w:color w:val="000000" w:themeColor="text1"/>
          <w:highlight w:val="none"/>
          <w14:textFill>
            <w14:solidFill>
              <w14:schemeClr w14:val="tx1"/>
            </w14:solidFill>
          </w14:textFill>
        </w:rPr>
        <w:t>临床诊疗</w:t>
      </w:r>
      <w:bookmarkEnd w:id="50"/>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1" w:name="_Toc31059"/>
      <w:bookmarkStart w:id="52" w:name="_Toc343"/>
      <w:r>
        <w:rPr>
          <w:color w:val="000000" w:themeColor="text1"/>
          <w:sz w:val="28"/>
          <w:szCs w:val="28"/>
          <w:highlight w:val="none"/>
          <w14:textFill>
            <w14:solidFill>
              <w14:schemeClr w14:val="tx1"/>
            </w14:solidFill>
          </w14:textFill>
        </w:rPr>
        <w:t>1.2.1护理管理系统</w:t>
      </w:r>
      <w:bookmarkEnd w:id="51"/>
    </w:p>
    <w:p>
      <w:pPr>
        <w:spacing w:line="348" w:lineRule="auto"/>
        <w:ind w:firstLine="492" w:firstLineChars="200"/>
        <w:rPr>
          <w:rFonts w:ascii="宋体" w:hAnsi="宋体"/>
          <w:color w:val="000000" w:themeColor="text1"/>
          <w:highlight w:val="none"/>
          <w14:textFill>
            <w14:solidFill>
              <w14:schemeClr w14:val="tx1"/>
            </w14:solidFill>
          </w14:textFill>
        </w:rPr>
      </w:pPr>
      <w:r>
        <w:rPr>
          <w:rFonts w:ascii="宋体" w:hAnsi="宋体" w:cs="宋体"/>
          <w:color w:val="000000" w:themeColor="text1"/>
          <w:spacing w:val="18"/>
          <w:highlight w:val="none"/>
          <w14:textFill>
            <w14:solidFill>
              <w14:schemeClr w14:val="tx1"/>
            </w14:solidFill>
          </w14:textFill>
        </w:rPr>
        <w:t>护理</w:t>
      </w:r>
      <w:r>
        <w:rPr>
          <w:rFonts w:ascii="宋体" w:hAnsi="宋体" w:cs="宋体"/>
          <w:color w:val="000000" w:themeColor="text1"/>
          <w:spacing w:val="10"/>
          <w:highlight w:val="none"/>
          <w14:textFill>
            <w14:solidFill>
              <w14:schemeClr w14:val="tx1"/>
            </w14:solidFill>
          </w14:textFill>
        </w:rPr>
        <w:t>部</w:t>
      </w:r>
      <w:r>
        <w:rPr>
          <w:rFonts w:ascii="宋体" w:hAnsi="宋体" w:cs="宋体"/>
          <w:color w:val="000000" w:themeColor="text1"/>
          <w:spacing w:val="9"/>
          <w:highlight w:val="none"/>
          <w14:textFill>
            <w14:solidFill>
              <w14:schemeClr w14:val="tx1"/>
            </w14:solidFill>
          </w14:textFill>
        </w:rPr>
        <w:t>管理系统应通过对对全院病区护士进行综合的人力资源、绩效、质量、排班等</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spacing w:val="9"/>
          <w:highlight w:val="none"/>
          <w14:textFill>
            <w14:solidFill>
              <w14:schemeClr w14:val="tx1"/>
            </w14:solidFill>
          </w14:textFill>
        </w:rPr>
        <w:t>进行统一管理。主要功能应包括</w:t>
      </w:r>
      <w:r>
        <w:rPr>
          <w:rFonts w:hint="eastAsia" w:ascii="宋体" w:hAnsi="宋体" w:cs="宋体"/>
          <w:color w:val="000000" w:themeColor="text1"/>
          <w:spacing w:val="9"/>
          <w:highlight w:val="none"/>
          <w14:textFill>
            <w14:solidFill>
              <w14:schemeClr w14:val="tx1"/>
            </w14:solidFill>
          </w14:textFill>
        </w:rPr>
        <w:t>：</w:t>
      </w:r>
      <w:r>
        <w:rPr>
          <w:rFonts w:ascii="宋体" w:hAnsi="宋体" w:cs="宋体"/>
          <w:color w:val="000000" w:themeColor="text1"/>
          <w:spacing w:val="19"/>
          <w:highlight w:val="none"/>
          <w14:textFill>
            <w14:solidFill>
              <w14:schemeClr w14:val="tx1"/>
            </w14:solidFill>
          </w14:textFill>
        </w:rPr>
        <w:t>护士长手册管理</w:t>
      </w:r>
      <w:r>
        <w:rPr>
          <w:rFonts w:hint="eastAsia" w:ascii="宋体" w:hAnsi="宋体" w:cs="宋体"/>
          <w:color w:val="000000" w:themeColor="text1"/>
          <w:spacing w:val="19"/>
          <w:highlight w:val="none"/>
          <w14:textFill>
            <w14:solidFill>
              <w14:schemeClr w14:val="tx1"/>
            </w14:solidFill>
          </w14:textFill>
        </w:rPr>
        <w:t>、护理</w:t>
      </w:r>
      <w:r>
        <w:rPr>
          <w:rFonts w:ascii="宋体" w:hAnsi="宋体" w:cs="宋体"/>
          <w:color w:val="000000" w:themeColor="text1"/>
          <w:spacing w:val="21"/>
          <w:highlight w:val="none"/>
          <w14:textFill>
            <w14:solidFill>
              <w14:schemeClr w14:val="tx1"/>
            </w14:solidFill>
          </w14:textFill>
        </w:rPr>
        <w:t>质控管</w:t>
      </w:r>
      <w:r>
        <w:rPr>
          <w:rFonts w:ascii="宋体" w:hAnsi="宋体" w:cs="宋体"/>
          <w:color w:val="000000" w:themeColor="text1"/>
          <w:spacing w:val="19"/>
          <w:highlight w:val="none"/>
          <w14:textFill>
            <w14:solidFill>
              <w14:schemeClr w14:val="tx1"/>
            </w14:solidFill>
          </w14:textFill>
        </w:rPr>
        <w:t>理</w:t>
      </w:r>
      <w:r>
        <w:rPr>
          <w:rFonts w:hint="eastAsia" w:ascii="宋体" w:hAnsi="宋体" w:cs="宋体"/>
          <w:color w:val="000000" w:themeColor="text1"/>
          <w:spacing w:val="19"/>
          <w:highlight w:val="none"/>
          <w14:textFill>
            <w14:solidFill>
              <w14:schemeClr w14:val="tx1"/>
            </w14:solidFill>
          </w14:textFill>
        </w:rPr>
        <w:t>、</w:t>
      </w:r>
      <w:r>
        <w:rPr>
          <w:rFonts w:ascii="宋体" w:hAnsi="宋体" w:cs="宋体"/>
          <w:color w:val="000000" w:themeColor="text1"/>
          <w:spacing w:val="21"/>
          <w:highlight w:val="none"/>
          <w14:textFill>
            <w14:solidFill>
              <w14:schemeClr w14:val="tx1"/>
            </w14:solidFill>
          </w14:textFill>
        </w:rPr>
        <w:t>安全管</w:t>
      </w:r>
      <w:r>
        <w:rPr>
          <w:rFonts w:ascii="宋体" w:hAnsi="宋体" w:cs="宋体"/>
          <w:color w:val="000000" w:themeColor="text1"/>
          <w:spacing w:val="19"/>
          <w:highlight w:val="none"/>
          <w14:textFill>
            <w14:solidFill>
              <w14:schemeClr w14:val="tx1"/>
            </w14:solidFill>
          </w14:textFill>
        </w:rPr>
        <w:t>理</w:t>
      </w:r>
      <w:r>
        <w:rPr>
          <w:rFonts w:hint="eastAsia" w:ascii="宋体" w:hAnsi="宋体" w:cs="宋体"/>
          <w:color w:val="000000" w:themeColor="text1"/>
          <w:spacing w:val="19"/>
          <w:highlight w:val="none"/>
          <w14:textFill>
            <w14:solidFill>
              <w14:schemeClr w14:val="tx1"/>
            </w14:solidFill>
          </w14:textFill>
        </w:rPr>
        <w:t>、</w:t>
      </w:r>
      <w:r>
        <w:rPr>
          <w:rFonts w:ascii="宋体" w:hAnsi="宋体" w:cs="宋体"/>
          <w:color w:val="000000" w:themeColor="text1"/>
          <w:spacing w:val="21"/>
          <w:highlight w:val="none"/>
          <w14:textFill>
            <w14:solidFill>
              <w14:schemeClr w14:val="tx1"/>
            </w14:solidFill>
          </w14:textFill>
        </w:rPr>
        <w:t>查房管</w:t>
      </w:r>
      <w:r>
        <w:rPr>
          <w:rFonts w:ascii="宋体" w:hAnsi="宋体" w:cs="宋体"/>
          <w:color w:val="000000" w:themeColor="text1"/>
          <w:spacing w:val="19"/>
          <w:highlight w:val="none"/>
          <w14:textFill>
            <w14:solidFill>
              <w14:schemeClr w14:val="tx1"/>
            </w14:solidFill>
          </w14:textFill>
        </w:rPr>
        <w:t>理</w:t>
      </w:r>
      <w:r>
        <w:rPr>
          <w:rFonts w:hint="eastAsia" w:ascii="宋体" w:hAnsi="宋体" w:cs="宋体"/>
          <w:color w:val="000000" w:themeColor="text1"/>
          <w:spacing w:val="19"/>
          <w:highlight w:val="none"/>
          <w14:textFill>
            <w14:solidFill>
              <w14:schemeClr w14:val="tx1"/>
            </w14:solidFill>
          </w14:textFill>
        </w:rPr>
        <w:t>、</w:t>
      </w:r>
      <w:r>
        <w:rPr>
          <w:rFonts w:ascii="宋体" w:hAnsi="宋体" w:cs="宋体"/>
          <w:color w:val="000000" w:themeColor="text1"/>
          <w:spacing w:val="21"/>
          <w:highlight w:val="none"/>
          <w14:textFill>
            <w14:solidFill>
              <w14:schemeClr w14:val="tx1"/>
            </w14:solidFill>
          </w14:textFill>
        </w:rPr>
        <w:t>档案管</w:t>
      </w:r>
      <w:r>
        <w:rPr>
          <w:rFonts w:ascii="宋体" w:hAnsi="宋体" w:cs="宋体"/>
          <w:color w:val="000000" w:themeColor="text1"/>
          <w:spacing w:val="19"/>
          <w:highlight w:val="none"/>
          <w14:textFill>
            <w14:solidFill>
              <w14:schemeClr w14:val="tx1"/>
            </w14:solidFill>
          </w14:textFill>
        </w:rPr>
        <w:t>理</w:t>
      </w:r>
      <w:r>
        <w:rPr>
          <w:rFonts w:hint="eastAsia" w:ascii="宋体" w:hAnsi="宋体" w:cs="宋体"/>
          <w:color w:val="000000" w:themeColor="text1"/>
          <w:spacing w:val="19"/>
          <w:highlight w:val="none"/>
          <w14:textFill>
            <w14:solidFill>
              <w14:schemeClr w14:val="tx1"/>
            </w14:solidFill>
          </w14:textFill>
        </w:rPr>
        <w:t>、制度管理、绩效管理等。</w:t>
      </w:r>
    </w:p>
    <w:bookmarkEnd w:id="52"/>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3" w:name="_Toc16897"/>
      <w:bookmarkStart w:id="54" w:name="_Toc18922"/>
      <w:r>
        <w:rPr>
          <w:color w:val="000000" w:themeColor="text1"/>
          <w:sz w:val="28"/>
          <w:szCs w:val="28"/>
          <w:highlight w:val="none"/>
          <w14:textFill>
            <w14:solidFill>
              <w14:schemeClr w14:val="tx1"/>
            </w14:solidFill>
          </w14:textFill>
        </w:rPr>
        <w:t>1.2.2护理病历信息系统</w:t>
      </w:r>
      <w:bookmarkEnd w:id="53"/>
      <w:bookmarkEnd w:id="54"/>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护理病历信息系统需具备护理文书录入、生命体征管理、护理文书查询统计分析、护理病历阅改等功能。</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护理文书录入需具备</w:t>
      </w:r>
      <w:r>
        <w:rPr>
          <w:rFonts w:ascii="宋体" w:hAnsi="宋体"/>
          <w:color w:val="000000" w:themeColor="text1"/>
          <w:highlight w:val="none"/>
          <w14:textFill>
            <w14:solidFill>
              <w14:schemeClr w14:val="tx1"/>
            </w14:solidFill>
          </w14:textFill>
        </w:rPr>
        <w:t>一体化护理平台框架</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护理病历、病区日常、住院病历和医技报告内容功能</w:t>
      </w:r>
      <w:r>
        <w:rPr>
          <w:rFonts w:hint="eastAsia" w:ascii="宋体" w:hAnsi="宋体"/>
          <w:color w:val="000000" w:themeColor="text1"/>
          <w:highlight w:val="none"/>
          <w14:textFill>
            <w14:solidFill>
              <w14:schemeClr w14:val="tx1"/>
            </w14:solidFill>
          </w14:textFill>
        </w:rPr>
        <w:t>。</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生命体征管理需具备</w:t>
      </w:r>
      <w:r>
        <w:rPr>
          <w:rFonts w:ascii="宋体" w:hAnsi="宋体"/>
          <w:color w:val="000000" w:themeColor="text1"/>
          <w:highlight w:val="none"/>
          <w14:textFill>
            <w14:solidFill>
              <w14:schemeClr w14:val="tx1"/>
            </w14:solidFill>
          </w14:textFill>
        </w:rPr>
        <w:t>体温单的绘制和展示</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体征体征异常警示范围上下限设定功能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根据规则查询相应待测患者列表</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范围</w:t>
      </w:r>
      <w:r>
        <w:rPr>
          <w:rFonts w:hint="eastAsia" w:ascii="宋体" w:hAnsi="宋体"/>
          <w:color w:val="000000" w:themeColor="text1"/>
          <w:highlight w:val="none"/>
          <w14:textFill>
            <w14:solidFill>
              <w14:schemeClr w14:val="tx1"/>
            </w14:solidFill>
          </w14:textFill>
        </w:rPr>
        <w:t>可</w:t>
      </w:r>
      <w:r>
        <w:rPr>
          <w:rFonts w:ascii="宋体" w:hAnsi="宋体"/>
          <w:color w:val="000000" w:themeColor="text1"/>
          <w:highlight w:val="none"/>
          <w14:textFill>
            <w14:solidFill>
              <w14:schemeClr w14:val="tx1"/>
            </w14:solidFill>
          </w14:textFill>
        </w:rPr>
        <w:t>包括：新病人、发烧患者、房颤患者、连续三天无大便患者、体重漏测</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中医体温单的录入、打印及图形展示功能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体温单满页时提醒功能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护理文书查询统计分析</w:t>
      </w:r>
      <w:r>
        <w:rPr>
          <w:rFonts w:hint="eastAsia" w:ascii="宋体" w:hAnsi="宋体"/>
          <w:color w:val="000000" w:themeColor="text1"/>
          <w:highlight w:val="none"/>
          <w14:textFill>
            <w14:solidFill>
              <w14:schemeClr w14:val="tx1"/>
            </w14:solidFill>
          </w14:textFill>
        </w:rPr>
        <w:t>需具备</w:t>
      </w:r>
      <w:r>
        <w:rPr>
          <w:rFonts w:ascii="宋体" w:hAnsi="宋体"/>
          <w:color w:val="000000" w:themeColor="text1"/>
          <w:highlight w:val="none"/>
          <w14:textFill>
            <w14:solidFill>
              <w14:schemeClr w14:val="tx1"/>
            </w14:solidFill>
          </w14:textFill>
        </w:rPr>
        <w:t>压疮、跌倒、导管数量统计功能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根据自定义条件进行查询功能</w:t>
      </w:r>
      <w:r>
        <w:rPr>
          <w:rFonts w:hint="eastAsia" w:ascii="宋体" w:hAnsi="宋体"/>
          <w:color w:val="000000" w:themeColor="text1"/>
          <w:highlight w:val="none"/>
          <w14:textFill>
            <w14:solidFill>
              <w14:schemeClr w14:val="tx1"/>
            </w14:solidFill>
          </w14:textFill>
        </w:rPr>
        <w:t>。</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护理病历阅改需具备</w:t>
      </w:r>
      <w:r>
        <w:rPr>
          <w:rFonts w:ascii="宋体" w:hAnsi="宋体"/>
          <w:color w:val="000000" w:themeColor="text1"/>
          <w:highlight w:val="none"/>
          <w14:textFill>
            <w14:solidFill>
              <w14:schemeClr w14:val="tx1"/>
            </w14:solidFill>
          </w14:textFill>
        </w:rPr>
        <w:t>护理部主任、科护士长、病区护士长病历阅改、并记录修改痕迹功能</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护理部主任、科护士长、病区护士长查看护理病历、医嘱、住院病历、医技报告信息，辅助进行病历阅改功能</w:t>
      </w:r>
      <w:r>
        <w:rPr>
          <w:rFonts w:hint="eastAsia" w:ascii="宋体" w:hAnsi="宋体"/>
          <w:color w:val="000000" w:themeColor="text1"/>
          <w:highlight w:val="none"/>
          <w14:textFill>
            <w14:solidFill>
              <w14:schemeClr w14:val="tx1"/>
            </w14:solidFill>
          </w14:textFill>
        </w:rPr>
        <w:t>。</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5" w:name="_Toc19782"/>
      <w:bookmarkStart w:id="56" w:name="_Toc23441"/>
      <w:r>
        <w:rPr>
          <w:color w:val="000000" w:themeColor="text1"/>
          <w:sz w:val="28"/>
          <w:szCs w:val="28"/>
          <w:highlight w:val="none"/>
          <w14:textFill>
            <w14:solidFill>
              <w14:schemeClr w14:val="tx1"/>
            </w14:solidFill>
          </w14:textFill>
        </w:rPr>
        <w:t>1.2.3护理计划管理系统</w:t>
      </w:r>
      <w:bookmarkEnd w:id="55"/>
      <w:bookmarkEnd w:id="56"/>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护理计划管理系统支持护理计划管理、护理计划统计分析。</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7" w:name="_Toc22215"/>
      <w:bookmarkStart w:id="58" w:name="_Toc63"/>
      <w:r>
        <w:rPr>
          <w:color w:val="000000" w:themeColor="text1"/>
          <w:sz w:val="28"/>
          <w:szCs w:val="28"/>
          <w:highlight w:val="none"/>
          <w14:textFill>
            <w14:solidFill>
              <w14:schemeClr w14:val="tx1"/>
            </w14:solidFill>
          </w14:textFill>
        </w:rPr>
        <w:t>1.2.4移动护理系统</w:t>
      </w:r>
      <w:bookmarkEnd w:id="57"/>
      <w:bookmarkEnd w:id="58"/>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移动护理系统通过无线局域网技术、条码技术和移动计算等先进技术应用，摆脱固定的电脑端核对、记录。借助移动扫码设备，实现护士在床边实施各项治疗（如：输液、注射、口服药物、标本采集、输血等）的有效核对、记录，闭环管理流程有效保证护理工作的安全性和可追溯性。</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功能要求：需在移动端实现患者信息查询、扫码执行医嘱、护理临床监控、临床辅助工具、病区患者体征采集、移动护理危急值应用、移动护理文书录入等功能。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59" w:name="_Toc25936"/>
      <w:bookmarkStart w:id="60" w:name="_Toc18347"/>
      <w:r>
        <w:rPr>
          <w:color w:val="000000" w:themeColor="text1"/>
          <w:sz w:val="28"/>
          <w:szCs w:val="28"/>
          <w:highlight w:val="none"/>
          <w14:textFill>
            <w14:solidFill>
              <w14:schemeClr w14:val="tx1"/>
            </w14:solidFill>
          </w14:textFill>
        </w:rPr>
        <w:t>1.2.5临床辅助决策支持信息系统（CDSS）</w:t>
      </w:r>
      <w:bookmarkEnd w:id="59"/>
      <w:bookmarkEnd w:id="60"/>
      <w:r>
        <w:rPr>
          <w:color w:val="000000" w:themeColor="text1"/>
          <w:sz w:val="28"/>
          <w:szCs w:val="28"/>
          <w:highlight w:val="none"/>
          <w14:textFill>
            <w14:solidFill>
              <w14:schemeClr w14:val="tx1"/>
            </w14:solidFill>
          </w14:textFill>
        </w:rPr>
        <w:t xml:space="preserve"> </w:t>
      </w:r>
    </w:p>
    <w:p>
      <w:pPr>
        <w:spacing w:line="348" w:lineRule="auto"/>
        <w:ind w:firstLine="420" w:firstLineChars="200"/>
        <w:rPr>
          <w:rFonts w:ascii="宋体" w:hAnsi="宋体"/>
          <w:i/>
          <w:i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系统基于权威的医学知识体系，</w:t>
      </w:r>
      <w:r>
        <w:rPr>
          <w:rFonts w:ascii="宋体" w:hAnsi="宋体" w:cs="宋体"/>
          <w:color w:val="000000" w:themeColor="text1"/>
          <w:highlight w:val="none"/>
          <w14:textFill>
            <w14:solidFill>
              <w14:schemeClr w14:val="tx1"/>
            </w14:solidFill>
          </w14:textFill>
        </w:rPr>
        <w:t>利用自然语言处理、知识图谱、机器学习等人工智能技术，</w:t>
      </w:r>
      <w:r>
        <w:rPr>
          <w:rFonts w:hint="eastAsia" w:ascii="宋体" w:hAnsi="宋体" w:cs="宋体"/>
          <w:color w:val="000000" w:themeColor="text1"/>
          <w:highlight w:val="none"/>
          <w14:textFill>
            <w14:solidFill>
              <w14:schemeClr w14:val="tx1"/>
            </w14:solidFill>
          </w14:textFill>
        </w:rPr>
        <w:t>形成面向医生的临床辅助决策支持系统，</w:t>
      </w:r>
      <w:r>
        <w:rPr>
          <w:rFonts w:ascii="宋体" w:hAnsi="宋体" w:cs="宋体"/>
          <w:color w:val="000000" w:themeColor="text1"/>
          <w:highlight w:val="none"/>
          <w14:textFill>
            <w14:solidFill>
              <w14:schemeClr w14:val="tx1"/>
            </w14:solidFill>
          </w14:textFill>
        </w:rPr>
        <w:t>全面提高医院各项工作效率和质量、医疗服务能力和水平</w:t>
      </w:r>
      <w:r>
        <w:rPr>
          <w:rFonts w:hint="eastAsia" w:ascii="宋体" w:hAnsi="宋体" w:cs="宋体"/>
          <w:color w:val="000000" w:themeColor="text1"/>
          <w:highlight w:val="none"/>
          <w14:textFill>
            <w14:solidFill>
              <w14:schemeClr w14:val="tx1"/>
            </w14:solidFill>
          </w14:textFill>
        </w:rPr>
        <w:t>。</w:t>
      </w:r>
    </w:p>
    <w:p>
      <w:pPr>
        <w:spacing w:line="348"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w:t>
      </w:r>
      <w:r>
        <w:rPr>
          <w:rFonts w:hint="eastAsia" w:ascii="宋体" w:hAnsi="宋体" w:cs="宋体"/>
          <w:color w:val="000000" w:themeColor="text1"/>
          <w:highlight w:val="none"/>
          <w14:textFill>
            <w14:solidFill>
              <w14:schemeClr w14:val="tx1"/>
            </w14:solidFill>
          </w14:textFill>
        </w:rPr>
        <w:t>系统涵盖临床知识查询、智能医嘱提醒（包含知识提示</w:t>
      </w:r>
      <w:r>
        <w:rPr>
          <w:rFonts w:ascii="宋体" w:hAnsi="宋体" w:cs="宋体"/>
          <w:color w:val="000000" w:themeColor="text1"/>
          <w:highlight w:val="none"/>
          <w14:textFill>
            <w14:solidFill>
              <w14:schemeClr w14:val="tx1"/>
            </w14:solidFill>
          </w14:textFill>
        </w:rPr>
        <w:t>,医嘱合理性校验）</w:t>
      </w:r>
      <w:r>
        <w:rPr>
          <w:rFonts w:hint="eastAsia" w:ascii="宋体" w:hAnsi="宋体" w:cs="宋体"/>
          <w:color w:val="000000" w:themeColor="text1"/>
          <w:highlight w:val="none"/>
          <w14:textFill>
            <w14:solidFill>
              <w14:schemeClr w14:val="tx1"/>
            </w14:solidFill>
          </w14:textFill>
        </w:rPr>
        <w:t>、智能诊疗推荐（疑似疾病、漏诊误诊、治疗方案）、相似病例推荐等临床决策支持智慧应用，同时结合知识管理应用和诊疗规范依从性分析应用。</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61" w:name="_Toc18215"/>
      <w:bookmarkStart w:id="62" w:name="_Toc14815"/>
      <w:r>
        <w:rPr>
          <w:color w:val="000000" w:themeColor="text1"/>
          <w:sz w:val="28"/>
          <w:szCs w:val="28"/>
          <w:highlight w:val="none"/>
          <w14:textFill>
            <w14:solidFill>
              <w14:schemeClr w14:val="tx1"/>
            </w14:solidFill>
          </w14:textFill>
        </w:rPr>
        <w:t>1.2.6康复信息管理系统</w:t>
      </w:r>
      <w:bookmarkEnd w:id="61"/>
      <w:bookmarkEnd w:id="62"/>
    </w:p>
    <w:p>
      <w:pPr>
        <w:spacing w:line="348" w:lineRule="auto"/>
        <w:ind w:firstLine="420" w:firstLineChars="200"/>
        <w:rPr>
          <w:rFonts w:ascii="宋体" w:hAnsi="宋体"/>
          <w:b/>
          <w:bCs/>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康复信息管理系统覆盖了全院6大类角色用户，服务各类业务场景。其中为管理者提供实时报告推送、质控管理等服务应用，为护理人员提供康复医嘱审核、特殊情况标记、24小时病房康复管理等服务应用，为康复治疗师提供精细化排班、操作指导、全媒体治疗记录等服务应用，为医生提供专业康复医嘱、快速评估、自动生成报告等服务应用，为评估师提供康复文书功能，为患者提供日程安排等服务应用。</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功能要求：需实现康复项目管理、康复文书、康复评估、康复预约管理、方案推荐、等功能。</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63" w:name="_Toc13349"/>
      <w:bookmarkStart w:id="64" w:name="_Toc3969"/>
      <w:r>
        <w:rPr>
          <w:color w:val="000000" w:themeColor="text1"/>
          <w:highlight w:val="none"/>
          <w14:textFill>
            <w14:solidFill>
              <w14:schemeClr w14:val="tx1"/>
            </w14:solidFill>
          </w14:textFill>
        </w:rPr>
        <w:t>医技业务</w:t>
      </w:r>
      <w:bookmarkEnd w:id="63"/>
      <w:bookmarkEnd w:id="64"/>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65" w:name="_Toc27200"/>
      <w:bookmarkStart w:id="66" w:name="_Toc2403"/>
      <w:r>
        <w:rPr>
          <w:color w:val="000000" w:themeColor="text1"/>
          <w:sz w:val="28"/>
          <w:szCs w:val="28"/>
          <w:highlight w:val="none"/>
          <w14:textFill>
            <w14:solidFill>
              <w14:schemeClr w14:val="tx1"/>
            </w14:solidFill>
          </w14:textFill>
        </w:rPr>
        <w:t>1.3.1全院输血流程管理系统</w:t>
      </w:r>
      <w:bookmarkEnd w:id="65"/>
      <w:bookmarkEnd w:id="66"/>
      <w:r>
        <w:rPr>
          <w:color w:val="000000" w:themeColor="text1"/>
          <w:sz w:val="28"/>
          <w:szCs w:val="28"/>
          <w:highlight w:val="none"/>
          <w14:textFill>
            <w14:solidFill>
              <w14:schemeClr w14:val="tx1"/>
            </w14:solidFill>
          </w14:textFill>
        </w:rPr>
        <w:t xml:space="preserve">   </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全院输血管理系统是基于数据库的输血科全面计算机信息管理软件,其目的是加强输血科管理，提高血液用血安全,保证输血科数据安全。系统从医生开输血申请单，申请单审核、血液出入库管理、血站对接管理均采用标准化、规范化、信息化、智能化，实现患者信息和输血项目识别的惟一性，确保输血用血的准确、及时、安全，促进输血科的服务质量和管理迈上新台阶。</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功能要求：需实现输血科管理、输血申请单管理、</w:t>
      </w:r>
      <w:r>
        <w:rPr>
          <w:rFonts w:hint="eastAsia" w:ascii="宋体" w:hAnsi="宋体"/>
          <w:color w:val="000000" w:themeColor="text1"/>
          <w:highlight w:val="none"/>
          <w14:textFill>
            <w14:solidFill>
              <w14:schemeClr w14:val="tx1"/>
            </w14:solidFill>
          </w14:textFill>
        </w:rPr>
        <w:t>输血联动审批</w:t>
      </w:r>
      <w:r>
        <w:rPr>
          <w:rFonts w:ascii="宋体" w:hAnsi="宋体"/>
          <w:color w:val="000000" w:themeColor="text1"/>
          <w:highlight w:val="none"/>
          <w14:textFill>
            <w14:solidFill>
              <w14:schemeClr w14:val="tx1"/>
            </w14:solidFill>
          </w14:textFill>
        </w:rPr>
        <w:t>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67" w:name="_Toc7976"/>
      <w:bookmarkStart w:id="68" w:name="_Toc1609"/>
      <w:r>
        <w:rPr>
          <w:color w:val="000000" w:themeColor="text1"/>
          <w:sz w:val="28"/>
          <w:szCs w:val="28"/>
          <w:highlight w:val="none"/>
          <w14:textFill>
            <w14:solidFill>
              <w14:schemeClr w14:val="tx1"/>
            </w14:solidFill>
          </w14:textFill>
        </w:rPr>
        <w:t>1.3.2放射报告管理信息系统</w:t>
      </w:r>
      <w:bookmarkEnd w:id="67"/>
      <w:bookmarkEnd w:id="68"/>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放射报告管理信息系统需实现帮助放射科登记人员完成预约登记及条码流程管理工作，帮助放射科技师完成分诊叫号工作，帮助放射医生完成报告管理及科室管理工作。</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功能要求：需具备病人检查</w:t>
      </w:r>
      <w:r>
        <w:rPr>
          <w:rFonts w:ascii="宋体" w:hAnsi="宋体"/>
          <w:color w:val="000000" w:themeColor="text1"/>
          <w:highlight w:val="none"/>
          <w:lang w:val="zh-CN"/>
          <w14:textFill>
            <w14:solidFill>
              <w14:schemeClr w14:val="tx1"/>
            </w14:solidFill>
          </w14:textFill>
        </w:rPr>
        <w:t>预约登记、条码流程管理、技师工作站、报告管理</w:t>
      </w:r>
      <w:r>
        <w:rPr>
          <w:rFonts w:ascii="宋体" w:hAnsi="宋体"/>
          <w:color w:val="000000" w:themeColor="text1"/>
          <w:highlight w:val="none"/>
          <w14:textFill>
            <w14:solidFill>
              <w14:schemeClr w14:val="tx1"/>
            </w14:solidFill>
          </w14:textFill>
        </w:rPr>
        <w:t>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69" w:name="_Toc29087"/>
      <w:bookmarkStart w:id="70" w:name="_Toc5711"/>
      <w:r>
        <w:rPr>
          <w:color w:val="000000" w:themeColor="text1"/>
          <w:sz w:val="28"/>
          <w:szCs w:val="28"/>
          <w:highlight w:val="none"/>
          <w14:textFill>
            <w14:solidFill>
              <w14:schemeClr w14:val="tx1"/>
            </w14:solidFill>
          </w14:textFill>
        </w:rPr>
        <w:t>1.3.3手术管理软件</w:t>
      </w:r>
      <w:bookmarkEnd w:id="69"/>
      <w:bookmarkEnd w:id="70"/>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手术管理软件主要提供医院门诊、住院手术的预约安排，费用管理等功能。</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功能要求：需实现门诊手术安排、门诊手术计费、住院手术安排、住院手术计费、住院手术汇总领药和手术情况录入功能。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71" w:name="_Toc4468"/>
      <w:bookmarkStart w:id="72" w:name="_Toc16142"/>
      <w:r>
        <w:rPr>
          <w:color w:val="000000" w:themeColor="text1"/>
          <w:sz w:val="28"/>
          <w:szCs w:val="28"/>
          <w:highlight w:val="none"/>
          <w14:textFill>
            <w14:solidFill>
              <w14:schemeClr w14:val="tx1"/>
            </w14:solidFill>
          </w14:textFill>
        </w:rPr>
        <w:t>1.3.4手术麻醉管理系统</w:t>
      </w:r>
      <w:bookmarkEnd w:id="71"/>
      <w:bookmarkEnd w:id="72"/>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手术室与麻醉科作为医院各个专业科室交叉汇集进行外科手术治疗的重要平台和资源中心，在临床、效率、设备、药品、耗材、人员都需要科学管理和高效调配。手术管理软件旨在服务麻醉医生、手术室护士，以保障患者整个围术期安全质量为核心，为手术室及麻醉科提供了覆盖从手术排程、麻醉前访视与评估、麻醉方案与计划、麻醉诱导、术中麻醉记录、手术护理记录、安全核查、术中医嘱、术后手术麻醉计费等全过程支持，提供流程化、数字化、智能化的手术麻醉临床业务管理平台，有效地规范手术室及麻醉科工作流程、仪器设备数据自动采集、麻醉及护理文书无纸化、备用药与耗材库存管理等问题，保障医疗安全与高质量，提升手术周转率及医护人员工作效率，提高手术室麻醉科的管理水平。</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功能要求：需实现患者术前麻醉方式、术中麻醉管理、术中医嘱管理、术后复苏管理、等功能。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73" w:name="_Toc27340"/>
      <w:bookmarkStart w:id="74" w:name="_Toc12521"/>
      <w:r>
        <w:rPr>
          <w:color w:val="000000" w:themeColor="text1"/>
          <w:sz w:val="28"/>
          <w:szCs w:val="28"/>
          <w:highlight w:val="none"/>
          <w14:textFill>
            <w14:solidFill>
              <w14:schemeClr w14:val="tx1"/>
            </w14:solidFill>
          </w14:textFill>
        </w:rPr>
        <w:t>1.3.5重症监护信息系统</w:t>
      </w:r>
      <w:bookmarkEnd w:id="73"/>
      <w:bookmarkEnd w:id="74"/>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重症监护管理信息系统以重症患者监护数据为核心，通过仪器自动获取、医嘱执行、护嘱执行、模板辅助录入等方式，将患者从转入重症病区到转出病区期间的诊疗、护理、监测信息进行有效记录和存储，并提供相应的汇总、统计、分析功能，提高重症病区护理工作效率。与医院信息系统、检查检验、电子病历等信息系统进行对接，实现数据互联互通，消除信息孤岛，实现重症病区全面信息化管理，从而有效提高重症病区整体管理水平。</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实现通过监护仪、呼吸机等设备自动获取患者生命体征信息，患者观察项的记录，护嘱执行，医嘱执行，出入量管理，患者导管管理和皮肤管理，检验检查结果查看，床旁检测管理，患者评估，以及重症监护记录单的自动生成、提供相关质控指标统计等功能。</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75" w:name="_Toc6946"/>
      <w:bookmarkStart w:id="76" w:name="_Toc9296"/>
      <w:r>
        <w:rPr>
          <w:color w:val="000000" w:themeColor="text1"/>
          <w:sz w:val="28"/>
          <w:szCs w:val="28"/>
          <w:highlight w:val="none"/>
          <w14:textFill>
            <w14:solidFill>
              <w14:schemeClr w14:val="tx1"/>
            </w14:solidFill>
          </w14:textFill>
        </w:rPr>
        <w:t>1.3.6血液透析中心智能管理系统</w:t>
      </w:r>
      <w:bookmarkEnd w:id="75"/>
      <w:bookmarkEnd w:id="76"/>
    </w:p>
    <w:p>
      <w:pPr>
        <w:spacing w:line="348" w:lineRule="auto"/>
        <w:ind w:firstLine="420" w:firstLineChars="200"/>
        <w:rPr>
          <w:rFonts w:ascii="宋体" w:hAnsi="宋体" w:cs="Arial"/>
          <w:bCs/>
          <w:color w:val="000000" w:themeColor="text1"/>
          <w:highlight w:val="none"/>
          <w14:textFill>
            <w14:solidFill>
              <w14:schemeClr w14:val="tx1"/>
            </w14:solidFill>
          </w14:textFill>
        </w:rPr>
      </w:pPr>
      <w:r>
        <w:rPr>
          <w:rFonts w:hint="eastAsia" w:ascii="宋体" w:hAnsi="宋体" w:cs="Arial"/>
          <w:bCs/>
          <w:color w:val="000000" w:themeColor="text1"/>
          <w:highlight w:val="none"/>
          <w14:textFill>
            <w14:solidFill>
              <w14:schemeClr w14:val="tx1"/>
            </w14:solidFill>
          </w14:textFill>
        </w:rPr>
        <w:t>符合SOP标准工作流程概念，避免交叉感染和操作失误，</w:t>
      </w:r>
      <w:r>
        <w:rPr>
          <w:rFonts w:hint="eastAsia" w:ascii="宋体" w:hAnsi="宋体"/>
          <w:color w:val="000000" w:themeColor="text1"/>
          <w:highlight w:val="none"/>
          <w14:textFill>
            <w14:solidFill>
              <w14:schemeClr w14:val="tx1"/>
            </w14:solidFill>
          </w14:textFill>
        </w:rPr>
        <w:t>血液透析中心智能管理系统因按照以下流程：</w:t>
      </w:r>
      <w:r>
        <w:rPr>
          <w:rFonts w:hint="eastAsia" w:ascii="宋体" w:hAnsi="宋体" w:cs="Arial"/>
          <w:bCs/>
          <w:color w:val="000000" w:themeColor="text1"/>
          <w:highlight w:val="none"/>
          <w14:textFill>
            <w14:solidFill>
              <w14:schemeClr w14:val="tx1"/>
            </w14:solidFill>
          </w14:textFill>
        </w:rPr>
        <w:t>新患者建档→完善病历、处方、医嘱、排班信息→打印</w:t>
      </w:r>
      <w:r>
        <w:rPr>
          <w:rFonts w:ascii="宋体" w:hAnsi="宋体" w:cs="Arial"/>
          <w:bCs/>
          <w:color w:val="000000" w:themeColor="text1"/>
          <w:highlight w:val="none"/>
          <w14:textFill>
            <w14:solidFill>
              <w14:schemeClr w14:val="tx1"/>
            </w14:solidFill>
          </w14:textFill>
        </w:rPr>
        <w:t>条码</w:t>
      </w:r>
      <w:r>
        <w:rPr>
          <w:rFonts w:hint="eastAsia" w:ascii="宋体" w:hAnsi="宋体" w:cs="Arial"/>
          <w:bCs/>
          <w:color w:val="000000" w:themeColor="text1"/>
          <w:highlight w:val="none"/>
          <w14:textFill>
            <w14:solidFill>
              <w14:schemeClr w14:val="tx1"/>
            </w14:solidFill>
          </w14:textFill>
        </w:rPr>
        <w:t>→患者刷码，体重数据自动采集进入系统（签到）→患者刷码，血压值自动采集进入系统→患者等候进入透析室→医生确认治疗方案并下达透析中医嘱→透前评估→护士移动终端确认医嘱→护士移动终端执行交叉核对→护士移动终端上机</w:t>
      </w:r>
      <w:r>
        <w:rPr>
          <w:rFonts w:ascii="宋体" w:hAnsi="宋体" w:cs="Arial"/>
          <w:bCs/>
          <w:color w:val="000000" w:themeColor="text1"/>
          <w:highlight w:val="none"/>
          <w14:textFill>
            <w14:solidFill>
              <w14:schemeClr w14:val="tx1"/>
            </w14:solidFill>
          </w14:textFill>
        </w:rPr>
        <w:t>、</w:t>
      </w:r>
      <w:r>
        <w:rPr>
          <w:rFonts w:hint="eastAsia" w:ascii="宋体" w:hAnsi="宋体" w:cs="Arial"/>
          <w:bCs/>
          <w:color w:val="000000" w:themeColor="text1"/>
          <w:highlight w:val="none"/>
          <w14:textFill>
            <w14:solidFill>
              <w14:schemeClr w14:val="tx1"/>
            </w14:solidFill>
          </w14:textFill>
        </w:rPr>
        <w:t>进行床位监测记录/护士移动终端记录并发症、执行透析中医嘱→护士移动终端执行下机→患者下机后再自助称量体重，数据自动采集进入系统→患者下机后再测血压，数据自动采集进入系统→透后评价→患者离开→机器消毒→完善透析相关病历文书，</w:t>
      </w:r>
      <w:r>
        <w:rPr>
          <w:rFonts w:ascii="宋体" w:hAnsi="宋体" w:cs="Arial"/>
          <w:bCs/>
          <w:color w:val="000000" w:themeColor="text1"/>
          <w:highlight w:val="none"/>
          <w14:textFill>
            <w14:solidFill>
              <w14:schemeClr w14:val="tx1"/>
            </w14:solidFill>
          </w14:textFill>
        </w:rPr>
        <w:t>系统自动将护士执行医嘱及耗材关联费用及库房</w:t>
      </w:r>
      <w:r>
        <w:rPr>
          <w:rFonts w:hint="eastAsia" w:ascii="宋体" w:hAnsi="宋体" w:cs="Arial"/>
          <w:bCs/>
          <w:color w:val="000000" w:themeColor="text1"/>
          <w:highlight w:val="none"/>
          <w14:textFill>
            <w14:solidFill>
              <w14:schemeClr w14:val="tx1"/>
            </w14:solidFill>
          </w14:textFill>
        </w:rPr>
        <w:t>。</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Arial"/>
          <w:bCs/>
          <w:color w:val="000000" w:themeColor="text1"/>
          <w:highlight w:val="none"/>
          <w14:textFill>
            <w14:solidFill>
              <w14:schemeClr w14:val="tx1"/>
            </w14:solidFill>
          </w14:textFill>
        </w:rPr>
        <w:t>功能要求：具备质控管理；科室建设；医疗管理；设备管理；</w:t>
      </w:r>
      <w:r>
        <w:rPr>
          <w:rFonts w:ascii="宋体" w:hAnsi="宋体" w:cs="Arial"/>
          <w:bCs/>
          <w:color w:val="000000" w:themeColor="text1"/>
          <w:highlight w:val="none"/>
          <w14:textFill>
            <w14:solidFill>
              <w14:schemeClr w14:val="tx1"/>
            </w14:solidFill>
          </w14:textFill>
        </w:rPr>
        <w:t>与医院HIS、LIS信息系统对接</w:t>
      </w:r>
      <w:r>
        <w:rPr>
          <w:rFonts w:hint="eastAsia" w:ascii="宋体" w:hAnsi="宋体" w:cs="Arial"/>
          <w:bCs/>
          <w:color w:val="000000" w:themeColor="text1"/>
          <w:highlight w:val="none"/>
          <w14:textFill>
            <w14:solidFill>
              <w14:schemeClr w14:val="tx1"/>
            </w14:solidFill>
          </w14:textFill>
        </w:rPr>
        <w:t>；</w:t>
      </w:r>
      <w:r>
        <w:rPr>
          <w:rFonts w:ascii="宋体" w:hAnsi="宋体" w:cs="Arial"/>
          <w:bCs/>
          <w:color w:val="000000" w:themeColor="text1"/>
          <w:highlight w:val="none"/>
          <w14:textFill>
            <w14:solidFill>
              <w14:schemeClr w14:val="tx1"/>
            </w14:solidFill>
          </w14:textFill>
        </w:rPr>
        <w:t>透析机、血压计、</w:t>
      </w:r>
      <w:r>
        <w:rPr>
          <w:rFonts w:hint="eastAsia" w:ascii="宋体" w:hAnsi="宋体" w:cs="Arial"/>
          <w:bCs/>
          <w:color w:val="000000" w:themeColor="text1"/>
          <w:highlight w:val="none"/>
          <w14:textFill>
            <w14:solidFill>
              <w14:schemeClr w14:val="tx1"/>
            </w14:solidFill>
          </w14:textFill>
        </w:rPr>
        <w:t>透析</w:t>
      </w:r>
      <w:r>
        <w:rPr>
          <w:rFonts w:ascii="宋体" w:hAnsi="宋体" w:cs="Arial"/>
          <w:bCs/>
          <w:color w:val="000000" w:themeColor="text1"/>
          <w:highlight w:val="none"/>
          <w14:textFill>
            <w14:solidFill>
              <w14:schemeClr w14:val="tx1"/>
            </w14:solidFill>
          </w14:textFill>
        </w:rPr>
        <w:t>秤硬件联机</w:t>
      </w:r>
      <w:r>
        <w:rPr>
          <w:rFonts w:hint="eastAsia" w:ascii="宋体" w:hAnsi="宋体" w:cs="Arial"/>
          <w:bCs/>
          <w:color w:val="000000" w:themeColor="text1"/>
          <w:highlight w:val="none"/>
          <w14:textFill>
            <w14:solidFill>
              <w14:schemeClr w14:val="tx1"/>
            </w14:solidFill>
          </w14:textFill>
        </w:rPr>
        <w:t>；质控上报;质控管理；与</w:t>
      </w:r>
      <w:r>
        <w:rPr>
          <w:rFonts w:ascii="宋体" w:hAnsi="宋体"/>
          <w:color w:val="000000" w:themeColor="text1"/>
          <w:highlight w:val="none"/>
          <w14:textFill>
            <w14:solidFill>
              <w14:schemeClr w14:val="tx1"/>
            </w14:solidFill>
          </w14:textFill>
        </w:rPr>
        <w:t>透析机联机</w:t>
      </w:r>
      <w:r>
        <w:rPr>
          <w:rFonts w:hint="eastAsia" w:ascii="宋体" w:hAnsi="宋体" w:cs="Arial"/>
          <w:bCs/>
          <w:color w:val="000000" w:themeColor="text1"/>
          <w:highlight w:val="none"/>
          <w14:textFill>
            <w14:solidFill>
              <w14:schemeClr w14:val="tx1"/>
            </w14:solidFill>
          </w14:textFill>
        </w:rPr>
        <w:t>。</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77" w:name="_Toc30077"/>
      <w:bookmarkStart w:id="78" w:name="_Toc29278"/>
      <w:r>
        <w:rPr>
          <w:color w:val="000000" w:themeColor="text1"/>
          <w:sz w:val="28"/>
          <w:szCs w:val="28"/>
          <w:highlight w:val="none"/>
          <w14:textFill>
            <w14:solidFill>
              <w14:schemeClr w14:val="tx1"/>
            </w14:solidFill>
          </w14:textFill>
        </w:rPr>
        <w:t>1.3.7微生物检验</w:t>
      </w:r>
      <w:bookmarkEnd w:id="77"/>
      <w:bookmarkEnd w:id="78"/>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微生物检验需支持</w:t>
      </w:r>
      <w:r>
        <w:rPr>
          <w:rFonts w:ascii="宋体" w:hAnsi="宋体"/>
          <w:color w:val="000000" w:themeColor="text1"/>
          <w:highlight w:val="none"/>
          <w14:textFill>
            <w14:solidFill>
              <w14:schemeClr w14:val="tx1"/>
            </w14:solidFill>
          </w14:textFill>
        </w:rPr>
        <w:t>记录病人的细菌培养结果</w:t>
      </w:r>
      <w:r>
        <w:rPr>
          <w:rFonts w:hint="eastAsia" w:ascii="宋体" w:hAnsi="宋体"/>
          <w:color w:val="000000" w:themeColor="text1"/>
          <w:highlight w:val="none"/>
          <w14:textFill>
            <w14:solidFill>
              <w14:schemeClr w14:val="tx1"/>
            </w14:solidFill>
          </w14:textFill>
        </w:rPr>
        <w:t>及</w:t>
      </w:r>
      <w:r>
        <w:rPr>
          <w:rFonts w:ascii="宋体" w:hAnsi="宋体"/>
          <w:color w:val="000000" w:themeColor="text1"/>
          <w:highlight w:val="none"/>
          <w14:textFill>
            <w14:solidFill>
              <w14:schemeClr w14:val="tx1"/>
            </w14:solidFill>
          </w14:textFill>
        </w:rPr>
        <w:t>各细菌的药敏结果</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打印规范的细菌培养报告单</w:t>
      </w:r>
      <w:r>
        <w:rPr>
          <w:rFonts w:hint="eastAsia" w:ascii="宋体" w:hAnsi="宋体"/>
          <w:color w:val="000000" w:themeColor="text1"/>
          <w:highlight w:val="none"/>
          <w14:textFill>
            <w14:solidFill>
              <w14:schemeClr w14:val="tx1"/>
            </w14:solidFill>
          </w14:textFill>
        </w:rPr>
        <w:t>；支持提供</w:t>
      </w:r>
      <w:r>
        <w:rPr>
          <w:rFonts w:ascii="宋体" w:hAnsi="宋体"/>
          <w:color w:val="000000" w:themeColor="text1"/>
          <w:highlight w:val="none"/>
          <w14:textFill>
            <w14:solidFill>
              <w14:schemeClr w14:val="tx1"/>
            </w14:solidFill>
          </w14:textFill>
        </w:rPr>
        <w:t>查询病人的培养记录</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微生物学上的统计分析等一系列功能</w:t>
      </w:r>
      <w:r>
        <w:rPr>
          <w:rFonts w:hint="eastAsia" w:ascii="宋体" w:hAnsi="宋体"/>
          <w:color w:val="000000" w:themeColor="text1"/>
          <w:highlight w:val="none"/>
          <w14:textFill>
            <w14:solidFill>
              <w14:schemeClr w14:val="tx1"/>
            </w14:solidFill>
          </w14:textFill>
        </w:rPr>
        <w:t>。</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具体功能要求：实现微生物联机、报告管理、三级报告临床发布、实验流程电子化管理、微生物质控、超级细菌管理、查询统计及自定义方案、微生物</w:t>
      </w:r>
      <w:r>
        <w:rPr>
          <w:rFonts w:ascii="宋体" w:hAnsi="宋体"/>
          <w:color w:val="000000" w:themeColor="text1"/>
          <w:highlight w:val="none"/>
          <w14:textFill>
            <w14:solidFill>
              <w14:schemeClr w14:val="tx1"/>
            </w14:solidFill>
          </w14:textFill>
        </w:rPr>
        <w:t>WHONET接口</w:t>
      </w:r>
      <w:r>
        <w:rPr>
          <w:rFonts w:hint="eastAsia" w:ascii="宋体" w:hAnsi="宋体"/>
          <w:color w:val="000000" w:themeColor="text1"/>
          <w:highlight w:val="none"/>
          <w14:textFill>
            <w14:solidFill>
              <w14:schemeClr w14:val="tx1"/>
            </w14:solidFill>
          </w14:textFill>
        </w:rPr>
        <w:t>及第三方接口等内容。</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79" w:name="_Toc7138"/>
      <w:bookmarkStart w:id="80" w:name="_Toc11508"/>
      <w:r>
        <w:rPr>
          <w:color w:val="000000" w:themeColor="text1"/>
          <w:highlight w:val="none"/>
          <w14:textFill>
            <w14:solidFill>
              <w14:schemeClr w14:val="tx1"/>
            </w14:solidFill>
          </w14:textFill>
        </w:rPr>
        <w:t>药耗管理</w:t>
      </w:r>
      <w:bookmarkEnd w:id="79"/>
      <w:bookmarkEnd w:id="80"/>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81" w:name="_Toc9422"/>
      <w:bookmarkStart w:id="82" w:name="_Toc22789"/>
      <w:r>
        <w:rPr>
          <w:color w:val="000000" w:themeColor="text1"/>
          <w:sz w:val="28"/>
          <w:szCs w:val="28"/>
          <w:highlight w:val="none"/>
          <w14:textFill>
            <w14:solidFill>
              <w14:schemeClr w14:val="tx1"/>
            </w14:solidFill>
          </w14:textFill>
        </w:rPr>
        <w:t>1.4.1住院输液配置中心</w:t>
      </w:r>
      <w:bookmarkEnd w:id="81"/>
      <w:bookmarkEnd w:id="82"/>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静脉用药调配管理系统是一款静脉用药集中调配型专业管理软件，助力医院住院输液的管理。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功能要求：需实现药房基础的库存管理、输液审方、输液编批、输液发药等功能</w:t>
      </w:r>
      <w:r>
        <w:rPr>
          <w:rFonts w:ascii="宋体" w:hAnsi="宋体"/>
          <w:color w:val="000000" w:themeColor="text1"/>
          <w:highlight w:val="none"/>
          <w14:textFill>
            <w14:solidFill>
              <w14:schemeClr w14:val="tx1"/>
            </w14:solidFill>
          </w14:textFill>
        </w:rPr>
        <w:t>。</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83" w:name="_Toc8993"/>
      <w:bookmarkStart w:id="84" w:name="_Toc27682"/>
      <w:r>
        <w:rPr>
          <w:color w:val="000000" w:themeColor="text1"/>
          <w:highlight w:val="none"/>
          <w14:textFill>
            <w14:solidFill>
              <w14:schemeClr w14:val="tx1"/>
            </w14:solidFill>
          </w14:textFill>
        </w:rPr>
        <w:t>医疗管理</w:t>
      </w:r>
      <w:bookmarkEnd w:id="83"/>
      <w:bookmarkEnd w:id="84"/>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85" w:name="_Toc18640"/>
      <w:r>
        <w:rPr>
          <w:color w:val="000000" w:themeColor="text1"/>
          <w:sz w:val="28"/>
          <w:szCs w:val="28"/>
          <w:highlight w:val="none"/>
          <w14:textFill>
            <w14:solidFill>
              <w14:schemeClr w14:val="tx1"/>
            </w14:solidFill>
          </w14:textFill>
        </w:rPr>
        <w:t>1.5.1实时审方系统</w:t>
      </w:r>
      <w:bookmarkEnd w:id="85"/>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包括：审方干预、统计分析、药物信息查询、相关信息审查等。</w:t>
      </w:r>
    </w:p>
    <w:p>
      <w:pPr>
        <w:pStyle w:val="5"/>
        <w:spacing w:beforeAutospacing="0" w:after="0" w:afterAutospacing="0" w:line="348" w:lineRule="auto"/>
        <w:ind w:firstLine="562" w:firstLineChars="200"/>
        <w:rPr>
          <w:rFonts w:hint="default"/>
          <w:color w:val="000000" w:themeColor="text1"/>
          <w:highlight w:val="none"/>
          <w14:textFill>
            <w14:solidFill>
              <w14:schemeClr w14:val="tx1"/>
            </w14:solidFill>
          </w14:textFill>
        </w:rPr>
      </w:pPr>
      <w:bookmarkStart w:id="86" w:name="_Toc16107"/>
      <w:bookmarkStart w:id="87" w:name="_Toc3483"/>
      <w:r>
        <w:rPr>
          <w:color w:val="000000" w:themeColor="text1"/>
          <w:sz w:val="28"/>
          <w:szCs w:val="28"/>
          <w:highlight w:val="none"/>
          <w14:textFill>
            <w14:solidFill>
              <w14:schemeClr w14:val="tx1"/>
            </w14:solidFill>
          </w14:textFill>
        </w:rPr>
        <w:t>1.5.2不良事件管理软件</w:t>
      </w:r>
      <w:bookmarkEnd w:id="86"/>
      <w:bookmarkEnd w:id="87"/>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不良事件管理系统旨在构建一个全院统一的医疗不良事件上报管理平台，实现各种类型事件的上报流程化、规范化管理，经审核的事件可通过就向上级管理平台直报，并为管理部门提供综合查询与多维度统计分析服务，提高医疗不良事件的管理效率、管理质量。</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功能要求：实现不同类型不良事件上报、审批流程管理，表单打印/导出、转送/驳回、跟踪/反馈。</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88" w:name="_Toc22311"/>
      <w:bookmarkStart w:id="89" w:name="_Toc3477"/>
      <w:r>
        <w:rPr>
          <w:color w:val="000000" w:themeColor="text1"/>
          <w:sz w:val="28"/>
          <w:szCs w:val="28"/>
          <w:highlight w:val="none"/>
          <w14:textFill>
            <w14:solidFill>
              <w14:schemeClr w14:val="tx1"/>
            </w14:solidFill>
          </w14:textFill>
        </w:rPr>
        <w:t>1.5.3疾病监测报告管理系统</w:t>
      </w:r>
      <w:bookmarkEnd w:id="88"/>
      <w:bookmarkEnd w:id="89"/>
    </w:p>
    <w:p>
      <w:pPr>
        <w:spacing w:line="348" w:lineRule="auto"/>
        <w:ind w:firstLine="420" w:firstLineChars="200"/>
        <w:jc w:val="both"/>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医院传染病上报提供统一的管理平台，提升疫情上报的准确性和及时性，使卫生决策和疾病控制部门更快、更准地掌握传染病疫情动态，以便及时有效地进行传染病的预防和控制，系统主要功能要求包括门诊传染病上报、院内传染病上报系统</w:t>
      </w:r>
      <w:r>
        <w:rPr>
          <w:rFonts w:ascii="宋体" w:hAnsi="宋体"/>
          <w:color w:val="000000" w:themeColor="text1"/>
          <w:highlight w:val="none"/>
          <w:lang w:bidi="ar"/>
          <w14:textFill>
            <w14:solidFill>
              <w14:schemeClr w14:val="tx1"/>
            </w14:solidFill>
          </w14:textFill>
        </w:rPr>
        <w:t>。</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90" w:name="_Toc6998"/>
      <w:bookmarkStart w:id="91" w:name="_Toc12444"/>
      <w:r>
        <w:rPr>
          <w:color w:val="000000" w:themeColor="text1"/>
          <w:sz w:val="28"/>
          <w:szCs w:val="28"/>
          <w:highlight w:val="none"/>
          <w14:textFill>
            <w14:solidFill>
              <w14:schemeClr w14:val="tx1"/>
            </w14:solidFill>
          </w14:textFill>
        </w:rPr>
        <w:t>1.5.4 DRGS医保精细化管理系统</w:t>
      </w:r>
      <w:bookmarkEnd w:id="90"/>
      <w:bookmarkEnd w:id="91"/>
    </w:p>
    <w:p>
      <w:pPr>
        <w:numPr>
          <w:ilvl w:val="0"/>
          <w:numId w:val="6"/>
        </w:numPr>
        <w:spacing w:line="348" w:lineRule="auto"/>
        <w:ind w:left="0" w:firstLine="422" w:firstLineChars="200"/>
        <w:rPr>
          <w:rFonts w:ascii="宋体" w:hAnsi="宋体"/>
          <w:b/>
          <w:bCs/>
          <w:color w:val="000000" w:themeColor="text1"/>
          <w:highlight w:val="none"/>
          <w:lang w:bidi="ar"/>
          <w14:textFill>
            <w14:solidFill>
              <w14:schemeClr w14:val="tx1"/>
            </w14:solidFill>
          </w14:textFill>
        </w:rPr>
      </w:pPr>
      <w:bookmarkStart w:id="92" w:name="_Toc47966715"/>
      <w:bookmarkStart w:id="93" w:name="_Toc28307"/>
      <w:bookmarkStart w:id="94" w:name="_Toc6648_WPSOffice_Level1"/>
      <w:r>
        <w:rPr>
          <w:rFonts w:hint="eastAsia" w:ascii="宋体" w:hAnsi="宋体"/>
          <w:b/>
          <w:bCs/>
          <w:color w:val="000000" w:themeColor="text1"/>
          <w:highlight w:val="none"/>
          <w:lang w:bidi="ar"/>
          <w14:textFill>
            <w14:solidFill>
              <w14:schemeClr w14:val="tx1"/>
            </w14:solidFill>
          </w14:textFill>
        </w:rPr>
        <w:t>数据管理</w:t>
      </w:r>
      <w:bookmarkEnd w:id="92"/>
    </w:p>
    <w:p>
      <w:pPr>
        <w:numPr>
          <w:ilvl w:val="0"/>
          <w:numId w:val="7"/>
        </w:numPr>
        <w:spacing w:line="348" w:lineRule="auto"/>
        <w:ind w:left="0"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数据集成质控</w:t>
      </w:r>
    </w:p>
    <w:p>
      <w:pPr>
        <w:spacing w:line="348"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功能要求：数据模型构建、数据映射导入、数据采集预览、数据基本校验、业务逻辑性校验。</w:t>
      </w:r>
    </w:p>
    <w:p>
      <w:pPr>
        <w:numPr>
          <w:ilvl w:val="0"/>
          <w:numId w:val="7"/>
        </w:numPr>
        <w:spacing w:line="348" w:lineRule="auto"/>
        <w:ind w:left="0" w:firstLine="420" w:firstLineChars="200"/>
        <w:rPr>
          <w:rFonts w:ascii="宋体" w:hAnsi="宋体"/>
          <w:bCs/>
          <w:color w:val="000000" w:themeColor="text1"/>
          <w:highlight w:val="none"/>
          <w:lang w:bidi="ar"/>
          <w14:textFill>
            <w14:solidFill>
              <w14:schemeClr w14:val="tx1"/>
            </w14:solidFill>
          </w14:textFill>
        </w:rPr>
      </w:pPr>
      <w:r>
        <w:rPr>
          <w:rFonts w:hint="eastAsia" w:ascii="宋体" w:hAnsi="宋体"/>
          <w:bCs/>
          <w:color w:val="000000" w:themeColor="text1"/>
          <w:highlight w:val="none"/>
          <w:lang w:bidi="ar"/>
          <w14:textFill>
            <w14:solidFill>
              <w14:schemeClr w14:val="tx1"/>
            </w14:solidFill>
          </w14:textFill>
        </w:rPr>
        <w:t>数据质控管理</w:t>
      </w:r>
    </w:p>
    <w:p>
      <w:pPr>
        <w:spacing w:line="348"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bidi="ar"/>
          <w14:textFill>
            <w14:solidFill>
              <w14:schemeClr w14:val="tx1"/>
            </w14:solidFill>
          </w14:textFill>
        </w:rPr>
        <w:t xml:space="preserve"> </w:t>
      </w:r>
      <w:r>
        <w:rPr>
          <w:rFonts w:ascii="宋体" w:hAnsi="宋体"/>
          <w:bCs/>
          <w:color w:val="000000" w:themeColor="text1"/>
          <w:highlight w:val="none"/>
          <w:lang w:bidi="ar"/>
          <w14:textFill>
            <w14:solidFill>
              <w14:schemeClr w14:val="tx1"/>
            </w14:solidFill>
          </w14:textFill>
        </w:rPr>
        <w:t xml:space="preserve">   </w:t>
      </w:r>
      <w:r>
        <w:rPr>
          <w:rFonts w:hint="eastAsia" w:ascii="宋体" w:hAnsi="宋体"/>
          <w:bCs/>
          <w:color w:val="000000" w:themeColor="text1"/>
          <w:highlight w:val="none"/>
          <w:lang w:bidi="ar"/>
          <w14:textFill>
            <w14:solidFill>
              <w14:schemeClr w14:val="tx1"/>
            </w14:solidFill>
          </w14:textFill>
        </w:rPr>
        <w:t>功能要求：</w:t>
      </w:r>
      <w:r>
        <w:rPr>
          <w:rFonts w:ascii="宋体" w:hAnsi="宋体"/>
          <w:bCs/>
          <w:color w:val="000000" w:themeColor="text1"/>
          <w:highlight w:val="none"/>
          <w14:textFill>
            <w14:solidFill>
              <w14:schemeClr w14:val="tx1"/>
            </w14:solidFill>
          </w14:textFill>
        </w:rPr>
        <w:t>ICD质控管理</w:t>
      </w:r>
      <w:r>
        <w:rPr>
          <w:rFonts w:hint="eastAsia" w:ascii="宋体" w:hAnsi="宋体"/>
          <w:bCs/>
          <w:color w:val="000000" w:themeColor="text1"/>
          <w:highlight w:val="none"/>
          <w14:textFill>
            <w14:solidFill>
              <w14:schemeClr w14:val="tx1"/>
            </w14:solidFill>
          </w14:textFill>
        </w:rPr>
        <w:t>、质控结果查询处理等。</w:t>
      </w:r>
    </w:p>
    <w:p>
      <w:pPr>
        <w:numPr>
          <w:ilvl w:val="0"/>
          <w:numId w:val="6"/>
        </w:numPr>
        <w:spacing w:line="348" w:lineRule="auto"/>
        <w:ind w:left="0" w:firstLine="422" w:firstLineChars="200"/>
        <w:rPr>
          <w:rFonts w:ascii="宋体" w:hAnsi="宋体"/>
          <w:b/>
          <w:bCs/>
          <w:color w:val="000000" w:themeColor="text1"/>
          <w:highlight w:val="none"/>
          <w:lang w:bidi="ar"/>
          <w14:textFill>
            <w14:solidFill>
              <w14:schemeClr w14:val="tx1"/>
            </w14:solidFill>
          </w14:textFill>
        </w:rPr>
      </w:pPr>
      <w:bookmarkStart w:id="95" w:name="_Toc47966716"/>
      <w:r>
        <w:rPr>
          <w:rFonts w:hint="eastAsia" w:ascii="宋体" w:hAnsi="宋体"/>
          <w:b/>
          <w:bCs/>
          <w:color w:val="000000" w:themeColor="text1"/>
          <w:highlight w:val="none"/>
          <w:lang w:bidi="ar"/>
          <w14:textFill>
            <w14:solidFill>
              <w14:schemeClr w14:val="tx1"/>
            </w14:solidFill>
          </w14:textFill>
        </w:rPr>
        <w:t>分组管理</w:t>
      </w:r>
      <w:bookmarkEnd w:id="95"/>
    </w:p>
    <w:p>
      <w:pPr>
        <w:numPr>
          <w:ilvl w:val="0"/>
          <w:numId w:val="8"/>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分组规则管理 包含：</w:t>
      </w:r>
      <w:r>
        <w:rPr>
          <w:rFonts w:hint="eastAsia" w:ascii="宋体" w:hAnsi="宋体"/>
          <w:color w:val="000000" w:themeColor="text1"/>
          <w:highlight w:val="none"/>
          <w14:textFill>
            <w14:solidFill>
              <w14:schemeClr w14:val="tx1"/>
            </w14:solidFill>
          </w14:textFill>
        </w:rPr>
        <w:t>DRGs分组规则管理、重点病种规则管理。</w:t>
      </w:r>
    </w:p>
    <w:p>
      <w:pPr>
        <w:numPr>
          <w:ilvl w:val="0"/>
          <w:numId w:val="8"/>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入组查询 包含：</w:t>
      </w:r>
      <w:r>
        <w:rPr>
          <w:rFonts w:hint="eastAsia" w:ascii="宋体" w:hAnsi="宋体"/>
          <w:color w:val="000000" w:themeColor="text1"/>
          <w:highlight w:val="none"/>
          <w14:textFill>
            <w14:solidFill>
              <w14:schemeClr w14:val="tx1"/>
            </w14:solidFill>
          </w14:textFill>
        </w:rPr>
        <w:t>D</w:t>
      </w:r>
      <w:r>
        <w:rPr>
          <w:rFonts w:ascii="宋体" w:hAnsi="宋体"/>
          <w:color w:val="000000" w:themeColor="text1"/>
          <w:highlight w:val="none"/>
          <w14:textFill>
            <w14:solidFill>
              <w14:schemeClr w14:val="tx1"/>
            </w14:solidFill>
          </w14:textFill>
        </w:rPr>
        <w:t>RGs</w:t>
      </w:r>
      <w:r>
        <w:rPr>
          <w:rFonts w:hint="eastAsia" w:ascii="宋体" w:hAnsi="宋体"/>
          <w:color w:val="000000" w:themeColor="text1"/>
          <w:highlight w:val="none"/>
          <w14:textFill>
            <w14:solidFill>
              <w14:schemeClr w14:val="tx1"/>
            </w14:solidFill>
          </w14:textFill>
        </w:rPr>
        <w:t>入组查询、重点病种入组查询等</w:t>
      </w:r>
    </w:p>
    <w:p>
      <w:pPr>
        <w:numPr>
          <w:ilvl w:val="0"/>
          <w:numId w:val="6"/>
        </w:numPr>
        <w:spacing w:line="348" w:lineRule="auto"/>
        <w:ind w:left="0" w:firstLine="422" w:firstLineChars="200"/>
        <w:rPr>
          <w:rFonts w:ascii="宋体" w:hAnsi="宋体"/>
          <w:b/>
          <w:bCs/>
          <w:color w:val="000000" w:themeColor="text1"/>
          <w:highlight w:val="none"/>
          <w:lang w:bidi="ar"/>
          <w14:textFill>
            <w14:solidFill>
              <w14:schemeClr w14:val="tx1"/>
            </w14:solidFill>
          </w14:textFill>
        </w:rPr>
      </w:pPr>
      <w:bookmarkStart w:id="96" w:name="_Toc47376084"/>
      <w:bookmarkStart w:id="97" w:name="_Toc47966717"/>
      <w:r>
        <w:rPr>
          <w:rFonts w:hint="eastAsia" w:ascii="宋体" w:hAnsi="宋体"/>
          <w:b/>
          <w:bCs/>
          <w:color w:val="000000" w:themeColor="text1"/>
          <w:highlight w:val="none"/>
          <w:lang w:bidi="ar"/>
          <w14:textFill>
            <w14:solidFill>
              <w14:schemeClr w14:val="tx1"/>
            </w14:solidFill>
          </w14:textFill>
        </w:rPr>
        <w:t>医保监管</w:t>
      </w:r>
      <w:bookmarkEnd w:id="96"/>
      <w:bookmarkEnd w:id="97"/>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包含：控费规则设置、事中提醒监管、医保基础分析（</w:t>
      </w:r>
      <w:r>
        <w:rPr>
          <w:rFonts w:hint="eastAsia" w:ascii="宋体" w:hAnsi="宋体"/>
          <w:color w:val="000000" w:themeColor="text1"/>
          <w:highlight w:val="none"/>
          <w14:textFill>
            <w14:solidFill>
              <w14:schemeClr w14:val="tx1"/>
            </w14:solidFill>
          </w14:textFill>
        </w:rPr>
        <w:t>门诊指标分析、住院指标分析</w:t>
      </w:r>
      <w:r>
        <w:rPr>
          <w:rFonts w:ascii="宋体" w:hAnsi="宋体"/>
          <w:color w:val="000000" w:themeColor="text1"/>
          <w:highlight w:val="none"/>
          <w14:textFill>
            <w14:solidFill>
              <w14:schemeClr w14:val="tx1"/>
            </w14:solidFill>
          </w14:textFill>
        </w:rPr>
        <w:t xml:space="preserve"> </w:t>
      </w:r>
    </w:p>
    <w:p>
      <w:pPr>
        <w:numPr>
          <w:ilvl w:val="0"/>
          <w:numId w:val="6"/>
        </w:numPr>
        <w:spacing w:line="348" w:lineRule="auto"/>
        <w:ind w:left="0" w:firstLine="422" w:firstLineChars="200"/>
        <w:rPr>
          <w:rFonts w:ascii="宋体" w:hAnsi="宋体"/>
          <w:b/>
          <w:bCs/>
          <w:color w:val="000000" w:themeColor="text1"/>
          <w:highlight w:val="none"/>
          <w:lang w:bidi="ar"/>
          <w14:textFill>
            <w14:solidFill>
              <w14:schemeClr w14:val="tx1"/>
            </w14:solidFill>
          </w14:textFill>
        </w:rPr>
      </w:pPr>
      <w:r>
        <w:rPr>
          <w:rFonts w:hint="eastAsia" w:ascii="宋体" w:hAnsi="宋体"/>
          <w:b/>
          <w:bCs/>
          <w:color w:val="000000" w:themeColor="text1"/>
          <w:highlight w:val="none"/>
          <w:lang w:bidi="ar"/>
          <w14:textFill>
            <w14:solidFill>
              <w14:schemeClr w14:val="tx1"/>
            </w14:solidFill>
          </w14:textFill>
        </w:rPr>
        <w:t>医疗服务评价</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包含：总览视图分析</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bidi="ar"/>
          <w14:textFill>
            <w14:solidFill>
              <w14:schemeClr w14:val="tx1"/>
            </w14:solidFill>
          </w14:textFill>
        </w:rPr>
        <w:t>报表数据查询等</w:t>
      </w:r>
      <w:r>
        <w:rPr>
          <w:rFonts w:hint="eastAsia" w:ascii="宋体" w:hAnsi="宋体"/>
          <w:color w:val="000000" w:themeColor="text1"/>
          <w:highlight w:val="none"/>
          <w14:textFill>
            <w14:solidFill>
              <w14:schemeClr w14:val="tx1"/>
            </w14:solidFill>
          </w14:textFill>
        </w:rPr>
        <w:t>。</w:t>
      </w:r>
    </w:p>
    <w:bookmarkEnd w:id="93"/>
    <w:bookmarkEnd w:id="94"/>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98" w:name="_Toc7881"/>
      <w:bookmarkStart w:id="99" w:name="_Toc32754"/>
      <w:r>
        <w:rPr>
          <w:color w:val="000000" w:themeColor="text1"/>
          <w:sz w:val="28"/>
          <w:szCs w:val="28"/>
          <w:highlight w:val="none"/>
          <w14:textFill>
            <w14:solidFill>
              <w14:schemeClr w14:val="tx1"/>
            </w14:solidFill>
          </w14:textFill>
        </w:rPr>
        <w:t>1.5.5危急值流转系统</w:t>
      </w:r>
      <w:bookmarkEnd w:id="98"/>
      <w:bookmarkEnd w:id="99"/>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支持与检检系统、PACS系统，病理系统，输血系统，心电系统及医生站、护士站对接，进行危急值提醒和反馈处理信息推送。</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支持与微信、短信平台对接，将危急值以微信、短信的形式进行推送。</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00" w:name="_Toc124"/>
      <w:bookmarkStart w:id="101" w:name="_Toc1698"/>
      <w:r>
        <w:rPr>
          <w:color w:val="000000" w:themeColor="text1"/>
          <w:sz w:val="28"/>
          <w:szCs w:val="28"/>
          <w:highlight w:val="none"/>
          <w14:textFill>
            <w14:solidFill>
              <w14:schemeClr w14:val="tx1"/>
            </w14:solidFill>
          </w14:textFill>
        </w:rPr>
        <w:t>1.5.6电子签名系统（CA）</w:t>
      </w:r>
      <w:bookmarkEnd w:id="100"/>
      <w:bookmarkEnd w:id="101"/>
    </w:p>
    <w:p>
      <w:pPr>
        <w:numPr>
          <w:ilvl w:val="0"/>
          <w:numId w:val="9"/>
        </w:numPr>
        <w:spacing w:line="348" w:lineRule="auto"/>
        <w:ind w:left="0"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数字签名验签服务</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数字签名验签服务模块提供数字签名/验签服务，保障关键操作和数据在交互过程中的信息完整性、不可否认性和事后可追溯性。具备以下功能：</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数据签名功能、签名验证功能、证书有效性效验功能、数字信封功能。</w:t>
      </w:r>
    </w:p>
    <w:p>
      <w:pPr>
        <w:numPr>
          <w:ilvl w:val="0"/>
          <w:numId w:val="9"/>
        </w:numPr>
        <w:spacing w:line="348" w:lineRule="auto"/>
        <w:ind w:left="0"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时间戳服务</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时间戳服务模块基于国家标准权威时间源为用户、信息系统提供时间戳的签发和验证功能，提供信息和操作的时效性的权威证明，提供时间抗抵赖服务。</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具备以下功能：标准时间服务、时间戳申请、时间戳签发、时间戳验证、时间戳解析等。</w:t>
      </w:r>
    </w:p>
    <w:p>
      <w:pPr>
        <w:numPr>
          <w:ilvl w:val="0"/>
          <w:numId w:val="9"/>
        </w:numPr>
        <w:spacing w:line="348" w:lineRule="auto"/>
        <w:ind w:left="0"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密码运算服务</w:t>
      </w:r>
    </w:p>
    <w:p>
      <w:pPr>
        <w:spacing w:line="348" w:lineRule="auto"/>
        <w:ind w:firstLine="420" w:firstLineChars="200"/>
        <w:rPr>
          <w:rFonts w:ascii="宋体" w:hAnsi="宋体"/>
          <w:color w:val="000000" w:themeColor="text1"/>
          <w:highlight w:val="none"/>
          <w:lang w:bidi="ar"/>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密码运算服务为用户和业务系统提供摘要运算、随机序列生成、对称加解密、非对称加解密、加解密数字信封、base64编解码操作等数据加解密功能。支持算法有RSA、3DES、DES、AES、MD2、MD5、SHA1、SHA256等，支持私钥管理、私钥加密/解密、PCKS#1签名等功能，并能支持国密最新算法。</w:t>
      </w:r>
    </w:p>
    <w:p>
      <w:pPr>
        <w:numPr>
          <w:ilvl w:val="0"/>
          <w:numId w:val="9"/>
        </w:numPr>
        <w:spacing w:line="348" w:lineRule="auto"/>
        <w:ind w:left="0"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身份认证服务</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bidi="ar"/>
          <w14:textFill>
            <w14:solidFill>
              <w14:schemeClr w14:val="tx1"/>
            </w14:solidFill>
          </w14:textFill>
        </w:rPr>
        <w:t>身份认证服务为用户和业务系统提供基于数字证书的强安全身份真实性认证服务。该身份认证服务基于数字证书和数字签名技术，通过CA根证书和证书链验证客户端证书签发者可信域、CRL验证客户端证书状态有效性、OCSP服务器验证客户端证书实时有效性，从而验证客户端数字签名真实、有效，从而确保接入身份的真实性，身份认证对象包含用户身份认证、服务器身份认证。</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02" w:name="_Toc177"/>
      <w:bookmarkStart w:id="103" w:name="_Toc2335"/>
      <w:r>
        <w:rPr>
          <w:color w:val="000000" w:themeColor="text1"/>
          <w:highlight w:val="none"/>
          <w14:textFill>
            <w14:solidFill>
              <w14:schemeClr w14:val="tx1"/>
            </w14:solidFill>
          </w14:textFill>
        </w:rPr>
        <w:t>急诊信息系统</w:t>
      </w:r>
      <w:bookmarkEnd w:id="102"/>
      <w:bookmarkEnd w:id="103"/>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急诊患者登记、预检分诊子系统、急诊患者管理、急诊医生工作站、急诊电子病历、急诊医嘱集成、急诊医嘱处理、急诊护士工作站、急诊护理文书、急诊输液管理、交班管理、会诊管理、质控管理子系统、管理中心、设备连接集成。</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04" w:name="_Toc5082"/>
      <w:bookmarkStart w:id="105" w:name="_Toc5704"/>
      <w:r>
        <w:rPr>
          <w:color w:val="000000" w:themeColor="text1"/>
          <w:highlight w:val="none"/>
          <w14:textFill>
            <w14:solidFill>
              <w14:schemeClr w14:val="tx1"/>
            </w14:solidFill>
          </w14:textFill>
        </w:rPr>
        <w:t>智慧护理大屏</w:t>
      </w:r>
      <w:bookmarkEnd w:id="104"/>
      <w:bookmarkEnd w:id="105"/>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护士站智能交互系统通过智能交互大屏，与第三方系统数据互联互通，帮助护士快速获取护理重点，提高护士工作效率，实现无纸化交班、风险预警自动推送，优化护理工作流程；与HIS系统、L</w:t>
      </w:r>
      <w:r>
        <w:rPr>
          <w:rFonts w:ascii="宋体" w:hAnsi="宋体"/>
          <w:color w:val="000000" w:themeColor="text1"/>
          <w:highlight w:val="none"/>
          <w14:textFill>
            <w14:solidFill>
              <w14:schemeClr w14:val="tx1"/>
            </w14:solidFill>
          </w14:textFill>
        </w:rPr>
        <w:t>IS</w:t>
      </w:r>
      <w:r>
        <w:rPr>
          <w:rFonts w:hint="eastAsia" w:ascii="宋体" w:hAnsi="宋体"/>
          <w:color w:val="000000" w:themeColor="text1"/>
          <w:highlight w:val="none"/>
          <w14:textFill>
            <w14:solidFill>
              <w14:schemeClr w14:val="tx1"/>
            </w14:solidFill>
          </w14:textFill>
        </w:rPr>
        <w:t>系统等互联互通，可帮助护士快速获取病区概况、患者医嘱、检验检查报告等信息；与输液监控系统连接，可获取患者输液状态，输液结束或异常时自动发出警报；与病房智能交互系统连接，可接收病房呼叫系统信息；与移动护理信息系统连接，可获取患者的交班信息、护理记录，实时同步待办事项；与护理管理系统连接，看查看护理人员的排班情况。此外，智能交互大屏可支持触摸手写，生成电子备忘录，设置定时提醒，代替传统的手写白板。</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06" w:name="_Toc13539"/>
      <w:bookmarkStart w:id="107" w:name="_Toc21492"/>
      <w:r>
        <w:rPr>
          <w:color w:val="000000" w:themeColor="text1"/>
          <w:highlight w:val="none"/>
          <w14:textFill>
            <w14:solidFill>
              <w14:schemeClr w14:val="tx1"/>
            </w14:solidFill>
          </w14:textFill>
        </w:rPr>
        <w:t>医生资质授权</w:t>
      </w:r>
      <w:bookmarkEnd w:id="106"/>
      <w:bookmarkEnd w:id="107"/>
    </w:p>
    <w:p>
      <w:pPr>
        <w:spacing w:line="348" w:lineRule="auto"/>
        <w:ind w:firstLine="422" w:firstLineChars="200"/>
        <w:rPr>
          <w:rFonts w:ascii="宋体" w:hAnsi="宋体" w:cs="宋体"/>
          <w:color w:val="000000" w:themeColor="text1"/>
          <w:kern w:val="0"/>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 xml:space="preserve">  </w:t>
      </w:r>
      <w:r>
        <w:rPr>
          <w:rFonts w:ascii="宋体" w:hAnsi="宋体" w:cs="宋体"/>
          <w:color w:val="000000" w:themeColor="text1"/>
          <w:kern w:val="0"/>
          <w:highlight w:val="none"/>
          <w14:textFill>
            <w14:solidFill>
              <w14:schemeClr w14:val="tx1"/>
            </w14:solidFill>
          </w14:textFill>
        </w:rPr>
        <w:t>医生开立权的核心就是通过可配置制的诊疗附件属性及属性值域，然后将属性及属性值域设置到诊疗项目中，在开立规则设置中将附加属性及值域范围作为条件设置若干的控制规则，然后通过可视化的医生授权界面将控制规则分别授与给不同的医务人员，实现授权医生能够干什么或不能够干什么的控制目的，以满足用户依据政策法规及管理要求下的各种控制目的。</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08" w:name="_Toc18450"/>
      <w:bookmarkStart w:id="109" w:name="_Toc25276"/>
      <w:r>
        <w:rPr>
          <w:color w:val="000000" w:themeColor="text1"/>
          <w:highlight w:val="none"/>
          <w14:textFill>
            <w14:solidFill>
              <w14:schemeClr w14:val="tx1"/>
            </w14:solidFill>
          </w14:textFill>
        </w:rPr>
        <w:t>数字化病案管理系统</w:t>
      </w:r>
      <w:bookmarkEnd w:id="108"/>
      <w:bookmarkEnd w:id="109"/>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0" w:name="_Toc10979"/>
      <w:r>
        <w:rPr>
          <w:color w:val="000000" w:themeColor="text1"/>
          <w:sz w:val="28"/>
          <w:szCs w:val="28"/>
          <w:highlight w:val="none"/>
          <w14:textFill>
            <w14:solidFill>
              <w14:schemeClr w14:val="tx1"/>
            </w14:solidFill>
          </w14:textFill>
        </w:rPr>
        <w:t>1.9.1病案检索、借阅与浏览</w:t>
      </w:r>
      <w:bookmarkEnd w:id="110"/>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支持病案首页任意数据，医嘱数据，全文检索等进行多方式组合检索。</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全文检索，类似百度搜索引擎，可以对所有病案进行任意内容关键字检索，支持多关键字联合检索，并且在病案页面中颜色提示处理。</w:t>
      </w:r>
    </w:p>
    <w:p>
      <w:pPr>
        <w:spacing w:line="348" w:lineRule="auto"/>
        <w:ind w:firstLine="420" w:firstLineChars="200"/>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通过借阅审批的模式，在系统中浏览无纸化后的病历。内容包括，普通借阅、分类借阅、脱敏借阅。</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1" w:name="_Toc28576"/>
      <w:r>
        <w:rPr>
          <w:color w:val="000000" w:themeColor="text1"/>
          <w:sz w:val="28"/>
          <w:szCs w:val="28"/>
          <w:highlight w:val="none"/>
          <w14:textFill>
            <w14:solidFill>
              <w14:schemeClr w14:val="tx1"/>
            </w14:solidFill>
          </w14:textFill>
        </w:rPr>
        <w:t>1.9.2病案打印</w:t>
      </w:r>
      <w:bookmarkEnd w:id="111"/>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w:t>
      </w:r>
      <w:r>
        <w:rPr>
          <w:rFonts w:hint="eastAsia" w:ascii="宋体" w:hAnsi="宋体"/>
          <w:color w:val="000000" w:themeColor="text1"/>
          <w:szCs w:val="28"/>
          <w:highlight w:val="none"/>
          <w14:textFill>
            <w14:solidFill>
              <w14:schemeClr w14:val="tx1"/>
            </w14:solidFill>
          </w14:textFill>
        </w:rPr>
        <w:t>通过套餐的模式快速的打印出无纸化病历。内容包括：普通打印、费用计算、综合支付、邮寄登记、信息采集</w:t>
      </w:r>
      <w:r>
        <w:rPr>
          <w:rFonts w:hint="eastAsia" w:ascii="宋体" w:hAnsi="宋体"/>
          <w:color w:val="000000" w:themeColor="text1"/>
          <w:highlight w:val="none"/>
          <w14:textFill>
            <w14:solidFill>
              <w14:schemeClr w14:val="tx1"/>
            </w14:solidFill>
          </w14:textFill>
        </w:rPr>
        <w:t>。</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2" w:name="_Toc6603"/>
      <w:r>
        <w:rPr>
          <w:color w:val="000000" w:themeColor="text1"/>
          <w:sz w:val="28"/>
          <w:szCs w:val="28"/>
          <w:highlight w:val="none"/>
          <w14:textFill>
            <w14:solidFill>
              <w14:schemeClr w14:val="tx1"/>
            </w14:solidFill>
          </w14:textFill>
        </w:rPr>
        <w:t>1.9.3病案锁定</w:t>
      </w:r>
      <w:bookmarkEnd w:id="112"/>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对特殊的病案（例如：官司、患者要求等）进行锁定，锁定后不能进行其他的操作，如不能进行借阅，打印等操作。</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对锁定的病案提供两种封存模式，并明确两种封存模式。</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3" w:name="_Toc12884"/>
      <w:r>
        <w:rPr>
          <w:color w:val="000000" w:themeColor="text1"/>
          <w:sz w:val="28"/>
          <w:szCs w:val="28"/>
          <w:highlight w:val="none"/>
          <w14:textFill>
            <w14:solidFill>
              <w14:schemeClr w14:val="tx1"/>
            </w14:solidFill>
          </w14:textFill>
        </w:rPr>
        <w:t>1.9.4病案导出</w:t>
      </w:r>
      <w:bookmarkEnd w:id="113"/>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支持将无纸化的病案导出成PDF，并具有水印、数字签章等防伪造措施。内容包括，普通导出、加密导出、可信导出。</w:t>
      </w:r>
    </w:p>
    <w:p>
      <w:pPr>
        <w:pStyle w:val="5"/>
        <w:spacing w:beforeAutospacing="0" w:after="0" w:afterAutospacing="0" w:line="348" w:lineRule="auto"/>
        <w:ind w:firstLine="562" w:firstLineChars="200"/>
        <w:rPr>
          <w:rFonts w:hint="default"/>
          <w:color w:val="000000" w:themeColor="text1"/>
          <w:sz w:val="28"/>
          <w:szCs w:val="28"/>
          <w:highlight w:val="none"/>
          <w14:textFill>
            <w14:solidFill>
              <w14:schemeClr w14:val="tx1"/>
            </w14:solidFill>
          </w14:textFill>
        </w:rPr>
      </w:pPr>
      <w:bookmarkStart w:id="114" w:name="_Toc25357"/>
      <w:r>
        <w:rPr>
          <w:color w:val="000000" w:themeColor="text1"/>
          <w:sz w:val="28"/>
          <w:szCs w:val="28"/>
          <w:highlight w:val="none"/>
          <w14:textFill>
            <w14:solidFill>
              <w14:schemeClr w14:val="tx1"/>
            </w14:solidFill>
          </w14:textFill>
        </w:rPr>
        <w:t>1.9.5自助机服务系统</w:t>
      </w:r>
      <w:bookmarkEnd w:id="114"/>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通过自助机患者可以自助打印病案。在打印病案前，需要对身份证和打印人进行人脸识别，确认操作人是身份证本人方可进行后续打印操作，支持根据套餐进行自动选择打印内容，并能自动计算页数和金额。支持通过支付宝和微信支付进行付款。</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15" w:name="_Toc22025"/>
      <w:bookmarkStart w:id="116" w:name="_Toc25493"/>
      <w:r>
        <w:rPr>
          <w:color w:val="000000" w:themeColor="text1"/>
          <w:highlight w:val="none"/>
          <w14:textFill>
            <w14:solidFill>
              <w14:schemeClr w14:val="tx1"/>
            </w14:solidFill>
          </w14:textFill>
        </w:rPr>
        <w:t>医院信息集成平台</w:t>
      </w:r>
      <w:bookmarkEnd w:id="115"/>
      <w:bookmarkEnd w:id="116"/>
    </w:p>
    <w:p>
      <w:pPr>
        <w:pStyle w:val="5"/>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17" w:name="_Toc25815"/>
      <w:r>
        <w:rPr>
          <w:color w:val="000000" w:themeColor="text1"/>
          <w:highlight w:val="none"/>
          <w14:textFill>
            <w14:solidFill>
              <w14:schemeClr w14:val="tx1"/>
            </w14:solidFill>
          </w14:textFill>
        </w:rPr>
        <w:t>1.10.1</w:t>
      </w:r>
      <w:r>
        <w:rPr>
          <w:color w:val="000000" w:themeColor="text1"/>
          <w:szCs w:val="22"/>
          <w:highlight w:val="none"/>
          <w14:textFill>
            <w14:solidFill>
              <w14:schemeClr w14:val="tx1"/>
            </w14:solidFill>
          </w14:textFill>
        </w:rPr>
        <w:t xml:space="preserve"> </w:t>
      </w:r>
      <w:bookmarkStart w:id="118" w:name="_Toc102513417"/>
      <w:bookmarkStart w:id="119" w:name="_Toc28241"/>
      <w:r>
        <w:rPr>
          <w:color w:val="000000" w:themeColor="text1"/>
          <w:highlight w:val="none"/>
          <w14:textFill>
            <w14:solidFill>
              <w14:schemeClr w14:val="tx1"/>
            </w14:solidFill>
          </w14:textFill>
        </w:rPr>
        <w:t>信息资源中心</w:t>
      </w:r>
      <w:bookmarkEnd w:id="117"/>
      <w:bookmarkEnd w:id="118"/>
      <w:bookmarkEnd w:id="119"/>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元数据管理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用于对医疗卫生信息结构体系中，不同业务领域之间信息交换和数据共享所需要基本数据单元的管理。主要功能包括：</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提供完整的医疗卫生信息结构体系中所需要的统一、无歧义的基本数据单元（包括数据元的名称、属性、标识、表示、值域等描述）</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依据临床服务、医院管理以及平台应用业务活动，对元数据进行组织，形成以活动为基础的数据集合</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主数据管理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用于对区域内各业务系统公共基础资源信息的注册、清洗、转换、发布以及数据关系管理。主要功能包括：</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预置医疗卫生信息相关的术语和字典（诊疗项目、药品目录、疾病名称、手术编码等）</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提供注册服务，包括：病人信息的注册，医院机构的注册、医护人员的注册、医疗卫生术语和字典的注册</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提供数据发布服务，实现不同应用系统间主数据同步，提供主动式数据发布服务，将主数据变更信息进行实时发布，供各业务系统进行同步与更新</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提供主数据的访问服务，提供通用的主数据访问控制接口</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数据交换定义及转换</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采用数据表方式描述HL7的任意版本且和基础数据对应，实现业务数据到HL7消息的智能转换。提供基础数据与国家卫计委CDA文件的对照工具，实现基于界面数据、Json对象、HL7、CDA等数据实例的相互自动转换。</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指标字典管理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用于统计分析所需数据指标的集中统一管理。主要功能包括：</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预置医院常用的统计指标字典（包括：指标名称、用途、业务规则、统计口径等），并支持指标信息的修改维护</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提供基于ODR的指标数据组织模型，并根据指标的数据统计口径，自动计算指标结果数据</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提供指标的访问服务，提供通用的指标访问控制接口供各应用系统使用</w:t>
      </w:r>
    </w:p>
    <w:p>
      <w:pPr>
        <w:pStyle w:val="5"/>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20" w:name="_Toc102513418"/>
      <w:bookmarkStart w:id="121" w:name="_Toc26546"/>
      <w:bookmarkStart w:id="122" w:name="_Toc10924"/>
      <w:r>
        <w:rPr>
          <w:color w:val="000000" w:themeColor="text1"/>
          <w:highlight w:val="none"/>
          <w14:textFill>
            <w14:solidFill>
              <w14:schemeClr w14:val="tx1"/>
            </w14:solidFill>
          </w14:textFill>
        </w:rPr>
        <w:t>1.10.2 信息集成平台</w:t>
      </w:r>
      <w:bookmarkEnd w:id="120"/>
      <w:bookmarkEnd w:id="121"/>
      <w:bookmarkEnd w:id="122"/>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服务总线</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服务总线（ESB，EnterpriseServiceBus）用于消息处理、路由和转换功能，从而使服务能够在开发时或运行时实现集成。主要功能包括：</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支持请求/响应、点对点、发布/订阅和事件等多种集成模式</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支持利用XSLT或XQuery转换、业务规则、系统交叉参考和域值映射进行数据转换和文档扩充</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支持基于内容的路由和内容过滤</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支持XML、JMS、MQ、SOAP等基础消息格式和医疗卫生行业的HIPPAEDI、HL7V2/V3Message等消息格式的转化，以及支持HTTP、HTTPs、MLLP、TCP/IP等通信协议切换</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平台运行管理</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用于平台、数据中心的运行信息监控、系统运行状态监测和维护操作管理。主要功能包括：</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提供统一可视化工具进行管理，监控和分析</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监控业务流程和服务，以及从流程和服务中跟踪关键性能指标，提供更丰富的、交互式个性化操作信息面板，可通过Web浏览器方式展现业务活动实时数据和个性化报表</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可以设置个性化的警告条件，实现对重要事件（如：通讯点或基础服务故障）发生时，通过电子邮件、短信等方式发送给指定的用户</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提供日志审计，能够记录平台系统管理员的操作，发现违规行为</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工作流引擎</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用于创建、部署和管理跨应用程序的业务流程管理功能。主要功能包括：</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提供图形化的流程设计器，提供可视化的设置向导，以简化常见的任务（如：与IT系统连接和设置人工工作流步骤）</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提供用可视化的、基于Web的控制台，用于管理和调试部署的流程</w:t>
      </w:r>
    </w:p>
    <w:p>
      <w:pPr>
        <w:pStyle w:val="6"/>
        <w:spacing w:after="0" w:line="348" w:lineRule="auto"/>
        <w:ind w:firstLine="562"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规则引擎</w:t>
      </w:r>
    </w:p>
    <w:p>
      <w:pPr>
        <w:spacing w:line="348"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用于对医疗业务活动中的各类规则的抽取、分类，快速实现医院业务的变化而带来的规则动态定义。主要功能包括：</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提供业务规则定义工具，并预置医院业务的常见规则</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提供业务规则的发布，管理和维护功能</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提供业务规则执行引擎</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支持通过图形方式操作规则，用户也可以使用工具自行编写规则</w:t>
      </w:r>
    </w:p>
    <w:p>
      <w:pPr>
        <w:numPr>
          <w:ilvl w:val="0"/>
          <w:numId w:val="10"/>
        </w:numPr>
        <w:overflowPunct w:val="0"/>
        <w:autoSpaceDE w:val="0"/>
        <w:autoSpaceDN w:val="0"/>
        <w:adjustRightInd w:val="0"/>
        <w:spacing w:line="348" w:lineRule="auto"/>
        <w:ind w:left="0" w:firstLine="420" w:firstLineChars="200"/>
        <w:textAlignment w:val="baseline"/>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提供标准的业务规则服务，支持各应用系统集成</w:t>
      </w:r>
    </w:p>
    <w:p>
      <w:pPr>
        <w:pStyle w:val="5"/>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23" w:name="_Toc102513419"/>
      <w:bookmarkStart w:id="124" w:name="_Toc1582696979"/>
      <w:bookmarkStart w:id="125" w:name="_Toc12466"/>
      <w:bookmarkStart w:id="126" w:name="_Toc23979"/>
      <w:r>
        <w:rPr>
          <w:color w:val="000000" w:themeColor="text1"/>
          <w:highlight w:val="none"/>
          <w14:textFill>
            <w14:solidFill>
              <w14:schemeClr w14:val="tx1"/>
            </w14:solidFill>
          </w14:textFill>
        </w:rPr>
        <w:t>1.10.3 业务数据中心（ODR）</w:t>
      </w:r>
      <w:bookmarkEnd w:id="123"/>
      <w:bookmarkEnd w:id="124"/>
      <w:bookmarkEnd w:id="125"/>
      <w:bookmarkEnd w:id="126"/>
    </w:p>
    <w:p>
      <w:pPr>
        <w:spacing w:line="348" w:lineRule="auto"/>
        <w:ind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业务数据中心相关功能要求：</w:t>
      </w:r>
    </w:p>
    <w:p>
      <w:pPr>
        <w:numPr>
          <w:ilvl w:val="1"/>
          <w:numId w:val="6"/>
        </w:numPr>
        <w:tabs>
          <w:tab w:val="left" w:pos="993"/>
          <w:tab w:val="clear" w:pos="1440"/>
        </w:tabs>
        <w:spacing w:line="348" w:lineRule="auto"/>
        <w:ind w:left="0"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提供业务数据管理驾驶舱</w:t>
      </w:r>
    </w:p>
    <w:p>
      <w:pPr>
        <w:numPr>
          <w:ilvl w:val="1"/>
          <w:numId w:val="6"/>
        </w:numPr>
        <w:tabs>
          <w:tab w:val="left" w:pos="993"/>
          <w:tab w:val="clear" w:pos="1440"/>
        </w:tabs>
        <w:spacing w:line="348" w:lineRule="auto"/>
        <w:ind w:left="0"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提供相关数据分析包括：财务</w:t>
      </w:r>
      <w:r>
        <w:rPr>
          <w:rFonts w:ascii="宋体" w:hAnsi="宋体" w:cs="仿宋"/>
          <w:color w:val="000000" w:themeColor="text1"/>
          <w:highlight w:val="none"/>
          <w14:textFill>
            <w14:solidFill>
              <w14:schemeClr w14:val="tx1"/>
            </w14:solidFill>
          </w14:textFill>
        </w:rPr>
        <w:t>运营</w:t>
      </w:r>
      <w:r>
        <w:rPr>
          <w:rFonts w:hint="eastAsia" w:ascii="宋体" w:hAnsi="宋体" w:cs="仿宋"/>
          <w:color w:val="000000" w:themeColor="text1"/>
          <w:highlight w:val="none"/>
          <w14:textFill>
            <w14:solidFill>
              <w14:schemeClr w14:val="tx1"/>
            </w14:solidFill>
          </w14:textFill>
        </w:rPr>
        <w:t>分析、医疗质量分析、门诊综合分析、住院综合分析、医技业务分析、护理业务分析、手麻业务分析、医保监控分析、药品业务分析、</w:t>
      </w:r>
      <w:r>
        <w:rPr>
          <w:rFonts w:ascii="宋体" w:hAnsi="宋体" w:cs="仿宋"/>
          <w:color w:val="000000" w:themeColor="text1"/>
          <w:highlight w:val="none"/>
          <w14:textFill>
            <w14:solidFill>
              <w14:schemeClr w14:val="tx1"/>
            </w14:solidFill>
          </w14:textFill>
        </w:rPr>
        <w:t>病案管理分析</w:t>
      </w:r>
      <w:r>
        <w:rPr>
          <w:rFonts w:hint="eastAsia" w:ascii="宋体" w:hAnsi="宋体" w:cs="仿宋"/>
          <w:color w:val="000000" w:themeColor="text1"/>
          <w:highlight w:val="none"/>
          <w14:textFill>
            <w14:solidFill>
              <w14:schemeClr w14:val="tx1"/>
            </w14:solidFill>
          </w14:textFill>
        </w:rPr>
        <w:t>、</w:t>
      </w:r>
      <w:r>
        <w:rPr>
          <w:rFonts w:ascii="宋体" w:hAnsi="宋体" w:cs="仿宋"/>
          <w:color w:val="000000" w:themeColor="text1"/>
          <w:highlight w:val="none"/>
          <w14:textFill>
            <w14:solidFill>
              <w14:schemeClr w14:val="tx1"/>
            </w14:solidFill>
          </w14:textFill>
        </w:rPr>
        <w:t>医院感染分析</w:t>
      </w:r>
      <w:r>
        <w:rPr>
          <w:rFonts w:hint="eastAsia" w:ascii="宋体" w:hAnsi="宋体" w:cs="仿宋"/>
          <w:color w:val="000000" w:themeColor="text1"/>
          <w:highlight w:val="none"/>
          <w14:textFill>
            <w14:solidFill>
              <w14:schemeClr w14:val="tx1"/>
            </w14:solidFill>
          </w14:textFill>
        </w:rPr>
        <w:t>、</w:t>
      </w:r>
      <w:r>
        <w:rPr>
          <w:rFonts w:ascii="宋体" w:hAnsi="宋体" w:cs="仿宋"/>
          <w:color w:val="000000" w:themeColor="text1"/>
          <w:highlight w:val="none"/>
          <w14:textFill>
            <w14:solidFill>
              <w14:schemeClr w14:val="tx1"/>
            </w14:solidFill>
          </w14:textFill>
        </w:rPr>
        <w:t>人力资源分析</w:t>
      </w:r>
      <w:r>
        <w:rPr>
          <w:rFonts w:hint="eastAsia" w:ascii="宋体" w:hAnsi="宋体" w:cs="仿宋"/>
          <w:color w:val="000000" w:themeColor="text1"/>
          <w:highlight w:val="none"/>
          <w14:textFill>
            <w14:solidFill>
              <w14:schemeClr w14:val="tx1"/>
            </w14:solidFill>
          </w14:textFill>
        </w:rPr>
        <w:t>、</w:t>
      </w:r>
      <w:r>
        <w:rPr>
          <w:rFonts w:ascii="宋体" w:hAnsi="宋体" w:cs="仿宋"/>
          <w:color w:val="000000" w:themeColor="text1"/>
          <w:highlight w:val="none"/>
          <w14:textFill>
            <w14:solidFill>
              <w14:schemeClr w14:val="tx1"/>
            </w14:solidFill>
          </w14:textFill>
        </w:rPr>
        <w:t>临床路径管理</w:t>
      </w:r>
      <w:r>
        <w:rPr>
          <w:rFonts w:hint="eastAsia" w:ascii="宋体" w:hAnsi="宋体" w:cs="仿宋"/>
          <w:color w:val="000000" w:themeColor="text1"/>
          <w:highlight w:val="none"/>
          <w14:textFill>
            <w14:solidFill>
              <w14:schemeClr w14:val="tx1"/>
            </w14:solidFill>
          </w14:textFill>
        </w:rPr>
        <w:t>分析、固定资产分析、物质业务分析、卫材业务分析、医联体医院基本运营情况展示。</w:t>
      </w:r>
    </w:p>
    <w:p>
      <w:pPr>
        <w:pStyle w:val="5"/>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27" w:name="_Toc2259"/>
      <w:bookmarkStart w:id="128" w:name="_Toc12519"/>
      <w:r>
        <w:rPr>
          <w:color w:val="000000" w:themeColor="text1"/>
          <w:highlight w:val="none"/>
          <w14:textFill>
            <w14:solidFill>
              <w14:schemeClr w14:val="tx1"/>
            </w14:solidFill>
          </w14:textFill>
        </w:rPr>
        <w:t>1.10.4 临床数据中心（CDR）</w:t>
      </w:r>
      <w:bookmarkEnd w:id="127"/>
      <w:bookmarkEnd w:id="128"/>
    </w:p>
    <w:p>
      <w:pPr>
        <w:spacing w:line="348" w:lineRule="auto"/>
        <w:ind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 xml:space="preserve"> </w:t>
      </w:r>
      <w:r>
        <w:rPr>
          <w:rFonts w:ascii="宋体" w:hAnsi="宋体" w:cs="仿宋"/>
          <w:color w:val="000000" w:themeColor="text1"/>
          <w:highlight w:val="none"/>
          <w14:textFill>
            <w14:solidFill>
              <w14:schemeClr w14:val="tx1"/>
            </w14:solidFill>
          </w14:textFill>
        </w:rPr>
        <w:t xml:space="preserve">   </w:t>
      </w:r>
      <w:r>
        <w:rPr>
          <w:rFonts w:hint="eastAsia" w:ascii="宋体" w:hAnsi="宋体" w:cs="仿宋"/>
          <w:color w:val="000000" w:themeColor="text1"/>
          <w:highlight w:val="none"/>
          <w14:textFill>
            <w14:solidFill>
              <w14:schemeClr w14:val="tx1"/>
            </w14:solidFill>
          </w14:textFill>
        </w:rPr>
        <w:t>CDR用于临床电子病历数据和临床文档数据的集中存储与管理。将分散在不同临床业务系统、以不同形式表示和存储的数据，按照统一的标准格式汇集，并进行统一的建模，形成一个面向临床，以患者为中心的数据存储。主要功能包括：</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添加或取消文档原型定义的CDA的Header节点和XDS的数据元的对照关系，将CDA文档中的节点同XDS元数据进行映射，用于封装ebXML文档时使用</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添加或取消来源于文档中的值域值和XDS数据元的值域值的对照关系，将文档值域中的值同XDS元数据的值域值进行映射，用于封装ebXML文档时使用</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对注册到平台上的文档进行相应的管理和维护，文档可以通过自动采集或手动注册到平台上，用于采集成功的正确文档的审批和解析、采集成功的错误文档的作废和取消解析、采集失败的CDA文档的注册</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按IHE的规范，对文档内容进行查询，支持将文档下载到本地进行查看</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根据文档编码、文档分类、解析修改时间等，对文档解析的修改记录进行查看</w:t>
      </w:r>
    </w:p>
    <w:p>
      <w:pPr>
        <w:pStyle w:val="6"/>
        <w:spacing w:after="0" w:line="348" w:lineRule="auto"/>
        <w:ind w:firstLine="562" w:firstLineChars="200"/>
        <w:rPr>
          <w:rFonts w:ascii="宋体" w:hAnsi="宋体" w:cs="仿宋"/>
          <w:color w:val="000000" w:themeColor="text1"/>
          <w:szCs w:val="24"/>
          <w:highlight w:val="none"/>
          <w14:textFill>
            <w14:solidFill>
              <w14:schemeClr w14:val="tx1"/>
            </w14:solidFill>
          </w14:textFill>
        </w:rPr>
      </w:pPr>
      <w:r>
        <w:rPr>
          <w:rFonts w:hint="eastAsia" w:ascii="宋体" w:hAnsi="宋体" w:cs="仿宋"/>
          <w:color w:val="000000" w:themeColor="text1"/>
          <w:szCs w:val="24"/>
          <w:highlight w:val="none"/>
          <w14:textFill>
            <w14:solidFill>
              <w14:schemeClr w14:val="tx1"/>
            </w14:solidFill>
          </w14:textFill>
        </w:rPr>
        <w:t>数据仓库工具</w:t>
      </w:r>
    </w:p>
    <w:p>
      <w:pPr>
        <w:spacing w:line="348" w:lineRule="auto"/>
        <w:ind w:firstLine="420" w:firstLineChars="200"/>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采用数据仓库技术ETL（Extract-Transform-Load）工具，实现将各业务系统中的生产数据自动抽取转换到数据中心，并经过数据清洗，保证数据的正确性和唯一性，主要功能包括：</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对平台的支持：数据抽取工具面对的要求往往是将几十上百个GB的数据在有限的几个小时内完成抽取转换和装载，这种挑战势必要求抽取工具对高性能的硬件和主机提供支持。目前主流的平台包括：Windows、Linux、SUN-Solaris、HP-UX、IBM-AIX、AS/400、OS/390、ScoUnix等</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对数据源的支持：需要对项目中可能会遇到的各种数据源及数据源接口类型进行分析，如，针对同一种数据库，使用通用的接口（如ODBC/JDBC）还是原厂商自己的专用接口，数据抽取效率会有很大差别。常见的数据源包括：Oracle、SQLServer、DB2、Informix、Sybase、SAS、Text、Excel、SAP、Peoplesoft等</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数据转换功能：对抽取到的数据能进行灵活的计算、合并、拆分等，包括：字段映射，映射的自动匹配，字段的拆分，多字段的混合运算，跨异构数据库的关联，自定义函数，多数据类型支持，复杂条件过滤，支持脏读，数据的批量装载，时间类型的转换，对各种码表的支持，环境变量是否可以动态修改，去重复记录，抽取断点，记录间合并或计算，记录拆分、抽取的字段等</w:t>
      </w:r>
    </w:p>
    <w:p>
      <w:pPr>
        <w:pStyle w:val="46"/>
        <w:numPr>
          <w:ilvl w:val="0"/>
          <w:numId w:val="11"/>
        </w:numPr>
        <w:overflowPunct w:val="0"/>
        <w:autoSpaceDE w:val="0"/>
        <w:autoSpaceDN w:val="0"/>
        <w:adjustRightInd w:val="0"/>
        <w:spacing w:line="348" w:lineRule="auto"/>
        <w:ind w:left="0" w:firstLine="480"/>
        <w:textAlignment w:val="baseline"/>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管理和调度功能：采用多线程、分布式、负载均衡、集中管理等高性能高可靠性与易管理和扩展的多层体系架构，包括：抽取过程的备份与恢复、升级，版本管理，开发和发布，支持统一以及自定义的管理平台，支持时间触发方式，支持事件触发方式，支持命令行执行方式，支持用户对计算机资源的管理和分配，负载均衡，文档的自动生成，调度过程中能否执行其他任务等</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29" w:name="_Toc29523"/>
      <w:bookmarkStart w:id="130" w:name="_Toc1560"/>
      <w:r>
        <w:rPr>
          <w:color w:val="000000" w:themeColor="text1"/>
          <w:highlight w:val="none"/>
          <w14:textFill>
            <w14:solidFill>
              <w14:schemeClr w14:val="tx1"/>
            </w14:solidFill>
          </w14:textFill>
        </w:rPr>
        <w:t>互联网医院平台</w:t>
      </w:r>
      <w:bookmarkEnd w:id="129"/>
      <w:bookmarkEnd w:id="130"/>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预约挂号、图文咨询、视频问诊、医嘱查看、医生评价、在线支付、查看物流、消息中心、知情同意书、就诊人管理、医生搜索、订单管理、诊室列表、医生介绍、图文咨询接诊、视频问诊接诊、子处方、处方签名、处方审核、医生登录、排班查询、患者信息查看、消息提醒、推送治疗方案、医生账户录入、患者账户管理、订单管理、退费管理（申请、查询）、评价管理、基础数据统、支付账户管理、权限管理、科室分类、基础字典、用户协议、出诊医生管理。</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31" w:name="_Toc30096"/>
      <w:bookmarkStart w:id="132" w:name="_Toc24638"/>
      <w:r>
        <w:rPr>
          <w:color w:val="000000" w:themeColor="text1"/>
          <w:highlight w:val="none"/>
          <w14:textFill>
            <w14:solidFill>
              <w14:schemeClr w14:val="tx1"/>
            </w14:solidFill>
          </w14:textFill>
        </w:rPr>
        <w:t>慢病管理平台</w:t>
      </w:r>
      <w:bookmarkEnd w:id="131"/>
      <w:bookmarkEnd w:id="132"/>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账号密码登录、图形拼接校验、基本资料、个人登录信息展示、组织管理、角色管理、患者账户管理、医护人员账户管理、菜单管理、医疗账户管理、预警值配置、设备管理、日志管理、配置管理、药品库、食材库、实时数据标签栏、我的排班、我的患者、我的随访任务、监测预警、发送问卷、管理方案维、表格维护、健康宣教知识库、随访提醒短信发送、随访提醒微信消息发送、个人基本信息表、门诊病历、住院病历、体检报告、用药记录、血糖数据、血压数据、运动数据、饮食数据、问卷记录、随访记录、课件、学分、科研数据概览、查看调查记录、管理数据概览、监测预警、数据列表、患者列表、课程列表、我的排班。</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33" w:name="_Toc12632"/>
      <w:r>
        <w:rPr>
          <w:color w:val="000000" w:themeColor="text1"/>
          <w:highlight w:val="none"/>
          <w14:textFill>
            <w14:solidFill>
              <w14:schemeClr w14:val="tx1"/>
            </w14:solidFill>
          </w14:textFill>
        </w:rPr>
        <w:t>1</w:t>
      </w:r>
      <w:r>
        <w:rPr>
          <w:rFonts w:cs="仿宋"/>
          <w:color w:val="000000" w:themeColor="text1"/>
          <w:highlight w:val="none"/>
          <w14:textFill>
            <w14:solidFill>
              <w14:schemeClr w14:val="tx1"/>
            </w14:solidFill>
          </w14:textFill>
        </w:rPr>
        <w:t>20急救指挥中心平台</w:t>
      </w:r>
      <w:bookmarkEnd w:id="133"/>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功能要求：120电话呼叫中心、车辆指挥调度-调度指挥、车辆指挥调度-调度监控、院前信息大屏、院前移动工作站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领导首页、互联网地图子系统、站点管理子系统、院前后台管理站、院前移动工作站-急救司机、院前移动工作站-院前护理、院前移动工作站-院前医生、院前移动工作站-告知信息发布、院前移动工作站-远程专家会诊、急救车载医疗设备接入。</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34" w:name="_Toc20521"/>
      <w:bookmarkStart w:id="135" w:name="_Toc24343"/>
      <w:bookmarkStart w:id="136" w:name="_Toc12438"/>
      <w:r>
        <w:rPr>
          <w:color w:val="000000" w:themeColor="text1"/>
          <w:highlight w:val="none"/>
          <w14:textFill>
            <w14:solidFill>
              <w14:schemeClr w14:val="tx1"/>
            </w14:solidFill>
          </w14:textFill>
        </w:rPr>
        <w:t>院内卒中急救管理平台</w:t>
      </w:r>
      <w:bookmarkEnd w:id="134"/>
      <w:bookmarkEnd w:id="135"/>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院内卒中急救管理平台支持对卒中中心全工作流进行信息的管理，包括卒中急救流程的定义、患者列表、单个患者诊疗时间轴。详细完整地记录卒中患者在各流程节点的相关信息，全方位立体地对卒中患者全流程诊疗过程进行监控；同时对医护人员的医疗行为进行监管和约束，进而更好地确保卒中患者的生命安全。</w:t>
      </w:r>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w:t>
      </w:r>
      <w:bookmarkStart w:id="137" w:name="_Toc1823429219"/>
      <w:bookmarkStart w:id="138" w:name="_Toc103114048"/>
      <w:bookmarkStart w:id="139" w:name="_Toc27414"/>
      <w:bookmarkStart w:id="140" w:name="_Toc1379668395"/>
      <w:bookmarkStart w:id="141" w:name="_Toc27541"/>
      <w:bookmarkStart w:id="142" w:name="_Toc14992"/>
      <w:bookmarkStart w:id="143" w:name="_Toc2183"/>
      <w:bookmarkStart w:id="144" w:name="_Toc31610"/>
      <w:bookmarkStart w:id="145" w:name="_Toc103114622"/>
      <w:r>
        <w:rPr>
          <w:rFonts w:hint="eastAsia" w:ascii="宋体" w:hAnsi="宋体"/>
          <w:color w:val="000000" w:themeColor="text1"/>
          <w:highlight w:val="none"/>
          <w14:textFill>
            <w14:solidFill>
              <w14:schemeClr w14:val="tx1"/>
            </w14:solidFill>
          </w14:textFill>
        </w:rPr>
        <w:t>卒中急救质控平台</w:t>
      </w:r>
      <w:bookmarkEnd w:id="137"/>
      <w:bookmarkEnd w:id="138"/>
      <w:bookmarkEnd w:id="139"/>
      <w:bookmarkEnd w:id="140"/>
      <w:bookmarkEnd w:id="141"/>
      <w:bookmarkEnd w:id="142"/>
      <w:bookmarkEnd w:id="143"/>
      <w:bookmarkEnd w:id="144"/>
      <w:bookmarkEnd w:id="145"/>
      <w:r>
        <w:rPr>
          <w:rFonts w:hint="eastAsia" w:ascii="宋体" w:hAnsi="宋体"/>
          <w:color w:val="000000" w:themeColor="text1"/>
          <w:highlight w:val="none"/>
          <w14:textFill>
            <w14:solidFill>
              <w14:schemeClr w14:val="tx1"/>
            </w14:solidFill>
          </w14:textFill>
        </w:rPr>
        <w:t>、</w:t>
      </w:r>
      <w:bookmarkStart w:id="146" w:name="_Toc11079"/>
      <w:bookmarkStart w:id="147" w:name="_Toc1783241043"/>
      <w:bookmarkStart w:id="148" w:name="_Toc103114049"/>
      <w:bookmarkStart w:id="149" w:name="_Toc12114"/>
      <w:bookmarkStart w:id="150" w:name="_Toc11599"/>
      <w:bookmarkStart w:id="151" w:name="_Toc103114623"/>
      <w:bookmarkStart w:id="152" w:name="_Toc18346"/>
      <w:bookmarkStart w:id="153" w:name="_Toc2675"/>
      <w:bookmarkStart w:id="154" w:name="_Toc1705778106"/>
      <w:r>
        <w:rPr>
          <w:rFonts w:hint="eastAsia" w:ascii="宋体" w:hAnsi="宋体"/>
          <w:color w:val="000000" w:themeColor="text1"/>
          <w:highlight w:val="none"/>
          <w14:textFill>
            <w14:solidFill>
              <w14:schemeClr w14:val="tx1"/>
            </w14:solidFill>
          </w14:textFill>
        </w:rPr>
        <w:t>卒中绿色通道流程管理平台</w:t>
      </w:r>
      <w:bookmarkEnd w:id="146"/>
      <w:bookmarkEnd w:id="147"/>
      <w:bookmarkEnd w:id="148"/>
      <w:bookmarkEnd w:id="149"/>
      <w:bookmarkEnd w:id="150"/>
      <w:bookmarkEnd w:id="151"/>
      <w:bookmarkEnd w:id="152"/>
      <w:bookmarkEnd w:id="153"/>
      <w:bookmarkEnd w:id="154"/>
      <w:r>
        <w:rPr>
          <w:rFonts w:hint="eastAsia" w:ascii="宋体" w:hAnsi="宋体"/>
          <w:color w:val="000000" w:themeColor="text1"/>
          <w:highlight w:val="none"/>
          <w14:textFill>
            <w14:solidFill>
              <w14:schemeClr w14:val="tx1"/>
            </w14:solidFill>
          </w14:textFill>
        </w:rPr>
        <w:t>、</w:t>
      </w:r>
      <w:bookmarkStart w:id="155" w:name="_Toc650432169"/>
      <w:bookmarkStart w:id="156" w:name="_Toc1134"/>
      <w:bookmarkStart w:id="157" w:name="_Toc8279"/>
      <w:bookmarkStart w:id="158" w:name="_Toc105940092"/>
      <w:bookmarkStart w:id="159" w:name="_Toc103114624"/>
      <w:bookmarkStart w:id="160" w:name="_Toc103114050"/>
      <w:bookmarkStart w:id="161" w:name="_Toc31937"/>
      <w:bookmarkStart w:id="162" w:name="_Toc28681"/>
      <w:bookmarkStart w:id="163" w:name="_Toc11937"/>
      <w:r>
        <w:rPr>
          <w:rFonts w:hint="eastAsia" w:ascii="宋体" w:hAnsi="宋体"/>
          <w:color w:val="000000" w:themeColor="text1"/>
          <w:highlight w:val="none"/>
          <w14:textFill>
            <w14:solidFill>
              <w14:schemeClr w14:val="tx1"/>
            </w14:solidFill>
          </w14:textFill>
        </w:rPr>
        <w:t>卒中患者智能化时间采集平台</w:t>
      </w:r>
      <w:bookmarkEnd w:id="155"/>
      <w:bookmarkEnd w:id="156"/>
      <w:bookmarkEnd w:id="157"/>
      <w:bookmarkEnd w:id="158"/>
      <w:bookmarkEnd w:id="159"/>
      <w:bookmarkEnd w:id="160"/>
      <w:bookmarkEnd w:id="161"/>
      <w:bookmarkEnd w:id="162"/>
      <w:bookmarkEnd w:id="163"/>
      <w:r>
        <w:rPr>
          <w:rFonts w:hint="eastAsia" w:ascii="宋体" w:hAnsi="宋体"/>
          <w:color w:val="000000" w:themeColor="text1"/>
          <w:highlight w:val="none"/>
          <w14:textFill>
            <w14:solidFill>
              <w14:schemeClr w14:val="tx1"/>
            </w14:solidFill>
          </w14:textFill>
        </w:rPr>
        <w:t>、</w:t>
      </w:r>
      <w:bookmarkStart w:id="164" w:name="_Toc16740"/>
      <w:bookmarkStart w:id="165" w:name="_Toc18758"/>
      <w:bookmarkStart w:id="166" w:name="_Toc271182881"/>
      <w:bookmarkStart w:id="167" w:name="_Toc103114625"/>
      <w:bookmarkStart w:id="168" w:name="_Toc1121701153"/>
      <w:bookmarkStart w:id="169" w:name="_Toc22895"/>
      <w:bookmarkStart w:id="170" w:name="_Toc103114051"/>
      <w:bookmarkStart w:id="171" w:name="_Toc31359"/>
      <w:bookmarkStart w:id="172" w:name="_Toc25393"/>
      <w:r>
        <w:rPr>
          <w:rFonts w:hint="eastAsia" w:ascii="宋体" w:hAnsi="宋体"/>
          <w:color w:val="000000" w:themeColor="text1"/>
          <w:highlight w:val="none"/>
          <w14:textFill>
            <w14:solidFill>
              <w14:schemeClr w14:val="tx1"/>
            </w14:solidFill>
          </w14:textFill>
        </w:rPr>
        <w:t>卒中急救工作流集成平台</w:t>
      </w:r>
      <w:bookmarkEnd w:id="164"/>
      <w:bookmarkEnd w:id="165"/>
      <w:bookmarkEnd w:id="166"/>
      <w:bookmarkEnd w:id="167"/>
      <w:bookmarkEnd w:id="168"/>
      <w:bookmarkEnd w:id="169"/>
      <w:bookmarkEnd w:id="170"/>
      <w:bookmarkEnd w:id="171"/>
      <w:bookmarkEnd w:id="172"/>
      <w:r>
        <w:rPr>
          <w:rFonts w:hint="eastAsia" w:ascii="宋体" w:hAnsi="宋体"/>
          <w:color w:val="000000" w:themeColor="text1"/>
          <w:highlight w:val="none"/>
          <w14:textFill>
            <w14:solidFill>
              <w14:schemeClr w14:val="tx1"/>
            </w14:solidFill>
          </w14:textFill>
        </w:rPr>
        <w:t>、</w:t>
      </w:r>
      <w:bookmarkStart w:id="173" w:name="_Toc364"/>
      <w:bookmarkStart w:id="174" w:name="_Toc3139"/>
      <w:bookmarkStart w:id="175" w:name="_Toc103114052"/>
      <w:bookmarkStart w:id="176" w:name="_Toc1504"/>
      <w:bookmarkStart w:id="177" w:name="_Toc103114626"/>
      <w:bookmarkStart w:id="178" w:name="_Toc810382033"/>
      <w:bookmarkStart w:id="179" w:name="_Toc1819825105"/>
      <w:bookmarkStart w:id="180" w:name="_Toc26180"/>
      <w:bookmarkStart w:id="181" w:name="_Toc29145"/>
      <w:r>
        <w:rPr>
          <w:rFonts w:hint="eastAsia" w:ascii="宋体" w:hAnsi="宋体"/>
          <w:color w:val="000000" w:themeColor="text1"/>
          <w:highlight w:val="none"/>
          <w14:textFill>
            <w14:solidFill>
              <w14:schemeClr w14:val="tx1"/>
            </w14:solidFill>
          </w14:textFill>
        </w:rPr>
        <w:t>卒中中心认证数据采集上报</w:t>
      </w:r>
      <w:bookmarkEnd w:id="173"/>
      <w:bookmarkEnd w:id="174"/>
      <w:bookmarkEnd w:id="175"/>
      <w:bookmarkEnd w:id="176"/>
      <w:bookmarkEnd w:id="177"/>
      <w:bookmarkEnd w:id="178"/>
      <w:bookmarkEnd w:id="179"/>
      <w:bookmarkEnd w:id="180"/>
      <w:bookmarkEnd w:id="181"/>
      <w:r>
        <w:rPr>
          <w:rFonts w:hint="eastAsia" w:ascii="宋体" w:hAnsi="宋体"/>
          <w:color w:val="000000" w:themeColor="text1"/>
          <w:highlight w:val="none"/>
          <w14:textFill>
            <w14:solidFill>
              <w14:schemeClr w14:val="tx1"/>
            </w14:solidFill>
          </w14:textFill>
        </w:rPr>
        <w:t>。</w:t>
      </w:r>
    </w:p>
    <w:p>
      <w:pPr>
        <w:pStyle w:val="4"/>
        <w:spacing w:beforeAutospacing="0" w:after="0" w:afterAutospacing="0" w:line="348" w:lineRule="auto"/>
        <w:ind w:firstLine="643" w:firstLineChars="200"/>
        <w:rPr>
          <w:rFonts w:hint="default"/>
          <w:color w:val="000000" w:themeColor="text1"/>
          <w:highlight w:val="none"/>
          <w14:textFill>
            <w14:solidFill>
              <w14:schemeClr w14:val="tx1"/>
            </w14:solidFill>
          </w14:textFill>
        </w:rPr>
      </w:pPr>
      <w:bookmarkStart w:id="182" w:name="_Toc4602"/>
      <w:bookmarkStart w:id="183" w:name="_Toc29607"/>
      <w:r>
        <w:rPr>
          <w:color w:val="000000" w:themeColor="text1"/>
          <w:highlight w:val="none"/>
          <w14:textFill>
            <w14:solidFill>
              <w14:schemeClr w14:val="tx1"/>
            </w14:solidFill>
          </w14:textFill>
        </w:rPr>
        <w:t>院内胸痛急救管理平台</w:t>
      </w:r>
      <w:bookmarkEnd w:id="182"/>
      <w:bookmarkEnd w:id="183"/>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院内胸痛急救管理平台支持对胸痛中心全工作流进行信息的管理，包括胸痛急救流程的定义、患者列表、单个患者诊疗时间轴。详细完整地记录胸痛患者在各流程节点的相关信息，全方位立体地对胸痛患者全流程诊疗过程进行监控；同时对医护人员的医疗行为进行监管和约束，进而更好地确保胸痛患者的生命安全。</w:t>
      </w:r>
    </w:p>
    <w:p>
      <w:pPr>
        <w:tabs>
          <w:tab w:val="left" w:pos="312"/>
        </w:tabs>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功能要求：</w:t>
      </w:r>
      <w:bookmarkStart w:id="184" w:name="_Toc368899797"/>
      <w:bookmarkStart w:id="185" w:name="_Toc103114628"/>
      <w:bookmarkStart w:id="186" w:name="_Toc996"/>
      <w:bookmarkStart w:id="187" w:name="_Toc22326"/>
      <w:bookmarkStart w:id="188" w:name="_Toc24433"/>
      <w:bookmarkStart w:id="189" w:name="_Toc255776602"/>
      <w:bookmarkStart w:id="190" w:name="_Toc954"/>
      <w:bookmarkStart w:id="191" w:name="_Toc532829637"/>
      <w:bookmarkStart w:id="192" w:name="_Toc11119"/>
      <w:bookmarkStart w:id="193" w:name="_Toc103114054"/>
      <w:r>
        <w:rPr>
          <w:rFonts w:hint="eastAsia" w:ascii="宋体" w:hAnsi="宋体"/>
          <w:color w:val="000000" w:themeColor="text1"/>
          <w:highlight w:val="none"/>
          <w14:textFill>
            <w14:solidFill>
              <w14:schemeClr w14:val="tx1"/>
            </w14:solidFill>
          </w14:textFill>
        </w:rPr>
        <w:t>胸痛急救质控平台</w:t>
      </w:r>
      <w:bookmarkEnd w:id="184"/>
      <w:bookmarkEnd w:id="185"/>
      <w:bookmarkEnd w:id="186"/>
      <w:bookmarkEnd w:id="187"/>
      <w:bookmarkEnd w:id="188"/>
      <w:bookmarkEnd w:id="189"/>
      <w:bookmarkEnd w:id="190"/>
      <w:bookmarkEnd w:id="191"/>
      <w:bookmarkEnd w:id="192"/>
      <w:bookmarkEnd w:id="193"/>
      <w:r>
        <w:rPr>
          <w:rFonts w:hint="eastAsia" w:ascii="宋体" w:hAnsi="宋体"/>
          <w:color w:val="000000" w:themeColor="text1"/>
          <w:highlight w:val="none"/>
          <w14:textFill>
            <w14:solidFill>
              <w14:schemeClr w14:val="tx1"/>
            </w14:solidFill>
          </w14:textFill>
        </w:rPr>
        <w:t>、</w:t>
      </w:r>
      <w:bookmarkStart w:id="194" w:name="_Toc103114055"/>
      <w:bookmarkStart w:id="195" w:name="_Toc26013"/>
      <w:bookmarkStart w:id="196" w:name="_Toc11799"/>
      <w:bookmarkStart w:id="197" w:name="_Toc532829638"/>
      <w:bookmarkStart w:id="198" w:name="_Toc103114629"/>
      <w:bookmarkStart w:id="199" w:name="_Toc13330"/>
      <w:bookmarkStart w:id="200" w:name="_Toc13319"/>
      <w:bookmarkStart w:id="201" w:name="_Toc20984"/>
      <w:bookmarkStart w:id="202" w:name="_Toc1722572167"/>
      <w:bookmarkStart w:id="203" w:name="_Toc313599290"/>
      <w:r>
        <w:rPr>
          <w:rFonts w:hint="eastAsia" w:ascii="宋体" w:hAnsi="宋体"/>
          <w:color w:val="000000" w:themeColor="text1"/>
          <w:highlight w:val="none"/>
          <w14:textFill>
            <w14:solidFill>
              <w14:schemeClr w14:val="tx1"/>
            </w14:solidFill>
          </w14:textFill>
        </w:rPr>
        <w:t>胸痛绿色通道流程管理平台</w:t>
      </w:r>
      <w:bookmarkEnd w:id="194"/>
      <w:bookmarkEnd w:id="195"/>
      <w:bookmarkEnd w:id="196"/>
      <w:bookmarkEnd w:id="197"/>
      <w:bookmarkEnd w:id="198"/>
      <w:bookmarkEnd w:id="199"/>
      <w:bookmarkEnd w:id="200"/>
      <w:bookmarkEnd w:id="201"/>
      <w:bookmarkEnd w:id="202"/>
      <w:bookmarkEnd w:id="203"/>
      <w:bookmarkStart w:id="204" w:name="_Toc4149"/>
      <w:bookmarkStart w:id="205" w:name="_Toc103114056"/>
      <w:bookmarkStart w:id="206" w:name="_Toc12140"/>
      <w:bookmarkStart w:id="207" w:name="_Toc27571"/>
      <w:bookmarkStart w:id="208" w:name="_Toc1043365562"/>
      <w:bookmarkStart w:id="209" w:name="_Toc103114630"/>
      <w:bookmarkStart w:id="210" w:name="_Toc13118"/>
      <w:bookmarkStart w:id="211" w:name="_Toc738397292"/>
      <w:bookmarkStart w:id="212" w:name="_Toc532829639"/>
      <w:bookmarkStart w:id="213" w:name="_Toc23730"/>
      <w:r>
        <w:rPr>
          <w:rFonts w:hint="eastAsia" w:ascii="宋体" w:hAnsi="宋体"/>
          <w:color w:val="000000" w:themeColor="text1"/>
          <w:highlight w:val="none"/>
          <w14:textFill>
            <w14:solidFill>
              <w14:schemeClr w14:val="tx1"/>
            </w14:solidFill>
          </w14:textFill>
        </w:rPr>
        <w:t>、胸痛患者智能化时间采集平台</w:t>
      </w:r>
      <w:bookmarkEnd w:id="204"/>
      <w:bookmarkEnd w:id="205"/>
      <w:bookmarkEnd w:id="206"/>
      <w:bookmarkEnd w:id="207"/>
      <w:bookmarkEnd w:id="208"/>
      <w:bookmarkEnd w:id="209"/>
      <w:bookmarkEnd w:id="210"/>
      <w:bookmarkEnd w:id="211"/>
      <w:bookmarkEnd w:id="212"/>
      <w:bookmarkEnd w:id="213"/>
      <w:r>
        <w:rPr>
          <w:rFonts w:hint="eastAsia" w:ascii="宋体" w:hAnsi="宋体"/>
          <w:color w:val="000000" w:themeColor="text1"/>
          <w:highlight w:val="none"/>
          <w14:textFill>
            <w14:solidFill>
              <w14:schemeClr w14:val="tx1"/>
            </w14:solidFill>
          </w14:textFill>
        </w:rPr>
        <w:t>、</w:t>
      </w:r>
      <w:bookmarkStart w:id="214" w:name="_Toc4458"/>
      <w:bookmarkStart w:id="215" w:name="_Toc14358"/>
      <w:bookmarkStart w:id="216" w:name="_Toc27763"/>
      <w:bookmarkStart w:id="217" w:name="_Toc31837"/>
      <w:bookmarkStart w:id="218" w:name="_Toc1735"/>
      <w:bookmarkStart w:id="219" w:name="_Toc1641022779"/>
      <w:bookmarkStart w:id="220" w:name="_Toc2082774278"/>
      <w:bookmarkStart w:id="221" w:name="_Toc103114057"/>
      <w:bookmarkStart w:id="222" w:name="_Toc103114631"/>
      <w:bookmarkStart w:id="223" w:name="_Toc532829640"/>
      <w:r>
        <w:rPr>
          <w:rFonts w:hint="eastAsia" w:ascii="宋体" w:hAnsi="宋体"/>
          <w:color w:val="000000" w:themeColor="text1"/>
          <w:highlight w:val="none"/>
          <w14:textFill>
            <w14:solidFill>
              <w14:schemeClr w14:val="tx1"/>
            </w14:solidFill>
          </w14:textFill>
        </w:rPr>
        <w:t>胸痛急救工作流集成平台</w:t>
      </w:r>
      <w:bookmarkEnd w:id="214"/>
      <w:bookmarkEnd w:id="215"/>
      <w:bookmarkEnd w:id="216"/>
      <w:bookmarkEnd w:id="217"/>
      <w:bookmarkEnd w:id="218"/>
      <w:bookmarkEnd w:id="219"/>
      <w:bookmarkEnd w:id="220"/>
      <w:bookmarkEnd w:id="221"/>
      <w:bookmarkEnd w:id="222"/>
      <w:bookmarkEnd w:id="223"/>
      <w:r>
        <w:rPr>
          <w:rFonts w:hint="eastAsia" w:ascii="宋体" w:hAnsi="宋体"/>
          <w:color w:val="000000" w:themeColor="text1"/>
          <w:highlight w:val="none"/>
          <w14:textFill>
            <w14:solidFill>
              <w14:schemeClr w14:val="tx1"/>
            </w14:solidFill>
          </w14:textFill>
        </w:rPr>
        <w:t>、</w:t>
      </w:r>
      <w:bookmarkStart w:id="224" w:name="_Toc532829675"/>
      <w:bookmarkStart w:id="225" w:name="_Toc537368232"/>
      <w:bookmarkStart w:id="226" w:name="_Toc17640"/>
      <w:bookmarkStart w:id="227" w:name="_Toc103114058"/>
      <w:bookmarkStart w:id="228" w:name="_Toc13196"/>
      <w:bookmarkStart w:id="229" w:name="_Toc30448"/>
      <w:bookmarkStart w:id="230" w:name="_Toc1203844246"/>
      <w:bookmarkStart w:id="231" w:name="_Toc2583"/>
      <w:bookmarkStart w:id="232" w:name="_Toc103114632"/>
      <w:bookmarkStart w:id="233" w:name="_Toc14710"/>
      <w:r>
        <w:rPr>
          <w:rFonts w:hint="eastAsia" w:ascii="宋体" w:hAnsi="宋体"/>
          <w:color w:val="000000" w:themeColor="text1"/>
          <w:highlight w:val="none"/>
          <w14:textFill>
            <w14:solidFill>
              <w14:schemeClr w14:val="tx1"/>
            </w14:solidFill>
          </w14:textFill>
        </w:rPr>
        <w:t>胸痛中心认证数据采集上报</w:t>
      </w:r>
      <w:bookmarkEnd w:id="224"/>
      <w:bookmarkEnd w:id="225"/>
      <w:bookmarkEnd w:id="226"/>
      <w:bookmarkEnd w:id="227"/>
      <w:bookmarkEnd w:id="228"/>
      <w:bookmarkEnd w:id="229"/>
      <w:bookmarkEnd w:id="230"/>
      <w:bookmarkEnd w:id="231"/>
      <w:bookmarkEnd w:id="232"/>
      <w:bookmarkEnd w:id="233"/>
      <w:r>
        <w:rPr>
          <w:rFonts w:hint="eastAsia" w:ascii="宋体" w:hAnsi="宋体"/>
          <w:color w:val="000000" w:themeColor="text1"/>
          <w:highlight w:val="none"/>
          <w14:textFill>
            <w14:solidFill>
              <w14:schemeClr w14:val="tx1"/>
            </w14:solidFill>
          </w14:textFill>
        </w:rPr>
        <w:t>。</w:t>
      </w:r>
    </w:p>
    <w:p>
      <w:pPr>
        <w:pStyle w:val="4"/>
        <w:spacing w:beforeAutospacing="0" w:after="0" w:afterAutospacing="0" w:line="348" w:lineRule="auto"/>
        <w:ind w:firstLine="643" w:firstLineChars="200"/>
        <w:rPr>
          <w:rFonts w:cs="仿宋"/>
          <w:color w:val="000000" w:themeColor="text1"/>
          <w:highlight w:val="none"/>
          <w14:textFill>
            <w14:solidFill>
              <w14:schemeClr w14:val="tx1"/>
            </w14:solidFill>
          </w14:textFill>
        </w:rPr>
      </w:pPr>
      <w:bookmarkStart w:id="234" w:name="_Toc6590"/>
    </w:p>
    <w:p>
      <w:pPr>
        <w:pStyle w:val="4"/>
        <w:spacing w:beforeAutospacing="0" w:after="0" w:afterAutospacing="0" w:line="348" w:lineRule="auto"/>
        <w:ind w:firstLine="643" w:firstLineChars="200"/>
        <w:rPr>
          <w:rFonts w:hint="default" w:cs="仿宋"/>
          <w:color w:val="000000" w:themeColor="text1"/>
          <w:highlight w:val="none"/>
          <w14:textFill>
            <w14:solidFill>
              <w14:schemeClr w14:val="tx1"/>
            </w14:solidFill>
          </w14:textFill>
        </w:rPr>
      </w:pPr>
      <w:r>
        <w:rPr>
          <w:rFonts w:cs="仿宋"/>
          <w:color w:val="000000" w:themeColor="text1"/>
          <w:highlight w:val="none"/>
          <w14:textFill>
            <w14:solidFill>
              <w14:schemeClr w14:val="tx1"/>
            </w14:solidFill>
          </w14:textFill>
        </w:rPr>
        <w:t>医保智能检测</w:t>
      </w:r>
      <w:bookmarkEnd w:id="136"/>
      <w:r>
        <w:rPr>
          <w:rFonts w:cs="仿宋"/>
          <w:color w:val="000000" w:themeColor="text1"/>
          <w:highlight w:val="none"/>
          <w14:textFill>
            <w14:solidFill>
              <w14:schemeClr w14:val="tx1"/>
            </w14:solidFill>
          </w14:textFill>
        </w:rPr>
        <w:t>系统</w:t>
      </w:r>
      <w:bookmarkEnd w:id="234"/>
    </w:p>
    <w:p>
      <w:pPr>
        <w:spacing w:line="348"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相关要求：</w:t>
      </w:r>
    </w:p>
    <w:p>
      <w:pPr>
        <w:numPr>
          <w:ilvl w:val="0"/>
          <w:numId w:val="12"/>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建设知识库：以本地医保审核部门的审核规范为标准，实现对各类超规范情况的智能审核，以达到加快医保管理政策在全院的落地、规范医疗行为和减少医保扣款的目的。</w:t>
      </w:r>
    </w:p>
    <w:p>
      <w:pPr>
        <w:numPr>
          <w:ilvl w:val="0"/>
          <w:numId w:val="12"/>
        </w:numPr>
        <w:spacing w:line="348" w:lineRule="auto"/>
        <w:ind w:left="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智能审核系统：功能包含门诊处方实时审核、门特处方实时审核、门特治疗方案审核、治疗方案医保办审核、住院医嘱实时审核、住院费用实时审核、医师出院预审、规则内涵查询、事前提醒监控、相关分析等。</w:t>
      </w:r>
    </w:p>
    <w:p>
      <w:pPr>
        <w:pageBreakBefore w:val="0"/>
        <w:widowControl/>
        <w:numPr>
          <w:ilvl w:val="0"/>
          <w:numId w:val="0"/>
        </w:numPr>
        <w:kinsoku/>
        <w:wordWrap/>
        <w:topLinePunct w:val="0"/>
        <w:bidi w:val="0"/>
        <w:snapToGrid/>
        <w:spacing w:beforeAutospacing="0" w:afterAutospacing="0" w:line="348" w:lineRule="auto"/>
        <w:ind w:leftChars="200"/>
        <w:rPr>
          <w:rFonts w:hint="eastAsia" w:ascii="宋体" w:hAnsi="宋体" w:eastAsia="宋体"/>
          <w:color w:val="000000" w:themeColor="text1"/>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系统接口对接：医院智能审核平台将与医院</w:t>
      </w:r>
      <w:r>
        <w:rPr>
          <w:rFonts w:ascii="宋体" w:hAnsi="宋体"/>
          <w:color w:val="000000" w:themeColor="text1"/>
          <w:highlight w:val="none"/>
          <w14:textFill>
            <w14:solidFill>
              <w14:schemeClr w14:val="tx1"/>
            </w14:solidFill>
          </w14:textFill>
        </w:rPr>
        <w:t>HIS系统建立数据对接，由医院HIS系统将患者基础信息、诊断、处方、治疗方案、医嘱、费用等各类信息提供给医院智能审核平台，并实时获取系统返回的审核结果。接口包含两个部分：WebService接口和视图接口。WebService接口由医院智能审核平台提供，由HIS调用与医院智能审核平台进行业务数据交互，交互的数据格式为XML格式的字符串。</w:t>
      </w:r>
      <w:r>
        <w:rPr>
          <w:rFonts w:hint="eastAsia" w:ascii="宋体" w:hAnsi="宋体"/>
          <w:color w:val="000000" w:themeColor="text1"/>
          <w:highlight w:val="none"/>
          <w14:textFill>
            <w14:solidFill>
              <w14:schemeClr w14:val="tx1"/>
            </w14:solidFill>
          </w14:textFill>
        </w:rPr>
        <w:t>视图接口由</w:t>
      </w:r>
      <w:r>
        <w:rPr>
          <w:rFonts w:ascii="宋体" w:hAnsi="宋体"/>
          <w:color w:val="000000" w:themeColor="text1"/>
          <w:highlight w:val="none"/>
          <w14:textFill>
            <w14:solidFill>
              <w14:schemeClr w14:val="tx1"/>
            </w14:solidFill>
          </w14:textFill>
        </w:rPr>
        <w:t>HIS按照固定格式要求提供，由医院智能审核平台自由获取所需医院业务数据，包括住院患者基本信息、住院费用明细、疾病诊断等</w:t>
      </w:r>
      <w:r>
        <w:rPr>
          <w:rFonts w:hint="eastAsia" w:ascii="宋体" w:hAnsi="宋体"/>
          <w:color w:val="000000" w:themeColor="text1"/>
          <w:highlight w:val="none"/>
          <w14:textFill>
            <w14:solidFill>
              <w14:schemeClr w14:val="tx1"/>
            </w14:solidFill>
          </w14:textFill>
        </w:rPr>
        <w:t>。</w:t>
      </w:r>
    </w:p>
    <w:p>
      <w:pPr>
        <w:pStyle w:val="8"/>
        <w:pageBreakBefore w:val="0"/>
        <w:widowControl/>
        <w:kinsoku/>
        <w:wordWrap/>
        <w:topLinePunct w:val="0"/>
        <w:bidi w:val="0"/>
        <w:snapToGrid/>
        <w:spacing w:before="0" w:beforeAutospacing="0" w:after="0" w:afterAutospacing="0" w:line="360" w:lineRule="auto"/>
        <w:ind w:left="0" w:leftChars="0" w:firstLine="482" w:firstLineChars="200"/>
        <w:rPr>
          <w:rFonts w:hint="default"/>
          <w:color w:val="000000" w:themeColor="text1"/>
          <w:highlight w:val="none"/>
          <w:lang w:val="en-US" w:eastAsia="zh-CN"/>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bookmarkStart w:id="235" w:name="_Toc362"/>
      <w:bookmarkStart w:id="236" w:name="_Toc26727"/>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p>
    <w:p>
      <w:pPr>
        <w:pStyle w:val="9"/>
        <w:snapToGrid w:val="0"/>
        <w:spacing w:line="420" w:lineRule="atLeast"/>
        <w:ind w:firstLine="0"/>
        <w:jc w:val="center"/>
        <w:outlineLvl w:val="0"/>
        <w:rPr>
          <w:rFonts w:ascii="Tahoma" w:hAnsi="Tahoma" w:eastAsia="黑体" w:cs="Tahoma"/>
          <w:b/>
          <w:bCs/>
          <w:color w:val="000000" w:themeColor="text1"/>
          <w:sz w:val="44"/>
          <w:highlight w:val="none"/>
          <w14:textFill>
            <w14:solidFill>
              <w14:schemeClr w14:val="tx1"/>
            </w14:solidFill>
          </w14:textFill>
        </w:rPr>
      </w:pPr>
      <w:r>
        <w:rPr>
          <w:rFonts w:ascii="Tahoma" w:hAnsi="Tahoma" w:eastAsia="黑体" w:cs="Tahoma"/>
          <w:b/>
          <w:bCs/>
          <w:color w:val="000000" w:themeColor="text1"/>
          <w:sz w:val="44"/>
          <w:highlight w:val="none"/>
          <w14:textFill>
            <w14:solidFill>
              <w14:schemeClr w14:val="tx1"/>
            </w14:solidFill>
          </w14:textFill>
        </w:rPr>
        <w:t>第七章  投标文件格式</w:t>
      </w:r>
      <w:bookmarkEnd w:id="235"/>
      <w:bookmarkEnd w:id="236"/>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pStyle w:val="2"/>
        <w:rPr>
          <w:rFonts w:ascii="Tahoma" w:hAnsi="Tahoma" w:cs="Tahoma"/>
          <w:color w:val="000000" w:themeColor="text1"/>
          <w:highlight w:val="none"/>
          <w14:textFill>
            <w14:solidFill>
              <w14:schemeClr w14:val="tx1"/>
            </w14:solidFill>
          </w14:textFill>
        </w:rPr>
      </w:pPr>
    </w:p>
    <w:p>
      <w:pPr>
        <w:tabs>
          <w:tab w:val="left" w:pos="1701"/>
        </w:tabs>
        <w:spacing w:line="360" w:lineRule="auto"/>
        <w:jc w:val="center"/>
        <w:rPr>
          <w:rFonts w:hint="eastAsia" w:ascii="Tahoma" w:hAnsi="黑体" w:eastAsia="黑体" w:cs="Tahoma"/>
          <w:b/>
          <w:color w:val="000000" w:themeColor="text1"/>
          <w:sz w:val="48"/>
          <w:szCs w:val="48"/>
          <w:highlight w:val="none"/>
          <w:lang w:eastAsia="zh-CN"/>
          <w14:textFill>
            <w14:solidFill>
              <w14:schemeClr w14:val="tx1"/>
            </w14:solidFill>
          </w14:textFill>
        </w:rPr>
      </w:pPr>
    </w:p>
    <w:p>
      <w:pPr>
        <w:spacing w:line="276" w:lineRule="auto"/>
        <w:jc w:val="center"/>
        <w:rPr>
          <w:rFonts w:hint="eastAsia" w:ascii="Tahoma" w:hAnsi="Tahoma" w:eastAsia="黑体" w:cs="Tahoma"/>
          <w:b/>
          <w:color w:val="000000" w:themeColor="text1"/>
          <w:sz w:val="40"/>
          <w:szCs w:val="40"/>
          <w:highlight w:val="none"/>
          <w:lang w:eastAsia="zh-CN"/>
          <w14:textFill>
            <w14:solidFill>
              <w14:schemeClr w14:val="tx1"/>
            </w14:solidFill>
          </w14:textFill>
        </w:rPr>
      </w:pPr>
      <w:r>
        <w:rPr>
          <w:rFonts w:hint="eastAsia" w:ascii="Tahoma" w:hAnsi="黑体" w:eastAsia="黑体" w:cs="Tahoma"/>
          <w:b/>
          <w:color w:val="000000" w:themeColor="text1"/>
          <w:sz w:val="52"/>
          <w:szCs w:val="52"/>
          <w:highlight w:val="none"/>
          <w:lang w:val="en-US" w:eastAsia="zh-CN"/>
          <w14:textFill>
            <w14:solidFill>
              <w14:schemeClr w14:val="tx1"/>
            </w14:solidFill>
          </w14:textFill>
        </w:rPr>
        <w:t>和田地区</w:t>
      </w:r>
      <w:r>
        <w:rPr>
          <w:rFonts w:hint="eastAsia" w:ascii="Tahoma" w:hAnsi="黑体" w:eastAsia="黑体" w:cs="Tahoma"/>
          <w:b/>
          <w:color w:val="000000" w:themeColor="text1"/>
          <w:sz w:val="52"/>
          <w:szCs w:val="52"/>
          <w:highlight w:val="none"/>
          <w:lang w:eastAsia="zh-CN"/>
          <w14:textFill>
            <w14:solidFill>
              <w14:schemeClr w14:val="tx1"/>
            </w14:solidFill>
          </w14:textFill>
        </w:rPr>
        <w:t>和田县人民医院综合能力提升及信息化建设项目</w:t>
      </w:r>
    </w:p>
    <w:p>
      <w:pPr>
        <w:spacing w:line="400" w:lineRule="exact"/>
        <w:jc w:val="center"/>
        <w:rPr>
          <w:rFonts w:ascii="Tahoma" w:hAnsi="Tahoma" w:cs="Tahoma"/>
          <w:b/>
          <w:bCs/>
          <w:color w:val="000000" w:themeColor="text1"/>
          <w:sz w:val="84"/>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spacing w:line="400" w:lineRule="exact"/>
        <w:jc w:val="center"/>
        <w:rPr>
          <w:rFonts w:ascii="Tahoma" w:hAnsi="Tahoma" w:eastAsia="黑体" w:cs="Tahoma"/>
          <w:color w:val="000000" w:themeColor="text1"/>
          <w:sz w:val="96"/>
          <w:highlight w:val="none"/>
          <w14:textFill>
            <w14:solidFill>
              <w14:schemeClr w14:val="tx1"/>
            </w14:solidFill>
          </w14:textFill>
        </w:rPr>
      </w:pPr>
    </w:p>
    <w:p>
      <w:pPr>
        <w:jc w:val="center"/>
        <w:rPr>
          <w:rFonts w:ascii="Tahoma" w:hAnsi="Tahoma" w:cs="Tahoma"/>
          <w:b/>
          <w:bCs/>
          <w:color w:val="000000" w:themeColor="text1"/>
          <w:sz w:val="84"/>
          <w:highlight w:val="none"/>
          <w14:textFill>
            <w14:solidFill>
              <w14:schemeClr w14:val="tx1"/>
            </w14:solidFill>
          </w14:textFill>
        </w:rPr>
      </w:pPr>
      <w:bookmarkStart w:id="237" w:name="_Toc27595"/>
      <w:r>
        <w:rPr>
          <w:rFonts w:ascii="Tahoma" w:hAnsi="Tahoma" w:eastAsia="黑体" w:cs="Tahoma"/>
          <w:b/>
          <w:bCs/>
          <w:color w:val="000000" w:themeColor="text1"/>
          <w:sz w:val="96"/>
          <w:highlight w:val="none"/>
          <w14:textFill>
            <w14:solidFill>
              <w14:schemeClr w14:val="tx1"/>
            </w14:solidFill>
          </w14:textFill>
        </w:rPr>
        <w:t>投标文件</w:t>
      </w:r>
      <w:bookmarkEnd w:id="237"/>
    </w:p>
    <w:p>
      <w:pPr>
        <w:pStyle w:val="13"/>
        <w:pBdr>
          <w:top w:val="none" w:color="auto" w:sz="0" w:space="0"/>
          <w:left w:val="none" w:color="auto" w:sz="0" w:space="0"/>
          <w:bottom w:val="none" w:color="auto" w:sz="0" w:space="0"/>
          <w:right w:val="none" w:color="auto" w:sz="0" w:space="0"/>
          <w:between w:val="none" w:color="auto" w:sz="0" w:space="0"/>
        </w:pBdr>
        <w:shd w:val="clear"/>
        <w:snapToGrid w:val="0"/>
        <w:spacing w:line="400" w:lineRule="exact"/>
        <w:jc w:val="center"/>
        <w:rPr>
          <w:rFonts w:hint="eastAsia" w:ascii="Tahoma" w:hAnsi="Tahoma" w:eastAsia="黑体" w:cs="Tahoma"/>
          <w:b/>
          <w:color w:val="000000" w:themeColor="text1"/>
          <w:sz w:val="32"/>
          <w:szCs w:val="32"/>
          <w:highlight w:val="none"/>
          <w:lang w:eastAsia="zh-CN"/>
          <w14:textFill>
            <w14:solidFill>
              <w14:schemeClr w14:val="tx1"/>
            </w14:solidFill>
          </w14:textFill>
        </w:rPr>
      </w:pPr>
      <w:r>
        <w:rPr>
          <w:rFonts w:ascii="Tahoma" w:hAnsi="Tahoma" w:eastAsia="黑体" w:cs="Tahoma"/>
          <w:b/>
          <w:bCs/>
          <w:color w:val="000000" w:themeColor="text1"/>
          <w:sz w:val="32"/>
          <w:szCs w:val="32"/>
          <w:highlight w:val="none"/>
          <w14:textFill>
            <w14:solidFill>
              <w14:schemeClr w14:val="tx1"/>
            </w14:solidFill>
          </w14:textFill>
        </w:rPr>
        <w:t>项目编号：</w:t>
      </w:r>
      <w:r>
        <w:rPr>
          <w:rFonts w:hint="eastAsia" w:ascii="Tahoma" w:hAnsi="Tahoma" w:eastAsia="黑体" w:cs="Tahoma"/>
          <w:b/>
          <w:bCs/>
          <w:color w:val="000000" w:themeColor="text1"/>
          <w:sz w:val="32"/>
          <w:szCs w:val="32"/>
          <w:highlight w:val="none"/>
          <w:lang w:eastAsia="zh-CN"/>
          <w14:textFill>
            <w14:solidFill>
              <w14:schemeClr w14:val="tx1"/>
            </w14:solidFill>
          </w14:textFill>
        </w:rPr>
        <w:t>HTXZFCG（2022FS）039号</w:t>
      </w: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both"/>
        <w:rPr>
          <w:rFonts w:ascii="Tahoma" w:hAnsi="Tahoma" w:cs="Tahoma"/>
          <w:b/>
          <w:bCs/>
          <w:color w:val="000000" w:themeColor="text1"/>
          <w:sz w:val="36"/>
          <w:highlight w:val="none"/>
          <w14:textFill>
            <w14:solidFill>
              <w14:schemeClr w14:val="tx1"/>
            </w14:solidFill>
          </w14:textFill>
        </w:rPr>
      </w:pPr>
    </w:p>
    <w:p>
      <w:pPr>
        <w:pStyle w:val="9"/>
        <w:snapToGrid w:val="0"/>
        <w:spacing w:line="420" w:lineRule="atLeast"/>
        <w:ind w:firstLine="0"/>
        <w:jc w:val="center"/>
        <w:rPr>
          <w:rFonts w:ascii="Tahoma" w:hAnsi="Tahoma" w:cs="Tahoma"/>
          <w:b/>
          <w:bCs/>
          <w:color w:val="000000" w:themeColor="text1"/>
          <w:sz w:val="36"/>
          <w:highlight w:val="none"/>
          <w14:textFill>
            <w14:solidFill>
              <w14:schemeClr w14:val="tx1"/>
            </w14:solidFill>
          </w14:textFill>
        </w:rPr>
      </w:pPr>
    </w:p>
    <w:p>
      <w:pPr>
        <w:rPr>
          <w:rFonts w:ascii="Tahoma" w:hAnsi="Tahoma" w:cs="Tahoma"/>
          <w:color w:val="000000" w:themeColor="text1"/>
          <w:highlight w:val="none"/>
          <w14:textFill>
            <w14:solidFill>
              <w14:schemeClr w14:val="tx1"/>
            </w14:solidFill>
          </w14:textFill>
        </w:rPr>
      </w:pPr>
    </w:p>
    <w:p>
      <w:pPr>
        <w:spacing w:line="360" w:lineRule="auto"/>
        <w:ind w:firstLine="1795" w:firstLineChars="596"/>
        <w:rPr>
          <w:rFonts w:ascii="Tahoma" w:hAnsi="Tahoma" w:cs="Tahoma"/>
          <w:b/>
          <w:color w:val="000000" w:themeColor="text1"/>
          <w:sz w:val="72"/>
          <w:highlight w:val="none"/>
          <w14:textFill>
            <w14:solidFill>
              <w14:schemeClr w14:val="tx1"/>
            </w14:solidFill>
          </w14:textFill>
        </w:rPr>
      </w:pPr>
      <w:bookmarkStart w:id="238" w:name="_Toc20142"/>
      <w:r>
        <w:rPr>
          <w:rFonts w:ascii="Tahoma" w:hAnsi="Tahoma" w:eastAsia="黑体" w:cs="Tahoma"/>
          <w:b/>
          <w:color w:val="000000" w:themeColor="text1"/>
          <w:sz w:val="30"/>
          <w:szCs w:val="30"/>
          <w:highlight w:val="none"/>
          <w14:textFill>
            <w14:solidFill>
              <w14:schemeClr w14:val="tx1"/>
            </w14:solidFill>
          </w14:textFill>
        </w:rPr>
        <w:t>项 目 编 号：</w:t>
      </w:r>
      <w:bookmarkEnd w:id="238"/>
      <w:r>
        <w:rPr>
          <w:rFonts w:ascii="Tahoma" w:hAnsi="Tahoma" w:eastAsia="黑体" w:cs="Tahoma"/>
          <w:b/>
          <w:color w:val="000000" w:themeColor="text1"/>
          <w:sz w:val="30"/>
          <w:szCs w:val="30"/>
          <w:highlight w:val="none"/>
          <w:u w:val="single"/>
          <w14:textFill>
            <w14:solidFill>
              <w14:schemeClr w14:val="tx1"/>
            </w14:solidFill>
          </w14:textFill>
        </w:rPr>
        <w:t xml:space="preserve">                        </w:t>
      </w:r>
    </w:p>
    <w:p>
      <w:pPr>
        <w:spacing w:line="360" w:lineRule="auto"/>
        <w:ind w:firstLine="1795" w:firstLineChars="596"/>
        <w:rPr>
          <w:rFonts w:ascii="Tahoma" w:hAnsi="Tahoma" w:eastAsia="黑体" w:cs="Tahoma"/>
          <w:b/>
          <w:color w:val="000000" w:themeColor="text1"/>
          <w:sz w:val="30"/>
          <w:szCs w:val="30"/>
          <w:highlight w:val="none"/>
          <w:u w:val="single"/>
          <w14:textFill>
            <w14:solidFill>
              <w14:schemeClr w14:val="tx1"/>
            </w14:solidFill>
          </w14:textFill>
        </w:rPr>
      </w:pPr>
      <w:bookmarkStart w:id="239" w:name="_Toc28159"/>
      <w:r>
        <w:rPr>
          <w:rFonts w:ascii="Tahoma" w:hAnsi="Tahoma" w:eastAsia="黑体" w:cs="Tahoma"/>
          <w:b/>
          <w:color w:val="000000" w:themeColor="text1"/>
          <w:sz w:val="30"/>
          <w:szCs w:val="30"/>
          <w:highlight w:val="none"/>
          <w14:textFill>
            <w14:solidFill>
              <w14:schemeClr w14:val="tx1"/>
            </w14:solidFill>
          </w14:textFill>
        </w:rPr>
        <w:t>投标人名称 ：</w:t>
      </w:r>
      <w:bookmarkEnd w:id="239"/>
      <w:r>
        <w:rPr>
          <w:rFonts w:ascii="Tahoma" w:hAnsi="Tahoma" w:eastAsia="黑体" w:cs="Tahoma"/>
          <w:b/>
          <w:color w:val="000000" w:themeColor="text1"/>
          <w:sz w:val="30"/>
          <w:szCs w:val="30"/>
          <w:highlight w:val="none"/>
          <w:u w:val="single"/>
          <w14:textFill>
            <w14:solidFill>
              <w14:schemeClr w14:val="tx1"/>
            </w14:solidFill>
          </w14:textFill>
        </w:rPr>
        <w:t xml:space="preserve">                        </w:t>
      </w:r>
    </w:p>
    <w:p>
      <w:pPr>
        <w:spacing w:line="360" w:lineRule="auto"/>
        <w:ind w:firstLine="1795" w:firstLineChars="596"/>
        <w:rPr>
          <w:rFonts w:ascii="Tahoma" w:hAnsi="Tahoma" w:eastAsia="黑体" w:cs="Tahoma"/>
          <w:b/>
          <w:color w:val="000000" w:themeColor="text1"/>
          <w:sz w:val="30"/>
          <w:szCs w:val="30"/>
          <w:highlight w:val="none"/>
          <w14:textFill>
            <w14:solidFill>
              <w14:schemeClr w14:val="tx1"/>
            </w14:solidFill>
          </w14:textFill>
        </w:rPr>
      </w:pPr>
      <w:bookmarkStart w:id="240" w:name="_Toc7564"/>
      <w:r>
        <w:rPr>
          <w:rFonts w:ascii="Tahoma" w:hAnsi="Tahoma" w:eastAsia="黑体" w:cs="Tahoma"/>
          <w:b/>
          <w:color w:val="000000" w:themeColor="text1"/>
          <w:sz w:val="30"/>
          <w:szCs w:val="30"/>
          <w:highlight w:val="none"/>
          <w14:textFill>
            <w14:solidFill>
              <w14:schemeClr w14:val="tx1"/>
            </w14:solidFill>
          </w14:textFill>
        </w:rPr>
        <w:t>日      期 ：</w:t>
      </w:r>
      <w:bookmarkEnd w:id="240"/>
      <w:r>
        <w:rPr>
          <w:rFonts w:ascii="Tahoma" w:hAnsi="Tahoma" w:eastAsia="黑体" w:cs="Tahoma"/>
          <w:b/>
          <w:color w:val="000000" w:themeColor="text1"/>
          <w:sz w:val="30"/>
          <w:szCs w:val="30"/>
          <w:highlight w:val="none"/>
          <w:u w:val="single"/>
          <w14:textFill>
            <w14:solidFill>
              <w14:schemeClr w14:val="tx1"/>
            </w14:solidFill>
          </w14:textFill>
        </w:rPr>
        <w:t xml:space="preserve">                        </w:t>
      </w: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bookmarkStart w:id="241" w:name="_Toc30229"/>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Tahoma" w:eastAsia="黑体" w:cs="Tahoma"/>
          <w:b/>
          <w:bCs/>
          <w:color w:val="000000" w:themeColor="text1"/>
          <w:sz w:val="32"/>
          <w:szCs w:val="32"/>
          <w:highlight w:val="none"/>
          <w14:textFill>
            <w14:solidFill>
              <w14:schemeClr w14:val="tx1"/>
            </w14:solidFill>
          </w14:textFill>
        </w:rPr>
        <w:t>第一部分、投标主要文件</w:t>
      </w:r>
      <w:bookmarkEnd w:id="241"/>
    </w:p>
    <w:p>
      <w:pPr>
        <w:spacing w:line="440" w:lineRule="exact"/>
        <w:rPr>
          <w:rFonts w:ascii="Tahoma" w:hAnsi="Tahoma" w:cs="Tahoma"/>
          <w:color w:val="000000" w:themeColor="text1"/>
          <w:sz w:val="24"/>
          <w:highlight w:val="none"/>
          <w14:textFill>
            <w14:solidFill>
              <w14:schemeClr w14:val="tx1"/>
            </w14:solidFill>
          </w14:textFill>
        </w:rPr>
      </w:pPr>
    </w:p>
    <w:p>
      <w:pPr>
        <w:spacing w:line="480" w:lineRule="auto"/>
        <w:jc w:val="center"/>
        <w:rPr>
          <w:rFonts w:ascii="Tahoma" w:hAnsi="Tahoma" w:eastAsia="黑体" w:cs="Tahoma"/>
          <w:b/>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目录</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（一）投标函；</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（二）开标一览表；</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（三）分项报价表；</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（四）货物（设备或产品）说明一览表；</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（五）技术规格和商务偏离表；</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（六）</w:t>
      </w:r>
      <w:r>
        <w:rPr>
          <w:rFonts w:hint="eastAsia" w:ascii="Tahoma" w:hAnsi="Tahoma" w:cs="Tahoma"/>
          <w:color w:val="000000" w:themeColor="text1"/>
          <w:szCs w:val="21"/>
          <w:highlight w:val="none"/>
          <w14:textFill>
            <w14:solidFill>
              <w14:schemeClr w14:val="tx1"/>
            </w14:solidFill>
          </w14:textFill>
        </w:rPr>
        <w:t>运输</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配送</w:t>
      </w:r>
      <w:r>
        <w:rPr>
          <w:rFonts w:ascii="Tahoma" w:hAnsi="Tahoma" w:cs="Tahoma"/>
          <w:color w:val="000000" w:themeColor="text1"/>
          <w:szCs w:val="21"/>
          <w:highlight w:val="none"/>
          <w14:textFill>
            <w14:solidFill>
              <w14:schemeClr w14:val="tx1"/>
            </w14:solidFill>
          </w14:textFill>
        </w:rPr>
        <w:t>及技术、质量保证组织措施；</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（七）质量保证、技术及售后服务承诺书；</w:t>
      </w:r>
    </w:p>
    <w:p>
      <w:pPr>
        <w:spacing w:line="48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（八）供应商需要说明的其他内容及相关文件资料（产品出厂标准，质量检验、检测报告，产品合格证等）。</w:t>
      </w:r>
    </w:p>
    <w:p>
      <w:pPr>
        <w:spacing w:line="480" w:lineRule="auto"/>
        <w:ind w:firstLine="321" w:firstLineChars="100"/>
        <w:rPr>
          <w:rFonts w:ascii="Tahoma" w:hAnsi="Tahoma" w:cs="Tahoma"/>
          <w:b/>
          <w:bCs/>
          <w:color w:val="000000" w:themeColor="text1"/>
          <w:sz w:val="32"/>
          <w:highlight w:val="none"/>
          <w14:textFill>
            <w14:solidFill>
              <w14:schemeClr w14:val="tx1"/>
            </w14:solidFill>
          </w14:textFill>
        </w:rPr>
      </w:pPr>
    </w:p>
    <w:p>
      <w:pPr>
        <w:rPr>
          <w:rFonts w:ascii="Tahoma" w:hAnsi="Tahoma" w:cs="Tahoma"/>
          <w:color w:val="000000" w:themeColor="text1"/>
          <w:sz w:val="24"/>
          <w:highlight w:val="none"/>
          <w14:textFill>
            <w14:solidFill>
              <w14:schemeClr w14:val="tx1"/>
            </w14:solidFill>
          </w14:textFill>
        </w:rPr>
      </w:pPr>
    </w:p>
    <w:p>
      <w:pPr>
        <w:pStyle w:val="27"/>
        <w:spacing w:line="360" w:lineRule="auto"/>
        <w:jc w:val="center"/>
        <w:rPr>
          <w:rFonts w:ascii="Tahoma" w:hAnsi="Tahoma" w:eastAsia="黑体" w:cs="Tahoma"/>
          <w:color w:val="000000" w:themeColor="text1"/>
          <w:szCs w:val="28"/>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br w:type="page"/>
      </w:r>
      <w:bookmarkStart w:id="242" w:name="_Toc27930"/>
      <w:r>
        <w:rPr>
          <w:rFonts w:ascii="Tahoma" w:hAnsi="Tahoma" w:eastAsia="黑体" w:cs="Tahoma"/>
          <w:b/>
          <w:bCs/>
          <w:color w:val="000000" w:themeColor="text1"/>
          <w:szCs w:val="28"/>
          <w:highlight w:val="none"/>
          <w14:textFill>
            <w14:solidFill>
              <w14:schemeClr w14:val="tx1"/>
            </w14:solidFill>
          </w14:textFill>
        </w:rPr>
        <w:t>（一）、投标</w:t>
      </w:r>
      <w:r>
        <w:rPr>
          <w:rFonts w:ascii="Tahoma" w:hAnsi="Tahoma" w:eastAsia="黑体" w:cs="Tahoma"/>
          <w:b/>
          <w:color w:val="000000" w:themeColor="text1"/>
          <w:szCs w:val="28"/>
          <w:highlight w:val="none"/>
          <w14:textFill>
            <w14:solidFill>
              <w14:schemeClr w14:val="tx1"/>
            </w14:solidFill>
          </w14:textFill>
        </w:rPr>
        <w:t>函</w:t>
      </w:r>
      <w:bookmarkEnd w:id="242"/>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根据贵方为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项目的招标公告（项目编号）: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，本签字代表</w:t>
      </w:r>
      <w:r>
        <w:rPr>
          <w:rFonts w:ascii="Tahoma" w:hAnsi="Tahoma" w:cs="Tahoma"/>
          <w:color w:val="000000" w:themeColor="text1"/>
          <w:szCs w:val="21"/>
          <w:highlight w:val="none"/>
          <w:u w:val="single"/>
          <w14:textFill>
            <w14:solidFill>
              <w14:schemeClr w14:val="tx1"/>
            </w14:solidFill>
          </w14:textFill>
        </w:rPr>
        <w:t xml:space="preserve">    （全名、职务）    </w:t>
      </w:r>
      <w:r>
        <w:rPr>
          <w:rFonts w:ascii="Tahoma" w:hAnsi="Tahoma" w:cs="Tahoma"/>
          <w:color w:val="000000" w:themeColor="text1"/>
          <w:szCs w:val="21"/>
          <w:highlight w:val="none"/>
          <w14:textFill>
            <w14:solidFill>
              <w14:schemeClr w14:val="tx1"/>
            </w14:solidFill>
          </w14:textFill>
        </w:rPr>
        <w:t>正式授权并代表投标供应商</w:t>
      </w:r>
      <w:r>
        <w:rPr>
          <w:rFonts w:ascii="Tahoma" w:hAnsi="Tahoma" w:cs="Tahoma"/>
          <w:color w:val="000000" w:themeColor="text1"/>
          <w:szCs w:val="21"/>
          <w:highlight w:val="none"/>
          <w:u w:val="single"/>
          <w14:textFill>
            <w14:solidFill>
              <w14:schemeClr w14:val="tx1"/>
            </w14:solidFill>
          </w14:textFill>
        </w:rPr>
        <w:t xml:space="preserve">        （供应商名称、地址）         </w:t>
      </w:r>
      <w:r>
        <w:rPr>
          <w:rFonts w:ascii="Tahoma" w:hAnsi="Tahoma" w:cs="Tahoma"/>
          <w:color w:val="000000" w:themeColor="text1"/>
          <w:szCs w:val="21"/>
          <w:highlight w:val="none"/>
          <w14:textFill>
            <w14:solidFill>
              <w14:schemeClr w14:val="tx1"/>
            </w14:solidFill>
          </w14:textFill>
        </w:rPr>
        <w:t>提交下述文件正本一份和副本四份。</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（1）开标一览表</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（2）分项报价表</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（3）货物说明一览表</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（4）供货范围清单 </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（5）技术规格和商务偏离表</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（6）供应商资格证明文件</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w:t>
      </w:r>
      <w:r>
        <w:rPr>
          <w:rFonts w:ascii="Tahoma" w:hAnsi="Tahoma" w:cs="Tahoma"/>
          <w:color w:val="000000" w:themeColor="text1"/>
          <w:kern w:val="0"/>
          <w:szCs w:val="21"/>
          <w:highlight w:val="none"/>
          <w14:textFill>
            <w14:solidFill>
              <w14:schemeClr w14:val="tx1"/>
            </w14:solidFill>
          </w14:textFill>
        </w:rPr>
        <w:t>质量保证、技术及售后服务承诺书</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8</w:t>
      </w:r>
      <w:r>
        <w:rPr>
          <w:rFonts w:ascii="Tahoma" w:hAnsi="Tahoma" w:cs="Tahoma"/>
          <w:color w:val="000000" w:themeColor="text1"/>
          <w:szCs w:val="21"/>
          <w:highlight w:val="none"/>
          <w14:textFill>
            <w14:solidFill>
              <w14:schemeClr w14:val="tx1"/>
            </w14:solidFill>
          </w14:textFill>
        </w:rPr>
        <w:t>）供应商提交的其它资料</w:t>
      </w:r>
    </w:p>
    <w:p>
      <w:pPr>
        <w:spacing w:line="36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9</w:t>
      </w:r>
      <w:r>
        <w:rPr>
          <w:rFonts w:ascii="Tahoma" w:hAnsi="Tahoma" w:cs="Tahoma"/>
          <w:color w:val="000000" w:themeColor="text1"/>
          <w:szCs w:val="21"/>
          <w:highlight w:val="none"/>
          <w14:textFill>
            <w14:solidFill>
              <w14:schemeClr w14:val="tx1"/>
            </w14:solidFill>
          </w14:textFill>
        </w:rPr>
        <w:t xml:space="preserve">）以 </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14:textFill>
            <w14:solidFill>
              <w14:schemeClr w14:val="tx1"/>
            </w14:solidFill>
          </w14:textFill>
        </w:rPr>
        <w:t>/</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方式提供的金额为人民币</w:t>
      </w:r>
      <w:r>
        <w:rPr>
          <w:rFonts w:ascii="Tahoma" w:hAnsi="Tahoma" w:cs="Tahoma"/>
          <w:color w:val="000000" w:themeColor="text1"/>
          <w:szCs w:val="21"/>
          <w:highlight w:val="none"/>
          <w:u w:val="single"/>
          <w14:textFill>
            <w14:solidFill>
              <w14:schemeClr w14:val="tx1"/>
            </w14:solidFill>
          </w14:textFill>
        </w:rPr>
        <w:t xml:space="preserve">    </w:t>
      </w:r>
      <w:r>
        <w:rPr>
          <w:rFonts w:hint="eastAsia" w:ascii="Tahoma" w:hAnsi="Tahoma" w:cs="Tahoma"/>
          <w:color w:val="000000" w:themeColor="text1"/>
          <w:szCs w:val="21"/>
          <w:highlight w:val="none"/>
          <w:u w:val="single"/>
          <w14:textFill>
            <w14:solidFill>
              <w14:schemeClr w14:val="tx1"/>
            </w14:solidFill>
          </w14:textFill>
        </w:rPr>
        <w:t>/</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元的投标保证金。</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据此函，签字代表宣布同意并承诺如下：</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1、所附投标报价表中的报价为规定的应提供和交付的货物及服务总价。</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2、供应商已详细审查全部招标文件，包括修改文件（如有的话）和有关附件，将自行承担因对全部招标文件理解不正确或误解而产生的相应后果。</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3、供应商保证遵守招标文件的全部规定，投标供应商所提交的材料中所含的信息均为真实、准确、完整，且不具有任何误导性。</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4、供应商将按招标文件的规定履行合同责任和义务。</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5、本投标文件自开标日起投标有效期为：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内保持有效。</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6、如果发生招标文件第二章投标人须知第3.9.9 条所述情况，则同意不予退还投标保证金。</w:t>
      </w:r>
    </w:p>
    <w:p>
      <w:pPr>
        <w:spacing w:line="360" w:lineRule="exact"/>
        <w:ind w:firstLine="315" w:firstLineChars="1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8、与本次投标有关的一切正式往来通讯请寄：</w:t>
      </w:r>
    </w:p>
    <w:p>
      <w:pPr>
        <w:spacing w:line="36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地址：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邮编： </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电话：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传真： </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p>
    <w:p>
      <w:pPr>
        <w:spacing w:line="360" w:lineRule="exact"/>
        <w:ind w:firstLine="3990" w:firstLineChars="1900"/>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投标供应商代表签字： </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exact"/>
        <w:ind w:firstLine="3990" w:firstLineChars="19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投标供应商（加盖公章）：</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exact"/>
        <w:ind w:firstLine="3990" w:firstLineChars="1900"/>
        <w:rPr>
          <w:rFonts w:ascii="Tahoma" w:hAnsi="Tahoma" w:cs="Tahoma"/>
          <w:color w:val="000000" w:themeColor="text1"/>
          <w:szCs w:val="21"/>
          <w:highlight w:val="none"/>
          <w14:textFill>
            <w14:solidFill>
              <w14:schemeClr w14:val="tx1"/>
            </w14:solidFill>
          </w14:textFill>
        </w:rPr>
        <w:sectPr>
          <w:footerReference r:id="rId10" w:type="default"/>
          <w:type w:val="nextColumn"/>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r>
        <w:rPr>
          <w:rFonts w:ascii="Tahoma" w:hAnsi="Tahoma" w:cs="Tahoma"/>
          <w:color w:val="000000" w:themeColor="text1"/>
          <w:szCs w:val="21"/>
          <w:highlight w:val="none"/>
          <w14:textFill>
            <w14:solidFill>
              <w14:schemeClr w14:val="tx1"/>
            </w14:solidFill>
          </w14:textFill>
        </w:rPr>
        <w:t>日  期：          年      月      日</w:t>
      </w:r>
    </w:p>
    <w:p>
      <w:pPr>
        <w:pStyle w:val="27"/>
        <w:spacing w:line="360" w:lineRule="auto"/>
        <w:jc w:val="center"/>
        <w:rPr>
          <w:rFonts w:ascii="Tahoma" w:hAnsi="Tahoma" w:cs="Tahoma"/>
          <w:b/>
          <w:color w:val="000000" w:themeColor="text1"/>
          <w:sz w:val="36"/>
          <w:highlight w:val="none"/>
          <w14:textFill>
            <w14:solidFill>
              <w14:schemeClr w14:val="tx1"/>
            </w14:solidFill>
          </w14:textFill>
        </w:rPr>
      </w:pPr>
      <w:bookmarkStart w:id="243" w:name="_Toc21326"/>
      <w:r>
        <w:rPr>
          <w:rFonts w:ascii="Tahoma" w:hAnsi="Tahoma" w:eastAsia="黑体" w:cs="Tahoma"/>
          <w:color w:val="000000" w:themeColor="text1"/>
          <w:szCs w:val="28"/>
          <w:highlight w:val="none"/>
          <w14:textFill>
            <w14:solidFill>
              <w14:schemeClr w14:val="tx1"/>
            </w14:solidFill>
          </w14:textFill>
        </w:rPr>
        <w:t>（二）</w:t>
      </w:r>
      <w:r>
        <w:rPr>
          <w:rFonts w:ascii="Tahoma" w:hAnsi="Tahoma" w:eastAsia="黑体" w:cs="Tahoma"/>
          <w:b/>
          <w:color w:val="000000" w:themeColor="text1"/>
          <w:szCs w:val="28"/>
          <w:highlight w:val="none"/>
          <w14:textFill>
            <w14:solidFill>
              <w14:schemeClr w14:val="tx1"/>
            </w14:solidFill>
          </w14:textFill>
        </w:rPr>
        <w:t>开标一览表</w:t>
      </w:r>
      <w:bookmarkEnd w:id="243"/>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bCs/>
          <w:color w:val="000000" w:themeColor="text1"/>
          <w:szCs w:val="21"/>
          <w:highlight w:val="none"/>
          <w14:textFill>
            <w14:solidFill>
              <w14:schemeClr w14:val="tx1"/>
            </w14:solidFill>
          </w14:textFill>
        </w:rPr>
        <w:t>项目、包段</w:t>
      </w:r>
      <w:r>
        <w:rPr>
          <w:rFonts w:ascii="Tahoma" w:hAnsi="Tahoma" w:cs="Tahoma"/>
          <w:color w:val="000000" w:themeColor="text1"/>
          <w:szCs w:val="21"/>
          <w:highlight w:val="none"/>
          <w14:textFill>
            <w14:solidFill>
              <w14:schemeClr w14:val="tx1"/>
            </w14:solidFill>
          </w14:textFill>
        </w:rPr>
        <w:t>名称：                                                                                          货币单位：人民币元</w:t>
      </w:r>
    </w:p>
    <w:tbl>
      <w:tblPr>
        <w:tblStyle w:val="20"/>
        <w:tblW w:w="13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79"/>
        <w:gridCol w:w="2520"/>
        <w:gridCol w:w="1260"/>
        <w:gridCol w:w="2137"/>
        <w:gridCol w:w="1661"/>
        <w:gridCol w:w="1662"/>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设备或产品名称</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型号规格</w:t>
            </w:r>
            <w:r>
              <w:rPr>
                <w:rFonts w:hint="eastAsia" w:ascii="Tahoma" w:hAnsi="Tahoma" w:cs="Tahoma"/>
                <w:color w:val="000000" w:themeColor="text1"/>
                <w:szCs w:val="21"/>
                <w:highlight w:val="none"/>
                <w14:textFill>
                  <w14:solidFill>
                    <w14:schemeClr w14:val="tx1"/>
                  </w14:solidFill>
                </w14:textFill>
              </w:rPr>
              <w:t>、品牌产地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数量</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报价</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交货期</w:t>
            </w: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质保期</w:t>
            </w: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8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3681" w:type="dxa"/>
            <w:gridSpan w:val="8"/>
            <w:tcBorders>
              <w:top w:val="single" w:color="auto" w:sz="4" w:space="0"/>
              <w:left w:val="single" w:color="auto" w:sz="4" w:space="0"/>
              <w:bottom w:val="single" w:color="auto" w:sz="4" w:space="0"/>
              <w:right w:val="single" w:color="auto" w:sz="4" w:space="0"/>
            </w:tcBorders>
            <w:vAlign w:val="center"/>
          </w:tcPr>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投标总报价（大写）：</w:t>
            </w:r>
          </w:p>
        </w:tc>
      </w:tr>
    </w:tbl>
    <w:p>
      <w:pPr>
        <w:spacing w:line="320" w:lineRule="atLeast"/>
        <w:ind w:firstLine="316" w:firstLineChars="150"/>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1、每一设备或产品的详细报价清单应按《分项报价明细表》另表详列，且标明所报各种设备或产品的数量、品牌和金额，货物设备或产品的型号规格，并应与招标文件中一致。否则，给供应商带来的不利由供应商自行承担！每一设备或产品的详细报价清单应另表详列，且标明各种货物的数量、名称和金额。</w:t>
      </w:r>
      <w:r>
        <w:rPr>
          <w:rFonts w:ascii="Tahoma" w:hAnsi="Tahoma" w:cs="Tahoma"/>
          <w:b/>
          <w:color w:val="000000" w:themeColor="text1"/>
          <w:highlight w:val="none"/>
          <w14:textFill>
            <w14:solidFill>
              <w14:schemeClr w14:val="tx1"/>
            </w14:solidFill>
          </w14:textFill>
        </w:rPr>
        <w:tab/>
      </w:r>
      <w:r>
        <w:rPr>
          <w:rFonts w:ascii="Tahoma" w:hAnsi="Tahoma" w:cs="Tahoma"/>
          <w:b/>
          <w:color w:val="000000" w:themeColor="text1"/>
          <w:highlight w:val="none"/>
          <w14:textFill>
            <w14:solidFill>
              <w14:schemeClr w14:val="tx1"/>
            </w14:solidFill>
          </w14:textFill>
        </w:rPr>
        <w:tab/>
      </w:r>
    </w:p>
    <w:p>
      <w:pPr>
        <w:spacing w:line="320" w:lineRule="atLeast"/>
        <w:ind w:firstLine="314" w:firstLineChars="149"/>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2、若投标函中的投标总价与《开标一览表》不一致的，以《开标一览表》中的投标总报价大写为准。</w:t>
      </w:r>
    </w:p>
    <w:p>
      <w:pPr>
        <w:spacing w:line="320" w:lineRule="atLeast"/>
        <w:ind w:firstLine="314" w:firstLineChars="149"/>
        <w:rPr>
          <w:rFonts w:ascii="Tahoma" w:hAnsi="Tahoma" w:cs="Tahoma"/>
          <w:b/>
          <w:color w:val="000000" w:themeColor="text1"/>
          <w:highlight w:val="none"/>
          <w14:textFill>
            <w14:solidFill>
              <w14:schemeClr w14:val="tx1"/>
            </w14:solidFill>
          </w14:textFill>
        </w:rPr>
      </w:pPr>
      <w:r>
        <w:rPr>
          <w:rFonts w:ascii="Tahoma" w:hAnsi="Tahoma" w:cs="Tahoma"/>
          <w:b/>
          <w:color w:val="000000" w:themeColor="text1"/>
          <w:highlight w:val="none"/>
          <w14:textFill>
            <w14:solidFill>
              <w14:schemeClr w14:val="tx1"/>
            </w14:solidFill>
          </w14:textFill>
        </w:rPr>
        <w:t>3、交货期：是指开始供货直至验收合格交付使用的期限。供应商必须对本表中的“交货期”作出实质性响应并满足招标文件的规定，不得简单的以“响应招标文件要求”或 “按合同约定”等类似内容填报，否则给供应商带来的不利</w:t>
      </w:r>
      <w:r>
        <w:rPr>
          <w:rFonts w:ascii="Tahoma" w:hAnsi="Tahoma" w:cs="Tahoma"/>
          <w:b/>
          <w:color w:val="000000" w:themeColor="text1"/>
          <w:szCs w:val="21"/>
          <w:highlight w:val="none"/>
          <w14:textFill>
            <w14:solidFill>
              <w14:schemeClr w14:val="tx1"/>
            </w14:solidFill>
          </w14:textFill>
        </w:rPr>
        <w:t>或导致投标被拒绝</w:t>
      </w:r>
      <w:r>
        <w:rPr>
          <w:rFonts w:ascii="Tahoma" w:hAnsi="Tahoma" w:cs="Tahoma"/>
          <w:b/>
          <w:color w:val="000000" w:themeColor="text1"/>
          <w:highlight w:val="none"/>
          <w14:textFill>
            <w14:solidFill>
              <w14:schemeClr w14:val="tx1"/>
            </w14:solidFill>
          </w14:textFill>
        </w:rPr>
        <w:t>，由供应商自行承担。</w:t>
      </w:r>
    </w:p>
    <w:p>
      <w:pPr>
        <w:spacing w:line="380" w:lineRule="exact"/>
        <w:ind w:firstLine="7350" w:firstLineChars="35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auto"/>
        <w:ind w:firstLine="7875" w:firstLineChars="3750"/>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投标供应商代表签名：</w:t>
      </w:r>
    </w:p>
    <w:p>
      <w:pPr>
        <w:spacing w:line="380" w:lineRule="exact"/>
        <w:rPr>
          <w:rFonts w:ascii="Tahoma" w:hAnsi="Tahoma" w:cs="Tahoma"/>
          <w:b/>
          <w:color w:val="000000" w:themeColor="text1"/>
          <w:sz w:val="24"/>
          <w:highlight w:val="none"/>
          <w14:textFill>
            <w14:solidFill>
              <w14:schemeClr w14:val="tx1"/>
            </w14:solidFill>
          </w14:textFill>
        </w:rPr>
        <w:sectPr>
          <w:pgSz w:w="15840" w:h="12240" w:orient="landscape"/>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p>
    <w:p>
      <w:pPr>
        <w:jc w:val="center"/>
        <w:rPr>
          <w:rFonts w:ascii="Tahoma" w:hAnsi="Tahoma" w:eastAsia="黑体" w:cs="Tahoma"/>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（三）、投标分项报价明细表</w:t>
      </w:r>
    </w:p>
    <w:p>
      <w:pPr>
        <w:rPr>
          <w:rFonts w:ascii="Tahoma" w:hAnsi="Tahoma" w:cs="Tahoma"/>
          <w:color w:val="000000" w:themeColor="text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投标供应商名称：                                                               货币单位：</w:t>
      </w:r>
    </w:p>
    <w:tbl>
      <w:tblPr>
        <w:tblStyle w:val="20"/>
        <w:tblW w:w="102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1"/>
        <w:gridCol w:w="2400"/>
        <w:gridCol w:w="1183"/>
        <w:gridCol w:w="1183"/>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项目、包段名称</w:t>
            </w:r>
          </w:p>
        </w:tc>
        <w:tc>
          <w:tcPr>
            <w:tcW w:w="70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货物</w:t>
            </w:r>
            <w:r>
              <w:rPr>
                <w:rFonts w:ascii="Tahoma" w:hAnsi="Tahoma" w:cs="Tahoma"/>
                <w:color w:val="000000" w:themeColor="text1"/>
                <w:szCs w:val="21"/>
                <w:highlight w:val="none"/>
                <w14:textFill>
                  <w14:solidFill>
                    <w14:schemeClr w14:val="tx1"/>
                  </w14:solidFill>
                </w14:textFill>
              </w:rPr>
              <w:t>或产品名称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原产地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数量、型号、规格</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货物</w:t>
            </w:r>
            <w:r>
              <w:rPr>
                <w:rFonts w:ascii="Tahoma" w:hAnsi="Tahoma" w:cs="Tahoma"/>
                <w:color w:val="000000" w:themeColor="text1"/>
                <w:szCs w:val="21"/>
                <w:highlight w:val="none"/>
                <w14:textFill>
                  <w14:solidFill>
                    <w14:schemeClr w14:val="tx1"/>
                  </w14:solidFill>
                </w14:textFill>
              </w:rPr>
              <w:t>或产品费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标准附件费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附属产品</w:t>
            </w:r>
            <w:r>
              <w:rPr>
                <w:rFonts w:ascii="Tahoma" w:hAnsi="Tahoma" w:cs="Tahoma"/>
                <w:color w:val="000000" w:themeColor="text1"/>
                <w:szCs w:val="21"/>
                <w:highlight w:val="none"/>
                <w14:textFill>
                  <w14:solidFill>
                    <w14:schemeClr w14:val="tx1"/>
                  </w14:solidFill>
                </w14:textFill>
              </w:rPr>
              <w:t>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专用工具费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9</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技术服务费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10</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检验、</w:t>
            </w:r>
            <w:r>
              <w:rPr>
                <w:rFonts w:hint="eastAsia" w:ascii="Tahoma" w:hAnsi="Tahoma" w:cs="Tahoma"/>
                <w:color w:val="000000" w:themeColor="text1"/>
                <w:szCs w:val="21"/>
                <w:highlight w:val="none"/>
                <w14:textFill>
                  <w14:solidFill>
                    <w14:schemeClr w14:val="tx1"/>
                  </w14:solidFill>
                </w14:textFill>
              </w:rPr>
              <w:t>检疫</w:t>
            </w:r>
            <w:r>
              <w:rPr>
                <w:rFonts w:ascii="Tahoma" w:hAnsi="Tahoma" w:cs="Tahoma"/>
                <w:color w:val="000000" w:themeColor="text1"/>
                <w:szCs w:val="21"/>
                <w:highlight w:val="none"/>
                <w14:textFill>
                  <w14:solidFill>
                    <w14:schemeClr w14:val="tx1"/>
                  </w14:solidFill>
                </w14:textFill>
              </w:rPr>
              <w:t>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检验培训费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运输费用</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保险费用</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7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17</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投标价格</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16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投标报价</w:t>
            </w:r>
          </w:p>
        </w:tc>
        <w:tc>
          <w:tcPr>
            <w:tcW w:w="70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Tahoma" w:hAnsi="Tahoma" w:cs="Tahoma"/>
                <w:color w:val="000000" w:themeColor="text1"/>
                <w:szCs w:val="21"/>
                <w:highlight w:val="none"/>
                <w14:textFill>
                  <w14:solidFill>
                    <w14:schemeClr w14:val="tx1"/>
                  </w14:solidFill>
                </w14:textFill>
              </w:rPr>
            </w:pPr>
          </w:p>
        </w:tc>
      </w:tr>
    </w:tbl>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w:t>
      </w:r>
    </w:p>
    <w:p>
      <w:pPr>
        <w:spacing w:line="320" w:lineRule="exact"/>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r>
        <w:rPr>
          <w:rFonts w:ascii="Tahoma" w:hAnsi="Tahoma" w:cs="Tahoma"/>
          <w:b/>
          <w:color w:val="000000" w:themeColor="text1"/>
          <w:szCs w:val="21"/>
          <w:highlight w:val="none"/>
          <w14:textFill>
            <w14:solidFill>
              <w14:schemeClr w14:val="tx1"/>
            </w14:solidFill>
          </w14:textFill>
        </w:rPr>
        <w:t xml:space="preserve"> 1、</w:t>
      </w:r>
      <w:r>
        <w:rPr>
          <w:rFonts w:ascii="宋体" w:hAnsi="宋体" w:cs="Tahoma"/>
          <w:b/>
          <w:color w:val="000000" w:themeColor="text1"/>
          <w:szCs w:val="21"/>
          <w:highlight w:val="none"/>
          <w14:textFill>
            <w14:solidFill>
              <w14:schemeClr w14:val="tx1"/>
            </w14:solidFill>
          </w14:textFill>
        </w:rPr>
        <w:t>本表中的“分项费用名称”系指“货物采购清单一览表”中某一</w:t>
      </w:r>
      <w:r>
        <w:rPr>
          <w:rFonts w:ascii="Tahoma" w:hAnsi="Tahoma" w:cs="Tahoma"/>
          <w:b/>
          <w:color w:val="000000" w:themeColor="text1"/>
          <w:szCs w:val="21"/>
          <w:highlight w:val="none"/>
          <w14:textFill>
            <w14:solidFill>
              <w14:schemeClr w14:val="tx1"/>
            </w14:solidFill>
          </w14:textFill>
        </w:rPr>
        <w:t>产品价格构成的分项费用。</w:t>
      </w:r>
    </w:p>
    <w:p>
      <w:pPr>
        <w:spacing w:line="320" w:lineRule="exact"/>
        <w:ind w:firstLine="211" w:firstLineChars="100"/>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2、供应商应根据所供产品的具体情况，选择所供产品需要进行的分项名称或费用（分项费用名称包括：产品价格，标准附件费、</w:t>
      </w:r>
      <w:r>
        <w:rPr>
          <w:rFonts w:hint="eastAsia" w:ascii="Tahoma" w:hAnsi="Tahoma" w:cs="Tahoma"/>
          <w:b/>
          <w:color w:val="000000" w:themeColor="text1"/>
          <w:szCs w:val="21"/>
          <w:highlight w:val="none"/>
          <w14:textFill>
            <w14:solidFill>
              <w14:schemeClr w14:val="tx1"/>
            </w14:solidFill>
          </w14:textFill>
        </w:rPr>
        <w:t>附属产品</w:t>
      </w:r>
      <w:r>
        <w:rPr>
          <w:rFonts w:ascii="Tahoma" w:hAnsi="Tahoma" w:cs="Tahoma"/>
          <w:b/>
          <w:color w:val="000000" w:themeColor="text1"/>
          <w:szCs w:val="21"/>
          <w:highlight w:val="none"/>
          <w14:textFill>
            <w14:solidFill>
              <w14:schemeClr w14:val="tx1"/>
            </w14:solidFill>
          </w14:textFill>
        </w:rPr>
        <w:t>费、专用工具费、技术服务费、安装调试费、检验检测或费、培训费、运输费用、装卸费、保险费、税金等一切费用）。</w:t>
      </w:r>
    </w:p>
    <w:p>
      <w:pPr>
        <w:spacing w:line="320" w:lineRule="exact"/>
        <w:ind w:firstLine="211" w:firstLineChars="100"/>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3、供应商未进行分项报价或分项报价未能准确全部反映产品价格构成或有所隐含，有可能致使在合同履行过程中引起纠纷（非正常的追加或索赔等）或不能诚信履约的，可作无效</w:t>
      </w:r>
      <w:r>
        <w:rPr>
          <w:rFonts w:hint="eastAsia" w:ascii="Tahoma" w:hAnsi="Tahoma" w:cs="Tahoma"/>
          <w:b/>
          <w:color w:val="000000" w:themeColor="text1"/>
          <w:szCs w:val="21"/>
          <w:highlight w:val="none"/>
          <w14:textFill>
            <w14:solidFill>
              <w14:schemeClr w14:val="tx1"/>
            </w14:solidFill>
          </w14:textFill>
        </w:rPr>
        <w:t>投标</w:t>
      </w:r>
      <w:r>
        <w:rPr>
          <w:rFonts w:ascii="Tahoma" w:hAnsi="Tahoma" w:cs="Tahoma"/>
          <w:b/>
          <w:color w:val="000000" w:themeColor="text1"/>
          <w:szCs w:val="21"/>
          <w:highlight w:val="none"/>
          <w14:textFill>
            <w14:solidFill>
              <w14:schemeClr w14:val="tx1"/>
            </w14:solidFill>
          </w14:textFill>
        </w:rPr>
        <w:t>处理。</w:t>
      </w:r>
    </w:p>
    <w:p>
      <w:pPr>
        <w:spacing w:line="320" w:lineRule="exact"/>
        <w:ind w:firstLine="211" w:firstLineChars="100"/>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4、</w:t>
      </w:r>
      <w:r>
        <w:rPr>
          <w:rFonts w:hint="eastAsia" w:ascii="Tahoma" w:hAnsi="Tahoma" w:cs="Tahoma"/>
          <w:b/>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ind w:firstLine="211" w:firstLineChars="100"/>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5、此表中的价格若与报价一览中所报的价格不一致的，以报价一览表中的价格为准。</w:t>
      </w:r>
    </w:p>
    <w:p>
      <w:pPr>
        <w:spacing w:line="380" w:lineRule="exact"/>
        <w:ind w:firstLine="5880" w:firstLineChars="2800"/>
        <w:rPr>
          <w:rFonts w:ascii="Tahoma" w:hAnsi="Tahoma" w:cs="Tahoma"/>
          <w:color w:val="000000" w:themeColor="text1"/>
          <w:szCs w:val="21"/>
          <w:highlight w:val="none"/>
          <w14:textFill>
            <w14:solidFill>
              <w14:schemeClr w14:val="tx1"/>
            </w14:solidFill>
          </w14:textFill>
        </w:rPr>
      </w:pPr>
    </w:p>
    <w:p>
      <w:pPr>
        <w:spacing w:line="360" w:lineRule="auto"/>
        <w:ind w:firstLine="5670" w:firstLineChars="2700"/>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供应商代表签名：</w:t>
      </w:r>
    </w:p>
    <w:p>
      <w:pPr>
        <w:spacing w:line="380" w:lineRule="exact"/>
        <w:jc w:val="center"/>
        <w:rPr>
          <w:rFonts w:ascii="Tahoma" w:hAnsi="Tahoma" w:eastAsia="黑体" w:cs="Tahoma"/>
          <w:b/>
          <w:color w:val="000000" w:themeColor="text1"/>
          <w:sz w:val="28"/>
          <w:szCs w:val="28"/>
          <w:highlight w:val="none"/>
          <w14:textFill>
            <w14:solidFill>
              <w14:schemeClr w14:val="tx1"/>
            </w14:solidFill>
          </w14:textFill>
        </w:rPr>
      </w:pPr>
    </w:p>
    <w:p>
      <w:pPr>
        <w:spacing w:line="380" w:lineRule="exact"/>
        <w:jc w:val="center"/>
        <w:rPr>
          <w:rFonts w:ascii="Tahoma" w:hAnsi="Tahoma" w:eastAsia="黑体" w:cs="Tahoma"/>
          <w:b/>
          <w:color w:val="000000" w:themeColor="text1"/>
          <w:sz w:val="28"/>
          <w:szCs w:val="28"/>
          <w:highlight w:val="none"/>
          <w14:textFill>
            <w14:solidFill>
              <w14:schemeClr w14:val="tx1"/>
            </w14:solidFill>
          </w14:textFill>
        </w:rPr>
      </w:pP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（四）</w:t>
      </w:r>
      <w:r>
        <w:rPr>
          <w:rFonts w:hint="eastAsia" w:ascii="Tahoma" w:hAnsi="Tahoma" w:eastAsia="黑体" w:cs="Tahoma"/>
          <w:b/>
          <w:color w:val="000000" w:themeColor="text1"/>
          <w:sz w:val="28"/>
          <w:szCs w:val="28"/>
          <w:highlight w:val="none"/>
          <w14:textFill>
            <w14:solidFill>
              <w14:schemeClr w14:val="tx1"/>
            </w14:solidFill>
          </w14:textFill>
        </w:rPr>
        <w:t>、货物</w:t>
      </w:r>
      <w:r>
        <w:rPr>
          <w:rFonts w:ascii="Tahoma" w:hAnsi="Tahoma" w:eastAsia="黑体" w:cs="Tahoma"/>
          <w:b/>
          <w:color w:val="000000" w:themeColor="text1"/>
          <w:sz w:val="28"/>
          <w:szCs w:val="28"/>
          <w:highlight w:val="none"/>
          <w14:textFill>
            <w14:solidFill>
              <w14:schemeClr w14:val="tx1"/>
            </w14:solidFill>
          </w14:textFill>
        </w:rPr>
        <w:t>或产品说明一览表</w:t>
      </w:r>
    </w:p>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（按所供货物合同包下品目号类别分别填写）</w:t>
      </w:r>
    </w:p>
    <w:p>
      <w:pPr>
        <w:pStyle w:val="27"/>
        <w:jc w:val="center"/>
        <w:rPr>
          <w:rFonts w:ascii="Tahoma" w:hAnsi="Tahoma" w:cs="Tahoma"/>
          <w:b/>
          <w:color w:val="000000" w:themeColor="text1"/>
          <w:sz w:val="21"/>
          <w:szCs w:val="21"/>
          <w:highlight w:val="none"/>
          <w14:textFill>
            <w14:solidFill>
              <w14:schemeClr w14:val="tx1"/>
            </w14:solidFill>
          </w14:textFill>
        </w:rPr>
      </w:pPr>
    </w:p>
    <w:p>
      <w:pPr>
        <w:pStyle w:val="27"/>
        <w:rPr>
          <w:rFonts w:ascii="Tahoma" w:hAnsi="Tahoma" w:cs="Tahoma"/>
          <w:color w:val="000000" w:themeColor="text1"/>
          <w:sz w:val="21"/>
          <w:szCs w:val="21"/>
          <w:highlight w:val="none"/>
          <w14:textFill>
            <w14:solidFill>
              <w14:schemeClr w14:val="tx1"/>
            </w14:solidFill>
          </w14:textFill>
        </w:rPr>
      </w:pPr>
      <w:bookmarkStart w:id="244" w:name="_Toc29686"/>
      <w:r>
        <w:rPr>
          <w:rFonts w:ascii="Tahoma" w:hAnsi="Tahoma" w:cs="Tahoma"/>
          <w:color w:val="000000" w:themeColor="text1"/>
          <w:sz w:val="21"/>
          <w:szCs w:val="21"/>
          <w:highlight w:val="none"/>
          <w14:textFill>
            <w14:solidFill>
              <w14:schemeClr w14:val="tx1"/>
            </w14:solidFill>
          </w14:textFill>
        </w:rPr>
        <w:t>项目编号：                                                                第  页共  页</w:t>
      </w:r>
      <w:bookmarkEnd w:id="244"/>
    </w:p>
    <w:tbl>
      <w:tblPr>
        <w:tblStyle w:val="20"/>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62"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Tahoma" w:hAnsi="Tahoma" w:cs="Tahoma"/>
                <w:color w:val="000000" w:themeColor="text1"/>
                <w:sz w:val="21"/>
                <w:szCs w:val="21"/>
                <w:highlight w:val="none"/>
                <w14:textFill>
                  <w14:solidFill>
                    <w14:schemeClr w14:val="tx1"/>
                  </w14:solidFill>
                </w14:textFill>
              </w:rPr>
            </w:pPr>
            <w:bookmarkStart w:id="245" w:name="_Toc18336"/>
            <w:r>
              <w:rPr>
                <w:rFonts w:ascii="Tahoma" w:hAnsi="Tahoma" w:cs="Tahoma"/>
                <w:color w:val="000000" w:themeColor="text1"/>
                <w:sz w:val="21"/>
                <w:szCs w:val="21"/>
                <w:highlight w:val="none"/>
                <w14:textFill>
                  <w14:solidFill>
                    <w14:schemeClr w14:val="tx1"/>
                  </w14:solidFill>
                </w14:textFill>
              </w:rPr>
              <w:t>设备或产品名称</w:t>
            </w:r>
            <w:bookmarkEnd w:id="245"/>
          </w:p>
        </w:tc>
        <w:tc>
          <w:tcPr>
            <w:tcW w:w="7545" w:type="dxa"/>
            <w:tcBorders>
              <w:top w:val="single" w:color="auto" w:sz="4" w:space="0"/>
              <w:left w:val="single" w:color="auto" w:sz="4" w:space="0"/>
              <w:bottom w:val="single" w:color="auto" w:sz="4" w:space="0"/>
              <w:right w:val="single" w:color="auto" w:sz="4" w:space="0"/>
            </w:tcBorders>
          </w:tcPr>
          <w:p>
            <w:pPr>
              <w:pStyle w:val="27"/>
              <w:jc w:val="center"/>
              <w:rPr>
                <w:rFonts w:ascii="Tahoma" w:hAnsi="Tahoma" w:cs="Tahoma"/>
                <w:b/>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207" w:type="dxa"/>
            <w:gridSpan w:val="2"/>
            <w:tcBorders>
              <w:top w:val="single" w:color="auto" w:sz="4" w:space="0"/>
              <w:left w:val="single" w:color="auto" w:sz="4" w:space="0"/>
              <w:bottom w:val="single" w:color="auto" w:sz="4" w:space="0"/>
              <w:right w:val="single" w:color="auto" w:sz="4" w:space="0"/>
            </w:tcBorders>
            <w:vAlign w:val="center"/>
          </w:tcPr>
          <w:p>
            <w:pPr>
              <w:pStyle w:val="27"/>
              <w:jc w:val="center"/>
              <w:rPr>
                <w:rFonts w:ascii="Tahoma" w:hAnsi="Tahoma" w:cs="Tahoma"/>
                <w:b/>
                <w:color w:val="000000" w:themeColor="text1"/>
                <w:sz w:val="21"/>
                <w:szCs w:val="21"/>
                <w:highlight w:val="none"/>
                <w14:textFill>
                  <w14:solidFill>
                    <w14:schemeClr w14:val="tx1"/>
                  </w14:solidFill>
                </w14:textFill>
              </w:rPr>
            </w:pPr>
            <w:bookmarkStart w:id="246" w:name="_Toc23921"/>
            <w:r>
              <w:rPr>
                <w:rFonts w:hint="eastAsia" w:ascii="Tahoma" w:hAnsi="Tahoma" w:cs="Tahoma"/>
                <w:color w:val="000000" w:themeColor="text1"/>
                <w:sz w:val="21"/>
                <w:szCs w:val="21"/>
                <w:highlight w:val="none"/>
                <w14:textFill>
                  <w14:solidFill>
                    <w14:schemeClr w14:val="tx1"/>
                  </w14:solidFill>
                </w14:textFill>
              </w:rPr>
              <w:t>货物</w:t>
            </w:r>
            <w:r>
              <w:rPr>
                <w:rFonts w:ascii="Tahoma" w:hAnsi="Tahoma" w:cs="Tahoma"/>
                <w:color w:val="000000" w:themeColor="text1"/>
                <w:sz w:val="21"/>
                <w:szCs w:val="21"/>
                <w:highlight w:val="none"/>
                <w14:textFill>
                  <w14:solidFill>
                    <w14:schemeClr w14:val="tx1"/>
                  </w14:solidFill>
                </w14:textFill>
              </w:rPr>
              <w:t>或产品的详细技术指标、参数，性能或功能说明</w:t>
            </w:r>
            <w:bookmarkEnd w:id="2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trPr>
        <w:tc>
          <w:tcPr>
            <w:tcW w:w="10207" w:type="dxa"/>
            <w:gridSpan w:val="2"/>
            <w:tcBorders>
              <w:top w:val="single" w:color="auto" w:sz="4" w:space="0"/>
              <w:left w:val="single" w:color="auto" w:sz="4" w:space="0"/>
              <w:bottom w:val="single" w:color="auto" w:sz="4" w:space="0"/>
              <w:right w:val="single" w:color="auto" w:sz="4" w:space="0"/>
            </w:tcBorders>
          </w:tcPr>
          <w:p>
            <w:pPr>
              <w:pStyle w:val="27"/>
              <w:jc w:val="center"/>
              <w:rPr>
                <w:rFonts w:ascii="Tahoma" w:hAnsi="Tahoma" w:cs="Tahoma"/>
                <w:color w:val="000000" w:themeColor="text1"/>
                <w:sz w:val="21"/>
                <w:szCs w:val="21"/>
                <w:highlight w:val="none"/>
                <w14:textFill>
                  <w14:solidFill>
                    <w14:schemeClr w14:val="tx1"/>
                  </w14:solidFill>
                </w14:textFill>
              </w:rPr>
            </w:pPr>
          </w:p>
        </w:tc>
      </w:tr>
    </w:tbl>
    <w:p>
      <w:pPr>
        <w:pStyle w:val="27"/>
        <w:jc w:val="center"/>
        <w:rPr>
          <w:rFonts w:ascii="Tahoma" w:hAnsi="Tahoma" w:cs="Tahoma"/>
          <w:b/>
          <w:color w:val="000000" w:themeColor="text1"/>
          <w:sz w:val="21"/>
          <w:szCs w:val="21"/>
          <w:highlight w:val="none"/>
          <w14:textFill>
            <w14:solidFill>
              <w14:schemeClr w14:val="tx1"/>
            </w14:solidFill>
          </w14:textFill>
        </w:rPr>
      </w:pPr>
    </w:p>
    <w:p>
      <w:pPr>
        <w:spacing w:line="36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说明：为使评标委员会能准确理解及使评审工作顺利进行，请供应商针对所供产品的实际型号或规格，实际技术指标、参数，性能或功能，采用的质量标准等逐条进行说明</w:t>
      </w:r>
      <w:r>
        <w:rPr>
          <w:rFonts w:hint="eastAsia" w:ascii="Tahoma" w:hAnsi="Tahoma" w:cs="Tahoma"/>
          <w:b/>
          <w:color w:val="000000" w:themeColor="text1"/>
          <w:szCs w:val="21"/>
          <w:highlight w:val="none"/>
          <w14:textFill>
            <w14:solidFill>
              <w14:schemeClr w14:val="tx1"/>
            </w14:solidFill>
          </w14:textFill>
        </w:rPr>
        <w:t>并附直观、清晰的产品图片</w:t>
      </w:r>
      <w:r>
        <w:rPr>
          <w:rFonts w:ascii="Tahoma" w:hAnsi="Tahoma" w:cs="Tahoma"/>
          <w:b/>
          <w:color w:val="000000" w:themeColor="text1"/>
          <w:szCs w:val="21"/>
          <w:highlight w:val="none"/>
          <w14:textFill>
            <w14:solidFill>
              <w14:schemeClr w14:val="tx1"/>
            </w14:solidFill>
          </w14:textFill>
        </w:rPr>
        <w:t>，不可按招标文件提出的质量指标及技术要求进行简单复制，一旦经评标委员会认定，其所供产品的性能或质量指标、技术参数等与实际不符，有可能给供应商带来的不利或导致投标</w:t>
      </w:r>
      <w:r>
        <w:rPr>
          <w:rFonts w:hint="eastAsia" w:ascii="Tahoma" w:hAnsi="Tahoma" w:cs="Tahoma"/>
          <w:b/>
          <w:color w:val="000000" w:themeColor="text1"/>
          <w:szCs w:val="21"/>
          <w:highlight w:val="none"/>
          <w14:textFill>
            <w14:solidFill>
              <w14:schemeClr w14:val="tx1"/>
            </w14:solidFill>
          </w14:textFill>
        </w:rPr>
        <w:t>无效</w:t>
      </w:r>
      <w:r>
        <w:rPr>
          <w:rFonts w:ascii="Tahoma" w:hAnsi="Tahoma" w:cs="Tahoma"/>
          <w:b/>
          <w:color w:val="000000" w:themeColor="text1"/>
          <w:szCs w:val="21"/>
          <w:highlight w:val="none"/>
          <w14:textFill>
            <w14:solidFill>
              <w14:schemeClr w14:val="tx1"/>
            </w14:solidFill>
          </w14:textFill>
        </w:rPr>
        <w:t>，将由供应商自行承担，敬请供应商注意！</w:t>
      </w:r>
    </w:p>
    <w:p>
      <w:pPr>
        <w:spacing w:line="38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60" w:lineRule="auto"/>
        <w:ind w:firstLine="5670" w:firstLineChars="2700"/>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投标供应商代表签字:</w:t>
      </w:r>
    </w:p>
    <w:p>
      <w:pPr>
        <w:pStyle w:val="27"/>
        <w:jc w:val="both"/>
        <w:rPr>
          <w:rFonts w:ascii="Tahoma" w:hAnsi="Tahoma" w:eastAsia="黑体" w:cs="Tahoma"/>
          <w:b/>
          <w:bCs/>
          <w:color w:val="000000" w:themeColor="text1"/>
          <w:szCs w:val="28"/>
          <w:highlight w:val="none"/>
          <w14:textFill>
            <w14:solidFill>
              <w14:schemeClr w14:val="tx1"/>
            </w14:solidFill>
          </w14:textFill>
        </w:rPr>
      </w:pPr>
      <w:bookmarkStart w:id="247" w:name="_Toc5251"/>
    </w:p>
    <w:p>
      <w:pPr>
        <w:pStyle w:val="27"/>
        <w:jc w:val="center"/>
        <w:rPr>
          <w:rFonts w:ascii="Tahoma" w:hAnsi="Tahoma" w:eastAsia="黑体" w:cs="Tahoma"/>
          <w:color w:val="000000" w:themeColor="text1"/>
          <w:szCs w:val="28"/>
          <w:highlight w:val="none"/>
          <w14:textFill>
            <w14:solidFill>
              <w14:schemeClr w14:val="tx1"/>
            </w14:solidFill>
          </w14:textFill>
        </w:rPr>
      </w:pPr>
      <w:r>
        <w:rPr>
          <w:rFonts w:ascii="Tahoma" w:hAnsi="Tahoma" w:eastAsia="黑体" w:cs="Tahoma"/>
          <w:b/>
          <w:bCs/>
          <w:color w:val="000000" w:themeColor="text1"/>
          <w:szCs w:val="28"/>
          <w:highlight w:val="none"/>
          <w14:textFill>
            <w14:solidFill>
              <w14:schemeClr w14:val="tx1"/>
            </w14:solidFill>
          </w14:textFill>
        </w:rPr>
        <w:t>（五）</w:t>
      </w:r>
      <w:r>
        <w:rPr>
          <w:rFonts w:hint="eastAsia" w:ascii="Tahoma" w:hAnsi="Tahoma" w:eastAsia="黑体" w:cs="Tahoma"/>
          <w:b/>
          <w:bCs/>
          <w:color w:val="000000" w:themeColor="text1"/>
          <w:szCs w:val="28"/>
          <w:highlight w:val="none"/>
          <w14:textFill>
            <w14:solidFill>
              <w14:schemeClr w14:val="tx1"/>
            </w14:solidFill>
          </w14:textFill>
        </w:rPr>
        <w:t>、</w:t>
      </w:r>
      <w:bookmarkEnd w:id="247"/>
      <w:bookmarkStart w:id="248" w:name="_Toc17644"/>
      <w:r>
        <w:rPr>
          <w:rFonts w:ascii="Tahoma" w:hAnsi="Tahoma" w:eastAsia="黑体" w:cs="Tahoma"/>
          <w:b/>
          <w:color w:val="000000" w:themeColor="text1"/>
          <w:szCs w:val="28"/>
          <w:highlight w:val="none"/>
          <w14:textFill>
            <w14:solidFill>
              <w14:schemeClr w14:val="tx1"/>
            </w14:solidFill>
          </w14:textFill>
        </w:rPr>
        <w:t>技术规格偏离表</w:t>
      </w:r>
      <w:r>
        <w:rPr>
          <w:rFonts w:ascii="Tahoma" w:hAnsi="Tahoma" w:eastAsia="黑体" w:cs="Tahoma"/>
          <w:color w:val="000000" w:themeColor="text1"/>
          <w:szCs w:val="28"/>
          <w:highlight w:val="none"/>
          <w14:textFill>
            <w14:solidFill>
              <w14:schemeClr w14:val="tx1"/>
            </w14:solidFill>
          </w14:textFill>
        </w:rPr>
        <w:cr/>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项目编号∶</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 xml:space="preserve">                                                                      第  页共  页</w:t>
      </w:r>
    </w:p>
    <w:tbl>
      <w:tblPr>
        <w:tblStyle w:val="20"/>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01"/>
        <w:gridCol w:w="2429"/>
        <w:gridCol w:w="2557"/>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772"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2401"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货物名称</w:t>
            </w:r>
          </w:p>
        </w:tc>
        <w:tc>
          <w:tcPr>
            <w:tcW w:w="2429"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招标文件要求</w:t>
            </w:r>
          </w:p>
        </w:tc>
        <w:tc>
          <w:tcPr>
            <w:tcW w:w="2557"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响应程度</w:t>
            </w:r>
          </w:p>
        </w:tc>
        <w:tc>
          <w:tcPr>
            <w:tcW w:w="2048"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bl>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为使评标委员会准确理解及保证评审工作顺利进行，请供应商针对招标文件的要求，结合所供货物的实际性能、技术指标、采用的质量标准等逐条进行说明，说明货物或产品的实际响应程度。如简单的以“无偏离、完全响应”等类似表述，有可能给投标供应商带来的不利或导致投标被否决，将由供应商自行承担，敬请供应商注意！</w:t>
      </w:r>
    </w:p>
    <w:p>
      <w:pPr>
        <w:spacing w:line="38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ind w:firstLine="5775" w:firstLineChars="27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投标供应商代表签字：</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ind w:firstLine="5775" w:firstLineChars="2750"/>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pStyle w:val="27"/>
        <w:rPr>
          <w:rFonts w:ascii="Tahoma" w:hAnsi="Tahoma" w:cs="Tahoma"/>
          <w:color w:val="000000" w:themeColor="text1"/>
          <w:sz w:val="21"/>
          <w:highlight w:val="none"/>
          <w14:textFill>
            <w14:solidFill>
              <w14:schemeClr w14:val="tx1"/>
            </w14:solidFill>
          </w14:textFill>
        </w:rPr>
      </w:pPr>
    </w:p>
    <w:p>
      <w:pPr>
        <w:pStyle w:val="27"/>
        <w:rPr>
          <w:rFonts w:ascii="Tahoma" w:hAnsi="Tahoma" w:cs="Tahoma"/>
          <w:color w:val="000000" w:themeColor="text1"/>
          <w:sz w:val="21"/>
          <w:highlight w:val="none"/>
          <w14:textFill>
            <w14:solidFill>
              <w14:schemeClr w14:val="tx1"/>
            </w14:solidFill>
          </w14:textFill>
        </w:rPr>
      </w:pPr>
      <w:r>
        <w:rPr>
          <w:rFonts w:ascii="Tahoma" w:hAnsi="Tahoma" w:cs="Tahoma"/>
          <w:color w:val="000000" w:themeColor="text1"/>
          <w:sz w:val="21"/>
          <w:highlight w:val="none"/>
          <w14:textFill>
            <w14:solidFill>
              <w14:schemeClr w14:val="tx1"/>
            </w14:solidFill>
          </w14:textFill>
        </w:rPr>
        <w:t xml:space="preserve">         </w:t>
      </w:r>
    </w:p>
    <w:p>
      <w:pPr>
        <w:pStyle w:val="27"/>
        <w:jc w:val="center"/>
        <w:rPr>
          <w:rFonts w:ascii="Tahoma" w:hAnsi="Tahoma" w:eastAsia="黑体" w:cs="Tahoma"/>
          <w:color w:val="000000" w:themeColor="text1"/>
          <w:szCs w:val="28"/>
          <w:highlight w:val="none"/>
          <w14:textFill>
            <w14:solidFill>
              <w14:schemeClr w14:val="tx1"/>
            </w14:solidFill>
          </w14:textFill>
        </w:rPr>
      </w:pPr>
      <w:r>
        <w:rPr>
          <w:rFonts w:hint="eastAsia" w:ascii="Tahoma" w:hAnsi="Tahoma" w:eastAsia="黑体" w:cs="Tahoma"/>
          <w:b/>
          <w:bCs/>
          <w:color w:val="000000" w:themeColor="text1"/>
          <w:szCs w:val="28"/>
          <w:highlight w:val="none"/>
          <w14:textFill>
            <w14:solidFill>
              <w14:schemeClr w14:val="tx1"/>
            </w14:solidFill>
          </w14:textFill>
        </w:rPr>
        <w:t>商务</w:t>
      </w:r>
      <w:r>
        <w:rPr>
          <w:rFonts w:ascii="Tahoma" w:hAnsi="Tahoma" w:eastAsia="黑体" w:cs="Tahoma"/>
          <w:b/>
          <w:color w:val="000000" w:themeColor="text1"/>
          <w:szCs w:val="28"/>
          <w:highlight w:val="none"/>
          <w14:textFill>
            <w14:solidFill>
              <w14:schemeClr w14:val="tx1"/>
            </w14:solidFill>
          </w14:textFill>
        </w:rPr>
        <w:t>规格偏离表</w:t>
      </w:r>
      <w:r>
        <w:rPr>
          <w:rFonts w:ascii="Tahoma" w:hAnsi="Tahoma" w:eastAsia="黑体" w:cs="Tahoma"/>
          <w:color w:val="000000" w:themeColor="text1"/>
          <w:szCs w:val="28"/>
          <w:highlight w:val="none"/>
          <w14:textFill>
            <w14:solidFill>
              <w14:schemeClr w14:val="tx1"/>
            </w14:solidFill>
          </w14:textFill>
        </w:rPr>
        <w:cr/>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项目编号∶</w:t>
      </w:r>
      <w:r>
        <w:rPr>
          <w:rFonts w:ascii="Tahoma" w:hAnsi="Tahoma" w:cs="Tahoma"/>
          <w:color w:val="000000" w:themeColor="text1"/>
          <w:szCs w:val="21"/>
          <w:highlight w:val="none"/>
          <w14:textFill>
            <w14:solidFill>
              <w14:schemeClr w14:val="tx1"/>
            </w14:solidFill>
          </w14:textFill>
        </w:rPr>
        <w:tab/>
      </w:r>
      <w:r>
        <w:rPr>
          <w:rFonts w:ascii="Tahoma" w:hAnsi="Tahoma" w:cs="Tahoma"/>
          <w:color w:val="000000" w:themeColor="text1"/>
          <w:szCs w:val="21"/>
          <w:highlight w:val="none"/>
          <w14:textFill>
            <w14:solidFill>
              <w14:schemeClr w14:val="tx1"/>
            </w14:solidFill>
          </w14:textFill>
        </w:rPr>
        <w:t xml:space="preserve">                                                                      第  页共  页</w:t>
      </w:r>
    </w:p>
    <w:tbl>
      <w:tblPr>
        <w:tblStyle w:val="20"/>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01"/>
        <w:gridCol w:w="2429"/>
        <w:gridCol w:w="2557"/>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772"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序号</w:t>
            </w:r>
          </w:p>
        </w:tc>
        <w:tc>
          <w:tcPr>
            <w:tcW w:w="2401"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货物名称</w:t>
            </w:r>
          </w:p>
        </w:tc>
        <w:tc>
          <w:tcPr>
            <w:tcW w:w="2429"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招标文件要求</w:t>
            </w:r>
          </w:p>
        </w:tc>
        <w:tc>
          <w:tcPr>
            <w:tcW w:w="2557"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响应程度</w:t>
            </w:r>
          </w:p>
        </w:tc>
        <w:tc>
          <w:tcPr>
            <w:tcW w:w="2048" w:type="dxa"/>
            <w:vAlign w:val="center"/>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72"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01"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429"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557" w:type="dxa"/>
          </w:tcPr>
          <w:p>
            <w:pPr>
              <w:spacing w:line="380" w:lineRule="exact"/>
              <w:rPr>
                <w:rFonts w:ascii="Tahoma" w:hAnsi="Tahoma" w:cs="Tahoma"/>
                <w:color w:val="000000" w:themeColor="text1"/>
                <w:szCs w:val="21"/>
                <w:highlight w:val="none"/>
                <w14:textFill>
                  <w14:solidFill>
                    <w14:schemeClr w14:val="tx1"/>
                  </w14:solidFill>
                </w14:textFill>
              </w:rPr>
            </w:pPr>
          </w:p>
        </w:tc>
        <w:tc>
          <w:tcPr>
            <w:tcW w:w="2048" w:type="dxa"/>
          </w:tcPr>
          <w:p>
            <w:pPr>
              <w:spacing w:line="380" w:lineRule="exact"/>
              <w:rPr>
                <w:rFonts w:ascii="Tahoma" w:hAnsi="Tahoma" w:cs="Tahoma"/>
                <w:color w:val="000000" w:themeColor="text1"/>
                <w:szCs w:val="21"/>
                <w:highlight w:val="none"/>
                <w14:textFill>
                  <w14:solidFill>
                    <w14:schemeClr w14:val="tx1"/>
                  </w14:solidFill>
                </w14:textFill>
              </w:rPr>
            </w:pPr>
          </w:p>
        </w:tc>
      </w:tr>
    </w:tbl>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b/>
          <w:color w:val="000000" w:themeColor="text1"/>
          <w:szCs w:val="21"/>
          <w:highlight w:val="none"/>
          <w14:textFill>
            <w14:solidFill>
              <w14:schemeClr w14:val="tx1"/>
            </w14:solidFill>
          </w14:textFill>
        </w:rPr>
      </w:pPr>
      <w:r>
        <w:rPr>
          <w:rFonts w:ascii="Tahoma" w:hAnsi="Tahoma" w:cs="Tahoma"/>
          <w:b/>
          <w:color w:val="000000" w:themeColor="text1"/>
          <w:szCs w:val="21"/>
          <w:highlight w:val="none"/>
          <w14:textFill>
            <w14:solidFill>
              <w14:schemeClr w14:val="tx1"/>
            </w14:solidFill>
          </w14:textFill>
        </w:rPr>
        <w:t>注：为使评标委员会准确理解及保证评审工作顺利进行，请供应商针对招标文件的要求，说明</w:t>
      </w:r>
      <w:r>
        <w:rPr>
          <w:rFonts w:hint="eastAsia" w:ascii="Tahoma" w:hAnsi="Tahoma" w:cs="Tahoma"/>
          <w:b/>
          <w:color w:val="000000" w:themeColor="text1"/>
          <w:szCs w:val="21"/>
          <w:highlight w:val="none"/>
          <w14:textFill>
            <w14:solidFill>
              <w14:schemeClr w14:val="tx1"/>
            </w14:solidFill>
          </w14:textFill>
        </w:rPr>
        <w:t>商务部分</w:t>
      </w:r>
      <w:r>
        <w:rPr>
          <w:rFonts w:ascii="Tahoma" w:hAnsi="Tahoma" w:cs="Tahoma"/>
          <w:b/>
          <w:color w:val="000000" w:themeColor="text1"/>
          <w:szCs w:val="21"/>
          <w:highlight w:val="none"/>
          <w14:textFill>
            <w14:solidFill>
              <w14:schemeClr w14:val="tx1"/>
            </w14:solidFill>
          </w14:textFill>
        </w:rPr>
        <w:t>实际响应程度。如简单的以“无偏离、完全响应”等类似表述，有可能给投标供应商带来的不利或导致投标被否决，将由供应商自行承担，敬请供应商注意！</w:t>
      </w:r>
    </w:p>
    <w:p>
      <w:pPr>
        <w:spacing w:line="38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60" w:lineRule="auto"/>
        <w:jc w:val="center"/>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投标供应商代表签字：</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auto"/>
        <w:jc w:val="center"/>
        <w:rPr>
          <w:rFonts w:ascii="Tahoma" w:hAnsi="Tahoma" w:cs="Tahoma"/>
          <w:color w:val="000000" w:themeColor="text1"/>
          <w:szCs w:val="21"/>
          <w:highlight w:val="none"/>
          <w:u w:val="single"/>
          <w14:textFill>
            <w14:solidFill>
              <w14:schemeClr w14:val="tx1"/>
            </w14:solidFill>
          </w14:textFill>
        </w:rPr>
      </w:pPr>
    </w:p>
    <w:p>
      <w:pPr>
        <w:spacing w:line="360" w:lineRule="auto"/>
        <w:jc w:val="center"/>
        <w:rPr>
          <w:rFonts w:ascii="Tahoma" w:hAnsi="Tahoma" w:cs="Tahoma"/>
          <w:color w:val="000000" w:themeColor="text1"/>
          <w:szCs w:val="21"/>
          <w:highlight w:val="none"/>
          <w:u w:val="single"/>
          <w14:textFill>
            <w14:solidFill>
              <w14:schemeClr w14:val="tx1"/>
            </w14:solidFill>
          </w14:textFill>
        </w:rPr>
      </w:pPr>
    </w:p>
    <w:p>
      <w:pPr>
        <w:spacing w:line="360" w:lineRule="auto"/>
        <w:jc w:val="center"/>
        <w:rPr>
          <w:rFonts w:ascii="Tahoma" w:hAnsi="Tahoma" w:cs="Tahoma"/>
          <w:color w:val="000000" w:themeColor="text1"/>
          <w:szCs w:val="21"/>
          <w:highlight w:val="none"/>
          <w:u w:val="single"/>
          <w14:textFill>
            <w14:solidFill>
              <w14:schemeClr w14:val="tx1"/>
            </w14:solidFill>
          </w14:textFill>
        </w:rPr>
      </w:pPr>
    </w:p>
    <w:p>
      <w:pPr>
        <w:spacing w:line="360" w:lineRule="auto"/>
        <w:jc w:val="center"/>
        <w:rPr>
          <w:rFonts w:ascii="Tahoma" w:hAnsi="Tahoma" w:cs="Tahoma"/>
          <w:color w:val="000000" w:themeColor="text1"/>
          <w:szCs w:val="21"/>
          <w:highlight w:val="none"/>
          <w:u w:val="single"/>
          <w14:textFill>
            <w14:solidFill>
              <w14:schemeClr w14:val="tx1"/>
            </w14:solidFill>
          </w14:textFill>
        </w:rPr>
      </w:pPr>
    </w:p>
    <w:p>
      <w:pPr>
        <w:spacing w:line="400" w:lineRule="exact"/>
        <w:jc w:val="center"/>
        <w:rPr>
          <w:rFonts w:ascii="Tahoma" w:hAnsi="Tahoma" w:eastAsia="黑体" w:cs="Tahoma"/>
          <w:b/>
          <w:color w:val="000000" w:themeColor="text1"/>
          <w:sz w:val="28"/>
          <w:szCs w:val="28"/>
          <w:highlight w:val="none"/>
          <w14:textFill>
            <w14:solidFill>
              <w14:schemeClr w14:val="tx1"/>
            </w14:solidFill>
          </w14:textFill>
        </w:rPr>
      </w:pPr>
    </w:p>
    <w:p>
      <w:pPr>
        <w:spacing w:line="400" w:lineRule="exact"/>
        <w:jc w:val="center"/>
        <w:rPr>
          <w:rFonts w:ascii="Tahoma" w:hAnsi="Tahoma" w:eastAsia="黑体" w:cs="Tahoma"/>
          <w:b/>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（六）</w:t>
      </w:r>
      <w:r>
        <w:rPr>
          <w:rFonts w:hint="eastAsia" w:ascii="Tahoma" w:hAnsi="Tahoma" w:eastAsia="黑体" w:cs="Tahoma"/>
          <w:b/>
          <w:color w:val="000000" w:themeColor="text1"/>
          <w:sz w:val="28"/>
          <w:szCs w:val="28"/>
          <w:highlight w:val="none"/>
          <w14:textFill>
            <w14:solidFill>
              <w14:schemeClr w14:val="tx1"/>
            </w14:solidFill>
          </w14:textFill>
        </w:rPr>
        <w:t>、生产、运输</w:t>
      </w:r>
      <w:r>
        <w:rPr>
          <w:rFonts w:ascii="Tahoma" w:hAnsi="Tahoma" w:eastAsia="黑体" w:cs="Tahoma"/>
          <w:b/>
          <w:color w:val="000000" w:themeColor="text1"/>
          <w:sz w:val="28"/>
          <w:szCs w:val="28"/>
          <w:highlight w:val="none"/>
          <w14:textFill>
            <w14:solidFill>
              <w14:schemeClr w14:val="tx1"/>
            </w14:solidFill>
          </w14:textFill>
        </w:rPr>
        <w:t>、</w:t>
      </w:r>
      <w:r>
        <w:rPr>
          <w:rFonts w:hint="eastAsia" w:ascii="Tahoma" w:hAnsi="Tahoma" w:eastAsia="黑体" w:cs="Tahoma"/>
          <w:b/>
          <w:color w:val="000000" w:themeColor="text1"/>
          <w:sz w:val="28"/>
          <w:szCs w:val="28"/>
          <w:highlight w:val="none"/>
          <w14:textFill>
            <w14:solidFill>
              <w14:schemeClr w14:val="tx1"/>
            </w14:solidFill>
          </w14:textFill>
        </w:rPr>
        <w:t>配送</w:t>
      </w:r>
      <w:r>
        <w:rPr>
          <w:rFonts w:ascii="Tahoma" w:hAnsi="Tahoma" w:eastAsia="黑体" w:cs="Tahoma"/>
          <w:b/>
          <w:color w:val="000000" w:themeColor="text1"/>
          <w:sz w:val="28"/>
          <w:szCs w:val="28"/>
          <w:highlight w:val="none"/>
          <w14:textFill>
            <w14:solidFill>
              <w14:schemeClr w14:val="tx1"/>
            </w14:solidFill>
          </w14:textFill>
        </w:rPr>
        <w:t>及技术、质量保证组织措施</w:t>
      </w:r>
      <w:bookmarkEnd w:id="248"/>
    </w:p>
    <w:p>
      <w:pPr>
        <w:spacing w:line="24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pStyle w:val="27"/>
        <w:rPr>
          <w:rFonts w:ascii="Tahoma" w:hAnsi="Tahoma" w:cs="Tahoma"/>
          <w:color w:val="000000" w:themeColor="text1"/>
          <w:sz w:val="21"/>
          <w:highlight w:val="none"/>
          <w14:textFill>
            <w14:solidFill>
              <w14:schemeClr w14:val="tx1"/>
            </w14:solidFill>
          </w14:textFill>
        </w:rPr>
      </w:pPr>
    </w:p>
    <w:p>
      <w:pPr>
        <w:pStyle w:val="27"/>
        <w:rPr>
          <w:rFonts w:ascii="Tahoma" w:hAnsi="Tahoma" w:cs="Tahoma"/>
          <w:color w:val="000000" w:themeColor="text1"/>
          <w:sz w:val="21"/>
          <w:highlight w:val="none"/>
          <w14:textFill>
            <w14:solidFill>
              <w14:schemeClr w14:val="tx1"/>
            </w14:solidFill>
          </w14:textFill>
        </w:rPr>
      </w:pPr>
      <w:r>
        <w:rPr>
          <w:rFonts w:ascii="Tahoma" w:hAnsi="Tahoma" w:cs="Tahoma"/>
          <w:color w:val="000000" w:themeColor="text1"/>
          <w:sz w:val="21"/>
          <w:highlight w:val="none"/>
          <w14:textFill>
            <w14:solidFill>
              <w14:schemeClr w14:val="tx1"/>
            </w14:solidFill>
          </w14:textFill>
        </w:rPr>
        <w:t xml:space="preserve">         </w:t>
      </w:r>
    </w:p>
    <w:p>
      <w:pPr>
        <w:spacing w:line="400" w:lineRule="exact"/>
        <w:jc w:val="center"/>
        <w:rPr>
          <w:rFonts w:ascii="Tahoma" w:hAnsi="Tahoma" w:eastAsia="黑体" w:cs="Tahoma"/>
          <w:b/>
          <w:color w:val="000000" w:themeColor="text1"/>
          <w:sz w:val="28"/>
          <w:szCs w:val="28"/>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br w:type="page"/>
      </w:r>
      <w:r>
        <w:rPr>
          <w:rFonts w:ascii="Tahoma" w:hAnsi="Tahoma" w:eastAsia="黑体" w:cs="Tahoma"/>
          <w:b/>
          <w:color w:val="000000" w:themeColor="text1"/>
          <w:sz w:val="28"/>
          <w:szCs w:val="28"/>
          <w:highlight w:val="none"/>
          <w14:textFill>
            <w14:solidFill>
              <w14:schemeClr w14:val="tx1"/>
            </w14:solidFill>
          </w14:textFill>
        </w:rPr>
        <w:t>（七）</w:t>
      </w:r>
      <w:r>
        <w:rPr>
          <w:rFonts w:hint="eastAsia" w:ascii="Tahoma" w:hAnsi="Tahoma" w:eastAsia="黑体" w:cs="Tahoma"/>
          <w:b/>
          <w:color w:val="000000" w:themeColor="text1"/>
          <w:sz w:val="28"/>
          <w:szCs w:val="28"/>
          <w:highlight w:val="none"/>
          <w14:textFill>
            <w14:solidFill>
              <w14:schemeClr w14:val="tx1"/>
            </w14:solidFill>
          </w14:textFill>
        </w:rPr>
        <w:t>、</w:t>
      </w:r>
      <w:r>
        <w:rPr>
          <w:rFonts w:ascii="Tahoma" w:hAnsi="Tahoma" w:eastAsia="黑体" w:cs="Tahoma"/>
          <w:b/>
          <w:color w:val="000000" w:themeColor="text1"/>
          <w:sz w:val="28"/>
          <w:szCs w:val="28"/>
          <w:highlight w:val="none"/>
          <w14:textFill>
            <w14:solidFill>
              <w14:schemeClr w14:val="tx1"/>
            </w14:solidFill>
          </w14:textFill>
        </w:rPr>
        <w:t>质量保证、技术及售后服务承诺书</w:t>
      </w: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440" w:lineRule="exact"/>
        <w:jc w:val="center"/>
        <w:rPr>
          <w:rFonts w:ascii="Tahoma" w:hAnsi="Tahoma" w:cs="Tahoma"/>
          <w:color w:val="000000" w:themeColor="text1"/>
          <w:sz w:val="24"/>
          <w:highlight w:val="none"/>
          <w14:textFill>
            <w14:solidFill>
              <w14:schemeClr w14:val="tx1"/>
            </w14:solidFill>
          </w14:textFill>
        </w:rPr>
      </w:pPr>
    </w:p>
    <w:p>
      <w:pPr>
        <w:spacing w:line="360" w:lineRule="auto"/>
        <w:jc w:val="center"/>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投标供应商代表签字：</w:t>
      </w: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440" w:lineRule="exact"/>
        <w:jc w:val="center"/>
        <w:rPr>
          <w:rFonts w:ascii="Tahoma" w:hAnsi="Tahoma" w:cs="Tahoma"/>
          <w:b/>
          <w:bCs/>
          <w:color w:val="000000" w:themeColor="text1"/>
          <w:sz w:val="32"/>
          <w:highlight w:val="none"/>
          <w14:textFill>
            <w14:solidFill>
              <w14:schemeClr w14:val="tx1"/>
            </w14:solidFill>
          </w14:textFill>
        </w:rPr>
      </w:pPr>
    </w:p>
    <w:p>
      <w:pPr>
        <w:spacing w:line="360" w:lineRule="auto"/>
        <w:jc w:val="center"/>
        <w:rPr>
          <w:rFonts w:ascii="Tahoma" w:hAnsi="Tahoma" w:eastAsia="黑体" w:cs="Tahoma"/>
          <w:b/>
          <w:bCs/>
          <w:color w:val="000000" w:themeColor="text1"/>
          <w:sz w:val="28"/>
          <w:szCs w:val="28"/>
          <w:highlight w:val="none"/>
          <w14:textFill>
            <w14:solidFill>
              <w14:schemeClr w14:val="tx1"/>
            </w14:solidFill>
          </w14:textFill>
        </w:rPr>
      </w:pPr>
      <w:r>
        <w:rPr>
          <w:rFonts w:ascii="Tahoma" w:hAnsi="Tahoma" w:eastAsia="黑体" w:cs="Tahoma"/>
          <w:b/>
          <w:bCs/>
          <w:color w:val="000000" w:themeColor="text1"/>
          <w:sz w:val="28"/>
          <w:szCs w:val="28"/>
          <w:highlight w:val="none"/>
          <w14:textFill>
            <w14:solidFill>
              <w14:schemeClr w14:val="tx1"/>
            </w14:solidFill>
          </w14:textFill>
        </w:rPr>
        <w:t>（八）、投标供应商应提交的其它资料</w:t>
      </w:r>
    </w:p>
    <w:p>
      <w:pPr>
        <w:spacing w:line="400" w:lineRule="exact"/>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（1）货物（或产品）质量检验等；</w:t>
      </w: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2</w:t>
      </w:r>
      <w:r>
        <w:rPr>
          <w:rFonts w:ascii="Tahoma" w:hAnsi="Tahoma" w:cs="Tahoma"/>
          <w:color w:val="000000" w:themeColor="text1"/>
          <w:szCs w:val="21"/>
          <w:highlight w:val="none"/>
          <w14:textFill>
            <w14:solidFill>
              <w14:schemeClr w14:val="tx1"/>
            </w14:solidFill>
          </w14:textFill>
        </w:rPr>
        <w:t>）投标供应商认为需提交的其他资料。</w:t>
      </w:r>
    </w:p>
    <w:p>
      <w:pPr>
        <w:spacing w:line="400" w:lineRule="exact"/>
        <w:rPr>
          <w:rFonts w:ascii="Tahoma" w:hAnsi="Tahoma" w:cs="Tahoma"/>
          <w:color w:val="000000" w:themeColor="text1"/>
          <w:sz w:val="24"/>
          <w:highlight w:val="none"/>
          <w14:textFill>
            <w14:solidFill>
              <w14:schemeClr w14:val="tx1"/>
            </w14:solidFill>
          </w14:textFill>
        </w:rPr>
      </w:pPr>
    </w:p>
    <w:p>
      <w:pPr>
        <w:spacing w:line="400" w:lineRule="exact"/>
        <w:jc w:val="center"/>
        <w:rPr>
          <w:rFonts w:ascii="Tahoma" w:hAnsi="Tahoma" w:eastAsia="黑体" w:cs="Tahoma"/>
          <w:b/>
          <w:color w:val="000000" w:themeColor="text1"/>
          <w:sz w:val="24"/>
          <w:highlight w:val="none"/>
          <w14:textFill>
            <w14:solidFill>
              <w14:schemeClr w14:val="tx1"/>
            </w14:solidFill>
          </w14:textFill>
        </w:rPr>
      </w:pPr>
      <w:r>
        <w:rPr>
          <w:rFonts w:ascii="Tahoma" w:hAnsi="Tahoma" w:eastAsia="黑体" w:cs="Tahoma"/>
          <w:b/>
          <w:color w:val="000000" w:themeColor="text1"/>
          <w:sz w:val="24"/>
          <w:highlight w:val="none"/>
          <w14:textFill>
            <w14:solidFill>
              <w14:schemeClr w14:val="tx1"/>
            </w14:solidFill>
          </w14:textFill>
        </w:rPr>
        <w:t>最近三年同类项目业绩表</w:t>
      </w:r>
    </w:p>
    <w:tbl>
      <w:tblPr>
        <w:tblStyle w:val="2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序号</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采购人及联系方式</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货物名称、规格</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合同金额</w:t>
            </w:r>
          </w:p>
        </w:tc>
        <w:tc>
          <w:tcPr>
            <w:tcW w:w="13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运行状况</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ahoma" w:hAnsi="Tahoma" w:eastAsia="黑体" w:cs="Tahoma"/>
                <w:color w:val="000000" w:themeColor="text1"/>
                <w:szCs w:val="21"/>
                <w:highlight w:val="none"/>
                <w14:textFill>
                  <w14:solidFill>
                    <w14:schemeClr w14:val="tx1"/>
                  </w14:solidFill>
                </w14:textFill>
              </w:rPr>
            </w:pPr>
            <w:r>
              <w:rPr>
                <w:rFonts w:ascii="Tahoma" w:hAnsi="Tahoma" w:eastAsia="黑体" w:cs="Tahoma"/>
                <w:color w:val="000000" w:themeColor="text1"/>
                <w:szCs w:val="21"/>
                <w:highlight w:val="none"/>
                <w14:textFill>
                  <w14:solidFill>
                    <w14:schemeClr w14:val="tx1"/>
                  </w14:solidFill>
                </w14:textFill>
              </w:rPr>
              <w:t>履约情况、采购人评价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8</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Tahoma" w:hAnsi="Tahoma" w:cs="Tahoma"/>
                <w:color w:val="000000" w:themeColor="text1"/>
                <w:szCs w:val="21"/>
                <w:highlight w:val="none"/>
                <w14:textFill>
                  <w14:solidFill>
                    <w14:schemeClr w14:val="tx1"/>
                  </w14:solidFill>
                </w14:textFill>
              </w:rPr>
            </w:pPr>
          </w:p>
        </w:tc>
      </w:tr>
    </w:tbl>
    <w:p>
      <w:pPr>
        <w:pStyle w:val="10"/>
        <w:spacing w:line="360" w:lineRule="exact"/>
        <w:rPr>
          <w:rFonts w:ascii="Tahoma" w:hAnsi="Tahoma" w:cs="Tahoma"/>
          <w:color w:val="000000" w:themeColor="text1"/>
          <w:highlight w:val="none"/>
          <w14:textFill>
            <w14:solidFill>
              <w14:schemeClr w14:val="tx1"/>
            </w14:solidFill>
          </w14:textFill>
        </w:rPr>
      </w:pPr>
    </w:p>
    <w:p>
      <w:pPr>
        <w:pStyle w:val="10"/>
        <w:spacing w:line="360" w:lineRule="exact"/>
        <w:rPr>
          <w:rFonts w:ascii="Tahoma" w:hAnsi="Tahoma" w:eastAsia="黑体" w:cs="Tahoma"/>
          <w:b/>
          <w:color w:val="000000" w:themeColor="text1"/>
          <w:sz w:val="21"/>
          <w:szCs w:val="21"/>
          <w:highlight w:val="none"/>
          <w14:textFill>
            <w14:solidFill>
              <w14:schemeClr w14:val="tx1"/>
            </w14:solidFill>
          </w14:textFill>
        </w:rPr>
      </w:pPr>
      <w:r>
        <w:rPr>
          <w:rFonts w:ascii="Tahoma" w:hAnsi="Tahoma" w:eastAsia="黑体" w:cs="Tahoma"/>
          <w:b/>
          <w:color w:val="000000" w:themeColor="text1"/>
          <w:sz w:val="21"/>
          <w:szCs w:val="21"/>
          <w:highlight w:val="none"/>
          <w14:textFill>
            <w14:solidFill>
              <w14:schemeClr w14:val="tx1"/>
            </w14:solidFill>
          </w14:textFill>
        </w:rPr>
        <w:t>说明：</w:t>
      </w:r>
    </w:p>
    <w:p>
      <w:pPr>
        <w:pStyle w:val="10"/>
        <w:spacing w:line="320" w:lineRule="exact"/>
        <w:ind w:firstLine="312"/>
        <w:rPr>
          <w:rFonts w:ascii="Tahoma" w:hAnsi="Tahoma" w:eastAsia="黑体" w:cs="Tahoma"/>
          <w:b/>
          <w:bCs/>
          <w:color w:val="000000" w:themeColor="text1"/>
          <w:sz w:val="21"/>
          <w:szCs w:val="21"/>
          <w:highlight w:val="none"/>
          <w14:textFill>
            <w14:solidFill>
              <w14:schemeClr w14:val="tx1"/>
            </w14:solidFill>
          </w14:textFill>
        </w:rPr>
      </w:pPr>
      <w:r>
        <w:rPr>
          <w:rFonts w:ascii="Tahoma" w:hAnsi="Tahoma" w:eastAsia="黑体" w:cs="Tahoma"/>
          <w:b/>
          <w:bCs/>
          <w:color w:val="000000" w:themeColor="text1"/>
          <w:sz w:val="21"/>
          <w:szCs w:val="21"/>
          <w:highlight w:val="none"/>
          <w14:textFill>
            <w14:solidFill>
              <w14:schemeClr w14:val="tx1"/>
            </w14:solidFill>
          </w14:textFill>
        </w:rPr>
        <w:t>1、所提供的业绩应提供其采购人的联系方式及业绩证明材料，其业绩中的</w:t>
      </w:r>
      <w:r>
        <w:rPr>
          <w:rFonts w:hint="eastAsia" w:ascii="Tahoma" w:hAnsi="Tahoma" w:eastAsia="黑体" w:cs="Tahoma"/>
          <w:b/>
          <w:bCs/>
          <w:color w:val="000000" w:themeColor="text1"/>
          <w:sz w:val="21"/>
          <w:szCs w:val="21"/>
          <w:highlight w:val="none"/>
          <w14:textFill>
            <w14:solidFill>
              <w14:schemeClr w14:val="tx1"/>
            </w14:solidFill>
          </w14:textFill>
        </w:rPr>
        <w:t>货物</w:t>
      </w:r>
      <w:r>
        <w:rPr>
          <w:rFonts w:ascii="Tahoma" w:hAnsi="Tahoma" w:eastAsia="黑体" w:cs="Tahoma"/>
          <w:b/>
          <w:bCs/>
          <w:color w:val="000000" w:themeColor="text1"/>
          <w:sz w:val="21"/>
          <w:szCs w:val="21"/>
          <w:highlight w:val="none"/>
          <w14:textFill>
            <w14:solidFill>
              <w14:schemeClr w14:val="tx1"/>
            </w14:solidFill>
          </w14:textFill>
        </w:rPr>
        <w:t>或产品应与本项目的所需</w:t>
      </w:r>
      <w:r>
        <w:rPr>
          <w:rFonts w:hint="eastAsia" w:ascii="Tahoma" w:hAnsi="Tahoma" w:eastAsia="黑体" w:cs="Tahoma"/>
          <w:b/>
          <w:bCs/>
          <w:color w:val="000000" w:themeColor="text1"/>
          <w:sz w:val="21"/>
          <w:szCs w:val="21"/>
          <w:highlight w:val="none"/>
          <w14:textFill>
            <w14:solidFill>
              <w14:schemeClr w14:val="tx1"/>
            </w14:solidFill>
          </w14:textFill>
        </w:rPr>
        <w:t>货物</w:t>
      </w:r>
      <w:r>
        <w:rPr>
          <w:rFonts w:ascii="Tahoma" w:hAnsi="Tahoma" w:eastAsia="黑体" w:cs="Tahoma"/>
          <w:b/>
          <w:bCs/>
          <w:color w:val="000000" w:themeColor="text1"/>
          <w:sz w:val="21"/>
          <w:szCs w:val="21"/>
          <w:highlight w:val="none"/>
          <w14:textFill>
            <w14:solidFill>
              <w14:schemeClr w14:val="tx1"/>
            </w14:solidFill>
          </w14:textFill>
        </w:rPr>
        <w:t>或产品的特点、性能或功能具有相关性（否则其业绩不予认可）。</w:t>
      </w:r>
    </w:p>
    <w:p>
      <w:pPr>
        <w:pStyle w:val="10"/>
        <w:spacing w:line="320" w:lineRule="exact"/>
        <w:ind w:firstLine="312"/>
        <w:rPr>
          <w:rFonts w:ascii="Tahoma" w:hAnsi="Tahoma" w:eastAsia="黑体" w:cs="Tahoma"/>
          <w:b/>
          <w:bCs/>
          <w:color w:val="000000" w:themeColor="text1"/>
          <w:sz w:val="21"/>
          <w:szCs w:val="21"/>
          <w:highlight w:val="none"/>
          <w14:textFill>
            <w14:solidFill>
              <w14:schemeClr w14:val="tx1"/>
            </w14:solidFill>
          </w14:textFill>
        </w:rPr>
      </w:pPr>
      <w:r>
        <w:rPr>
          <w:rFonts w:ascii="Tahoma" w:hAnsi="Tahoma" w:eastAsia="黑体" w:cs="Tahoma"/>
          <w:b/>
          <w:bCs/>
          <w:color w:val="000000" w:themeColor="text1"/>
          <w:sz w:val="21"/>
          <w:szCs w:val="21"/>
          <w:highlight w:val="none"/>
          <w14:textFill>
            <w14:solidFill>
              <w14:schemeClr w14:val="tx1"/>
            </w14:solidFill>
          </w14:textFill>
        </w:rPr>
        <w:t>2、业绩证明材料包括：成交通知书或合同、验收证书等相关的能足够证明其业绩的材料。</w:t>
      </w:r>
    </w:p>
    <w:p>
      <w:pPr>
        <w:spacing w:line="320" w:lineRule="exact"/>
        <w:ind w:firstLine="316" w:firstLineChars="150"/>
        <w:rPr>
          <w:rFonts w:ascii="Tahoma" w:hAnsi="Tahoma" w:eastAsia="黑体" w:cs="Tahoma"/>
          <w:b/>
          <w:bCs/>
          <w:color w:val="000000" w:themeColor="text1"/>
          <w:szCs w:val="21"/>
          <w:highlight w:val="none"/>
          <w14:textFill>
            <w14:solidFill>
              <w14:schemeClr w14:val="tx1"/>
            </w14:solidFill>
          </w14:textFill>
        </w:rPr>
      </w:pPr>
      <w:r>
        <w:rPr>
          <w:rFonts w:ascii="Tahoma" w:hAnsi="Tahoma" w:eastAsia="黑体" w:cs="Tahoma"/>
          <w:b/>
          <w:bCs/>
          <w:color w:val="000000" w:themeColor="text1"/>
          <w:szCs w:val="21"/>
          <w:highlight w:val="none"/>
          <w14:textFill>
            <w14:solidFill>
              <w14:schemeClr w14:val="tx1"/>
            </w14:solidFill>
          </w14:textFill>
        </w:rPr>
        <w:t>3、履约情况、采购人的评价等（应附采购人出具的相关证明材料，否则不予认可）。</w:t>
      </w:r>
    </w:p>
    <w:p>
      <w:pPr>
        <w:spacing w:line="360" w:lineRule="auto"/>
        <w:jc w:val="center"/>
        <w:rPr>
          <w:rFonts w:ascii="Tahoma" w:hAnsi="Tahoma" w:eastAsia="黑体" w:cs="Tahoma"/>
          <w:b/>
          <w:bCs/>
          <w:color w:val="000000" w:themeColor="text1"/>
          <w:szCs w:val="21"/>
          <w:highlight w:val="none"/>
          <w14:textFill>
            <w14:solidFill>
              <w14:schemeClr w14:val="tx1"/>
            </w14:solidFill>
          </w14:textFill>
        </w:rPr>
      </w:pPr>
    </w:p>
    <w:p>
      <w:pPr>
        <w:spacing w:line="360" w:lineRule="auto"/>
        <w:jc w:val="center"/>
        <w:rPr>
          <w:rFonts w:ascii="Tahoma" w:hAnsi="Tahoma" w:eastAsia="黑体" w:cs="Tahoma"/>
          <w:b/>
          <w:bCs/>
          <w:color w:val="000000" w:themeColor="text1"/>
          <w:szCs w:val="21"/>
          <w:highlight w:val="none"/>
          <w14:textFill>
            <w14:solidFill>
              <w14:schemeClr w14:val="tx1"/>
            </w14:solidFill>
          </w14:textFill>
        </w:rPr>
      </w:pPr>
    </w:p>
    <w:p>
      <w:pPr>
        <w:spacing w:line="360" w:lineRule="auto"/>
        <w:jc w:val="center"/>
        <w:rPr>
          <w:rFonts w:ascii="Tahoma" w:hAnsi="Tahoma" w:eastAsia="黑体" w:cs="Tahoma"/>
          <w:b/>
          <w:bCs/>
          <w:color w:val="000000" w:themeColor="text1"/>
          <w:szCs w:val="21"/>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bookmarkStart w:id="249" w:name="_Toc18395"/>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p>
    <w:p>
      <w:pPr>
        <w:spacing w:line="440" w:lineRule="exact"/>
        <w:jc w:val="center"/>
        <w:rPr>
          <w:rFonts w:ascii="Tahoma" w:hAnsi="Tahoma" w:eastAsia="黑体" w:cs="Tahoma"/>
          <w:b/>
          <w:bCs/>
          <w:color w:val="000000" w:themeColor="text1"/>
          <w:sz w:val="32"/>
          <w:szCs w:val="32"/>
          <w:highlight w:val="none"/>
          <w14:textFill>
            <w14:solidFill>
              <w14:schemeClr w14:val="tx1"/>
            </w14:solidFill>
          </w14:textFill>
        </w:rPr>
      </w:pPr>
      <w:r>
        <w:rPr>
          <w:rFonts w:ascii="Tahoma" w:hAnsi="Tahoma" w:eastAsia="黑体" w:cs="Tahoma"/>
          <w:b/>
          <w:bCs/>
          <w:color w:val="000000" w:themeColor="text1"/>
          <w:sz w:val="32"/>
          <w:szCs w:val="32"/>
          <w:highlight w:val="none"/>
          <w14:textFill>
            <w14:solidFill>
              <w14:schemeClr w14:val="tx1"/>
            </w14:solidFill>
          </w14:textFill>
        </w:rPr>
        <w:t>第二部分、资格类投标文件</w:t>
      </w:r>
    </w:p>
    <w:p>
      <w:pPr>
        <w:spacing w:line="440" w:lineRule="exact"/>
        <w:jc w:val="center"/>
        <w:rPr>
          <w:rFonts w:ascii="Tahoma" w:hAnsi="Tahoma" w:eastAsia="黑体" w:cs="Tahoma"/>
          <w:b/>
          <w:bCs/>
          <w:color w:val="000000" w:themeColor="text1"/>
          <w:sz w:val="28"/>
          <w:szCs w:val="28"/>
          <w:highlight w:val="none"/>
          <w14:textFill>
            <w14:solidFill>
              <w14:schemeClr w14:val="tx1"/>
            </w14:solidFill>
          </w14:textFill>
        </w:rPr>
      </w:pPr>
      <w:r>
        <w:rPr>
          <w:rFonts w:ascii="Tahoma" w:hAnsi="Tahoma" w:eastAsia="黑体" w:cs="Tahoma"/>
          <w:b/>
          <w:bCs/>
          <w:color w:val="000000" w:themeColor="text1"/>
          <w:sz w:val="28"/>
          <w:szCs w:val="28"/>
          <w:highlight w:val="none"/>
          <w14:textFill>
            <w14:solidFill>
              <w14:schemeClr w14:val="tx1"/>
            </w14:solidFill>
          </w14:textFill>
        </w:rPr>
        <w:t>目录</w:t>
      </w:r>
      <w:bookmarkEnd w:id="249"/>
    </w:p>
    <w:p>
      <w:pPr>
        <w:spacing w:line="440" w:lineRule="exact"/>
        <w:rPr>
          <w:rFonts w:ascii="Tahoma" w:hAnsi="Tahoma" w:cs="Tahoma"/>
          <w:b/>
          <w:color w:val="000000" w:themeColor="text1"/>
          <w:sz w:val="24"/>
          <w:highlight w:val="none"/>
          <w14:textFill>
            <w14:solidFill>
              <w14:schemeClr w14:val="tx1"/>
            </w14:solidFill>
          </w14:textFill>
        </w:rPr>
      </w:pP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（一）关于资格的声明函</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（二）供应商的资格声明</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（三）</w:t>
      </w:r>
      <w:r>
        <w:rPr>
          <w:rFonts w:hint="eastAsia" w:ascii="Tahoma" w:hAnsi="Tahoma" w:cs="Tahoma"/>
          <w:color w:val="000000" w:themeColor="text1"/>
          <w:szCs w:val="21"/>
          <w:highlight w:val="none"/>
          <w14:textFill>
            <w14:solidFill>
              <w14:schemeClr w14:val="tx1"/>
            </w14:solidFill>
          </w14:textFill>
        </w:rPr>
        <w:t>法定代表人身份证明书</w:t>
      </w:r>
    </w:p>
    <w:p>
      <w:pPr>
        <w:spacing w:line="360" w:lineRule="auto"/>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w:t>（四）投标人代表</w:t>
      </w:r>
      <w:r>
        <w:rPr>
          <w:rFonts w:ascii="Tahoma" w:hAnsi="Tahoma" w:cs="Tahoma"/>
          <w:color w:val="000000" w:themeColor="text1"/>
          <w:szCs w:val="21"/>
          <w:highlight w:val="none"/>
          <w14:textFill>
            <w14:solidFill>
              <w14:schemeClr w14:val="tx1"/>
            </w14:solidFill>
          </w14:textFill>
        </w:rPr>
        <w:t>法人代表</w:t>
      </w:r>
      <w:r>
        <w:rPr>
          <w:rFonts w:hint="eastAsia" w:ascii="Tahoma" w:hAnsi="Tahoma" w:cs="Tahoma"/>
          <w:color w:val="000000" w:themeColor="text1"/>
          <w:szCs w:val="21"/>
          <w:highlight w:val="none"/>
          <w14:textFill>
            <w14:solidFill>
              <w14:schemeClr w14:val="tx1"/>
            </w14:solidFill>
          </w14:textFill>
        </w:rPr>
        <w:t>人</w:t>
      </w:r>
      <w:r>
        <w:rPr>
          <w:rFonts w:ascii="Tahoma" w:hAnsi="Tahoma" w:cs="Tahoma"/>
          <w:color w:val="000000" w:themeColor="text1"/>
          <w:szCs w:val="21"/>
          <w:highlight w:val="none"/>
          <w14:textFill>
            <w14:solidFill>
              <w14:schemeClr w14:val="tx1"/>
            </w14:solidFill>
          </w14:textFill>
        </w:rPr>
        <w:t>授权</w:t>
      </w:r>
      <w:r>
        <w:rPr>
          <w:rFonts w:hint="eastAsia" w:ascii="Tahoma" w:hAnsi="Tahoma" w:cs="Tahoma"/>
          <w:color w:val="000000" w:themeColor="text1"/>
          <w:szCs w:val="21"/>
          <w:highlight w:val="none"/>
          <w14:textFill>
            <w14:solidFill>
              <w14:schemeClr w14:val="tx1"/>
            </w14:solidFill>
          </w14:textFill>
        </w:rPr>
        <w:t>委托</w:t>
      </w:r>
      <w:r>
        <w:rPr>
          <w:rFonts w:ascii="Tahoma" w:hAnsi="Tahoma" w:cs="Tahoma"/>
          <w:color w:val="000000" w:themeColor="text1"/>
          <w:szCs w:val="21"/>
          <w:highlight w:val="none"/>
          <w14:textFill>
            <w14:solidFill>
              <w14:schemeClr w14:val="tx1"/>
            </w14:solidFill>
          </w14:textFill>
        </w:rPr>
        <w:t>书</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五</w:t>
      </w:r>
      <w:r>
        <w:rPr>
          <w:rFonts w:ascii="Tahoma" w:hAnsi="Tahoma" w:cs="Tahoma"/>
          <w:color w:val="000000" w:themeColor="text1"/>
          <w:szCs w:val="21"/>
          <w:highlight w:val="none"/>
          <w14:textFill>
            <w14:solidFill>
              <w14:schemeClr w14:val="tx1"/>
            </w14:solidFill>
          </w14:textFill>
        </w:rPr>
        <w:t>）联合体协议书（如有）</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六</w:t>
      </w:r>
      <w:r>
        <w:rPr>
          <w:rFonts w:ascii="Tahoma" w:hAnsi="Tahoma" w:cs="Tahoma"/>
          <w:color w:val="000000" w:themeColor="text1"/>
          <w:szCs w:val="21"/>
          <w:highlight w:val="none"/>
          <w14:textFill>
            <w14:solidFill>
              <w14:schemeClr w14:val="tx1"/>
            </w14:solidFill>
          </w14:textFill>
        </w:rPr>
        <w:t>）资格证明文件</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七</w:t>
      </w:r>
      <w:r>
        <w:rPr>
          <w:rFonts w:ascii="Tahoma" w:hAnsi="Tahoma" w:cs="Tahoma"/>
          <w:color w:val="000000" w:themeColor="text1"/>
          <w:szCs w:val="21"/>
          <w:highlight w:val="none"/>
          <w14:textFill>
            <w14:solidFill>
              <w14:schemeClr w14:val="tx1"/>
            </w14:solidFill>
          </w14:textFill>
        </w:rPr>
        <w:t>）节能、环保产品证明（如有）</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八</w:t>
      </w: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中小企业声明函</w:t>
      </w:r>
      <w:r>
        <w:rPr>
          <w:rFonts w:ascii="Tahoma" w:hAnsi="Tahoma" w:cs="Tahoma"/>
          <w:color w:val="000000" w:themeColor="text1"/>
          <w:szCs w:val="21"/>
          <w:highlight w:val="none"/>
          <w14:textFill>
            <w14:solidFill>
              <w14:schemeClr w14:val="tx1"/>
            </w14:solidFill>
          </w14:textFill>
        </w:rPr>
        <w:t>（如有）</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w:t>
      </w:r>
      <w:r>
        <w:rPr>
          <w:rFonts w:hint="eastAsia" w:ascii="Tahoma" w:hAnsi="Tahoma" w:cs="Tahoma"/>
          <w:color w:val="000000" w:themeColor="text1"/>
          <w:szCs w:val="21"/>
          <w:highlight w:val="none"/>
          <w14:textFill>
            <w14:solidFill>
              <w14:schemeClr w14:val="tx1"/>
            </w14:solidFill>
          </w14:textFill>
        </w:rPr>
        <w:t>九</w:t>
      </w:r>
      <w:r>
        <w:rPr>
          <w:rFonts w:ascii="Tahoma" w:hAnsi="Tahoma" w:cs="Tahoma"/>
          <w:color w:val="000000" w:themeColor="text1"/>
          <w:szCs w:val="21"/>
          <w:highlight w:val="none"/>
          <w14:textFill>
            <w14:solidFill>
              <w14:schemeClr w14:val="tx1"/>
            </w14:solidFill>
          </w14:textFill>
        </w:rPr>
        <w:t>）投标供应商认为应提交的其他相关资格证明文件或资料</w:t>
      </w: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6"/>
          <w:highlight w:val="none"/>
          <w14:textFill>
            <w14:solidFill>
              <w14:schemeClr w14:val="tx1"/>
            </w14:solidFill>
          </w14:textFill>
        </w:rPr>
      </w:pPr>
    </w:p>
    <w:p>
      <w:pPr>
        <w:spacing w:line="380" w:lineRule="exact"/>
        <w:jc w:val="center"/>
        <w:rPr>
          <w:rFonts w:ascii="Tahoma" w:hAnsi="Tahoma" w:cs="Tahoma"/>
          <w:b/>
          <w:color w:val="000000" w:themeColor="text1"/>
          <w:sz w:val="32"/>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spacing w:line="380" w:lineRule="exact"/>
        <w:jc w:val="center"/>
        <w:rPr>
          <w:rFonts w:ascii="Tahoma" w:hAnsi="Tahoma" w:cs="Tahoma"/>
          <w:b/>
          <w:color w:val="000000" w:themeColor="text1"/>
          <w:sz w:val="32"/>
          <w:highlight w:val="none"/>
          <w14:textFill>
            <w14:solidFill>
              <w14:schemeClr w14:val="tx1"/>
            </w14:solidFill>
          </w14:textFill>
        </w:rPr>
      </w:pPr>
    </w:p>
    <w:p>
      <w:pPr>
        <w:spacing w:line="380" w:lineRule="exact"/>
        <w:jc w:val="center"/>
        <w:rPr>
          <w:rFonts w:ascii="Tahoma" w:hAnsi="Tahoma" w:cs="Tahoma"/>
          <w:b/>
          <w:color w:val="000000" w:themeColor="text1"/>
          <w:sz w:val="32"/>
          <w:highlight w:val="none"/>
          <w14:textFill>
            <w14:solidFill>
              <w14:schemeClr w14:val="tx1"/>
            </w14:solidFill>
          </w14:textFill>
        </w:rPr>
      </w:pP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（一）、关于资格的声明函</w:t>
      </w: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r>
        <w:rPr>
          <w:rFonts w:ascii="Tahoma" w:hAnsi="Tahoma" w:cs="Tahoma"/>
          <w:color w:val="000000" w:themeColor="text1"/>
          <w:szCs w:val="21"/>
          <w:highlight w:val="none"/>
          <w14:textFill>
            <w14:solidFill>
              <w14:schemeClr w14:val="tx1"/>
            </w14:solidFill>
          </w14:textFill>
        </w:rPr>
        <w:t>：</w:t>
      </w:r>
    </w:p>
    <w:p>
      <w:pPr>
        <w:spacing w:line="380" w:lineRule="exact"/>
        <w:rPr>
          <w:rFonts w:ascii="Tahoma" w:hAnsi="Tahoma" w:cs="Tahoma"/>
          <w:color w:val="000000" w:themeColor="text1"/>
          <w:szCs w:val="21"/>
          <w:highlight w:val="none"/>
          <w14:textFill>
            <w14:solidFill>
              <w14:schemeClr w14:val="tx1"/>
            </w14:solidFill>
          </w14:textFill>
        </w:rPr>
      </w:pPr>
    </w:p>
    <w:p>
      <w:pPr>
        <w:spacing w:line="48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关于贵方</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r>
        <w:rPr>
          <w:rFonts w:ascii="Tahoma" w:hAnsi="Tahoma" w:cs="Tahoma"/>
          <w:color w:val="000000" w:themeColor="text1"/>
          <w:szCs w:val="21"/>
          <w:highlight w:val="none"/>
          <w:u w:val="single"/>
          <w14:textFill>
            <w14:solidFill>
              <w14:schemeClr w14:val="tx1"/>
            </w14:solidFill>
          </w14:textFill>
        </w:rPr>
        <w:t xml:space="preserve">        （项目名称、编号）       </w:t>
      </w:r>
      <w:r>
        <w:rPr>
          <w:rFonts w:ascii="Tahoma" w:hAnsi="Tahoma" w:cs="Tahoma"/>
          <w:color w:val="000000" w:themeColor="text1"/>
          <w:szCs w:val="21"/>
          <w:highlight w:val="none"/>
          <w14:textFill>
            <w14:solidFill>
              <w14:schemeClr w14:val="tx1"/>
            </w14:solidFill>
          </w14:textFill>
        </w:rPr>
        <w:t>投标邀请，本签字人愿意参加投标，提供招标文件</w:t>
      </w:r>
      <w:r>
        <w:rPr>
          <w:rFonts w:ascii="Tahoma" w:hAnsi="Tahoma" w:cs="Tahoma"/>
          <w:color w:val="000000" w:themeColor="text1"/>
          <w:szCs w:val="21"/>
          <w:highlight w:val="none"/>
          <w:u w:val="single"/>
          <w14:textFill>
            <w14:solidFill>
              <w14:schemeClr w14:val="tx1"/>
            </w14:solidFill>
          </w14:textFill>
        </w:rPr>
        <w:t xml:space="preserve">          （合同包）           </w:t>
      </w:r>
      <w:r>
        <w:rPr>
          <w:rFonts w:ascii="Tahoma" w:hAnsi="Tahoma" w:cs="Tahoma"/>
          <w:color w:val="000000" w:themeColor="text1"/>
          <w:szCs w:val="21"/>
          <w:highlight w:val="none"/>
          <w14:textFill>
            <w14:solidFill>
              <w14:schemeClr w14:val="tx1"/>
            </w14:solidFill>
          </w14:textFill>
        </w:rPr>
        <w:t>中规定的设备或产品，并证明提交的下列文件和说明是准确的和真实的。</w:t>
      </w:r>
    </w:p>
    <w:p>
      <w:pPr>
        <w:spacing w:line="480" w:lineRule="exact"/>
        <w:ind w:firstLine="420" w:firstLineChars="200"/>
        <w:rPr>
          <w:rFonts w:ascii="Tahoma" w:hAnsi="Tahoma" w:cs="Tahoma"/>
          <w:color w:val="000000" w:themeColor="text1"/>
          <w:szCs w:val="21"/>
          <w:highlight w:val="none"/>
          <w14:textFill>
            <w14:solidFill>
              <w14:schemeClr w14:val="tx1"/>
            </w14:solidFill>
          </w14:textFill>
        </w:rPr>
      </w:pPr>
    </w:p>
    <w:p>
      <w:pPr>
        <w:spacing w:line="40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1、本签字人确认资格文件中的说明以及投标文件中所有提交的文件和材料是真实的、准确的。</w:t>
      </w:r>
    </w:p>
    <w:p>
      <w:pPr>
        <w:spacing w:line="40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2、我方的资格声明随投标文件一同递交。</w:t>
      </w:r>
    </w:p>
    <w:p>
      <w:pPr>
        <w:spacing w:line="38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投标供应商（加盖公章）：</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2940" w:firstLineChars="14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投标供应商代表（签字）： </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2940" w:firstLineChars="14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地             址：</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邮             编：</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3045" w:firstLineChars="145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电    话/传    真：</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sz w:val="24"/>
          <w:highlight w:val="none"/>
          <w14:textFill>
            <w14:solidFill>
              <w14:schemeClr w14:val="tx1"/>
            </w14:solidFill>
          </w14:textFill>
        </w:rPr>
      </w:pPr>
    </w:p>
    <w:p>
      <w:pPr>
        <w:spacing w:line="380" w:lineRule="exact"/>
        <w:rPr>
          <w:rFonts w:ascii="Tahoma" w:hAnsi="Tahoma" w:cs="Tahoma"/>
          <w:color w:val="000000" w:themeColor="text1"/>
          <w:highlight w:val="none"/>
          <w14:textFill>
            <w14:solidFill>
              <w14:schemeClr w14:val="tx1"/>
            </w14:solidFill>
          </w14:textFill>
        </w:rPr>
        <w:sectPr>
          <w:footerReference r:id="rId11" w:type="default"/>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pPr>
      <w:r>
        <w:rPr>
          <w:rFonts w:ascii="Tahoma" w:hAnsi="Tahoma" w:cs="Tahoma"/>
          <w:color w:val="000000" w:themeColor="text1"/>
          <w:sz w:val="24"/>
          <w:highlight w:val="none"/>
          <w14:textFill>
            <w14:solidFill>
              <w14:schemeClr w14:val="tx1"/>
            </w14:solidFill>
          </w14:textFill>
        </w:rPr>
        <w:t xml:space="preserve">                             </w:t>
      </w: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r>
        <w:rPr>
          <w:rFonts w:ascii="Tahoma" w:hAnsi="Tahoma" w:eastAsia="黑体" w:cs="Tahoma"/>
          <w:b/>
          <w:color w:val="000000" w:themeColor="text1"/>
          <w:sz w:val="28"/>
          <w:szCs w:val="28"/>
          <w:highlight w:val="none"/>
          <w14:textFill>
            <w14:solidFill>
              <w14:schemeClr w14:val="tx1"/>
            </w14:solidFill>
          </w14:textFill>
        </w:rPr>
        <w:t>（二）、投标供应商的资格声明</w:t>
      </w:r>
    </w:p>
    <w:p>
      <w:pPr>
        <w:spacing w:line="380" w:lineRule="exact"/>
        <w:jc w:val="center"/>
        <w:rPr>
          <w:rFonts w:ascii="Tahoma" w:hAnsi="Tahoma" w:eastAsia="黑体" w:cs="Tahoma"/>
          <w:color w:val="000000" w:themeColor="text1"/>
          <w:sz w:val="28"/>
          <w:szCs w:val="28"/>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r>
        <w:rPr>
          <w:rFonts w:ascii="Tahoma" w:hAnsi="Tahoma" w:cs="Tahoma"/>
          <w:color w:val="000000" w:themeColor="text1"/>
          <w:szCs w:val="21"/>
          <w:highlight w:val="none"/>
          <w14:textFill>
            <w14:solidFill>
              <w14:schemeClr w14:val="tx1"/>
            </w14:solidFill>
          </w14:textFill>
        </w:rPr>
        <w:t>：</w:t>
      </w:r>
    </w:p>
    <w:p>
      <w:pPr>
        <w:spacing w:line="400" w:lineRule="exact"/>
        <w:rPr>
          <w:rFonts w:ascii="Tahoma" w:hAnsi="Tahoma" w:cs="Tahoma"/>
          <w:b/>
          <w:bCs/>
          <w:color w:val="000000" w:themeColor="text1"/>
          <w:szCs w:val="21"/>
          <w:highlight w:val="none"/>
          <w14:textFill>
            <w14:solidFill>
              <w14:schemeClr w14:val="tx1"/>
            </w14:solidFill>
          </w14:textFill>
        </w:rPr>
      </w:pP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1．供应商概况：</w:t>
      </w:r>
      <w:r>
        <w:rPr>
          <w:rFonts w:ascii="Tahoma" w:hAnsi="Tahoma" w:cs="Tahoma"/>
          <w:color w:val="000000" w:themeColor="text1"/>
          <w:szCs w:val="21"/>
          <w:highlight w:val="none"/>
          <w14:textFill>
            <w14:solidFill>
              <w14:schemeClr w14:val="tx1"/>
            </w14:solidFill>
          </w14:textFill>
        </w:rPr>
        <w:t xml:space="preserve">                                   </w:t>
      </w:r>
    </w:p>
    <w:p>
      <w:pPr>
        <w:spacing w:line="39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1.1 供应商名称：</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1.2 注册地址：</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1.3 传真：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；电话：</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；邮编：</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1.4 成立或注册日期：</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1.5 法人代表：</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；技术负责人：</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1.6 最近资产负债表（至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月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日为止）。</w:t>
      </w:r>
    </w:p>
    <w:p>
      <w:pPr>
        <w:spacing w:line="39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（1）资产总额：</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；（2）固定资产：</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（3）流动资产：</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；（4）净资产：</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（5）长期负债：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；（6）流动负债：</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ind w:firstLine="210" w:firstLineChars="1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（7）营业收入：</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；（8）净利润：</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b/>
          <w:bCs/>
          <w:color w:val="000000" w:themeColor="text1"/>
          <w:szCs w:val="21"/>
          <w:highlight w:val="none"/>
          <w14:textFill>
            <w14:solidFill>
              <w14:schemeClr w14:val="tx1"/>
            </w14:solidFill>
          </w14:textFill>
        </w:rPr>
        <w:t>2．我方在此尊重声明</w:t>
      </w:r>
      <w:r>
        <w:rPr>
          <w:rFonts w:ascii="Tahoma" w:hAnsi="Tahoma" w:cs="Tahoma"/>
          <w:color w:val="000000" w:themeColor="text1"/>
          <w:szCs w:val="21"/>
          <w:highlight w:val="none"/>
          <w14:textFill>
            <w14:solidFill>
              <w14:schemeClr w14:val="tx1"/>
            </w14:solidFill>
          </w14:textFill>
        </w:rPr>
        <w:t>：我方具备并满足下列各项条款的规定。本声明如有虚假或不实之处，我方将失去合格供应商资格且我方的投标保证金将不予退还。</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（1）具有独立承担民事责任的能力；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（2）具有良好的商业信誉和健全的财务会计制度；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（3）具有履行合同所必需的货物和专业技术能力；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（4）有依法缴纳税收和社会保障资金的良好记录；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（5）近三年内，在经营活动中没有重大违法记录； </w:t>
      </w:r>
    </w:p>
    <w:p>
      <w:pPr>
        <w:spacing w:line="39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就我方全部所知，兹证明上述声明是真实、正确的，并已提供了全部现有资料和数据，我方同意根据贵方要求出示文件予以证实。</w:t>
      </w:r>
    </w:p>
    <w:p>
      <w:pPr>
        <w:spacing w:line="390" w:lineRule="exact"/>
        <w:rPr>
          <w:rFonts w:ascii="Tahoma" w:hAnsi="Tahoma" w:cs="Tahoma"/>
          <w:color w:val="000000" w:themeColor="text1"/>
          <w:szCs w:val="21"/>
          <w:highlight w:val="none"/>
          <w14:textFill>
            <w14:solidFill>
              <w14:schemeClr w14:val="tx1"/>
            </w14:solidFill>
          </w14:textFill>
        </w:rPr>
      </w:pP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供应商（加盖公章）：</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地             址：</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邮             编：</w:t>
      </w:r>
      <w:r>
        <w:rPr>
          <w:rFonts w:ascii="Tahoma" w:hAnsi="Tahoma" w:cs="Tahoma"/>
          <w:color w:val="000000" w:themeColor="text1"/>
          <w:szCs w:val="21"/>
          <w:highlight w:val="none"/>
          <w:u w:val="single"/>
          <w14:textFill>
            <w14:solidFill>
              <w14:schemeClr w14:val="tx1"/>
            </w14:solidFill>
          </w14:textFill>
        </w:rPr>
        <w:t xml:space="preserve">                         </w:t>
      </w:r>
    </w:p>
    <w:p>
      <w:pPr>
        <w:spacing w:line="39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电    话/传    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39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供应商代表（签字）：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hd w:val="clear" w:color="auto" w:fill="FFFFFF"/>
        <w:snapToGrid w:val="0"/>
        <w:spacing w:line="450" w:lineRule="atLeast"/>
        <w:outlineLvl w:val="3"/>
        <w:rPr>
          <w:rFonts w:ascii="Tahoma" w:hAnsi="Tahoma" w:eastAsia="黑体" w:cs="Tahoma"/>
          <w:b/>
          <w:color w:val="000000" w:themeColor="text1"/>
          <w:szCs w:val="21"/>
          <w:highlight w:val="none"/>
          <w14:textFill>
            <w14:solidFill>
              <w14:schemeClr w14:val="tx1"/>
            </w14:solidFill>
          </w14:textFill>
        </w:rPr>
      </w:pPr>
    </w:p>
    <w:p>
      <w:pPr>
        <w:shd w:val="clear" w:color="auto" w:fill="FFFFFF"/>
        <w:snapToGrid w:val="0"/>
        <w:spacing w:line="450" w:lineRule="atLeast"/>
        <w:jc w:val="center"/>
        <w:outlineLvl w:val="3"/>
        <w:rPr>
          <w:rFonts w:ascii="Tahoma" w:hAnsi="Tahoma" w:eastAsia="黑体" w:cs="Tahoma"/>
          <w:b/>
          <w:bCs/>
          <w:color w:val="000000" w:themeColor="text1"/>
          <w:kern w:val="0"/>
          <w:sz w:val="28"/>
          <w:szCs w:val="28"/>
          <w:highlight w:val="none"/>
          <w14:textFill>
            <w14:solidFill>
              <w14:schemeClr w14:val="tx1"/>
            </w14:solidFill>
          </w14:textFill>
        </w:rPr>
      </w:pPr>
    </w:p>
    <w:p>
      <w:pPr>
        <w:shd w:val="clear" w:color="auto" w:fill="FFFFFF"/>
        <w:snapToGrid w:val="0"/>
        <w:spacing w:line="450" w:lineRule="atLeast"/>
        <w:jc w:val="center"/>
        <w:outlineLvl w:val="3"/>
        <w:rPr>
          <w:rFonts w:ascii="Tahoma" w:hAnsi="Tahoma" w:eastAsia="黑体" w:cs="Tahoma"/>
          <w:b/>
          <w:bCs/>
          <w:color w:val="000000" w:themeColor="text1"/>
          <w:kern w:val="0"/>
          <w:sz w:val="28"/>
          <w:szCs w:val="28"/>
          <w:highlight w:val="none"/>
          <w14:textFill>
            <w14:solidFill>
              <w14:schemeClr w14:val="tx1"/>
            </w14:solidFill>
          </w14:textFill>
        </w:rPr>
      </w:pPr>
      <w:r>
        <w:rPr>
          <w:rFonts w:ascii="Tahoma" w:hAnsi="Tahoma" w:eastAsia="黑体" w:cs="Tahoma"/>
          <w:b/>
          <w:bCs/>
          <w:color w:val="000000" w:themeColor="text1"/>
          <w:kern w:val="0"/>
          <w:sz w:val="28"/>
          <w:szCs w:val="28"/>
          <w:highlight w:val="none"/>
          <w14:textFill>
            <w14:solidFill>
              <w14:schemeClr w14:val="tx1"/>
            </w14:solidFill>
          </w14:textFill>
        </w:rPr>
        <w:t>（三）、法定代表人身份证明书</w:t>
      </w:r>
    </w:p>
    <w:p>
      <w:pPr>
        <w:shd w:val="clear" w:color="auto" w:fill="FFFFFF"/>
        <w:snapToGrid w:val="0"/>
        <w:spacing w:line="360" w:lineRule="auto"/>
        <w:ind w:firstLine="480" w:firstLineChars="200"/>
        <w:rPr>
          <w:rFonts w:ascii="Tahoma" w:hAnsi="Tahoma" w:eastAsia="新宋体" w:cs="Tahoma"/>
          <w:color w:val="000000" w:themeColor="text1"/>
          <w:kern w:val="0"/>
          <w:sz w:val="24"/>
          <w:szCs w:val="21"/>
          <w:highlight w:val="none"/>
          <w14:textFill>
            <w14:solidFill>
              <w14:schemeClr w14:val="tx1"/>
            </w14:solidFill>
          </w14:textFill>
        </w:rPr>
      </w:pP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供应商名称：</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单位性质：</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地址：</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成立时间：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月</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日</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经营期限：</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 xml:space="preserve"> </w: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姓名：</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性别：</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年龄：</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职务：</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系</w:t>
      </w:r>
      <w:r>
        <w:rPr>
          <w:rFonts w:ascii="Tahoma" w:hAnsi="Tahoma" w:eastAsia="新宋体" w:cs="Tahoma"/>
          <w:color w:val="000000" w:themeColor="text1"/>
          <w:kern w:val="0"/>
          <w:szCs w:val="21"/>
          <w:highlight w:val="none"/>
          <w:u w:val="single"/>
          <w14:textFill>
            <w14:solidFill>
              <w14:schemeClr w14:val="tx1"/>
            </w14:solidFill>
          </w14:textFill>
        </w:rPr>
        <w:t xml:space="preserve">             （供应商名称）        </w:t>
      </w:r>
      <w:r>
        <w:rPr>
          <w:rFonts w:ascii="Tahoma" w:hAnsi="Tahoma" w:eastAsia="新宋体" w:cs="Tahoma"/>
          <w:color w:val="000000" w:themeColor="text1"/>
          <w:kern w:val="0"/>
          <w:szCs w:val="21"/>
          <w:highlight w:val="none"/>
          <w14:textFill>
            <w14:solidFill>
              <w14:schemeClr w14:val="tx1"/>
            </w14:solidFill>
          </w14:textFill>
        </w:rPr>
        <w:t>的法定代表人。</w:t>
      </w: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特此证明。</w:t>
      </w: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840" w:firstLineChars="400"/>
        <w:rPr>
          <w:rFonts w:ascii="Tahoma" w:hAnsi="Tahoma" w:eastAsia="新宋体" w:cs="Tahoma"/>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1788795</wp:posOffset>
                </wp:positionH>
                <wp:positionV relativeFrom="paragraph">
                  <wp:posOffset>21590</wp:posOffset>
                </wp:positionV>
                <wp:extent cx="2540000" cy="1311910"/>
                <wp:effectExtent l="5080" t="4445" r="15240" b="9525"/>
                <wp:wrapNone/>
                <wp:docPr id="7" name="矩形 7"/>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140.85pt;margin-top:1.7pt;height:103.3pt;width:200pt;z-index:251664384;mso-width-relative:page;mso-height-relative:page;" fillcolor="#FFFFFF" filled="t" stroked="t" coordsize="21600,21600" o:gfxdata="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wNcq9UAAAAJAQAADwAAAAAAAAABACAAAAAiAAAAZHJzL2Rv&#10;d25yZXYueG1sUEsBAhQAFAAAAAgAh07iQP/dxtsEAgAAKgQAAA4AAAAAAAAAAQAgAAAAJAEAAGRy&#10;cy9lMm9Eb2MueG1sUEsFBgAAAAAGAAYAWQEAAJoFAAAAAA==&#10;">
                <v:fill on="t" focussize="0,0"/>
                <v:stroke color="#000000" joinstyle="miter"/>
                <v:imagedata o:title=""/>
                <o:lock v:ext="edit" aspectratio="f"/>
                <v:textbox>
                  <w:txbxContent>
                    <w:p>
                      <w:pPr>
                        <w:jc w:val="center"/>
                      </w:pPr>
                    </w:p>
                    <w:p/>
                    <w:p>
                      <w:r>
                        <w:rPr>
                          <w:rFonts w:hint="eastAsia"/>
                        </w:rPr>
                        <w:t xml:space="preserve">         法人身份证复印件正面</w:t>
                      </w:r>
                    </w:p>
                  </w:txbxContent>
                </v:textbox>
              </v:rect>
            </w:pict>
          </mc:Fallback>
        </mc:AlternateContent>
      </w: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 w:firstLineChars="2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1797050</wp:posOffset>
                </wp:positionH>
                <wp:positionV relativeFrom="paragraph">
                  <wp:posOffset>146685</wp:posOffset>
                </wp:positionV>
                <wp:extent cx="2540000" cy="1311910"/>
                <wp:effectExtent l="5080" t="4445" r="15240" b="9525"/>
                <wp:wrapNone/>
                <wp:docPr id="8" name="矩形 8"/>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141.5pt;margin-top:11.55pt;height:103.3pt;width:200pt;z-index:251663360;mso-width-relative:page;mso-height-relative:page;" fillcolor="#FFFFFF" filled="t" stroked="t" coordsize="21600,21600" o:gfxdata="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fdIV1wAAAAoBAAAPAAAAAAAAAAEAIAAAACIAAABkcnMv&#10;ZG93bnJldi54bWxQSwECFAAUAAAACACHTuJAX8Wb4gQCAAAqBAAADgAAAAAAAAABACAAAAAmAQAA&#10;ZHJzL2Uyb0RvYy54bWxQSwUGAAAAAAYABgBZAQAAnAUAAAAA&#10;">
                <v:fill on="t" focussize="0,0"/>
                <v:stroke color="#000000" joinstyle="miter"/>
                <v:imagedata o:title=""/>
                <o:lock v:ext="edit" aspectratio="f"/>
                <v:textbox>
                  <w:txbxContent>
                    <w:p>
                      <w:pPr>
                        <w:jc w:val="center"/>
                      </w:pPr>
                    </w:p>
                    <w:p/>
                    <w:p>
                      <w:r>
                        <w:rPr>
                          <w:rFonts w:hint="eastAsia"/>
                        </w:rPr>
                        <w:t xml:space="preserve">         法人身份证复印件反面</w:t>
                      </w:r>
                    </w:p>
                  </w:txbxContent>
                </v:textbox>
              </v:rect>
            </w:pict>
          </mc:Fallback>
        </mc:AlternateContent>
      </w: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200" w:firstLineChars="2000"/>
        <w:rPr>
          <w:rFonts w:ascii="Tahoma" w:hAnsi="Tahoma" w:eastAsia="新宋体" w:cs="Tahoma"/>
          <w:color w:val="000000" w:themeColor="text1"/>
          <w:kern w:val="0"/>
          <w:szCs w:val="21"/>
          <w:highlight w:val="none"/>
          <w14:textFill>
            <w14:solidFill>
              <w14:schemeClr w14:val="tx1"/>
            </w14:solidFill>
          </w14:textFill>
        </w:rPr>
      </w:pPr>
    </w:p>
    <w:p>
      <w:pPr>
        <w:shd w:val="clear" w:color="auto" w:fill="FFFFFF"/>
        <w:snapToGrid w:val="0"/>
        <w:spacing w:line="360" w:lineRule="auto"/>
        <w:ind w:firstLine="4725" w:firstLineChars="2250"/>
        <w:rPr>
          <w:rFonts w:ascii="Tahoma" w:hAnsi="Tahoma" w:eastAsia="新宋体" w:cs="Tahoma"/>
          <w:color w:val="000000" w:themeColor="text1"/>
          <w:kern w:val="0"/>
          <w:szCs w:val="21"/>
          <w:highlight w:val="none"/>
          <w:u w:val="single"/>
          <w14:textFill>
            <w14:solidFill>
              <w14:schemeClr w14:val="tx1"/>
            </w14:solidFill>
          </w14:textFill>
        </w:rPr>
      </w:pPr>
      <w:r>
        <w:rPr>
          <w:rFonts w:ascii="Tahoma" w:hAnsi="Tahoma" w:eastAsia="新宋体" w:cs="Tahoma"/>
          <w:color w:val="000000" w:themeColor="text1"/>
          <w:kern w:val="0"/>
          <w:szCs w:val="21"/>
          <w:highlight w:val="none"/>
          <w14:textFill>
            <w14:solidFill>
              <w14:schemeClr w14:val="tx1"/>
            </w14:solidFill>
          </w14:textFill>
        </w:rPr>
        <w:t>供应商：</w:t>
      </w:r>
      <w:r>
        <w:rPr>
          <w:rFonts w:ascii="Tahoma" w:hAnsi="Tahoma" w:eastAsia="新宋体" w:cs="Tahoma"/>
          <w:color w:val="000000" w:themeColor="text1"/>
          <w:kern w:val="0"/>
          <w:szCs w:val="21"/>
          <w:highlight w:val="none"/>
          <w:u w:val="single"/>
          <w14:textFill>
            <w14:solidFill>
              <w14:schemeClr w14:val="tx1"/>
            </w14:solidFill>
          </w14:textFill>
        </w:rPr>
        <w:t xml:space="preserve">          （盖单位章）         </w:t>
      </w:r>
    </w:p>
    <w:p>
      <w:pPr>
        <w:shd w:val="clear" w:color="auto" w:fill="FFFFFF"/>
        <w:snapToGrid w:val="0"/>
        <w:spacing w:line="360" w:lineRule="auto"/>
        <w:ind w:firstLine="4515" w:firstLineChars="2150"/>
        <w:rPr>
          <w:rFonts w:ascii="Tahoma" w:hAnsi="Tahoma" w:eastAsia="新宋体" w:cs="Tahoma"/>
          <w:color w:val="000000" w:themeColor="text1"/>
          <w:kern w:val="0"/>
          <w:szCs w:val="21"/>
          <w:highlight w:val="none"/>
          <w:u w:val="single"/>
          <w14:textFill>
            <w14:solidFill>
              <w14:schemeClr w14:val="tx1"/>
            </w14:solidFill>
          </w14:textFill>
        </w:rPr>
      </w:pPr>
    </w:p>
    <w:p>
      <w:pPr>
        <w:shd w:val="clear" w:color="auto" w:fill="FFFFFF"/>
        <w:snapToGrid w:val="0"/>
        <w:spacing w:line="360" w:lineRule="auto"/>
        <w:ind w:firstLine="5460" w:firstLineChars="2600"/>
        <w:rPr>
          <w:rFonts w:ascii="Tahoma" w:hAnsi="Tahoma" w:eastAsia="新宋体" w:cs="Tahoma"/>
          <w:color w:val="000000" w:themeColor="text1"/>
          <w:kern w:val="0"/>
          <w:szCs w:val="21"/>
          <w:highlight w:val="none"/>
          <w14:textFill>
            <w14:solidFill>
              <w14:schemeClr w14:val="tx1"/>
            </w14:solidFill>
          </w14:textFill>
        </w:rPr>
      </w:pP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年</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月</w:t>
      </w:r>
      <w:r>
        <w:rPr>
          <w:rFonts w:ascii="Tahoma" w:hAnsi="Tahoma" w:eastAsia="新宋体" w:cs="Tahoma"/>
          <w:color w:val="000000" w:themeColor="text1"/>
          <w:kern w:val="0"/>
          <w:szCs w:val="21"/>
          <w:highlight w:val="none"/>
          <w:u w:val="single"/>
          <w14:textFill>
            <w14:solidFill>
              <w14:schemeClr w14:val="tx1"/>
            </w14:solidFill>
          </w14:textFill>
        </w:rPr>
        <w:t xml:space="preserve">     </w:t>
      </w:r>
      <w:r>
        <w:rPr>
          <w:rFonts w:ascii="Tahoma" w:hAnsi="Tahoma" w:eastAsia="新宋体" w:cs="Tahoma"/>
          <w:color w:val="000000" w:themeColor="text1"/>
          <w:kern w:val="0"/>
          <w:szCs w:val="21"/>
          <w:highlight w:val="none"/>
          <w14:textFill>
            <w14:solidFill>
              <w14:schemeClr w14:val="tx1"/>
            </w14:solidFill>
          </w14:textFill>
        </w:rPr>
        <w:t>日</w:t>
      </w:r>
    </w:p>
    <w:p>
      <w:pPr>
        <w:pStyle w:val="27"/>
        <w:jc w:val="center"/>
        <w:rPr>
          <w:rFonts w:ascii="Tahoma" w:hAnsi="Tahoma" w:eastAsia="黑体" w:cs="Tahoma"/>
          <w:b/>
          <w:color w:val="000000" w:themeColor="text1"/>
          <w:szCs w:val="28"/>
          <w:highlight w:val="none"/>
          <w14:textFill>
            <w14:solidFill>
              <w14:schemeClr w14:val="tx1"/>
            </w14:solidFill>
          </w14:textFill>
        </w:rPr>
      </w:pPr>
    </w:p>
    <w:p>
      <w:pPr>
        <w:pStyle w:val="27"/>
        <w:jc w:val="center"/>
        <w:rPr>
          <w:rFonts w:ascii="Tahoma" w:hAnsi="Tahoma" w:eastAsia="黑体" w:cs="Tahoma"/>
          <w:b/>
          <w:color w:val="000000" w:themeColor="text1"/>
          <w:szCs w:val="28"/>
          <w:highlight w:val="none"/>
          <w14:textFill>
            <w14:solidFill>
              <w14:schemeClr w14:val="tx1"/>
            </w14:solidFill>
          </w14:textFill>
        </w:rPr>
      </w:pPr>
    </w:p>
    <w:p>
      <w:pPr>
        <w:spacing w:line="240" w:lineRule="exact"/>
        <w:rPr>
          <w:rFonts w:ascii="Tahoma" w:hAnsi="Tahoma" w:cs="Tahoma"/>
          <w:color w:val="000000" w:themeColor="text1"/>
          <w:sz w:val="24"/>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说明：本证明文件用于供应商法定代表人出席开标会，并须按此格式提供。</w:t>
      </w:r>
    </w:p>
    <w:p>
      <w:pPr>
        <w:pStyle w:val="27"/>
        <w:jc w:val="center"/>
        <w:rPr>
          <w:rFonts w:ascii="Tahoma" w:hAnsi="Tahoma" w:cs="Tahoma"/>
          <w:b/>
          <w:color w:val="000000" w:themeColor="text1"/>
          <w:sz w:val="32"/>
          <w:highlight w:val="none"/>
          <w14:textFill>
            <w14:solidFill>
              <w14:schemeClr w14:val="tx1"/>
            </w14:solidFill>
          </w14:textFill>
        </w:rPr>
      </w:pPr>
    </w:p>
    <w:p>
      <w:pPr>
        <w:spacing w:line="360" w:lineRule="auto"/>
        <w:jc w:val="center"/>
        <w:rPr>
          <w:rFonts w:ascii="Tahoma" w:hAnsi="Tahoma" w:eastAsia="黑体" w:cs="Tahoma"/>
          <w:b/>
          <w:color w:val="000000" w:themeColor="text1"/>
          <w:sz w:val="32"/>
          <w:highlight w:val="none"/>
          <w14:textFill>
            <w14:solidFill>
              <w14:schemeClr w14:val="tx1"/>
            </w14:solidFill>
          </w14:textFill>
        </w:rPr>
      </w:pPr>
    </w:p>
    <w:p>
      <w:pPr>
        <w:spacing w:line="360" w:lineRule="auto"/>
        <w:jc w:val="center"/>
        <w:rPr>
          <w:rFonts w:ascii="Tahoma" w:hAnsi="Tahoma" w:eastAsia="黑体" w:cs="Tahoma"/>
          <w:b/>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kern w:val="0"/>
          <w:sz w:val="28"/>
          <w:szCs w:val="28"/>
          <w:highlight w:val="none"/>
          <w14:textFill>
            <w14:solidFill>
              <w14:schemeClr w14:val="tx1"/>
            </w14:solidFill>
          </w14:textFill>
        </w:rPr>
      </w:pPr>
      <w:bookmarkStart w:id="250" w:name="_Toc152045793"/>
      <w:bookmarkStart w:id="251" w:name="_Toc152042582"/>
      <w:bookmarkStart w:id="252" w:name="_Toc179632813"/>
      <w:r>
        <w:rPr>
          <w:rFonts w:hint="eastAsia" w:ascii="Tahoma" w:hAnsi="Tahoma" w:eastAsia="黑体" w:cs="Tahoma"/>
          <w:b/>
          <w:bCs/>
          <w:color w:val="000000" w:themeColor="text1"/>
          <w:kern w:val="0"/>
          <w:sz w:val="28"/>
          <w:szCs w:val="28"/>
          <w:highlight w:val="none"/>
          <w14:textFill>
            <w14:solidFill>
              <w14:schemeClr w14:val="tx1"/>
            </w14:solidFill>
          </w14:textFill>
        </w:rPr>
        <w:t>（四）</w:t>
      </w:r>
      <w:r>
        <w:rPr>
          <w:rFonts w:ascii="Tahoma" w:hAnsi="Tahoma" w:eastAsia="黑体" w:cs="Tahoma"/>
          <w:b/>
          <w:bCs/>
          <w:color w:val="000000" w:themeColor="text1"/>
          <w:kern w:val="0"/>
          <w:sz w:val="28"/>
          <w:szCs w:val="28"/>
          <w:highlight w:val="none"/>
          <w14:textFill>
            <w14:solidFill>
              <w14:schemeClr w14:val="tx1"/>
            </w14:solidFill>
          </w14:textFill>
        </w:rPr>
        <w:t>法定代表人授权委托书</w:t>
      </w:r>
    </w:p>
    <w:p>
      <w:pPr>
        <w:spacing w:line="400" w:lineRule="exact"/>
        <w:ind w:firstLine="420" w:firstLineChars="200"/>
        <w:rPr>
          <w:rFonts w:ascii="宋体" w:hAnsi="宋体"/>
          <w:color w:val="000000" w:themeColor="text1"/>
          <w:szCs w:val="21"/>
          <w:highlight w:val="none"/>
          <w14:textFill>
            <w14:solidFill>
              <w14:schemeClr w14:val="tx1"/>
            </w14:solidFill>
          </w14:textFill>
        </w:rPr>
      </w:pP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发包人名称        </w:t>
      </w:r>
      <w:r>
        <w:rPr>
          <w:rFonts w:hint="eastAsia" w:ascii="宋体" w:hAnsi="宋体"/>
          <w:color w:val="000000" w:themeColor="text1"/>
          <w:szCs w:val="21"/>
          <w:highlight w:val="none"/>
          <w14:textFill>
            <w14:solidFill>
              <w14:schemeClr w14:val="tx1"/>
            </w14:solidFill>
          </w14:textFill>
        </w:rPr>
        <w:t>：</w:t>
      </w:r>
    </w:p>
    <w:p>
      <w:pPr>
        <w:pStyle w:val="13"/>
        <w:snapToGrid w:val="0"/>
        <w:spacing w:line="400" w:lineRule="exact"/>
        <w:ind w:firstLine="420" w:firstLineChars="200"/>
        <w:rPr>
          <w:rFonts w:hAnsi="宋体"/>
          <w:color w:val="000000" w:themeColor="text1"/>
          <w:szCs w:val="21"/>
          <w:highlight w:val="none"/>
          <w14:textFill>
            <w14:solidFill>
              <w14:schemeClr w14:val="tx1"/>
            </w14:solidFill>
          </w14:textFill>
        </w:rPr>
      </w:pPr>
    </w:p>
    <w:p>
      <w:pPr>
        <w:pStyle w:val="13"/>
        <w:snapToGrid w:val="0"/>
        <w:spacing w:line="400" w:lineRule="exact"/>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本人</w:t>
      </w:r>
      <w:r>
        <w:rPr>
          <w:rFonts w:hint="eastAsia" w:hAnsi="宋体"/>
          <w:color w:val="000000" w:themeColor="text1"/>
          <w:szCs w:val="21"/>
          <w:highlight w:val="none"/>
          <w:u w:val="single"/>
          <w14:textFill>
            <w14:solidFill>
              <w14:schemeClr w14:val="tx1"/>
            </w14:solidFill>
          </w14:textFill>
        </w:rPr>
        <w:t xml:space="preserve">      姓名        </w:t>
      </w:r>
      <w:r>
        <w:rPr>
          <w:rFonts w:hint="eastAsia" w:hAnsi="宋体"/>
          <w:color w:val="000000" w:themeColor="text1"/>
          <w:szCs w:val="21"/>
          <w:highlight w:val="none"/>
          <w14:textFill>
            <w14:solidFill>
              <w14:schemeClr w14:val="tx1"/>
            </w14:solidFill>
          </w14:textFill>
        </w:rPr>
        <w:t>系</w:t>
      </w:r>
      <w:r>
        <w:rPr>
          <w:rFonts w:hint="eastAsia" w:hAnsi="宋体"/>
          <w:color w:val="000000" w:themeColor="text1"/>
          <w:szCs w:val="21"/>
          <w:highlight w:val="none"/>
          <w:u w:val="single"/>
          <w14:textFill>
            <w14:solidFill>
              <w14:schemeClr w14:val="tx1"/>
            </w14:solidFill>
          </w14:textFill>
        </w:rPr>
        <w:t xml:space="preserve">        （投标人全称）        的</w:t>
      </w:r>
      <w:r>
        <w:rPr>
          <w:rFonts w:hint="eastAsia" w:hAnsi="宋体"/>
          <w:color w:val="000000" w:themeColor="text1"/>
          <w:szCs w:val="21"/>
          <w:highlight w:val="none"/>
          <w14:textFill>
            <w14:solidFill>
              <w14:schemeClr w14:val="tx1"/>
            </w14:solidFill>
          </w14:textFill>
        </w:rPr>
        <w:t>法定代表人授权我公司</w:t>
      </w:r>
      <w:r>
        <w:rPr>
          <w:rFonts w:hint="eastAsia" w:hAnsi="宋体"/>
          <w:color w:val="000000" w:themeColor="text1"/>
          <w:szCs w:val="21"/>
          <w:highlight w:val="none"/>
          <w:u w:val="single"/>
          <w14:textFill>
            <w14:solidFill>
              <w14:schemeClr w14:val="tx1"/>
            </w14:solidFill>
          </w14:textFill>
        </w:rPr>
        <w:t xml:space="preserve">   （投标人代表姓名）  </w:t>
      </w:r>
      <w:r>
        <w:rPr>
          <w:rFonts w:hint="eastAsia" w:hAnsi="宋体"/>
          <w:color w:val="000000" w:themeColor="text1"/>
          <w:szCs w:val="21"/>
          <w:highlight w:val="none"/>
          <w14:textFill>
            <w14:solidFill>
              <w14:schemeClr w14:val="tx1"/>
            </w14:solidFill>
          </w14:textFill>
        </w:rPr>
        <w:t>为投标人代表，代表本公司参加贵司组织的</w:t>
      </w:r>
      <w:r>
        <w:rPr>
          <w:rFonts w:hint="eastAsia" w:hAnsi="宋体"/>
          <w:color w:val="000000" w:themeColor="text1"/>
          <w:szCs w:val="21"/>
          <w:highlight w:val="none"/>
          <w:u w:val="single"/>
          <w14:textFill>
            <w14:solidFill>
              <w14:schemeClr w14:val="tx1"/>
            </w14:solidFill>
          </w14:textFill>
        </w:rPr>
        <w:t xml:space="preserve">       项目名称、招标编号        </w:t>
      </w:r>
      <w:r>
        <w:rPr>
          <w:rFonts w:hint="eastAsia" w:hAnsi="宋体"/>
          <w:color w:val="000000" w:themeColor="text1"/>
          <w:szCs w:val="21"/>
          <w:highlight w:val="none"/>
          <w14:textFill>
            <w14:solidFill>
              <w14:schemeClr w14:val="tx1"/>
            </w14:solidFill>
          </w14:textFill>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13"/>
        <w:snapToGrid w:val="0"/>
        <w:spacing w:line="400" w:lineRule="exact"/>
        <w:ind w:firstLine="420" w:firstLineChars="200"/>
        <w:rPr>
          <w:rFonts w:ascii="Tahoma" w:hAnsi="Tahoma" w:cs="Tahoma"/>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本授权书自出具之日起生效。</w:t>
      </w:r>
    </w:p>
    <w:p>
      <w:pPr>
        <w:ind w:left="126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3217545</wp:posOffset>
                </wp:positionH>
                <wp:positionV relativeFrom="paragraph">
                  <wp:posOffset>19050</wp:posOffset>
                </wp:positionV>
                <wp:extent cx="2633980" cy="1311910"/>
                <wp:effectExtent l="4445" t="4445" r="13335" b="9525"/>
                <wp:wrapNone/>
                <wp:docPr id="4" name="矩形 4"/>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pPr>
                          </w:p>
                          <w:p>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53.35pt;margin-top:1.5pt;height:103.3pt;width:207.4pt;z-index:251660288;mso-width-relative:page;mso-height-relative:page;" fillcolor="#FFFFFF" filled="t" stroked="t" coordsize="21600,21600" o:gfxdata="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1RctcAAAAJAQAADwAAAAAAAAABACAAAAAiAAAAZHJz&#10;L2Rvd25yZXYueG1sUEsBAhQAFAAAAAgAh07iQKwXtPcFAgAAKgQAAA4AAAAAAAAAAQAgAAAAJgEA&#10;AGRycy9lMm9Eb2MueG1sUEsFBgAAAAAGAAYAWQEAAJ0FAAAAAA==&#10;">
                <v:fill on="t" focussize="0,0"/>
                <v:stroke color="#000000" joinstyle="miter"/>
                <v:imagedata o:title=""/>
                <o:lock v:ext="edit" aspectratio="f"/>
                <v:textbox>
                  <w:txbxContent>
                    <w:p/>
                    <w:p>
                      <w:pPr>
                        <w:jc w:val="center"/>
                      </w:pPr>
                    </w:p>
                    <w:p>
                      <w:r>
                        <w:rPr>
                          <w:rFonts w:hint="eastAsia"/>
                        </w:rPr>
                        <w:t xml:space="preserve">       授权代表身份证复印件正面</w:t>
                      </w:r>
                    </w:p>
                  </w:txbxContent>
                </v:textbox>
              </v:rect>
            </w:pict>
          </mc:Fallback>
        </mc:AlternateContent>
      </w:r>
      <w:r>
        <w:rPr>
          <w:rFonts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50800</wp:posOffset>
                </wp:positionV>
                <wp:extent cx="2540000" cy="1311910"/>
                <wp:effectExtent l="5080" t="4445" r="15240" b="9525"/>
                <wp:wrapNone/>
                <wp:docPr id="9" name="矩形 9"/>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pPr>
                          </w:p>
                          <w:p>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59264;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6dcC21QAAAAcBAAAPAAAAAAAAAAEAIAAAACIAAABkcnMvZG93&#10;bnJldi54bWxQSwECFAAUAAAACACHTuJAZjuaGQMCAAAqBAAADgAAAAAAAAABACAAAAAkAQAAZHJz&#10;L2Uyb0RvYy54bWxQSwUGAAAAAAYABgBZAQAAmQUAAAAA&#10;">
                <v:fill on="t" focussize="0,0"/>
                <v:stroke color="#000000" joinstyle="miter"/>
                <v:imagedata o:title=""/>
                <o:lock v:ext="edit" aspectratio="f"/>
                <v:textbox>
                  <w:txbxContent>
                    <w:p/>
                    <w:p>
                      <w:pPr>
                        <w:jc w:val="center"/>
                      </w:pPr>
                    </w:p>
                    <w:p>
                      <w:r>
                        <w:rPr>
                          <w:rFonts w:hint="eastAsia"/>
                        </w:rPr>
                        <w:t xml:space="preserve">         法人身份证复印件正面</w:t>
                      </w:r>
                    </w:p>
                  </w:txbxContent>
                </v:textbox>
              </v:rect>
            </w:pict>
          </mc:Fallback>
        </mc:AlternateContent>
      </w: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r>
        <w:rPr>
          <w:rFonts w:hint="eastAsia"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132715</wp:posOffset>
                </wp:positionV>
                <wp:extent cx="2540000" cy="1311910"/>
                <wp:effectExtent l="5080" t="4445" r="15240" b="9525"/>
                <wp:wrapNone/>
                <wp:docPr id="6" name="矩形 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1312;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ECE51gAAAAgBAAAPAAAAAAAAAAEAIAAAACIAAABkcnMv&#10;ZG93bnJldi54bWxQSwECFAAUAAAACACHTuJAxiPHIAUCAAAqBAAADgAAAAAAAAABACAAAAAlAQAA&#10;ZHJzL2Uyb0RvYy54bWxQSwUGAAAAAAYABgBZAQAAnAUAAAAA&#10;">
                <v:fill on="t" focussize="0,0"/>
                <v:stroke color="#000000" joinstyle="miter"/>
                <v:imagedata o:title=""/>
                <o:lock v:ext="edit" aspectratio="f"/>
                <v:textbox>
                  <w:txbxContent>
                    <w:p>
                      <w:pPr>
                        <w:jc w:val="center"/>
                      </w:pPr>
                    </w:p>
                    <w:p/>
                    <w:p>
                      <w:r>
                        <w:rPr>
                          <w:rFonts w:hint="eastAsia"/>
                        </w:rPr>
                        <w:t xml:space="preserve">         法人身份证复印件反面</w:t>
                      </w:r>
                    </w:p>
                  </w:txbxContent>
                </v:textbox>
              </v:rect>
            </w:pict>
          </mc:Fallback>
        </mc:AlternateContent>
      </w:r>
      <w:r>
        <w:rPr>
          <w:rFonts w:hint="eastAsia" w:ascii="Tahoma" w:hAnsi="Tahoma" w:cs="Tahoma"/>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3204845</wp:posOffset>
                </wp:positionH>
                <wp:positionV relativeFrom="paragraph">
                  <wp:posOffset>100965</wp:posOffset>
                </wp:positionV>
                <wp:extent cx="2633980" cy="1311910"/>
                <wp:effectExtent l="4445" t="4445" r="13335" b="9525"/>
                <wp:wrapNone/>
                <wp:docPr id="3" name="矩形 3"/>
                <wp:cNvGraphicFramePr/>
                <a:graphic xmlns:a="http://schemas.openxmlformats.org/drawingml/2006/main">
                  <a:graphicData uri="http://schemas.microsoft.com/office/word/2010/wordprocessingShape">
                    <wps:wsp>
                      <wps:cNvSpPr/>
                      <wps:spPr>
                        <a:xfrm>
                          <a:off x="0" y="0"/>
                          <a:ext cx="263398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207.4pt;z-index:251662336;mso-width-relative:page;mso-height-relative:page;" fillcolor="#FFFFFF" filled="t" stroked="t" coordsize="21600,21600" o:gfxdata="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O5MbYAAAACgEAAA8AAAAAAAAAAQAgAAAAIgAAAGRy&#10;cy9kb3ducmV2LnhtbFBLAQIUABQAAAAIAIdO4kDA5yJ7BQIAACoEAAAOAAAAAAAAAAEAIAAAACcB&#10;AABkcnMvZTJvRG9jLnhtbFBLBQYAAAAABgAGAFkBAACeBQAAAAA=&#10;">
                <v:fill on="t" focussize="0,0"/>
                <v:stroke color="#000000" joinstyle="miter"/>
                <v:imagedata o:title=""/>
                <o:lock v:ext="edit" aspectratio="f"/>
                <v:textbox>
                  <w:txbxContent>
                    <w:p>
                      <w:pPr>
                        <w:jc w:val="center"/>
                      </w:pPr>
                    </w:p>
                    <w:p/>
                    <w:p>
                      <w:r>
                        <w:rPr>
                          <w:rFonts w:hint="eastAsia"/>
                        </w:rPr>
                        <w:t xml:space="preserve">       授权代表身份证复印件反面</w:t>
                      </w:r>
                    </w:p>
                  </w:txbxContent>
                </v:textbox>
              </v:rect>
            </w:pict>
          </mc:Fallback>
        </mc:AlternateContent>
      </w: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1260"/>
        <w:rPr>
          <w:rFonts w:ascii="Tahoma" w:hAnsi="Tahoma" w:cs="Tahoma"/>
          <w:color w:val="000000" w:themeColor="text1"/>
          <w:szCs w:val="21"/>
          <w:highlight w:val="none"/>
          <w14:textFill>
            <w14:solidFill>
              <w14:schemeClr w14:val="tx1"/>
            </w14:solidFill>
          </w14:textFill>
        </w:rPr>
      </w:pP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代理人：</w:t>
      </w:r>
      <w:r>
        <w:rPr>
          <w:rFonts w:ascii="Tahoma" w:hAnsi="Tahoma" w:cs="Tahoma"/>
          <w:color w:val="000000" w:themeColor="text1"/>
          <w:szCs w:val="21"/>
          <w:highlight w:val="none"/>
          <w:u w:val="single"/>
          <w14:textFill>
            <w14:solidFill>
              <w14:schemeClr w14:val="tx1"/>
            </w14:solidFill>
          </w14:textFill>
        </w:rPr>
        <w:t xml:space="preserve">   （签字）   </w:t>
      </w:r>
      <w:r>
        <w:rPr>
          <w:rFonts w:ascii="Tahoma" w:hAnsi="Tahoma" w:cs="Tahoma"/>
          <w:color w:val="000000" w:themeColor="text1"/>
          <w:szCs w:val="21"/>
          <w:highlight w:val="none"/>
          <w14:textFill>
            <w14:solidFill>
              <w14:schemeClr w14:val="tx1"/>
            </w14:solidFill>
          </w14:textFill>
        </w:rPr>
        <w:t>性别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年龄：_______</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身份证号码：</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职务：</w:t>
      </w:r>
      <w:r>
        <w:rPr>
          <w:rFonts w:ascii="Tahoma" w:hAnsi="Tahoma" w:cs="Tahoma"/>
          <w:color w:val="000000" w:themeColor="text1"/>
          <w:szCs w:val="21"/>
          <w:highlight w:val="none"/>
          <w:u w:val="single"/>
          <w14:textFill>
            <w14:solidFill>
              <w14:schemeClr w14:val="tx1"/>
            </w14:solidFill>
          </w14:textFill>
        </w:rPr>
        <w:t xml:space="preserve">                </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投标人：</w:t>
      </w:r>
      <w:r>
        <w:rPr>
          <w:rFonts w:ascii="Tahoma" w:hAnsi="Tahoma" w:cs="Tahoma"/>
          <w:color w:val="000000" w:themeColor="text1"/>
          <w:szCs w:val="21"/>
          <w:highlight w:val="none"/>
          <w:u w:val="single"/>
          <w14:textFill>
            <w14:solidFill>
              <w14:schemeClr w14:val="tx1"/>
            </w14:solidFill>
          </w14:textFill>
        </w:rPr>
        <w:t xml:space="preserve">                  （盖章）                    </w:t>
      </w:r>
    </w:p>
    <w:p>
      <w:pPr>
        <w:ind w:left="2699"/>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w:t>
      </w:r>
      <w:r>
        <w:rPr>
          <w:rFonts w:ascii="Tahoma" w:hAnsi="Tahoma" w:cs="Tahoma"/>
          <w:color w:val="000000" w:themeColor="text1"/>
          <w:szCs w:val="21"/>
          <w:highlight w:val="none"/>
          <w:u w:val="single"/>
          <w14:textFill>
            <w14:solidFill>
              <w14:schemeClr w14:val="tx1"/>
            </w14:solidFill>
          </w14:textFill>
        </w:rPr>
        <w:t xml:space="preserve">             （签字或盖章）               </w:t>
      </w:r>
    </w:p>
    <w:p>
      <w:pPr>
        <w:ind w:firstLine="2415" w:firstLineChars="1150"/>
        <w:rPr>
          <w:rFonts w:ascii="Tahoma" w:hAnsi="Tahoma" w:cs="Tahoma"/>
          <w:color w:val="000000" w:themeColor="text1"/>
          <w:szCs w:val="21"/>
          <w:highlight w:val="none"/>
          <w14:textFill>
            <w14:solidFill>
              <w14:schemeClr w14:val="tx1"/>
            </w14:solidFill>
          </w14:textFill>
        </w:rPr>
      </w:pPr>
    </w:p>
    <w:p>
      <w:pPr>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授权委托日期：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年 </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p>
    <w:p>
      <w:pPr>
        <w:pStyle w:val="27"/>
        <w:jc w:val="center"/>
        <w:rPr>
          <w:rFonts w:ascii="Tahoma" w:hAnsi="Tahoma" w:cs="Tahoma"/>
          <w:b/>
          <w:color w:val="000000" w:themeColor="text1"/>
          <w:szCs w:val="28"/>
          <w:highlight w:val="none"/>
          <w14:textFill>
            <w14:solidFill>
              <w14:schemeClr w14:val="tx1"/>
            </w14:solidFill>
          </w14:textFill>
        </w:rPr>
      </w:pPr>
      <w:bookmarkStart w:id="253" w:name="_Toc13640"/>
    </w:p>
    <w:p>
      <w:pPr>
        <w:pStyle w:val="27"/>
        <w:jc w:val="center"/>
        <w:rPr>
          <w:rFonts w:ascii="Tahoma" w:hAnsi="Tahoma" w:cs="Tahoma"/>
          <w:b/>
          <w:color w:val="000000" w:themeColor="text1"/>
          <w:szCs w:val="28"/>
          <w:highlight w:val="none"/>
          <w14:textFill>
            <w14:solidFill>
              <w14:schemeClr w14:val="tx1"/>
            </w14:solidFill>
          </w14:textFill>
        </w:rPr>
      </w:pPr>
    </w:p>
    <w:p>
      <w:pPr>
        <w:pStyle w:val="27"/>
        <w:jc w:val="center"/>
        <w:rPr>
          <w:rFonts w:ascii="Tahoma" w:hAnsi="Tahoma" w:cs="Tahoma"/>
          <w:b/>
          <w:color w:val="000000" w:themeColor="text1"/>
          <w:szCs w:val="28"/>
          <w:highlight w:val="none"/>
          <w14:textFill>
            <w14:solidFill>
              <w14:schemeClr w14:val="tx1"/>
            </w14:solidFill>
          </w14:textFill>
        </w:rPr>
      </w:pPr>
    </w:p>
    <w:p>
      <w:pPr>
        <w:pStyle w:val="27"/>
        <w:jc w:val="center"/>
        <w:rPr>
          <w:rFonts w:ascii="Tahoma" w:hAnsi="Tahoma" w:cs="Tahoma"/>
          <w:b/>
          <w:color w:val="000000" w:themeColor="text1"/>
          <w:szCs w:val="28"/>
          <w:highlight w:val="none"/>
          <w14:textFill>
            <w14:solidFill>
              <w14:schemeClr w14:val="tx1"/>
            </w14:solidFill>
          </w14:textFill>
        </w:rPr>
      </w:pPr>
    </w:p>
    <w:p>
      <w:pPr>
        <w:pStyle w:val="27"/>
        <w:jc w:val="center"/>
        <w:rPr>
          <w:rFonts w:ascii="Tahoma" w:hAnsi="Tahoma" w:eastAsia="黑体" w:cs="Tahoma"/>
          <w:b/>
          <w:color w:val="000000" w:themeColor="text1"/>
          <w:szCs w:val="28"/>
          <w:highlight w:val="none"/>
          <w14:textFill>
            <w14:solidFill>
              <w14:schemeClr w14:val="tx1"/>
            </w14:solidFill>
          </w14:textFill>
        </w:rPr>
      </w:pPr>
      <w:r>
        <w:rPr>
          <w:rFonts w:ascii="Tahoma" w:hAnsi="Tahoma" w:cs="Tahoma"/>
          <w:b/>
          <w:color w:val="000000" w:themeColor="text1"/>
          <w:szCs w:val="28"/>
          <w:highlight w:val="none"/>
          <w14:textFill>
            <w14:solidFill>
              <w14:schemeClr w14:val="tx1"/>
            </w14:solidFill>
          </w14:textFill>
        </w:rPr>
        <w:t>（</w:t>
      </w:r>
      <w:r>
        <w:rPr>
          <w:rFonts w:hint="eastAsia" w:ascii="Tahoma" w:hAnsi="Tahoma" w:cs="Tahoma"/>
          <w:b/>
          <w:color w:val="000000" w:themeColor="text1"/>
          <w:szCs w:val="28"/>
          <w:highlight w:val="none"/>
          <w14:textFill>
            <w14:solidFill>
              <w14:schemeClr w14:val="tx1"/>
            </w14:solidFill>
          </w14:textFill>
        </w:rPr>
        <w:t>五</w:t>
      </w:r>
      <w:r>
        <w:rPr>
          <w:rFonts w:ascii="Tahoma" w:hAnsi="Tahoma" w:cs="Tahoma"/>
          <w:b/>
          <w:color w:val="000000" w:themeColor="text1"/>
          <w:szCs w:val="28"/>
          <w:highlight w:val="none"/>
          <w14:textFill>
            <w14:solidFill>
              <w14:schemeClr w14:val="tx1"/>
            </w14:solidFill>
          </w14:textFill>
        </w:rPr>
        <w:t>）</w:t>
      </w:r>
      <w:r>
        <w:rPr>
          <w:rFonts w:ascii="Tahoma" w:hAnsi="Tahoma" w:eastAsia="黑体" w:cs="Tahoma"/>
          <w:b/>
          <w:color w:val="000000" w:themeColor="text1"/>
          <w:szCs w:val="28"/>
          <w:highlight w:val="none"/>
          <w14:textFill>
            <w14:solidFill>
              <w14:schemeClr w14:val="tx1"/>
            </w14:solidFill>
          </w14:textFill>
        </w:rPr>
        <w:t>、联合体协议书</w:t>
      </w:r>
      <w:bookmarkEnd w:id="250"/>
      <w:bookmarkEnd w:id="251"/>
      <w:bookmarkEnd w:id="252"/>
      <w:r>
        <w:rPr>
          <w:rFonts w:ascii="Tahoma" w:hAnsi="Tahoma" w:eastAsia="黑体" w:cs="Tahoma"/>
          <w:b/>
          <w:color w:val="000000" w:themeColor="text1"/>
          <w:szCs w:val="28"/>
          <w:highlight w:val="none"/>
          <w14:textFill>
            <w14:solidFill>
              <w14:schemeClr w14:val="tx1"/>
            </w14:solidFill>
          </w14:textFill>
        </w:rPr>
        <w:t>（</w:t>
      </w:r>
      <w:r>
        <w:rPr>
          <w:rFonts w:hint="eastAsia" w:ascii="Tahoma" w:hAnsi="Tahoma" w:eastAsia="黑体" w:cs="Tahoma"/>
          <w:b/>
          <w:color w:val="000000" w:themeColor="text1"/>
          <w:szCs w:val="28"/>
          <w:highlight w:val="none"/>
          <w:lang w:val="en-US" w:eastAsia="zh-CN"/>
          <w14:textFill>
            <w14:solidFill>
              <w14:schemeClr w14:val="tx1"/>
            </w14:solidFill>
          </w14:textFill>
        </w:rPr>
        <w:t>联合体成员不超过两个</w:t>
      </w:r>
      <w:r>
        <w:rPr>
          <w:rFonts w:ascii="Tahoma" w:hAnsi="Tahoma" w:eastAsia="黑体" w:cs="Tahoma"/>
          <w:b/>
          <w:color w:val="000000" w:themeColor="text1"/>
          <w:szCs w:val="28"/>
          <w:highlight w:val="none"/>
          <w14:textFill>
            <w14:solidFill>
              <w14:schemeClr w14:val="tx1"/>
            </w14:solidFill>
          </w14:textFill>
        </w:rPr>
        <w:t>）</w:t>
      </w:r>
      <w:bookmarkEnd w:id="253"/>
    </w:p>
    <w:p>
      <w:pPr>
        <w:spacing w:line="400" w:lineRule="exact"/>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u w:val="single"/>
          <w14:textFill>
            <w14:solidFill>
              <w14:schemeClr w14:val="tx1"/>
            </w14:solidFill>
          </w14:textFill>
        </w:rPr>
        <w:t xml:space="preserve">       （所有成员单位名称）      </w:t>
      </w:r>
      <w:r>
        <w:rPr>
          <w:rFonts w:ascii="Tahoma" w:hAnsi="Tahoma" w:cs="Tahoma"/>
          <w:color w:val="000000" w:themeColor="text1"/>
          <w:szCs w:val="21"/>
          <w:highlight w:val="none"/>
          <w14:textFill>
            <w14:solidFill>
              <w14:schemeClr w14:val="tx1"/>
            </w14:solidFill>
          </w14:textFill>
        </w:rPr>
        <w:t>自愿组成</w:t>
      </w:r>
      <w:r>
        <w:rPr>
          <w:rFonts w:ascii="Tahoma" w:hAnsi="Tahoma" w:cs="Tahoma"/>
          <w:color w:val="000000" w:themeColor="text1"/>
          <w:szCs w:val="21"/>
          <w:highlight w:val="none"/>
          <w:u w:val="single"/>
          <w14:textFill>
            <w14:solidFill>
              <w14:schemeClr w14:val="tx1"/>
            </w14:solidFill>
          </w14:textFill>
        </w:rPr>
        <w:t xml:space="preserve">      （联合体名称）     </w:t>
      </w:r>
      <w:r>
        <w:rPr>
          <w:rFonts w:ascii="Tahoma" w:hAnsi="Tahoma" w:cs="Tahoma"/>
          <w:color w:val="000000" w:themeColor="text1"/>
          <w:szCs w:val="21"/>
          <w:highlight w:val="none"/>
          <w14:textFill>
            <w14:solidFill>
              <w14:schemeClr w14:val="tx1"/>
            </w14:solidFill>
          </w14:textFill>
        </w:rPr>
        <w:t>联合体，共同参加</w:t>
      </w:r>
      <w:r>
        <w:rPr>
          <w:rFonts w:ascii="Tahoma" w:hAnsi="Tahoma" w:cs="Tahoma"/>
          <w:color w:val="000000" w:themeColor="text1"/>
          <w:szCs w:val="21"/>
          <w:highlight w:val="none"/>
          <w:u w:val="single"/>
          <w14:textFill>
            <w14:solidFill>
              <w14:schemeClr w14:val="tx1"/>
            </w14:solidFill>
          </w14:textFill>
        </w:rPr>
        <w:t xml:space="preserve">     （项目名称、项目编号）      </w:t>
      </w:r>
      <w:r>
        <w:rPr>
          <w:rFonts w:ascii="Tahoma" w:hAnsi="Tahoma" w:cs="Tahoma"/>
          <w:color w:val="000000" w:themeColor="text1"/>
          <w:szCs w:val="21"/>
          <w:highlight w:val="none"/>
          <w14:textFill>
            <w14:solidFill>
              <w14:schemeClr w14:val="tx1"/>
            </w14:solidFill>
          </w14:textFill>
        </w:rPr>
        <w:t>的投标。现就组成联合体事宜订立如下协议。</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w:t>
      </w:r>
      <w:r>
        <w:rPr>
          <w:rFonts w:ascii="Tahoma" w:hAnsi="Tahoma" w:cs="Tahoma"/>
          <w:color w:val="000000" w:themeColor="text1"/>
          <w:szCs w:val="21"/>
          <w:highlight w:val="none"/>
          <w:u w:val="single"/>
          <w14:textFill>
            <w14:solidFill>
              <w14:schemeClr w14:val="tx1"/>
            </w14:solidFill>
          </w14:textFill>
        </w:rPr>
        <w:t xml:space="preserve">       （某成员单位名称）      </w:t>
      </w:r>
      <w:r>
        <w:rPr>
          <w:rFonts w:ascii="Tahoma" w:hAnsi="Tahoma" w:cs="Tahoma"/>
          <w:color w:val="000000" w:themeColor="text1"/>
          <w:szCs w:val="21"/>
          <w:highlight w:val="none"/>
          <w14:textFill>
            <w14:solidFill>
              <w14:schemeClr w14:val="tx1"/>
            </w14:solidFill>
          </w14:textFill>
        </w:rPr>
        <w:t>为</w:t>
      </w:r>
      <w:r>
        <w:rPr>
          <w:rFonts w:ascii="Tahoma" w:hAnsi="Tahoma" w:cs="Tahoma"/>
          <w:color w:val="000000" w:themeColor="text1"/>
          <w:szCs w:val="21"/>
          <w:highlight w:val="none"/>
          <w:u w:val="single"/>
          <w14:textFill>
            <w14:solidFill>
              <w14:schemeClr w14:val="tx1"/>
            </w14:solidFill>
          </w14:textFill>
        </w:rPr>
        <w:t xml:space="preserve">      （联合体名称）       </w:t>
      </w:r>
      <w:r>
        <w:rPr>
          <w:rFonts w:ascii="Tahoma" w:hAnsi="Tahoma" w:cs="Tahoma"/>
          <w:color w:val="000000" w:themeColor="text1"/>
          <w:szCs w:val="21"/>
          <w:highlight w:val="none"/>
          <w14:textFill>
            <w14:solidFill>
              <w14:schemeClr w14:val="tx1"/>
            </w14:solidFill>
          </w14:textFill>
        </w:rPr>
        <w:t>牵头人。</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联合体牵头人合法代表联合体各成员负责本项目投标文件的编制和投标、合同签订等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3、联合体将严格按照招标文件的各项要求，递交投标文件，履行合同，并对外承担连带责任。</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4、联合体各成员单位内部的职责分工如下：</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5、本协议书自签署之日起生效，合同履行完毕后自动失效。</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6、本协议书一式</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份，联合体成员和招标人各执一份。</w:t>
      </w:r>
    </w:p>
    <w:p>
      <w:pPr>
        <w:topLinePunct/>
        <w:spacing w:line="440" w:lineRule="exact"/>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注：本协议书由委托代理人签字的，应附法定代表人签字的授权委托书。</w:t>
      </w:r>
    </w:p>
    <w:p>
      <w:pPr>
        <w:topLinePunct/>
        <w:spacing w:line="440" w:lineRule="exact"/>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牵头人名称：</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（盖单位章）</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法定代表人或其委托代理人：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（签字）</w:t>
      </w:r>
    </w:p>
    <w:p>
      <w:pPr>
        <w:topLinePunct/>
        <w:spacing w:line="440" w:lineRule="exact"/>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成员一名称：</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（盖单位章）</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法定代表人或其委托代理人：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（签字）</w:t>
      </w:r>
    </w:p>
    <w:p>
      <w:pPr>
        <w:topLinePunct/>
        <w:spacing w:line="44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p>
    <w:p>
      <w:pPr>
        <w:topLinePunct/>
        <w:spacing w:line="440" w:lineRule="exact"/>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topLinePunct/>
        <w:spacing w:line="440" w:lineRule="exact"/>
        <w:rPr>
          <w:rFonts w:ascii="Tahoma" w:hAnsi="Tahoma" w:cs="Tahoma"/>
          <w:color w:val="000000" w:themeColor="text1"/>
          <w:szCs w:val="21"/>
          <w:highlight w:val="none"/>
          <w14:textFill>
            <w14:solidFill>
              <w14:schemeClr w14:val="tx1"/>
            </w14:solidFill>
          </w14:textFill>
        </w:rPr>
      </w:pPr>
    </w:p>
    <w:p>
      <w:pPr>
        <w:spacing w:line="360" w:lineRule="auto"/>
        <w:jc w:val="center"/>
        <w:rPr>
          <w:rFonts w:ascii="Tahoma" w:hAnsi="Tahoma" w:cs="Tahoma"/>
          <w:color w:val="000000" w:themeColor="text1"/>
          <w:highlight w:val="none"/>
          <w14:textFill>
            <w14:solidFill>
              <w14:schemeClr w14:val="tx1"/>
            </w14:solidFill>
          </w14:textFill>
        </w:rPr>
      </w:pPr>
      <w:r>
        <w:rPr>
          <w:rFonts w:ascii="Tahoma" w:hAnsi="Tahoma" w:cs="Tahoma"/>
          <w:color w:val="000000" w:themeColor="text1"/>
          <w:highlight w:val="none"/>
          <w14:textFill>
            <w14:solidFill>
              <w14:schemeClr w14:val="tx1"/>
            </w14:solidFill>
          </w14:textFill>
        </w:rPr>
        <w:t xml:space="preserve">                            </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年</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月</w:t>
      </w:r>
      <w:r>
        <w:rPr>
          <w:rFonts w:ascii="Tahoma" w:hAnsi="Tahoma" w:cs="Tahoma"/>
          <w:color w:val="000000" w:themeColor="text1"/>
          <w:highlight w:val="none"/>
          <w:u w:val="single"/>
          <w14:textFill>
            <w14:solidFill>
              <w14:schemeClr w14:val="tx1"/>
            </w14:solidFill>
          </w14:textFill>
        </w:rPr>
        <w:t xml:space="preserve">       </w:t>
      </w:r>
      <w:r>
        <w:rPr>
          <w:rFonts w:ascii="Tahoma" w:hAnsi="Tahoma" w:cs="Tahoma"/>
          <w:color w:val="000000" w:themeColor="text1"/>
          <w:highlight w:val="none"/>
          <w14:textFill>
            <w14:solidFill>
              <w14:schemeClr w14:val="tx1"/>
            </w14:solidFill>
          </w14:textFill>
        </w:rPr>
        <w:t>日</w:t>
      </w:r>
    </w:p>
    <w:p>
      <w:pPr>
        <w:spacing w:line="360" w:lineRule="auto"/>
        <w:jc w:val="center"/>
        <w:rPr>
          <w:rFonts w:ascii="Tahoma" w:hAnsi="Tahoma" w:cs="Tahoma"/>
          <w:color w:val="000000" w:themeColor="text1"/>
          <w:highlight w:val="none"/>
          <w14:textFill>
            <w14:solidFill>
              <w14:schemeClr w14:val="tx1"/>
            </w14:solidFill>
          </w14:textFill>
        </w:rPr>
      </w:pPr>
    </w:p>
    <w:p>
      <w:pPr>
        <w:spacing w:line="360" w:lineRule="auto"/>
        <w:jc w:val="center"/>
        <w:rPr>
          <w:rFonts w:ascii="Tahoma" w:hAnsi="Tahoma" w:cs="Tahoma"/>
          <w:color w:val="000000" w:themeColor="text1"/>
          <w:highlight w:val="none"/>
          <w14:textFill>
            <w14:solidFill>
              <w14:schemeClr w14:val="tx1"/>
            </w14:solidFill>
          </w14:textFill>
        </w:rPr>
      </w:pPr>
    </w:p>
    <w:p>
      <w:pPr>
        <w:spacing w:line="360" w:lineRule="auto"/>
        <w:jc w:val="center"/>
        <w:rPr>
          <w:rFonts w:ascii="Tahoma" w:hAnsi="Tahoma" w:cs="Tahoma"/>
          <w:color w:val="000000" w:themeColor="text1"/>
          <w:highlight w:val="none"/>
          <w14:textFill>
            <w14:solidFill>
              <w14:schemeClr w14:val="tx1"/>
            </w14:solidFill>
          </w14:textFill>
        </w:rPr>
      </w:pPr>
    </w:p>
    <w:p>
      <w:pPr>
        <w:spacing w:line="360" w:lineRule="auto"/>
        <w:jc w:val="center"/>
        <w:rPr>
          <w:rFonts w:ascii="Tahoma" w:hAnsi="Tahoma" w:cs="Tahoma"/>
          <w:color w:val="000000" w:themeColor="text1"/>
          <w:highlight w:val="none"/>
          <w14:textFill>
            <w14:solidFill>
              <w14:schemeClr w14:val="tx1"/>
            </w14:solidFill>
          </w14:textFill>
        </w:rPr>
      </w:pPr>
    </w:p>
    <w:p>
      <w:pPr>
        <w:pStyle w:val="27"/>
        <w:jc w:val="center"/>
        <w:rPr>
          <w:rFonts w:ascii="Tahoma" w:hAnsi="Tahoma" w:eastAsia="黑体" w:cs="Tahoma"/>
          <w:color w:val="000000" w:themeColor="text1"/>
          <w:szCs w:val="28"/>
          <w:highlight w:val="none"/>
          <w14:textFill>
            <w14:solidFill>
              <w14:schemeClr w14:val="tx1"/>
            </w14:solidFill>
          </w14:textFill>
        </w:rPr>
      </w:pPr>
      <w:bookmarkStart w:id="254" w:name="_Toc6176"/>
      <w:r>
        <w:rPr>
          <w:rFonts w:ascii="Tahoma" w:hAnsi="Tahoma" w:eastAsia="黑体" w:cs="Tahoma"/>
          <w:b/>
          <w:color w:val="000000" w:themeColor="text1"/>
          <w:szCs w:val="28"/>
          <w:highlight w:val="none"/>
          <w14:textFill>
            <w14:solidFill>
              <w14:schemeClr w14:val="tx1"/>
            </w14:solidFill>
          </w14:textFill>
        </w:rPr>
        <w:t>（</w:t>
      </w:r>
      <w:r>
        <w:rPr>
          <w:rFonts w:hint="eastAsia" w:ascii="Tahoma" w:hAnsi="Tahoma" w:eastAsia="黑体" w:cs="Tahoma"/>
          <w:b/>
          <w:color w:val="000000" w:themeColor="text1"/>
          <w:szCs w:val="28"/>
          <w:highlight w:val="none"/>
          <w14:textFill>
            <w14:solidFill>
              <w14:schemeClr w14:val="tx1"/>
            </w14:solidFill>
          </w14:textFill>
        </w:rPr>
        <w:t>六</w:t>
      </w:r>
      <w:r>
        <w:rPr>
          <w:rFonts w:ascii="Tahoma" w:hAnsi="Tahoma" w:eastAsia="黑体" w:cs="Tahoma"/>
          <w:b/>
          <w:color w:val="000000" w:themeColor="text1"/>
          <w:szCs w:val="28"/>
          <w:highlight w:val="none"/>
          <w14:textFill>
            <w14:solidFill>
              <w14:schemeClr w14:val="tx1"/>
            </w14:solidFill>
          </w14:textFill>
        </w:rPr>
        <w:t>）、资格证明文件</w:t>
      </w:r>
      <w:bookmarkEnd w:id="254"/>
    </w:p>
    <w:p>
      <w:pPr>
        <w:rPr>
          <w:rFonts w:ascii="Tahoma" w:hAnsi="Tahoma" w:cs="Tahoma"/>
          <w:color w:val="000000" w:themeColor="text1"/>
          <w:highlight w:val="none"/>
          <w14:textFill>
            <w14:solidFill>
              <w14:schemeClr w14:val="tx1"/>
            </w14:solidFill>
          </w14:textFill>
        </w:rPr>
      </w:pP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r>
        <w:rPr>
          <w:rFonts w:ascii="Tahoma" w:hAnsi="Tahoma" w:cs="Tahoma"/>
          <w:color w:val="000000" w:themeColor="text1"/>
          <w:szCs w:val="21"/>
          <w:highlight w:val="none"/>
          <w14:textFill>
            <w14:solidFill>
              <w14:schemeClr w14:val="tx1"/>
            </w14:solidFill>
          </w14:textFill>
        </w:rPr>
        <w:t>：</w:t>
      </w:r>
    </w:p>
    <w:p>
      <w:pPr>
        <w:spacing w:line="360" w:lineRule="exact"/>
        <w:rPr>
          <w:rFonts w:ascii="Tahoma" w:hAnsi="Tahoma" w:cs="Tahoma"/>
          <w:color w:val="000000" w:themeColor="text1"/>
          <w:szCs w:val="21"/>
          <w:highlight w:val="none"/>
          <w14:textFill>
            <w14:solidFill>
              <w14:schemeClr w14:val="tx1"/>
            </w14:solidFill>
          </w14:textFill>
        </w:rPr>
      </w:pP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现附上由</w:t>
      </w:r>
      <w:r>
        <w:rPr>
          <w:rFonts w:ascii="Tahoma" w:hAnsi="Tahoma" w:cs="Tahoma"/>
          <w:color w:val="000000" w:themeColor="text1"/>
          <w:szCs w:val="21"/>
          <w:highlight w:val="none"/>
          <w:u w:val="single"/>
          <w14:textFill>
            <w14:solidFill>
              <w14:schemeClr w14:val="tx1"/>
            </w14:solidFill>
          </w14:textFill>
        </w:rPr>
        <w:t xml:space="preserve">       （签发机关名称）       </w:t>
      </w:r>
      <w:r>
        <w:rPr>
          <w:rFonts w:ascii="Tahoma" w:hAnsi="Tahoma" w:cs="Tahoma"/>
          <w:color w:val="000000" w:themeColor="text1"/>
          <w:szCs w:val="21"/>
          <w:highlight w:val="none"/>
          <w14:textFill>
            <w14:solidFill>
              <w14:schemeClr w14:val="tx1"/>
            </w14:solidFill>
          </w14:textFill>
        </w:rPr>
        <w:t>签发的我方法人营业执照副本复印件，该执照真实有效。</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现附上由</w:t>
      </w:r>
      <w:r>
        <w:rPr>
          <w:rFonts w:ascii="Tahoma" w:hAnsi="Tahoma" w:cs="Tahoma"/>
          <w:color w:val="000000" w:themeColor="text1"/>
          <w:szCs w:val="21"/>
          <w:highlight w:val="none"/>
          <w:u w:val="single"/>
          <w14:textFill>
            <w14:solidFill>
              <w14:schemeClr w14:val="tx1"/>
            </w14:solidFill>
          </w14:textFill>
        </w:rPr>
        <w:t xml:space="preserve">       （签发机关名称）       </w:t>
      </w:r>
      <w:r>
        <w:rPr>
          <w:rFonts w:ascii="Tahoma" w:hAnsi="Tahoma" w:cs="Tahoma"/>
          <w:color w:val="000000" w:themeColor="text1"/>
          <w:szCs w:val="21"/>
          <w:highlight w:val="none"/>
          <w14:textFill>
            <w14:solidFill>
              <w14:schemeClr w14:val="tx1"/>
            </w14:solidFill>
          </w14:textFill>
        </w:rPr>
        <w:t>签发的我方税务登记证副本复印件，该证件真实有效。</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现附上由</w:t>
      </w:r>
      <w:r>
        <w:rPr>
          <w:rFonts w:ascii="Tahoma" w:hAnsi="Tahoma" w:cs="Tahoma"/>
          <w:color w:val="000000" w:themeColor="text1"/>
          <w:szCs w:val="21"/>
          <w:highlight w:val="none"/>
          <w:u w:val="single"/>
          <w14:textFill>
            <w14:solidFill>
              <w14:schemeClr w14:val="tx1"/>
            </w14:solidFill>
          </w14:textFill>
        </w:rPr>
        <w:t xml:space="preserve">       （签发机关名称）       </w:t>
      </w:r>
      <w:r>
        <w:rPr>
          <w:rFonts w:ascii="Tahoma" w:hAnsi="Tahoma" w:cs="Tahoma"/>
          <w:color w:val="000000" w:themeColor="text1"/>
          <w:szCs w:val="21"/>
          <w:highlight w:val="none"/>
          <w14:textFill>
            <w14:solidFill>
              <w14:schemeClr w14:val="tx1"/>
            </w14:solidFill>
          </w14:textFill>
        </w:rPr>
        <w:t>签发的我方组织机构代码证副本复印件，该证件真实有效。</w:t>
      </w:r>
    </w:p>
    <w:p>
      <w:pPr>
        <w:spacing w:line="360" w:lineRule="auto"/>
        <w:rPr>
          <w:rFonts w:ascii="Tahoma" w:hAnsi="Tahoma" w:cs="Tahoma"/>
          <w:b/>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r>
        <w:rPr>
          <w:rFonts w:ascii="Tahoma" w:hAnsi="Tahoma" w:cs="Tahoma"/>
          <w:b/>
          <w:color w:val="000000" w:themeColor="text1"/>
          <w:szCs w:val="21"/>
          <w:highlight w:val="none"/>
          <w14:textFill>
            <w14:solidFill>
              <w14:schemeClr w14:val="tx1"/>
            </w14:solidFill>
          </w14:textFill>
        </w:rPr>
        <w:t>……</w:t>
      </w:r>
      <w:r>
        <w:rPr>
          <w:rFonts w:ascii="Tahoma" w:hAnsi="Tahoma" w:eastAsia="黑体" w:cs="Tahoma"/>
          <w:b/>
          <w:color w:val="000000" w:themeColor="text1"/>
          <w:szCs w:val="21"/>
          <w:highlight w:val="none"/>
          <w14:textFill>
            <w14:solidFill>
              <w14:schemeClr w14:val="tx1"/>
            </w14:solidFill>
          </w14:textFill>
        </w:rPr>
        <w:t>（招标文件要求和投标人应提供的其他相关证件按上述格式填写）</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附：资格证件的复印件或影印件附后</w:t>
      </w:r>
    </w:p>
    <w:p>
      <w:pPr>
        <w:spacing w:line="320" w:lineRule="exact"/>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说明：</w:t>
      </w:r>
    </w:p>
    <w:p>
      <w:pPr>
        <w:spacing w:line="340" w:lineRule="exact"/>
        <w:ind w:firstLine="211" w:firstLineChars="100"/>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1）制造（或生产）企业制造或生产采购货物或服务的资格得到有关行政主管部门许可或批准的有关证件，包括：投标供应商有效的法人营业执照副本复印件、有效的税务登记证、组织机构代码证（或三证合一证）复印件或影印件等。</w:t>
      </w:r>
    </w:p>
    <w:p>
      <w:pPr>
        <w:spacing w:line="340" w:lineRule="exact"/>
        <w:ind w:firstLine="211" w:firstLineChars="100"/>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（2）采购货物（或产品）的经销许可：如供应商为经销商的，须提供有关行政主管部门许可的货物或设备（产品）在经销许可证范围内的有关证明，</w:t>
      </w:r>
      <w:r>
        <w:rPr>
          <w:rFonts w:hint="eastAsia" w:ascii="Tahoma" w:hAnsi="黑体" w:eastAsia="黑体" w:cs="Tahoma"/>
          <w:b/>
          <w:color w:val="000000" w:themeColor="text1"/>
          <w:szCs w:val="21"/>
          <w:highlight w:val="none"/>
          <w14:textFill>
            <w14:solidFill>
              <w14:schemeClr w14:val="tx1"/>
            </w14:solidFill>
          </w14:textFill>
        </w:rPr>
        <w:t>货物（或产品）制造或生产商针对本项目投标产品的授权经销许可等。</w:t>
      </w:r>
    </w:p>
    <w:p>
      <w:pPr>
        <w:spacing w:line="340" w:lineRule="exact"/>
        <w:ind w:firstLine="211" w:firstLineChars="100"/>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（3）招标文件要求的全部资格证件及依照招标文件规定应予提供的其他证件复印件或影印件。</w:t>
      </w:r>
    </w:p>
    <w:p>
      <w:pPr>
        <w:spacing w:line="340" w:lineRule="exact"/>
        <w:ind w:firstLine="211" w:firstLineChars="100"/>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（4）采购的货物名称规格型号应与许可证上规格型号一致，复印件或影印件必须与注明</w:t>
      </w:r>
      <w:r>
        <w:rPr>
          <w:rFonts w:ascii="宋体" w:hAnsi="宋体" w:cs="Tahoma"/>
          <w:b/>
          <w:color w:val="000000" w:themeColor="text1"/>
          <w:szCs w:val="21"/>
          <w:highlight w:val="none"/>
          <w14:textFill>
            <w14:solidFill>
              <w14:schemeClr w14:val="tx1"/>
            </w14:solidFill>
          </w14:textFill>
        </w:rPr>
        <w:t>“</w:t>
      </w:r>
      <w:r>
        <w:rPr>
          <w:rFonts w:ascii="Tahoma" w:hAnsi="Tahoma" w:eastAsia="黑体" w:cs="Tahoma"/>
          <w:b/>
          <w:color w:val="000000" w:themeColor="text1"/>
          <w:szCs w:val="21"/>
          <w:highlight w:val="none"/>
          <w14:textFill>
            <w14:solidFill>
              <w14:schemeClr w14:val="tx1"/>
            </w14:solidFill>
          </w14:textFill>
        </w:rPr>
        <w:t>原件一致</w:t>
      </w:r>
      <w:r>
        <w:rPr>
          <w:rFonts w:ascii="宋体" w:hAnsi="宋体" w:cs="Tahoma"/>
          <w:b/>
          <w:color w:val="000000" w:themeColor="text1"/>
          <w:szCs w:val="21"/>
          <w:highlight w:val="none"/>
          <w14:textFill>
            <w14:solidFill>
              <w14:schemeClr w14:val="tx1"/>
            </w14:solidFill>
          </w14:textFill>
        </w:rPr>
        <w:t>”</w:t>
      </w:r>
      <w:r>
        <w:rPr>
          <w:rFonts w:ascii="Tahoma" w:hAnsi="Tahoma" w:eastAsia="黑体" w:cs="Tahoma"/>
          <w:b/>
          <w:color w:val="000000" w:themeColor="text1"/>
          <w:szCs w:val="21"/>
          <w:highlight w:val="none"/>
          <w14:textFill>
            <w14:solidFill>
              <w14:schemeClr w14:val="tx1"/>
            </w14:solidFill>
          </w14:textFill>
        </w:rPr>
        <w:t>。</w:t>
      </w:r>
    </w:p>
    <w:p>
      <w:pPr>
        <w:spacing w:line="340" w:lineRule="exact"/>
        <w:ind w:firstLine="207" w:firstLineChars="98"/>
        <w:rPr>
          <w:rFonts w:ascii="Tahoma" w:hAnsi="Tahoma" w:eastAsia="黑体" w:cs="Tahoma"/>
          <w:b/>
          <w:color w:val="000000" w:themeColor="text1"/>
          <w:szCs w:val="21"/>
          <w:highlight w:val="none"/>
          <w14:textFill>
            <w14:solidFill>
              <w14:schemeClr w14:val="tx1"/>
            </w14:solidFill>
          </w14:textFill>
        </w:rPr>
      </w:pPr>
      <w:r>
        <w:rPr>
          <w:rFonts w:ascii="Tahoma" w:hAnsi="Tahoma" w:eastAsia="黑体" w:cs="Tahoma"/>
          <w:b/>
          <w:color w:val="000000" w:themeColor="text1"/>
          <w:szCs w:val="21"/>
          <w:highlight w:val="none"/>
          <w14:textFill>
            <w14:solidFill>
              <w14:schemeClr w14:val="tx1"/>
            </w14:solidFill>
          </w14:textFill>
        </w:rPr>
        <w:t>（5）所附的资格证明文件的复印件或影印件含糊不清，导致无法辨认的，其投标将被否决。</w:t>
      </w:r>
    </w:p>
    <w:p>
      <w:pPr>
        <w:spacing w:line="380" w:lineRule="exact"/>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 w:val="24"/>
          <w:highlight w:val="none"/>
          <w14:textFill>
            <w14:solidFill>
              <w14:schemeClr w14:val="tx1"/>
            </w14:solidFill>
          </w14:textFill>
        </w:rPr>
        <w:t xml:space="preserve">                                </w:t>
      </w:r>
    </w:p>
    <w:p>
      <w:pPr>
        <w:spacing w:line="380" w:lineRule="exact"/>
        <w:ind w:firstLine="3780" w:firstLineChars="1800"/>
        <w:rPr>
          <w:rFonts w:ascii="Tahoma" w:hAnsi="Tahoma" w:cs="Tahoma"/>
          <w:color w:val="000000" w:themeColor="text1"/>
          <w:szCs w:val="21"/>
          <w:highlight w:val="none"/>
          <w14:textFill>
            <w14:solidFill>
              <w14:schemeClr w14:val="tx1"/>
            </w14:solidFill>
          </w14:textFill>
        </w:rPr>
      </w:pPr>
    </w:p>
    <w:p>
      <w:pPr>
        <w:spacing w:line="380" w:lineRule="exact"/>
        <w:ind w:firstLine="3780" w:firstLineChars="1800"/>
        <w:rPr>
          <w:rFonts w:ascii="Tahoma" w:hAnsi="Tahoma" w:cs="Tahoma"/>
          <w:color w:val="000000" w:themeColor="text1"/>
          <w:szCs w:val="21"/>
          <w:highlight w:val="none"/>
          <w14:textFill>
            <w14:solidFill>
              <w14:schemeClr w14:val="tx1"/>
            </w14:solidFill>
          </w14:textFill>
        </w:rPr>
      </w:pPr>
    </w:p>
    <w:p>
      <w:pPr>
        <w:spacing w:line="380" w:lineRule="exact"/>
        <w:ind w:firstLine="3780" w:firstLineChars="18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供应商（加盖公章）：</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ind w:firstLine="3780" w:firstLineChars="18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供应商代表（签字）：</w:t>
      </w:r>
      <w:r>
        <w:rPr>
          <w:rFonts w:ascii="Tahoma" w:hAnsi="Tahoma" w:cs="Tahoma"/>
          <w:color w:val="000000" w:themeColor="text1"/>
          <w:szCs w:val="21"/>
          <w:highlight w:val="none"/>
          <w:u w:val="single"/>
          <w14:textFill>
            <w14:solidFill>
              <w14:schemeClr w14:val="tx1"/>
            </w14:solidFill>
          </w14:textFill>
        </w:rPr>
        <w:t xml:space="preserve">                         </w:t>
      </w:r>
    </w:p>
    <w:p>
      <w:pPr>
        <w:spacing w:line="38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480" w:lineRule="auto"/>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日            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r>
        <w:rPr>
          <w:rFonts w:ascii="Tahoma" w:hAnsi="Tahoma" w:cs="Tahoma"/>
          <w:color w:val="000000" w:themeColor="text1"/>
          <w:sz w:val="24"/>
          <w:highlight w:val="none"/>
          <w14:textFill>
            <w14:solidFill>
              <w14:schemeClr w14:val="tx1"/>
            </w14:solidFill>
          </w14:textFill>
        </w:rPr>
        <w:t xml:space="preserve">                         </w:t>
      </w: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spacing w:line="360" w:lineRule="auto"/>
        <w:jc w:val="center"/>
        <w:rPr>
          <w:rFonts w:ascii="Tahoma" w:hAnsi="Tahoma" w:eastAsia="黑体" w:cs="Tahoma"/>
          <w:b/>
          <w:bCs/>
          <w:color w:val="000000" w:themeColor="text1"/>
          <w:sz w:val="28"/>
          <w:szCs w:val="28"/>
          <w:highlight w:val="none"/>
          <w14:textFill>
            <w14:solidFill>
              <w14:schemeClr w14:val="tx1"/>
            </w14:solidFill>
          </w14:textFill>
        </w:rPr>
      </w:pPr>
    </w:p>
    <w:p>
      <w:pPr>
        <w:spacing w:line="400" w:lineRule="exact"/>
        <w:jc w:val="center"/>
        <w:rPr>
          <w:rFonts w:ascii="Tahoma" w:hAnsi="Tahoma" w:eastAsia="黑体" w:cs="Tahoma"/>
          <w:b/>
          <w:bCs/>
          <w:color w:val="000000" w:themeColor="text1"/>
          <w:sz w:val="28"/>
          <w:szCs w:val="28"/>
          <w:highlight w:val="none"/>
          <w14:textFill>
            <w14:solidFill>
              <w14:schemeClr w14:val="tx1"/>
            </w14:solidFill>
          </w14:textFill>
        </w:rPr>
      </w:pPr>
      <w:r>
        <w:rPr>
          <w:rFonts w:hint="eastAsia" w:ascii="Tahoma" w:hAnsi="Tahoma" w:eastAsia="黑体" w:cs="Tahoma"/>
          <w:b/>
          <w:bCs/>
          <w:color w:val="000000" w:themeColor="text1"/>
          <w:sz w:val="28"/>
          <w:szCs w:val="28"/>
          <w:highlight w:val="none"/>
          <w14:textFill>
            <w14:solidFill>
              <w14:schemeClr w14:val="tx1"/>
            </w14:solidFill>
          </w14:textFill>
        </w:rPr>
        <w:t>（七）节能、环保产品证明（如有）</w:t>
      </w:r>
    </w:p>
    <w:p>
      <w:pPr>
        <w:spacing w:line="400" w:lineRule="exact"/>
        <w:rPr>
          <w:rFonts w:ascii="Tahoma" w:hAnsi="Tahoma" w:eastAsia="黑体" w:cs="Tahoma"/>
          <w:b/>
          <w:bCs/>
          <w:color w:val="000000" w:themeColor="text1"/>
          <w:sz w:val="28"/>
          <w:szCs w:val="28"/>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致：</w:t>
      </w:r>
      <w:r>
        <w:rPr>
          <w:rFonts w:ascii="Tahoma" w:hAnsi="Tahoma" w:cs="Tahoma"/>
          <w:color w:val="000000" w:themeColor="text1"/>
          <w:szCs w:val="21"/>
          <w:highlight w:val="none"/>
          <w:u w:val="single"/>
          <w14:textFill>
            <w14:solidFill>
              <w14:schemeClr w14:val="tx1"/>
            </w14:solidFill>
          </w14:textFill>
        </w:rPr>
        <w:t xml:space="preserve">         采购人名称          </w:t>
      </w:r>
      <w:r>
        <w:rPr>
          <w:rFonts w:ascii="Tahoma" w:hAnsi="Tahoma" w:cs="Tahoma"/>
          <w:color w:val="000000" w:themeColor="text1"/>
          <w:szCs w:val="21"/>
          <w:highlight w:val="none"/>
          <w14:textFill>
            <w14:solidFill>
              <w14:schemeClr w14:val="tx1"/>
            </w14:solidFill>
          </w14:textFill>
        </w:rPr>
        <w:t>：</w:t>
      </w:r>
    </w:p>
    <w:p>
      <w:pPr>
        <w:spacing w:line="400" w:lineRule="exact"/>
        <w:rPr>
          <w:rFonts w:ascii="Tahoma" w:hAnsi="Tahoma" w:cs="Tahoma"/>
          <w:color w:val="000000" w:themeColor="text1"/>
          <w:szCs w:val="21"/>
          <w:highlight w:val="none"/>
          <w14:textFill>
            <w14:solidFill>
              <w14:schemeClr w14:val="tx1"/>
            </w14:solidFill>
          </w14:textFill>
        </w:rPr>
      </w:pPr>
    </w:p>
    <w:p>
      <w:pPr>
        <w:spacing w:line="40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现附上</w:t>
      </w:r>
      <w:r>
        <w:rPr>
          <w:rFonts w:ascii="Tahoma" w:hAnsi="Tahoma" w:cs="Tahoma"/>
          <w:color w:val="000000" w:themeColor="text1"/>
          <w:szCs w:val="21"/>
          <w:highlight w:val="none"/>
          <w:u w:val="single"/>
          <w14:textFill>
            <w14:solidFill>
              <w14:schemeClr w14:val="tx1"/>
            </w14:solidFill>
          </w14:textFill>
        </w:rPr>
        <w:t xml:space="preserve">         （节能、环保产品产品目录）         </w:t>
      </w:r>
      <w:r>
        <w:rPr>
          <w:rFonts w:ascii="Tahoma" w:hAnsi="Tahoma" w:cs="Tahoma"/>
          <w:color w:val="000000" w:themeColor="text1"/>
          <w:szCs w:val="21"/>
          <w:highlight w:val="none"/>
          <w14:textFill>
            <w14:solidFill>
              <w14:schemeClr w14:val="tx1"/>
            </w14:solidFill>
          </w14:textFill>
        </w:rPr>
        <w:t>证明文件（可在</w:t>
      </w:r>
      <w:r>
        <w:rPr>
          <w:rFonts w:ascii="Tahoma" w:hAnsi="Tahoma" w:cs="Tahoma"/>
          <w:color w:val="000000" w:themeColor="text1"/>
          <w:szCs w:val="21"/>
          <w:highlight w:val="none"/>
          <w:u w:val="single"/>
          <w14:textFill>
            <w14:solidFill>
              <w14:schemeClr w14:val="tx1"/>
            </w14:solidFill>
          </w14:textFill>
        </w:rPr>
        <w:t xml:space="preserve"> 网站名称 </w:t>
      </w:r>
      <w:r>
        <w:rPr>
          <w:rFonts w:ascii="Tahoma" w:hAnsi="Tahoma" w:cs="Tahoma"/>
          <w:color w:val="000000" w:themeColor="text1"/>
          <w:szCs w:val="21"/>
          <w:highlight w:val="none"/>
          <w14:textFill>
            <w14:solidFill>
              <w14:schemeClr w14:val="tx1"/>
            </w14:solidFill>
          </w14:textFill>
        </w:rPr>
        <w:t>网站进行查询）复印件，该证件真实有效。</w:t>
      </w:r>
    </w:p>
    <w:p>
      <w:pPr>
        <w:spacing w:line="400" w:lineRule="exact"/>
        <w:jc w:val="center"/>
        <w:rPr>
          <w:rFonts w:ascii="Tahoma" w:hAnsi="Tahoma" w:cs="Tahoma"/>
          <w:color w:val="000000" w:themeColor="text1"/>
          <w:szCs w:val="21"/>
          <w:highlight w:val="none"/>
          <w14:textFill>
            <w14:solidFill>
              <w14:schemeClr w14:val="tx1"/>
            </w14:solidFill>
          </w14:textFill>
        </w:rPr>
      </w:pPr>
    </w:p>
    <w:p>
      <w:pPr>
        <w:spacing w:line="400" w:lineRule="exact"/>
        <w:jc w:val="center"/>
        <w:rPr>
          <w:rFonts w:ascii="Tahoma" w:hAnsi="Tahoma" w:cs="Tahoma"/>
          <w:color w:val="000000" w:themeColor="text1"/>
          <w:szCs w:val="21"/>
          <w:highlight w:val="none"/>
          <w14:textFill>
            <w14:solidFill>
              <w14:schemeClr w14:val="tx1"/>
            </w14:solidFill>
          </w14:textFill>
        </w:rPr>
      </w:pPr>
    </w:p>
    <w:p>
      <w:pPr>
        <w:spacing w:line="400" w:lineRule="exact"/>
        <w:jc w:val="center"/>
        <w:rPr>
          <w:rFonts w:ascii="Tahoma" w:hAnsi="Tahoma" w:cs="Tahoma"/>
          <w:color w:val="000000" w:themeColor="text1"/>
          <w:szCs w:val="21"/>
          <w:highlight w:val="none"/>
          <w14:textFill>
            <w14:solidFill>
              <w14:schemeClr w14:val="tx1"/>
            </w14:solidFill>
          </w14:textFill>
        </w:rPr>
      </w:pPr>
    </w:p>
    <w:p>
      <w:pPr>
        <w:spacing w:line="400" w:lineRule="exact"/>
        <w:jc w:val="center"/>
        <w:rPr>
          <w:rFonts w:ascii="Tahoma" w:hAnsi="Tahoma" w:cs="Tahoma"/>
          <w:color w:val="000000" w:themeColor="text1"/>
          <w:szCs w:val="21"/>
          <w:highlight w:val="none"/>
          <w14:textFill>
            <w14:solidFill>
              <w14:schemeClr w14:val="tx1"/>
            </w14:solidFill>
          </w14:textFill>
        </w:rPr>
      </w:pPr>
    </w:p>
    <w:p>
      <w:pPr>
        <w:pStyle w:val="10"/>
        <w:spacing w:line="400" w:lineRule="exact"/>
        <w:ind w:firstLine="422" w:firstLineChars="200"/>
        <w:rPr>
          <w:rFonts w:ascii="Tahoma" w:hAnsi="Tahoma" w:cs="Tahoma"/>
          <w:b/>
          <w:color w:val="000000" w:themeColor="text1"/>
          <w:sz w:val="21"/>
          <w:szCs w:val="21"/>
          <w:highlight w:val="none"/>
          <w14:textFill>
            <w14:solidFill>
              <w14:schemeClr w14:val="tx1"/>
            </w14:solidFill>
          </w14:textFill>
        </w:rPr>
      </w:pPr>
      <w:r>
        <w:rPr>
          <w:rFonts w:ascii="Tahoma" w:hAnsi="Tahoma" w:eastAsia="黑体" w:cs="Tahoma"/>
          <w:b/>
          <w:color w:val="000000" w:themeColor="text1"/>
          <w:sz w:val="21"/>
          <w:szCs w:val="21"/>
          <w:highlight w:val="none"/>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 w:val="24"/>
          <w:highlight w:val="none"/>
          <w14:textFill>
            <w14:solidFill>
              <w14:schemeClr w14:val="tx1"/>
            </w14:solidFill>
          </w14:textFill>
        </w:rPr>
      </w:pP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投标人（加盖公章）：</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投标人代表（签字）：</w:t>
      </w:r>
      <w:r>
        <w:rPr>
          <w:rFonts w:ascii="Tahoma" w:hAnsi="Tahoma" w:cs="Tahoma"/>
          <w:color w:val="000000" w:themeColor="text1"/>
          <w:szCs w:val="21"/>
          <w:highlight w:val="none"/>
          <w:u w:val="single"/>
          <w14:textFill>
            <w14:solidFill>
              <w14:schemeClr w14:val="tx1"/>
            </w14:solidFill>
          </w14:textFill>
        </w:rPr>
        <w:t xml:space="preserve">                         </w:t>
      </w:r>
    </w:p>
    <w:p>
      <w:pPr>
        <w:spacing w:line="360" w:lineRule="exac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w:t>
      </w:r>
    </w:p>
    <w:p>
      <w:pPr>
        <w:spacing w:line="380" w:lineRule="exact"/>
        <w:rPr>
          <w:rFonts w:ascii="Tahoma" w:hAnsi="Tahoma" w:cs="Tahoma"/>
          <w:color w:val="000000" w:themeColor="text1"/>
          <w:sz w:val="24"/>
          <w:highlight w:val="none"/>
          <w:u w:val="singl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日             期：</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年</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月</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日</w:t>
      </w: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r>
        <w:rPr>
          <w:rFonts w:ascii="Tahoma" w:hAnsi="Tahoma" w:eastAsia="黑体" w:cs="Tahoma"/>
          <w:b/>
          <w:bCs/>
          <w:color w:val="000000" w:themeColor="text1"/>
          <w:sz w:val="28"/>
          <w:szCs w:val="28"/>
          <w:highlight w:val="none"/>
          <w14:textFill>
            <w14:solidFill>
              <w14:schemeClr w14:val="tx1"/>
            </w14:solidFill>
          </w14:textFill>
        </w:rPr>
        <w:t>（</w:t>
      </w:r>
      <w:r>
        <w:rPr>
          <w:rFonts w:hint="eastAsia" w:ascii="Tahoma" w:hAnsi="Tahoma" w:eastAsia="黑体" w:cs="Tahoma"/>
          <w:b/>
          <w:bCs/>
          <w:color w:val="000000" w:themeColor="text1"/>
          <w:sz w:val="28"/>
          <w:szCs w:val="28"/>
          <w:highlight w:val="none"/>
          <w14:textFill>
            <w14:solidFill>
              <w14:schemeClr w14:val="tx1"/>
            </w14:solidFill>
          </w14:textFill>
        </w:rPr>
        <w:t>八</w:t>
      </w:r>
      <w:r>
        <w:rPr>
          <w:rFonts w:ascii="Tahoma" w:hAnsi="Tahoma" w:eastAsia="黑体" w:cs="Tahoma"/>
          <w:b/>
          <w:bCs/>
          <w:color w:val="000000" w:themeColor="text1"/>
          <w:sz w:val="28"/>
          <w:szCs w:val="28"/>
          <w:highlight w:val="none"/>
          <w14:textFill>
            <w14:solidFill>
              <w14:schemeClr w14:val="tx1"/>
            </w14:solidFill>
          </w14:textFill>
        </w:rPr>
        <w:t>）</w:t>
      </w:r>
      <w:bookmarkStart w:id="255" w:name="_Hlk505094513"/>
      <w:r>
        <w:rPr>
          <w:rFonts w:ascii="Tahoma" w:hAnsi="Tahoma" w:eastAsia="黑体" w:cs="Tahoma"/>
          <w:b/>
          <w:bCs/>
          <w:color w:val="000000" w:themeColor="text1"/>
          <w:sz w:val="28"/>
          <w:szCs w:val="28"/>
          <w:highlight w:val="none"/>
          <w14:textFill>
            <w14:solidFill>
              <w14:schemeClr w14:val="tx1"/>
            </w14:solidFill>
          </w14:textFill>
        </w:rPr>
        <w:t>中小企业声明函</w:t>
      </w:r>
      <w:bookmarkEnd w:id="255"/>
      <w:r>
        <w:rPr>
          <w:rFonts w:ascii="Tahoma" w:hAnsi="Tahoma" w:eastAsia="黑体" w:cs="Tahoma"/>
          <w:b/>
          <w:bCs/>
          <w:color w:val="000000" w:themeColor="text1"/>
          <w:sz w:val="28"/>
          <w:szCs w:val="28"/>
          <w:highlight w:val="none"/>
          <w14:textFill>
            <w14:solidFill>
              <w14:schemeClr w14:val="tx1"/>
            </w14:solidFill>
          </w14:textFill>
        </w:rPr>
        <w:t>（如是）</w:t>
      </w:r>
    </w:p>
    <w:p>
      <w:pPr>
        <w:jc w:val="center"/>
        <w:rPr>
          <w:rFonts w:ascii="Tahoma" w:hAnsi="Tahoma" w:eastAsia="黑体" w:cs="Tahoma"/>
          <w:b/>
          <w:bCs/>
          <w:color w:val="000000" w:themeColor="text1"/>
          <w:sz w:val="28"/>
          <w:szCs w:val="28"/>
          <w:highlight w:val="none"/>
          <w14:textFill>
            <w14:solidFill>
              <w14:schemeClr w14:val="tx1"/>
            </w14:solidFill>
          </w14:textFill>
        </w:rPr>
      </w:pPr>
    </w:p>
    <w:p>
      <w:pPr>
        <w:spacing w:line="360" w:lineRule="auto"/>
        <w:ind w:firstLine="420" w:firstLineChars="2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本公司郑重声明，根据《政府采购促进中小企业发展暂行办法》（财库〔2011〕181号）的规定，本公司为</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（请填写：中型、小型、微型）企业。即本公司同时满足以下条件： </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2、本公司参加</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单位的</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项目采购活动提供本企业制造的货物，由本企业承担工程、提供服务，或者提供其他</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（请填写：中型、小型、微型）企业制造的货物。本条所称货物不包括使用大型企业注册商标的货物。   </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本公司对上述声明的真实性负责。如有虚假，将依法承担相应责任。</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w:t>
      </w:r>
    </w:p>
    <w:p>
      <w:pPr>
        <w:spacing w:line="560" w:lineRule="atLeast"/>
        <w:rPr>
          <w:rFonts w:ascii="Tahoma" w:hAnsi="Tahoma" w:cs="Tahoma"/>
          <w:color w:val="000000" w:themeColor="text1"/>
          <w:szCs w:val="21"/>
          <w:highlight w:val="none"/>
          <w14:textFill>
            <w14:solidFill>
              <w14:schemeClr w14:val="tx1"/>
            </w14:solidFill>
          </w14:textFill>
        </w:rPr>
      </w:pPr>
    </w:p>
    <w:p>
      <w:pPr>
        <w:spacing w:line="560" w:lineRule="atLeast"/>
        <w:ind w:firstLine="5880" w:firstLineChars="2800"/>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企业名称（盖章）：</w:t>
      </w:r>
      <w:r>
        <w:rPr>
          <w:rFonts w:ascii="Tahoma" w:hAnsi="Tahoma" w:cs="Tahoma"/>
          <w:color w:val="000000" w:themeColor="text1"/>
          <w:szCs w:val="21"/>
          <w:highlight w:val="none"/>
          <w:u w:val="single"/>
          <w14:textFill>
            <w14:solidFill>
              <w14:schemeClr w14:val="tx1"/>
            </w14:solidFill>
          </w14:textFill>
        </w:rPr>
        <w:t xml:space="preserve">                         </w:t>
      </w:r>
      <w:r>
        <w:rPr>
          <w:rFonts w:ascii="Tahoma" w:hAnsi="Tahoma" w:cs="Tahoma"/>
          <w:color w:val="000000" w:themeColor="text1"/>
          <w:szCs w:val="21"/>
          <w:highlight w:val="none"/>
          <w14:textFill>
            <w14:solidFill>
              <w14:schemeClr w14:val="tx1"/>
            </w14:solidFill>
          </w14:textFill>
        </w:rPr>
        <w:t xml:space="preserve"> </w:t>
      </w:r>
    </w:p>
    <w:p>
      <w:pPr>
        <w:spacing w:line="560" w:lineRule="atLeast"/>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　　                                                    日            期：</w:t>
      </w:r>
      <w:r>
        <w:rPr>
          <w:rFonts w:ascii="Tahoma" w:hAnsi="Tahoma" w:cs="Tahoma"/>
          <w:color w:val="000000" w:themeColor="text1"/>
          <w:szCs w:val="21"/>
          <w:highlight w:val="none"/>
          <w:u w:val="single"/>
          <w14:textFill>
            <w14:solidFill>
              <w14:schemeClr w14:val="tx1"/>
            </w14:solidFill>
          </w14:textFill>
        </w:rPr>
        <w:t xml:space="preserve">                         </w:t>
      </w:r>
    </w:p>
    <w:p>
      <w:pPr>
        <w:jc w:val="center"/>
        <w:rPr>
          <w:rFonts w:ascii="Tahoma" w:hAnsi="Tahoma" w:eastAsia="黑体" w:cs="Tahoma"/>
          <w:b/>
          <w:bCs/>
          <w:color w:val="000000" w:themeColor="text1"/>
          <w:sz w:val="28"/>
          <w:szCs w:val="28"/>
          <w:highlight w:val="none"/>
          <w14:textFill>
            <w14:solidFill>
              <w14:schemeClr w14:val="tx1"/>
            </w14:solidFill>
          </w14:textFill>
        </w:rPr>
      </w:pPr>
    </w:p>
    <w:p>
      <w:pPr>
        <w:pStyle w:val="10"/>
        <w:spacing w:line="400" w:lineRule="exact"/>
        <w:rPr>
          <w:rFonts w:ascii="Tahoma" w:hAnsi="Tahoma" w:eastAsia="黑体" w:cs="Tahoma"/>
          <w:b/>
          <w:color w:val="000000" w:themeColor="text1"/>
          <w:sz w:val="21"/>
          <w:szCs w:val="21"/>
          <w:highlight w:val="none"/>
          <w14:textFill>
            <w14:solidFill>
              <w14:schemeClr w14:val="tx1"/>
            </w14:solidFill>
          </w14:textFill>
        </w:rPr>
      </w:pPr>
    </w:p>
    <w:p>
      <w:pPr>
        <w:pStyle w:val="10"/>
        <w:spacing w:line="360" w:lineRule="exact"/>
        <w:rPr>
          <w:rFonts w:ascii="Tahoma" w:hAnsi="Tahoma" w:eastAsia="黑体" w:cs="Tahoma"/>
          <w:b/>
          <w:color w:val="000000" w:themeColor="text1"/>
          <w:sz w:val="21"/>
          <w:szCs w:val="21"/>
          <w:highlight w:val="none"/>
          <w14:textFill>
            <w14:solidFill>
              <w14:schemeClr w14:val="tx1"/>
            </w14:solidFill>
          </w14:textFill>
        </w:rPr>
      </w:pPr>
      <w:r>
        <w:rPr>
          <w:rFonts w:ascii="Tahoma" w:hAnsi="Tahoma" w:eastAsia="黑体" w:cs="Tahoma"/>
          <w:b/>
          <w:color w:val="000000" w:themeColor="text1"/>
          <w:sz w:val="21"/>
          <w:szCs w:val="21"/>
          <w:highlight w:val="none"/>
          <w14:textFill>
            <w14:solidFill>
              <w14:schemeClr w14:val="tx1"/>
            </w14:solidFill>
          </w14:textFill>
        </w:rPr>
        <w:t>说明：</w:t>
      </w:r>
    </w:p>
    <w:p>
      <w:pPr>
        <w:pStyle w:val="10"/>
        <w:widowControl w:val="0"/>
        <w:spacing w:line="320" w:lineRule="exact"/>
        <w:ind w:firstLine="422" w:firstLineChars="200"/>
        <w:rPr>
          <w:rFonts w:ascii="Tahoma" w:hAnsi="Tahoma" w:cs="Tahoma"/>
          <w:b/>
          <w:bCs/>
          <w:color w:val="000000" w:themeColor="text1"/>
          <w:sz w:val="21"/>
          <w:szCs w:val="21"/>
          <w:highlight w:val="none"/>
          <w14:textFill>
            <w14:solidFill>
              <w14:schemeClr w14:val="tx1"/>
            </w14:solidFill>
          </w14:textFill>
        </w:rPr>
      </w:pPr>
      <w:r>
        <w:rPr>
          <w:rFonts w:ascii="Tahoma" w:hAnsi="Tahoma" w:cs="Tahoma"/>
          <w:b/>
          <w:bCs/>
          <w:color w:val="000000" w:themeColor="text1"/>
          <w:sz w:val="21"/>
          <w:szCs w:val="21"/>
          <w:highlight w:val="none"/>
          <w14:textFill>
            <w14:solidFill>
              <w14:schemeClr w14:val="tx1"/>
            </w14:solidFill>
          </w14:textFill>
        </w:rPr>
        <w:t>1、</w:t>
      </w:r>
      <w:bookmarkStart w:id="256" w:name="_Hlk505094564"/>
      <w:r>
        <w:rPr>
          <w:rFonts w:ascii="Tahoma" w:hAnsi="Tahoma" w:cs="Tahoma"/>
          <w:b/>
          <w:bCs/>
          <w:color w:val="000000" w:themeColor="text1"/>
          <w:sz w:val="21"/>
          <w:szCs w:val="21"/>
          <w:highlight w:val="none"/>
          <w14:textFill>
            <w14:solidFill>
              <w14:schemeClr w14:val="tx1"/>
            </w14:solidFill>
          </w14:textFill>
        </w:rPr>
        <w:t>根据《政府采购促进中小企业发展暂行办法》（</w:t>
      </w:r>
      <w:bookmarkStart w:id="257" w:name="_Hlk505094343"/>
      <w:r>
        <w:rPr>
          <w:rFonts w:ascii="Tahoma" w:hAnsi="Tahoma" w:cs="Tahoma"/>
          <w:b/>
          <w:bCs/>
          <w:color w:val="000000" w:themeColor="text1"/>
          <w:sz w:val="21"/>
          <w:szCs w:val="21"/>
          <w:highlight w:val="none"/>
          <w14:textFill>
            <w14:solidFill>
              <w14:schemeClr w14:val="tx1"/>
            </w14:solidFill>
          </w14:textFill>
        </w:rPr>
        <w:t>财库〔2011〕181号</w:t>
      </w:r>
      <w:bookmarkEnd w:id="257"/>
      <w:r>
        <w:rPr>
          <w:rFonts w:ascii="Tahoma" w:hAnsi="Tahoma" w:cs="Tahoma"/>
          <w:b/>
          <w:bCs/>
          <w:color w:val="000000" w:themeColor="text1"/>
          <w:sz w:val="21"/>
          <w:szCs w:val="21"/>
          <w:highlight w:val="none"/>
          <w14:textFill>
            <w14:solidFill>
              <w14:schemeClr w14:val="tx1"/>
            </w14:solidFill>
          </w14:textFill>
        </w:rPr>
        <w:t>）文的有关规定，供应商属于符合财库〔2011〕181号文第二条之规定的中小企业者的，应在资格性文件中提供相关部门出具的资格证明材料，并按上述格式填写《中小企业声明函》，否则不予认可。</w:t>
      </w:r>
    </w:p>
    <w:bookmarkEnd w:id="256"/>
    <w:p>
      <w:pPr>
        <w:pStyle w:val="10"/>
        <w:spacing w:line="400" w:lineRule="exact"/>
        <w:ind w:firstLine="422" w:firstLineChars="200"/>
        <w:rPr>
          <w:rFonts w:ascii="Tahoma" w:hAnsi="Tahoma" w:cs="Tahoma"/>
          <w:b/>
          <w:color w:val="000000" w:themeColor="text1"/>
          <w:sz w:val="21"/>
          <w:szCs w:val="21"/>
          <w:highlight w:val="none"/>
          <w14:textFill>
            <w14:solidFill>
              <w14:schemeClr w14:val="tx1"/>
            </w14:solidFill>
          </w14:textFill>
        </w:rPr>
      </w:pPr>
      <w:r>
        <w:rPr>
          <w:rFonts w:ascii="Tahoma" w:hAnsi="Tahoma" w:cs="Tahoma"/>
          <w:b/>
          <w:bCs/>
          <w:color w:val="000000" w:themeColor="text1"/>
          <w:sz w:val="21"/>
          <w:szCs w:val="21"/>
          <w:highlight w:val="none"/>
          <w14:textFill>
            <w14:solidFill>
              <w14:schemeClr w14:val="tx1"/>
            </w14:solidFill>
          </w14:textFill>
        </w:rPr>
        <w:t>2、根据《财政部 司法部关于政府采购支持监狱企业发展有关问题的通知》（</w:t>
      </w:r>
      <w:bookmarkStart w:id="258" w:name="_Hlk505094644"/>
      <w:bookmarkStart w:id="259" w:name="_Hlk505094364"/>
      <w:r>
        <w:rPr>
          <w:rFonts w:ascii="Tahoma" w:hAnsi="Tahoma" w:cs="Tahoma"/>
          <w:b/>
          <w:bCs/>
          <w:color w:val="000000" w:themeColor="text1"/>
          <w:sz w:val="21"/>
          <w:szCs w:val="21"/>
          <w:highlight w:val="none"/>
          <w14:textFill>
            <w14:solidFill>
              <w14:schemeClr w14:val="tx1"/>
            </w14:solidFill>
          </w14:textFill>
        </w:rPr>
        <w:t>财库〔2014〕68</w:t>
      </w:r>
      <w:bookmarkEnd w:id="258"/>
      <w:r>
        <w:rPr>
          <w:rFonts w:ascii="Tahoma" w:hAnsi="Tahoma" w:cs="Tahoma"/>
          <w:b/>
          <w:bCs/>
          <w:color w:val="000000" w:themeColor="text1"/>
          <w:sz w:val="21"/>
          <w:szCs w:val="21"/>
          <w:highlight w:val="none"/>
          <w14:textFill>
            <w14:solidFill>
              <w14:schemeClr w14:val="tx1"/>
            </w14:solidFill>
          </w14:textFill>
        </w:rPr>
        <w:t>号</w:t>
      </w:r>
      <w:bookmarkEnd w:id="259"/>
      <w:r>
        <w:rPr>
          <w:rFonts w:ascii="Tahoma" w:hAnsi="Tahoma" w:cs="Tahoma"/>
          <w:b/>
          <w:bCs/>
          <w:color w:val="000000" w:themeColor="text1"/>
          <w:sz w:val="21"/>
          <w:szCs w:val="21"/>
          <w:highlight w:val="none"/>
          <w14:textFill>
            <w14:solidFill>
              <w14:schemeClr w14:val="tx1"/>
            </w14:solidFill>
          </w14:textFill>
        </w:rPr>
        <w:t>）文的有关规定，供应商属于符合财库〔2014〕68号文规定的监狱企业的，应在资格性文件中提供相关部门出具的资格证明材料，否则不予认可。</w:t>
      </w: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bCs/>
          <w:color w:val="000000" w:themeColor="text1"/>
          <w:sz w:val="28"/>
          <w:szCs w:val="28"/>
          <w:highlight w:val="none"/>
          <w14:textFill>
            <w14:solidFill>
              <w14:schemeClr w14:val="tx1"/>
            </w14:solidFill>
          </w14:textFill>
        </w:rPr>
      </w:pPr>
    </w:p>
    <w:p>
      <w:pPr>
        <w:jc w:val="center"/>
        <w:rPr>
          <w:rFonts w:ascii="Tahoma" w:hAnsi="Tahoma" w:eastAsia="黑体" w:cs="Tahoma"/>
          <w:b/>
          <w:color w:val="000000" w:themeColor="text1"/>
          <w:sz w:val="28"/>
          <w:szCs w:val="28"/>
          <w:highlight w:val="none"/>
          <w14:textFill>
            <w14:solidFill>
              <w14:schemeClr w14:val="tx1"/>
            </w14:solidFill>
          </w14:textFill>
        </w:rPr>
      </w:pPr>
      <w:r>
        <w:rPr>
          <w:rFonts w:ascii="Tahoma" w:hAnsi="Tahoma" w:eastAsia="黑体" w:cs="Tahoma"/>
          <w:b/>
          <w:bCs/>
          <w:color w:val="000000" w:themeColor="text1"/>
          <w:sz w:val="28"/>
          <w:szCs w:val="28"/>
          <w:highlight w:val="none"/>
          <w14:textFill>
            <w14:solidFill>
              <w14:schemeClr w14:val="tx1"/>
            </w14:solidFill>
          </w14:textFill>
        </w:rPr>
        <w:t>（</w:t>
      </w:r>
      <w:r>
        <w:rPr>
          <w:rFonts w:hint="eastAsia" w:ascii="Tahoma" w:hAnsi="Tahoma" w:eastAsia="黑体" w:cs="Tahoma"/>
          <w:b/>
          <w:bCs/>
          <w:color w:val="000000" w:themeColor="text1"/>
          <w:sz w:val="28"/>
          <w:szCs w:val="28"/>
          <w:highlight w:val="none"/>
          <w14:textFill>
            <w14:solidFill>
              <w14:schemeClr w14:val="tx1"/>
            </w14:solidFill>
          </w14:textFill>
        </w:rPr>
        <w:t>九</w:t>
      </w:r>
      <w:r>
        <w:rPr>
          <w:rFonts w:ascii="Tahoma" w:hAnsi="Tahoma" w:eastAsia="黑体" w:cs="Tahoma"/>
          <w:b/>
          <w:bCs/>
          <w:color w:val="000000" w:themeColor="text1"/>
          <w:sz w:val="28"/>
          <w:szCs w:val="28"/>
          <w:highlight w:val="none"/>
          <w14:textFill>
            <w14:solidFill>
              <w14:schemeClr w14:val="tx1"/>
            </w14:solidFill>
          </w14:textFill>
        </w:rPr>
        <w:t>）、投标供应商提交的其它相关资格证明资料</w:t>
      </w:r>
    </w:p>
    <w:p>
      <w:pPr>
        <w:rPr>
          <w:rFonts w:ascii="Tahoma" w:hAnsi="Tahoma" w:cs="Tahoma"/>
          <w:b/>
          <w:color w:val="000000" w:themeColor="text1"/>
          <w:sz w:val="36"/>
          <w:highlight w:val="none"/>
          <w14:textFill>
            <w14:solidFill>
              <w14:schemeClr w14:val="tx1"/>
            </w14:solidFill>
          </w14:textFill>
        </w:rPr>
      </w:pPr>
      <w:r>
        <w:rPr>
          <w:rFonts w:ascii="Tahoma" w:hAnsi="Tahoma" w:cs="Tahoma"/>
          <w:b/>
          <w:color w:val="000000" w:themeColor="text1"/>
          <w:sz w:val="36"/>
          <w:highlight w:val="none"/>
          <w14:textFill>
            <w14:solidFill>
              <w14:schemeClr w14:val="tx1"/>
            </w14:solidFill>
          </w14:textFill>
        </w:rPr>
        <w:t xml:space="preserve">   </w:t>
      </w:r>
    </w:p>
    <w:p>
      <w:pPr>
        <w:spacing w:line="360" w:lineRule="auto"/>
        <w:rPr>
          <w:rFonts w:ascii="Tahoma" w:hAnsi="Tahoma" w:cs="Tahoma"/>
          <w:color w:val="000000" w:themeColor="text1"/>
          <w:szCs w:val="21"/>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1、投标供应商认为应提交的其他相关资格证明文件或资料</w:t>
      </w:r>
      <w:r>
        <w:rPr>
          <w:rFonts w:hint="eastAsia" w:ascii="Tahoma" w:hAnsi="Tahoma" w:cs="Tahoma"/>
          <w:color w:val="000000" w:themeColor="text1"/>
          <w:szCs w:val="21"/>
          <w:highlight w:val="none"/>
          <w14:textFill>
            <w14:solidFill>
              <w14:schemeClr w14:val="tx1"/>
            </w14:solidFill>
          </w14:textFill>
        </w:rPr>
        <w:t>，</w:t>
      </w:r>
      <w:r>
        <w:rPr>
          <w:rFonts w:ascii="Tahoma" w:hAnsi="Tahoma" w:cs="Tahoma"/>
          <w:color w:val="000000" w:themeColor="text1"/>
          <w:szCs w:val="21"/>
          <w:highlight w:val="none"/>
          <w14:textFill>
            <w14:solidFill>
              <w14:schemeClr w14:val="tx1"/>
            </w14:solidFill>
          </w14:textFill>
        </w:rPr>
        <w:t xml:space="preserve"> 可在此提交。</w:t>
      </w:r>
    </w:p>
    <w:p>
      <w:pPr>
        <w:spacing w:line="360" w:lineRule="auto"/>
        <w:rPr>
          <w:rFonts w:ascii="Tahoma" w:hAnsi="Tahoma" w:cs="Tahoma"/>
          <w:color w:val="000000" w:themeColor="text1"/>
          <w:sz w:val="24"/>
          <w:highlight w:val="none"/>
          <w14:textFill>
            <w14:solidFill>
              <w14:schemeClr w14:val="tx1"/>
            </w14:solidFill>
          </w14:textFill>
        </w:rPr>
      </w:pPr>
      <w:r>
        <w:rPr>
          <w:rFonts w:ascii="Tahoma" w:hAnsi="Tahoma" w:cs="Tahoma"/>
          <w:color w:val="000000" w:themeColor="text1"/>
          <w:szCs w:val="21"/>
          <w:highlight w:val="none"/>
          <w14:textFill>
            <w14:solidFill>
              <w14:schemeClr w14:val="tx1"/>
            </w14:solidFill>
          </w14:textFill>
        </w:rPr>
        <w:t>2、所提交的文件或资料应加盖投标供应商公章。</w:t>
      </w: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center"/>
        <w:rPr>
          <w:rFonts w:ascii="Tahoma" w:hAnsi="Tahoma" w:eastAsia="黑体" w:cs="Tahoma"/>
          <w:b/>
          <w:bCs/>
          <w:color w:val="000000" w:themeColor="text1"/>
          <w:sz w:val="32"/>
          <w:highlight w:val="none"/>
          <w14:textFill>
            <w14:solidFill>
              <w14:schemeClr w14:val="tx1"/>
            </w14:solidFill>
          </w14:textFill>
        </w:rPr>
      </w:pPr>
    </w:p>
    <w:p>
      <w:pPr>
        <w:jc w:val="both"/>
        <w:rPr>
          <w:rFonts w:ascii="Tahoma" w:hAnsi="Tahoma" w:cs="Tahoma"/>
          <w:b/>
          <w:bCs/>
          <w:color w:val="000000" w:themeColor="text1"/>
          <w:sz w:val="36"/>
          <w:highlight w:val="none"/>
          <w14:textFill>
            <w14:solidFill>
              <w14:schemeClr w14:val="tx1"/>
            </w14:solidFill>
          </w14:textFill>
        </w:rPr>
      </w:pPr>
    </w:p>
    <w:p>
      <w:pPr>
        <w:spacing w:line="440" w:lineRule="exact"/>
        <w:jc w:val="center"/>
        <w:rPr>
          <w:rFonts w:ascii="Tahoma" w:hAnsi="Tahoma" w:cs="Tahoma"/>
          <w:b/>
          <w:bCs/>
          <w:color w:val="000000" w:themeColor="text1"/>
          <w:sz w:val="32"/>
          <w:szCs w:val="32"/>
          <w:highlight w:val="none"/>
          <w14:textFill>
            <w14:solidFill>
              <w14:schemeClr w14:val="tx1"/>
            </w14:solidFill>
          </w14:textFill>
        </w:rPr>
      </w:pPr>
    </w:p>
    <w:sectPr>
      <w:type w:val="nextColumn"/>
      <w:pgSz w:w="12240" w:h="15840"/>
      <w:pgMar w:top="1440" w:right="1440" w:bottom="1440" w:left="1440" w:header="720" w:footer="720" w:gutter="0"/>
      <w:pgBorders>
        <w:top w:val="none" w:sz="0" w:space="0"/>
        <w:left w:val="none" w:sz="0" w:space="0"/>
        <w:bottom w:val="none" w:sz="0" w:space="0"/>
        <w:right w:val="none" w:sz="0" w:space="0"/>
      </w:pgBorders>
      <w:pgNumType w:fmt="decimal"/>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Noto Sans Mono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等线 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wis721 Blk BT">
    <w:panose1 w:val="020B0904030502020204"/>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Trebuchet MS">
    <w:panose1 w:val="020B0603020202020204"/>
    <w:charset w:val="00"/>
    <w:family w:val="swiss"/>
    <w:pitch w:val="default"/>
    <w:sig w:usb0="00000687" w:usb1="00000000" w:usb2="00000000" w:usb3="00000000" w:csb0="2000009F" w:csb1="00000000"/>
  </w:font>
  <w:font w:name="F4,Bold">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5100"/>
        <w:tab w:val="left" w:pos="5821"/>
      </w:tabs>
      <w:jc w:val="lef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08415463"/>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2108415463"/>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08415463"/>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2108415463"/>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ascii="Tahoma" w:hAnsi="Tahoma" w:cs="Tahoma"/>
                              <w:kern w:val="0"/>
                              <w:szCs w:val="21"/>
                            </w:rPr>
                            <w:fldChar w:fldCharType="begin"/>
                          </w:r>
                          <w:r>
                            <w:rPr>
                              <w:rStyle w:val="23"/>
                              <w:rFonts w:ascii="Tahoma" w:hAnsi="Tahoma" w:cs="Tahoma"/>
                              <w:kern w:val="0"/>
                              <w:szCs w:val="21"/>
                            </w:rPr>
                            <w:instrText xml:space="preserve"> PAGE  </w:instrText>
                          </w:r>
                          <w:r>
                            <w:rPr>
                              <w:rFonts w:ascii="Tahoma" w:hAnsi="Tahoma" w:cs="Tahoma"/>
                              <w:kern w:val="0"/>
                              <w:szCs w:val="21"/>
                            </w:rPr>
                            <w:fldChar w:fldCharType="separate"/>
                          </w:r>
                          <w:r>
                            <w:rPr>
                              <w:rStyle w:val="23"/>
                              <w:rFonts w:ascii="Tahoma" w:hAnsi="Tahoma" w:cs="Tahoma"/>
                              <w:kern w:val="0"/>
                              <w:szCs w:val="21"/>
                            </w:rPr>
                            <w:t>53</w:t>
                          </w:r>
                          <w:r>
                            <w:rPr>
                              <w:rFonts w:ascii="Tahoma" w:hAnsi="Tahoma" w:cs="Tahoma"/>
                              <w:kern w:val="0"/>
                              <w:szCs w:val="21"/>
                            </w:rPr>
                            <w:fldChar w:fldCharType="end"/>
                          </w:r>
                          <w:r>
                            <w:rPr>
                              <w:kern w:val="0"/>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4"/>
                    </w:pPr>
                    <w:r>
                      <w:rPr>
                        <w:rFonts w:ascii="Tahoma" w:hAnsi="Tahoma" w:cs="Tahoma"/>
                        <w:kern w:val="0"/>
                        <w:szCs w:val="21"/>
                      </w:rPr>
                      <w:fldChar w:fldCharType="begin"/>
                    </w:r>
                    <w:r>
                      <w:rPr>
                        <w:rStyle w:val="23"/>
                        <w:rFonts w:ascii="Tahoma" w:hAnsi="Tahoma" w:cs="Tahoma"/>
                        <w:kern w:val="0"/>
                        <w:szCs w:val="21"/>
                      </w:rPr>
                      <w:instrText xml:space="preserve"> PAGE  </w:instrText>
                    </w:r>
                    <w:r>
                      <w:rPr>
                        <w:rFonts w:ascii="Tahoma" w:hAnsi="Tahoma" w:cs="Tahoma"/>
                        <w:kern w:val="0"/>
                        <w:szCs w:val="21"/>
                      </w:rPr>
                      <w:fldChar w:fldCharType="separate"/>
                    </w:r>
                    <w:r>
                      <w:rPr>
                        <w:rStyle w:val="23"/>
                        <w:rFonts w:ascii="Tahoma" w:hAnsi="Tahoma" w:cs="Tahoma"/>
                        <w:kern w:val="0"/>
                        <w:szCs w:val="21"/>
                      </w:rPr>
                      <w:t>53</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ascii="Tahoma" w:hAnsi="Tahoma" w:cs="Tahoma"/>
                              <w:kern w:val="0"/>
                              <w:szCs w:val="21"/>
                            </w:rPr>
                            <w:fldChar w:fldCharType="begin"/>
                          </w:r>
                          <w:r>
                            <w:rPr>
                              <w:rStyle w:val="23"/>
                              <w:rFonts w:ascii="Tahoma" w:hAnsi="Tahoma" w:cs="Tahoma"/>
                              <w:kern w:val="0"/>
                              <w:szCs w:val="21"/>
                            </w:rPr>
                            <w:instrText xml:space="preserve"> PAGE  </w:instrText>
                          </w:r>
                          <w:r>
                            <w:rPr>
                              <w:rFonts w:ascii="Tahoma" w:hAnsi="Tahoma" w:cs="Tahoma"/>
                              <w:kern w:val="0"/>
                              <w:szCs w:val="21"/>
                            </w:rPr>
                            <w:fldChar w:fldCharType="separate"/>
                          </w:r>
                          <w:r>
                            <w:rPr>
                              <w:rStyle w:val="23"/>
                              <w:rFonts w:ascii="Tahoma" w:hAnsi="Tahoma" w:cs="Tahoma"/>
                              <w:kern w:val="0"/>
                              <w:szCs w:val="21"/>
                            </w:rPr>
                            <w:t>71</w:t>
                          </w:r>
                          <w:r>
                            <w:rPr>
                              <w:rFonts w:ascii="Tahoma" w:hAnsi="Tahoma" w:cs="Tahoma"/>
                              <w:kern w:val="0"/>
                              <w:szCs w:val="21"/>
                            </w:rPr>
                            <w:fldChar w:fldCharType="end"/>
                          </w:r>
                          <w:r>
                            <w:rPr>
                              <w:kern w:val="0"/>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4"/>
                    </w:pPr>
                    <w:r>
                      <w:rPr>
                        <w:rFonts w:ascii="Tahoma" w:hAnsi="Tahoma" w:cs="Tahoma"/>
                        <w:kern w:val="0"/>
                        <w:szCs w:val="21"/>
                      </w:rPr>
                      <w:fldChar w:fldCharType="begin"/>
                    </w:r>
                    <w:r>
                      <w:rPr>
                        <w:rStyle w:val="23"/>
                        <w:rFonts w:ascii="Tahoma" w:hAnsi="Tahoma" w:cs="Tahoma"/>
                        <w:kern w:val="0"/>
                        <w:szCs w:val="21"/>
                      </w:rPr>
                      <w:instrText xml:space="preserve"> PAGE  </w:instrText>
                    </w:r>
                    <w:r>
                      <w:rPr>
                        <w:rFonts w:ascii="Tahoma" w:hAnsi="Tahoma" w:cs="Tahoma"/>
                        <w:kern w:val="0"/>
                        <w:szCs w:val="21"/>
                      </w:rPr>
                      <w:fldChar w:fldCharType="separate"/>
                    </w:r>
                    <w:r>
                      <w:rPr>
                        <w:rStyle w:val="23"/>
                        <w:rFonts w:ascii="Tahoma" w:hAnsi="Tahoma" w:cs="Tahoma"/>
                        <w:kern w:val="0"/>
                        <w:szCs w:val="21"/>
                      </w:rPr>
                      <w:t>71</w:t>
                    </w:r>
                    <w:r>
                      <w:rPr>
                        <w:rFonts w:ascii="Tahoma" w:hAnsi="Tahoma" w:cs="Tahoma"/>
                        <w:kern w:val="0"/>
                        <w:szCs w:val="21"/>
                      </w:rPr>
                      <w:fldChar w:fldCharType="end"/>
                    </w:r>
                    <w:r>
                      <w:rPr>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Swis721 Blk BT" w:hAnsi="Swis721 Blk BT"/>
      </w:rPr>
    </w:pPr>
    <w:r>
      <w:rPr>
        <w:rFonts w:hint="eastAsia" w:ascii="Tahoma" w:hAnsi="Tahoma" w:cs="Tahoma"/>
        <w:szCs w:val="21"/>
        <w:lang w:eastAsia="zh-CN"/>
      </w:rPr>
      <w:t>和田地区和田县人民医院综合能力提升及信息化建设项目</w:t>
    </w:r>
    <w:r>
      <w:rPr>
        <w:rFonts w:hint="eastAsia" w:ascii="Swis721 Blk BT"/>
      </w:rPr>
      <w:t>-</w:t>
    </w:r>
    <w:r>
      <w:rPr>
        <w:rFonts w:ascii="Swis721 Blk BT"/>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Swis721 Blk BT" w:hAnsi="Swis721 Blk BT"/>
      </w:rPr>
    </w:pPr>
    <w:r>
      <w:rPr>
        <w:rFonts w:hint="eastAsia" w:ascii="Tahoma" w:hAnsi="Tahoma" w:cs="Tahoma"/>
        <w:szCs w:val="21"/>
        <w:lang w:eastAsia="zh-CN"/>
      </w:rPr>
      <w:t>和田地区和田县人民医院综合能力提升及信息化建设项目</w:t>
    </w:r>
    <w:r>
      <w:rPr>
        <w:rFonts w:hint="eastAsia" w:ascii="Swis721 Blk BT"/>
      </w:rPr>
      <w:t>-</w:t>
    </w:r>
    <w:r>
      <w:rPr>
        <w:rFonts w:ascii="Swis721 Blk BT"/>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br w:type="textWrapping"/>
    </w:r>
    <w:r>
      <w:rPr>
        <w:rFonts w:hint="eastAsia"/>
        <w:lang w:eastAsia="zh-CN"/>
      </w:rPr>
      <w:t>和田地区和田县人民医院综合能力提升及信息化建设项目</w:t>
    </w:r>
    <w:r>
      <w:rPr>
        <w:rFonts w:hint="eastAsia" w:ascii="Swis721 Blk BT"/>
      </w:rPr>
      <w:t>-</w:t>
    </w:r>
    <w:r>
      <w:rPr>
        <w:rFonts w:ascii="Swis721 Blk BT"/>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br w:type="textWrapping"/>
    </w:r>
    <w:r>
      <w:rPr>
        <w:rFonts w:hint="eastAsia" w:ascii="Tahoma" w:hAnsi="Tahoma" w:cs="Tahoma"/>
        <w:szCs w:val="21"/>
        <w:lang w:eastAsia="zh-CN"/>
      </w:rPr>
      <w:t>和田地区和田县人民医院综合能力提升及信息化建设项目</w:t>
    </w:r>
    <w:r>
      <w:rPr>
        <w:rFonts w:hint="eastAsia" w:ascii="Swis721 Blk BT"/>
      </w:rPr>
      <w:t>-</w:t>
    </w:r>
    <w:r>
      <w:rPr>
        <w:rFonts w:ascii="Swis721 Blk BT"/>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129F9"/>
    <w:multiLevelType w:val="singleLevel"/>
    <w:tmpl w:val="D1D129F9"/>
    <w:lvl w:ilvl="0" w:tentative="0">
      <w:start w:val="1"/>
      <w:numFmt w:val="bullet"/>
      <w:lvlText w:val=""/>
      <w:lvlJc w:val="left"/>
      <w:pPr>
        <w:ind w:left="420" w:hanging="420"/>
      </w:pPr>
      <w:rPr>
        <w:rFonts w:hint="default" w:ascii="Wingdings" w:hAnsi="Wingdings"/>
      </w:rPr>
    </w:lvl>
  </w:abstractNum>
  <w:abstractNum w:abstractNumId="1">
    <w:nsid w:val="00000000"/>
    <w:multiLevelType w:val="singleLevel"/>
    <w:tmpl w:val="00000000"/>
    <w:lvl w:ilvl="0" w:tentative="0">
      <w:start w:val="1"/>
      <w:numFmt w:val="upperLetter"/>
      <w:suff w:val="nothing"/>
      <w:lvlText w:val="%1、"/>
      <w:lvlJc w:val="left"/>
      <w:pPr>
        <w:ind w:left="0"/>
      </w:pPr>
    </w:lvl>
  </w:abstractNum>
  <w:abstractNum w:abstractNumId="2">
    <w:nsid w:val="024D7748"/>
    <w:multiLevelType w:val="multilevel"/>
    <w:tmpl w:val="024D774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7765D99"/>
    <w:multiLevelType w:val="multilevel"/>
    <w:tmpl w:val="07765D9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AC04D6F"/>
    <w:multiLevelType w:val="multilevel"/>
    <w:tmpl w:val="2AC04D6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2D817638"/>
    <w:multiLevelType w:val="multilevel"/>
    <w:tmpl w:val="2D81763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2027D9F"/>
    <w:multiLevelType w:val="multilevel"/>
    <w:tmpl w:val="42027D9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163381D"/>
    <w:multiLevelType w:val="singleLevel"/>
    <w:tmpl w:val="5163381D"/>
    <w:lvl w:ilvl="0" w:tentative="0">
      <w:start w:val="1"/>
      <w:numFmt w:val="decimal"/>
      <w:lvlText w:val="(%1)"/>
      <w:lvlJc w:val="left"/>
      <w:pPr>
        <w:ind w:left="425" w:hanging="425"/>
      </w:pPr>
      <w:rPr>
        <w:rFonts w:hint="default"/>
      </w:rPr>
    </w:lvl>
  </w:abstractNum>
  <w:abstractNum w:abstractNumId="8">
    <w:nsid w:val="56E9AA90"/>
    <w:multiLevelType w:val="singleLevel"/>
    <w:tmpl w:val="56E9AA90"/>
    <w:lvl w:ilvl="0" w:tentative="0">
      <w:start w:val="1"/>
      <w:numFmt w:val="decimal"/>
      <w:suff w:val="nothing"/>
      <w:lvlText w:val="（%1）"/>
      <w:lvlJc w:val="left"/>
    </w:lvl>
  </w:abstractNum>
  <w:abstractNum w:abstractNumId="9">
    <w:nsid w:val="6256A486"/>
    <w:multiLevelType w:val="singleLevel"/>
    <w:tmpl w:val="6256A486"/>
    <w:lvl w:ilvl="0" w:tentative="0">
      <w:start w:val="4"/>
      <w:numFmt w:val="chineseCounting"/>
      <w:suff w:val="space"/>
      <w:lvlText w:val="第%1章"/>
      <w:lvlJc w:val="left"/>
      <w:rPr>
        <w:rFonts w:hint="eastAsia"/>
      </w:rPr>
    </w:lvl>
  </w:abstractNum>
  <w:abstractNum w:abstractNumId="10">
    <w:nsid w:val="628C4A4A"/>
    <w:multiLevelType w:val="singleLevel"/>
    <w:tmpl w:val="628C4A4A"/>
    <w:lvl w:ilvl="0" w:tentative="0">
      <w:start w:val="18"/>
      <w:numFmt w:val="decimal"/>
      <w:suff w:val="nothing"/>
      <w:lvlText w:val="%1、"/>
      <w:lvlJc w:val="left"/>
    </w:lvl>
  </w:abstractNum>
  <w:abstractNum w:abstractNumId="11">
    <w:nsid w:val="6D4B2530"/>
    <w:multiLevelType w:val="multilevel"/>
    <w:tmpl w:val="6D4B253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1"/>
  </w:num>
  <w:num w:numId="3">
    <w:abstractNumId w:val="9"/>
  </w:num>
  <w:num w:numId="4">
    <w:abstractNumId w:val="10"/>
    <w:lvlOverride w:ilvl="0">
      <w:startOverride w:val="1"/>
    </w:lvlOverride>
  </w:num>
  <w:num w:numId="5">
    <w:abstractNumId w:val="0"/>
  </w:num>
  <w:num w:numId="6">
    <w:abstractNumId w:val="5"/>
  </w:num>
  <w:num w:numId="7">
    <w:abstractNumId w:val="2"/>
  </w:num>
  <w:num w:numId="8">
    <w:abstractNumId w:val="11"/>
  </w:num>
  <w:num w:numId="9">
    <w:abstractNumId w:val="7"/>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ZmI5MjYwMDNiN2I0YjBhN2RjZWU4YjBjZjZhNmYifQ=="/>
  </w:docVars>
  <w:rsids>
    <w:rsidRoot w:val="00000000"/>
    <w:rsid w:val="04E45870"/>
    <w:rsid w:val="0A8B0EB9"/>
    <w:rsid w:val="15293CE8"/>
    <w:rsid w:val="17304D78"/>
    <w:rsid w:val="1B1D01FE"/>
    <w:rsid w:val="1BBB101F"/>
    <w:rsid w:val="1C933F18"/>
    <w:rsid w:val="1DA5618C"/>
    <w:rsid w:val="20745325"/>
    <w:rsid w:val="23C223F1"/>
    <w:rsid w:val="2C1150DF"/>
    <w:rsid w:val="30034244"/>
    <w:rsid w:val="329704A2"/>
    <w:rsid w:val="3487500E"/>
    <w:rsid w:val="3D625FAE"/>
    <w:rsid w:val="41101E61"/>
    <w:rsid w:val="43B379AE"/>
    <w:rsid w:val="47B30653"/>
    <w:rsid w:val="528B09DC"/>
    <w:rsid w:val="53B57A22"/>
    <w:rsid w:val="5D752454"/>
    <w:rsid w:val="6A484BD2"/>
    <w:rsid w:val="6AFC48BD"/>
    <w:rsid w:val="6C446D36"/>
    <w:rsid w:val="734A27AC"/>
    <w:rsid w:val="76333D8B"/>
    <w:rsid w:val="7BA44E3B"/>
    <w:rsid w:val="7C341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3"/>
    <w:next w:val="1"/>
    <w:unhideWhenUsed/>
    <w:qFormat/>
    <w:uiPriority w:val="9"/>
    <w:pPr>
      <w:keepNext/>
      <w:keepLines/>
      <w:spacing w:after="200"/>
      <w:ind w:firstLine="0" w:firstLineChars="0"/>
      <w:outlineLvl w:val="1"/>
    </w:pPr>
    <w:rPr>
      <w:rFonts w:ascii="宋体" w:hAnsi="宋体"/>
      <w:sz w:val="32"/>
      <w:szCs w:val="32"/>
    </w:rPr>
  </w:style>
  <w:style w:type="paragraph" w:styleId="5">
    <w:name w:val="heading 3"/>
    <w:basedOn w:val="4"/>
    <w:next w:val="1"/>
    <w:unhideWhenUsed/>
    <w:qFormat/>
    <w:uiPriority w:val="9"/>
    <w:pPr>
      <w:keepNext/>
      <w:keepLines/>
      <w:spacing w:after="200"/>
      <w:ind w:firstLine="0" w:firstLineChars="0"/>
      <w:outlineLvl w:val="2"/>
    </w:pPr>
    <w:rPr>
      <w:sz w:val="32"/>
      <w:szCs w:val="32"/>
    </w:rPr>
  </w:style>
  <w:style w:type="paragraph" w:styleId="6">
    <w:name w:val="heading 4"/>
    <w:basedOn w:val="1"/>
    <w:next w:val="1"/>
    <w:unhideWhenUsed/>
    <w:qFormat/>
    <w:uiPriority w:val="9"/>
    <w:pPr>
      <w:keepNext/>
      <w:keepLines/>
      <w:spacing w:after="210"/>
      <w:ind w:firstLine="0" w:firstLineChars="0"/>
      <w:outlineLvl w:val="3"/>
    </w:pPr>
    <w:rPr>
      <w:rFonts w:ascii="等线 Light" w:hAnsi="等线 Light"/>
      <w:b/>
      <w:bCs/>
      <w:sz w:val="28"/>
      <w:szCs w:val="28"/>
    </w:rPr>
  </w:style>
  <w:style w:type="paragraph" w:styleId="7">
    <w:name w:val="heading 5"/>
    <w:basedOn w:val="1"/>
    <w:next w:val="1"/>
    <w:unhideWhenUsed/>
    <w:qFormat/>
    <w:uiPriority w:val="9"/>
    <w:pPr>
      <w:keepNext/>
      <w:keepLines/>
      <w:spacing w:after="290" w:line="376" w:lineRule="auto"/>
      <w:outlineLvl w:val="4"/>
    </w:pPr>
    <w:rPr>
      <w:b/>
      <w:bCs/>
      <w:sz w:val="28"/>
      <w:szCs w:val="28"/>
    </w:rPr>
  </w:style>
  <w:style w:type="paragraph" w:styleId="8">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styleId="9">
    <w:name w:val="Normal Indent"/>
    <w:basedOn w:val="1"/>
    <w:qFormat/>
    <w:uiPriority w:val="0"/>
    <w:pPr>
      <w:ind w:firstLine="420"/>
    </w:pPr>
    <w:rPr>
      <w:szCs w:val="20"/>
    </w:rPr>
  </w:style>
  <w:style w:type="paragraph" w:styleId="10">
    <w:name w:val="Body Text"/>
    <w:basedOn w:val="1"/>
    <w:next w:val="1"/>
    <w:qFormat/>
    <w:uiPriority w:val="0"/>
    <w:pPr>
      <w:spacing w:line="380" w:lineRule="exact"/>
    </w:pPr>
    <w:rPr>
      <w:sz w:val="24"/>
    </w:rPr>
  </w:style>
  <w:style w:type="paragraph" w:styleId="11">
    <w:name w:val="Body Text Indent"/>
    <w:basedOn w:val="1"/>
    <w:qFormat/>
    <w:uiPriority w:val="0"/>
    <w:pPr>
      <w:widowControl/>
      <w:adjustRightInd w:val="0"/>
      <w:snapToGrid w:val="0"/>
      <w:spacing w:line="360" w:lineRule="auto"/>
      <w:ind w:firstLine="420"/>
      <w:jc w:val="left"/>
    </w:pPr>
    <w:rPr>
      <w:rFonts w:ascii="宋体" w:hAnsi="宋体"/>
      <w:kern w:val="0"/>
      <w:sz w:val="24"/>
      <w:szCs w:val="24"/>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footer"/>
    <w:basedOn w:val="1"/>
    <w:link w:val="31"/>
    <w:qFormat/>
    <w:uiPriority w:val="99"/>
    <w:pPr>
      <w:tabs>
        <w:tab w:val="center" w:pos="4153"/>
        <w:tab w:val="right" w:pos="8306"/>
      </w:tabs>
      <w:snapToGrid w:val="0"/>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footnote text"/>
    <w:basedOn w:val="1"/>
    <w:qFormat/>
    <w:uiPriority w:val="0"/>
    <w:pPr>
      <w:snapToGrid w:val="0"/>
    </w:pPr>
    <w:rPr>
      <w:sz w:val="18"/>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spacing w:before="100" w:beforeAutospacing="1" w:after="100" w:afterAutospacing="1"/>
    </w:pPr>
    <w:rPr>
      <w:rFonts w:ascii="宋体" w:hAnsi="宋体" w:cs="宋体"/>
      <w:kern w:val="0"/>
      <w:sz w:val="24"/>
    </w:rPr>
  </w:style>
  <w:style w:type="paragraph" w:styleId="19">
    <w:name w:val="Body Text First Indent"/>
    <w:basedOn w:val="10"/>
    <w:qFormat/>
    <w:uiPriority w:val="0"/>
    <w:pPr>
      <w:spacing w:after="120"/>
      <w:ind w:firstLine="420"/>
    </w:pPr>
  </w:style>
  <w:style w:type="character" w:styleId="22">
    <w:name w:val="Strong"/>
    <w:basedOn w:val="21"/>
    <w:qFormat/>
    <w:uiPriority w:val="0"/>
    <w:rPr>
      <w:b/>
    </w:rPr>
  </w:style>
  <w:style w:type="character" w:styleId="23">
    <w:name w:val="page number"/>
    <w:basedOn w:val="21"/>
    <w:qFormat/>
    <w:uiPriority w:val="0"/>
  </w:style>
  <w:style w:type="character" w:styleId="24">
    <w:name w:val="HTML Sample"/>
    <w:basedOn w:val="21"/>
    <w:qFormat/>
    <w:uiPriority w:val="0"/>
    <w:rPr>
      <w:rFonts w:ascii="Courier New" w:hAnsi="Courier New"/>
    </w:rPr>
  </w:style>
  <w:style w:type="paragraph" w:customStyle="1" w:styleId="25">
    <w:name w:val="Table Paragraph"/>
    <w:basedOn w:val="1"/>
    <w:qFormat/>
    <w:uiPriority w:val="1"/>
    <w:rPr>
      <w:rFonts w:ascii="Noto Sans Mono CJK JP Regular" w:hAnsi="Noto Sans Mono CJK JP Regular" w:eastAsia="Noto Sans Mono CJK JP Regular" w:cs="Noto Sans Mono CJK JP Regular"/>
    </w:rPr>
  </w:style>
  <w:style w:type="paragraph" w:customStyle="1" w:styleId="26">
    <w:name w:val="p0"/>
    <w:basedOn w:val="1"/>
    <w:qFormat/>
    <w:uiPriority w:val="0"/>
    <w:rPr>
      <w:kern w:val="0"/>
      <w:szCs w:val="21"/>
    </w:rPr>
  </w:style>
  <w:style w:type="paragraph" w:customStyle="1" w:styleId="27">
    <w:name w:val="样式3"/>
    <w:basedOn w:val="13"/>
    <w:qFormat/>
    <w:uiPriority w:val="0"/>
    <w:pPr>
      <w:spacing w:line="0" w:lineRule="atLeast"/>
      <w:outlineLvl w:val="0"/>
    </w:pPr>
    <w:rPr>
      <w:sz w:val="28"/>
    </w:rPr>
  </w:style>
  <w:style w:type="paragraph" w:customStyle="1" w:styleId="28">
    <w:name w:val="List Paragraph"/>
    <w:basedOn w:val="1"/>
    <w:qFormat/>
    <w:uiPriority w:val="34"/>
    <w:pPr>
      <w:ind w:firstLine="420" w:firstLineChars="200"/>
    </w:pPr>
    <w:rPr>
      <w:rFonts w:ascii="Calibri" w:hAnsi="Calibri"/>
      <w:szCs w:val="22"/>
    </w:rPr>
  </w:style>
  <w:style w:type="paragraph" w:customStyle="1" w:styleId="29">
    <w:name w:val="列表段落1"/>
    <w:basedOn w:val="1"/>
    <w:qFormat/>
    <w:uiPriority w:val="34"/>
    <w:pPr>
      <w:ind w:firstLine="420" w:firstLineChars="200"/>
    </w:pPr>
  </w:style>
  <w:style w:type="character" w:customStyle="1" w:styleId="30">
    <w:name w:val="font01"/>
    <w:basedOn w:val="21"/>
    <w:qFormat/>
    <w:uiPriority w:val="0"/>
    <w:rPr>
      <w:rFonts w:hint="eastAsia" w:ascii="宋体" w:hAnsi="宋体" w:eastAsia="宋体" w:cs="宋体"/>
      <w:color w:val="000000"/>
      <w:sz w:val="22"/>
      <w:szCs w:val="22"/>
      <w:u w:val="none"/>
    </w:rPr>
  </w:style>
  <w:style w:type="character" w:customStyle="1" w:styleId="31">
    <w:name w:val="页脚 字符"/>
    <w:basedOn w:val="21"/>
    <w:link w:val="14"/>
    <w:qFormat/>
    <w:uiPriority w:val="99"/>
    <w:rPr>
      <w:kern w:val="2"/>
      <w:sz w:val="18"/>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3">
    <w:name w:val="detail-info"/>
    <w:basedOn w:val="1"/>
    <w:qFormat/>
    <w:uiPriority w:val="0"/>
    <w:pPr>
      <w:pBdr>
        <w:top w:val="none" w:color="auto" w:sz="0" w:space="0"/>
        <w:left w:val="none" w:color="auto" w:sz="0" w:space="0"/>
        <w:bottom w:val="dotted" w:color="999999" w:sz="6" w:space="7"/>
        <w:right w:val="none" w:color="auto" w:sz="0" w:space="0"/>
      </w:pBdr>
      <w:spacing w:after="300" w:afterAutospacing="0"/>
      <w:jc w:val="left"/>
    </w:pPr>
    <w:rPr>
      <w:color w:val="666666"/>
      <w:kern w:val="0"/>
      <w:sz w:val="21"/>
      <w:szCs w:val="21"/>
      <w:lang w:val="en-US" w:eastAsia="zh-CN" w:bidi="ar"/>
    </w:rPr>
  </w:style>
  <w:style w:type="paragraph" w:customStyle="1" w:styleId="34">
    <w:name w:val="列出段落1"/>
    <w:basedOn w:val="1"/>
    <w:qFormat/>
    <w:uiPriority w:val="34"/>
    <w:pPr>
      <w:ind w:firstLine="420"/>
    </w:pPr>
    <w:rPr>
      <w:rFonts w:ascii="Times New Roman" w:hAnsi="Times New Roman"/>
      <w:kern w:val="0"/>
      <w:sz w:val="20"/>
      <w:szCs w:val="20"/>
    </w:rPr>
  </w:style>
  <w:style w:type="paragraph" w:customStyle="1" w:styleId="35">
    <w:name w:val="正文首行缩进1"/>
    <w:qFormat/>
    <w:uiPriority w:val="0"/>
    <w:pPr>
      <w:spacing w:line="360" w:lineRule="auto"/>
      <w:ind w:firstLine="200" w:firstLineChars="200"/>
    </w:pPr>
    <w:rPr>
      <w:rFonts w:ascii="Times New Roman" w:hAnsi="Times New Roman" w:eastAsia="宋体" w:cs="Times New Roman"/>
      <w:szCs w:val="24"/>
      <w:lang w:val="en-US" w:eastAsia="zh-CN" w:bidi="ar-SA"/>
    </w:rPr>
  </w:style>
  <w:style w:type="paragraph" w:customStyle="1" w:styleId="36">
    <w:name w:val="正文-无缩进"/>
    <w:basedOn w:val="1"/>
    <w:qFormat/>
    <w:uiPriority w:val="0"/>
    <w:pPr>
      <w:ind w:firstLine="0" w:firstLineChars="0"/>
    </w:pPr>
  </w:style>
  <w:style w:type="paragraph" w:customStyle="1" w:styleId="37">
    <w:name w:val="列表段落3"/>
    <w:basedOn w:val="1"/>
    <w:qFormat/>
    <w:uiPriority w:val="0"/>
    <w:pPr>
      <w:ind w:firstLine="420"/>
    </w:pPr>
    <w:rPr>
      <w:rFonts w:ascii="Calibri" w:hAnsi="Calibri"/>
    </w:r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39">
    <w:name w:val="font11"/>
    <w:basedOn w:val="21"/>
    <w:qFormat/>
    <w:uiPriority w:val="0"/>
    <w:rPr>
      <w:rFonts w:hint="eastAsia" w:ascii="宋体" w:hAnsi="宋体" w:eastAsia="宋体" w:cs="宋体"/>
      <w:color w:val="333333"/>
      <w:sz w:val="24"/>
      <w:szCs w:val="24"/>
      <w:u w:val="none"/>
    </w:rPr>
  </w:style>
  <w:style w:type="character" w:customStyle="1" w:styleId="40">
    <w:name w:val="font21"/>
    <w:basedOn w:val="21"/>
    <w:qFormat/>
    <w:uiPriority w:val="0"/>
    <w:rPr>
      <w:rFonts w:ascii="等线 Regular" w:hAnsi="等线 Regular" w:eastAsia="等线 Regular" w:cs="等线 Regular"/>
      <w:color w:val="333333"/>
      <w:sz w:val="24"/>
      <w:szCs w:val="24"/>
      <w:u w:val="none"/>
    </w:rPr>
  </w:style>
  <w:style w:type="character" w:customStyle="1" w:styleId="41">
    <w:name w:val="font31"/>
    <w:basedOn w:val="21"/>
    <w:qFormat/>
    <w:uiPriority w:val="0"/>
    <w:rPr>
      <w:rFonts w:ascii="等线 Regular" w:hAnsi="等线 Regular" w:eastAsia="等线 Regular" w:cs="等线 Regular"/>
      <w:color w:val="333333"/>
      <w:sz w:val="24"/>
      <w:szCs w:val="24"/>
      <w:u w:val="none"/>
    </w:rPr>
  </w:style>
  <w:style w:type="character" w:customStyle="1" w:styleId="42">
    <w:name w:val="font51"/>
    <w:basedOn w:val="21"/>
    <w:qFormat/>
    <w:uiPriority w:val="0"/>
    <w:rPr>
      <w:rFonts w:ascii="等线 Regular" w:hAnsi="等线 Regular" w:eastAsia="等线 Regular" w:cs="等线 Regular"/>
      <w:color w:val="000000"/>
      <w:sz w:val="22"/>
      <w:szCs w:val="22"/>
      <w:u w:val="none"/>
    </w:rPr>
  </w:style>
  <w:style w:type="character" w:customStyle="1" w:styleId="43">
    <w:name w:val="font41"/>
    <w:basedOn w:val="21"/>
    <w:qFormat/>
    <w:uiPriority w:val="0"/>
    <w:rPr>
      <w:rFonts w:hint="eastAsia" w:ascii="宋体" w:hAnsi="宋体" w:eastAsia="宋体" w:cs="宋体"/>
      <w:color w:val="000000"/>
      <w:sz w:val="24"/>
      <w:szCs w:val="24"/>
      <w:u w:val="none"/>
    </w:rPr>
  </w:style>
  <w:style w:type="character" w:customStyle="1" w:styleId="44">
    <w:name w:val="font61"/>
    <w:basedOn w:val="21"/>
    <w:qFormat/>
    <w:uiPriority w:val="0"/>
    <w:rPr>
      <w:rFonts w:hint="default" w:ascii="等线 Regular" w:hAnsi="等线 Regular" w:eastAsia="等线 Regular" w:cs="等线 Regular"/>
      <w:color w:val="000000"/>
      <w:sz w:val="24"/>
      <w:szCs w:val="24"/>
      <w:u w:val="none"/>
    </w:rPr>
  </w:style>
  <w:style w:type="paragraph" w:customStyle="1" w:styleId="45">
    <w:name w:val="表格样式"/>
    <w:basedOn w:val="1"/>
    <w:qFormat/>
    <w:uiPriority w:val="0"/>
    <w:pPr>
      <w:wordWrap w:val="0"/>
      <w:spacing w:after="0" w:line="240" w:lineRule="auto"/>
      <w:jc w:val="left"/>
    </w:pPr>
    <w:rPr>
      <w:rFonts w:ascii="仿宋" w:hAnsi="仿宋"/>
      <w:szCs w:val="22"/>
    </w:rPr>
  </w:style>
  <w:style w:type="paragraph" w:customStyle="1" w:styleId="46">
    <w:name w:val="列表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157</Pages>
  <Words>113799</Words>
  <Characters>123910</Characters>
  <Lines>545</Lines>
  <Paragraphs>153</Paragraphs>
  <TotalTime>41</TotalTime>
  <ScaleCrop>false</ScaleCrop>
  <LinksUpToDate>false</LinksUpToDate>
  <CharactersWithSpaces>131707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2020-12-15T02:27:00Z</dcterms:created>
  <dc:creator>翟旭</dc:creator>
  <cp:lastModifiedBy>翟旭</cp:lastModifiedBy>
  <cp:lastPrinted>2022-05-22T15:51:00Z</cp:lastPrinted>
  <dcterms:modified xsi:type="dcterms:W3CDTF">2022-05-24T15:45:31Z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F9A4B4C1FA454414AFE18130CB9A225D</vt:lpwstr>
  </property>
</Properties>
</file>