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一包服务需求</w:t>
      </w:r>
    </w:p>
    <w:p>
      <w:pPr>
        <w:rPr>
          <w:rFonts w:hint="eastAsia"/>
          <w:b/>
          <w:sz w:val="28"/>
          <w:szCs w:val="28"/>
        </w:rPr>
      </w:pPr>
      <w:r>
        <w:rPr>
          <w:rFonts w:hint="eastAsia"/>
          <w:b/>
          <w:sz w:val="28"/>
          <w:szCs w:val="28"/>
        </w:rPr>
        <w:t>一、项目概况及招标范围</w:t>
      </w:r>
    </w:p>
    <w:p>
      <w:pPr>
        <w:rPr>
          <w:rFonts w:hint="eastAsia"/>
          <w:b/>
          <w:sz w:val="28"/>
          <w:szCs w:val="28"/>
        </w:rPr>
      </w:pPr>
      <w:r>
        <w:rPr>
          <w:rFonts w:hint="eastAsia"/>
          <w:b/>
          <w:sz w:val="28"/>
          <w:szCs w:val="28"/>
        </w:rPr>
        <w:t>1、包含8条河流（苏滚厄肯河、克尔布拉克昂额河、谢依提河、通古孜阿格孜河、阿捷克牙代尔亚河、博古孜达里亚河、喀拉苏河、库铁热克尤鲁沟）的前期编制水域岸线管理和保护范围划定报告和其中4条河流（苏滚厄肯河、克尔布拉克昂额河、谢依提河、通古孜阿格孜河）岸线保护与利用规划报告。</w:t>
      </w:r>
    </w:p>
    <w:p>
      <w:pPr>
        <w:rPr>
          <w:rFonts w:hint="eastAsia"/>
          <w:b/>
          <w:sz w:val="28"/>
          <w:szCs w:val="28"/>
        </w:rPr>
      </w:pPr>
      <w:r>
        <w:rPr>
          <w:rFonts w:hint="eastAsia"/>
          <w:b/>
          <w:sz w:val="28"/>
          <w:szCs w:val="28"/>
        </w:rPr>
        <w:t>二、工期</w:t>
      </w:r>
    </w:p>
    <w:p>
      <w:pPr>
        <w:rPr>
          <w:b/>
          <w:sz w:val="28"/>
          <w:szCs w:val="28"/>
        </w:rPr>
      </w:pPr>
      <w:r>
        <w:rPr>
          <w:rFonts w:hint="eastAsia"/>
          <w:b/>
          <w:sz w:val="28"/>
          <w:szCs w:val="28"/>
        </w:rPr>
        <w:t>签订合同开始60天完成工作内容并交付相关资料。</w:t>
      </w:r>
    </w:p>
    <w:p>
      <w:pPr>
        <w:rPr>
          <w:rFonts w:hint="eastAsia"/>
          <w:b/>
          <w:sz w:val="28"/>
          <w:szCs w:val="28"/>
        </w:rPr>
      </w:pPr>
      <w:r>
        <w:rPr>
          <w:rFonts w:hint="eastAsia"/>
          <w:b/>
          <w:sz w:val="28"/>
          <w:szCs w:val="28"/>
        </w:rPr>
        <w:t>三、主要工作内容</w:t>
      </w:r>
    </w:p>
    <w:p>
      <w:pPr>
        <w:rPr>
          <w:rFonts w:hint="eastAsia"/>
          <w:b/>
          <w:sz w:val="28"/>
          <w:szCs w:val="28"/>
        </w:rPr>
      </w:pPr>
      <w:r>
        <w:rPr>
          <w:rFonts w:hint="eastAsia"/>
          <w:b/>
          <w:sz w:val="28"/>
          <w:szCs w:val="28"/>
        </w:rPr>
        <w:t>1、根据《中华人民共和国水法》、《中华人民共和国防洪法》、《中华人民共和国河道管理条例》、《水库大坝安全管理条例》、《中华人民共和国河道管理条例》办法及其它相关规定，确定河道（含河道上水库）的管理范围线及保护范围，绘制管理范围及保护范围线（必须注明特征点坐标）</w:t>
      </w:r>
    </w:p>
    <w:p>
      <w:pPr>
        <w:rPr>
          <w:rFonts w:hint="eastAsia"/>
          <w:b/>
          <w:sz w:val="28"/>
          <w:szCs w:val="28"/>
        </w:rPr>
      </w:pPr>
      <w:r>
        <w:rPr>
          <w:rFonts w:hint="eastAsia"/>
          <w:b/>
          <w:sz w:val="28"/>
          <w:szCs w:val="28"/>
        </w:rPr>
        <w:t>查明河流流经长度、行政区划分界点的位置坐标，利用GPS 测绘仪及卷尺等设备，测量记录数据，绘制点之记。</w:t>
      </w:r>
    </w:p>
    <w:p>
      <w:pPr>
        <w:rPr>
          <w:rFonts w:hint="eastAsia"/>
          <w:b/>
          <w:sz w:val="28"/>
          <w:szCs w:val="28"/>
        </w:rPr>
      </w:pPr>
      <w:r>
        <w:rPr>
          <w:rFonts w:hint="eastAsia"/>
          <w:b/>
          <w:sz w:val="28"/>
          <w:szCs w:val="28"/>
        </w:rPr>
        <w:t>2、按照上级要求，完成的相关内业成果。成果形式包括报告、附表、附图、测绘成果（CGS2000坐标系）及相应全部影像资料等，所有资料一并考入移动硬盘交付业主。</w:t>
      </w:r>
    </w:p>
    <w:p>
      <w:pPr>
        <w:rPr>
          <w:rFonts w:hint="eastAsia" w:ascii="宋体" w:hAnsi="宋体"/>
          <w:bCs/>
          <w:szCs w:val="21"/>
        </w:rPr>
      </w:pPr>
      <w:r>
        <w:rPr>
          <w:rFonts w:hint="eastAsia"/>
          <w:b/>
          <w:sz w:val="28"/>
          <w:szCs w:val="28"/>
        </w:rPr>
        <w:t>3、最终成果要满足要求，因不满足要求造成的返工或修改不再计算费用。</w:t>
      </w:r>
    </w:p>
    <w:p>
      <w:pPr>
        <w:rPr>
          <w:rFonts w:hint="eastAsia"/>
          <w:b/>
          <w:sz w:val="28"/>
          <w:szCs w:val="28"/>
        </w:rPr>
      </w:pPr>
      <w:r>
        <w:rPr>
          <w:rFonts w:hint="eastAsia"/>
          <w:b/>
          <w:sz w:val="28"/>
          <w:szCs w:val="28"/>
        </w:rPr>
        <w:t>四、付款方式</w:t>
      </w:r>
    </w:p>
    <w:p>
      <w:pPr>
        <w:spacing w:line="440" w:lineRule="exact"/>
        <w:ind w:firstLine="281" w:firstLineChars="100"/>
        <w:jc w:val="left"/>
        <w:rPr>
          <w:rFonts w:hint="eastAsia" w:ascii="Times New Roman" w:hAnsi="Times New Roman" w:eastAsia="宋体" w:cs="Times New Roman"/>
          <w:b/>
          <w:sz w:val="28"/>
          <w:szCs w:val="28"/>
        </w:rPr>
      </w:pPr>
      <w:bookmarkStart w:id="0" w:name="_Toc267320052"/>
      <w:bookmarkStart w:id="1" w:name="_Toc340225294"/>
      <w:r>
        <w:rPr>
          <w:rFonts w:hint="eastAsia" w:ascii="Times New Roman" w:hAnsi="Times New Roman" w:eastAsia="宋体" w:cs="Times New Roman"/>
          <w:b/>
          <w:sz w:val="28"/>
          <w:szCs w:val="28"/>
        </w:rPr>
        <w:t>甲乙双方签订合同约定。</w:t>
      </w:r>
    </w:p>
    <w:p>
      <w:pPr>
        <w:rPr>
          <w:rFonts w:hint="eastAsia"/>
          <w:b/>
          <w:sz w:val="28"/>
          <w:szCs w:val="28"/>
        </w:rPr>
      </w:pPr>
      <w:r>
        <w:rPr>
          <w:rFonts w:hint="eastAsia"/>
          <w:b/>
          <w:sz w:val="28"/>
          <w:szCs w:val="28"/>
        </w:rPr>
        <w:t>五、知识产权</w:t>
      </w:r>
      <w:bookmarkEnd w:id="0"/>
      <w:bookmarkEnd w:id="1"/>
    </w:p>
    <w:p>
      <w:pPr>
        <w:spacing w:line="440" w:lineRule="exact"/>
        <w:ind w:firstLine="281" w:firstLineChars="100"/>
        <w:jc w:val="left"/>
        <w:rPr>
          <w:rFonts w:hint="eastAsia" w:ascii="宋体"/>
          <w:szCs w:val="21"/>
        </w:rPr>
      </w:pPr>
      <w:r>
        <w:rPr>
          <w:rFonts w:hint="eastAsia" w:ascii="Times New Roman" w:hAnsi="Times New Roman" w:eastAsia="宋体" w:cs="Times New Roman"/>
          <w:b/>
          <w:sz w:val="28"/>
          <w:szCs w:val="28"/>
        </w:rPr>
        <w:t>采购人在中华人民共和国境内使用投标人提供的货物及服务时免受第三方提出的侵犯其专利权或其它知识产权的起诉。如果第三方提出侵权指控</w:t>
      </w:r>
      <w:bookmarkStart w:id="4" w:name="_GoBack"/>
      <w:bookmarkEnd w:id="4"/>
      <w:r>
        <w:rPr>
          <w:rFonts w:hint="eastAsia" w:ascii="Times New Roman" w:hAnsi="Times New Roman" w:eastAsia="宋体" w:cs="Times New Roman"/>
          <w:b/>
          <w:sz w:val="28"/>
          <w:szCs w:val="28"/>
        </w:rPr>
        <w:t>，中标人应承担由此而引起的一切法律责任和费用。</w:t>
      </w:r>
    </w:p>
    <w:p>
      <w:pPr>
        <w:rPr>
          <w:rFonts w:hint="eastAsia"/>
          <w:b/>
          <w:sz w:val="28"/>
          <w:szCs w:val="28"/>
        </w:rPr>
      </w:pPr>
      <w:bookmarkStart w:id="2" w:name="_Toc267320054"/>
      <w:bookmarkStart w:id="3" w:name="_Toc340225296"/>
      <w:r>
        <w:rPr>
          <w:rFonts w:hint="eastAsia"/>
          <w:b/>
          <w:sz w:val="28"/>
          <w:szCs w:val="28"/>
        </w:rPr>
        <w:t>六、其他</w:t>
      </w:r>
      <w:bookmarkEnd w:id="2"/>
      <w:bookmarkEnd w:id="3"/>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1、投标人必须在投标文件中对以上条款和服务承诺明确列出，承诺内容必须达到本篇及招标文件其他条款的要求。</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2、其他未尽事宜由供需双方在采购合同中详细约定。</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3、本项目标准依据；</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1、法律、法规、省政府规章</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《中华人民共和国水法》（2016年）；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《中华人民共和国防洪法》（2016年）；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《中华人民共和国土地管理法》（2004年）；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《中华人民共和国土地管理法实施条例》（2014年）；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《中华人民共和国河道管理条例》（2018年）；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《不动产登记暂行条例》（2015年）；</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2、规范、规程及标准</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《河湖管理范围和水利工程管理与保护范围划界试点技术规定》（水利厅，2015.06）；</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《堤防工程管理设计规范》（SL 171—96）；</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《水利水电工程测量规范》（SL 197—2013）；</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《水利水电工程建设征地移民安置规划设计规范》（SL 290-2009）；</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《堤防工程设计规范》（GB50286—2013）；</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《防洪标准》（GB50201—2014）</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《地籍调查规程》（TD/T 1001—2012）；</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《土地利用现状分类》（GB/T 21010—2017）；</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《城市测量规范》（CJJ/T8-2011）；</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《全球定位系统 GPS 测量规范》（GB18314—2009）；</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《全球定位系统实时动态测量（RTK）技术规范》（CH/T 2009—2010）；</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《数字航空摄影控制测量规范》（CH/T3006—2011）；</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《土地勘测定界规程》（TD/T 1008—2007）；</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《测绘作业人员安全规范》（CH 1016—2008）；</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《测绘成果质量检查与验收》（GB/T 24356—2009）。</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3、有关政策文件</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《土地登记办法》（国土资源部令第 40 号）；</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《土地权属争议调查处理办法》（国土资源部令第 17 号）；</w:t>
      </w:r>
    </w:p>
    <w:p>
      <w:pP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《水利部关于深化水利改革的指导意见》（水农〔2018〕 54 号）；《水利部关于开展河湖管理范围和水利工程管理与保护范围划定工作的通知》（水建管〔2014〕 285 号）；</w:t>
      </w:r>
    </w:p>
    <w:p>
      <w:r>
        <w:rPr>
          <w:rFonts w:hint="eastAsia" w:ascii="Times New Roman" w:hAnsi="Times New Roman" w:eastAsia="宋体" w:cs="Times New Roman"/>
          <w:b/>
          <w:sz w:val="28"/>
          <w:szCs w:val="28"/>
        </w:rPr>
        <w:t>说明：需严格按照相关标准及规格完成工作内容，不限于以上所指。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jZjZjNiN2RlYzI4MzFiMmZkYmM5MWVjZDY3OTEifQ=="/>
  </w:docVars>
  <w:rsids>
    <w:rsidRoot w:val="00000000"/>
    <w:rsid w:val="1F45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2022-07-28T10:33:10Z</dcterms:created>
  <dc:creator>Lenovo</dc:creator>
  <cp:lastModifiedBy>AAAAAA王者</cp:lastModifiedBy>
  <dcterms:modified xsi:type="dcterms:W3CDTF">2022-07-28T10:37:46Z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A0745089D8754408B4CB624766F690CA</vt:lpwstr>
  </property>
</Properties>
</file>